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2802436" w:displacedByCustomXml="next"/>
    <w:bookmarkEnd w:id="0" w:displacedByCustomXml="next"/>
    <w:sdt>
      <w:sdtPr>
        <w:rPr>
          <w:b/>
          <w:bCs/>
        </w:rPr>
        <w:id w:val="-1649280474"/>
        <w:docPartObj>
          <w:docPartGallery w:val="Cover Pages"/>
          <w:docPartUnique/>
        </w:docPartObj>
      </w:sdtPr>
      <w:sdtEndPr>
        <w:rPr>
          <w:b w:val="0"/>
          <w:bCs w:val="0"/>
        </w:rPr>
      </w:sdtEndPr>
      <w:sdtContent>
        <w:p w14:paraId="7E2854BD" w14:textId="77777777" w:rsidR="003A58AB" w:rsidRPr="008B052A" w:rsidRDefault="00F427E4" w:rsidP="009E6DB3">
          <w:r w:rsidRPr="008B052A">
            <w:rPr>
              <w:noProof/>
            </w:rPr>
            <w:drawing>
              <wp:anchor distT="0" distB="0" distL="114300" distR="114300" simplePos="0" relativeHeight="251658241" behindDoc="0" locked="1" layoutInCell="1" allowOverlap="1" wp14:anchorId="4DBBB7AD" wp14:editId="0A01F7EC">
                <wp:simplePos x="0" y="0"/>
                <wp:positionH relativeFrom="column">
                  <wp:posOffset>-49530</wp:posOffset>
                </wp:positionH>
                <wp:positionV relativeFrom="page">
                  <wp:posOffset>376555</wp:posOffset>
                </wp:positionV>
                <wp:extent cx="3340800" cy="1105200"/>
                <wp:effectExtent l="0" t="0" r="0" b="0"/>
                <wp:wrapNone/>
                <wp:docPr id="1592260426" name="Picture 1" descr="Australian Government logo for Tourism Research Australia - part of Aus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Government logo for Tourism Research Australia - part of Austrade"/>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8B052A">
            <w:rPr>
              <w:noProof/>
            </w:rPr>
            <w:drawing>
              <wp:anchor distT="0" distB="0" distL="114300" distR="114300" simplePos="0" relativeHeight="251658240" behindDoc="0" locked="0" layoutInCell="1" allowOverlap="1" wp14:anchorId="64B6A539" wp14:editId="4DED6D13">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2CE4B" w14:textId="77777777" w:rsidR="00501469" w:rsidRPr="008B052A" w:rsidRDefault="00501469"/>
        <w:p w14:paraId="1F50E4D8" w14:textId="77777777" w:rsidR="00501469" w:rsidRPr="008B052A" w:rsidRDefault="00501469"/>
        <w:p w14:paraId="7D6804E3" w14:textId="77777777" w:rsidR="00501469" w:rsidRPr="008B052A" w:rsidRDefault="00501469"/>
        <w:p w14:paraId="1A90712D" w14:textId="77777777" w:rsidR="00501469" w:rsidRPr="008B052A" w:rsidRDefault="00501469"/>
        <w:p w14:paraId="325296CD" w14:textId="77777777" w:rsidR="00501469" w:rsidRPr="008B052A" w:rsidRDefault="00501469"/>
        <w:p w14:paraId="25700CF1" w14:textId="0F4E225F" w:rsidR="003E38E3" w:rsidRPr="008B052A" w:rsidRDefault="009A7638" w:rsidP="00C27BF9">
          <w:pPr>
            <w:pStyle w:val="Heading1"/>
            <w:rPr>
              <w:rStyle w:val="Heading1Char"/>
              <w:bCs/>
            </w:rPr>
          </w:pPr>
          <w:bookmarkStart w:id="1" w:name="_Toc210309388"/>
          <w:bookmarkStart w:id="2" w:name="_Toc211758468"/>
          <w:bookmarkStart w:id="3" w:name="_Toc211952418"/>
          <w:bookmarkStart w:id="4" w:name="_Toc214539181"/>
          <w:r w:rsidRPr="008B052A">
            <w:t>Tourism forecasts for Australia</w:t>
          </w:r>
          <w:bookmarkEnd w:id="1"/>
          <w:bookmarkEnd w:id="2"/>
          <w:bookmarkEnd w:id="3"/>
          <w:bookmarkEnd w:id="4"/>
        </w:p>
        <w:p w14:paraId="502BCE9B" w14:textId="71FE772A" w:rsidR="003E38E3" w:rsidRPr="008B052A" w:rsidRDefault="009A7638" w:rsidP="00C27BF9">
          <w:pPr>
            <w:pStyle w:val="Heading2"/>
          </w:pPr>
          <w:bookmarkStart w:id="5" w:name="_Toc210309389"/>
          <w:bookmarkStart w:id="6" w:name="_Toc211758469"/>
          <w:bookmarkStart w:id="7" w:name="_Toc211952419"/>
          <w:bookmarkStart w:id="8" w:name="_Toc214539182"/>
          <w:r w:rsidRPr="008B052A">
            <w:t>2025 to 2030</w:t>
          </w:r>
          <w:bookmarkEnd w:id="5"/>
          <w:bookmarkEnd w:id="6"/>
          <w:bookmarkEnd w:id="7"/>
          <w:bookmarkEnd w:id="8"/>
        </w:p>
        <w:p w14:paraId="4626221E" w14:textId="77777777" w:rsidR="00CA3353" w:rsidRPr="008B052A" w:rsidRDefault="00CA3353" w:rsidP="00CA3353">
          <w:pPr>
            <w:rPr>
              <w:b/>
              <w:bCs/>
            </w:rPr>
          </w:pPr>
        </w:p>
        <w:p w14:paraId="1E0F1D22" w14:textId="77777777" w:rsidR="00CA3353" w:rsidRPr="008B052A" w:rsidRDefault="00CA3353" w:rsidP="00CA3353">
          <w:pPr>
            <w:rPr>
              <w:b/>
              <w:bCs/>
            </w:rPr>
          </w:pPr>
        </w:p>
        <w:p w14:paraId="7E140C42" w14:textId="77777777" w:rsidR="00CA3353" w:rsidRPr="008B052A" w:rsidRDefault="00CA3353" w:rsidP="00CA3353">
          <w:pPr>
            <w:rPr>
              <w:b/>
              <w:bCs/>
            </w:rPr>
          </w:pPr>
        </w:p>
        <w:p w14:paraId="1385FC89" w14:textId="77777777" w:rsidR="00CA3353" w:rsidRPr="008B052A" w:rsidRDefault="00CA3353" w:rsidP="00CA3353">
          <w:pPr>
            <w:rPr>
              <w:b/>
              <w:bCs/>
            </w:rPr>
          </w:pPr>
        </w:p>
        <w:p w14:paraId="2C0F00AF" w14:textId="77777777" w:rsidR="00CA3353" w:rsidRPr="008B052A" w:rsidRDefault="00CA3353" w:rsidP="00CA3353">
          <w:pPr>
            <w:rPr>
              <w:b/>
              <w:bCs/>
            </w:rPr>
          </w:pPr>
        </w:p>
        <w:p w14:paraId="5E238498" w14:textId="77777777" w:rsidR="00CA3353" w:rsidRPr="008B052A" w:rsidRDefault="00CA3353" w:rsidP="00CA3353">
          <w:pPr>
            <w:rPr>
              <w:b/>
              <w:bCs/>
            </w:rPr>
          </w:pPr>
        </w:p>
        <w:p w14:paraId="13A2A313" w14:textId="77777777" w:rsidR="00CA3353" w:rsidRPr="008B052A" w:rsidRDefault="00CA3353" w:rsidP="00CA3353">
          <w:pPr>
            <w:spacing w:before="120" w:after="120"/>
            <w:rPr>
              <w:rFonts w:eastAsia="Verdana" w:cs="Times New Roman"/>
              <w:color w:val="000000"/>
            </w:rPr>
          </w:pPr>
          <w:r w:rsidRPr="008B052A">
            <w:rPr>
              <w:rFonts w:eastAsia="Verdana" w:cs="Times New Roman"/>
              <w:color w:val="000000"/>
            </w:rPr>
            <w:t xml:space="preserve">Tourism Research Australia </w:t>
          </w:r>
        </w:p>
        <w:p w14:paraId="6156B9EF" w14:textId="77777777" w:rsidR="00CA3353" w:rsidRPr="008B052A" w:rsidRDefault="00CA3353" w:rsidP="00CA3353">
          <w:pPr>
            <w:spacing w:before="120" w:after="120"/>
            <w:rPr>
              <w:rFonts w:eastAsia="Verdana" w:cs="Times New Roman"/>
              <w:color w:val="000000"/>
            </w:rPr>
          </w:pPr>
          <w:r w:rsidRPr="008B052A">
            <w:rPr>
              <w:rFonts w:eastAsia="Verdana" w:cs="Times New Roman"/>
              <w:color w:val="000000"/>
            </w:rPr>
            <w:t xml:space="preserve">Australian Trade and Investment Commission (Austrade) </w:t>
          </w:r>
        </w:p>
        <w:p w14:paraId="57280234" w14:textId="77777777" w:rsidR="00CA3353" w:rsidRPr="008B052A" w:rsidRDefault="00CA3353" w:rsidP="00CA3353">
          <w:pPr>
            <w:spacing w:before="120" w:after="120"/>
            <w:rPr>
              <w:rFonts w:eastAsia="Verdana" w:cs="Times New Roman"/>
              <w:color w:val="000000"/>
            </w:rPr>
          </w:pPr>
          <w:r w:rsidRPr="008B052A">
            <w:rPr>
              <w:rFonts w:eastAsia="Verdana" w:cs="Times New Roman"/>
              <w:color w:val="000000"/>
            </w:rPr>
            <w:t xml:space="preserve">Email: </w:t>
          </w:r>
          <w:hyperlink r:id="rId13" w:history="1">
            <w:r w:rsidRPr="008B052A">
              <w:rPr>
                <w:rStyle w:val="Hyperlink"/>
                <w:rFonts w:eastAsia="Verdana" w:cs="Times New Roman"/>
              </w:rPr>
              <w:t>tourism.research@tra.gov.au</w:t>
            </w:r>
          </w:hyperlink>
          <w:r w:rsidRPr="008B052A">
            <w:rPr>
              <w:rFonts w:eastAsia="Verdana" w:cs="Times New Roman"/>
              <w:color w:val="000000"/>
            </w:rPr>
            <w:t xml:space="preserve"> </w:t>
          </w:r>
        </w:p>
        <w:p w14:paraId="34E972D0" w14:textId="77777777" w:rsidR="00CA3353" w:rsidRPr="008B052A" w:rsidRDefault="00CA3353" w:rsidP="00CA3353">
          <w:pPr>
            <w:spacing w:before="120" w:after="120"/>
            <w:rPr>
              <w:rFonts w:eastAsia="Verdana" w:cs="Times New Roman"/>
              <w:color w:val="000000"/>
            </w:rPr>
          </w:pPr>
          <w:r w:rsidRPr="008B052A">
            <w:rPr>
              <w:rFonts w:eastAsia="Verdana" w:cs="Times New Roman"/>
              <w:color w:val="000000"/>
            </w:rPr>
            <w:t xml:space="preserve">Web: </w:t>
          </w:r>
          <w:hyperlink r:id="rId14" w:history="1">
            <w:r w:rsidRPr="008B052A">
              <w:rPr>
                <w:rStyle w:val="Hyperlink"/>
                <w:rFonts w:eastAsia="Verdana" w:cs="Times New Roman"/>
              </w:rPr>
              <w:t>www.tra.gov.au</w:t>
            </w:r>
          </w:hyperlink>
          <w:r w:rsidRPr="008B052A">
            <w:rPr>
              <w:rFonts w:eastAsia="Verdana" w:cs="Times New Roman"/>
              <w:color w:val="000000"/>
            </w:rPr>
            <w:t xml:space="preserve"> </w:t>
          </w:r>
        </w:p>
        <w:p w14:paraId="24CBD414" w14:textId="77777777" w:rsidR="00E17D26" w:rsidRPr="008B052A" w:rsidRDefault="00CA3353" w:rsidP="00CA3353">
          <w:pPr>
            <w:spacing w:before="120" w:after="120"/>
            <w:rPr>
              <w:rFonts w:eastAsia="Verdana" w:cs="Times New Roman"/>
              <w:color w:val="000000"/>
            </w:rPr>
          </w:pPr>
          <w:r w:rsidRPr="008B052A">
            <w:rPr>
              <w:rFonts w:eastAsia="Verdana" w:cs="Times New Roman"/>
              <w:color w:val="000000"/>
            </w:rPr>
            <w:t>Publication date: December 2025</w:t>
          </w:r>
        </w:p>
        <w:p w14:paraId="515D571B" w14:textId="77777777" w:rsidR="00E17D26" w:rsidRPr="008B052A" w:rsidRDefault="00E17D26" w:rsidP="00CA3353">
          <w:pPr>
            <w:spacing w:before="120" w:after="120"/>
            <w:rPr>
              <w:rFonts w:eastAsia="Verdana" w:cs="Times New Roman"/>
              <w:color w:val="000000"/>
            </w:rPr>
          </w:pPr>
        </w:p>
        <w:p w14:paraId="04E38F30" w14:textId="7A3B4030" w:rsidR="00E17D26" w:rsidRPr="008B052A" w:rsidRDefault="00E17D26" w:rsidP="00E17D26">
          <w:pPr>
            <w:spacing w:line="240" w:lineRule="auto"/>
            <w:rPr>
              <w:rFonts w:eastAsia="Verdana" w:cs="Times New Roman"/>
              <w:color w:val="000000"/>
              <w:sz w:val="16"/>
              <w:szCs w:val="16"/>
            </w:rPr>
          </w:pPr>
          <w:r w:rsidRPr="008B052A">
            <w:rPr>
              <w:rFonts w:eastAsia="Verdana" w:cs="Times New Roman"/>
              <w:color w:val="000000"/>
              <w:sz w:val="16"/>
              <w:szCs w:val="16"/>
            </w:rPr>
            <w:t xml:space="preserve">This work should be attributed as </w:t>
          </w:r>
          <w:r w:rsidRPr="008B052A">
            <w:rPr>
              <w:rFonts w:eastAsia="Verdana" w:cs="Times New Roman"/>
              <w:i/>
              <w:iCs/>
              <w:color w:val="000000"/>
              <w:sz w:val="16"/>
              <w:szCs w:val="16"/>
            </w:rPr>
            <w:t>Tourism forecasts for Australia: 2025 to 2030</w:t>
          </w:r>
          <w:r w:rsidRPr="008B052A">
            <w:rPr>
              <w:rFonts w:eastAsia="Verdana" w:cs="Times New Roman"/>
              <w:color w:val="000000"/>
              <w:sz w:val="16"/>
              <w:szCs w:val="16"/>
            </w:rPr>
            <w:t xml:space="preserve">, Tourism Research Australia, Austrade, Canberra. </w:t>
          </w:r>
        </w:p>
        <w:p w14:paraId="28F8D8E4" w14:textId="77777777" w:rsidR="00E17D26" w:rsidRPr="008B052A" w:rsidRDefault="00E17D26" w:rsidP="00E17D26">
          <w:pPr>
            <w:autoSpaceDE w:val="0"/>
            <w:autoSpaceDN w:val="0"/>
            <w:adjustRightInd w:val="0"/>
            <w:spacing w:after="0" w:line="240" w:lineRule="auto"/>
            <w:rPr>
              <w:rFonts w:eastAsia="Verdana" w:cs="Verdana"/>
              <w:color w:val="000000"/>
              <w:sz w:val="24"/>
              <w:szCs w:val="24"/>
            </w:rPr>
          </w:pPr>
          <w:r w:rsidRPr="008B052A">
            <w:rPr>
              <w:rFonts w:eastAsia="Verdana" w:cs="Verdana"/>
              <w:color w:val="000000"/>
              <w:sz w:val="16"/>
              <w:szCs w:val="16"/>
            </w:rPr>
            <w:t xml:space="preserve">This report is available at </w:t>
          </w:r>
          <w:hyperlink r:id="rId15" w:history="1">
            <w:r w:rsidRPr="008B052A">
              <w:rPr>
                <w:rStyle w:val="Hyperlink"/>
                <w:rFonts w:eastAsia="Verdana" w:cs="Verdana"/>
                <w:sz w:val="16"/>
                <w:szCs w:val="16"/>
              </w:rPr>
              <w:t>https://www.tra.gov.au/</w:t>
            </w:r>
          </w:hyperlink>
        </w:p>
        <w:p w14:paraId="6DA55BFF" w14:textId="77777777" w:rsidR="00E17D26" w:rsidRPr="008B052A" w:rsidRDefault="00E17D26" w:rsidP="00E17D26">
          <w:pPr>
            <w:autoSpaceDE w:val="0"/>
            <w:autoSpaceDN w:val="0"/>
            <w:adjustRightInd w:val="0"/>
            <w:spacing w:after="0" w:line="240" w:lineRule="auto"/>
            <w:rPr>
              <w:rFonts w:eastAsia="Verdana" w:cs="Verdana"/>
              <w:color w:val="000000"/>
              <w:sz w:val="24"/>
              <w:szCs w:val="24"/>
            </w:rPr>
          </w:pPr>
        </w:p>
        <w:p w14:paraId="7BC7362D" w14:textId="77777777" w:rsidR="00E17D26" w:rsidRPr="008B052A" w:rsidRDefault="00E17D26" w:rsidP="00E17D26">
          <w:pPr>
            <w:autoSpaceDE w:val="0"/>
            <w:autoSpaceDN w:val="0"/>
            <w:adjustRightInd w:val="0"/>
            <w:spacing w:after="0" w:line="240" w:lineRule="auto"/>
            <w:rPr>
              <w:rFonts w:eastAsia="Verdana" w:cs="Verdana"/>
              <w:color w:val="000000"/>
              <w:sz w:val="16"/>
              <w:szCs w:val="16"/>
            </w:rPr>
          </w:pPr>
          <w:r w:rsidRPr="008B052A">
            <w:rPr>
              <w:rFonts w:eastAsia="Verdana" w:cs="Verdana"/>
              <w:color w:val="000000"/>
              <w:sz w:val="16"/>
              <w:szCs w:val="16"/>
            </w:rPr>
            <w:t xml:space="preserve">Further enquiries are welcome at </w:t>
          </w:r>
          <w:hyperlink r:id="rId16" w:history="1">
            <w:r w:rsidRPr="008B052A">
              <w:rPr>
                <w:rStyle w:val="Hyperlink"/>
                <w:rFonts w:eastAsia="Verdana" w:cs="Verdana"/>
                <w:sz w:val="16"/>
                <w:szCs w:val="16"/>
              </w:rPr>
              <w:t>tourism.research@tra.gov.au</w:t>
            </w:r>
          </w:hyperlink>
          <w:r w:rsidRPr="008B052A">
            <w:rPr>
              <w:rFonts w:eastAsia="Verdana" w:cs="Verdana"/>
              <w:color w:val="000000"/>
              <w:sz w:val="16"/>
              <w:szCs w:val="16"/>
            </w:rPr>
            <w:t xml:space="preserve"> </w:t>
          </w:r>
        </w:p>
        <w:p w14:paraId="3BA1F40A" w14:textId="3A93C0EF" w:rsidR="00501469" w:rsidRPr="008B052A" w:rsidRDefault="00501469" w:rsidP="00CA3353">
          <w:pPr>
            <w:spacing w:before="120" w:after="120"/>
            <w:rPr>
              <w:rFonts w:eastAsia="Verdana" w:cs="Times New Roman"/>
              <w:color w:val="000000"/>
            </w:rPr>
          </w:pPr>
          <w:r w:rsidRPr="008B052A">
            <w:rPr>
              <w:b/>
              <w:bCs/>
            </w:rPr>
            <w:br w:type="page"/>
          </w:r>
        </w:p>
      </w:sdtContent>
    </w:sdt>
    <w:p w14:paraId="4F1BF468" w14:textId="0C4B8581" w:rsidR="00321E47" w:rsidRPr="008B052A" w:rsidRDefault="002F675C" w:rsidP="00C27BF9">
      <w:pPr>
        <w:pStyle w:val="Heading2"/>
      </w:pPr>
      <w:bookmarkStart w:id="9" w:name="_Toc210309390"/>
      <w:bookmarkStart w:id="10" w:name="_Toc211758470"/>
      <w:bookmarkStart w:id="11" w:name="_Toc211952420"/>
      <w:bookmarkStart w:id="12" w:name="_Toc214539183"/>
      <w:r w:rsidRPr="008B052A">
        <w:lastRenderedPageBreak/>
        <w:t>Acknowledgements</w:t>
      </w:r>
      <w:bookmarkEnd w:id="9"/>
      <w:bookmarkEnd w:id="10"/>
      <w:bookmarkEnd w:id="11"/>
      <w:bookmarkEnd w:id="12"/>
    </w:p>
    <w:p w14:paraId="171D6316" w14:textId="77777777" w:rsidR="00A2550D" w:rsidRPr="008B052A" w:rsidRDefault="00A2550D" w:rsidP="00A2550D">
      <w:pPr>
        <w:pStyle w:val="Heading3"/>
      </w:pPr>
      <w:bookmarkStart w:id="13" w:name="_Toc120093921"/>
      <w:bookmarkStart w:id="14" w:name="_Toc120097917"/>
      <w:bookmarkStart w:id="15" w:name="_Toc148014773"/>
      <w:bookmarkStart w:id="16" w:name="_Toc148174098"/>
      <w:bookmarkStart w:id="17" w:name="_Toc150174954"/>
      <w:bookmarkStart w:id="18" w:name="_Toc150175459"/>
      <w:bookmarkStart w:id="19" w:name="_Toc150846163"/>
      <w:bookmarkStart w:id="20" w:name="_Toc180572577"/>
      <w:bookmarkStart w:id="21" w:name="_Toc180576431"/>
      <w:bookmarkStart w:id="22" w:name="_Toc182121507"/>
      <w:bookmarkStart w:id="23" w:name="_Toc184200258"/>
      <w:bookmarkStart w:id="24" w:name="_Toc184205795"/>
      <w:bookmarkStart w:id="25" w:name="_Toc184632609"/>
      <w:bookmarkStart w:id="26" w:name="_Toc210309391"/>
      <w:bookmarkStart w:id="27" w:name="_Toc211758471"/>
      <w:bookmarkStart w:id="28" w:name="_Toc211952421"/>
      <w:bookmarkStart w:id="29" w:name="_Toc214539184"/>
      <w:r w:rsidRPr="008B052A">
        <w:t>Acknowledgement of Country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D6F0620" w14:textId="34868F94" w:rsidR="00A2550D" w:rsidRPr="008B052A" w:rsidRDefault="00A2550D" w:rsidP="00A2550D">
      <w:r w:rsidRPr="008B052A">
        <w:t>We acknowledge the Traditional Custodians of lands throughout Australia and pay our respects to their Elders past and present. We recognise the enduring connection of First Nations people to land, sea and waters, and their deep care for Country over 65,000 years. We honour the enormous contribution First Nations cultures and traditions make to the visitor experience in Australia and commit to protecting and nurturing these cultures in partnership with First Nations communities.</w:t>
      </w:r>
    </w:p>
    <w:p w14:paraId="60EF1C3D" w14:textId="77777777" w:rsidR="00A2550D" w:rsidRPr="008B052A" w:rsidRDefault="00A2550D" w:rsidP="00A2550D">
      <w:pPr>
        <w:pStyle w:val="Heading3"/>
        <w:rPr>
          <w:lang w:eastAsia="zh-CN"/>
        </w:rPr>
      </w:pPr>
      <w:bookmarkStart w:id="30" w:name="_Toc180572578"/>
      <w:bookmarkStart w:id="31" w:name="_Toc180576432"/>
      <w:bookmarkStart w:id="32" w:name="_Toc182121508"/>
      <w:bookmarkStart w:id="33" w:name="_Toc184200259"/>
      <w:bookmarkStart w:id="34" w:name="_Toc184205796"/>
      <w:bookmarkStart w:id="35" w:name="_Toc184632610"/>
      <w:bookmarkStart w:id="36" w:name="_Toc210309392"/>
      <w:bookmarkStart w:id="37" w:name="_Toc211758472"/>
      <w:bookmarkStart w:id="38" w:name="_Toc211952422"/>
      <w:bookmarkStart w:id="39" w:name="_Toc214539185"/>
      <w:r w:rsidRPr="008B052A">
        <w:t>Tourism Forecasting Expert Panel</w:t>
      </w:r>
      <w:bookmarkEnd w:id="30"/>
      <w:bookmarkEnd w:id="31"/>
      <w:bookmarkEnd w:id="32"/>
      <w:bookmarkEnd w:id="33"/>
      <w:bookmarkEnd w:id="34"/>
      <w:bookmarkEnd w:id="35"/>
      <w:bookmarkEnd w:id="36"/>
      <w:bookmarkEnd w:id="37"/>
      <w:bookmarkEnd w:id="38"/>
      <w:bookmarkEnd w:id="39"/>
    </w:p>
    <w:p w14:paraId="501B4652" w14:textId="77777777" w:rsidR="00A2550D" w:rsidRPr="008B052A" w:rsidRDefault="00A2550D" w:rsidP="00A2550D">
      <w:pPr>
        <w:rPr>
          <w:rFonts w:eastAsia="Verdana" w:cs="Times New Roman"/>
          <w:color w:val="000000"/>
        </w:rPr>
      </w:pPr>
      <w:r w:rsidRPr="008B052A">
        <w:rPr>
          <w:rFonts w:eastAsia="Verdana" w:cs="Times New Roman"/>
          <w:color w:val="000000"/>
        </w:rPr>
        <w:t>As part of the forecasting process, and consistent with past practice, Tourism Research Australia (TRA) established a Tourism Forecasting Expert Panel comprising experts from academia, industry, and government. TRA acknowledges the contribution of the Panel members in providing survey responses, views, and feedback that supported the development of the forecasts.</w:t>
      </w:r>
    </w:p>
    <w:p w14:paraId="4165A2C9" w14:textId="77777777" w:rsidR="00A2550D" w:rsidRPr="008B052A" w:rsidRDefault="00A2550D" w:rsidP="00A2550D">
      <w:pPr>
        <w:rPr>
          <w:rFonts w:eastAsia="Verdana" w:cs="Times New Roman"/>
          <w:color w:val="000000"/>
          <w:lang w:eastAsia="zh-CN"/>
        </w:rPr>
      </w:pPr>
    </w:p>
    <w:p w14:paraId="7322E18B" w14:textId="77777777" w:rsidR="00A2550D" w:rsidRPr="008B052A" w:rsidRDefault="00A2550D" w:rsidP="00A2550D">
      <w:pPr>
        <w:rPr>
          <w:lang w:eastAsia="zh-CN"/>
        </w:rPr>
      </w:pPr>
    </w:p>
    <w:p w14:paraId="1C337A40" w14:textId="3524B09B" w:rsidR="00A2550D" w:rsidRPr="008B052A" w:rsidRDefault="00A2550D" w:rsidP="00A2550D">
      <w:pPr>
        <w:pStyle w:val="Pa2"/>
        <w:spacing w:after="40"/>
        <w:rPr>
          <w:rFonts w:ascii="Verdana" w:hAnsi="Verdana" w:cs="Verdana"/>
          <w:color w:val="000000"/>
          <w:sz w:val="16"/>
          <w:szCs w:val="16"/>
        </w:rPr>
      </w:pPr>
      <w:r w:rsidRPr="008B052A">
        <w:rPr>
          <w:rFonts w:ascii="Verdana" w:hAnsi="Verdana" w:cs="Verdana"/>
          <w:color w:val="000000"/>
          <w:sz w:val="16"/>
          <w:szCs w:val="16"/>
        </w:rPr>
        <w:t>Copyright © Commonwealth of Australia 2025</w:t>
      </w:r>
    </w:p>
    <w:p w14:paraId="7DE59A53" w14:textId="77777777" w:rsidR="00A2550D" w:rsidRPr="008B052A" w:rsidRDefault="00A2550D" w:rsidP="00A2550D">
      <w:pPr>
        <w:pStyle w:val="Pa2"/>
        <w:spacing w:after="40"/>
        <w:rPr>
          <w:rFonts w:ascii="Verdana" w:hAnsi="Verdana" w:cs="Verdana"/>
          <w:color w:val="000000"/>
          <w:sz w:val="16"/>
          <w:szCs w:val="16"/>
        </w:rPr>
      </w:pPr>
      <w:r w:rsidRPr="008B052A">
        <w:rPr>
          <w:rFonts w:ascii="Verdana" w:hAnsi="Verdana" w:cs="Verdana"/>
          <w:color w:val="000000"/>
          <w:sz w:val="16"/>
          <w:szCs w:val="16"/>
        </w:rPr>
        <w:t xml:space="preserve">The material in this document is licensed under a Creative Commons Attribution – 4.0 International licence, </w:t>
      </w:r>
      <w:proofErr w:type="gramStart"/>
      <w:r w:rsidRPr="008B052A">
        <w:rPr>
          <w:rFonts w:ascii="Verdana" w:hAnsi="Verdana" w:cs="Verdana"/>
          <w:color w:val="000000"/>
          <w:sz w:val="16"/>
          <w:szCs w:val="16"/>
        </w:rPr>
        <w:t>with the exception of</w:t>
      </w:r>
      <w:proofErr w:type="gramEnd"/>
      <w:r w:rsidRPr="008B052A">
        <w:rPr>
          <w:rFonts w:ascii="Verdana" w:hAnsi="Verdana" w:cs="Verdana"/>
          <w:color w:val="000000"/>
          <w:sz w:val="16"/>
          <w:szCs w:val="16"/>
        </w:rPr>
        <w:t xml:space="preserve">: </w:t>
      </w:r>
    </w:p>
    <w:p w14:paraId="6C5E6161" w14:textId="77777777" w:rsidR="00A2550D" w:rsidRPr="008B052A" w:rsidRDefault="00A2550D" w:rsidP="00A2550D">
      <w:pPr>
        <w:pStyle w:val="Default"/>
        <w:numPr>
          <w:ilvl w:val="0"/>
          <w:numId w:val="9"/>
        </w:numPr>
        <w:spacing w:after="5"/>
        <w:ind w:left="1080" w:hanging="360"/>
        <w:rPr>
          <w:sz w:val="16"/>
          <w:szCs w:val="16"/>
        </w:rPr>
      </w:pPr>
      <w:r w:rsidRPr="008B052A">
        <w:rPr>
          <w:sz w:val="16"/>
          <w:szCs w:val="16"/>
        </w:rPr>
        <w:t xml:space="preserve">the Commonwealth Coat of Arms </w:t>
      </w:r>
    </w:p>
    <w:p w14:paraId="7BCAB08F" w14:textId="77777777" w:rsidR="00A2550D" w:rsidRPr="008B052A" w:rsidRDefault="00A2550D" w:rsidP="00A2550D">
      <w:pPr>
        <w:pStyle w:val="Default"/>
        <w:numPr>
          <w:ilvl w:val="0"/>
          <w:numId w:val="9"/>
        </w:numPr>
        <w:spacing w:after="5"/>
        <w:ind w:left="1080" w:hanging="360"/>
        <w:rPr>
          <w:sz w:val="16"/>
          <w:szCs w:val="16"/>
        </w:rPr>
      </w:pPr>
      <w:r w:rsidRPr="008B052A">
        <w:rPr>
          <w:sz w:val="16"/>
          <w:szCs w:val="16"/>
        </w:rPr>
        <w:t xml:space="preserve">the Australian Trade and Investment Commission’s logo </w:t>
      </w:r>
    </w:p>
    <w:p w14:paraId="29E45490" w14:textId="77777777" w:rsidR="00A2550D" w:rsidRPr="008B052A" w:rsidRDefault="00A2550D" w:rsidP="00A2550D">
      <w:pPr>
        <w:pStyle w:val="Default"/>
        <w:numPr>
          <w:ilvl w:val="0"/>
          <w:numId w:val="9"/>
        </w:numPr>
        <w:spacing w:after="5"/>
        <w:ind w:left="1080" w:hanging="360"/>
        <w:rPr>
          <w:sz w:val="16"/>
          <w:szCs w:val="16"/>
        </w:rPr>
      </w:pPr>
      <w:r w:rsidRPr="008B052A">
        <w:rPr>
          <w:sz w:val="16"/>
          <w:szCs w:val="16"/>
        </w:rPr>
        <w:t xml:space="preserve">any third-party material </w:t>
      </w:r>
    </w:p>
    <w:p w14:paraId="378CE078" w14:textId="77777777" w:rsidR="00A2550D" w:rsidRPr="008B052A" w:rsidRDefault="00A2550D" w:rsidP="00A2550D">
      <w:pPr>
        <w:pStyle w:val="Default"/>
        <w:numPr>
          <w:ilvl w:val="0"/>
          <w:numId w:val="9"/>
        </w:numPr>
        <w:spacing w:after="5"/>
        <w:ind w:left="1080" w:hanging="360"/>
        <w:rPr>
          <w:sz w:val="16"/>
          <w:szCs w:val="16"/>
        </w:rPr>
      </w:pPr>
      <w:r w:rsidRPr="008B052A">
        <w:rPr>
          <w:sz w:val="16"/>
          <w:szCs w:val="16"/>
        </w:rPr>
        <w:t xml:space="preserve">any material protected by a </w:t>
      </w:r>
      <w:proofErr w:type="gramStart"/>
      <w:r w:rsidRPr="008B052A">
        <w:rPr>
          <w:sz w:val="16"/>
          <w:szCs w:val="16"/>
        </w:rPr>
        <w:t>trade mark</w:t>
      </w:r>
      <w:proofErr w:type="gramEnd"/>
      <w:r w:rsidRPr="008B052A">
        <w:rPr>
          <w:sz w:val="16"/>
          <w:szCs w:val="16"/>
        </w:rPr>
        <w:t xml:space="preserve"> </w:t>
      </w:r>
    </w:p>
    <w:p w14:paraId="328C325D" w14:textId="77777777" w:rsidR="00A2550D" w:rsidRPr="008B052A" w:rsidRDefault="00A2550D" w:rsidP="00A2550D">
      <w:pPr>
        <w:pStyle w:val="Default"/>
        <w:numPr>
          <w:ilvl w:val="0"/>
          <w:numId w:val="9"/>
        </w:numPr>
        <w:ind w:left="1080" w:hanging="360"/>
        <w:rPr>
          <w:sz w:val="16"/>
          <w:szCs w:val="16"/>
        </w:rPr>
      </w:pPr>
      <w:r w:rsidRPr="008B052A">
        <w:rPr>
          <w:sz w:val="16"/>
          <w:szCs w:val="16"/>
        </w:rPr>
        <w:t>any images and photographs.</w:t>
      </w:r>
    </w:p>
    <w:p w14:paraId="4774DA4C" w14:textId="77777777" w:rsidR="00A2550D" w:rsidRPr="008B052A" w:rsidRDefault="00A2550D" w:rsidP="00A2550D">
      <w:pPr>
        <w:rPr>
          <w:rFonts w:cs="Verdana"/>
          <w:color w:val="000000"/>
          <w:sz w:val="16"/>
          <w:szCs w:val="16"/>
        </w:rPr>
      </w:pPr>
      <w:bookmarkStart w:id="40" w:name="_Toc89671613"/>
      <w:bookmarkStart w:id="41" w:name="_Toc95830543"/>
      <w:r w:rsidRPr="008B052A">
        <w:rPr>
          <w:rFonts w:cs="Verdana"/>
          <w:color w:val="000000"/>
          <w:sz w:val="16"/>
          <w:szCs w:val="16"/>
        </w:rPr>
        <w:t xml:space="preserve">More information on this CC BY licence is set out at the creative </w:t>
      </w:r>
      <w:proofErr w:type="gramStart"/>
      <w:r w:rsidRPr="008B052A">
        <w:rPr>
          <w:rFonts w:cs="Verdana"/>
          <w:color w:val="000000"/>
          <w:sz w:val="16"/>
          <w:szCs w:val="16"/>
        </w:rPr>
        <w:t>commons</w:t>
      </w:r>
      <w:proofErr w:type="gramEnd"/>
      <w:r w:rsidRPr="008B052A">
        <w:rPr>
          <w:rFonts w:cs="Verdana"/>
          <w:color w:val="000000"/>
          <w:sz w:val="16"/>
          <w:szCs w:val="16"/>
        </w:rPr>
        <w:t xml:space="preserve"> website: https://creativecommons.org/licenses/by/4.0/legalcode.</w:t>
      </w:r>
      <w:bookmarkEnd w:id="40"/>
      <w:bookmarkEnd w:id="41"/>
    </w:p>
    <w:p w14:paraId="68E77E82" w14:textId="77777777" w:rsidR="00A2550D" w:rsidRPr="008B052A" w:rsidRDefault="00A2550D" w:rsidP="00A2550D">
      <w:pPr>
        <w:pStyle w:val="Default"/>
        <w:rPr>
          <w:b/>
          <w:bCs/>
          <w:sz w:val="16"/>
          <w:szCs w:val="16"/>
        </w:rPr>
      </w:pPr>
      <w:r w:rsidRPr="008B052A">
        <w:rPr>
          <w:b/>
          <w:bCs/>
          <w:sz w:val="16"/>
          <w:szCs w:val="16"/>
        </w:rPr>
        <w:t>Attribution</w:t>
      </w:r>
    </w:p>
    <w:p w14:paraId="13ED2675" w14:textId="77777777" w:rsidR="00A2550D" w:rsidRPr="008B052A" w:rsidRDefault="00A2550D" w:rsidP="00A2550D">
      <w:pPr>
        <w:pStyle w:val="Default"/>
        <w:rPr>
          <w:rFonts w:asciiTheme="minorHAnsi" w:hAnsiTheme="minorHAnsi" w:cs="AU Sans BETA Text Light"/>
          <w:sz w:val="16"/>
          <w:szCs w:val="16"/>
        </w:rPr>
      </w:pPr>
      <w:r w:rsidRPr="008B052A">
        <w:rPr>
          <w:sz w:val="16"/>
          <w:szCs w:val="16"/>
        </w:rPr>
        <w:t>Before reusing any part of this document, including reproduction, public display, public performance, distribution, dissemination, communication, or importation, you must comply with the Attribution requirements under the CC BY licence. Enquiries about this licence and any use of this document can be sent to</w:t>
      </w:r>
      <w:r w:rsidRPr="008B052A">
        <w:rPr>
          <w:rFonts w:asciiTheme="minorHAnsi" w:hAnsiTheme="minorHAnsi"/>
          <w:sz w:val="16"/>
          <w:szCs w:val="16"/>
        </w:rPr>
        <w:t>:</w:t>
      </w:r>
      <w:r w:rsidRPr="008B052A">
        <w:rPr>
          <w:rFonts w:asciiTheme="minorHAnsi" w:hAnsiTheme="minorHAnsi" w:cs="AU Sans BETA Text Light"/>
          <w:sz w:val="16"/>
          <w:szCs w:val="16"/>
        </w:rPr>
        <w:t xml:space="preserve"> </w:t>
      </w:r>
      <w:hyperlink r:id="rId17" w:history="1">
        <w:r w:rsidRPr="008B052A">
          <w:rPr>
            <w:rStyle w:val="Hyperlink"/>
            <w:rFonts w:asciiTheme="minorHAnsi" w:hAnsiTheme="minorHAnsi" w:cs="AU Sans BETA Text Light"/>
            <w:sz w:val="16"/>
            <w:szCs w:val="16"/>
          </w:rPr>
          <w:t>advisory@austrade.gov.au</w:t>
        </w:r>
      </w:hyperlink>
      <w:r w:rsidRPr="008B052A">
        <w:rPr>
          <w:rFonts w:asciiTheme="minorHAnsi" w:hAnsiTheme="minorHAnsi" w:cs="AU Sans BETA Text Light"/>
          <w:sz w:val="16"/>
          <w:szCs w:val="16"/>
        </w:rPr>
        <w:t>.</w:t>
      </w:r>
    </w:p>
    <w:p w14:paraId="0BE91932" w14:textId="77777777" w:rsidR="00A2550D" w:rsidRPr="008B052A" w:rsidRDefault="00A2550D" w:rsidP="00A2550D">
      <w:pPr>
        <w:pStyle w:val="Default"/>
        <w:rPr>
          <w:rFonts w:asciiTheme="minorHAnsi" w:hAnsiTheme="minorHAnsi"/>
          <w:b/>
          <w:bCs/>
          <w:sz w:val="16"/>
          <w:szCs w:val="16"/>
        </w:rPr>
      </w:pPr>
    </w:p>
    <w:p w14:paraId="0878399B" w14:textId="77777777" w:rsidR="00A2550D" w:rsidRPr="008B052A" w:rsidRDefault="00A2550D" w:rsidP="00A2550D">
      <w:pPr>
        <w:pStyle w:val="Default"/>
        <w:rPr>
          <w:sz w:val="16"/>
          <w:szCs w:val="16"/>
        </w:rPr>
      </w:pPr>
      <w:r w:rsidRPr="008B052A">
        <w:rPr>
          <w:b/>
          <w:bCs/>
          <w:sz w:val="16"/>
          <w:szCs w:val="16"/>
        </w:rPr>
        <w:t xml:space="preserve">Using the Coat of Arms </w:t>
      </w:r>
      <w:r w:rsidRPr="008B052A">
        <w:rPr>
          <w:sz w:val="16"/>
          <w:szCs w:val="16"/>
        </w:rPr>
        <w:t xml:space="preserve">The terms of use for the Coat of Arms are available on the </w:t>
      </w:r>
      <w:hyperlink r:id="rId18" w:history="1">
        <w:r w:rsidRPr="008B052A">
          <w:rPr>
            <w:rStyle w:val="Hyperlink"/>
            <w:sz w:val="16"/>
            <w:szCs w:val="16"/>
          </w:rPr>
          <w:t>Department of the Prime Minister and Cabinet</w:t>
        </w:r>
      </w:hyperlink>
      <w:r w:rsidRPr="008B052A">
        <w:rPr>
          <w:sz w:val="16"/>
          <w:szCs w:val="16"/>
        </w:rPr>
        <w:t xml:space="preserve"> website. </w:t>
      </w:r>
    </w:p>
    <w:p w14:paraId="0746A9C2" w14:textId="77777777" w:rsidR="00A2550D" w:rsidRPr="008B052A" w:rsidRDefault="00A2550D" w:rsidP="00A2550D">
      <w:pPr>
        <w:pStyle w:val="Default"/>
        <w:rPr>
          <w:sz w:val="20"/>
          <w:szCs w:val="20"/>
        </w:rPr>
      </w:pPr>
    </w:p>
    <w:p w14:paraId="3CEB1EAA" w14:textId="77777777" w:rsidR="00A2550D" w:rsidRPr="008B052A" w:rsidRDefault="00A2550D" w:rsidP="00A2550D">
      <w:pPr>
        <w:pStyle w:val="Pa2"/>
        <w:spacing w:after="40"/>
        <w:rPr>
          <w:rFonts w:ascii="Verdana" w:hAnsi="Verdana" w:cs="Verdana"/>
          <w:b/>
          <w:bCs/>
          <w:color w:val="000000"/>
          <w:sz w:val="16"/>
          <w:szCs w:val="16"/>
        </w:rPr>
      </w:pPr>
      <w:r w:rsidRPr="008B052A">
        <w:rPr>
          <w:rFonts w:ascii="Verdana" w:hAnsi="Verdana" w:cs="Verdana"/>
          <w:b/>
          <w:bCs/>
          <w:color w:val="000000"/>
          <w:sz w:val="16"/>
          <w:szCs w:val="16"/>
        </w:rPr>
        <w:t>Disclaimer</w:t>
      </w:r>
    </w:p>
    <w:p w14:paraId="23043986" w14:textId="77777777" w:rsidR="00A2550D" w:rsidRPr="008B052A" w:rsidRDefault="00A2550D" w:rsidP="00A2550D">
      <w:pPr>
        <w:pStyle w:val="Pa2"/>
        <w:spacing w:after="40"/>
        <w:rPr>
          <w:rFonts w:ascii="Verdana" w:hAnsi="Verdana" w:cs="Verdana"/>
          <w:color w:val="000000"/>
          <w:sz w:val="16"/>
          <w:szCs w:val="16"/>
        </w:rPr>
      </w:pPr>
      <w:r w:rsidRPr="008B052A">
        <w:rPr>
          <w:rFonts w:ascii="Verdana" w:hAnsi="Verdana" w:cs="Verdana"/>
          <w:color w:val="000000"/>
          <w:sz w:val="16"/>
          <w:szCs w:val="16"/>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w:t>
      </w:r>
    </w:p>
    <w:p w14:paraId="741F9461" w14:textId="77777777" w:rsidR="00A2550D" w:rsidRPr="008B052A" w:rsidRDefault="00A2550D" w:rsidP="00A2550D">
      <w:pPr>
        <w:pStyle w:val="Pa2"/>
        <w:spacing w:after="40"/>
        <w:rPr>
          <w:rFonts w:ascii="Verdana" w:hAnsi="Verdana" w:cs="Verdana"/>
          <w:color w:val="000000"/>
          <w:sz w:val="16"/>
          <w:szCs w:val="16"/>
        </w:rPr>
      </w:pPr>
      <w:r w:rsidRPr="008B052A">
        <w:rPr>
          <w:rFonts w:ascii="Verdana" w:hAnsi="Verdana" w:cs="Verdana"/>
          <w:color w:val="000000"/>
          <w:sz w:val="16"/>
          <w:szCs w:val="16"/>
        </w:rPr>
        <w:t>While care has been taken to ensure the information in this report is accurate, the Commonwealth does not accept any liability for any loss arising from reliance on the information, or from any error or omission, in the report.</w:t>
      </w:r>
    </w:p>
    <w:p w14:paraId="7A8C511C" w14:textId="6AD3C0FA" w:rsidR="00A2550D" w:rsidRPr="008B052A" w:rsidRDefault="00A2550D" w:rsidP="00A2550D">
      <w:pPr>
        <w:pStyle w:val="Default"/>
        <w:rPr>
          <w:bCs/>
          <w:sz w:val="16"/>
          <w:szCs w:val="16"/>
        </w:rPr>
      </w:pPr>
      <w:r w:rsidRPr="008B052A">
        <w:rPr>
          <w:bCs/>
          <w:sz w:val="16"/>
          <w:szCs w:val="16"/>
        </w:rPr>
        <w:t>Any person relying on this information does so at their own risk. The Commonwealth recommends the person exercise their own skill and care, including obtaining professional advice, in relation to their use of the information for their purposes. The Commonwealth does not endorse any company or activity referred to in the report and does not accept responsibility for any losses suffered in connection with any company or its activities.</w:t>
      </w:r>
    </w:p>
    <w:p w14:paraId="134DCA6B" w14:textId="77777777" w:rsidR="00551E03" w:rsidRPr="008B052A" w:rsidRDefault="00551E03" w:rsidP="00A2550D">
      <w:pPr>
        <w:pStyle w:val="Default"/>
        <w:rPr>
          <w:bCs/>
          <w:sz w:val="16"/>
          <w:szCs w:val="16"/>
        </w:rPr>
      </w:pPr>
    </w:p>
    <w:p w14:paraId="041E1437" w14:textId="77777777" w:rsidR="00551E03" w:rsidRPr="008B052A" w:rsidRDefault="00551E03" w:rsidP="00A2550D">
      <w:pPr>
        <w:pStyle w:val="Default"/>
        <w:rPr>
          <w:bCs/>
          <w:sz w:val="16"/>
          <w:szCs w:val="16"/>
        </w:rPr>
      </w:pPr>
    </w:p>
    <w:bookmarkStart w:id="42" w:name="_Toc184632611" w:displacedByCustomXml="next"/>
    <w:sdt>
      <w:sdtPr>
        <w:rPr>
          <w:rFonts w:ascii="Verdana" w:eastAsiaTheme="minorEastAsia" w:hAnsi="Verdana" w:cstheme="minorBidi"/>
          <w:color w:val="000000" w:themeColor="text1"/>
          <w:sz w:val="20"/>
          <w:szCs w:val="20"/>
          <w:lang w:val="en-AU"/>
        </w:rPr>
        <w:id w:val="870736203"/>
        <w:docPartObj>
          <w:docPartGallery w:val="Table of Contents"/>
          <w:docPartUnique/>
        </w:docPartObj>
      </w:sdtPr>
      <w:sdtEndPr>
        <w:rPr>
          <w:b/>
          <w:bCs/>
        </w:rPr>
      </w:sdtEndPr>
      <w:sdtContent>
        <w:p w14:paraId="7465E716" w14:textId="77777777" w:rsidR="00491F4E" w:rsidRDefault="00640E17" w:rsidP="008D5E3F">
          <w:pPr>
            <w:pStyle w:val="TOCHeading"/>
            <w:rPr>
              <w:noProof/>
            </w:rPr>
          </w:pPr>
          <w:r w:rsidRPr="008B052A">
            <w:rPr>
              <w:lang w:val="en-AU"/>
            </w:rPr>
            <w:t>Contents</w:t>
          </w:r>
          <w:r w:rsidRPr="008B052A">
            <w:rPr>
              <w:lang w:val="en-AU"/>
            </w:rPr>
            <w:fldChar w:fldCharType="begin"/>
          </w:r>
          <w:r w:rsidRPr="008B052A">
            <w:rPr>
              <w:lang w:val="en-AU"/>
            </w:rPr>
            <w:instrText xml:space="preserve"> TOC \o "1-3" \h \z \u </w:instrText>
          </w:r>
          <w:r w:rsidRPr="008B052A">
            <w:rPr>
              <w:lang w:val="en-AU"/>
            </w:rPr>
            <w:fldChar w:fldCharType="separate"/>
          </w:r>
        </w:p>
        <w:p w14:paraId="347820B0" w14:textId="4C7F8CE7"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86" w:history="1">
            <w:r w:rsidRPr="004335F6">
              <w:rPr>
                <w:rStyle w:val="Hyperlink"/>
                <w:noProof/>
              </w:rPr>
              <w:t>About this report</w:t>
            </w:r>
            <w:r>
              <w:rPr>
                <w:noProof/>
                <w:webHidden/>
              </w:rPr>
              <w:tab/>
            </w:r>
            <w:r>
              <w:rPr>
                <w:noProof/>
                <w:webHidden/>
              </w:rPr>
              <w:fldChar w:fldCharType="begin"/>
            </w:r>
            <w:r>
              <w:rPr>
                <w:noProof/>
                <w:webHidden/>
              </w:rPr>
              <w:instrText xml:space="preserve"> PAGEREF _Toc214539186 \h </w:instrText>
            </w:r>
            <w:r>
              <w:rPr>
                <w:noProof/>
                <w:webHidden/>
              </w:rPr>
            </w:r>
            <w:r>
              <w:rPr>
                <w:noProof/>
                <w:webHidden/>
              </w:rPr>
              <w:fldChar w:fldCharType="separate"/>
            </w:r>
            <w:r w:rsidR="00EE0DEE">
              <w:rPr>
                <w:noProof/>
                <w:webHidden/>
              </w:rPr>
              <w:t>4</w:t>
            </w:r>
            <w:r>
              <w:rPr>
                <w:noProof/>
                <w:webHidden/>
              </w:rPr>
              <w:fldChar w:fldCharType="end"/>
            </w:r>
          </w:hyperlink>
        </w:p>
        <w:p w14:paraId="7F8ABFEC" w14:textId="02B91E31"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87" w:history="1">
            <w:r w:rsidRPr="004335F6">
              <w:rPr>
                <w:rStyle w:val="Hyperlink"/>
                <w:noProof/>
              </w:rPr>
              <w:t>Executive summary of forecasts</w:t>
            </w:r>
            <w:r>
              <w:rPr>
                <w:noProof/>
                <w:webHidden/>
              </w:rPr>
              <w:tab/>
            </w:r>
            <w:r>
              <w:rPr>
                <w:noProof/>
                <w:webHidden/>
              </w:rPr>
              <w:fldChar w:fldCharType="begin"/>
            </w:r>
            <w:r>
              <w:rPr>
                <w:noProof/>
                <w:webHidden/>
              </w:rPr>
              <w:instrText xml:space="preserve"> PAGEREF _Toc214539187 \h </w:instrText>
            </w:r>
            <w:r>
              <w:rPr>
                <w:noProof/>
                <w:webHidden/>
              </w:rPr>
            </w:r>
            <w:r>
              <w:rPr>
                <w:noProof/>
                <w:webHidden/>
              </w:rPr>
              <w:fldChar w:fldCharType="separate"/>
            </w:r>
            <w:r w:rsidR="00EE0DEE">
              <w:rPr>
                <w:noProof/>
                <w:webHidden/>
              </w:rPr>
              <w:t>4</w:t>
            </w:r>
            <w:r>
              <w:rPr>
                <w:noProof/>
                <w:webHidden/>
              </w:rPr>
              <w:fldChar w:fldCharType="end"/>
            </w:r>
          </w:hyperlink>
        </w:p>
        <w:p w14:paraId="08F1C596" w14:textId="4FD005E5"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88" w:history="1">
            <w:r w:rsidRPr="004335F6">
              <w:rPr>
                <w:rStyle w:val="Hyperlink"/>
                <w:noProof/>
              </w:rPr>
              <w:t>International visitor arrivals to Australia</w:t>
            </w:r>
            <w:r>
              <w:rPr>
                <w:noProof/>
                <w:webHidden/>
              </w:rPr>
              <w:tab/>
            </w:r>
            <w:r>
              <w:rPr>
                <w:noProof/>
                <w:webHidden/>
              </w:rPr>
              <w:fldChar w:fldCharType="begin"/>
            </w:r>
            <w:r>
              <w:rPr>
                <w:noProof/>
                <w:webHidden/>
              </w:rPr>
              <w:instrText xml:space="preserve"> PAGEREF _Toc214539188 \h </w:instrText>
            </w:r>
            <w:r>
              <w:rPr>
                <w:noProof/>
                <w:webHidden/>
              </w:rPr>
            </w:r>
            <w:r>
              <w:rPr>
                <w:noProof/>
                <w:webHidden/>
              </w:rPr>
              <w:fldChar w:fldCharType="separate"/>
            </w:r>
            <w:r w:rsidR="00EE0DEE">
              <w:rPr>
                <w:noProof/>
                <w:webHidden/>
              </w:rPr>
              <w:t>5</w:t>
            </w:r>
            <w:r>
              <w:rPr>
                <w:noProof/>
                <w:webHidden/>
              </w:rPr>
              <w:fldChar w:fldCharType="end"/>
            </w:r>
          </w:hyperlink>
        </w:p>
        <w:p w14:paraId="3E35C0EB" w14:textId="605E6C38"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89" w:history="1">
            <w:r w:rsidRPr="004335F6">
              <w:rPr>
                <w:rStyle w:val="Hyperlink"/>
                <w:noProof/>
              </w:rPr>
              <w:t>Overseas travel by Australians</w:t>
            </w:r>
            <w:r>
              <w:rPr>
                <w:noProof/>
                <w:webHidden/>
              </w:rPr>
              <w:tab/>
            </w:r>
            <w:r>
              <w:rPr>
                <w:noProof/>
                <w:webHidden/>
              </w:rPr>
              <w:fldChar w:fldCharType="begin"/>
            </w:r>
            <w:r>
              <w:rPr>
                <w:noProof/>
                <w:webHidden/>
              </w:rPr>
              <w:instrText xml:space="preserve"> PAGEREF _Toc214539189 \h </w:instrText>
            </w:r>
            <w:r>
              <w:rPr>
                <w:noProof/>
                <w:webHidden/>
              </w:rPr>
            </w:r>
            <w:r>
              <w:rPr>
                <w:noProof/>
                <w:webHidden/>
              </w:rPr>
              <w:fldChar w:fldCharType="separate"/>
            </w:r>
            <w:r w:rsidR="00EE0DEE">
              <w:rPr>
                <w:noProof/>
                <w:webHidden/>
              </w:rPr>
              <w:t>6</w:t>
            </w:r>
            <w:r>
              <w:rPr>
                <w:noProof/>
                <w:webHidden/>
              </w:rPr>
              <w:fldChar w:fldCharType="end"/>
            </w:r>
          </w:hyperlink>
        </w:p>
        <w:p w14:paraId="2F36BE68" w14:textId="22045F6C"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0" w:history="1">
            <w:r w:rsidRPr="004335F6">
              <w:rPr>
                <w:rStyle w:val="Hyperlink"/>
                <w:noProof/>
              </w:rPr>
              <w:t>Domestic travel in Australia</w:t>
            </w:r>
            <w:r>
              <w:rPr>
                <w:noProof/>
                <w:webHidden/>
              </w:rPr>
              <w:tab/>
            </w:r>
            <w:r>
              <w:rPr>
                <w:noProof/>
                <w:webHidden/>
              </w:rPr>
              <w:fldChar w:fldCharType="begin"/>
            </w:r>
            <w:r>
              <w:rPr>
                <w:noProof/>
                <w:webHidden/>
              </w:rPr>
              <w:instrText xml:space="preserve"> PAGEREF _Toc214539190 \h </w:instrText>
            </w:r>
            <w:r>
              <w:rPr>
                <w:noProof/>
                <w:webHidden/>
              </w:rPr>
            </w:r>
            <w:r>
              <w:rPr>
                <w:noProof/>
                <w:webHidden/>
              </w:rPr>
              <w:fldChar w:fldCharType="separate"/>
            </w:r>
            <w:r w:rsidR="00EE0DEE">
              <w:rPr>
                <w:noProof/>
                <w:webHidden/>
              </w:rPr>
              <w:t>6</w:t>
            </w:r>
            <w:r>
              <w:rPr>
                <w:noProof/>
                <w:webHidden/>
              </w:rPr>
              <w:fldChar w:fldCharType="end"/>
            </w:r>
          </w:hyperlink>
        </w:p>
        <w:p w14:paraId="623356C0" w14:textId="4EBC0FF4"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1" w:history="1">
            <w:r w:rsidRPr="004335F6">
              <w:rPr>
                <w:rStyle w:val="Hyperlink"/>
                <w:noProof/>
              </w:rPr>
              <w:t>Factors affecting the forecast outlook</w:t>
            </w:r>
            <w:r>
              <w:rPr>
                <w:noProof/>
                <w:webHidden/>
              </w:rPr>
              <w:tab/>
            </w:r>
            <w:r>
              <w:rPr>
                <w:noProof/>
                <w:webHidden/>
              </w:rPr>
              <w:fldChar w:fldCharType="begin"/>
            </w:r>
            <w:r>
              <w:rPr>
                <w:noProof/>
                <w:webHidden/>
              </w:rPr>
              <w:instrText xml:space="preserve"> PAGEREF _Toc214539191 \h </w:instrText>
            </w:r>
            <w:r>
              <w:rPr>
                <w:noProof/>
                <w:webHidden/>
              </w:rPr>
            </w:r>
            <w:r>
              <w:rPr>
                <w:noProof/>
                <w:webHidden/>
              </w:rPr>
              <w:fldChar w:fldCharType="separate"/>
            </w:r>
            <w:r w:rsidR="00EE0DEE">
              <w:rPr>
                <w:noProof/>
                <w:webHidden/>
              </w:rPr>
              <w:t>7</w:t>
            </w:r>
            <w:r>
              <w:rPr>
                <w:noProof/>
                <w:webHidden/>
              </w:rPr>
              <w:fldChar w:fldCharType="end"/>
            </w:r>
          </w:hyperlink>
        </w:p>
        <w:p w14:paraId="6693DBB7" w14:textId="0FB02B0B"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2" w:history="1">
            <w:r w:rsidRPr="004335F6">
              <w:rPr>
                <w:rStyle w:val="Hyperlink"/>
                <w:noProof/>
              </w:rPr>
              <w:t>International tourism forecasts</w:t>
            </w:r>
            <w:r>
              <w:rPr>
                <w:noProof/>
                <w:webHidden/>
              </w:rPr>
              <w:tab/>
            </w:r>
            <w:r>
              <w:rPr>
                <w:noProof/>
                <w:webHidden/>
              </w:rPr>
              <w:fldChar w:fldCharType="begin"/>
            </w:r>
            <w:r>
              <w:rPr>
                <w:noProof/>
                <w:webHidden/>
              </w:rPr>
              <w:instrText xml:space="preserve"> PAGEREF _Toc214539192 \h </w:instrText>
            </w:r>
            <w:r>
              <w:rPr>
                <w:noProof/>
                <w:webHidden/>
              </w:rPr>
            </w:r>
            <w:r>
              <w:rPr>
                <w:noProof/>
                <w:webHidden/>
              </w:rPr>
              <w:fldChar w:fldCharType="separate"/>
            </w:r>
            <w:r w:rsidR="00EE0DEE">
              <w:rPr>
                <w:noProof/>
                <w:webHidden/>
              </w:rPr>
              <w:t>8</w:t>
            </w:r>
            <w:r>
              <w:rPr>
                <w:noProof/>
                <w:webHidden/>
              </w:rPr>
              <w:fldChar w:fldCharType="end"/>
            </w:r>
          </w:hyperlink>
        </w:p>
        <w:p w14:paraId="5160DEC2" w14:textId="63F6C33C"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3" w:history="1">
            <w:r w:rsidRPr="004335F6">
              <w:rPr>
                <w:rStyle w:val="Hyperlink"/>
                <w:noProof/>
              </w:rPr>
              <w:t>International visitor arrivals</w:t>
            </w:r>
            <w:r>
              <w:rPr>
                <w:noProof/>
                <w:webHidden/>
              </w:rPr>
              <w:tab/>
            </w:r>
            <w:r>
              <w:rPr>
                <w:noProof/>
                <w:webHidden/>
              </w:rPr>
              <w:fldChar w:fldCharType="begin"/>
            </w:r>
            <w:r>
              <w:rPr>
                <w:noProof/>
                <w:webHidden/>
              </w:rPr>
              <w:instrText xml:space="preserve"> PAGEREF _Toc214539193 \h </w:instrText>
            </w:r>
            <w:r>
              <w:rPr>
                <w:noProof/>
                <w:webHidden/>
              </w:rPr>
            </w:r>
            <w:r>
              <w:rPr>
                <w:noProof/>
                <w:webHidden/>
              </w:rPr>
              <w:fldChar w:fldCharType="separate"/>
            </w:r>
            <w:r w:rsidR="00EE0DEE">
              <w:rPr>
                <w:noProof/>
                <w:webHidden/>
              </w:rPr>
              <w:t>8</w:t>
            </w:r>
            <w:r>
              <w:rPr>
                <w:noProof/>
                <w:webHidden/>
              </w:rPr>
              <w:fldChar w:fldCharType="end"/>
            </w:r>
          </w:hyperlink>
        </w:p>
        <w:p w14:paraId="0C4EAC2B" w14:textId="31E47655"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4" w:history="1">
            <w:r w:rsidRPr="004335F6">
              <w:rPr>
                <w:rStyle w:val="Hyperlink"/>
                <w:noProof/>
              </w:rPr>
              <w:t>Arrivals by source market</w:t>
            </w:r>
            <w:r>
              <w:rPr>
                <w:noProof/>
                <w:webHidden/>
              </w:rPr>
              <w:tab/>
            </w:r>
            <w:r>
              <w:rPr>
                <w:noProof/>
                <w:webHidden/>
              </w:rPr>
              <w:fldChar w:fldCharType="begin"/>
            </w:r>
            <w:r>
              <w:rPr>
                <w:noProof/>
                <w:webHidden/>
              </w:rPr>
              <w:instrText xml:space="preserve"> PAGEREF _Toc214539194 \h </w:instrText>
            </w:r>
            <w:r>
              <w:rPr>
                <w:noProof/>
                <w:webHidden/>
              </w:rPr>
            </w:r>
            <w:r>
              <w:rPr>
                <w:noProof/>
                <w:webHidden/>
              </w:rPr>
              <w:fldChar w:fldCharType="separate"/>
            </w:r>
            <w:r w:rsidR="00EE0DEE">
              <w:rPr>
                <w:noProof/>
                <w:webHidden/>
              </w:rPr>
              <w:t>10</w:t>
            </w:r>
            <w:r>
              <w:rPr>
                <w:noProof/>
                <w:webHidden/>
              </w:rPr>
              <w:fldChar w:fldCharType="end"/>
            </w:r>
          </w:hyperlink>
        </w:p>
        <w:p w14:paraId="412FB27B" w14:textId="0C35EA17"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5" w:history="1">
            <w:r w:rsidRPr="004335F6">
              <w:rPr>
                <w:rStyle w:val="Hyperlink"/>
                <w:noProof/>
              </w:rPr>
              <w:t>Arrivals by purpose of travel</w:t>
            </w:r>
            <w:r>
              <w:rPr>
                <w:noProof/>
                <w:webHidden/>
              </w:rPr>
              <w:tab/>
            </w:r>
            <w:r>
              <w:rPr>
                <w:noProof/>
                <w:webHidden/>
              </w:rPr>
              <w:fldChar w:fldCharType="begin"/>
            </w:r>
            <w:r>
              <w:rPr>
                <w:noProof/>
                <w:webHidden/>
              </w:rPr>
              <w:instrText xml:space="preserve"> PAGEREF _Toc214539195 \h </w:instrText>
            </w:r>
            <w:r>
              <w:rPr>
                <w:noProof/>
                <w:webHidden/>
              </w:rPr>
            </w:r>
            <w:r>
              <w:rPr>
                <w:noProof/>
                <w:webHidden/>
              </w:rPr>
              <w:fldChar w:fldCharType="separate"/>
            </w:r>
            <w:r w:rsidR="00EE0DEE">
              <w:rPr>
                <w:noProof/>
                <w:webHidden/>
              </w:rPr>
              <w:t>11</w:t>
            </w:r>
            <w:r>
              <w:rPr>
                <w:noProof/>
                <w:webHidden/>
              </w:rPr>
              <w:fldChar w:fldCharType="end"/>
            </w:r>
          </w:hyperlink>
        </w:p>
        <w:p w14:paraId="5DDEEFC0" w14:textId="6EDF7FE2"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6" w:history="1">
            <w:r w:rsidRPr="004335F6">
              <w:rPr>
                <w:rStyle w:val="Hyperlink"/>
                <w:noProof/>
              </w:rPr>
              <w:t>International spend in Australia</w:t>
            </w:r>
            <w:r>
              <w:rPr>
                <w:noProof/>
                <w:webHidden/>
              </w:rPr>
              <w:tab/>
            </w:r>
            <w:r>
              <w:rPr>
                <w:noProof/>
                <w:webHidden/>
              </w:rPr>
              <w:fldChar w:fldCharType="begin"/>
            </w:r>
            <w:r>
              <w:rPr>
                <w:noProof/>
                <w:webHidden/>
              </w:rPr>
              <w:instrText xml:space="preserve"> PAGEREF _Toc214539196 \h </w:instrText>
            </w:r>
            <w:r>
              <w:rPr>
                <w:noProof/>
                <w:webHidden/>
              </w:rPr>
            </w:r>
            <w:r>
              <w:rPr>
                <w:noProof/>
                <w:webHidden/>
              </w:rPr>
              <w:fldChar w:fldCharType="separate"/>
            </w:r>
            <w:r w:rsidR="00EE0DEE">
              <w:rPr>
                <w:noProof/>
                <w:webHidden/>
              </w:rPr>
              <w:t>13</w:t>
            </w:r>
            <w:r>
              <w:rPr>
                <w:noProof/>
                <w:webHidden/>
              </w:rPr>
              <w:fldChar w:fldCharType="end"/>
            </w:r>
          </w:hyperlink>
        </w:p>
        <w:p w14:paraId="4CA07523" w14:textId="61B23107"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7" w:history="1">
            <w:r w:rsidRPr="004335F6">
              <w:rPr>
                <w:rStyle w:val="Hyperlink"/>
                <w:noProof/>
              </w:rPr>
              <w:t>Resident outbound travel</w:t>
            </w:r>
            <w:r>
              <w:rPr>
                <w:noProof/>
                <w:webHidden/>
              </w:rPr>
              <w:tab/>
            </w:r>
            <w:r>
              <w:rPr>
                <w:noProof/>
                <w:webHidden/>
              </w:rPr>
              <w:fldChar w:fldCharType="begin"/>
            </w:r>
            <w:r>
              <w:rPr>
                <w:noProof/>
                <w:webHidden/>
              </w:rPr>
              <w:instrText xml:space="preserve"> PAGEREF _Toc214539197 \h </w:instrText>
            </w:r>
            <w:r>
              <w:rPr>
                <w:noProof/>
                <w:webHidden/>
              </w:rPr>
            </w:r>
            <w:r>
              <w:rPr>
                <w:noProof/>
                <w:webHidden/>
              </w:rPr>
              <w:fldChar w:fldCharType="separate"/>
            </w:r>
            <w:r w:rsidR="00EE0DEE">
              <w:rPr>
                <w:noProof/>
                <w:webHidden/>
              </w:rPr>
              <w:t>15</w:t>
            </w:r>
            <w:r>
              <w:rPr>
                <w:noProof/>
                <w:webHidden/>
              </w:rPr>
              <w:fldChar w:fldCharType="end"/>
            </w:r>
          </w:hyperlink>
        </w:p>
        <w:p w14:paraId="42BA9821" w14:textId="7732E742"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8" w:history="1">
            <w:r w:rsidRPr="004335F6">
              <w:rPr>
                <w:rStyle w:val="Hyperlink"/>
                <w:noProof/>
              </w:rPr>
              <w:t>Domestic tourism forecasts</w:t>
            </w:r>
            <w:r>
              <w:rPr>
                <w:noProof/>
                <w:webHidden/>
              </w:rPr>
              <w:tab/>
            </w:r>
            <w:r>
              <w:rPr>
                <w:noProof/>
                <w:webHidden/>
              </w:rPr>
              <w:fldChar w:fldCharType="begin"/>
            </w:r>
            <w:r>
              <w:rPr>
                <w:noProof/>
                <w:webHidden/>
              </w:rPr>
              <w:instrText xml:space="preserve"> PAGEREF _Toc214539198 \h </w:instrText>
            </w:r>
            <w:r>
              <w:rPr>
                <w:noProof/>
                <w:webHidden/>
              </w:rPr>
            </w:r>
            <w:r>
              <w:rPr>
                <w:noProof/>
                <w:webHidden/>
              </w:rPr>
              <w:fldChar w:fldCharType="separate"/>
            </w:r>
            <w:r w:rsidR="00EE0DEE">
              <w:rPr>
                <w:noProof/>
                <w:webHidden/>
              </w:rPr>
              <w:t>17</w:t>
            </w:r>
            <w:r>
              <w:rPr>
                <w:noProof/>
                <w:webHidden/>
              </w:rPr>
              <w:fldChar w:fldCharType="end"/>
            </w:r>
          </w:hyperlink>
        </w:p>
        <w:p w14:paraId="0B6B10B8" w14:textId="0E698956"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199" w:history="1">
            <w:r w:rsidRPr="004335F6">
              <w:rPr>
                <w:rStyle w:val="Hyperlink"/>
                <w:noProof/>
              </w:rPr>
              <w:t>A new era for domestic tourism statistics</w:t>
            </w:r>
            <w:r>
              <w:rPr>
                <w:noProof/>
                <w:webHidden/>
              </w:rPr>
              <w:tab/>
            </w:r>
            <w:r>
              <w:rPr>
                <w:noProof/>
                <w:webHidden/>
              </w:rPr>
              <w:fldChar w:fldCharType="begin"/>
            </w:r>
            <w:r>
              <w:rPr>
                <w:noProof/>
                <w:webHidden/>
              </w:rPr>
              <w:instrText xml:space="preserve"> PAGEREF _Toc214539199 \h </w:instrText>
            </w:r>
            <w:r>
              <w:rPr>
                <w:noProof/>
                <w:webHidden/>
              </w:rPr>
            </w:r>
            <w:r>
              <w:rPr>
                <w:noProof/>
                <w:webHidden/>
              </w:rPr>
              <w:fldChar w:fldCharType="separate"/>
            </w:r>
            <w:r w:rsidR="00EE0DEE">
              <w:rPr>
                <w:noProof/>
                <w:webHidden/>
              </w:rPr>
              <w:t>17</w:t>
            </w:r>
            <w:r>
              <w:rPr>
                <w:noProof/>
                <w:webHidden/>
              </w:rPr>
              <w:fldChar w:fldCharType="end"/>
            </w:r>
          </w:hyperlink>
        </w:p>
        <w:p w14:paraId="256D1772" w14:textId="7B67C350"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0" w:history="1">
            <w:r w:rsidRPr="004335F6">
              <w:rPr>
                <w:rStyle w:val="Hyperlink"/>
                <w:noProof/>
              </w:rPr>
              <w:t>Domestic trip numbers</w:t>
            </w:r>
            <w:r>
              <w:rPr>
                <w:noProof/>
                <w:webHidden/>
              </w:rPr>
              <w:tab/>
            </w:r>
            <w:r>
              <w:rPr>
                <w:noProof/>
                <w:webHidden/>
              </w:rPr>
              <w:fldChar w:fldCharType="begin"/>
            </w:r>
            <w:r>
              <w:rPr>
                <w:noProof/>
                <w:webHidden/>
              </w:rPr>
              <w:instrText xml:space="preserve"> PAGEREF _Toc214539200 \h </w:instrText>
            </w:r>
            <w:r>
              <w:rPr>
                <w:noProof/>
                <w:webHidden/>
              </w:rPr>
            </w:r>
            <w:r>
              <w:rPr>
                <w:noProof/>
                <w:webHidden/>
              </w:rPr>
              <w:fldChar w:fldCharType="separate"/>
            </w:r>
            <w:r w:rsidR="00EE0DEE">
              <w:rPr>
                <w:noProof/>
                <w:webHidden/>
              </w:rPr>
              <w:t>17</w:t>
            </w:r>
            <w:r>
              <w:rPr>
                <w:noProof/>
                <w:webHidden/>
              </w:rPr>
              <w:fldChar w:fldCharType="end"/>
            </w:r>
          </w:hyperlink>
        </w:p>
        <w:p w14:paraId="65293785" w14:textId="7875931A"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1" w:history="1">
            <w:r w:rsidRPr="004335F6">
              <w:rPr>
                <w:rStyle w:val="Hyperlink"/>
                <w:noProof/>
              </w:rPr>
              <w:t>Domestic visitor spend</w:t>
            </w:r>
            <w:r>
              <w:rPr>
                <w:noProof/>
                <w:webHidden/>
              </w:rPr>
              <w:tab/>
            </w:r>
            <w:r>
              <w:rPr>
                <w:noProof/>
                <w:webHidden/>
              </w:rPr>
              <w:fldChar w:fldCharType="begin"/>
            </w:r>
            <w:r>
              <w:rPr>
                <w:noProof/>
                <w:webHidden/>
              </w:rPr>
              <w:instrText xml:space="preserve"> PAGEREF _Toc214539201 \h </w:instrText>
            </w:r>
            <w:r>
              <w:rPr>
                <w:noProof/>
                <w:webHidden/>
              </w:rPr>
            </w:r>
            <w:r>
              <w:rPr>
                <w:noProof/>
                <w:webHidden/>
              </w:rPr>
              <w:fldChar w:fldCharType="separate"/>
            </w:r>
            <w:r w:rsidR="00EE0DEE">
              <w:rPr>
                <w:noProof/>
                <w:webHidden/>
              </w:rPr>
              <w:t>19</w:t>
            </w:r>
            <w:r>
              <w:rPr>
                <w:noProof/>
                <w:webHidden/>
              </w:rPr>
              <w:fldChar w:fldCharType="end"/>
            </w:r>
          </w:hyperlink>
        </w:p>
        <w:p w14:paraId="7943D19D" w14:textId="0A7108D7"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2" w:history="1">
            <w:r w:rsidRPr="004335F6">
              <w:rPr>
                <w:rStyle w:val="Hyperlink"/>
                <w:noProof/>
              </w:rPr>
              <w:t>Domestic visitor nights</w:t>
            </w:r>
            <w:r>
              <w:rPr>
                <w:noProof/>
                <w:webHidden/>
              </w:rPr>
              <w:tab/>
            </w:r>
            <w:r>
              <w:rPr>
                <w:noProof/>
                <w:webHidden/>
              </w:rPr>
              <w:fldChar w:fldCharType="begin"/>
            </w:r>
            <w:r>
              <w:rPr>
                <w:noProof/>
                <w:webHidden/>
              </w:rPr>
              <w:instrText xml:space="preserve"> PAGEREF _Toc214539202 \h </w:instrText>
            </w:r>
            <w:r>
              <w:rPr>
                <w:noProof/>
                <w:webHidden/>
              </w:rPr>
            </w:r>
            <w:r>
              <w:rPr>
                <w:noProof/>
                <w:webHidden/>
              </w:rPr>
              <w:fldChar w:fldCharType="separate"/>
            </w:r>
            <w:r w:rsidR="00EE0DEE">
              <w:rPr>
                <w:noProof/>
                <w:webHidden/>
              </w:rPr>
              <w:t>21</w:t>
            </w:r>
            <w:r>
              <w:rPr>
                <w:noProof/>
                <w:webHidden/>
              </w:rPr>
              <w:fldChar w:fldCharType="end"/>
            </w:r>
          </w:hyperlink>
        </w:p>
        <w:p w14:paraId="39CD6E3E" w14:textId="72E87AF7"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3" w:history="1">
            <w:r w:rsidRPr="004335F6">
              <w:rPr>
                <w:rStyle w:val="Hyperlink"/>
                <w:noProof/>
              </w:rPr>
              <w:t>Domestic purpose of travel</w:t>
            </w:r>
            <w:r>
              <w:rPr>
                <w:noProof/>
                <w:webHidden/>
              </w:rPr>
              <w:tab/>
            </w:r>
            <w:r>
              <w:rPr>
                <w:noProof/>
                <w:webHidden/>
              </w:rPr>
              <w:fldChar w:fldCharType="begin"/>
            </w:r>
            <w:r>
              <w:rPr>
                <w:noProof/>
                <w:webHidden/>
              </w:rPr>
              <w:instrText xml:space="preserve"> PAGEREF _Toc214539203 \h </w:instrText>
            </w:r>
            <w:r>
              <w:rPr>
                <w:noProof/>
                <w:webHidden/>
              </w:rPr>
            </w:r>
            <w:r>
              <w:rPr>
                <w:noProof/>
                <w:webHidden/>
              </w:rPr>
              <w:fldChar w:fldCharType="separate"/>
            </w:r>
            <w:r w:rsidR="00EE0DEE">
              <w:rPr>
                <w:noProof/>
                <w:webHidden/>
              </w:rPr>
              <w:t>22</w:t>
            </w:r>
            <w:r>
              <w:rPr>
                <w:noProof/>
                <w:webHidden/>
              </w:rPr>
              <w:fldChar w:fldCharType="end"/>
            </w:r>
          </w:hyperlink>
        </w:p>
        <w:p w14:paraId="190B2441" w14:textId="7FBFCD84"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4" w:history="1">
            <w:r w:rsidRPr="004335F6">
              <w:rPr>
                <w:rStyle w:val="Hyperlink"/>
                <w:noProof/>
              </w:rPr>
              <w:t>States and territories</w:t>
            </w:r>
            <w:r>
              <w:rPr>
                <w:noProof/>
                <w:webHidden/>
              </w:rPr>
              <w:tab/>
            </w:r>
            <w:r>
              <w:rPr>
                <w:noProof/>
                <w:webHidden/>
              </w:rPr>
              <w:fldChar w:fldCharType="begin"/>
            </w:r>
            <w:r>
              <w:rPr>
                <w:noProof/>
                <w:webHidden/>
              </w:rPr>
              <w:instrText xml:space="preserve"> PAGEREF _Toc214539204 \h </w:instrText>
            </w:r>
            <w:r>
              <w:rPr>
                <w:noProof/>
                <w:webHidden/>
              </w:rPr>
            </w:r>
            <w:r>
              <w:rPr>
                <w:noProof/>
                <w:webHidden/>
              </w:rPr>
              <w:fldChar w:fldCharType="separate"/>
            </w:r>
            <w:r w:rsidR="00EE0DEE">
              <w:rPr>
                <w:noProof/>
                <w:webHidden/>
              </w:rPr>
              <w:t>23</w:t>
            </w:r>
            <w:r>
              <w:rPr>
                <w:noProof/>
                <w:webHidden/>
              </w:rPr>
              <w:fldChar w:fldCharType="end"/>
            </w:r>
          </w:hyperlink>
        </w:p>
        <w:p w14:paraId="5B7AA262" w14:textId="70604269"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5" w:history="1">
            <w:r w:rsidRPr="004335F6">
              <w:rPr>
                <w:rStyle w:val="Hyperlink"/>
                <w:noProof/>
              </w:rPr>
              <w:t>Alternative forecast scenarios</w:t>
            </w:r>
            <w:r>
              <w:rPr>
                <w:noProof/>
                <w:webHidden/>
              </w:rPr>
              <w:tab/>
            </w:r>
            <w:r>
              <w:rPr>
                <w:noProof/>
                <w:webHidden/>
              </w:rPr>
              <w:fldChar w:fldCharType="begin"/>
            </w:r>
            <w:r>
              <w:rPr>
                <w:noProof/>
                <w:webHidden/>
              </w:rPr>
              <w:instrText xml:space="preserve"> PAGEREF _Toc214539205 \h </w:instrText>
            </w:r>
            <w:r>
              <w:rPr>
                <w:noProof/>
                <w:webHidden/>
              </w:rPr>
            </w:r>
            <w:r>
              <w:rPr>
                <w:noProof/>
                <w:webHidden/>
              </w:rPr>
              <w:fldChar w:fldCharType="separate"/>
            </w:r>
            <w:r w:rsidR="00EE0DEE">
              <w:rPr>
                <w:noProof/>
                <w:webHidden/>
              </w:rPr>
              <w:t>32</w:t>
            </w:r>
            <w:r>
              <w:rPr>
                <w:noProof/>
                <w:webHidden/>
              </w:rPr>
              <w:fldChar w:fldCharType="end"/>
            </w:r>
          </w:hyperlink>
        </w:p>
        <w:p w14:paraId="0AB48277" w14:textId="1A848140"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6" w:history="1">
            <w:r w:rsidRPr="004335F6">
              <w:rPr>
                <w:rStyle w:val="Hyperlink"/>
                <w:noProof/>
              </w:rPr>
              <w:t>Alternative international projections</w:t>
            </w:r>
            <w:r>
              <w:rPr>
                <w:noProof/>
                <w:webHidden/>
              </w:rPr>
              <w:tab/>
            </w:r>
            <w:r>
              <w:rPr>
                <w:noProof/>
                <w:webHidden/>
              </w:rPr>
              <w:fldChar w:fldCharType="begin"/>
            </w:r>
            <w:r>
              <w:rPr>
                <w:noProof/>
                <w:webHidden/>
              </w:rPr>
              <w:instrText xml:space="preserve"> PAGEREF _Toc214539206 \h </w:instrText>
            </w:r>
            <w:r>
              <w:rPr>
                <w:noProof/>
                <w:webHidden/>
              </w:rPr>
            </w:r>
            <w:r>
              <w:rPr>
                <w:noProof/>
                <w:webHidden/>
              </w:rPr>
              <w:fldChar w:fldCharType="separate"/>
            </w:r>
            <w:r w:rsidR="00EE0DEE">
              <w:rPr>
                <w:noProof/>
                <w:webHidden/>
              </w:rPr>
              <w:t>32</w:t>
            </w:r>
            <w:r>
              <w:rPr>
                <w:noProof/>
                <w:webHidden/>
              </w:rPr>
              <w:fldChar w:fldCharType="end"/>
            </w:r>
          </w:hyperlink>
        </w:p>
        <w:p w14:paraId="49FDC22E" w14:textId="3D1272AD" w:rsidR="00491F4E" w:rsidRDefault="00491F4E">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7" w:history="1">
            <w:r w:rsidRPr="004335F6">
              <w:rPr>
                <w:rStyle w:val="Hyperlink"/>
                <w:noProof/>
              </w:rPr>
              <w:t>Alternative domestic projections</w:t>
            </w:r>
            <w:r>
              <w:rPr>
                <w:noProof/>
                <w:webHidden/>
              </w:rPr>
              <w:tab/>
            </w:r>
            <w:r>
              <w:rPr>
                <w:noProof/>
                <w:webHidden/>
              </w:rPr>
              <w:fldChar w:fldCharType="begin"/>
            </w:r>
            <w:r>
              <w:rPr>
                <w:noProof/>
                <w:webHidden/>
              </w:rPr>
              <w:instrText xml:space="preserve"> PAGEREF _Toc214539207 \h </w:instrText>
            </w:r>
            <w:r>
              <w:rPr>
                <w:noProof/>
                <w:webHidden/>
              </w:rPr>
            </w:r>
            <w:r>
              <w:rPr>
                <w:noProof/>
                <w:webHidden/>
              </w:rPr>
              <w:fldChar w:fldCharType="separate"/>
            </w:r>
            <w:r w:rsidR="00EE0DEE">
              <w:rPr>
                <w:noProof/>
                <w:webHidden/>
              </w:rPr>
              <w:t>35</w:t>
            </w:r>
            <w:r>
              <w:rPr>
                <w:noProof/>
                <w:webHidden/>
              </w:rPr>
              <w:fldChar w:fldCharType="end"/>
            </w:r>
          </w:hyperlink>
        </w:p>
        <w:p w14:paraId="270F4C55" w14:textId="57CCE95C"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8" w:history="1">
            <w:r w:rsidRPr="004335F6">
              <w:rPr>
                <w:rStyle w:val="Hyperlink"/>
                <w:noProof/>
              </w:rPr>
              <w:t>Methodology</w:t>
            </w:r>
            <w:r>
              <w:rPr>
                <w:noProof/>
                <w:webHidden/>
              </w:rPr>
              <w:tab/>
            </w:r>
            <w:r>
              <w:rPr>
                <w:noProof/>
                <w:webHidden/>
              </w:rPr>
              <w:fldChar w:fldCharType="begin"/>
            </w:r>
            <w:r>
              <w:rPr>
                <w:noProof/>
                <w:webHidden/>
              </w:rPr>
              <w:instrText xml:space="preserve"> PAGEREF _Toc214539208 \h </w:instrText>
            </w:r>
            <w:r>
              <w:rPr>
                <w:noProof/>
                <w:webHidden/>
              </w:rPr>
            </w:r>
            <w:r>
              <w:rPr>
                <w:noProof/>
                <w:webHidden/>
              </w:rPr>
              <w:fldChar w:fldCharType="separate"/>
            </w:r>
            <w:r w:rsidR="00EE0DEE">
              <w:rPr>
                <w:noProof/>
                <w:webHidden/>
              </w:rPr>
              <w:t>37</w:t>
            </w:r>
            <w:r>
              <w:rPr>
                <w:noProof/>
                <w:webHidden/>
              </w:rPr>
              <w:fldChar w:fldCharType="end"/>
            </w:r>
          </w:hyperlink>
        </w:p>
        <w:p w14:paraId="10F028C1" w14:textId="788751CF" w:rsidR="00491F4E" w:rsidRDefault="00491F4E">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14539209" w:history="1">
            <w:r w:rsidRPr="004335F6">
              <w:rPr>
                <w:rStyle w:val="Hyperlink"/>
                <w:noProof/>
              </w:rPr>
              <w:t>Data sources</w:t>
            </w:r>
            <w:r>
              <w:rPr>
                <w:noProof/>
                <w:webHidden/>
              </w:rPr>
              <w:tab/>
            </w:r>
            <w:r>
              <w:rPr>
                <w:noProof/>
                <w:webHidden/>
              </w:rPr>
              <w:fldChar w:fldCharType="begin"/>
            </w:r>
            <w:r>
              <w:rPr>
                <w:noProof/>
                <w:webHidden/>
              </w:rPr>
              <w:instrText xml:space="preserve"> PAGEREF _Toc214539209 \h </w:instrText>
            </w:r>
            <w:r>
              <w:rPr>
                <w:noProof/>
                <w:webHidden/>
              </w:rPr>
            </w:r>
            <w:r>
              <w:rPr>
                <w:noProof/>
                <w:webHidden/>
              </w:rPr>
              <w:fldChar w:fldCharType="separate"/>
            </w:r>
            <w:r w:rsidR="00EE0DEE">
              <w:rPr>
                <w:noProof/>
                <w:webHidden/>
              </w:rPr>
              <w:t>38</w:t>
            </w:r>
            <w:r>
              <w:rPr>
                <w:noProof/>
                <w:webHidden/>
              </w:rPr>
              <w:fldChar w:fldCharType="end"/>
            </w:r>
          </w:hyperlink>
        </w:p>
        <w:p w14:paraId="2247369B" w14:textId="19D2246C" w:rsidR="00FB4167" w:rsidRPr="008B052A" w:rsidRDefault="00640E17" w:rsidP="00593C4D">
          <w:r w:rsidRPr="008B052A">
            <w:rPr>
              <w:b/>
              <w:bCs/>
            </w:rPr>
            <w:fldChar w:fldCharType="end"/>
          </w:r>
        </w:p>
      </w:sdtContent>
    </w:sdt>
    <w:p w14:paraId="5D17232B" w14:textId="1F7107D9" w:rsidR="000732C0" w:rsidRPr="008B052A" w:rsidRDefault="000732C0">
      <w:pPr>
        <w:spacing w:before="0" w:after="160" w:line="259" w:lineRule="auto"/>
        <w:rPr>
          <w:rFonts w:eastAsia="SimSun" w:cs="Times New Roman"/>
          <w:bCs/>
          <w:color w:val="441D4A" w:themeColor="accent1" w:themeShade="80"/>
          <w:sz w:val="32"/>
          <w:szCs w:val="26"/>
          <w:lang w:eastAsia="zh-CN"/>
        </w:rPr>
      </w:pPr>
    </w:p>
    <w:p w14:paraId="1F84B84E" w14:textId="4C0453FE" w:rsidR="0088028A" w:rsidRPr="008B052A" w:rsidRDefault="0088028A" w:rsidP="0088028A">
      <w:pPr>
        <w:pStyle w:val="Heading2"/>
        <w:rPr>
          <w:bCs w:val="0"/>
        </w:rPr>
      </w:pPr>
      <w:bookmarkStart w:id="43" w:name="_Toc214539186"/>
      <w:r w:rsidRPr="008B052A">
        <w:t>About this report</w:t>
      </w:r>
      <w:bookmarkEnd w:id="43"/>
      <w:bookmarkEnd w:id="42"/>
    </w:p>
    <w:p w14:paraId="419F5B5B" w14:textId="0F017A2F" w:rsidR="0088028A" w:rsidRPr="008B052A" w:rsidRDefault="00A95F02" w:rsidP="0087702B">
      <w:pPr>
        <w:rPr>
          <w:rFonts w:eastAsia="Verdana" w:cs="Times New Roman"/>
        </w:rPr>
      </w:pPr>
      <w:r w:rsidRPr="008B052A">
        <w:rPr>
          <w:rFonts w:eastAsia="Verdana" w:cs="Times New Roman"/>
          <w:color w:val="000000"/>
          <w:lang w:eastAsia="zh-CN"/>
        </w:rPr>
        <w:t>Data and insights</w:t>
      </w:r>
      <w:r w:rsidR="0088028A" w:rsidRPr="008B052A">
        <w:rPr>
          <w:rFonts w:eastAsia="Verdana" w:cs="Times New Roman"/>
          <w:color w:val="000000"/>
          <w:lang w:eastAsia="zh-CN"/>
        </w:rPr>
        <w:t xml:space="preserve"> </w:t>
      </w:r>
      <w:r w:rsidRPr="008B052A">
        <w:rPr>
          <w:rFonts w:eastAsia="Verdana" w:cs="Times New Roman"/>
          <w:color w:val="000000"/>
          <w:lang w:eastAsia="zh-CN"/>
        </w:rPr>
        <w:t xml:space="preserve">regarding </w:t>
      </w:r>
      <w:r w:rsidR="0088028A" w:rsidRPr="008B052A">
        <w:rPr>
          <w:rFonts w:eastAsia="Verdana" w:cs="Times New Roman"/>
          <w:color w:val="000000"/>
          <w:lang w:eastAsia="zh-CN"/>
        </w:rPr>
        <w:t xml:space="preserve">the </w:t>
      </w:r>
      <w:r w:rsidR="0087702B" w:rsidRPr="008B052A">
        <w:rPr>
          <w:rFonts w:eastAsia="Verdana" w:cs="Times New Roman"/>
          <w:color w:val="000000"/>
          <w:lang w:eastAsia="zh-CN"/>
        </w:rPr>
        <w:t>future of travel demand</w:t>
      </w:r>
      <w:r w:rsidR="00113F6D" w:rsidRPr="008B052A">
        <w:rPr>
          <w:rFonts w:eastAsia="Verdana" w:cs="Times New Roman"/>
          <w:color w:val="000000"/>
          <w:lang w:eastAsia="zh-CN"/>
        </w:rPr>
        <w:t xml:space="preserve"> </w:t>
      </w:r>
      <w:r w:rsidR="000352AB" w:rsidRPr="008B052A">
        <w:rPr>
          <w:rFonts w:eastAsia="Verdana" w:cs="Times New Roman"/>
          <w:color w:val="000000"/>
          <w:lang w:eastAsia="zh-CN"/>
        </w:rPr>
        <w:t>are</w:t>
      </w:r>
      <w:r w:rsidR="0088028A" w:rsidRPr="008B052A">
        <w:rPr>
          <w:rFonts w:eastAsia="Verdana" w:cs="Times New Roman"/>
          <w:color w:val="000000"/>
          <w:lang w:eastAsia="zh-CN"/>
        </w:rPr>
        <w:t xml:space="preserve"> important to tourism operators, businesses, product developers, planners, investors</w:t>
      </w:r>
      <w:r w:rsidR="0036596F" w:rsidRPr="008B052A">
        <w:rPr>
          <w:rFonts w:eastAsia="Verdana" w:cs="Times New Roman"/>
          <w:color w:val="000000"/>
          <w:lang w:eastAsia="zh-CN"/>
        </w:rPr>
        <w:t>,</w:t>
      </w:r>
      <w:r w:rsidR="0088028A" w:rsidRPr="008B052A">
        <w:rPr>
          <w:rFonts w:eastAsia="Verdana" w:cs="Times New Roman"/>
          <w:color w:val="000000"/>
          <w:lang w:eastAsia="zh-CN"/>
        </w:rPr>
        <w:t xml:space="preserve"> and</w:t>
      </w:r>
      <w:r w:rsidR="0088028A" w:rsidRPr="008B052A">
        <w:rPr>
          <w:rFonts w:eastAsia="Verdana" w:cs="Times New Roman"/>
        </w:rPr>
        <w:t xml:space="preserve"> </w:t>
      </w:r>
      <w:r w:rsidR="0088028A" w:rsidRPr="008B052A">
        <w:rPr>
          <w:rFonts w:eastAsia="Verdana" w:cs="Times New Roman"/>
          <w:color w:val="000000"/>
          <w:lang w:eastAsia="zh-CN"/>
        </w:rPr>
        <w:t>policy makers.</w:t>
      </w:r>
    </w:p>
    <w:p w14:paraId="198095CA" w14:textId="3AB190A1" w:rsidR="0088028A" w:rsidRPr="008B052A" w:rsidRDefault="0088028A" w:rsidP="0088028A">
      <w:pPr>
        <w:rPr>
          <w:rFonts w:eastAsia="Verdana" w:cs="Times New Roman"/>
        </w:rPr>
      </w:pPr>
      <w:r w:rsidRPr="008B052A">
        <w:rPr>
          <w:rFonts w:eastAsia="Verdana" w:cs="Times New Roman"/>
          <w:color w:val="000000"/>
          <w:lang w:eastAsia="zh-CN"/>
        </w:rPr>
        <w:t>Using a combination of statistical methods and expert input, Tourism Research Australia (TRA) produce</w:t>
      </w:r>
      <w:r w:rsidR="00DB0459" w:rsidRPr="008B052A">
        <w:rPr>
          <w:rFonts w:eastAsia="Verdana" w:cs="Times New Roman"/>
          <w:color w:val="000000"/>
          <w:lang w:eastAsia="zh-CN"/>
        </w:rPr>
        <w:t>s</w:t>
      </w:r>
      <w:r w:rsidRPr="008B052A">
        <w:rPr>
          <w:rFonts w:eastAsia="Verdana" w:cs="Times New Roman"/>
          <w:color w:val="000000"/>
          <w:lang w:eastAsia="zh-CN"/>
        </w:rPr>
        <w:t xml:space="preserve"> forecasts for tourism </w:t>
      </w:r>
      <w:r w:rsidR="00DB0459" w:rsidRPr="008B052A">
        <w:rPr>
          <w:rFonts w:eastAsia="Verdana" w:cs="Times New Roman"/>
          <w:color w:val="000000"/>
          <w:lang w:eastAsia="zh-CN"/>
        </w:rPr>
        <w:t>visitation and spend</w:t>
      </w:r>
      <w:r w:rsidR="00804D44" w:rsidRPr="008B052A">
        <w:rPr>
          <w:rFonts w:eastAsia="Verdana" w:cs="Times New Roman"/>
          <w:color w:val="000000"/>
          <w:lang w:eastAsia="zh-CN"/>
        </w:rPr>
        <w:t xml:space="preserve"> in Australia</w:t>
      </w:r>
      <w:r w:rsidR="001C4220">
        <w:rPr>
          <w:rFonts w:eastAsia="Verdana" w:cs="Times New Roman"/>
          <w:color w:val="000000"/>
          <w:lang w:eastAsia="zh-CN"/>
        </w:rPr>
        <w:t xml:space="preserve"> by both domestic and international travellers</w:t>
      </w:r>
      <w:r w:rsidRPr="008B052A">
        <w:rPr>
          <w:rFonts w:eastAsia="Verdana" w:cs="Times New Roman"/>
          <w:color w:val="000000"/>
          <w:lang w:eastAsia="zh-CN"/>
        </w:rPr>
        <w:t>. This report discusses the drivers and implications of the forecast data and is intended to assist decision makers by providing intelligence on the expected path forward for the sector. The forecast values for the current year and the next 5 years are available for download from the TRA website in Excel format.</w:t>
      </w:r>
    </w:p>
    <w:p w14:paraId="74FF3727" w14:textId="59DE074B" w:rsidR="0088028A" w:rsidRPr="008B052A" w:rsidRDefault="0088028A" w:rsidP="0088028A">
      <w:pPr>
        <w:rPr>
          <w:rFonts w:eastAsia="Verdana" w:cs="Times New Roman"/>
          <w:color w:val="000000"/>
          <w:lang w:eastAsia="zh-CN"/>
        </w:rPr>
      </w:pPr>
      <w:r w:rsidRPr="008B052A">
        <w:rPr>
          <w:rFonts w:eastAsia="Verdana" w:cs="Times New Roman"/>
          <w:color w:val="000000"/>
          <w:lang w:eastAsia="zh-CN"/>
        </w:rPr>
        <w:t xml:space="preserve">International forecasts are delivered at the national level, by purpose of travel, as well as for selected source markets. This year, </w:t>
      </w:r>
      <w:r w:rsidRPr="008B052A">
        <w:rPr>
          <w:rFonts w:eastAsia="Verdana" w:cs="Times New Roman"/>
          <w:color w:val="000000"/>
        </w:rPr>
        <w:t xml:space="preserve">TRA has published forecasts for short-term visitor arrivals to Australia from the top 20 source markets, as well as for 4 regional groupings. </w:t>
      </w:r>
      <w:r w:rsidRPr="008B052A">
        <w:rPr>
          <w:rFonts w:eastAsia="Verdana" w:cs="Times New Roman"/>
          <w:color w:val="000000"/>
          <w:lang w:eastAsia="zh-CN"/>
        </w:rPr>
        <w:t>Domestic forecasts are presented at the national level and for each state and territory</w:t>
      </w:r>
      <w:r w:rsidR="004F0906" w:rsidRPr="008B052A">
        <w:rPr>
          <w:rFonts w:eastAsia="Verdana" w:cs="Times New Roman"/>
          <w:color w:val="000000"/>
          <w:lang w:eastAsia="zh-CN"/>
        </w:rPr>
        <w:t>.</w:t>
      </w:r>
    </w:p>
    <w:p w14:paraId="7DF3CC06" w14:textId="77777777" w:rsidR="0088028A" w:rsidRPr="008B052A" w:rsidRDefault="0088028A" w:rsidP="0088028A">
      <w:pPr>
        <w:rPr>
          <w:rFonts w:eastAsia="Verdana" w:cs="Times New Roman"/>
          <w:color w:val="000000"/>
          <w:lang w:eastAsia="zh-CN"/>
        </w:rPr>
      </w:pPr>
      <w:r w:rsidRPr="008B052A">
        <w:rPr>
          <w:rFonts w:eastAsia="Verdana" w:cs="Times New Roman"/>
          <w:color w:val="000000"/>
          <w:lang w:eastAsia="zh-CN"/>
        </w:rPr>
        <w:t>Notes on data reporting:</w:t>
      </w:r>
    </w:p>
    <w:p w14:paraId="0CE701F0" w14:textId="128CD86B" w:rsidR="0088028A" w:rsidRPr="008B052A" w:rsidRDefault="00826FD1" w:rsidP="0088028A">
      <w:pPr>
        <w:numPr>
          <w:ilvl w:val="0"/>
          <w:numId w:val="10"/>
        </w:numPr>
        <w:contextualSpacing/>
        <w:rPr>
          <w:lang w:eastAsia="zh-CN"/>
        </w:rPr>
      </w:pPr>
      <w:r w:rsidRPr="008B052A">
        <w:rPr>
          <w:lang w:eastAsia="zh-CN"/>
        </w:rPr>
        <w:t xml:space="preserve">All spend values are reported in Australian dollars. </w:t>
      </w:r>
      <w:r w:rsidR="0088028A" w:rsidRPr="008B052A">
        <w:rPr>
          <w:lang w:eastAsia="zh-CN"/>
        </w:rPr>
        <w:t xml:space="preserve">No adjustment for inflation is made to nominal values. The national THRIVE 2030 Strategy also presents target values for aggregate visitor economy spend in nominal terms. </w:t>
      </w:r>
    </w:p>
    <w:p w14:paraId="6AB6519A" w14:textId="03BEE862" w:rsidR="00551E03" w:rsidRPr="008B052A" w:rsidRDefault="008649DE" w:rsidP="000732C0">
      <w:pPr>
        <w:numPr>
          <w:ilvl w:val="0"/>
          <w:numId w:val="10"/>
        </w:numPr>
        <w:rPr>
          <w:bCs/>
          <w:sz w:val="16"/>
          <w:szCs w:val="16"/>
        </w:rPr>
      </w:pPr>
      <w:r>
        <w:rPr>
          <w:lang w:eastAsia="zh-CN"/>
        </w:rPr>
        <w:t>The i</w:t>
      </w:r>
      <w:r w:rsidR="00170A2E">
        <w:rPr>
          <w:lang w:eastAsia="zh-CN"/>
        </w:rPr>
        <w:t xml:space="preserve">nternational visitor spend </w:t>
      </w:r>
      <w:r>
        <w:rPr>
          <w:lang w:eastAsia="zh-CN"/>
        </w:rPr>
        <w:t>metric</w:t>
      </w:r>
      <w:r w:rsidR="00170A2E">
        <w:rPr>
          <w:lang w:eastAsia="zh-CN"/>
        </w:rPr>
        <w:t xml:space="preserve"> in t</w:t>
      </w:r>
      <w:r w:rsidR="0088028A" w:rsidRPr="008B052A">
        <w:rPr>
          <w:lang w:eastAsia="zh-CN"/>
        </w:rPr>
        <w:t>his report</w:t>
      </w:r>
      <w:r>
        <w:rPr>
          <w:lang w:eastAsia="zh-CN"/>
        </w:rPr>
        <w:t xml:space="preserve"> includes only spend in Australia</w:t>
      </w:r>
      <w:r w:rsidR="002D3FD5">
        <w:rPr>
          <w:lang w:eastAsia="zh-CN"/>
        </w:rPr>
        <w:t xml:space="preserve">, not spend by international travellers outside of Australia. It </w:t>
      </w:r>
      <w:r w:rsidR="00961055">
        <w:rPr>
          <w:lang w:eastAsia="zh-CN"/>
        </w:rPr>
        <w:t>also</w:t>
      </w:r>
      <w:r w:rsidR="0088028A" w:rsidRPr="008B052A">
        <w:rPr>
          <w:lang w:eastAsia="zh-CN"/>
        </w:rPr>
        <w:t xml:space="preserve"> excludes the long-stay international student cohort from spend measures, which is consistent with </w:t>
      </w:r>
      <w:r w:rsidR="00BA4140">
        <w:rPr>
          <w:lang w:eastAsia="zh-CN"/>
        </w:rPr>
        <w:t xml:space="preserve">international </w:t>
      </w:r>
      <w:r w:rsidR="00170A2E">
        <w:rPr>
          <w:lang w:eastAsia="zh-CN"/>
        </w:rPr>
        <w:t xml:space="preserve">reporting standards and </w:t>
      </w:r>
      <w:r w:rsidR="0088028A" w:rsidRPr="008B052A">
        <w:rPr>
          <w:lang w:eastAsia="zh-CN"/>
        </w:rPr>
        <w:t>TRA</w:t>
      </w:r>
      <w:r w:rsidR="00BA4140">
        <w:rPr>
          <w:lang w:eastAsia="zh-CN"/>
        </w:rPr>
        <w:t>’s</w:t>
      </w:r>
      <w:r w:rsidR="0088028A" w:rsidRPr="008B052A">
        <w:rPr>
          <w:lang w:eastAsia="zh-CN"/>
        </w:rPr>
        <w:t xml:space="preserve"> International Visitor Survey (IVS). </w:t>
      </w:r>
    </w:p>
    <w:p w14:paraId="41D182D7" w14:textId="26A55DCD" w:rsidR="000159AC" w:rsidRPr="008B052A" w:rsidRDefault="00F22C59" w:rsidP="000159AC">
      <w:pPr>
        <w:pStyle w:val="Heading2"/>
      </w:pPr>
      <w:bookmarkStart w:id="44" w:name="_Toc184632612"/>
      <w:bookmarkStart w:id="45" w:name="_Toc214539187"/>
      <w:r w:rsidRPr="008B052A">
        <w:t xml:space="preserve">Executive </w:t>
      </w:r>
      <w:r w:rsidR="00804D44" w:rsidRPr="008B052A">
        <w:t>s</w:t>
      </w:r>
      <w:r w:rsidR="000159AC" w:rsidRPr="008B052A">
        <w:t>ummary of forecasts</w:t>
      </w:r>
      <w:bookmarkEnd w:id="44"/>
      <w:bookmarkEnd w:id="45"/>
    </w:p>
    <w:p w14:paraId="7E7838A6" w14:textId="112D9053" w:rsidR="001F3EBB" w:rsidRPr="008B052A" w:rsidRDefault="39C4D9B4" w:rsidP="009B55E6">
      <w:r w:rsidRPr="008B052A">
        <w:t xml:space="preserve">Total </w:t>
      </w:r>
      <w:proofErr w:type="gramStart"/>
      <w:r w:rsidRPr="008B052A">
        <w:t>visitor</w:t>
      </w:r>
      <w:proofErr w:type="gramEnd"/>
      <w:r w:rsidRPr="008B052A">
        <w:t xml:space="preserve"> spend in Australia </w:t>
      </w:r>
      <w:r w:rsidR="2F2AAF24" w:rsidRPr="008B052A">
        <w:t xml:space="preserve">is forecast to </w:t>
      </w:r>
      <w:r w:rsidR="2AFAED6F" w:rsidRPr="008B052A">
        <w:t xml:space="preserve">continue </w:t>
      </w:r>
      <w:r w:rsidR="44F70F08" w:rsidRPr="008B052A">
        <w:t>rising</w:t>
      </w:r>
      <w:r w:rsidR="2AFAED6F" w:rsidRPr="008B052A">
        <w:t xml:space="preserve">, after </w:t>
      </w:r>
      <w:r w:rsidR="4C994388" w:rsidRPr="008B052A">
        <w:t>it</w:t>
      </w:r>
      <w:r w:rsidR="36B35AC8" w:rsidRPr="008B052A">
        <w:t xml:space="preserve"> </w:t>
      </w:r>
      <w:r w:rsidRPr="008B052A">
        <w:t>reach</w:t>
      </w:r>
      <w:r w:rsidR="4C994388" w:rsidRPr="008B052A">
        <w:t>ed</w:t>
      </w:r>
      <w:r w:rsidRPr="008B052A">
        <w:t xml:space="preserve"> </w:t>
      </w:r>
      <w:r w:rsidR="36B35AC8" w:rsidRPr="008B052A">
        <w:t xml:space="preserve">a record high of </w:t>
      </w:r>
      <w:r w:rsidRPr="008B052A">
        <w:t>$1</w:t>
      </w:r>
      <w:r w:rsidR="006C068B">
        <w:t>8</w:t>
      </w:r>
      <w:r w:rsidRPr="008B052A">
        <w:t>0</w:t>
      </w:r>
      <w:r w:rsidR="3900EE49" w:rsidRPr="008B052A">
        <w:t>.</w:t>
      </w:r>
      <w:r w:rsidR="006C068B">
        <w:t>6</w:t>
      </w:r>
      <w:r w:rsidRPr="008B052A">
        <w:t xml:space="preserve"> billion in 2024</w:t>
      </w:r>
      <w:r w:rsidR="1906F914" w:rsidRPr="008B052A">
        <w:t xml:space="preserve">. </w:t>
      </w:r>
      <w:r w:rsidR="4C994388" w:rsidRPr="008B052A">
        <w:t xml:space="preserve">Total </w:t>
      </w:r>
      <w:proofErr w:type="gramStart"/>
      <w:r w:rsidR="4C994388" w:rsidRPr="008B052A">
        <w:t>visitor</w:t>
      </w:r>
      <w:proofErr w:type="gramEnd"/>
      <w:r w:rsidR="4C994388" w:rsidRPr="008B052A">
        <w:t xml:space="preserve"> spend in Australia</w:t>
      </w:r>
      <w:r w:rsidR="00CF3D6E" w:rsidRPr="008B052A">
        <w:t>, from both domestic and international short-term visitors,</w:t>
      </w:r>
      <w:r w:rsidR="4C994388" w:rsidRPr="008B052A">
        <w:t xml:space="preserve"> is expected to </w:t>
      </w:r>
      <w:r w:rsidR="67DC2276" w:rsidRPr="008B052A">
        <w:t>reach $</w:t>
      </w:r>
      <w:r w:rsidR="00937613">
        <w:t>19</w:t>
      </w:r>
      <w:r w:rsidR="00A22F63">
        <w:t>1.6</w:t>
      </w:r>
      <w:r w:rsidR="67DC2276" w:rsidRPr="008B052A">
        <w:t xml:space="preserve"> billion in 2025</w:t>
      </w:r>
      <w:r w:rsidR="0061527F">
        <w:t xml:space="preserve"> </w:t>
      </w:r>
      <w:r w:rsidR="0061527F" w:rsidRPr="008B052A">
        <w:t>(Figure 1)</w:t>
      </w:r>
      <w:r w:rsidR="0061527F">
        <w:t xml:space="preserve">. This represents </w:t>
      </w:r>
      <w:r w:rsidR="67DC2276" w:rsidRPr="008B052A">
        <w:t xml:space="preserve">an increase of </w:t>
      </w:r>
      <w:r w:rsidR="00B65753">
        <w:t>6</w:t>
      </w:r>
      <w:r w:rsidR="4C994388" w:rsidRPr="008B052A">
        <w:t xml:space="preserve">% </w:t>
      </w:r>
      <w:r w:rsidR="67DC2276" w:rsidRPr="008B052A">
        <w:t>or $1</w:t>
      </w:r>
      <w:r w:rsidR="00E204A4">
        <w:t>1.</w:t>
      </w:r>
      <w:r w:rsidR="00205C08">
        <w:t>0</w:t>
      </w:r>
      <w:r w:rsidR="00E204A4">
        <w:t> </w:t>
      </w:r>
      <w:r w:rsidR="67DC2276" w:rsidRPr="008B052A">
        <w:t xml:space="preserve">billion </w:t>
      </w:r>
      <w:r w:rsidR="0061527F">
        <w:t xml:space="preserve">in visitor economy spend </w:t>
      </w:r>
      <w:r w:rsidR="00FA089A" w:rsidRPr="008B052A">
        <w:t>from</w:t>
      </w:r>
      <w:r w:rsidR="4C994388" w:rsidRPr="008B052A">
        <w:t xml:space="preserve"> </w:t>
      </w:r>
      <w:r w:rsidR="6E044022" w:rsidRPr="008B052A">
        <w:t xml:space="preserve">the </w:t>
      </w:r>
      <w:r w:rsidR="00FA089A" w:rsidRPr="008B052A">
        <w:t xml:space="preserve">previous </w:t>
      </w:r>
      <w:r w:rsidR="6E044022" w:rsidRPr="008B052A">
        <w:t>year. While d</w:t>
      </w:r>
      <w:r w:rsidR="7FF6BBA6" w:rsidRPr="008B052A">
        <w:t xml:space="preserve">omestic overnight spend </w:t>
      </w:r>
      <w:r w:rsidR="6E044022" w:rsidRPr="008B052A">
        <w:t>accounts for</w:t>
      </w:r>
      <w:r w:rsidR="7FF6BBA6" w:rsidRPr="008B052A">
        <w:t xml:space="preserve"> the largest </w:t>
      </w:r>
      <w:r w:rsidR="6E044022" w:rsidRPr="008B052A">
        <w:t>share</w:t>
      </w:r>
      <w:r w:rsidR="7FF6BBA6" w:rsidRPr="008B052A">
        <w:t xml:space="preserve"> </w:t>
      </w:r>
      <w:r w:rsidR="6E044022" w:rsidRPr="008B052A">
        <w:t>of</w:t>
      </w:r>
      <w:r w:rsidR="7FF6BBA6" w:rsidRPr="008B052A">
        <w:t xml:space="preserve"> total visitor spend in Australia, </w:t>
      </w:r>
      <w:r w:rsidR="00D51285">
        <w:t xml:space="preserve">domestic day trip </w:t>
      </w:r>
      <w:proofErr w:type="gramStart"/>
      <w:r w:rsidR="00D51285">
        <w:t>spend</w:t>
      </w:r>
      <w:proofErr w:type="gramEnd"/>
      <w:r w:rsidR="00D51285">
        <w:t xml:space="preserve"> and </w:t>
      </w:r>
      <w:r w:rsidR="7FF6BBA6" w:rsidRPr="008B052A">
        <w:t>international visitor</w:t>
      </w:r>
      <w:r w:rsidR="2F2AAF24" w:rsidRPr="008B052A">
        <w:t xml:space="preserve"> spend </w:t>
      </w:r>
      <w:r w:rsidR="00D51285">
        <w:t>are</w:t>
      </w:r>
      <w:r w:rsidR="6E044022" w:rsidRPr="008B052A">
        <w:t xml:space="preserve"> forecast to </w:t>
      </w:r>
      <w:r w:rsidR="2F2AAF24" w:rsidRPr="008B052A">
        <w:t>provide the strongest contribution</w:t>
      </w:r>
      <w:r w:rsidR="00D51285">
        <w:t>s</w:t>
      </w:r>
      <w:r w:rsidR="2F2AAF24" w:rsidRPr="008B052A">
        <w:t xml:space="preserve"> to growth in 202</w:t>
      </w:r>
      <w:r w:rsidR="3A4E10DA" w:rsidRPr="008B052A">
        <w:t>5</w:t>
      </w:r>
      <w:r w:rsidR="2F2AAF24" w:rsidRPr="008B052A">
        <w:t>.</w:t>
      </w:r>
    </w:p>
    <w:p w14:paraId="240D848F" w14:textId="0213FEEB" w:rsidR="00045666" w:rsidRPr="008B052A" w:rsidRDefault="4E664FE6" w:rsidP="00C37718">
      <w:r w:rsidRPr="008B052A">
        <w:t xml:space="preserve">Over the next 5 years, </w:t>
      </w:r>
      <w:r w:rsidR="5B0A123C" w:rsidRPr="008B052A">
        <w:t xml:space="preserve">total visitor spend in Australia is forecast to trend higher at an average annual rate of </w:t>
      </w:r>
      <w:r w:rsidR="4975DE7F" w:rsidRPr="008B052A">
        <w:t>4.</w:t>
      </w:r>
      <w:r w:rsidR="00834A98">
        <w:t>0</w:t>
      </w:r>
      <w:r w:rsidR="4975DE7F" w:rsidRPr="008B052A">
        <w:t xml:space="preserve">%. </w:t>
      </w:r>
      <w:r w:rsidR="00C31AE2">
        <w:t>In 2030, total visitor spend is projected to reach around $233 billion.</w:t>
      </w:r>
    </w:p>
    <w:p w14:paraId="7444E70A" w14:textId="7A8267A4" w:rsidR="003C4ADF" w:rsidRPr="008B052A" w:rsidRDefault="003C4ADF" w:rsidP="00EC4252">
      <w:pPr>
        <w:keepNext/>
        <w:spacing w:line="300" w:lineRule="atLeast"/>
        <w:rPr>
          <w:color w:val="300050" w:themeColor="text2"/>
        </w:rPr>
      </w:pPr>
      <w:r w:rsidRPr="008B052A">
        <w:rPr>
          <w:b/>
          <w:bCs/>
          <w:color w:val="300050" w:themeColor="text2"/>
        </w:rPr>
        <w:lastRenderedPageBreak/>
        <w:t>Figure 1.</w:t>
      </w:r>
      <w:r w:rsidRPr="008B052A">
        <w:rPr>
          <w:color w:val="300050" w:themeColor="text2"/>
        </w:rPr>
        <w:t xml:space="preserve"> Total </w:t>
      </w:r>
      <w:proofErr w:type="gramStart"/>
      <w:r w:rsidRPr="008B052A">
        <w:rPr>
          <w:color w:val="300050" w:themeColor="text2"/>
        </w:rPr>
        <w:t>visitor</w:t>
      </w:r>
      <w:proofErr w:type="gramEnd"/>
      <w:r w:rsidRPr="008B052A">
        <w:rPr>
          <w:color w:val="300050" w:themeColor="text2"/>
        </w:rPr>
        <w:t xml:space="preserve"> spend in Australia by international, domestic day trip and domestic overnight </w:t>
      </w:r>
      <w:r w:rsidR="00780210" w:rsidRPr="008B052A">
        <w:rPr>
          <w:color w:val="300050" w:themeColor="text2"/>
        </w:rPr>
        <w:t>travellers</w:t>
      </w:r>
      <w:r w:rsidRPr="008B052A">
        <w:rPr>
          <w:color w:val="300050" w:themeColor="text2"/>
        </w:rPr>
        <w:t xml:space="preserve">. </w:t>
      </w:r>
      <w:r w:rsidR="008338D9">
        <w:rPr>
          <w:color w:val="300050" w:themeColor="text2"/>
        </w:rPr>
        <w:t>Reported</w:t>
      </w:r>
      <w:r w:rsidR="00780210" w:rsidRPr="008B052A">
        <w:rPr>
          <w:color w:val="300050" w:themeColor="text2"/>
        </w:rPr>
        <w:t xml:space="preserve"> values to 2024, f</w:t>
      </w:r>
      <w:r w:rsidRPr="008B052A">
        <w:rPr>
          <w:color w:val="300050" w:themeColor="text2"/>
        </w:rPr>
        <w:t xml:space="preserve">orecast </w:t>
      </w:r>
      <w:r w:rsidR="00780210" w:rsidRPr="008B052A">
        <w:rPr>
          <w:color w:val="300050" w:themeColor="text2"/>
        </w:rPr>
        <w:t xml:space="preserve">values </w:t>
      </w:r>
      <w:r w:rsidRPr="008B052A">
        <w:rPr>
          <w:color w:val="300050" w:themeColor="text2"/>
        </w:rPr>
        <w:t>from 2025 onwards.</w:t>
      </w:r>
    </w:p>
    <w:p w14:paraId="0A9DE2BE" w14:textId="77777777" w:rsidR="00D86C5D" w:rsidRDefault="00D86C5D" w:rsidP="00D86C5D">
      <w:pPr>
        <w:spacing w:line="240" w:lineRule="atLeast"/>
      </w:pPr>
      <w:r w:rsidRPr="00D86C5D">
        <w:rPr>
          <w:noProof/>
        </w:rPr>
        <w:drawing>
          <wp:inline distT="0" distB="0" distL="0" distR="0" wp14:anchorId="21DF04DB" wp14:editId="688EEA36">
            <wp:extent cx="6329680" cy="3263265"/>
            <wp:effectExtent l="0" t="0" r="0" b="0"/>
            <wp:docPr id="1257363869" name="Picture 1" descr="Bar chart showing the value of  visitor spend in Australia by international, domestic day trip and domestic overnight travellers in A$ billion from 2019 to 2030. There is expected to be a continued trend rise in all values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63869" name="Picture 1" descr="Bar chart showing the value of  visitor spend in Australia by international, domestic day trip and domestic overnight travellers in A$ billion from 2019 to 2030. There is expected to be a continued trend rise in all values over the forecast period from 2025 to 2030.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9680" cy="3263265"/>
                    </a:xfrm>
                    <a:prstGeom prst="rect">
                      <a:avLst/>
                    </a:prstGeom>
                    <a:noFill/>
                    <a:ln>
                      <a:noFill/>
                    </a:ln>
                  </pic:spPr>
                </pic:pic>
              </a:graphicData>
            </a:graphic>
          </wp:inline>
        </w:drawing>
      </w:r>
    </w:p>
    <w:p w14:paraId="0E59955A" w14:textId="08D91240" w:rsidR="009B55E6" w:rsidRPr="00D86C5D" w:rsidRDefault="009B55E6" w:rsidP="00D86C5D">
      <w:pPr>
        <w:rPr>
          <w:rFonts w:eastAsia="Verdana" w:cs="Times New Roman"/>
        </w:rPr>
      </w:pPr>
      <w:r w:rsidRPr="00D86C5D">
        <w:rPr>
          <w:rFonts w:eastAsia="Verdana" w:cs="Times New Roman"/>
        </w:rPr>
        <w:t>Total short-term international visitor spend in Australia is forecast to jump from the already record high of $32.9 billion in 2024 to $</w:t>
      </w:r>
      <w:r w:rsidR="00CF5B94" w:rsidRPr="00D86C5D">
        <w:rPr>
          <w:rFonts w:eastAsia="Verdana" w:cs="Times New Roman"/>
        </w:rPr>
        <w:t>37.7 </w:t>
      </w:r>
      <w:r w:rsidRPr="00D86C5D">
        <w:rPr>
          <w:rFonts w:eastAsia="Verdana" w:cs="Times New Roman"/>
        </w:rPr>
        <w:t xml:space="preserve">billion in 2025 (growth of </w:t>
      </w:r>
      <w:r w:rsidR="00B163BD" w:rsidRPr="00D86C5D">
        <w:rPr>
          <w:rFonts w:eastAsia="Verdana" w:cs="Times New Roman"/>
        </w:rPr>
        <w:t>1</w:t>
      </w:r>
      <w:r w:rsidR="007A701F" w:rsidRPr="00D86C5D">
        <w:rPr>
          <w:rFonts w:eastAsia="Verdana" w:cs="Times New Roman"/>
        </w:rPr>
        <w:t>5</w:t>
      </w:r>
      <w:r w:rsidRPr="00D86C5D">
        <w:rPr>
          <w:rFonts w:eastAsia="Verdana" w:cs="Times New Roman"/>
        </w:rPr>
        <w:t xml:space="preserve">% </w:t>
      </w:r>
      <w:r w:rsidR="007A701F" w:rsidRPr="00D86C5D">
        <w:rPr>
          <w:rFonts w:eastAsia="Verdana" w:cs="Times New Roman"/>
        </w:rPr>
        <w:t xml:space="preserve">and </w:t>
      </w:r>
      <w:r w:rsidRPr="00D86C5D">
        <w:rPr>
          <w:rFonts w:eastAsia="Verdana" w:cs="Times New Roman"/>
        </w:rPr>
        <w:t>$</w:t>
      </w:r>
      <w:r w:rsidR="00DD074F" w:rsidRPr="00D86C5D">
        <w:rPr>
          <w:rFonts w:eastAsia="Verdana" w:cs="Times New Roman"/>
        </w:rPr>
        <w:t>4.8</w:t>
      </w:r>
      <w:r w:rsidRPr="00D86C5D">
        <w:rPr>
          <w:rFonts w:eastAsia="Verdana" w:cs="Times New Roman"/>
        </w:rPr>
        <w:t> billion). International spend in Australia is then expected to continue rising, albeit at a slower pace, to reach $</w:t>
      </w:r>
      <w:r w:rsidR="00ED6B32" w:rsidRPr="00D86C5D">
        <w:rPr>
          <w:rFonts w:eastAsia="Verdana" w:cs="Times New Roman"/>
        </w:rPr>
        <w:t>46</w:t>
      </w:r>
      <w:r w:rsidR="007C1676" w:rsidRPr="00D86C5D">
        <w:rPr>
          <w:rFonts w:eastAsia="Verdana" w:cs="Times New Roman"/>
        </w:rPr>
        <w:t>.0</w:t>
      </w:r>
      <w:r w:rsidRPr="00D86C5D">
        <w:rPr>
          <w:rFonts w:eastAsia="Verdana" w:cs="Times New Roman"/>
        </w:rPr>
        <w:t xml:space="preserve"> billion in 2030 (annual average growth of </w:t>
      </w:r>
      <w:r w:rsidR="00B53752" w:rsidRPr="00D86C5D">
        <w:rPr>
          <w:rFonts w:eastAsia="Verdana" w:cs="Times New Roman"/>
        </w:rPr>
        <w:t>4.</w:t>
      </w:r>
      <w:r w:rsidR="00A90A59" w:rsidRPr="00D86C5D">
        <w:rPr>
          <w:rFonts w:eastAsia="Verdana" w:cs="Times New Roman"/>
        </w:rPr>
        <w:t>0</w:t>
      </w:r>
      <w:r w:rsidRPr="00D86C5D">
        <w:rPr>
          <w:rFonts w:eastAsia="Verdana" w:cs="Times New Roman"/>
        </w:rPr>
        <w:t xml:space="preserve">% over the forecast period). The slower pace of growth in international spend in the future years aligns with </w:t>
      </w:r>
      <w:r w:rsidR="008338FF" w:rsidRPr="00D86C5D">
        <w:rPr>
          <w:rFonts w:eastAsia="Verdana" w:cs="Times New Roman"/>
        </w:rPr>
        <w:t xml:space="preserve">moderating </w:t>
      </w:r>
      <w:r w:rsidRPr="00D86C5D">
        <w:rPr>
          <w:rFonts w:eastAsia="Verdana" w:cs="Times New Roman"/>
        </w:rPr>
        <w:t xml:space="preserve">inflation and </w:t>
      </w:r>
      <w:r w:rsidR="00A11092" w:rsidRPr="00D86C5D">
        <w:rPr>
          <w:rFonts w:eastAsia="Verdana" w:cs="Times New Roman"/>
        </w:rPr>
        <w:t>tapering</w:t>
      </w:r>
      <w:r w:rsidR="00313559" w:rsidRPr="00D86C5D">
        <w:rPr>
          <w:rFonts w:eastAsia="Verdana" w:cs="Times New Roman"/>
        </w:rPr>
        <w:t xml:space="preserve"> growth in international visitor </w:t>
      </w:r>
      <w:r w:rsidR="00A11092" w:rsidRPr="00D86C5D">
        <w:rPr>
          <w:rFonts w:eastAsia="Verdana" w:cs="Times New Roman"/>
        </w:rPr>
        <w:t>arrivals</w:t>
      </w:r>
      <w:r w:rsidR="00A80D1D" w:rsidRPr="00D86C5D">
        <w:rPr>
          <w:rFonts w:eastAsia="Verdana" w:cs="Times New Roman"/>
        </w:rPr>
        <w:t xml:space="preserve">. It also reflects </w:t>
      </w:r>
      <w:r w:rsidR="00BB142F" w:rsidRPr="00D86C5D">
        <w:rPr>
          <w:rFonts w:eastAsia="Verdana" w:cs="Times New Roman"/>
        </w:rPr>
        <w:t>a decline in average trip spend for some markets and travel types as</w:t>
      </w:r>
      <w:r w:rsidRPr="00D86C5D">
        <w:rPr>
          <w:rFonts w:eastAsia="Verdana" w:cs="Times New Roman"/>
        </w:rPr>
        <w:t xml:space="preserve"> travellers </w:t>
      </w:r>
      <w:r w:rsidR="00BB142F" w:rsidRPr="00D86C5D">
        <w:rPr>
          <w:rFonts w:eastAsia="Verdana" w:cs="Times New Roman"/>
        </w:rPr>
        <w:t xml:space="preserve">continue </w:t>
      </w:r>
      <w:r w:rsidRPr="00D86C5D">
        <w:rPr>
          <w:rFonts w:eastAsia="Verdana" w:cs="Times New Roman"/>
        </w:rPr>
        <w:t xml:space="preserve">to seek </w:t>
      </w:r>
      <w:r w:rsidR="00BB142F" w:rsidRPr="00D86C5D">
        <w:rPr>
          <w:rFonts w:eastAsia="Verdana" w:cs="Times New Roman"/>
        </w:rPr>
        <w:t xml:space="preserve">out </w:t>
      </w:r>
      <w:r w:rsidRPr="00D86C5D">
        <w:rPr>
          <w:rFonts w:eastAsia="Verdana" w:cs="Times New Roman"/>
        </w:rPr>
        <w:t>value-for-money.</w:t>
      </w:r>
    </w:p>
    <w:p w14:paraId="476CC127" w14:textId="66FC4DC9" w:rsidR="009B55E6" w:rsidRPr="008B052A" w:rsidRDefault="1F98BF7E" w:rsidP="009B55E6">
      <w:r w:rsidRPr="008B052A">
        <w:rPr>
          <w:rFonts w:eastAsia="Verdana" w:cs="Times New Roman"/>
        </w:rPr>
        <w:t xml:space="preserve">Spend on domestic overnight trips is forecast to </w:t>
      </w:r>
      <w:r w:rsidR="1382984D" w:rsidRPr="008B052A">
        <w:rPr>
          <w:rFonts w:eastAsia="Verdana" w:cs="Times New Roman"/>
        </w:rPr>
        <w:t>fall</w:t>
      </w:r>
      <w:r w:rsidRPr="008B052A">
        <w:rPr>
          <w:rFonts w:eastAsia="Verdana" w:cs="Times New Roman"/>
        </w:rPr>
        <w:t xml:space="preserve"> by </w:t>
      </w:r>
      <w:r w:rsidR="51A20640" w:rsidRPr="008B052A">
        <w:rPr>
          <w:rFonts w:eastAsia="Verdana" w:cs="Times New Roman"/>
        </w:rPr>
        <w:t>0.9</w:t>
      </w:r>
      <w:r w:rsidRPr="008B052A">
        <w:rPr>
          <w:rFonts w:eastAsia="Verdana" w:cs="Times New Roman"/>
        </w:rPr>
        <w:t>% to $</w:t>
      </w:r>
      <w:r w:rsidR="26B98817" w:rsidRPr="008B052A">
        <w:rPr>
          <w:rFonts w:eastAsia="Verdana" w:cs="Times New Roman"/>
        </w:rPr>
        <w:t>107</w:t>
      </w:r>
      <w:r w:rsidRPr="008B052A">
        <w:rPr>
          <w:rFonts w:eastAsia="Verdana" w:cs="Times New Roman"/>
        </w:rPr>
        <w:t xml:space="preserve">.8 billion in 2025 as Australians </w:t>
      </w:r>
      <w:r w:rsidR="00A214CD">
        <w:rPr>
          <w:rFonts w:eastAsia="Verdana" w:cs="Times New Roman"/>
        </w:rPr>
        <w:t>opt for</w:t>
      </w:r>
      <w:r w:rsidRPr="008B052A">
        <w:rPr>
          <w:rFonts w:eastAsia="Verdana" w:cs="Times New Roman"/>
        </w:rPr>
        <w:t xml:space="preserve"> shorter trips</w:t>
      </w:r>
      <w:r w:rsidR="00A214CD">
        <w:rPr>
          <w:rFonts w:eastAsia="Verdana" w:cs="Times New Roman"/>
        </w:rPr>
        <w:t xml:space="preserve"> and day trips</w:t>
      </w:r>
      <w:r w:rsidRPr="008B052A">
        <w:rPr>
          <w:rFonts w:eastAsia="Verdana" w:cs="Times New Roman"/>
        </w:rPr>
        <w:t xml:space="preserve">. </w:t>
      </w:r>
      <w:r w:rsidR="0038405E" w:rsidRPr="008B052A">
        <w:rPr>
          <w:rFonts w:eastAsia="Verdana" w:cs="Times New Roman"/>
        </w:rPr>
        <w:t>Much s</w:t>
      </w:r>
      <w:r w:rsidRPr="008B052A">
        <w:rPr>
          <w:rFonts w:eastAsia="Verdana" w:cs="Times New Roman"/>
        </w:rPr>
        <w:t>tronger growth is expected for spend on day trips – up by 1</w:t>
      </w:r>
      <w:r w:rsidR="23BCB81F" w:rsidRPr="008B052A">
        <w:rPr>
          <w:rFonts w:eastAsia="Verdana" w:cs="Times New Roman"/>
        </w:rPr>
        <w:t>8</w:t>
      </w:r>
      <w:r w:rsidRPr="008B052A">
        <w:rPr>
          <w:rFonts w:eastAsia="Verdana" w:cs="Times New Roman"/>
        </w:rPr>
        <w:t>% to $4</w:t>
      </w:r>
      <w:r w:rsidR="64DA91C5" w:rsidRPr="008B052A">
        <w:rPr>
          <w:rFonts w:eastAsia="Verdana" w:cs="Times New Roman"/>
        </w:rPr>
        <w:t>6.0</w:t>
      </w:r>
      <w:r w:rsidRPr="008B052A">
        <w:rPr>
          <w:rFonts w:eastAsia="Verdana" w:cs="Times New Roman"/>
        </w:rPr>
        <w:t xml:space="preserve"> billion in 2025. By 2030, domestic spend is forecast to reach $1</w:t>
      </w:r>
      <w:r w:rsidR="34971022" w:rsidRPr="008B052A">
        <w:rPr>
          <w:rFonts w:eastAsia="Verdana" w:cs="Times New Roman"/>
        </w:rPr>
        <w:t>87.4</w:t>
      </w:r>
      <w:r w:rsidRPr="008B052A">
        <w:rPr>
          <w:rFonts w:eastAsia="Verdana" w:cs="Times New Roman"/>
        </w:rPr>
        <w:t xml:space="preserve"> billion, with an average annual growth rate of 4.</w:t>
      </w:r>
      <w:r w:rsidR="5467D3B1" w:rsidRPr="008B052A">
        <w:rPr>
          <w:rFonts w:eastAsia="Verdana" w:cs="Times New Roman"/>
        </w:rPr>
        <w:t>0</w:t>
      </w:r>
      <w:r w:rsidRPr="008B052A">
        <w:rPr>
          <w:rFonts w:eastAsia="Verdana" w:cs="Times New Roman"/>
        </w:rPr>
        <w:t>% across the forecast period.</w:t>
      </w:r>
      <w:r w:rsidRPr="008B052A">
        <w:t xml:space="preserve"> This suggests that domestic tourism spend growth will outpace </w:t>
      </w:r>
      <w:r w:rsidR="00D3525B">
        <w:t xml:space="preserve">expected </w:t>
      </w:r>
      <w:r w:rsidRPr="008B052A">
        <w:t xml:space="preserve">inflation over </w:t>
      </w:r>
      <w:r w:rsidR="00CC5D01" w:rsidRPr="008B052A">
        <w:t>that</w:t>
      </w:r>
      <w:r w:rsidRPr="008B052A">
        <w:t xml:space="preserve"> period. </w:t>
      </w:r>
    </w:p>
    <w:p w14:paraId="4EBF0149" w14:textId="5A6A529C" w:rsidR="00C70C2E" w:rsidRPr="008B052A" w:rsidRDefault="00C70C2E" w:rsidP="00C70C2E">
      <w:pPr>
        <w:pStyle w:val="Heading3"/>
      </w:pPr>
      <w:bookmarkStart w:id="46" w:name="_Toc214539188"/>
      <w:r w:rsidRPr="008B052A">
        <w:t>International visitor arrivals to Australia</w:t>
      </w:r>
      <w:bookmarkEnd w:id="46"/>
    </w:p>
    <w:p w14:paraId="7A1F3237" w14:textId="6D76A7E2" w:rsidR="001839D0" w:rsidRPr="008B052A" w:rsidRDefault="001839D0" w:rsidP="00CC5D01">
      <w:r w:rsidRPr="008B052A">
        <w:t xml:space="preserve">The outlook for international travel to Australia remains positive. </w:t>
      </w:r>
      <w:r w:rsidR="000422E8" w:rsidRPr="008B052A">
        <w:t>Short-term i</w:t>
      </w:r>
      <w:r w:rsidRPr="008B052A">
        <w:t xml:space="preserve">nternational arrivals </w:t>
      </w:r>
      <w:r w:rsidR="004D210C" w:rsidRPr="008B052A">
        <w:t xml:space="preserve">to Australia </w:t>
      </w:r>
      <w:r w:rsidRPr="008B052A">
        <w:t xml:space="preserve">are forecast to </w:t>
      </w:r>
      <w:r w:rsidR="00D74454" w:rsidRPr="008B052A">
        <w:t>increase from 8.3 million in 2024 to</w:t>
      </w:r>
      <w:r w:rsidRPr="008B052A">
        <w:t xml:space="preserve"> 8.</w:t>
      </w:r>
      <w:r w:rsidR="00CC5D01" w:rsidRPr="008B052A">
        <w:t>8</w:t>
      </w:r>
      <w:r w:rsidRPr="008B052A">
        <w:t xml:space="preserve"> million in 2025, an increase of </w:t>
      </w:r>
      <w:r w:rsidR="000216D1">
        <w:t>6.5</w:t>
      </w:r>
      <w:r w:rsidRPr="008B052A">
        <w:t xml:space="preserve">%. International arrivals are then forecast to increase by a further </w:t>
      </w:r>
      <w:r w:rsidR="00B66A84" w:rsidRPr="008B052A">
        <w:t>2</w:t>
      </w:r>
      <w:r w:rsidR="00B66A84">
        <w:t>4</w:t>
      </w:r>
      <w:r w:rsidRPr="008B052A">
        <w:t>% over the following 5</w:t>
      </w:r>
      <w:r w:rsidR="00961F56" w:rsidRPr="008B052A">
        <w:t> </w:t>
      </w:r>
      <w:r w:rsidRPr="008B052A">
        <w:t>years to reach 10.</w:t>
      </w:r>
      <w:r w:rsidR="00057251">
        <w:t>9</w:t>
      </w:r>
      <w:r w:rsidRPr="008B052A">
        <w:t xml:space="preserve"> million in 2030. Th</w:t>
      </w:r>
      <w:r w:rsidR="00CE48F5" w:rsidRPr="008B052A">
        <w:t>is</w:t>
      </w:r>
      <w:r w:rsidRPr="008B052A">
        <w:t xml:space="preserve"> continuation of solid growth in visitor arrivals </w:t>
      </w:r>
      <w:r w:rsidR="0072118E" w:rsidRPr="008B052A">
        <w:t>supports the</w:t>
      </w:r>
      <w:r w:rsidRPr="008B052A">
        <w:t xml:space="preserve"> sustainable growth </w:t>
      </w:r>
      <w:r w:rsidR="0072118E" w:rsidRPr="008B052A">
        <w:t xml:space="preserve">of Australia’s </w:t>
      </w:r>
      <w:r w:rsidRPr="008B052A">
        <w:t>visitor economy.</w:t>
      </w:r>
    </w:p>
    <w:p w14:paraId="19D66B47" w14:textId="114A135B" w:rsidR="001839D0" w:rsidRPr="008B052A" w:rsidRDefault="001839D0" w:rsidP="001839D0">
      <w:r w:rsidRPr="008B052A">
        <w:t>The fastest inbound growth markets in 2025 are forecast to be the United Kingdom</w:t>
      </w:r>
      <w:r w:rsidR="00273374">
        <w:t xml:space="preserve"> and China (excluding </w:t>
      </w:r>
      <w:r w:rsidR="00C96091">
        <w:t>Special Administrative Regions (</w:t>
      </w:r>
      <w:r w:rsidR="00273374">
        <w:t>SAR</w:t>
      </w:r>
      <w:r w:rsidR="0092730A">
        <w:t>s</w:t>
      </w:r>
      <w:r w:rsidR="00C96091">
        <w:t>)</w:t>
      </w:r>
      <w:r w:rsidR="00273374">
        <w:t xml:space="preserve"> and Taiwan)</w:t>
      </w:r>
      <w:r w:rsidRPr="008B052A">
        <w:t xml:space="preserve">. China is expected to </w:t>
      </w:r>
      <w:r w:rsidR="004D210C" w:rsidRPr="008B052A">
        <w:t>be</w:t>
      </w:r>
      <w:r w:rsidRPr="008B052A">
        <w:t xml:space="preserve"> the fastest growing market over the full period to 2030, </w:t>
      </w:r>
      <w:r w:rsidR="00827487" w:rsidRPr="008B052A">
        <w:t>while</w:t>
      </w:r>
      <w:r w:rsidRPr="008B052A">
        <w:t xml:space="preserve"> </w:t>
      </w:r>
      <w:r w:rsidR="002370D9" w:rsidRPr="008B052A">
        <w:t xml:space="preserve">Hong Kong, </w:t>
      </w:r>
      <w:r w:rsidRPr="008B052A">
        <w:t xml:space="preserve">India, the Philippines, Vietnam, </w:t>
      </w:r>
      <w:r w:rsidRPr="008B052A">
        <w:lastRenderedPageBreak/>
        <w:t>and Indonesia</w:t>
      </w:r>
      <w:r w:rsidR="00827487" w:rsidRPr="008B052A">
        <w:t xml:space="preserve"> also show strong growth</w:t>
      </w:r>
      <w:r w:rsidR="002829F0">
        <w:t xml:space="preserve"> prospects</w:t>
      </w:r>
      <w:r w:rsidRPr="008B052A">
        <w:t>.</w:t>
      </w:r>
      <w:r w:rsidR="00CF151B" w:rsidRPr="00CF151B">
        <w:t xml:space="preserve"> </w:t>
      </w:r>
      <w:r w:rsidR="00CF151B" w:rsidRPr="008B052A">
        <w:t xml:space="preserve">New Zealand is forecast to remain Australia’s largest </w:t>
      </w:r>
      <w:r w:rsidR="00CF151B">
        <w:t xml:space="preserve">single </w:t>
      </w:r>
      <w:r w:rsidR="00CF151B" w:rsidRPr="008B052A">
        <w:t xml:space="preserve">source </w:t>
      </w:r>
      <w:r w:rsidR="00CF151B">
        <w:t>for</w:t>
      </w:r>
      <w:r w:rsidR="00CF151B" w:rsidRPr="008B052A">
        <w:t xml:space="preserve"> inbound travellers</w:t>
      </w:r>
      <w:r w:rsidR="00CF151B">
        <w:t xml:space="preserve"> through to 2030</w:t>
      </w:r>
      <w:r w:rsidR="00CF151B" w:rsidRPr="008B052A">
        <w:t>.</w:t>
      </w:r>
    </w:p>
    <w:p w14:paraId="51DE3778" w14:textId="0616F22F" w:rsidR="001839D0" w:rsidRPr="008B052A" w:rsidRDefault="001839D0" w:rsidP="001839D0">
      <w:pPr>
        <w:spacing w:line="300" w:lineRule="atLeast"/>
      </w:pPr>
      <w:r w:rsidRPr="008B052A">
        <w:t xml:space="preserve">Short-term visitor arrivals for all main purposes of travel are forecast to increase in 2025 and trend higher through to 2030. Continuing the trend </w:t>
      </w:r>
      <w:r w:rsidR="00A66844" w:rsidRPr="008B052A">
        <w:t>seen in 2024</w:t>
      </w:r>
      <w:r w:rsidRPr="008B052A">
        <w:t xml:space="preserve">, </w:t>
      </w:r>
      <w:r w:rsidR="00A214BB" w:rsidRPr="008B052A">
        <w:t xml:space="preserve">international </w:t>
      </w:r>
      <w:r w:rsidRPr="008B052A">
        <w:t xml:space="preserve">holiday arrivals are forecast to grow faster than </w:t>
      </w:r>
      <w:r w:rsidR="00C70883">
        <w:t>aggregate arrivals</w:t>
      </w:r>
      <w:r w:rsidRPr="008B052A">
        <w:t xml:space="preserve"> in 2025</w:t>
      </w:r>
      <w:r w:rsidR="00164695" w:rsidRPr="008B052A">
        <w:t xml:space="preserve"> and </w:t>
      </w:r>
      <w:r w:rsidRPr="008B052A">
        <w:t xml:space="preserve">over the </w:t>
      </w:r>
      <w:r w:rsidR="00302D69">
        <w:t xml:space="preserve">full </w:t>
      </w:r>
      <w:r w:rsidRPr="008B052A">
        <w:t>forecast period</w:t>
      </w:r>
      <w:r w:rsidR="000069FD" w:rsidRPr="008B052A">
        <w:t xml:space="preserve">. In contrast, </w:t>
      </w:r>
      <w:r w:rsidRPr="008B052A">
        <w:t xml:space="preserve">growth in international business arrivals is </w:t>
      </w:r>
      <w:r w:rsidR="004D210C" w:rsidRPr="008B052A">
        <w:t>expected</w:t>
      </w:r>
      <w:r w:rsidRPr="008B052A">
        <w:t xml:space="preserve"> to be slower than </w:t>
      </w:r>
      <w:r w:rsidR="00027D91">
        <w:t xml:space="preserve">for </w:t>
      </w:r>
      <w:r w:rsidRPr="008B052A">
        <w:t>other purposes of travel.</w:t>
      </w:r>
    </w:p>
    <w:p w14:paraId="62B364B2" w14:textId="2C4CDF51" w:rsidR="009B55E6" w:rsidRPr="008B052A" w:rsidRDefault="009B55E6" w:rsidP="009B55E6">
      <w:pPr>
        <w:pStyle w:val="Heading3"/>
      </w:pPr>
      <w:bookmarkStart w:id="47" w:name="_Toc214539189"/>
      <w:r w:rsidRPr="008B052A">
        <w:t>Overseas travel by Australians</w:t>
      </w:r>
      <w:bookmarkEnd w:id="47"/>
    </w:p>
    <w:p w14:paraId="2CBFA50A" w14:textId="39B0186F" w:rsidR="005E45E6" w:rsidRDefault="00F87F94" w:rsidP="005C1B0A">
      <w:r w:rsidRPr="008B052A">
        <w:t>Overseas</w:t>
      </w:r>
      <w:r w:rsidR="3D4CD46F" w:rsidRPr="008B052A">
        <w:t xml:space="preserve"> travel by Australians remains popular and </w:t>
      </w:r>
      <w:r w:rsidRPr="008B052A">
        <w:t xml:space="preserve">is forecast to increase strongly again in 2025. </w:t>
      </w:r>
      <w:r w:rsidR="0009566C" w:rsidRPr="008B052A">
        <w:t>Australian outbound travel (</w:t>
      </w:r>
      <w:r w:rsidR="3D4CD46F" w:rsidRPr="008B052A">
        <w:t>short-term resident returns</w:t>
      </w:r>
      <w:r w:rsidR="0009566C" w:rsidRPr="008B052A">
        <w:t>)</w:t>
      </w:r>
      <w:r w:rsidR="3D4CD46F" w:rsidRPr="008B052A">
        <w:t xml:space="preserve"> </w:t>
      </w:r>
      <w:r w:rsidRPr="008B052A">
        <w:t xml:space="preserve">is projected to increase </w:t>
      </w:r>
      <w:r w:rsidR="3D4CD46F" w:rsidRPr="008B052A">
        <w:t xml:space="preserve">by </w:t>
      </w:r>
      <w:r w:rsidR="00B5238E">
        <w:t>8</w:t>
      </w:r>
      <w:r w:rsidR="3D4CD46F" w:rsidRPr="008B052A">
        <w:t>% to 12.</w:t>
      </w:r>
      <w:r w:rsidR="00B5238E">
        <w:t>6</w:t>
      </w:r>
      <w:r w:rsidR="00B5238E" w:rsidRPr="008B052A">
        <w:t> </w:t>
      </w:r>
      <w:r w:rsidR="3D4CD46F" w:rsidRPr="008B052A">
        <w:t>million</w:t>
      </w:r>
      <w:r w:rsidR="7165562E" w:rsidRPr="008B052A">
        <w:t xml:space="preserve"> outbound trips</w:t>
      </w:r>
      <w:r w:rsidRPr="008B052A">
        <w:t xml:space="preserve"> in 2025</w:t>
      </w:r>
      <w:r w:rsidR="3D4CD46F" w:rsidRPr="008B052A">
        <w:t xml:space="preserve">. </w:t>
      </w:r>
    </w:p>
    <w:p w14:paraId="63327185" w14:textId="27E4E73D" w:rsidR="005C1B0A" w:rsidRPr="008B052A" w:rsidRDefault="3D4CD46F" w:rsidP="005C1B0A">
      <w:r w:rsidRPr="008B052A">
        <w:t xml:space="preserve">Growth </w:t>
      </w:r>
      <w:r w:rsidR="69121741" w:rsidRPr="008B052A">
        <w:t>in</w:t>
      </w:r>
      <w:r w:rsidR="30C56C25" w:rsidRPr="008B052A">
        <w:t xml:space="preserve"> </w:t>
      </w:r>
      <w:r w:rsidRPr="008B052A">
        <w:t xml:space="preserve">outbound trips is forecast to be </w:t>
      </w:r>
      <w:r w:rsidR="30C56C25" w:rsidRPr="008B052A">
        <w:t>widespread</w:t>
      </w:r>
      <w:r w:rsidR="69121741" w:rsidRPr="008B052A">
        <w:t xml:space="preserve"> across </w:t>
      </w:r>
      <w:proofErr w:type="gramStart"/>
      <w:r w:rsidR="69121741" w:rsidRPr="008B052A">
        <w:t>destinations</w:t>
      </w:r>
      <w:r w:rsidR="30C56C25" w:rsidRPr="008B052A">
        <w:t>,</w:t>
      </w:r>
      <w:proofErr w:type="gramEnd"/>
      <w:r w:rsidR="30C56C25" w:rsidRPr="008B052A">
        <w:t xml:space="preserve"> </w:t>
      </w:r>
      <w:r w:rsidRPr="008B052A">
        <w:t>however</w:t>
      </w:r>
      <w:r w:rsidR="1FB52BBA" w:rsidRPr="008B052A">
        <w:t>,</w:t>
      </w:r>
      <w:r w:rsidRPr="008B052A">
        <w:t xml:space="preserve"> the predominantly leisure-based markets </w:t>
      </w:r>
      <w:r w:rsidR="2895ED5C" w:rsidRPr="008B052A">
        <w:t xml:space="preserve">of Vietnam, Japan, China, and Thailand </w:t>
      </w:r>
      <w:r w:rsidRPr="008B052A">
        <w:t>are expected to record the strongest growth in 202</w:t>
      </w:r>
      <w:r w:rsidR="43541035" w:rsidRPr="008B052A">
        <w:t>5</w:t>
      </w:r>
      <w:r w:rsidRPr="008B052A">
        <w:t>. The</w:t>
      </w:r>
      <w:r w:rsidR="00CF7D70">
        <w:t xml:space="preserve"> gap between the</w:t>
      </w:r>
      <w:r w:rsidRPr="008B052A">
        <w:t xml:space="preserve"> number of Australian trips overseas compared to inbound visitor arrivals – termed “net outbound travel” – is expected to </w:t>
      </w:r>
      <w:r w:rsidR="444B6C2C" w:rsidRPr="008B052A">
        <w:t xml:space="preserve">remain </w:t>
      </w:r>
      <w:r w:rsidR="00D5102E">
        <w:t>large</w:t>
      </w:r>
      <w:r w:rsidR="00D5102E" w:rsidRPr="008B052A">
        <w:t xml:space="preserve"> </w:t>
      </w:r>
      <w:r w:rsidR="001BD7E5" w:rsidRPr="008B052A">
        <w:t>throughout the forecast period</w:t>
      </w:r>
      <w:r w:rsidRPr="008B052A">
        <w:t xml:space="preserve">. </w:t>
      </w:r>
    </w:p>
    <w:p w14:paraId="344E9CD6" w14:textId="762E8BC7" w:rsidR="009B55E6" w:rsidRPr="008B052A" w:rsidRDefault="009B55E6" w:rsidP="009B55E6">
      <w:pPr>
        <w:pStyle w:val="Heading3"/>
      </w:pPr>
      <w:bookmarkStart w:id="48" w:name="_Toc214539190"/>
      <w:r w:rsidRPr="008B052A">
        <w:t>Domestic travel in Australia</w:t>
      </w:r>
      <w:bookmarkEnd w:id="48"/>
    </w:p>
    <w:p w14:paraId="3C9F492D" w14:textId="32FE4552" w:rsidR="00961F56" w:rsidRPr="008B052A" w:rsidRDefault="292523CD" w:rsidP="002D6C1D">
      <w:pPr>
        <w:rPr>
          <w:rFonts w:eastAsia="Verdana" w:cs="Times New Roman"/>
          <w:color w:val="000000"/>
        </w:rPr>
      </w:pPr>
      <w:r w:rsidRPr="008B052A">
        <w:rPr>
          <w:rFonts w:eastAsia="Verdana" w:cs="Times New Roman"/>
        </w:rPr>
        <w:t xml:space="preserve">In terms of </w:t>
      </w:r>
      <w:r w:rsidR="3F1B7E4B" w:rsidRPr="008B052A">
        <w:rPr>
          <w:rFonts w:eastAsia="Verdana" w:cs="Times New Roman"/>
        </w:rPr>
        <w:t>the domestic market,</w:t>
      </w:r>
      <w:r w:rsidR="19ABD3CB" w:rsidRPr="008B052A">
        <w:rPr>
          <w:rFonts w:eastAsia="Verdana" w:cs="Times New Roman"/>
        </w:rPr>
        <w:t xml:space="preserve"> </w:t>
      </w:r>
      <w:r w:rsidR="09F77F33" w:rsidRPr="008B052A">
        <w:rPr>
          <w:rFonts w:eastAsia="Verdana" w:cs="Times New Roman"/>
        </w:rPr>
        <w:t xml:space="preserve">overnight </w:t>
      </w:r>
      <w:r w:rsidR="19ABD3CB" w:rsidRPr="008B052A">
        <w:rPr>
          <w:rFonts w:eastAsia="Verdana" w:cs="Times New Roman"/>
        </w:rPr>
        <w:t xml:space="preserve">travel is forecast to </w:t>
      </w:r>
      <w:r w:rsidR="0004729B">
        <w:rPr>
          <w:rFonts w:eastAsia="Verdana" w:cs="Times New Roman"/>
        </w:rPr>
        <w:t>be</w:t>
      </w:r>
      <w:r w:rsidR="007C1A3E">
        <w:rPr>
          <w:rFonts w:eastAsia="Verdana" w:cs="Times New Roman"/>
        </w:rPr>
        <w:t xml:space="preserve"> </w:t>
      </w:r>
      <w:r w:rsidR="007C1A3E" w:rsidRPr="007C1A3E">
        <w:rPr>
          <w:rFonts w:eastAsia="Verdana" w:cs="Times New Roman"/>
        </w:rPr>
        <w:t>subdued</w:t>
      </w:r>
      <w:r w:rsidR="00961F56" w:rsidRPr="008B052A">
        <w:rPr>
          <w:rFonts w:eastAsia="Verdana" w:cs="Times New Roman"/>
        </w:rPr>
        <w:t xml:space="preserve"> </w:t>
      </w:r>
      <w:r w:rsidR="19ABD3CB" w:rsidRPr="008B052A">
        <w:rPr>
          <w:rFonts w:eastAsia="Verdana" w:cs="Times New Roman"/>
        </w:rPr>
        <w:t xml:space="preserve">in 2025 </w:t>
      </w:r>
      <w:r w:rsidR="632CF1C1" w:rsidRPr="008B052A">
        <w:rPr>
          <w:rFonts w:eastAsia="Verdana" w:cs="Times New Roman"/>
        </w:rPr>
        <w:t xml:space="preserve">and 2026, then </w:t>
      </w:r>
      <w:r w:rsidR="19ABD3CB" w:rsidRPr="008B052A">
        <w:rPr>
          <w:rFonts w:eastAsia="Verdana" w:cs="Times New Roman"/>
        </w:rPr>
        <w:t xml:space="preserve">pick up gradually as domestic economic conditions improve and </w:t>
      </w:r>
      <w:r w:rsidR="007F1903">
        <w:rPr>
          <w:rFonts w:eastAsia="Verdana" w:cs="Times New Roman"/>
        </w:rPr>
        <w:t>household financial</w:t>
      </w:r>
      <w:r w:rsidR="19ABD3CB" w:rsidRPr="008B052A">
        <w:rPr>
          <w:rFonts w:eastAsia="Verdana" w:cs="Times New Roman"/>
        </w:rPr>
        <w:t xml:space="preserve"> pressures </w:t>
      </w:r>
      <w:r w:rsidR="007F1903">
        <w:rPr>
          <w:rFonts w:eastAsia="Verdana" w:cs="Times New Roman"/>
        </w:rPr>
        <w:t xml:space="preserve">continue to </w:t>
      </w:r>
      <w:r w:rsidR="19ABD3CB" w:rsidRPr="008B052A">
        <w:rPr>
          <w:rFonts w:eastAsia="Verdana" w:cs="Times New Roman"/>
        </w:rPr>
        <w:t xml:space="preserve">ease. In 2025, the number of domestic overnight trips is projected to </w:t>
      </w:r>
      <w:r w:rsidR="4D0EEC3F" w:rsidRPr="008B052A">
        <w:rPr>
          <w:rFonts w:eastAsia="Verdana" w:cs="Times New Roman"/>
        </w:rPr>
        <w:t>increase</w:t>
      </w:r>
      <w:r w:rsidR="19ABD3CB" w:rsidRPr="008B052A">
        <w:rPr>
          <w:rFonts w:eastAsia="Verdana" w:cs="Times New Roman"/>
        </w:rPr>
        <w:t xml:space="preserve"> by 0.</w:t>
      </w:r>
      <w:r w:rsidR="09FD870B" w:rsidRPr="008B052A">
        <w:rPr>
          <w:rFonts w:eastAsia="Verdana" w:cs="Times New Roman"/>
        </w:rPr>
        <w:t>3</w:t>
      </w:r>
      <w:r w:rsidR="19ABD3CB" w:rsidRPr="008B052A">
        <w:rPr>
          <w:rFonts w:eastAsia="Verdana" w:cs="Times New Roman"/>
        </w:rPr>
        <w:t>% to 11</w:t>
      </w:r>
      <w:r w:rsidR="5BD71AEB" w:rsidRPr="008B052A">
        <w:rPr>
          <w:rFonts w:eastAsia="Verdana" w:cs="Times New Roman"/>
        </w:rPr>
        <w:t>3</w:t>
      </w:r>
      <w:r w:rsidR="19ABD3CB" w:rsidRPr="008B052A">
        <w:rPr>
          <w:rFonts w:eastAsia="Verdana" w:cs="Times New Roman"/>
        </w:rPr>
        <w:t>.</w:t>
      </w:r>
      <w:r w:rsidR="58A25AD8" w:rsidRPr="008B052A">
        <w:rPr>
          <w:rFonts w:eastAsia="Verdana" w:cs="Times New Roman"/>
        </w:rPr>
        <w:t>2</w:t>
      </w:r>
      <w:r w:rsidR="19ABD3CB" w:rsidRPr="008B052A">
        <w:rPr>
          <w:rFonts w:eastAsia="Verdana" w:cs="Times New Roman"/>
        </w:rPr>
        <w:t xml:space="preserve"> million, following a </w:t>
      </w:r>
      <w:r w:rsidR="003B4F38" w:rsidRPr="008B052A">
        <w:rPr>
          <w:rFonts w:eastAsia="Verdana" w:cs="Times New Roman"/>
        </w:rPr>
        <w:t xml:space="preserve">small </w:t>
      </w:r>
      <w:r w:rsidR="19ABD3CB" w:rsidRPr="008B052A">
        <w:rPr>
          <w:rFonts w:eastAsia="Verdana" w:cs="Times New Roman"/>
        </w:rPr>
        <w:t>decline in 2024 (</w:t>
      </w:r>
      <w:r w:rsidR="2F84F0C3" w:rsidRPr="008B052A">
        <w:rPr>
          <w:rFonts w:eastAsia="Verdana" w:cs="Times New Roman"/>
        </w:rPr>
        <w:t>-</w:t>
      </w:r>
      <w:r w:rsidR="19ABD3CB" w:rsidRPr="008B052A">
        <w:rPr>
          <w:rFonts w:eastAsia="Verdana" w:cs="Times New Roman"/>
        </w:rPr>
        <w:t>0.3%). On the other hand, d</w:t>
      </w:r>
      <w:r w:rsidR="19ABD3CB" w:rsidRPr="008B052A">
        <w:t xml:space="preserve">omestic day trips, a </w:t>
      </w:r>
      <w:r w:rsidR="00926647" w:rsidRPr="008B052A">
        <w:t>lower</w:t>
      </w:r>
      <w:r w:rsidR="19ABD3CB" w:rsidRPr="008B052A">
        <w:t xml:space="preserve"> cost form of domestic travel, are forecast to increase by </w:t>
      </w:r>
      <w:r w:rsidR="12853857" w:rsidRPr="008B052A">
        <w:t>10</w:t>
      </w:r>
      <w:r w:rsidR="19ABD3CB" w:rsidRPr="008B052A">
        <w:t xml:space="preserve">% in 2025. By 2030, there are forecast to be </w:t>
      </w:r>
      <w:r w:rsidR="7D1E1474" w:rsidRPr="008B052A">
        <w:t>123</w:t>
      </w:r>
      <w:r w:rsidR="19ABD3CB" w:rsidRPr="008B052A">
        <w:t xml:space="preserve"> million domestic overnight trips and </w:t>
      </w:r>
      <w:r w:rsidR="7E5AB07D" w:rsidRPr="008B052A">
        <w:t>313.1</w:t>
      </w:r>
      <w:r w:rsidR="19ABD3CB" w:rsidRPr="008B052A">
        <w:t xml:space="preserve"> million domestic day trips. On average</w:t>
      </w:r>
      <w:r w:rsidR="5EFA2F2C" w:rsidRPr="008B052A">
        <w:t xml:space="preserve"> over 2025 to 2030</w:t>
      </w:r>
      <w:r w:rsidR="19ABD3CB" w:rsidRPr="008B052A">
        <w:t xml:space="preserve">, domestic travel is expected to grow by </w:t>
      </w:r>
      <w:r w:rsidR="1A370221" w:rsidRPr="008B052A">
        <w:t>1.7</w:t>
      </w:r>
      <w:r w:rsidR="19ABD3CB" w:rsidRPr="008B052A">
        <w:t xml:space="preserve">% per year for overnight trips and </w:t>
      </w:r>
      <w:r w:rsidR="5EFA2F2C" w:rsidRPr="008B052A">
        <w:t xml:space="preserve">by </w:t>
      </w:r>
      <w:r w:rsidR="563EEA2F" w:rsidRPr="008B052A">
        <w:t>2.2</w:t>
      </w:r>
      <w:r w:rsidR="19ABD3CB" w:rsidRPr="008B052A">
        <w:t>% per year for day trips</w:t>
      </w:r>
      <w:r w:rsidR="2DCBBD4E" w:rsidRPr="008B052A">
        <w:t>.</w:t>
      </w:r>
      <w:r w:rsidR="4EBB6433" w:rsidRPr="008B052A">
        <w:t xml:space="preserve"> </w:t>
      </w:r>
      <w:r w:rsidR="4654C61B" w:rsidRPr="008B052A">
        <w:t>T</w:t>
      </w:r>
      <w:r w:rsidR="19ABD3CB" w:rsidRPr="008B052A">
        <w:t>he</w:t>
      </w:r>
      <w:r w:rsidR="003D3CF6">
        <w:t>se</w:t>
      </w:r>
      <w:r w:rsidR="19ABD3CB" w:rsidRPr="008B052A">
        <w:t xml:space="preserve"> </w:t>
      </w:r>
      <w:r w:rsidR="19ABD3CB" w:rsidRPr="008B052A">
        <w:rPr>
          <w:rFonts w:eastAsia="Verdana" w:cs="Times New Roman"/>
        </w:rPr>
        <w:t>growth rate</w:t>
      </w:r>
      <w:r w:rsidR="00BE35EB">
        <w:rPr>
          <w:rFonts w:eastAsia="Verdana" w:cs="Times New Roman"/>
        </w:rPr>
        <w:t xml:space="preserve">s are both above the expected </w:t>
      </w:r>
      <w:r w:rsidR="19ABD3CB" w:rsidRPr="008B052A">
        <w:rPr>
          <w:rFonts w:eastAsia="Verdana" w:cs="Times New Roman"/>
        </w:rPr>
        <w:t xml:space="preserve">rate of </w:t>
      </w:r>
      <w:r w:rsidR="00BE35EB">
        <w:rPr>
          <w:rFonts w:eastAsia="Verdana" w:cs="Times New Roman"/>
        </w:rPr>
        <w:t>growth in</w:t>
      </w:r>
      <w:r w:rsidR="19ABD3CB" w:rsidRPr="008B052A">
        <w:rPr>
          <w:rFonts w:eastAsia="Verdana" w:cs="Times New Roman"/>
        </w:rPr>
        <w:t xml:space="preserve"> the Australian </w:t>
      </w:r>
      <w:r w:rsidR="007D5CAC">
        <w:rPr>
          <w:rFonts w:eastAsia="Verdana" w:cs="Times New Roman"/>
        </w:rPr>
        <w:t xml:space="preserve">resident </w:t>
      </w:r>
      <w:r w:rsidR="19ABD3CB" w:rsidRPr="008B052A">
        <w:rPr>
          <w:rFonts w:eastAsia="Verdana" w:cs="Times New Roman"/>
        </w:rPr>
        <w:t xml:space="preserve">population </w:t>
      </w:r>
      <w:r w:rsidR="00BE35EB">
        <w:rPr>
          <w:rFonts w:eastAsia="Verdana" w:cs="Times New Roman"/>
        </w:rPr>
        <w:t>aged over 15 years</w:t>
      </w:r>
      <w:r w:rsidR="00926779">
        <w:rPr>
          <w:rFonts w:eastAsia="Verdana" w:cs="Times New Roman"/>
        </w:rPr>
        <w:t xml:space="preserve"> </w:t>
      </w:r>
      <w:r w:rsidR="19ABD3CB" w:rsidRPr="008B052A">
        <w:rPr>
          <w:rFonts w:eastAsia="Verdana" w:cs="Times New Roman"/>
        </w:rPr>
        <w:t>over th</w:t>
      </w:r>
      <w:r w:rsidR="00926779">
        <w:rPr>
          <w:rFonts w:eastAsia="Verdana" w:cs="Times New Roman"/>
        </w:rPr>
        <w:t>at</w:t>
      </w:r>
      <w:r w:rsidR="19ABD3CB" w:rsidRPr="008B052A">
        <w:rPr>
          <w:rFonts w:eastAsia="Verdana" w:cs="Times New Roman"/>
        </w:rPr>
        <w:t xml:space="preserve"> same period</w:t>
      </w:r>
      <w:r w:rsidR="00370ABA">
        <w:rPr>
          <w:rFonts w:eastAsia="Verdana" w:cs="Times New Roman"/>
        </w:rPr>
        <w:t>.</w:t>
      </w:r>
      <w:r w:rsidR="006D5FEC">
        <w:rPr>
          <w:rStyle w:val="FootnoteReference"/>
          <w:rFonts w:eastAsia="Verdana" w:cs="Times New Roman"/>
        </w:rPr>
        <w:footnoteReference w:id="1"/>
      </w:r>
    </w:p>
    <w:p w14:paraId="0216935B" w14:textId="2D2079C7" w:rsidR="00961F56" w:rsidRPr="008B052A" w:rsidRDefault="19ABD3CB" w:rsidP="3582A4C7">
      <w:r w:rsidRPr="008B052A">
        <w:t xml:space="preserve">By purpose of trip, holiday travel is expected to be the main driver of growth, with </w:t>
      </w:r>
      <w:r w:rsidR="35701CEA" w:rsidRPr="008B052A">
        <w:t xml:space="preserve">49.2 </w:t>
      </w:r>
      <w:r w:rsidRPr="008B052A">
        <w:t xml:space="preserve">million domestic overnight holiday trips forecast for 2025, representing </w:t>
      </w:r>
      <w:r w:rsidR="29FB1146" w:rsidRPr="008B052A">
        <w:t>44</w:t>
      </w:r>
      <w:r w:rsidRPr="008B052A">
        <w:t xml:space="preserve">% of all domestic overnight trips. </w:t>
      </w:r>
      <w:r w:rsidR="192F8135" w:rsidRPr="008B052A">
        <w:t>Overnight</w:t>
      </w:r>
      <w:r w:rsidR="72BD9254" w:rsidRPr="008B052A">
        <w:t xml:space="preserve"> h</w:t>
      </w:r>
      <w:r w:rsidRPr="008B052A">
        <w:t>oliday trips are expected to grow at an average annual rate of 1.</w:t>
      </w:r>
      <w:r w:rsidR="2E7D9952" w:rsidRPr="008B052A">
        <w:t>8</w:t>
      </w:r>
      <w:r w:rsidRPr="008B052A">
        <w:t xml:space="preserve">% from 2025 to 2030, and to reach </w:t>
      </w:r>
      <w:r w:rsidR="02C97810" w:rsidRPr="008B052A">
        <w:t>53.8</w:t>
      </w:r>
      <w:r w:rsidRPr="008B052A">
        <w:t xml:space="preserve"> million </w:t>
      </w:r>
      <w:r w:rsidR="31150889" w:rsidRPr="008B052A">
        <w:t xml:space="preserve">trips </w:t>
      </w:r>
      <w:r w:rsidRPr="008B052A">
        <w:t xml:space="preserve">by 2030. Business travel is forecast to exhibit a slower </w:t>
      </w:r>
      <w:r w:rsidRPr="008B052A">
        <w:lastRenderedPageBreak/>
        <w:t xml:space="preserve">rate of growth than holiday and </w:t>
      </w:r>
      <w:r w:rsidR="00CD28E9">
        <w:t>visiting friends or relatives (</w:t>
      </w:r>
      <w:r w:rsidRPr="008B052A">
        <w:t>VFR</w:t>
      </w:r>
      <w:r w:rsidR="00CD28E9">
        <w:t>)</w:t>
      </w:r>
      <w:r w:rsidRPr="008B052A">
        <w:t xml:space="preserve"> travel. This reflects </w:t>
      </w:r>
      <w:r w:rsidR="192F8135" w:rsidRPr="008B052A">
        <w:t>business</w:t>
      </w:r>
      <w:r w:rsidRPr="008B052A">
        <w:t xml:space="preserve"> conditions and the widespread adoption of online communication technologies, which has led organisations to reassess the necessity and frequency of business trips. In 2025, </w:t>
      </w:r>
      <w:r w:rsidR="000D0E2F">
        <w:t xml:space="preserve">there are </w:t>
      </w:r>
      <w:r w:rsidR="0012428C">
        <w:t>forecast to be</w:t>
      </w:r>
      <w:r w:rsidRPr="008B052A">
        <w:t xml:space="preserve"> </w:t>
      </w:r>
      <w:r w:rsidR="5A9BF95E" w:rsidRPr="008B052A">
        <w:t>13.7</w:t>
      </w:r>
      <w:r w:rsidR="00A818A7" w:rsidRPr="008B052A">
        <w:t> </w:t>
      </w:r>
      <w:r w:rsidRPr="008B052A">
        <w:t>million</w:t>
      </w:r>
      <w:r w:rsidR="0012428C">
        <w:t xml:space="preserve"> domestic overnight business trips</w:t>
      </w:r>
      <w:r w:rsidRPr="008B052A">
        <w:t>. Overnight business trips are then projected to increase at an average annual rate of 1.</w:t>
      </w:r>
      <w:r w:rsidR="14EDD52C" w:rsidRPr="008B052A">
        <w:t>4</w:t>
      </w:r>
      <w:r w:rsidRPr="008B052A">
        <w:t xml:space="preserve">% over the forecast period, </w:t>
      </w:r>
      <w:r w:rsidR="00A24747">
        <w:t>to reach 14.6</w:t>
      </w:r>
      <w:r w:rsidR="00E16FAF">
        <w:t> </w:t>
      </w:r>
      <w:r w:rsidR="00A24747">
        <w:t xml:space="preserve">million in 2030. </w:t>
      </w:r>
      <w:r w:rsidR="003E0991">
        <w:t xml:space="preserve">The persistent growth trajectory for domestic overnight business trips, albeit mild, </w:t>
      </w:r>
      <w:r w:rsidRPr="008B052A">
        <w:t>reflect</w:t>
      </w:r>
      <w:r w:rsidR="003E0991">
        <w:t>s</w:t>
      </w:r>
      <w:r w:rsidRPr="008B052A">
        <w:t xml:space="preserve"> </w:t>
      </w:r>
      <w:r w:rsidR="00D20C11" w:rsidRPr="008B052A">
        <w:t>the ongoing necessity and importance of business travel</w:t>
      </w:r>
      <w:r w:rsidR="001B4444" w:rsidRPr="008B052A">
        <w:t xml:space="preserve"> and value generated from </w:t>
      </w:r>
      <w:r w:rsidR="001E39A5" w:rsidRPr="008B052A">
        <w:t>face-to-face events</w:t>
      </w:r>
      <w:r w:rsidRPr="008B052A">
        <w:t>.</w:t>
      </w:r>
    </w:p>
    <w:p w14:paraId="038B794D" w14:textId="06C0D842" w:rsidR="005C1B0A" w:rsidRPr="008B052A" w:rsidRDefault="00961F56" w:rsidP="000159AC">
      <w:r w:rsidRPr="008B052A">
        <w:t xml:space="preserve">Over the forecast period, growth in </w:t>
      </w:r>
      <w:r w:rsidR="00356624" w:rsidRPr="008B052A">
        <w:t>domestic</w:t>
      </w:r>
      <w:r w:rsidR="00697DDF" w:rsidRPr="008B052A">
        <w:t xml:space="preserve"> </w:t>
      </w:r>
      <w:r w:rsidRPr="008B052A">
        <w:t>overnight trips is expected to vary only modestly between states and territories. Differences in growth trends across the states and territories primarily reflect factors such as each jurisdiction’s economic outlook, population growth, and the composition of their visitation markets</w:t>
      </w:r>
      <w:r w:rsidR="002950F1">
        <w:t xml:space="preserve"> with respect to purpose of travel</w:t>
      </w:r>
      <w:r w:rsidRPr="008B052A">
        <w:t>.</w:t>
      </w:r>
    </w:p>
    <w:p w14:paraId="1542E742" w14:textId="142122C5" w:rsidR="0058718C" w:rsidRPr="008B052A" w:rsidRDefault="0058718C" w:rsidP="0058718C">
      <w:pPr>
        <w:pStyle w:val="Heading2"/>
        <w:rPr>
          <w:bCs w:val="0"/>
        </w:rPr>
      </w:pPr>
      <w:bookmarkStart w:id="49" w:name="_Ref183526304"/>
      <w:bookmarkStart w:id="50" w:name="_Toc184632613"/>
      <w:bookmarkStart w:id="51" w:name="_Toc214539191"/>
      <w:r w:rsidRPr="008B052A">
        <w:t xml:space="preserve">Factors affecting the </w:t>
      </w:r>
      <w:r w:rsidR="00296AA3" w:rsidRPr="008B052A">
        <w:t xml:space="preserve">forecast </w:t>
      </w:r>
      <w:r w:rsidRPr="008B052A">
        <w:t>outlook</w:t>
      </w:r>
      <w:bookmarkEnd w:id="49"/>
      <w:bookmarkEnd w:id="50"/>
      <w:bookmarkEnd w:id="51"/>
    </w:p>
    <w:p w14:paraId="0100227A" w14:textId="39EA1DAF" w:rsidR="00310C7C" w:rsidRPr="008B052A" w:rsidRDefault="00310C7C" w:rsidP="000159AC">
      <w:r w:rsidRPr="008B052A">
        <w:t xml:space="preserve">Forecasting always involves a degree of uncertainty and forecasting </w:t>
      </w:r>
      <w:r w:rsidR="00021367" w:rsidRPr="008B052A">
        <w:t xml:space="preserve">both </w:t>
      </w:r>
      <w:r w:rsidRPr="008B052A">
        <w:t>national and international travel</w:t>
      </w:r>
      <w:r w:rsidR="00021367" w:rsidRPr="008B052A">
        <w:t>, as well as</w:t>
      </w:r>
      <w:r w:rsidRPr="008B052A">
        <w:t xml:space="preserve"> spend behaviour</w:t>
      </w:r>
      <w:r w:rsidR="00A818A7" w:rsidRPr="008B052A">
        <w:t>,</w:t>
      </w:r>
      <w:r w:rsidRPr="008B052A">
        <w:t xml:space="preserve"> over the next five years is no different. </w:t>
      </w:r>
      <w:r w:rsidR="00925ABD" w:rsidRPr="008B052A">
        <w:t xml:space="preserve">For this reason, TRA’s methodology includes various stages of review and consultation with a range of </w:t>
      </w:r>
      <w:r w:rsidR="00E5515C" w:rsidRPr="008B052A">
        <w:t xml:space="preserve">relevant specialists. </w:t>
      </w:r>
    </w:p>
    <w:p w14:paraId="28CF4EE1" w14:textId="54E6652C" w:rsidR="00D03195" w:rsidRPr="008B052A" w:rsidRDefault="004769CA" w:rsidP="00DA11CE">
      <w:r w:rsidRPr="008B052A">
        <w:t>Many</w:t>
      </w:r>
      <w:r w:rsidR="00DB4B00" w:rsidRPr="008B052A">
        <w:t xml:space="preserve"> factors </w:t>
      </w:r>
      <w:r w:rsidR="00F334C2" w:rsidRPr="008B052A">
        <w:t>must be assessed during</w:t>
      </w:r>
      <w:r w:rsidR="00DB4B00" w:rsidRPr="008B052A">
        <w:t xml:space="preserve"> the development of </w:t>
      </w:r>
      <w:r w:rsidR="002E5ED1" w:rsidRPr="008B052A">
        <w:t>TRA’s tourism</w:t>
      </w:r>
      <w:r w:rsidR="00DB4B00" w:rsidRPr="008B052A">
        <w:t xml:space="preserve"> forecasts</w:t>
      </w:r>
      <w:r w:rsidR="00E90810" w:rsidRPr="008B052A">
        <w:t>.</w:t>
      </w:r>
      <w:r w:rsidR="00F959F0" w:rsidRPr="008B052A">
        <w:t xml:space="preserve"> </w:t>
      </w:r>
      <w:r w:rsidR="00E90810" w:rsidRPr="008B052A">
        <w:t>K</w:t>
      </w:r>
      <w:r w:rsidR="00F959F0" w:rsidRPr="008B052A">
        <w:t xml:space="preserve">ey </w:t>
      </w:r>
      <w:r w:rsidR="009402A1" w:rsidRPr="008B052A">
        <w:t>considerations</w:t>
      </w:r>
      <w:r w:rsidR="009C1718" w:rsidRPr="008B052A">
        <w:t xml:space="preserve"> that underpin </w:t>
      </w:r>
      <w:r w:rsidR="00582CEA" w:rsidRPr="008B052A">
        <w:t>the</w:t>
      </w:r>
      <w:r w:rsidR="000308B5" w:rsidRPr="008B052A">
        <w:t xml:space="preserve">se forecasts </w:t>
      </w:r>
      <w:r w:rsidR="002E5ED1" w:rsidRPr="008B052A">
        <w:t>includ</w:t>
      </w:r>
      <w:r w:rsidR="00E90810" w:rsidRPr="008B052A">
        <w:t>e</w:t>
      </w:r>
      <w:r w:rsidR="00A03B0B" w:rsidRPr="008B052A">
        <w:t>:</w:t>
      </w:r>
    </w:p>
    <w:p w14:paraId="1215DC3A" w14:textId="77777777" w:rsidR="005864EF" w:rsidRPr="008B052A" w:rsidRDefault="005864EF" w:rsidP="00AF436C">
      <w:pPr>
        <w:sectPr w:rsidR="005864EF" w:rsidRPr="008B052A" w:rsidSect="005A69DA">
          <w:headerReference w:type="even" r:id="rId20"/>
          <w:headerReference w:type="default" r:id="rId21"/>
          <w:footerReference w:type="even" r:id="rId22"/>
          <w:footerReference w:type="default" r:id="rId23"/>
          <w:headerReference w:type="first" r:id="rId24"/>
          <w:footerReference w:type="first" r:id="rId25"/>
          <w:pgSz w:w="11906" w:h="16838"/>
          <w:pgMar w:top="851" w:right="945" w:bottom="993" w:left="993" w:header="708" w:footer="362" w:gutter="0"/>
          <w:cols w:space="708"/>
          <w:titlePg/>
          <w:docGrid w:linePitch="360"/>
        </w:sectPr>
      </w:pPr>
    </w:p>
    <w:p w14:paraId="1384E6E5" w14:textId="77777777" w:rsidR="005864EF" w:rsidRPr="008B052A" w:rsidRDefault="005864EF" w:rsidP="005864EF">
      <w:pPr>
        <w:pStyle w:val="ListParagraph"/>
        <w:numPr>
          <w:ilvl w:val="0"/>
          <w:numId w:val="15"/>
        </w:numPr>
        <w:contextualSpacing w:val="0"/>
      </w:pPr>
      <w:r w:rsidRPr="008B052A">
        <w:t>Domestic</w:t>
      </w:r>
      <w:r w:rsidR="00582CEA" w:rsidRPr="008B052A">
        <w:t xml:space="preserve"> and international</w:t>
      </w:r>
      <w:r w:rsidRPr="008B052A">
        <w:t xml:space="preserve"> economic conditions</w:t>
      </w:r>
    </w:p>
    <w:p w14:paraId="6515C040" w14:textId="09A14EC5" w:rsidR="00AB34DA" w:rsidRPr="008B052A" w:rsidRDefault="00AB34DA" w:rsidP="00AB34DA">
      <w:pPr>
        <w:pStyle w:val="ListParagraph"/>
        <w:numPr>
          <w:ilvl w:val="0"/>
          <w:numId w:val="15"/>
        </w:numPr>
        <w:contextualSpacing w:val="0"/>
      </w:pPr>
      <w:r w:rsidRPr="008B052A">
        <w:t>Geopolitical stability and the impact of conflicts</w:t>
      </w:r>
    </w:p>
    <w:p w14:paraId="049FB1C4" w14:textId="35FA6041" w:rsidR="00AF436C" w:rsidRPr="008B052A" w:rsidRDefault="00AF436C" w:rsidP="00AF436C">
      <w:pPr>
        <w:pStyle w:val="ListParagraph"/>
        <w:numPr>
          <w:ilvl w:val="0"/>
          <w:numId w:val="15"/>
        </w:numPr>
        <w:contextualSpacing w:val="0"/>
      </w:pPr>
      <w:r w:rsidRPr="008B052A">
        <w:t xml:space="preserve">Rate and </w:t>
      </w:r>
      <w:r w:rsidR="00D92FE9">
        <w:t xml:space="preserve">geographic </w:t>
      </w:r>
      <w:r w:rsidRPr="008B052A">
        <w:t>spread of population growth</w:t>
      </w:r>
    </w:p>
    <w:p w14:paraId="06E0AE45" w14:textId="4C659E64" w:rsidR="00AF436C" w:rsidRPr="008B052A" w:rsidRDefault="00D76B8A" w:rsidP="00AD5835">
      <w:pPr>
        <w:pStyle w:val="ListParagraph"/>
        <w:numPr>
          <w:ilvl w:val="0"/>
          <w:numId w:val="15"/>
        </w:numPr>
        <w:contextualSpacing w:val="0"/>
      </w:pPr>
      <w:r>
        <w:t>H</w:t>
      </w:r>
      <w:r w:rsidR="00AF436C" w:rsidRPr="008B052A">
        <w:t xml:space="preserve">ousehold </w:t>
      </w:r>
      <w:r>
        <w:t>financial circumstances and</w:t>
      </w:r>
      <w:r w:rsidR="00AF436C" w:rsidRPr="008B052A">
        <w:t xml:space="preserve"> discretionary spending choices</w:t>
      </w:r>
    </w:p>
    <w:p w14:paraId="6A87D730" w14:textId="4F742F04" w:rsidR="00F53FE3" w:rsidRPr="008B052A" w:rsidRDefault="00F53FE3" w:rsidP="00AD5835">
      <w:pPr>
        <w:pStyle w:val="ListParagraph"/>
        <w:numPr>
          <w:ilvl w:val="0"/>
          <w:numId w:val="15"/>
        </w:numPr>
        <w:contextualSpacing w:val="0"/>
      </w:pPr>
      <w:r w:rsidRPr="008B052A">
        <w:t xml:space="preserve">Sustainability considerations including reporting requirements, consumer </w:t>
      </w:r>
      <w:r w:rsidR="00AF1C91" w:rsidRPr="008B052A">
        <w:t>preferences,</w:t>
      </w:r>
      <w:r w:rsidRPr="008B052A">
        <w:t xml:space="preserve"> and </w:t>
      </w:r>
      <w:r w:rsidR="00970826" w:rsidRPr="008B052A">
        <w:t>policy changes</w:t>
      </w:r>
    </w:p>
    <w:p w14:paraId="748A51D9" w14:textId="77777777" w:rsidR="005864EF" w:rsidRPr="008B052A" w:rsidRDefault="005864EF" w:rsidP="005864EF">
      <w:pPr>
        <w:pStyle w:val="ListParagraph"/>
        <w:numPr>
          <w:ilvl w:val="0"/>
          <w:numId w:val="15"/>
        </w:numPr>
        <w:contextualSpacing w:val="0"/>
      </w:pPr>
      <w:r w:rsidRPr="008B052A">
        <w:t>Impacts from extreme weather events</w:t>
      </w:r>
    </w:p>
    <w:p w14:paraId="409EDA76" w14:textId="53F1D12F" w:rsidR="00AB34DA" w:rsidRPr="008B052A" w:rsidRDefault="00AB34DA" w:rsidP="00AB34DA">
      <w:pPr>
        <w:pStyle w:val="ListParagraph"/>
        <w:numPr>
          <w:ilvl w:val="0"/>
          <w:numId w:val="15"/>
        </w:numPr>
        <w:contextualSpacing w:val="0"/>
      </w:pPr>
      <w:r w:rsidRPr="008B052A">
        <w:t>Aviation capacity</w:t>
      </w:r>
      <w:r w:rsidR="007D011D">
        <w:t>, route networks</w:t>
      </w:r>
      <w:r w:rsidRPr="008B052A">
        <w:t xml:space="preserve"> and competitiveness</w:t>
      </w:r>
    </w:p>
    <w:p w14:paraId="1C6EE517" w14:textId="717A3725" w:rsidR="00AB34DA" w:rsidRPr="008B052A" w:rsidRDefault="0034695E" w:rsidP="00AB34DA">
      <w:pPr>
        <w:pStyle w:val="ListParagraph"/>
        <w:numPr>
          <w:ilvl w:val="0"/>
          <w:numId w:val="15"/>
        </w:numPr>
        <w:contextualSpacing w:val="0"/>
      </w:pPr>
      <w:r>
        <w:t xml:space="preserve">Changes in </w:t>
      </w:r>
      <w:r w:rsidR="00AB34DA" w:rsidRPr="008B052A">
        <w:t>costs</w:t>
      </w:r>
      <w:r w:rsidR="00055AFA">
        <w:t xml:space="preserve"> of travel goods and services</w:t>
      </w:r>
      <w:r w:rsidR="00AB34DA" w:rsidRPr="008B052A">
        <w:t>, including the outlook for airfares and fuel prices</w:t>
      </w:r>
    </w:p>
    <w:p w14:paraId="564CB338" w14:textId="77777777" w:rsidR="008E06F3" w:rsidRPr="008B052A" w:rsidRDefault="008E06F3" w:rsidP="008E06F3">
      <w:pPr>
        <w:pStyle w:val="ListParagraph"/>
        <w:numPr>
          <w:ilvl w:val="0"/>
          <w:numId w:val="15"/>
        </w:numPr>
        <w:contextualSpacing w:val="0"/>
      </w:pPr>
      <w:r w:rsidRPr="008B052A">
        <w:t>Ties between Australia and high-growth markets</w:t>
      </w:r>
    </w:p>
    <w:p w14:paraId="484665D4" w14:textId="51EC98D0" w:rsidR="00AF436C" w:rsidRPr="008B052A" w:rsidRDefault="00AF436C" w:rsidP="00AF436C">
      <w:pPr>
        <w:pStyle w:val="ListParagraph"/>
        <w:numPr>
          <w:ilvl w:val="0"/>
          <w:numId w:val="15"/>
        </w:numPr>
        <w:contextualSpacing w:val="0"/>
      </w:pPr>
      <w:r w:rsidRPr="008B052A">
        <w:t xml:space="preserve">Travel preferences including differences in propensity to take various trip types (i.e. domestic or international travel, day trip or overnight trip, as well as </w:t>
      </w:r>
      <w:r w:rsidR="00ED3220" w:rsidRPr="008B052A">
        <w:t>willingness</w:t>
      </w:r>
      <w:r w:rsidRPr="008B052A">
        <w:t xml:space="preserve"> to take </w:t>
      </w:r>
      <w:r w:rsidR="00010F89" w:rsidRPr="008B052A">
        <w:t xml:space="preserve">long-haul </w:t>
      </w:r>
      <w:r w:rsidRPr="008B052A">
        <w:t>trips)</w:t>
      </w:r>
    </w:p>
    <w:p w14:paraId="711723F0" w14:textId="1336F166" w:rsidR="00606639" w:rsidRPr="008B052A" w:rsidRDefault="00606639" w:rsidP="00606639">
      <w:pPr>
        <w:pStyle w:val="ListParagraph"/>
        <w:numPr>
          <w:ilvl w:val="0"/>
          <w:numId w:val="15"/>
        </w:numPr>
        <w:contextualSpacing w:val="0"/>
      </w:pPr>
      <w:r>
        <w:t>Changes in the relative cost of travel in Australia and in overseas markets</w:t>
      </w:r>
    </w:p>
    <w:p w14:paraId="0FA6CEEA" w14:textId="719C5EA5" w:rsidR="002D4846" w:rsidRPr="008B052A" w:rsidRDefault="00F334C2" w:rsidP="00AF436C">
      <w:pPr>
        <w:pStyle w:val="ListParagraph"/>
        <w:numPr>
          <w:ilvl w:val="0"/>
          <w:numId w:val="15"/>
        </w:numPr>
        <w:contextualSpacing w:val="0"/>
      </w:pPr>
      <w:r w:rsidRPr="008B052A">
        <w:t>Prevalence</w:t>
      </w:r>
      <w:r w:rsidR="002D4846" w:rsidRPr="008B052A">
        <w:t xml:space="preserve"> and location of major events</w:t>
      </w:r>
      <w:r w:rsidR="00A664F7" w:rsidRPr="008B052A">
        <w:t xml:space="preserve"> that attract local and international visitors</w:t>
      </w:r>
      <w:r w:rsidR="00D47DB2" w:rsidRPr="008B052A">
        <w:t>.</w:t>
      </w:r>
    </w:p>
    <w:p w14:paraId="4FC69B7A" w14:textId="77777777" w:rsidR="00E93CAD" w:rsidRPr="008B052A" w:rsidRDefault="00E93CAD" w:rsidP="00AF436C">
      <w:pPr>
        <w:sectPr w:rsidR="00E93CAD" w:rsidRPr="008B052A" w:rsidSect="00E93CAD">
          <w:type w:val="continuous"/>
          <w:pgSz w:w="11906" w:h="16838"/>
          <w:pgMar w:top="851" w:right="945" w:bottom="993" w:left="993" w:header="708" w:footer="362" w:gutter="0"/>
          <w:pgNumType w:start="0"/>
          <w:cols w:num="2" w:space="708"/>
          <w:titlePg/>
          <w:docGrid w:linePitch="360"/>
        </w:sectPr>
      </w:pPr>
    </w:p>
    <w:p w14:paraId="37C5B157" w14:textId="7EBE742C" w:rsidR="004E3F5C" w:rsidRDefault="008A6E00" w:rsidP="002A1C88">
      <w:r w:rsidRPr="008B052A">
        <w:t xml:space="preserve">For the </w:t>
      </w:r>
      <w:r w:rsidR="002A1C88" w:rsidRPr="008B052A">
        <w:t xml:space="preserve">first time, this year TRA has produced </w:t>
      </w:r>
      <w:r w:rsidR="002A0A04" w:rsidRPr="008B052A">
        <w:t xml:space="preserve">additional data to inform the discussion on the range of potential outcomes in this uncertain environment. </w:t>
      </w:r>
    </w:p>
    <w:p w14:paraId="46F12BF1" w14:textId="42CF6E9E" w:rsidR="000732C0" w:rsidRPr="008B052A" w:rsidRDefault="00152BED" w:rsidP="002A1C88">
      <w:r w:rsidRPr="008B052A">
        <w:lastRenderedPageBreak/>
        <w:t>Most of t</w:t>
      </w:r>
      <w:r w:rsidR="002A1C88" w:rsidRPr="008B052A">
        <w:t>his report</w:t>
      </w:r>
      <w:r w:rsidRPr="008B052A">
        <w:t xml:space="preserve"> focuses on the </w:t>
      </w:r>
      <w:r w:rsidR="00420A9F" w:rsidRPr="008B052A">
        <w:t>central</w:t>
      </w:r>
      <w:r w:rsidRPr="008B052A">
        <w:t xml:space="preserve"> forecast scenario over the next 5 years</w:t>
      </w:r>
      <w:r w:rsidR="009E28E2">
        <w:t>, which</w:t>
      </w:r>
      <w:r w:rsidR="009E28E2" w:rsidRPr="009E28E2">
        <w:t xml:space="preserve"> </w:t>
      </w:r>
      <w:r w:rsidR="009E28E2" w:rsidRPr="008B052A">
        <w:t>reflects TRA’s view of the most likely outcomes</w:t>
      </w:r>
      <w:r w:rsidR="00420A9F" w:rsidRPr="008B052A">
        <w:t>. T</w:t>
      </w:r>
      <w:r w:rsidR="002A1C88" w:rsidRPr="008B052A">
        <w:t xml:space="preserve">he </w:t>
      </w:r>
      <w:r w:rsidR="007B12DF">
        <w:t>forecast values in the</w:t>
      </w:r>
      <w:r w:rsidR="002A1C88" w:rsidRPr="008B052A">
        <w:t xml:space="preserve"> </w:t>
      </w:r>
      <w:r w:rsidR="00420A9F" w:rsidRPr="008B052A">
        <w:t>published</w:t>
      </w:r>
      <w:r w:rsidR="002A1C88" w:rsidRPr="008B052A">
        <w:t xml:space="preserve"> data tables</w:t>
      </w:r>
      <w:r w:rsidR="00420A9F" w:rsidRPr="008B052A">
        <w:t xml:space="preserve"> </w:t>
      </w:r>
      <w:bookmarkStart w:id="52" w:name="_Toc184632616"/>
      <w:r w:rsidR="00895996">
        <w:t xml:space="preserve">are </w:t>
      </w:r>
      <w:r w:rsidR="00392905">
        <w:t xml:space="preserve">also </w:t>
      </w:r>
      <w:r w:rsidR="00895996">
        <w:t>generated from the</w:t>
      </w:r>
      <w:r w:rsidR="002A1C88" w:rsidRPr="008B052A">
        <w:t xml:space="preserve"> </w:t>
      </w:r>
      <w:r w:rsidR="00420A9F" w:rsidRPr="008B052A">
        <w:t>central</w:t>
      </w:r>
      <w:r w:rsidR="002A1C88" w:rsidRPr="008B052A">
        <w:t xml:space="preserve"> scenario. However, given the </w:t>
      </w:r>
      <w:r w:rsidR="007F55AF">
        <w:t xml:space="preserve">high degree of </w:t>
      </w:r>
      <w:r w:rsidR="002A1C88" w:rsidRPr="008B052A">
        <w:t xml:space="preserve">uncertainty and the range of factors that could generate different growth trajectories, </w:t>
      </w:r>
      <w:r w:rsidR="00895996">
        <w:t xml:space="preserve">TRA has </w:t>
      </w:r>
      <w:r w:rsidR="007F55AF">
        <w:t>produced</w:t>
      </w:r>
      <w:r w:rsidR="00EE4E1C">
        <w:t xml:space="preserve"> </w:t>
      </w:r>
      <w:r w:rsidR="002A1C88" w:rsidRPr="008B052A">
        <w:t>optimistic and pessimistic forecast scenarios</w:t>
      </w:r>
      <w:r w:rsidR="00420A9F" w:rsidRPr="008B052A">
        <w:t xml:space="preserve"> </w:t>
      </w:r>
      <w:r w:rsidR="00EE4E1C">
        <w:t xml:space="preserve">as well. These alternative scenarios </w:t>
      </w:r>
      <w:r w:rsidR="00420A9F" w:rsidRPr="008B052A">
        <w:t xml:space="preserve">are </w:t>
      </w:r>
      <w:r w:rsidR="00EE4E1C">
        <w:t>discussed</w:t>
      </w:r>
      <w:r w:rsidR="00EE4E1C" w:rsidRPr="008B052A">
        <w:t xml:space="preserve"> </w:t>
      </w:r>
      <w:r w:rsidR="00420A9F" w:rsidRPr="008B052A">
        <w:t xml:space="preserve">in a </w:t>
      </w:r>
      <w:r w:rsidR="00F33AB6">
        <w:t>standalone</w:t>
      </w:r>
      <w:r w:rsidR="00F33AB6" w:rsidRPr="008B052A">
        <w:t xml:space="preserve"> </w:t>
      </w:r>
      <w:r w:rsidR="00420A9F" w:rsidRPr="008B052A">
        <w:t>section towards the end of this report. T</w:t>
      </w:r>
      <w:r w:rsidR="002A1C88" w:rsidRPr="008B052A">
        <w:t>he assumptions that underpin the</w:t>
      </w:r>
      <w:r w:rsidR="00373B71" w:rsidRPr="008B052A">
        <w:t xml:space="preserve"> two alternative scenarios</w:t>
      </w:r>
      <w:r w:rsidR="002A1C88" w:rsidRPr="008B052A">
        <w:t xml:space="preserve"> are also </w:t>
      </w:r>
      <w:r w:rsidR="00EE4E1C">
        <w:t>detailed</w:t>
      </w:r>
      <w:r w:rsidR="002A1C88" w:rsidRPr="008B052A">
        <w:t>.</w:t>
      </w:r>
    </w:p>
    <w:p w14:paraId="679322DD" w14:textId="2DA25059" w:rsidR="006D7583" w:rsidRPr="008B052A" w:rsidRDefault="006D7583" w:rsidP="006D7583">
      <w:pPr>
        <w:pStyle w:val="Heading2"/>
        <w:spacing w:before="600"/>
      </w:pPr>
      <w:bookmarkStart w:id="53" w:name="_Toc214539192"/>
      <w:r w:rsidRPr="008B052A">
        <w:t>International tourism forecasts</w:t>
      </w:r>
      <w:bookmarkEnd w:id="52"/>
      <w:bookmarkEnd w:id="53"/>
    </w:p>
    <w:p w14:paraId="12AD65AF" w14:textId="77777777" w:rsidR="006D7583" w:rsidRPr="008B052A" w:rsidRDefault="006D7583" w:rsidP="00CC4169">
      <w:pPr>
        <w:pStyle w:val="Heading3"/>
      </w:pPr>
      <w:bookmarkStart w:id="54" w:name="_Toc184632617"/>
      <w:bookmarkStart w:id="55" w:name="_Toc214539193"/>
      <w:r w:rsidRPr="008B052A">
        <w:t>International visitor arrivals</w:t>
      </w:r>
      <w:bookmarkEnd w:id="54"/>
      <w:bookmarkEnd w:id="55"/>
      <w:r w:rsidRPr="008B052A">
        <w:t xml:space="preserve"> </w:t>
      </w:r>
    </w:p>
    <w:p w14:paraId="245F3B58" w14:textId="1825B320" w:rsidR="00126285" w:rsidRDefault="000D68FC" w:rsidP="00126285">
      <w:r w:rsidRPr="008B052A">
        <w:t xml:space="preserve">International </w:t>
      </w:r>
      <w:r w:rsidR="00DB3805">
        <w:t xml:space="preserve">visitor </w:t>
      </w:r>
      <w:r w:rsidRPr="008B052A">
        <w:t xml:space="preserve">arrivals are forecast to </w:t>
      </w:r>
      <w:r w:rsidR="009C678D" w:rsidRPr="008B052A">
        <w:t>reach</w:t>
      </w:r>
      <w:r w:rsidR="00373B71" w:rsidRPr="008B052A">
        <w:t xml:space="preserve"> </w:t>
      </w:r>
      <w:r w:rsidR="009C678D" w:rsidRPr="008B052A">
        <w:t>8.</w:t>
      </w:r>
      <w:r w:rsidR="00373B71" w:rsidRPr="008B052A">
        <w:t>8</w:t>
      </w:r>
      <w:r w:rsidR="009C678D" w:rsidRPr="008B052A">
        <w:t xml:space="preserve"> million in 2025, an </w:t>
      </w:r>
      <w:r w:rsidRPr="008B052A">
        <w:t xml:space="preserve">increase </w:t>
      </w:r>
      <w:r w:rsidR="009C678D" w:rsidRPr="008B052A">
        <w:t xml:space="preserve">of </w:t>
      </w:r>
      <w:r w:rsidR="000B3064">
        <w:t>6.5</w:t>
      </w:r>
      <w:r w:rsidRPr="008B052A">
        <w:t>% in 202</w:t>
      </w:r>
      <w:r w:rsidR="009C678D" w:rsidRPr="008B052A">
        <w:t>5</w:t>
      </w:r>
      <w:r w:rsidRPr="008B052A">
        <w:t xml:space="preserve"> compared with the previous year. International arrivals are then forecast to increase by a further </w:t>
      </w:r>
      <w:r w:rsidR="00B66A84" w:rsidRPr="008B052A">
        <w:t>2</w:t>
      </w:r>
      <w:r w:rsidR="00B66A84">
        <w:t>4</w:t>
      </w:r>
      <w:r w:rsidRPr="008B052A">
        <w:t>% over the following 5 years</w:t>
      </w:r>
      <w:r w:rsidR="001D7218" w:rsidRPr="008B052A">
        <w:t xml:space="preserve"> to reach 10.</w:t>
      </w:r>
      <w:r w:rsidR="000B3064">
        <w:t>9</w:t>
      </w:r>
      <w:r w:rsidR="000B3064" w:rsidRPr="008B052A">
        <w:t xml:space="preserve"> </w:t>
      </w:r>
      <w:r w:rsidR="001D7218" w:rsidRPr="008B052A">
        <w:t>million in 2030</w:t>
      </w:r>
      <w:r w:rsidR="000B1364" w:rsidRPr="008B052A">
        <w:t xml:space="preserve"> (Figure </w:t>
      </w:r>
      <w:r w:rsidR="00EF6DFA" w:rsidRPr="008B052A">
        <w:t>2</w:t>
      </w:r>
      <w:r w:rsidR="000B1364" w:rsidRPr="008B052A">
        <w:t>)</w:t>
      </w:r>
      <w:r w:rsidRPr="008B052A">
        <w:t>.</w:t>
      </w:r>
      <w:r w:rsidR="001D7218" w:rsidRPr="008B052A">
        <w:t xml:space="preserve"> This is a </w:t>
      </w:r>
      <w:r w:rsidR="002A38A0" w:rsidRPr="008B052A">
        <w:t>substantial</w:t>
      </w:r>
      <w:r w:rsidR="001D7218" w:rsidRPr="008B052A">
        <w:t xml:space="preserve"> increase</w:t>
      </w:r>
      <w:r w:rsidR="002F4AAE" w:rsidRPr="008B052A">
        <w:t>, amounting to</w:t>
      </w:r>
      <w:r w:rsidR="001D7218" w:rsidRPr="008B052A">
        <w:t xml:space="preserve"> </w:t>
      </w:r>
      <w:r w:rsidR="00056E5A">
        <w:t xml:space="preserve">around </w:t>
      </w:r>
      <w:r w:rsidR="001D7218" w:rsidRPr="008B052A">
        <w:t xml:space="preserve">2 million </w:t>
      </w:r>
      <w:r w:rsidR="002F4AAE" w:rsidRPr="008B052A">
        <w:t>more</w:t>
      </w:r>
      <w:r w:rsidR="001D7218" w:rsidRPr="008B052A">
        <w:t xml:space="preserve"> arrivals </w:t>
      </w:r>
      <w:r w:rsidR="002F4AAE" w:rsidRPr="008B052A">
        <w:t xml:space="preserve">in the year in 2030 compared with the </w:t>
      </w:r>
      <w:r w:rsidR="00AA23DE">
        <w:t xml:space="preserve">forecast for the </w:t>
      </w:r>
      <w:r w:rsidR="002F4AAE" w:rsidRPr="008B052A">
        <w:t>current year</w:t>
      </w:r>
      <w:r w:rsidR="002A38A0" w:rsidRPr="008B052A">
        <w:t xml:space="preserve">. </w:t>
      </w:r>
    </w:p>
    <w:p w14:paraId="5363046C" w14:textId="2D4AF4FD" w:rsidR="0075156D" w:rsidRPr="008B052A" w:rsidRDefault="00126285" w:rsidP="00B544A4">
      <w:r w:rsidRPr="008B052A">
        <w:t>Short-term visitor arrivals are forecast to grow at average an annual growth rate of 4</w:t>
      </w:r>
      <w:r w:rsidR="001E6B64">
        <w:t>.3</w:t>
      </w:r>
      <w:r w:rsidRPr="008B052A">
        <w:t xml:space="preserve">% over the 2025 to 2030 period. This is a positive sign of sustainable growth in the visitor economy. </w:t>
      </w:r>
    </w:p>
    <w:p w14:paraId="01DB6C14" w14:textId="60FCC248" w:rsidR="00961BDA" w:rsidRPr="008B052A" w:rsidRDefault="00A06912" w:rsidP="00A06912">
      <w:pPr>
        <w:spacing w:line="300" w:lineRule="atLeast"/>
        <w:rPr>
          <w:color w:val="300050" w:themeColor="text2"/>
        </w:rPr>
      </w:pPr>
      <w:r w:rsidRPr="008B052A">
        <w:rPr>
          <w:b/>
          <w:bCs/>
          <w:color w:val="300050" w:themeColor="text2"/>
        </w:rPr>
        <w:t xml:space="preserve">Figure </w:t>
      </w:r>
      <w:r w:rsidR="002C61E6" w:rsidRPr="008B052A">
        <w:rPr>
          <w:b/>
          <w:bCs/>
          <w:color w:val="300050" w:themeColor="text2"/>
        </w:rPr>
        <w:t>2</w:t>
      </w:r>
      <w:r w:rsidRPr="008B052A">
        <w:rPr>
          <w:b/>
          <w:bCs/>
          <w:color w:val="300050" w:themeColor="text2"/>
        </w:rPr>
        <w:t>.</w:t>
      </w:r>
      <w:r w:rsidRPr="008B052A">
        <w:rPr>
          <w:color w:val="300050" w:themeColor="text2"/>
        </w:rPr>
        <w:t xml:space="preserve"> International short-term visitor arrivals</w:t>
      </w:r>
      <w:r w:rsidR="009A082E" w:rsidRPr="008B052A">
        <w:rPr>
          <w:color w:val="300050" w:themeColor="text2"/>
        </w:rPr>
        <w:t xml:space="preserve"> to Australia</w:t>
      </w:r>
      <w:r w:rsidRPr="008B052A">
        <w:rPr>
          <w:color w:val="300050" w:themeColor="text2"/>
        </w:rPr>
        <w:t xml:space="preserve">. </w:t>
      </w:r>
      <w:r w:rsidR="00B1013E">
        <w:rPr>
          <w:color w:val="300050" w:themeColor="text2"/>
        </w:rPr>
        <w:t>Reported</w:t>
      </w:r>
      <w:r w:rsidR="00B1013E" w:rsidRPr="008B052A">
        <w:rPr>
          <w:color w:val="300050" w:themeColor="text2"/>
        </w:rPr>
        <w:t xml:space="preserve"> </w:t>
      </w:r>
      <w:r w:rsidR="00FE53E8" w:rsidRPr="008B052A">
        <w:rPr>
          <w:color w:val="300050" w:themeColor="text2"/>
        </w:rPr>
        <w:t>values to 2024, forecast values from 2025 onwards.</w:t>
      </w:r>
    </w:p>
    <w:p w14:paraId="0D4116C9" w14:textId="180EDB98" w:rsidR="000B1364" w:rsidRPr="008B052A" w:rsidRDefault="0009327C" w:rsidP="009A082E">
      <w:pPr>
        <w:spacing w:line="300" w:lineRule="atLeast"/>
        <w:rPr>
          <w:color w:val="300050" w:themeColor="text2"/>
        </w:rPr>
      </w:pPr>
      <w:r w:rsidRPr="0009327C">
        <w:rPr>
          <w:noProof/>
        </w:rPr>
        <w:drawing>
          <wp:inline distT="0" distB="0" distL="0" distR="0" wp14:anchorId="572ACFA3" wp14:editId="068F9762">
            <wp:extent cx="6329680" cy="3151505"/>
            <wp:effectExtent l="0" t="0" r="0" b="0"/>
            <wp:docPr id="1777944046" name="Picture 2" descr="Chart showing the number of  international short-term visitor arrivals in Australia each year from 2015 to 2030. There is expected to be a continued trend rise in the number of arrivals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44046" name="Picture 2" descr="Chart showing the number of  international short-term visitor arrivals in Australia each year from 2015 to 2030. There is expected to be a continued trend rise in the number of arrivals over the forecast period from 2025 to 2030.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29680" cy="3151505"/>
                    </a:xfrm>
                    <a:prstGeom prst="rect">
                      <a:avLst/>
                    </a:prstGeom>
                    <a:noFill/>
                    <a:ln>
                      <a:noFill/>
                    </a:ln>
                  </pic:spPr>
                </pic:pic>
              </a:graphicData>
            </a:graphic>
          </wp:inline>
        </w:drawing>
      </w:r>
    </w:p>
    <w:p w14:paraId="4AB7600A" w14:textId="77777777" w:rsidR="00B544A4" w:rsidRDefault="00B544A4">
      <w:pPr>
        <w:spacing w:before="0" w:after="160" w:line="259" w:lineRule="auto"/>
      </w:pPr>
      <w:r>
        <w:br w:type="page"/>
      </w:r>
    </w:p>
    <w:p w14:paraId="523F781A" w14:textId="39173775" w:rsidR="0075156D" w:rsidRPr="008B052A" w:rsidRDefault="0075156D" w:rsidP="00B544A4">
      <w:pPr>
        <w:keepNext/>
        <w:spacing w:line="240" w:lineRule="atLeast"/>
      </w:pPr>
      <w:r w:rsidRPr="008B052A">
        <w:lastRenderedPageBreak/>
        <w:t xml:space="preserve">Growth over the next 5 years is driven by: </w:t>
      </w:r>
    </w:p>
    <w:p w14:paraId="1C4DADEB" w14:textId="0CAE727C" w:rsidR="00A41226" w:rsidRPr="008B052A" w:rsidRDefault="00B83845" w:rsidP="00A41226">
      <w:pPr>
        <w:numPr>
          <w:ilvl w:val="0"/>
          <w:numId w:val="19"/>
        </w:numPr>
      </w:pPr>
      <w:r w:rsidRPr="008B052A">
        <w:t>C</w:t>
      </w:r>
      <w:r w:rsidR="00A41226" w:rsidRPr="008B052A">
        <w:t>ontinued gradual increases to aviation capacity, including from key emerging and growth markets</w:t>
      </w:r>
      <w:r w:rsidR="002951E6" w:rsidRPr="008B052A">
        <w:t xml:space="preserve">, and the </w:t>
      </w:r>
      <w:r w:rsidR="00CB4A8B" w:rsidRPr="008B052A">
        <w:t xml:space="preserve">commencement of flights into Western Sydney’s </w:t>
      </w:r>
      <w:r w:rsidR="002D4A62" w:rsidRPr="008B052A">
        <w:t xml:space="preserve">new international airport </w:t>
      </w:r>
    </w:p>
    <w:p w14:paraId="6B15D9E0" w14:textId="1B6AB286" w:rsidR="00A41226" w:rsidRPr="008B052A" w:rsidRDefault="00B83845" w:rsidP="00A41226">
      <w:pPr>
        <w:numPr>
          <w:ilvl w:val="0"/>
          <w:numId w:val="19"/>
        </w:numPr>
      </w:pPr>
      <w:r w:rsidRPr="008B052A">
        <w:t>Gr</w:t>
      </w:r>
      <w:r w:rsidR="00A41226" w:rsidRPr="008B052A">
        <w:t xml:space="preserve">owth in inbound demand from </w:t>
      </w:r>
      <w:r w:rsidR="00276B9F">
        <w:t>a range of</w:t>
      </w:r>
      <w:r w:rsidR="00420891">
        <w:t xml:space="preserve"> </w:t>
      </w:r>
      <w:r w:rsidR="00A41226" w:rsidRPr="008B052A">
        <w:t>source markets</w:t>
      </w:r>
      <w:r w:rsidR="00F64EF7" w:rsidRPr="008B052A">
        <w:t xml:space="preserve">, </w:t>
      </w:r>
      <w:r w:rsidR="00276B9F">
        <w:t>including</w:t>
      </w:r>
      <w:r w:rsidR="00276B9F" w:rsidRPr="008B052A">
        <w:t xml:space="preserve"> </w:t>
      </w:r>
      <w:r w:rsidR="00F64EF7" w:rsidRPr="008B052A">
        <w:t>those</w:t>
      </w:r>
      <w:r w:rsidR="00A41226" w:rsidRPr="008B052A">
        <w:t xml:space="preserve"> that </w:t>
      </w:r>
      <w:r w:rsidR="006E2E4F" w:rsidRPr="008B052A">
        <w:t>ha</w:t>
      </w:r>
      <w:r w:rsidR="006E2E4F">
        <w:t xml:space="preserve">ve </w:t>
      </w:r>
      <w:r w:rsidR="00A41226" w:rsidRPr="008B052A">
        <w:t>been slow</w:t>
      </w:r>
      <w:r w:rsidR="00F64EF7" w:rsidRPr="008B052A">
        <w:t>er</w:t>
      </w:r>
      <w:r w:rsidR="00A41226" w:rsidRPr="008B052A">
        <w:t xml:space="preserve"> to recover from the COVID-19 pandemic disruptions to travel. This includes arrivals from China, which is an important source market for Australia</w:t>
      </w:r>
    </w:p>
    <w:p w14:paraId="644FF1F1" w14:textId="674F9059" w:rsidR="006B05E1" w:rsidRPr="008B052A" w:rsidRDefault="00B83845" w:rsidP="00A41226">
      <w:pPr>
        <w:numPr>
          <w:ilvl w:val="0"/>
          <w:numId w:val="19"/>
        </w:numPr>
      </w:pPr>
      <w:r w:rsidRPr="008B052A">
        <w:t>C</w:t>
      </w:r>
      <w:r w:rsidR="00A41226" w:rsidRPr="008B052A">
        <w:t>lose and growing ties between Australia and several high-growth markets in our region</w:t>
      </w:r>
    </w:p>
    <w:p w14:paraId="1554B260" w14:textId="7261A615" w:rsidR="00D5483C" w:rsidRPr="008B052A" w:rsidRDefault="0073252B" w:rsidP="00A41226">
      <w:pPr>
        <w:numPr>
          <w:ilvl w:val="0"/>
          <w:numId w:val="19"/>
        </w:numPr>
      </w:pPr>
      <w:r w:rsidRPr="008B052A">
        <w:t>Multiple major international</w:t>
      </w:r>
      <w:r w:rsidR="00A86F56" w:rsidRPr="008B052A">
        <w:t xml:space="preserve"> </w:t>
      </w:r>
      <w:r w:rsidRPr="008B052A">
        <w:t xml:space="preserve">sporting events </w:t>
      </w:r>
      <w:r w:rsidR="00817687" w:rsidRPr="008B052A">
        <w:t xml:space="preserve">that are confirmed </w:t>
      </w:r>
      <w:r w:rsidR="00BB36F5" w:rsidRPr="008B052A">
        <w:t xml:space="preserve">to be held in Australia </w:t>
      </w:r>
      <w:r w:rsidR="00380813" w:rsidRPr="008B052A">
        <w:t>which will attract international travellers</w:t>
      </w:r>
    </w:p>
    <w:p w14:paraId="4FC7463F" w14:textId="272D6838" w:rsidR="002B5A9F" w:rsidRDefault="006B05E1" w:rsidP="006B05E1">
      <w:pPr>
        <w:numPr>
          <w:ilvl w:val="0"/>
          <w:numId w:val="19"/>
        </w:numPr>
      </w:pPr>
      <w:r w:rsidRPr="008B052A">
        <w:t xml:space="preserve">Australia’s </w:t>
      </w:r>
      <w:r w:rsidR="0002699C" w:rsidRPr="008B052A">
        <w:t>enduring</w:t>
      </w:r>
      <w:r w:rsidRPr="008B052A">
        <w:t xml:space="preserve"> reputation as a safe, clean, friendly</w:t>
      </w:r>
      <w:r w:rsidR="00AF1C91" w:rsidRPr="008B052A">
        <w:t>,</w:t>
      </w:r>
      <w:r w:rsidRPr="008B052A">
        <w:t xml:space="preserve"> and aspirational travel destination</w:t>
      </w:r>
      <w:r w:rsidR="00AE6E98" w:rsidRPr="008B052A">
        <w:t>.</w:t>
      </w:r>
      <w:r w:rsidR="00A66E83" w:rsidRPr="008B052A">
        <w:t xml:space="preserve"> </w:t>
      </w:r>
      <w:r w:rsidR="00050061" w:rsidRPr="008B052A">
        <w:t>(</w:t>
      </w:r>
      <w:r w:rsidR="00A66E83" w:rsidRPr="008B052A">
        <w:t xml:space="preserve">This is </w:t>
      </w:r>
      <w:r w:rsidR="00050061" w:rsidRPr="008B052A">
        <w:t xml:space="preserve">particularly </w:t>
      </w:r>
      <w:r w:rsidR="00A66E83" w:rsidRPr="008B052A">
        <w:t>important in an uncertain global travel environment</w:t>
      </w:r>
      <w:r w:rsidR="002B5A9F">
        <w:t>)</w:t>
      </w:r>
      <w:r w:rsidR="00A66E83" w:rsidRPr="008B052A">
        <w:t xml:space="preserve"> </w:t>
      </w:r>
    </w:p>
    <w:p w14:paraId="0AF2CD2F" w14:textId="1403F819" w:rsidR="00B161FE" w:rsidRDefault="002B5A9F" w:rsidP="006B05E1">
      <w:pPr>
        <w:numPr>
          <w:ilvl w:val="0"/>
          <w:numId w:val="19"/>
        </w:numPr>
      </w:pPr>
      <w:r>
        <w:t>P</w:t>
      </w:r>
      <w:r w:rsidR="00A66E83" w:rsidRPr="008B052A">
        <w:t xml:space="preserve">romotional work </w:t>
      </w:r>
      <w:r w:rsidR="00477CDF" w:rsidRPr="008B052A">
        <w:t xml:space="preserve">to </w:t>
      </w:r>
      <w:r>
        <w:t xml:space="preserve">grow markets and </w:t>
      </w:r>
      <w:r w:rsidR="00477CDF" w:rsidRPr="008B052A">
        <w:t>attract visitors to Australia</w:t>
      </w:r>
      <w:r w:rsidR="00156746" w:rsidRPr="008B052A">
        <w:t xml:space="preserve"> </w:t>
      </w:r>
    </w:p>
    <w:p w14:paraId="7EA23CA8" w14:textId="7751A30E" w:rsidR="006B05E1" w:rsidRPr="008B052A" w:rsidRDefault="00156746" w:rsidP="006B05E1">
      <w:pPr>
        <w:numPr>
          <w:ilvl w:val="0"/>
          <w:numId w:val="19"/>
        </w:numPr>
      </w:pPr>
      <w:r w:rsidRPr="008B052A">
        <w:t xml:space="preserve">Australia’s </w:t>
      </w:r>
      <w:r w:rsidR="00C16057" w:rsidRPr="008B052A">
        <w:t xml:space="preserve">positive </w:t>
      </w:r>
      <w:r w:rsidRPr="008B052A">
        <w:t xml:space="preserve">reputation </w:t>
      </w:r>
      <w:r w:rsidR="00B161FE">
        <w:t xml:space="preserve">as a destination that </w:t>
      </w:r>
      <w:r w:rsidR="0002699C" w:rsidRPr="008B052A">
        <w:t>attract</w:t>
      </w:r>
      <w:r w:rsidR="00C16057" w:rsidRPr="008B052A">
        <w:t>s</w:t>
      </w:r>
      <w:r w:rsidR="0002699C" w:rsidRPr="008B052A">
        <w:t xml:space="preserve"> </w:t>
      </w:r>
      <w:r w:rsidR="00AF489C" w:rsidRPr="008B052A">
        <w:t xml:space="preserve">business, </w:t>
      </w:r>
      <w:r w:rsidR="001A7437" w:rsidRPr="008B052A">
        <w:t>employment,</w:t>
      </w:r>
      <w:r w:rsidR="00AF489C" w:rsidRPr="008B052A">
        <w:t xml:space="preserve"> and education </w:t>
      </w:r>
      <w:r w:rsidR="00C16057" w:rsidRPr="008B052A">
        <w:t>arrivals</w:t>
      </w:r>
      <w:r w:rsidR="00A66E83" w:rsidRPr="008B052A">
        <w:t xml:space="preserve"> </w:t>
      </w:r>
    </w:p>
    <w:p w14:paraId="4054477B" w14:textId="4C3FF96B" w:rsidR="00A41226" w:rsidRPr="008B052A" w:rsidRDefault="00B83845" w:rsidP="00A41226">
      <w:pPr>
        <w:numPr>
          <w:ilvl w:val="0"/>
          <w:numId w:val="19"/>
        </w:numPr>
      </w:pPr>
      <w:r w:rsidRPr="008B052A">
        <w:t>T</w:t>
      </w:r>
      <w:r w:rsidR="003645D7" w:rsidRPr="008B052A">
        <w:t xml:space="preserve">he important role travel plays in connecting people, supporting business, encouraging investment, strengthening family bonds, and improving mental health and wellbeing, which is supporting </w:t>
      </w:r>
      <w:r w:rsidR="00645CDE" w:rsidRPr="008B052A">
        <w:t>decisions to prioritise travel</w:t>
      </w:r>
      <w:r w:rsidR="00A41226" w:rsidRPr="008B052A">
        <w:t>. </w:t>
      </w:r>
    </w:p>
    <w:p w14:paraId="50A8860A" w14:textId="2BFBA993" w:rsidR="005543D6" w:rsidRDefault="000A3ADB" w:rsidP="000D68FC">
      <w:r w:rsidRPr="008B052A">
        <w:t>T</w:t>
      </w:r>
      <w:r w:rsidR="000D68FC" w:rsidRPr="008B052A">
        <w:t xml:space="preserve">he current forecast path for international arrivals has been revised downward relative to the </w:t>
      </w:r>
      <w:r w:rsidR="0075156D" w:rsidRPr="008B052A">
        <w:t>previous</w:t>
      </w:r>
      <w:r w:rsidR="000D68FC" w:rsidRPr="008B052A">
        <w:t xml:space="preserve"> forecast publication (see </w:t>
      </w:r>
      <w:hyperlink r:id="rId27" w:history="1">
        <w:r w:rsidR="00B1583F" w:rsidRPr="008B052A">
          <w:rPr>
            <w:rStyle w:val="Hyperlink"/>
          </w:rPr>
          <w:t>Tourism forecasts for Australia: 2024–2029</w:t>
        </w:r>
      </w:hyperlink>
      <w:r w:rsidR="000D68FC" w:rsidRPr="008B052A">
        <w:t xml:space="preserve">). The downward revision </w:t>
      </w:r>
      <w:r w:rsidR="003F7898" w:rsidRPr="008B052A">
        <w:t xml:space="preserve">compared </w:t>
      </w:r>
      <w:r w:rsidR="000D68FC" w:rsidRPr="008B052A">
        <w:t xml:space="preserve">to </w:t>
      </w:r>
      <w:r w:rsidR="003F7898" w:rsidRPr="008B052A">
        <w:t>last year</w:t>
      </w:r>
      <w:r w:rsidR="000D68FC" w:rsidRPr="008B052A">
        <w:t xml:space="preserve"> reflects </w:t>
      </w:r>
      <w:r w:rsidR="003F7898" w:rsidRPr="008B052A">
        <w:t xml:space="preserve">3 </w:t>
      </w:r>
      <w:r w:rsidR="005543D6">
        <w:t>factors</w:t>
      </w:r>
      <w:r w:rsidR="004D13BC" w:rsidRPr="008B052A">
        <w:t xml:space="preserve">. </w:t>
      </w:r>
    </w:p>
    <w:p w14:paraId="68E9D83C" w14:textId="21D4988F" w:rsidR="005543D6" w:rsidRDefault="00DC5090" w:rsidP="005543D6">
      <w:pPr>
        <w:pStyle w:val="NumberedList"/>
      </w:pPr>
      <w:r>
        <w:t>Arrivals d</w:t>
      </w:r>
      <w:r w:rsidR="000D68FC" w:rsidRPr="008B052A">
        <w:t xml:space="preserve">ata received </w:t>
      </w:r>
      <w:r w:rsidR="0006223A" w:rsidRPr="008B052A">
        <w:t>in the first half of</w:t>
      </w:r>
      <w:r w:rsidR="006462FD">
        <w:t xml:space="preserve"> 2025</w:t>
      </w:r>
      <w:r w:rsidR="0006223A" w:rsidRPr="008B052A">
        <w:t xml:space="preserve"> </w:t>
      </w:r>
      <w:r w:rsidR="0006223A">
        <w:t>was</w:t>
      </w:r>
      <w:r w:rsidR="0091631A" w:rsidRPr="008B052A">
        <w:t xml:space="preserve"> below expectations</w:t>
      </w:r>
      <w:r w:rsidR="00C16CBE" w:rsidRPr="008B052A">
        <w:t xml:space="preserve">. </w:t>
      </w:r>
    </w:p>
    <w:p w14:paraId="2D0C0CC2" w14:textId="75F96055" w:rsidR="00AB52AA" w:rsidRDefault="005543D6" w:rsidP="005543D6">
      <w:pPr>
        <w:pStyle w:val="NumberedList"/>
      </w:pPr>
      <w:r>
        <w:t>T</w:t>
      </w:r>
      <w:r w:rsidR="00657D80" w:rsidRPr="008B052A">
        <w:t>his year’s forecasts were generated at a time where</w:t>
      </w:r>
      <w:r w:rsidR="00171A91" w:rsidRPr="008B052A">
        <w:t xml:space="preserve"> the global travel outlook </w:t>
      </w:r>
      <w:r w:rsidR="005F2DE9" w:rsidRPr="008B052A">
        <w:t>wa</w:t>
      </w:r>
      <w:r w:rsidR="00171A91" w:rsidRPr="008B052A">
        <w:t>s</w:t>
      </w:r>
      <w:r w:rsidR="00F61115" w:rsidRPr="008B052A">
        <w:t xml:space="preserve"> less optimistic </w:t>
      </w:r>
      <w:r w:rsidR="00171A91" w:rsidRPr="008B052A">
        <w:t xml:space="preserve">compared </w:t>
      </w:r>
      <w:r w:rsidR="005F2DE9" w:rsidRPr="008B052A">
        <w:t>with the previous</w:t>
      </w:r>
      <w:r w:rsidR="00171A91" w:rsidRPr="008B052A">
        <w:t xml:space="preserve"> year</w:t>
      </w:r>
      <w:r w:rsidR="007D4C0C" w:rsidRPr="008B052A">
        <w:t xml:space="preserve">. </w:t>
      </w:r>
      <w:r w:rsidR="00915DC1" w:rsidRPr="008B052A">
        <w:t>Specifically</w:t>
      </w:r>
      <w:r w:rsidR="007D4C0C" w:rsidRPr="008B052A">
        <w:t xml:space="preserve">, </w:t>
      </w:r>
      <w:r w:rsidR="00DF03A3" w:rsidRPr="008B052A">
        <w:t xml:space="preserve">additional downside factors eventuated </w:t>
      </w:r>
      <w:r w:rsidR="00915DC1" w:rsidRPr="008B052A">
        <w:t xml:space="preserve">globally </w:t>
      </w:r>
      <w:r w:rsidR="004017D8" w:rsidRPr="008B052A">
        <w:t>compared to what was expected</w:t>
      </w:r>
      <w:r w:rsidR="00915DC1" w:rsidRPr="008B052A">
        <w:t>,</w:t>
      </w:r>
      <w:r w:rsidR="004017D8" w:rsidRPr="008B052A">
        <w:t xml:space="preserve"> </w:t>
      </w:r>
      <w:r w:rsidR="002D01FE" w:rsidRPr="008B052A">
        <w:t xml:space="preserve">notably geopolitical risks, trade tensions and </w:t>
      </w:r>
      <w:r w:rsidR="0091103D" w:rsidRPr="008B052A">
        <w:t>a</w:t>
      </w:r>
      <w:r w:rsidR="002F66A3" w:rsidRPr="008B052A">
        <w:t>n intensified impact of global conflicts on travel sentiment</w:t>
      </w:r>
      <w:r w:rsidR="002D01FE" w:rsidRPr="008B052A">
        <w:t>. T</w:t>
      </w:r>
      <w:r w:rsidR="007D4C0C" w:rsidRPr="008B052A">
        <w:t xml:space="preserve">he </w:t>
      </w:r>
      <w:r w:rsidR="002D01FE" w:rsidRPr="008B052A">
        <w:t xml:space="preserve">tourism forecasting </w:t>
      </w:r>
      <w:r w:rsidR="007D4C0C" w:rsidRPr="008B052A">
        <w:t xml:space="preserve">expert panel </w:t>
      </w:r>
      <w:r w:rsidR="006900A2" w:rsidRPr="008B052A">
        <w:t xml:space="preserve">also </w:t>
      </w:r>
      <w:r w:rsidR="007D4C0C" w:rsidRPr="008B052A">
        <w:t xml:space="preserve">highlighted that </w:t>
      </w:r>
      <w:r w:rsidR="00DF03A3" w:rsidRPr="008B052A">
        <w:t xml:space="preserve">the global economic outlook </w:t>
      </w:r>
      <w:r w:rsidR="006900A2" w:rsidRPr="008B052A">
        <w:t>was</w:t>
      </w:r>
      <w:r w:rsidR="00BD411B" w:rsidRPr="008B052A">
        <w:t xml:space="preserve"> less positive </w:t>
      </w:r>
      <w:r w:rsidR="006900A2" w:rsidRPr="008B052A">
        <w:t xml:space="preserve">in 2025 than the previous </w:t>
      </w:r>
      <w:r w:rsidR="00FC3436" w:rsidRPr="008B052A">
        <w:t>year and</w:t>
      </w:r>
      <w:r w:rsidR="006900A2" w:rsidRPr="008B052A">
        <w:t xml:space="preserve"> </w:t>
      </w:r>
      <w:r w:rsidR="00FC3436" w:rsidRPr="008B052A">
        <w:t>it</w:t>
      </w:r>
      <w:r w:rsidR="006900A2" w:rsidRPr="008B052A">
        <w:t xml:space="preserve"> had </w:t>
      </w:r>
      <w:r w:rsidR="00413AB7" w:rsidRPr="008B052A">
        <w:t>additional</w:t>
      </w:r>
      <w:r w:rsidR="00BD411B" w:rsidRPr="008B052A">
        <w:t xml:space="preserve"> downside risks. </w:t>
      </w:r>
    </w:p>
    <w:p w14:paraId="475BEA74" w14:textId="57001543" w:rsidR="000D68FC" w:rsidRPr="008B052A" w:rsidRDefault="00BD411B" w:rsidP="00B544A4">
      <w:pPr>
        <w:pStyle w:val="NumberedList"/>
      </w:pPr>
      <w:r w:rsidRPr="008B052A">
        <w:t xml:space="preserve">TRA </w:t>
      </w:r>
      <w:r w:rsidR="001C1A34">
        <w:t>has used scenario analysis this year to better understand whether there has been</w:t>
      </w:r>
      <w:r w:rsidRPr="008B052A">
        <w:t xml:space="preserve"> </w:t>
      </w:r>
      <w:r w:rsidR="00F61115" w:rsidRPr="008B052A">
        <w:t xml:space="preserve">forecasting </w:t>
      </w:r>
      <w:r w:rsidR="00EC71A6">
        <w:t xml:space="preserve">bias in the way </w:t>
      </w:r>
      <w:r w:rsidR="00A139CF">
        <w:t>various</w:t>
      </w:r>
      <w:r w:rsidR="00EC71A6">
        <w:t xml:space="preserve"> factors </w:t>
      </w:r>
      <w:r w:rsidR="00A139CF">
        <w:t>are</w:t>
      </w:r>
      <w:r w:rsidR="00EC71A6">
        <w:t xml:space="preserve"> interpreted and used to shape the forecasts</w:t>
      </w:r>
      <w:r w:rsidR="00534555">
        <w:t>.</w:t>
      </w:r>
      <w:r w:rsidR="00EC71A6">
        <w:t xml:space="preserve"> </w:t>
      </w:r>
    </w:p>
    <w:p w14:paraId="389C2472" w14:textId="77777777" w:rsidR="00B544A4" w:rsidRDefault="00B544A4">
      <w:pPr>
        <w:spacing w:before="0" w:after="160" w:line="259" w:lineRule="auto"/>
        <w:rPr>
          <w:bCs/>
          <w:color w:val="300050" w:themeColor="text2"/>
          <w:sz w:val="28"/>
          <w:szCs w:val="32"/>
        </w:rPr>
      </w:pPr>
      <w:bookmarkStart w:id="56" w:name="_Toc184632618"/>
      <w:r>
        <w:br w:type="page"/>
      </w:r>
    </w:p>
    <w:p w14:paraId="59B9C476" w14:textId="2F24FA1E" w:rsidR="00736BB1" w:rsidRPr="008B052A" w:rsidRDefault="00736BB1" w:rsidP="00736BB1">
      <w:pPr>
        <w:pStyle w:val="Heading3"/>
        <w:rPr>
          <w:bCs w:val="0"/>
        </w:rPr>
      </w:pPr>
      <w:bookmarkStart w:id="57" w:name="_Toc214539194"/>
      <w:r w:rsidRPr="008B052A">
        <w:lastRenderedPageBreak/>
        <w:t>Arrivals by source market</w:t>
      </w:r>
      <w:bookmarkEnd w:id="56"/>
      <w:bookmarkEnd w:id="57"/>
    </w:p>
    <w:p w14:paraId="1E6E4D08" w14:textId="5F5B6F96" w:rsidR="00222862" w:rsidRPr="008B052A" w:rsidRDefault="007E3A28" w:rsidP="00CA0C5A">
      <w:r w:rsidRPr="008B052A">
        <w:t xml:space="preserve">Arrivals by source market vary </w:t>
      </w:r>
      <w:r w:rsidR="00AE341A" w:rsidRPr="008B052A">
        <w:t xml:space="preserve">according to individual characteristics and drivers. </w:t>
      </w:r>
      <w:r w:rsidR="005B63F6" w:rsidRPr="008B052A">
        <w:t>The fastest growing markets in 2025 are forecast to be</w:t>
      </w:r>
      <w:r w:rsidR="00E47F72" w:rsidRPr="008B052A">
        <w:t xml:space="preserve"> </w:t>
      </w:r>
      <w:r w:rsidR="00E9176A" w:rsidRPr="008B052A">
        <w:t>the United Kingdom</w:t>
      </w:r>
      <w:r w:rsidR="00D638B8">
        <w:t xml:space="preserve"> (UK)</w:t>
      </w:r>
      <w:r w:rsidR="00E9176A" w:rsidRPr="008B052A">
        <w:t xml:space="preserve">, up by 15%, and </w:t>
      </w:r>
      <w:r w:rsidR="00E47F72" w:rsidRPr="008B052A">
        <w:t>China, up by 1</w:t>
      </w:r>
      <w:r w:rsidR="00E9176A">
        <w:t>4%</w:t>
      </w:r>
      <w:r w:rsidR="00620B7B" w:rsidRPr="008B052A">
        <w:t xml:space="preserve"> </w:t>
      </w:r>
      <w:r w:rsidR="00132A55" w:rsidRPr="008B052A">
        <w:t>(Figure 3</w:t>
      </w:r>
      <w:r w:rsidR="003209C5">
        <w:t>, top panel</w:t>
      </w:r>
      <w:r w:rsidR="00132A55" w:rsidRPr="008B052A">
        <w:t>)</w:t>
      </w:r>
      <w:r w:rsidR="00E47F72" w:rsidRPr="008B052A">
        <w:t xml:space="preserve">. </w:t>
      </w:r>
      <w:r w:rsidR="0066325D" w:rsidRPr="008B052A">
        <w:t xml:space="preserve">Arrivals from </w:t>
      </w:r>
      <w:r w:rsidR="00BE41C8" w:rsidRPr="008B052A">
        <w:t>Hong Kong (up 1</w:t>
      </w:r>
      <w:r w:rsidR="008F3234">
        <w:t>4</w:t>
      </w:r>
      <w:r w:rsidR="00BE41C8" w:rsidRPr="008B052A">
        <w:t>%), Taiwan (up 1</w:t>
      </w:r>
      <w:r w:rsidR="008F3234">
        <w:t>3</w:t>
      </w:r>
      <w:r w:rsidR="00BE41C8" w:rsidRPr="008B052A">
        <w:t xml:space="preserve">%), </w:t>
      </w:r>
      <w:r w:rsidR="007F4294" w:rsidRPr="008B052A">
        <w:t xml:space="preserve">Ireland </w:t>
      </w:r>
      <w:r w:rsidR="00BE41C8" w:rsidRPr="008B052A">
        <w:t xml:space="preserve">(up 12%) </w:t>
      </w:r>
      <w:r w:rsidR="007F4294" w:rsidRPr="008B052A">
        <w:t xml:space="preserve">Italy </w:t>
      </w:r>
      <w:r w:rsidR="008E0443">
        <w:t>(up 12%) and France</w:t>
      </w:r>
      <w:r w:rsidR="002478E3">
        <w:t xml:space="preserve"> </w:t>
      </w:r>
      <w:r w:rsidR="0066325D" w:rsidRPr="008B052A">
        <w:t xml:space="preserve">(up 11%) are also </w:t>
      </w:r>
      <w:r w:rsidR="00BE41C8" w:rsidRPr="008B052A">
        <w:t xml:space="preserve">expected to increase strongly in 2025. </w:t>
      </w:r>
    </w:p>
    <w:p w14:paraId="2359EDBF" w14:textId="51D4A515" w:rsidR="00D406FD" w:rsidRPr="008B052A" w:rsidRDefault="00D406FD" w:rsidP="00D406FD">
      <w:r w:rsidRPr="008B052A">
        <w:t>Arrivals from the UK and Ireland have been exceptionally strong in 2025</w:t>
      </w:r>
      <w:r w:rsidR="00372492" w:rsidRPr="008B052A">
        <w:t>, particularly through the middle of the year</w:t>
      </w:r>
      <w:r w:rsidRPr="008B052A">
        <w:t xml:space="preserve"> due to the popularity of the British and Irish Lions rugby tour</w:t>
      </w:r>
      <w:r w:rsidR="00372492" w:rsidRPr="008B052A">
        <w:t xml:space="preserve">. The </w:t>
      </w:r>
      <w:r w:rsidRPr="008B052A">
        <w:t>Ashes cricket test matches in Australia</w:t>
      </w:r>
      <w:r w:rsidR="00372492" w:rsidRPr="008B052A">
        <w:t xml:space="preserve"> </w:t>
      </w:r>
      <w:r w:rsidR="00A8040D" w:rsidRPr="008B052A">
        <w:t xml:space="preserve">in late 2025 </w:t>
      </w:r>
      <w:r w:rsidR="00372492" w:rsidRPr="008B052A">
        <w:t xml:space="preserve">are also expected to </w:t>
      </w:r>
      <w:r w:rsidR="00A8040D" w:rsidRPr="008B052A">
        <w:t xml:space="preserve">attract </w:t>
      </w:r>
      <w:proofErr w:type="gramStart"/>
      <w:r w:rsidR="0071394D" w:rsidRPr="008B052A">
        <w:t>a large number of</w:t>
      </w:r>
      <w:proofErr w:type="gramEnd"/>
      <w:r w:rsidR="0071394D" w:rsidRPr="008B052A">
        <w:t xml:space="preserve"> </w:t>
      </w:r>
      <w:r w:rsidR="00A8040D" w:rsidRPr="008B052A">
        <w:t>travellers from the UK</w:t>
      </w:r>
      <w:r w:rsidRPr="008B052A">
        <w:t>. Arrivals by working holiday makers from the UK have also been strong</w:t>
      </w:r>
      <w:r w:rsidR="00EC5052" w:rsidRPr="008B052A">
        <w:t xml:space="preserve"> in 2025</w:t>
      </w:r>
      <w:r w:rsidRPr="008B052A">
        <w:t xml:space="preserve">, supported by </w:t>
      </w:r>
      <w:r w:rsidR="00D06F97">
        <w:t>updated</w:t>
      </w:r>
      <w:r w:rsidR="00D06F97" w:rsidRPr="008B052A">
        <w:t xml:space="preserve"> </w:t>
      </w:r>
      <w:r w:rsidRPr="008B052A">
        <w:t>visa conditions</w:t>
      </w:r>
      <w:r w:rsidR="00EC5052" w:rsidRPr="008B052A">
        <w:t>.</w:t>
      </w:r>
      <w:r w:rsidR="00344E15" w:rsidRPr="008B052A">
        <w:t xml:space="preserve"> </w:t>
      </w:r>
      <w:r w:rsidR="00250644" w:rsidRPr="008B052A">
        <w:t xml:space="preserve">This rapid </w:t>
      </w:r>
      <w:r w:rsidR="00BB1699" w:rsidRPr="008B052A">
        <w:t xml:space="preserve">growth in arrivals from the UK </w:t>
      </w:r>
      <w:r w:rsidR="004F06E0" w:rsidRPr="008B052A">
        <w:t xml:space="preserve">in 2025 </w:t>
      </w:r>
      <w:r w:rsidR="00BB1699" w:rsidRPr="008B052A">
        <w:t xml:space="preserve">is expected to </w:t>
      </w:r>
      <w:r w:rsidR="00250644" w:rsidRPr="008B052A">
        <w:t>be only a temporary spike,</w:t>
      </w:r>
      <w:r w:rsidR="005931A7" w:rsidRPr="008B052A">
        <w:t xml:space="preserve"> </w:t>
      </w:r>
      <w:r w:rsidR="004902F7" w:rsidRPr="008B052A">
        <w:t>for</w:t>
      </w:r>
      <w:r w:rsidR="00250644" w:rsidRPr="008B052A">
        <w:t xml:space="preserve"> an otherwise mature and slower growing market.</w:t>
      </w:r>
    </w:p>
    <w:p w14:paraId="2F7D88D0" w14:textId="65CDFD6E" w:rsidR="000448E5" w:rsidRPr="008B052A" w:rsidRDefault="000448E5" w:rsidP="000448E5">
      <w:pPr>
        <w:rPr>
          <w:color w:val="300050" w:themeColor="text2"/>
        </w:rPr>
      </w:pPr>
      <w:r w:rsidRPr="008B052A">
        <w:rPr>
          <w:b/>
          <w:bCs/>
          <w:color w:val="300050" w:themeColor="text2"/>
        </w:rPr>
        <w:t xml:space="preserve">Figure </w:t>
      </w:r>
      <w:r w:rsidR="00132A55" w:rsidRPr="008B052A">
        <w:rPr>
          <w:b/>
          <w:bCs/>
          <w:color w:val="300050" w:themeColor="text2"/>
        </w:rPr>
        <w:t>3</w:t>
      </w:r>
      <w:r w:rsidRPr="008B052A">
        <w:rPr>
          <w:b/>
          <w:bCs/>
          <w:color w:val="300050" w:themeColor="text2"/>
        </w:rPr>
        <w:t>.</w:t>
      </w:r>
      <w:r w:rsidRPr="008B052A">
        <w:rPr>
          <w:color w:val="300050" w:themeColor="text2"/>
        </w:rPr>
        <w:t xml:space="preserve"> Forecast growth rates by market in 2025 (top panel</w:t>
      </w:r>
      <w:proofErr w:type="gramStart"/>
      <w:r w:rsidRPr="008B052A">
        <w:rPr>
          <w:color w:val="300050" w:themeColor="text2"/>
        </w:rPr>
        <w:t>)</w:t>
      </w:r>
      <w:r w:rsidR="00520D16">
        <w:rPr>
          <w:color w:val="300050" w:themeColor="text2"/>
        </w:rPr>
        <w:t>,</w:t>
      </w:r>
      <w:r w:rsidRPr="008B052A">
        <w:rPr>
          <w:color w:val="300050" w:themeColor="text2"/>
        </w:rPr>
        <w:t xml:space="preserve"> and</w:t>
      </w:r>
      <w:proofErr w:type="gramEnd"/>
      <w:r w:rsidRPr="008B052A">
        <w:rPr>
          <w:color w:val="300050" w:themeColor="text2"/>
        </w:rPr>
        <w:t xml:space="preserve"> </w:t>
      </w:r>
      <w:r w:rsidR="00520D16">
        <w:rPr>
          <w:color w:val="300050" w:themeColor="text2"/>
        </w:rPr>
        <w:t>forecast annual</w:t>
      </w:r>
      <w:r w:rsidR="00707883" w:rsidRPr="008B052A">
        <w:rPr>
          <w:color w:val="300050" w:themeColor="text2"/>
        </w:rPr>
        <w:t xml:space="preserve"> average </w:t>
      </w:r>
      <w:r w:rsidR="00520D16">
        <w:rPr>
          <w:color w:val="300050" w:themeColor="text2"/>
        </w:rPr>
        <w:t xml:space="preserve">growth rate </w:t>
      </w:r>
      <w:r w:rsidR="00707883" w:rsidRPr="008B052A">
        <w:rPr>
          <w:color w:val="300050" w:themeColor="text2"/>
        </w:rPr>
        <w:t xml:space="preserve">from 2025 to 2030 </w:t>
      </w:r>
      <w:r w:rsidR="00520D16">
        <w:rPr>
          <w:color w:val="300050" w:themeColor="text2"/>
        </w:rPr>
        <w:t xml:space="preserve">by market </w:t>
      </w:r>
      <w:r w:rsidR="00707883" w:rsidRPr="008B052A">
        <w:rPr>
          <w:color w:val="300050" w:themeColor="text2"/>
        </w:rPr>
        <w:t>(bottom panel).</w:t>
      </w:r>
    </w:p>
    <w:p w14:paraId="7CBB10B9" w14:textId="170E3837" w:rsidR="000448E5" w:rsidRPr="008B052A" w:rsidRDefault="00AF622C" w:rsidP="00215A62">
      <w:pPr>
        <w:spacing w:line="300" w:lineRule="atLeast"/>
      </w:pPr>
      <w:r w:rsidRPr="00AF622C">
        <w:rPr>
          <w:noProof/>
        </w:rPr>
        <w:drawing>
          <wp:inline distT="0" distB="0" distL="0" distR="0" wp14:anchorId="1683F126" wp14:editId="536B97B0">
            <wp:extent cx="6329680" cy="4154805"/>
            <wp:effectExtent l="0" t="0" r="0" b="0"/>
            <wp:docPr id="479131109" name="Picture 5" descr="Chart showing the growth in international short-term visitor arrivals to Australia by source market in 2025 (top panel) and the average annual rate of growth in arrivals by source market over the 2025 to 2030 period (bottom panel). Arrivals from China are expected to grow the fastest in 2025 and over the 2025 to 2030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31109" name="Picture 5" descr="Chart showing the growth in international short-term visitor arrivals to Australia by source market in 2025 (top panel) and the average annual rate of growth in arrivals by source market over the 2025 to 2030 period (bottom panel). Arrivals from China are expected to grow the fastest in 2025 and over the 2025 to 2030 perio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29680" cy="4154805"/>
                    </a:xfrm>
                    <a:prstGeom prst="rect">
                      <a:avLst/>
                    </a:prstGeom>
                    <a:noFill/>
                    <a:ln>
                      <a:noFill/>
                    </a:ln>
                  </pic:spPr>
                </pic:pic>
              </a:graphicData>
            </a:graphic>
          </wp:inline>
        </w:drawing>
      </w:r>
    </w:p>
    <w:p w14:paraId="3DE74205" w14:textId="77777777" w:rsidR="00A47FC0" w:rsidRDefault="00A47FC0" w:rsidP="00A47FC0">
      <w:pPr>
        <w:spacing w:line="300" w:lineRule="atLeast"/>
      </w:pPr>
      <w:r w:rsidRPr="008B052A">
        <w:t xml:space="preserve">Arrivals from China, Hong Kong and Taiwan are forecast to rise strongly in 2025, supported by an ongoing recovery dynamic in </w:t>
      </w:r>
      <w:r>
        <w:t xml:space="preserve">international outbound travel from </w:t>
      </w:r>
      <w:r w:rsidRPr="008B052A">
        <w:t xml:space="preserve">the region partly because of the </w:t>
      </w:r>
      <w:r w:rsidRPr="008B052A">
        <w:lastRenderedPageBreak/>
        <w:t>later re-opening of these markets after the COVID-19 related travel restrictions.</w:t>
      </w:r>
      <w:r w:rsidRPr="008B052A">
        <w:rPr>
          <w:rStyle w:val="FootnoteReference"/>
        </w:rPr>
        <w:footnoteReference w:id="2"/>
      </w:r>
      <w:r w:rsidRPr="008B052A">
        <w:t xml:space="preserve"> Growth in aviation capacity has also been beneficial and is expected to support continued growth in coming years. There has been robust growth in arrivals for all purposes from these markets including holiday, business, and education travellers.</w:t>
      </w:r>
    </w:p>
    <w:p w14:paraId="6BDC8411" w14:textId="77777777" w:rsidR="00A47FC0" w:rsidRPr="008B052A" w:rsidRDefault="00A47FC0" w:rsidP="00A47FC0">
      <w:pPr>
        <w:spacing w:line="300" w:lineRule="atLeast"/>
      </w:pPr>
      <w:r w:rsidRPr="008B052A">
        <w:t>On the other hand, some markets face slower growth in 2025 than was previously anticipated. One reason for this is likely to be the temporary impact of competition for aviation seats with Australian travellers. For markets that have been extremely popular for Australian travellers, the high number of Australians travelling may have reduced the availability</w:t>
      </w:r>
      <w:r>
        <w:t>, or increased the price of,</w:t>
      </w:r>
      <w:r w:rsidRPr="008B052A">
        <w:t xml:space="preserve"> aviation seats for international inbound travellers. This includes most notably Vietnam</w:t>
      </w:r>
      <w:r>
        <w:t>, Thailand and South Korea</w:t>
      </w:r>
      <w:r w:rsidRPr="008B052A">
        <w:t xml:space="preserve">, as well as </w:t>
      </w:r>
      <w:r>
        <w:t>Japan</w:t>
      </w:r>
      <w:r w:rsidRPr="008B052A">
        <w:t>, China</w:t>
      </w:r>
      <w:r>
        <w:t xml:space="preserve"> </w:t>
      </w:r>
      <w:r w:rsidRPr="008B052A">
        <w:t>and possibly India to some extent. Other reasons for slower than anticipated arrivals in 2025 include changes in policy settings</w:t>
      </w:r>
      <w:r>
        <w:t xml:space="preserve">, </w:t>
      </w:r>
      <w:r w:rsidRPr="008B052A">
        <w:t>global conflicts</w:t>
      </w:r>
      <w:r>
        <w:t xml:space="preserve"> and softer economic conditions</w:t>
      </w:r>
      <w:r w:rsidRPr="008B052A">
        <w:t>.</w:t>
      </w:r>
    </w:p>
    <w:p w14:paraId="4121DA14" w14:textId="08753C1F" w:rsidR="00644B98" w:rsidRPr="008B052A" w:rsidRDefault="00644B98" w:rsidP="00512C4B">
      <w:r w:rsidRPr="008B052A">
        <w:t xml:space="preserve">Over the </w:t>
      </w:r>
      <w:r w:rsidR="00693382" w:rsidRPr="008B052A">
        <w:t>full</w:t>
      </w:r>
      <w:r w:rsidRPr="008B052A">
        <w:t xml:space="preserve"> forecast period, New Zealand is forecast to remain Australia’s largest source of inbound travellers. </w:t>
      </w:r>
      <w:r w:rsidR="00163D90" w:rsidRPr="008B052A">
        <w:t>There were 1.</w:t>
      </w:r>
      <w:r w:rsidR="00CD0754" w:rsidRPr="008B052A">
        <w:t>39</w:t>
      </w:r>
      <w:r w:rsidR="003967DA" w:rsidRPr="008B052A">
        <w:t> </w:t>
      </w:r>
      <w:r w:rsidR="00163D90" w:rsidRPr="008B052A">
        <w:t>million arrivals from New Zealand in 2024. This is forecast to increase to 1.4</w:t>
      </w:r>
      <w:r w:rsidR="003967DA" w:rsidRPr="008B052A">
        <w:t>2 </w:t>
      </w:r>
      <w:r w:rsidR="00163D90" w:rsidRPr="008B052A">
        <w:t>million in 2025 and then up to 1.6</w:t>
      </w:r>
      <w:r w:rsidR="00B94858">
        <w:t>3</w:t>
      </w:r>
      <w:r w:rsidR="003967DA" w:rsidRPr="008B052A">
        <w:t> </w:t>
      </w:r>
      <w:r w:rsidR="00163D90" w:rsidRPr="008B052A">
        <w:t>million in 2030</w:t>
      </w:r>
      <w:r w:rsidR="00E0230B" w:rsidRPr="008B052A">
        <w:t xml:space="preserve">. China is forecast to remain Australia’s </w:t>
      </w:r>
      <w:r w:rsidR="00EE5955" w:rsidRPr="008B052A">
        <w:t>seco</w:t>
      </w:r>
      <w:r w:rsidR="00E0230B" w:rsidRPr="008B052A">
        <w:t>n</w:t>
      </w:r>
      <w:r w:rsidR="00410680" w:rsidRPr="008B052A">
        <w:t>d</w:t>
      </w:r>
      <w:r w:rsidR="00E0230B" w:rsidRPr="008B052A">
        <w:t xml:space="preserve"> largest source of inbound traveller</w:t>
      </w:r>
      <w:r w:rsidR="0053009A" w:rsidRPr="008B052A">
        <w:t>s</w:t>
      </w:r>
      <w:r w:rsidR="00117B11">
        <w:t xml:space="preserve"> through to 2030</w:t>
      </w:r>
      <w:r w:rsidR="0053009A" w:rsidRPr="008B052A">
        <w:t xml:space="preserve">. There </w:t>
      </w:r>
      <w:r w:rsidR="00117B11">
        <w:t>are</w:t>
      </w:r>
      <w:r w:rsidR="00117B11" w:rsidRPr="008B052A">
        <w:t xml:space="preserve"> </w:t>
      </w:r>
      <w:r w:rsidR="00410680" w:rsidRPr="008B052A">
        <w:t xml:space="preserve">forecast to be </w:t>
      </w:r>
      <w:r w:rsidR="003967DA" w:rsidRPr="008B052A">
        <w:t xml:space="preserve">over </w:t>
      </w:r>
      <w:r w:rsidR="00410680" w:rsidRPr="008B052A">
        <w:t xml:space="preserve">1 million arrivals from China in 2025, up from </w:t>
      </w:r>
      <w:r w:rsidR="0053009A" w:rsidRPr="008B052A">
        <w:t>0.</w:t>
      </w:r>
      <w:r w:rsidR="003967DA" w:rsidRPr="008B052A">
        <w:t>89 </w:t>
      </w:r>
      <w:r w:rsidR="0053009A" w:rsidRPr="008B052A">
        <w:t xml:space="preserve">million </w:t>
      </w:r>
      <w:r w:rsidR="00410680" w:rsidRPr="008B052A">
        <w:t>in 2024</w:t>
      </w:r>
      <w:r w:rsidR="008F60F7" w:rsidRPr="008B052A">
        <w:t xml:space="preserve">, </w:t>
      </w:r>
      <w:r w:rsidR="00C359ED" w:rsidRPr="008B052A">
        <w:t>followed by</w:t>
      </w:r>
      <w:r w:rsidR="008F60F7" w:rsidRPr="008B052A">
        <w:t xml:space="preserve"> continued strong growth to reach 1.</w:t>
      </w:r>
      <w:r w:rsidR="00E10FD0" w:rsidRPr="008B052A">
        <w:t>4</w:t>
      </w:r>
      <w:r w:rsidR="00E10FD0">
        <w:t>5</w:t>
      </w:r>
      <w:r w:rsidR="00E10FD0" w:rsidRPr="008B052A">
        <w:t> </w:t>
      </w:r>
      <w:r w:rsidR="008F60F7" w:rsidRPr="008B052A">
        <w:t>million arrivals from China in 2030.</w:t>
      </w:r>
      <w:r w:rsidR="006C0A3B" w:rsidRPr="008B052A">
        <w:t xml:space="preserve"> The U</w:t>
      </w:r>
      <w:r w:rsidR="0078331A" w:rsidRPr="008B052A">
        <w:t>SA</w:t>
      </w:r>
      <w:r w:rsidR="006C0A3B" w:rsidRPr="008B052A">
        <w:t xml:space="preserve"> </w:t>
      </w:r>
      <w:r w:rsidR="00FC0595">
        <w:t xml:space="preserve">and the UK are </w:t>
      </w:r>
      <w:r w:rsidR="006C0A3B" w:rsidRPr="008B052A">
        <w:t xml:space="preserve">forecast to remain Australia’s </w:t>
      </w:r>
      <w:r w:rsidR="002C5ED6" w:rsidRPr="008B052A">
        <w:t xml:space="preserve">third </w:t>
      </w:r>
      <w:r w:rsidR="00FC0595">
        <w:t xml:space="preserve">and fourth </w:t>
      </w:r>
      <w:r w:rsidR="006C0A3B" w:rsidRPr="008B052A">
        <w:t>largest inbound market</w:t>
      </w:r>
      <w:r w:rsidR="00FC0595">
        <w:t>s</w:t>
      </w:r>
      <w:r w:rsidR="006C0A3B" w:rsidRPr="008B052A">
        <w:t xml:space="preserve">. </w:t>
      </w:r>
      <w:r w:rsidR="007E7FD6" w:rsidRPr="008B052A">
        <w:t>The</w:t>
      </w:r>
      <w:r w:rsidR="000161DC" w:rsidRPr="008B052A">
        <w:t xml:space="preserve">se </w:t>
      </w:r>
      <w:r w:rsidR="00D831BA" w:rsidRPr="008B052A">
        <w:t xml:space="preserve">2 </w:t>
      </w:r>
      <w:r w:rsidR="007E7FD6" w:rsidRPr="008B052A">
        <w:t xml:space="preserve">markets </w:t>
      </w:r>
      <w:r w:rsidR="000161DC" w:rsidRPr="008B052A">
        <w:t xml:space="preserve">also bring a large share of </w:t>
      </w:r>
      <w:r w:rsidR="007E7FD6" w:rsidRPr="008B052A">
        <w:t>high average spend travellers</w:t>
      </w:r>
      <w:r w:rsidR="00DF3473" w:rsidRPr="008B052A">
        <w:t xml:space="preserve">, </w:t>
      </w:r>
      <w:r w:rsidR="007E7FD6" w:rsidRPr="008B052A">
        <w:t>mak</w:t>
      </w:r>
      <w:r w:rsidR="008C4F01" w:rsidRPr="008B052A">
        <w:t>ing</w:t>
      </w:r>
      <w:r w:rsidR="007E7FD6" w:rsidRPr="008B052A">
        <w:t xml:space="preserve"> </w:t>
      </w:r>
      <w:r w:rsidR="00DF3473" w:rsidRPr="008B052A">
        <w:t>them valuable markets for Australia.</w:t>
      </w:r>
      <w:r w:rsidR="00330FF1">
        <w:t xml:space="preserve"> While these large, mature markets have slower annual average growth rates over the 2025 to 2030 period</w:t>
      </w:r>
      <w:r w:rsidR="008836FD">
        <w:t xml:space="preserve"> compared with aggregate arrivals, they still </w:t>
      </w:r>
      <w:r w:rsidR="003F0336">
        <w:t>provide a significant contribution to the volume and value of international tourism in Australia.</w:t>
      </w:r>
      <w:r w:rsidR="00330FF1">
        <w:t xml:space="preserve"> </w:t>
      </w:r>
    </w:p>
    <w:p w14:paraId="3EE17B7D" w14:textId="6F449171" w:rsidR="00A47FC0" w:rsidRDefault="00693382" w:rsidP="00A47FC0">
      <w:r w:rsidRPr="008B052A">
        <w:t xml:space="preserve">Over the period 2025 to 2030, </w:t>
      </w:r>
      <w:r w:rsidR="00E06434">
        <w:t>there are strong growth prospects for a range of source markets</w:t>
      </w:r>
      <w:r w:rsidR="00C21B02">
        <w:t xml:space="preserve">. </w:t>
      </w:r>
      <w:r w:rsidR="001E1A91">
        <w:t>T</w:t>
      </w:r>
      <w:r w:rsidRPr="008B052A">
        <w:t>he fastest growing markets are forecast to be</w:t>
      </w:r>
      <w:r w:rsidR="001E1A91">
        <w:t xml:space="preserve"> C</w:t>
      </w:r>
      <w:r w:rsidR="00C45BEB">
        <w:t>h</w:t>
      </w:r>
      <w:r w:rsidR="001E1A91">
        <w:t>ina</w:t>
      </w:r>
      <w:r w:rsidR="00C45BEB">
        <w:t xml:space="preserve"> </w:t>
      </w:r>
      <w:r w:rsidR="00715DF0">
        <w:t>and Hong Kong</w:t>
      </w:r>
      <w:r w:rsidR="00A1450C">
        <w:t xml:space="preserve"> – with average annual growth of 7.3% and 6.2% respectively over the 2025 to 2030 period.</w:t>
      </w:r>
      <w:r w:rsidR="00E91727">
        <w:t xml:space="preserve"> </w:t>
      </w:r>
      <w:r w:rsidR="004B56A4">
        <w:t>These markets, along with Taiwan and Malaysia, have been slower to recover</w:t>
      </w:r>
      <w:r w:rsidR="005A6231">
        <w:t xml:space="preserve"> from the pandemic disruptions. </w:t>
      </w:r>
      <w:r w:rsidR="000B0F55" w:rsidRPr="000B0F55">
        <w:t>Meanwhile, there are markets that have already fully recovered, such as India, the Philippines</w:t>
      </w:r>
      <w:r w:rsidR="00014468">
        <w:t xml:space="preserve"> and</w:t>
      </w:r>
      <w:r w:rsidR="000B0F55" w:rsidRPr="000B0F55">
        <w:t xml:space="preserve"> Vietnam that are forecast to continue growing strongly over the forecast horizon (Figure 3, bottom panel).</w:t>
      </w:r>
      <w:bookmarkStart w:id="58" w:name="_Toc184632619"/>
    </w:p>
    <w:p w14:paraId="7F1E4A80" w14:textId="77777777" w:rsidR="003F4559" w:rsidRDefault="003F4559">
      <w:pPr>
        <w:spacing w:before="0" w:after="160" w:line="259" w:lineRule="auto"/>
        <w:rPr>
          <w:bCs/>
          <w:color w:val="300050" w:themeColor="text2"/>
          <w:sz w:val="28"/>
          <w:szCs w:val="32"/>
        </w:rPr>
      </w:pPr>
      <w:bookmarkStart w:id="59" w:name="_Toc214539195"/>
      <w:r>
        <w:br w:type="page"/>
      </w:r>
    </w:p>
    <w:p w14:paraId="401049FE" w14:textId="2EC60E45" w:rsidR="005C0F2E" w:rsidRPr="008B052A" w:rsidRDefault="005C0F2E" w:rsidP="00A47FC0">
      <w:pPr>
        <w:pStyle w:val="Heading3"/>
      </w:pPr>
      <w:r w:rsidRPr="008B052A">
        <w:lastRenderedPageBreak/>
        <w:t>Arrivals by purpose of travel</w:t>
      </w:r>
      <w:bookmarkEnd w:id="58"/>
      <w:bookmarkEnd w:id="59"/>
    </w:p>
    <w:p w14:paraId="59184522" w14:textId="24724964" w:rsidR="001330FB" w:rsidRPr="008B052A" w:rsidRDefault="004701C0" w:rsidP="00933DF0">
      <w:pPr>
        <w:spacing w:line="300" w:lineRule="atLeast"/>
      </w:pPr>
      <w:r w:rsidRPr="008B052A">
        <w:t xml:space="preserve">Short-term visitor arrivals for all </w:t>
      </w:r>
      <w:r w:rsidR="00710A76" w:rsidRPr="008B052A">
        <w:t xml:space="preserve">main </w:t>
      </w:r>
      <w:r w:rsidRPr="008B052A">
        <w:t xml:space="preserve">purposes of travel are forecast to increase in </w:t>
      </w:r>
      <w:r w:rsidR="00710A76" w:rsidRPr="008B052A">
        <w:t xml:space="preserve">2025 and trend higher through to 2030. As was the case in 2024, holiday arrivals are forecast to grow </w:t>
      </w:r>
      <w:r w:rsidR="005F4492" w:rsidRPr="008B052A">
        <w:t xml:space="preserve">faster than </w:t>
      </w:r>
      <w:r w:rsidR="00D054AA">
        <w:t>aggregate arrivals</w:t>
      </w:r>
      <w:r w:rsidR="00AE6BBA" w:rsidRPr="008B052A">
        <w:t xml:space="preserve">, while business arrivals are forecast to </w:t>
      </w:r>
      <w:r w:rsidR="00F34490" w:rsidRPr="008B052A">
        <w:t>increase at a more moderate pace</w:t>
      </w:r>
      <w:r w:rsidR="001330FB" w:rsidRPr="008B052A">
        <w:t xml:space="preserve"> (Figure </w:t>
      </w:r>
      <w:r w:rsidR="00976573" w:rsidRPr="008B052A">
        <w:t>4</w:t>
      </w:r>
      <w:r w:rsidR="001330FB" w:rsidRPr="008B052A">
        <w:t>)</w:t>
      </w:r>
      <w:r w:rsidR="00F34490" w:rsidRPr="008B052A">
        <w:t>.</w:t>
      </w:r>
      <w:r w:rsidR="00506B37" w:rsidRPr="008B052A">
        <w:tab/>
      </w:r>
    </w:p>
    <w:p w14:paraId="66B5BD7B" w14:textId="4F765672" w:rsidR="00FD1D33" w:rsidRDefault="00FD1D33" w:rsidP="00B544A4">
      <w:pPr>
        <w:keepNext/>
        <w:spacing w:before="120" w:after="0" w:line="240" w:lineRule="auto"/>
        <w:rPr>
          <w:rFonts w:eastAsia="Times New Roman" w:cs="Times New Roman"/>
          <w:color w:val="300050"/>
          <w:lang w:eastAsia="en-AU"/>
        </w:rPr>
      </w:pPr>
      <w:r w:rsidRPr="008B052A">
        <w:rPr>
          <w:b/>
          <w:bCs/>
          <w:color w:val="300050" w:themeColor="text2"/>
        </w:rPr>
        <w:t xml:space="preserve">Figure </w:t>
      </w:r>
      <w:r w:rsidR="00976573" w:rsidRPr="008B052A">
        <w:rPr>
          <w:b/>
          <w:bCs/>
          <w:color w:val="300050" w:themeColor="text2"/>
        </w:rPr>
        <w:t>4</w:t>
      </w:r>
      <w:r w:rsidRPr="008B052A">
        <w:rPr>
          <w:b/>
          <w:bCs/>
          <w:color w:val="300050" w:themeColor="text2"/>
        </w:rPr>
        <w:t>.</w:t>
      </w:r>
      <w:r w:rsidRPr="008B052A">
        <w:rPr>
          <w:color w:val="300050" w:themeColor="text2"/>
        </w:rPr>
        <w:t xml:space="preserve"> International short-term visitor arrivals by purpose.</w:t>
      </w:r>
      <w:r w:rsidRPr="008B052A">
        <w:rPr>
          <w:b/>
          <w:bCs/>
          <w:color w:val="300050" w:themeColor="text2"/>
        </w:rPr>
        <w:t xml:space="preserve">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00FE1E43" w:rsidRPr="008B052A">
        <w:rPr>
          <w:rFonts w:eastAsia="Times New Roman" w:cs="Times New Roman"/>
          <w:color w:val="300050"/>
          <w:lang w:eastAsia="en-AU"/>
        </w:rPr>
        <w:t>values to 2024, forecast values from 2025 onwards.</w:t>
      </w:r>
    </w:p>
    <w:p w14:paraId="5A6B8252" w14:textId="717BA4F4" w:rsidR="00E26E62" w:rsidRPr="008B052A" w:rsidRDefault="00F42CEA" w:rsidP="00FE1E43">
      <w:pPr>
        <w:spacing w:before="120" w:after="0" w:line="240" w:lineRule="auto"/>
        <w:rPr>
          <w:rFonts w:eastAsia="Times New Roman" w:cs="Times New Roman"/>
          <w:b/>
          <w:bCs/>
          <w:color w:val="300050"/>
          <w:lang w:eastAsia="en-AU"/>
        </w:rPr>
      </w:pPr>
      <w:r w:rsidRPr="00F42CEA">
        <w:rPr>
          <w:noProof/>
        </w:rPr>
        <w:drawing>
          <wp:inline distT="0" distB="0" distL="0" distR="0" wp14:anchorId="555A5D5F" wp14:editId="2B52AF08">
            <wp:extent cx="6329680" cy="3714115"/>
            <wp:effectExtent l="0" t="0" r="0" b="635"/>
            <wp:docPr id="1132214985" name="Picture 3" descr="Time series chart from 2015 to 2030 showing the projected path for international short-term visitor arrivals to Australia by purpose of trip.  Arrivals for the purpose of holiday are the largest category of travel and show a strong growth trend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14985" name="Picture 3" descr="Time series chart from 2015 to 2030 showing the projected path for international short-term visitor arrivals to Australia by purpose of trip.  Arrivals for the purpose of holiday are the largest category of travel and show a strong growth trend over the forecast period from 2025 to 2030.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29680" cy="3714115"/>
                    </a:xfrm>
                    <a:prstGeom prst="rect">
                      <a:avLst/>
                    </a:prstGeom>
                    <a:noFill/>
                    <a:ln>
                      <a:noFill/>
                    </a:ln>
                  </pic:spPr>
                </pic:pic>
              </a:graphicData>
            </a:graphic>
          </wp:inline>
        </w:drawing>
      </w:r>
    </w:p>
    <w:p w14:paraId="681C8445" w14:textId="290E9792" w:rsidR="00C50AE2" w:rsidRPr="008B052A" w:rsidRDefault="00C50AE2" w:rsidP="00B544A4">
      <w:pPr>
        <w:spacing w:before="0" w:line="240" w:lineRule="atLeast"/>
      </w:pPr>
    </w:p>
    <w:p w14:paraId="1E4CE788" w14:textId="0EDCCA08" w:rsidR="007C08DC" w:rsidRPr="008B052A" w:rsidRDefault="00C50AE2" w:rsidP="00215A62">
      <w:pPr>
        <w:spacing w:line="300" w:lineRule="atLeast"/>
      </w:pPr>
      <w:r w:rsidRPr="008B052A">
        <w:rPr>
          <w:b/>
          <w:bCs/>
        </w:rPr>
        <w:t>H</w:t>
      </w:r>
      <w:r w:rsidR="007C08DC" w:rsidRPr="008B052A">
        <w:rPr>
          <w:b/>
          <w:bCs/>
        </w:rPr>
        <w:t>oliday</w:t>
      </w:r>
      <w:r w:rsidR="007C08DC" w:rsidRPr="008B052A">
        <w:t xml:space="preserve"> arrivals account for the largest share of arrivals and </w:t>
      </w:r>
      <w:r w:rsidRPr="008B052A">
        <w:t>are</w:t>
      </w:r>
      <w:r w:rsidR="007C08DC" w:rsidRPr="008B052A">
        <w:t xml:space="preserve"> the largest contributor to overall growth. </w:t>
      </w:r>
      <w:r w:rsidR="00550C7B" w:rsidRPr="008B052A">
        <w:t>Holiday arrivals are forecast to in</w:t>
      </w:r>
      <w:r w:rsidR="005F463F" w:rsidRPr="008B052A">
        <w:t xml:space="preserve">crease by </w:t>
      </w:r>
      <w:r w:rsidR="00AF0FA9">
        <w:t>9.1</w:t>
      </w:r>
      <w:r w:rsidR="005F463F" w:rsidRPr="008B052A">
        <w:t>% in</w:t>
      </w:r>
      <w:r w:rsidR="00550C7B" w:rsidRPr="008B052A">
        <w:t xml:space="preserve"> 2025 and </w:t>
      </w:r>
      <w:r w:rsidR="005F463F" w:rsidRPr="008B052A">
        <w:t>by 4.</w:t>
      </w:r>
      <w:r w:rsidR="00AF0FA9">
        <w:t>9</w:t>
      </w:r>
      <w:r w:rsidR="005F463F" w:rsidRPr="008B052A">
        <w:t xml:space="preserve">% on average each year </w:t>
      </w:r>
      <w:r w:rsidR="00550C7B" w:rsidRPr="008B052A">
        <w:t xml:space="preserve">over the </w:t>
      </w:r>
      <w:r w:rsidR="005F463F" w:rsidRPr="008B052A">
        <w:t>forward</w:t>
      </w:r>
      <w:r w:rsidR="00550C7B" w:rsidRPr="008B052A">
        <w:t xml:space="preserve"> forecast period</w:t>
      </w:r>
      <w:r w:rsidR="005F463F" w:rsidRPr="008B052A">
        <w:t xml:space="preserve"> (2025 to 2030)</w:t>
      </w:r>
      <w:r w:rsidR="00550C7B" w:rsidRPr="008B052A">
        <w:t>.</w:t>
      </w:r>
      <w:r w:rsidR="0078506C" w:rsidRPr="008B052A">
        <w:t xml:space="preserve"> </w:t>
      </w:r>
      <w:r w:rsidR="0089513D" w:rsidRPr="008B052A">
        <w:t xml:space="preserve">Holiday arrivals in 2025 were boosted by </w:t>
      </w:r>
      <w:r w:rsidR="009D50FB" w:rsidRPr="008B052A">
        <w:t xml:space="preserve">the major sporting events held in Australia this year. </w:t>
      </w:r>
      <w:r w:rsidR="0089513D" w:rsidRPr="008B052A">
        <w:t xml:space="preserve">The above-average growth trend over the forecast period partly reflects </w:t>
      </w:r>
      <w:r w:rsidR="00067FF9" w:rsidRPr="008B052A">
        <w:t>an ongoing recovery dynamic</w:t>
      </w:r>
      <w:r w:rsidR="0060270C" w:rsidRPr="008B052A">
        <w:t xml:space="preserve"> in less recover</w:t>
      </w:r>
      <w:r w:rsidR="005F772C" w:rsidRPr="008B052A">
        <w:t>ed</w:t>
      </w:r>
      <w:r w:rsidR="0060270C" w:rsidRPr="008B052A">
        <w:t xml:space="preserve"> inbound holiday markets</w:t>
      </w:r>
      <w:r w:rsidR="005F772C" w:rsidRPr="008B052A">
        <w:t>.</w:t>
      </w:r>
      <w:r w:rsidR="0089513D" w:rsidRPr="008B052A">
        <w:t xml:space="preserve"> </w:t>
      </w:r>
      <w:r w:rsidR="000429EE">
        <w:t>Planned</w:t>
      </w:r>
      <w:r w:rsidR="005B6C63">
        <w:t xml:space="preserve"> international sporting events </w:t>
      </w:r>
      <w:r w:rsidR="000429EE">
        <w:t>and</w:t>
      </w:r>
      <w:r w:rsidR="002D2A19">
        <w:t xml:space="preserve"> demand for working holidays in Australia also support growth in this segment over future years.</w:t>
      </w:r>
    </w:p>
    <w:p w14:paraId="2B976572" w14:textId="5DA54F17" w:rsidR="00B63C76" w:rsidRPr="008B052A" w:rsidRDefault="00B63C76" w:rsidP="00C50AE2">
      <w:r w:rsidRPr="008B052A">
        <w:t xml:space="preserve">Arrivals for the purpose of </w:t>
      </w:r>
      <w:r w:rsidRPr="008B052A">
        <w:rPr>
          <w:b/>
          <w:bCs/>
        </w:rPr>
        <w:t>visiting friends or relatives (VFR)</w:t>
      </w:r>
      <w:r w:rsidRPr="008B052A">
        <w:t xml:space="preserve"> </w:t>
      </w:r>
      <w:r w:rsidR="00B660A9" w:rsidRPr="008B052A">
        <w:t xml:space="preserve">are forecast to surpass their previous peak in 2025 and then continue to trend higher. </w:t>
      </w:r>
      <w:r w:rsidR="00B44802" w:rsidRPr="008B052A">
        <w:t>VFR arrivals are forecast to grow by 3.</w:t>
      </w:r>
      <w:r w:rsidR="00B40C79">
        <w:t>8</w:t>
      </w:r>
      <w:r w:rsidR="00B44802" w:rsidRPr="008B052A">
        <w:t xml:space="preserve">% on average per year over 2025 to 2030. This is supported by the large </w:t>
      </w:r>
      <w:r w:rsidR="00B13BCC" w:rsidRPr="008B052A">
        <w:t xml:space="preserve">population of </w:t>
      </w:r>
      <w:r w:rsidR="00AF372B">
        <w:t>diaspora and students</w:t>
      </w:r>
      <w:r w:rsidR="00B13BCC" w:rsidRPr="008B052A">
        <w:t xml:space="preserve"> in </w:t>
      </w:r>
      <w:r w:rsidR="004E0C12" w:rsidRPr="008B052A">
        <w:t xml:space="preserve">Australia </w:t>
      </w:r>
      <w:r w:rsidR="00B13BCC" w:rsidRPr="008B052A">
        <w:t xml:space="preserve">that host </w:t>
      </w:r>
      <w:r w:rsidR="00EA0197" w:rsidRPr="008B052A">
        <w:t>international friends and family</w:t>
      </w:r>
      <w:r w:rsidR="004E0C12" w:rsidRPr="008B052A">
        <w:t xml:space="preserve">. </w:t>
      </w:r>
      <w:r w:rsidR="00400A18" w:rsidRPr="008B052A">
        <w:t xml:space="preserve">Thanks to the </w:t>
      </w:r>
      <w:r w:rsidR="00D64773" w:rsidRPr="008B052A">
        <w:t xml:space="preserve">reliance on hosts for some trip components (such as food or accommodation), VFR travel is </w:t>
      </w:r>
      <w:r w:rsidR="00400A18" w:rsidRPr="008B052A">
        <w:t>a more budget-friendly travel option</w:t>
      </w:r>
      <w:r w:rsidR="001F7111" w:rsidRPr="008B052A">
        <w:t xml:space="preserve">. </w:t>
      </w:r>
      <w:r w:rsidR="006C3683" w:rsidRPr="008B052A">
        <w:t>Demand for l</w:t>
      </w:r>
      <w:r w:rsidR="001F7111" w:rsidRPr="008B052A">
        <w:t xml:space="preserve">ower cost travel options </w:t>
      </w:r>
      <w:r w:rsidR="006C3683" w:rsidRPr="008B052A">
        <w:t xml:space="preserve">is expected to be more resilient in the face of </w:t>
      </w:r>
      <w:r w:rsidR="001F06F3" w:rsidRPr="008B052A">
        <w:t xml:space="preserve">high travel costs globally. </w:t>
      </w:r>
    </w:p>
    <w:p w14:paraId="1847BC52" w14:textId="77777777" w:rsidR="00CF435D" w:rsidRPr="008B052A" w:rsidRDefault="007C08DC" w:rsidP="00C50AE2">
      <w:r w:rsidRPr="008B052A">
        <w:rPr>
          <w:b/>
          <w:bCs/>
        </w:rPr>
        <w:lastRenderedPageBreak/>
        <w:t>Business</w:t>
      </w:r>
      <w:r w:rsidRPr="008B052A">
        <w:t xml:space="preserve"> travel growth </w:t>
      </w:r>
      <w:r w:rsidR="000D3BE9" w:rsidRPr="008B052A">
        <w:t xml:space="preserve">is </w:t>
      </w:r>
      <w:r w:rsidRPr="008B052A">
        <w:t>expected to remain moderate reflecting global business conditions</w:t>
      </w:r>
      <w:r w:rsidR="004834CB" w:rsidRPr="008B052A">
        <w:t>.</w:t>
      </w:r>
      <w:r w:rsidR="006E757A" w:rsidRPr="008B052A">
        <w:t xml:space="preserve"> </w:t>
      </w:r>
      <w:r w:rsidR="004224BD" w:rsidRPr="008B052A">
        <w:t>Businesses globally face budget pressures i</w:t>
      </w:r>
      <w:r w:rsidR="004834CB" w:rsidRPr="008B052A">
        <w:t xml:space="preserve">n </w:t>
      </w:r>
      <w:r w:rsidR="004224BD" w:rsidRPr="008B052A">
        <w:t xml:space="preserve">response </w:t>
      </w:r>
      <w:r w:rsidR="004834CB" w:rsidRPr="008B052A">
        <w:t>to high operating costs</w:t>
      </w:r>
      <w:r w:rsidR="004F1B12" w:rsidRPr="008B052A">
        <w:t xml:space="preserve"> and </w:t>
      </w:r>
      <w:r w:rsidR="000F6999" w:rsidRPr="008B052A">
        <w:t xml:space="preserve">many </w:t>
      </w:r>
      <w:r w:rsidR="004834CB" w:rsidRPr="008B052A">
        <w:t>face a</w:t>
      </w:r>
      <w:r w:rsidR="000F6999" w:rsidRPr="008B052A">
        <w:t xml:space="preserve"> requirement to </w:t>
      </w:r>
      <w:r w:rsidR="004F1B12" w:rsidRPr="008B052A">
        <w:t>reign in travel budgets</w:t>
      </w:r>
      <w:r w:rsidR="00893921" w:rsidRPr="008B052A">
        <w:t>. Significant technological advances and changes in business practices have reduced the value proposition of some types of business travel</w:t>
      </w:r>
      <w:r w:rsidR="004F1B12" w:rsidRPr="008B052A">
        <w:t xml:space="preserve">. Moreover, </w:t>
      </w:r>
      <w:r w:rsidR="00DC6B3F" w:rsidRPr="008B052A">
        <w:t xml:space="preserve">intensification of sustainability reporting requirements for businesses </w:t>
      </w:r>
      <w:r w:rsidR="00702972" w:rsidRPr="008B052A">
        <w:t>may affect demand for international business travel to Australia</w:t>
      </w:r>
      <w:r w:rsidR="001E23E9" w:rsidRPr="008B052A">
        <w:t xml:space="preserve">, which </w:t>
      </w:r>
      <w:r w:rsidR="00837B7E" w:rsidRPr="008B052A">
        <w:t>often</w:t>
      </w:r>
      <w:r w:rsidR="001E23E9" w:rsidRPr="008B052A">
        <w:t xml:space="preserve"> reli</w:t>
      </w:r>
      <w:r w:rsidR="001E4D34" w:rsidRPr="008B052A">
        <w:t>es</w:t>
      </w:r>
      <w:r w:rsidR="001E23E9" w:rsidRPr="008B052A">
        <w:t xml:space="preserve"> on a long</w:t>
      </w:r>
      <w:r w:rsidR="00837B7E" w:rsidRPr="008B052A">
        <w:t>-haul</w:t>
      </w:r>
      <w:r w:rsidR="001E23E9" w:rsidRPr="008B052A">
        <w:t xml:space="preserve"> flight. </w:t>
      </w:r>
      <w:r w:rsidR="00F37A3E" w:rsidRPr="008B052A">
        <w:t xml:space="preserve">Nevertheless, </w:t>
      </w:r>
      <w:r w:rsidR="001E4D34" w:rsidRPr="008B052A">
        <w:t xml:space="preserve">rigorous </w:t>
      </w:r>
      <w:r w:rsidR="001E23E9" w:rsidRPr="008B052A">
        <w:t xml:space="preserve">work throughout the </w:t>
      </w:r>
      <w:r w:rsidR="00D217B8" w:rsidRPr="008B052A">
        <w:t xml:space="preserve">visitor economy to ensure that components of </w:t>
      </w:r>
      <w:r w:rsidR="001E23E9" w:rsidRPr="008B052A">
        <w:t xml:space="preserve">business events, conference and </w:t>
      </w:r>
      <w:r w:rsidR="00D217B8" w:rsidRPr="008B052A">
        <w:t xml:space="preserve">meeting agendas in Australia are </w:t>
      </w:r>
      <w:r w:rsidR="00F37A3E" w:rsidRPr="008B052A">
        <w:t>sustainable should support the ongoing growth of this sector.</w:t>
      </w:r>
      <w:r w:rsidR="000F48BB" w:rsidRPr="008B052A">
        <w:t xml:space="preserve"> </w:t>
      </w:r>
    </w:p>
    <w:p w14:paraId="231188EF" w14:textId="51006384" w:rsidR="00F37A3E" w:rsidRPr="008B052A" w:rsidRDefault="00CF435D" w:rsidP="00C50AE2">
      <w:r w:rsidRPr="008B052A">
        <w:t xml:space="preserve">Business arrivals are expected to grow by 2.5% on average over 2025 to 2030. </w:t>
      </w:r>
      <w:r w:rsidR="000F48BB" w:rsidRPr="008B052A">
        <w:t xml:space="preserve">Despite ongoing growth, the current </w:t>
      </w:r>
      <w:r w:rsidR="00320FEF">
        <w:t>forecast</w:t>
      </w:r>
      <w:r w:rsidR="000F48BB" w:rsidRPr="008B052A">
        <w:t xml:space="preserve"> trajectory does not see business arrivals returning to the</w:t>
      </w:r>
      <w:r w:rsidR="009B2691">
        <w:t>ir</w:t>
      </w:r>
      <w:r w:rsidR="000F48BB" w:rsidRPr="008B052A">
        <w:t xml:space="preserve"> </w:t>
      </w:r>
      <w:r w:rsidR="00E749D8" w:rsidRPr="008B052A">
        <w:t>pre-pandemic peak level</w:t>
      </w:r>
      <w:r w:rsidR="00481583">
        <w:t xml:space="preserve"> within the forecast </w:t>
      </w:r>
      <w:r w:rsidR="0078148D">
        <w:t>horizon</w:t>
      </w:r>
      <w:r w:rsidR="00E749D8" w:rsidRPr="008B052A">
        <w:t xml:space="preserve">. </w:t>
      </w:r>
    </w:p>
    <w:p w14:paraId="023DC27E" w14:textId="46B3AC76" w:rsidR="005D24F7" w:rsidRPr="008B052A" w:rsidRDefault="00427D37" w:rsidP="005D24F7">
      <w:r w:rsidRPr="008B052A">
        <w:t xml:space="preserve">Australia has a strong appeal as an education destination. </w:t>
      </w:r>
      <w:r w:rsidR="00B8777E" w:rsidRPr="008B052A">
        <w:rPr>
          <w:b/>
          <w:bCs/>
        </w:rPr>
        <w:t>Education</w:t>
      </w:r>
      <w:r w:rsidR="00B8777E" w:rsidRPr="008B052A">
        <w:t xml:space="preserve"> arrivals are forecast to increase by </w:t>
      </w:r>
      <w:r w:rsidR="00B666E8" w:rsidRPr="008B052A">
        <w:t>1</w:t>
      </w:r>
      <w:r w:rsidR="00B666E8">
        <w:t>1</w:t>
      </w:r>
      <w:r w:rsidR="00B8777E" w:rsidRPr="008B052A">
        <w:t xml:space="preserve">% in 2025, </w:t>
      </w:r>
      <w:r w:rsidR="00563843">
        <w:t xml:space="preserve">which is </w:t>
      </w:r>
      <w:r w:rsidR="0008728A">
        <w:t xml:space="preserve">solid despite </w:t>
      </w:r>
      <w:r w:rsidR="008D212F">
        <w:t>a moderation in</w:t>
      </w:r>
      <w:r w:rsidR="00B8777E" w:rsidRPr="008B052A">
        <w:t xml:space="preserve"> </w:t>
      </w:r>
      <w:r w:rsidR="00BA33CA" w:rsidRPr="008B052A">
        <w:t xml:space="preserve">growth </w:t>
      </w:r>
      <w:r w:rsidR="008D212F">
        <w:t xml:space="preserve">compared with the 19% increase </w:t>
      </w:r>
      <w:r w:rsidR="0008728A">
        <w:t xml:space="preserve">recorded </w:t>
      </w:r>
      <w:r w:rsidR="00BA33CA" w:rsidRPr="008B052A">
        <w:t xml:space="preserve">in the previous year. Education arrivals are then forecast to grow at an annual average rate of </w:t>
      </w:r>
      <w:r w:rsidR="00FA4E40">
        <w:t>6</w:t>
      </w:r>
      <w:r w:rsidR="005D24F7" w:rsidRPr="008B052A">
        <w:t xml:space="preserve">% over the 2025 to 2030 period in line with policies to support sustainable growth of the sector. </w:t>
      </w:r>
    </w:p>
    <w:p w14:paraId="14A62848" w14:textId="12B8F9DA" w:rsidR="0036452F" w:rsidRPr="008B052A" w:rsidRDefault="00503D02" w:rsidP="00736BB1">
      <w:r w:rsidRPr="008B052A">
        <w:t xml:space="preserve">Arrivals for the purpose of </w:t>
      </w:r>
      <w:r w:rsidRPr="008B052A">
        <w:rPr>
          <w:b/>
          <w:bCs/>
        </w:rPr>
        <w:t xml:space="preserve">employment </w:t>
      </w:r>
      <w:r w:rsidR="008278F6" w:rsidRPr="008B052A">
        <w:t xml:space="preserve">reached a record high in 2024, </w:t>
      </w:r>
      <w:r w:rsidR="00D82A46" w:rsidRPr="008B052A">
        <w:t xml:space="preserve">above </w:t>
      </w:r>
      <w:r w:rsidR="00FF596F" w:rsidRPr="008B052A">
        <w:t>the</w:t>
      </w:r>
      <w:r w:rsidR="00D82A46" w:rsidRPr="008B052A">
        <w:t xml:space="preserve"> previous peak level from 2015</w:t>
      </w:r>
      <w:r w:rsidR="00DF49A0" w:rsidRPr="008B052A">
        <w:t xml:space="preserve">. </w:t>
      </w:r>
      <w:r w:rsidR="00AB7147" w:rsidRPr="008B052A">
        <w:t>Employment arrivals</w:t>
      </w:r>
      <w:r w:rsidR="00952FEC" w:rsidRPr="008B052A">
        <w:rPr>
          <w:rStyle w:val="FootnoteReference"/>
        </w:rPr>
        <w:footnoteReference w:id="3"/>
      </w:r>
      <w:r w:rsidR="00AB7147" w:rsidRPr="008B052A">
        <w:t xml:space="preserve"> are forecast to trend higher going forward in line with the allure of Australia for workers</w:t>
      </w:r>
      <w:r w:rsidR="00E92F62" w:rsidRPr="008B052A">
        <w:t xml:space="preserve"> </w:t>
      </w:r>
      <w:r w:rsidR="00E17C23">
        <w:t>and working-holiday makers</w:t>
      </w:r>
      <w:r w:rsidR="006F4C44">
        <w:t>,</w:t>
      </w:r>
      <w:r w:rsidR="00E17C23">
        <w:t xml:space="preserve"> </w:t>
      </w:r>
      <w:r w:rsidR="00E92F62" w:rsidRPr="008B052A">
        <w:t xml:space="preserve">and </w:t>
      </w:r>
      <w:r w:rsidR="00EA2505" w:rsidRPr="008B052A">
        <w:t xml:space="preserve">the growth and innovation of Australia’s </w:t>
      </w:r>
      <w:proofErr w:type="gramStart"/>
      <w:r w:rsidR="00E92F62" w:rsidRPr="008B052A">
        <w:t>global</w:t>
      </w:r>
      <w:r w:rsidR="007225CE" w:rsidRPr="008B052A">
        <w:t>ly-engaged</w:t>
      </w:r>
      <w:proofErr w:type="gramEnd"/>
      <w:r w:rsidR="007225CE" w:rsidRPr="008B052A">
        <w:t xml:space="preserve"> </w:t>
      </w:r>
      <w:r w:rsidR="00E92F62" w:rsidRPr="008B052A">
        <w:t xml:space="preserve">companies. </w:t>
      </w:r>
    </w:p>
    <w:p w14:paraId="622A2CCA" w14:textId="5D55D4B8" w:rsidR="00A46FCE" w:rsidRPr="008B052A" w:rsidRDefault="00A46FCE" w:rsidP="00A46FCE">
      <w:pPr>
        <w:pStyle w:val="Heading3"/>
        <w:rPr>
          <w:bCs w:val="0"/>
        </w:rPr>
      </w:pPr>
      <w:bookmarkStart w:id="60" w:name="_Toc214539196"/>
      <w:r w:rsidRPr="008B052A">
        <w:t>International spend in Australia</w:t>
      </w:r>
      <w:bookmarkEnd w:id="60"/>
      <w:r w:rsidRPr="008B052A">
        <w:t xml:space="preserve"> </w:t>
      </w:r>
    </w:p>
    <w:p w14:paraId="07051C20" w14:textId="53A07B12" w:rsidR="00A46FCE" w:rsidRDefault="00A46FCE" w:rsidP="00A46FCE">
      <w:r w:rsidRPr="008B052A">
        <w:t>Total short-term international visitor spend in Australia is forecast to increase further from a record high of $32.9 billion in 2024 to $</w:t>
      </w:r>
      <w:r w:rsidR="00AD3133">
        <w:t>37.7</w:t>
      </w:r>
      <w:r w:rsidRPr="008B052A">
        <w:t xml:space="preserve"> billion in 2025 (growth of </w:t>
      </w:r>
      <w:r w:rsidR="00541B8E">
        <w:t>15</w:t>
      </w:r>
      <w:r w:rsidRPr="008B052A">
        <w:t xml:space="preserve">% </w:t>
      </w:r>
      <w:r w:rsidR="00755E4C">
        <w:t>and</w:t>
      </w:r>
      <w:r w:rsidR="00755E4C" w:rsidRPr="008B052A">
        <w:t xml:space="preserve"> </w:t>
      </w:r>
      <w:r w:rsidRPr="008B052A">
        <w:t>$</w:t>
      </w:r>
      <w:r w:rsidR="00755E4C">
        <w:t>4.8</w:t>
      </w:r>
      <w:r w:rsidRPr="008B052A">
        <w:t> billion). International spend in Australia is then expected to continue rising to reach $49.6 billion in 2030 (annual average growth of 3.</w:t>
      </w:r>
      <w:r w:rsidR="00EF469C" w:rsidRPr="008B052A">
        <w:t>1</w:t>
      </w:r>
      <w:r w:rsidRPr="008B052A">
        <w:t xml:space="preserve">% over the forecast period) (Figure </w:t>
      </w:r>
      <w:r w:rsidR="0005668F" w:rsidRPr="008B052A">
        <w:t>5</w:t>
      </w:r>
      <w:r w:rsidRPr="008B052A">
        <w:t>).</w:t>
      </w:r>
    </w:p>
    <w:p w14:paraId="1AC3992F" w14:textId="09C30C60" w:rsidR="00A361A9" w:rsidRDefault="008C1037" w:rsidP="00A361A9">
      <w:r>
        <w:t>Growth in i</w:t>
      </w:r>
      <w:r w:rsidR="00A361A9" w:rsidRPr="008B052A">
        <w:t xml:space="preserve">nternational visitor spend </w:t>
      </w:r>
      <w:r>
        <w:t xml:space="preserve">in Australia </w:t>
      </w:r>
      <w:r w:rsidR="00A361A9" w:rsidRPr="008B052A">
        <w:t>has been very strong in 2025 to date. Th</w:t>
      </w:r>
      <w:r>
        <w:t>is</w:t>
      </w:r>
      <w:r w:rsidR="00A361A9" w:rsidRPr="008B052A">
        <w:t xml:space="preserve"> has been driven by </w:t>
      </w:r>
      <w:r w:rsidR="00A361A9">
        <w:t>growth in arrivals from high-spend cohorts, as well as a temporary boost from</w:t>
      </w:r>
      <w:r w:rsidR="00A361A9" w:rsidRPr="008B052A">
        <w:t xml:space="preserve"> spend</w:t>
      </w:r>
      <w:r w:rsidR="00A361A9">
        <w:t>ing</w:t>
      </w:r>
      <w:r w:rsidR="00A361A9" w:rsidRPr="008B052A">
        <w:t xml:space="preserve"> by visitors associated with the British and Irish Lions rugby tour in Australia</w:t>
      </w:r>
      <w:r w:rsidR="00A361A9">
        <w:t>. (There were</w:t>
      </w:r>
      <w:r w:rsidR="00A361A9" w:rsidRPr="008B052A">
        <w:t xml:space="preserve"> 9 </w:t>
      </w:r>
      <w:r w:rsidR="00A361A9">
        <w:t>rugby</w:t>
      </w:r>
      <w:r w:rsidR="00A361A9" w:rsidRPr="008B052A">
        <w:t xml:space="preserve"> matches across 6 Australian cities from the end of June until early August 2025.</w:t>
      </w:r>
      <w:r w:rsidR="00A361A9">
        <w:t>)</w:t>
      </w:r>
      <w:r w:rsidR="00A361A9" w:rsidRPr="008B052A">
        <w:t xml:space="preserve"> </w:t>
      </w:r>
      <w:r w:rsidR="00A361A9">
        <w:t>In addition, e</w:t>
      </w:r>
      <w:r w:rsidR="00A361A9" w:rsidRPr="008B052A">
        <w:t xml:space="preserve">xpanded eligibility requirements for working holiday visas </w:t>
      </w:r>
      <w:r w:rsidR="00A361A9">
        <w:t>led to</w:t>
      </w:r>
      <w:r w:rsidR="00A361A9" w:rsidRPr="008B052A">
        <w:t xml:space="preserve"> an increase in </w:t>
      </w:r>
      <w:r w:rsidR="00A361A9">
        <w:t xml:space="preserve">tourism spend by </w:t>
      </w:r>
      <w:r w:rsidR="00A361A9" w:rsidRPr="008B052A">
        <w:t>working holiday makers</w:t>
      </w:r>
      <w:r w:rsidR="00A361A9">
        <w:t>, who have a very long average length of stay in Australia</w:t>
      </w:r>
      <w:r w:rsidR="00A361A9" w:rsidRPr="008B052A">
        <w:t>.</w:t>
      </w:r>
    </w:p>
    <w:p w14:paraId="369C1984" w14:textId="66D953AF" w:rsidR="00A361A9" w:rsidRPr="008B052A" w:rsidRDefault="00A361A9" w:rsidP="00A361A9">
      <w:r w:rsidRPr="008B052A">
        <w:lastRenderedPageBreak/>
        <w:t xml:space="preserve">Looking ahead, in response to lower inflation and </w:t>
      </w:r>
      <w:r>
        <w:t>a forecast moderation in average spend per trip</w:t>
      </w:r>
      <w:r w:rsidRPr="008B052A">
        <w:t xml:space="preserve">, the pace of growth in international visitor spend in Australia is forecast to ease over the forecast horizon. </w:t>
      </w:r>
      <w:r>
        <w:t xml:space="preserve">International </w:t>
      </w:r>
      <w:proofErr w:type="gramStart"/>
      <w:r>
        <w:t>visitor</w:t>
      </w:r>
      <w:proofErr w:type="gramEnd"/>
      <w:r>
        <w:t xml:space="preserve"> spend is expected to grow by 4% per year on average over the forecast period, which is </w:t>
      </w:r>
      <w:r w:rsidRPr="008B052A">
        <w:t xml:space="preserve">ahead of the expected rate of consumer price inflation over the next </w:t>
      </w:r>
      <w:r>
        <w:t>5</w:t>
      </w:r>
      <w:r w:rsidRPr="008B052A">
        <w:t xml:space="preserve"> years. This </w:t>
      </w:r>
      <w:r>
        <w:t xml:space="preserve">implies </w:t>
      </w:r>
      <w:r w:rsidRPr="008B052A">
        <w:t xml:space="preserve">growth in </w:t>
      </w:r>
      <w:r>
        <w:t xml:space="preserve">both nominal and real terms for </w:t>
      </w:r>
      <w:r w:rsidRPr="008B052A">
        <w:t>international visitor spend over the period.</w:t>
      </w:r>
    </w:p>
    <w:p w14:paraId="58F1400D" w14:textId="49E2B914" w:rsidR="00A361A9" w:rsidRPr="008B052A" w:rsidRDefault="00A361A9" w:rsidP="00A46FCE">
      <w:r w:rsidRPr="008B052A">
        <w:t>Over the forecast horizon, growth in nominal spend is forecast to average slightly below the growth rate of arrivals. This reflects a gradual</w:t>
      </w:r>
      <w:r>
        <w:t>,</w:t>
      </w:r>
      <w:r w:rsidRPr="008B052A">
        <w:t xml:space="preserve"> moderate decline in average spend per trip over the next 5 years. </w:t>
      </w:r>
      <w:r w:rsidR="00B16F18">
        <w:t>T</w:t>
      </w:r>
      <w:r w:rsidRPr="008B052A">
        <w:t xml:space="preserve">he expected decline in average trip spend varies by trip type. Some trip types have already seen a decline in average spend per trip. For example, in 2024, the average </w:t>
      </w:r>
      <w:proofErr w:type="gramStart"/>
      <w:r w:rsidRPr="008B052A">
        <w:t>spend</w:t>
      </w:r>
      <w:proofErr w:type="gramEnd"/>
      <w:r w:rsidRPr="008B052A">
        <w:t xml:space="preserve"> on a business trip declined by 10% compared with the previous year. The pull-back in spend on business trips aligned with global pressures for businesses to reign in travel budgets. A further decline in average spend per trip is forecast for business trips in 2025 before remaining</w:t>
      </w:r>
      <w:r>
        <w:t xml:space="preserve"> broadly</w:t>
      </w:r>
      <w:r w:rsidRPr="008B052A">
        <w:t xml:space="preserve"> stable through the forecast horizon.</w:t>
      </w:r>
    </w:p>
    <w:p w14:paraId="6A14A9D3" w14:textId="25C93BE3" w:rsidR="00A46FCE" w:rsidRPr="008B052A" w:rsidRDefault="00A46FCE" w:rsidP="00E871D1">
      <w:pPr>
        <w:keepNext/>
        <w:rPr>
          <w:color w:val="300050" w:themeColor="text2"/>
        </w:rPr>
      </w:pPr>
      <w:r w:rsidRPr="008B052A">
        <w:rPr>
          <w:b/>
          <w:bCs/>
          <w:color w:val="300050" w:themeColor="text2"/>
        </w:rPr>
        <w:t xml:space="preserve">Figure </w:t>
      </w:r>
      <w:r w:rsidR="00E871D1" w:rsidRPr="008B052A">
        <w:rPr>
          <w:b/>
          <w:bCs/>
          <w:color w:val="300050" w:themeColor="text2"/>
        </w:rPr>
        <w:t>5</w:t>
      </w:r>
      <w:r w:rsidRPr="008B052A">
        <w:rPr>
          <w:b/>
          <w:bCs/>
          <w:color w:val="300050" w:themeColor="text2"/>
        </w:rPr>
        <w:t>.</w:t>
      </w:r>
      <w:r w:rsidRPr="008B052A">
        <w:rPr>
          <w:color w:val="300050" w:themeColor="text2"/>
        </w:rPr>
        <w:t xml:space="preserve"> International spend in Australia</w:t>
      </w:r>
      <w:r w:rsidR="00F6456A">
        <w:rPr>
          <w:color w:val="300050" w:themeColor="text2"/>
        </w:rPr>
        <w:t xml:space="preserve"> by short-term visitors (in A$ billion)</w:t>
      </w:r>
      <w:r w:rsidRPr="008B052A">
        <w:rPr>
          <w:color w:val="300050" w:themeColor="text2"/>
        </w:rPr>
        <w:t xml:space="preserve">.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00E871D1" w:rsidRPr="008B052A">
        <w:rPr>
          <w:rFonts w:eastAsia="Times New Roman" w:cs="Times New Roman"/>
          <w:color w:val="300050"/>
          <w:lang w:eastAsia="en-AU"/>
        </w:rPr>
        <w:t>values to 2024, forecast values from 2025 onwards.</w:t>
      </w:r>
    </w:p>
    <w:p w14:paraId="35C3F851" w14:textId="2CE50BBA" w:rsidR="00A46FCE" w:rsidRDefault="00601218" w:rsidP="00A46FCE">
      <w:pPr>
        <w:spacing w:line="240" w:lineRule="atLeast"/>
        <w:jc w:val="center"/>
      </w:pPr>
      <w:r w:rsidRPr="00601218">
        <w:rPr>
          <w:noProof/>
        </w:rPr>
        <w:drawing>
          <wp:inline distT="0" distB="0" distL="0" distR="0" wp14:anchorId="3FE78650" wp14:editId="366E262B">
            <wp:extent cx="6329680" cy="3533775"/>
            <wp:effectExtent l="0" t="0" r="0" b="9525"/>
            <wp:docPr id="552143783" name="Picture 4" descr="Chart showing the value of  international visitor spend in Australia each year from 2015 to 2030. There is expected to be a continued trend rise in spend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43783" name="Picture 4" descr="Chart showing the value of  international visitor spend in Australia each year from 2015 to 2030. There is expected to be a continued trend rise in spend over the forecast period from 2025 to 2030.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29680" cy="3533775"/>
                    </a:xfrm>
                    <a:prstGeom prst="rect">
                      <a:avLst/>
                    </a:prstGeom>
                    <a:noFill/>
                    <a:ln>
                      <a:noFill/>
                    </a:ln>
                  </pic:spPr>
                </pic:pic>
              </a:graphicData>
            </a:graphic>
          </wp:inline>
        </w:drawing>
      </w:r>
      <w:r w:rsidR="009F0E33" w:rsidRPr="009F0E33">
        <w:t xml:space="preserve"> </w:t>
      </w:r>
    </w:p>
    <w:p w14:paraId="47E18A58" w14:textId="1114612D" w:rsidR="002E5597" w:rsidRPr="008B052A" w:rsidRDefault="002E5597" w:rsidP="00A46FCE">
      <w:pPr>
        <w:spacing w:line="240" w:lineRule="atLeast"/>
        <w:jc w:val="center"/>
      </w:pPr>
    </w:p>
    <w:p w14:paraId="6C560320" w14:textId="77777777" w:rsidR="000B3595" w:rsidRDefault="000B3595">
      <w:pPr>
        <w:spacing w:before="0" w:after="160" w:line="259" w:lineRule="auto"/>
        <w:rPr>
          <w:rFonts w:eastAsia="SimSun" w:cs="Times New Roman"/>
          <w:bCs/>
          <w:color w:val="441D4A" w:themeColor="accent1" w:themeShade="80"/>
          <w:sz w:val="32"/>
          <w:szCs w:val="26"/>
          <w:lang w:eastAsia="zh-CN"/>
        </w:rPr>
      </w:pPr>
      <w:bookmarkStart w:id="61" w:name="_Toc184632621"/>
      <w:r>
        <w:br w:type="page"/>
      </w:r>
    </w:p>
    <w:p w14:paraId="42A258E9" w14:textId="61D9671F" w:rsidR="0036452F" w:rsidRPr="008B052A" w:rsidRDefault="0036452F" w:rsidP="0036452F">
      <w:pPr>
        <w:pStyle w:val="Heading2"/>
      </w:pPr>
      <w:bookmarkStart w:id="62" w:name="_Toc214539197"/>
      <w:r w:rsidRPr="008B052A">
        <w:lastRenderedPageBreak/>
        <w:t>Resident outbound travel</w:t>
      </w:r>
      <w:bookmarkEnd w:id="61"/>
      <w:bookmarkEnd w:id="62"/>
    </w:p>
    <w:p w14:paraId="5E4A82CE" w14:textId="14903021" w:rsidR="00F83C12" w:rsidRPr="008B052A" w:rsidRDefault="49643BB5" w:rsidP="00F83C12">
      <w:r w:rsidRPr="008B052A">
        <w:t xml:space="preserve">Australians continue to </w:t>
      </w:r>
      <w:r w:rsidR="40E79264" w:rsidRPr="008B052A">
        <w:t>be world explorers</w:t>
      </w:r>
      <w:r w:rsidRPr="008B052A">
        <w:t xml:space="preserve">, </w:t>
      </w:r>
      <w:r w:rsidR="40E79264" w:rsidRPr="008B052A">
        <w:t xml:space="preserve">chalking up </w:t>
      </w:r>
      <w:r w:rsidR="639D04EB" w:rsidRPr="008B052A">
        <w:t>11.6 million overseas trips in 2024</w:t>
      </w:r>
      <w:r w:rsidR="336308B2" w:rsidRPr="008B052A">
        <w:t xml:space="preserve">. </w:t>
      </w:r>
      <w:r w:rsidR="76A489E7" w:rsidRPr="008B052A">
        <w:t xml:space="preserve">Short-term resident returns are forecast to </w:t>
      </w:r>
      <w:r w:rsidR="1FE651BB" w:rsidRPr="008B052A">
        <w:t xml:space="preserve">continue to </w:t>
      </w:r>
      <w:r w:rsidR="00D3519C">
        <w:t xml:space="preserve">trend </w:t>
      </w:r>
      <w:r w:rsidR="6E1A397E" w:rsidRPr="008B052A" w:rsidDel="009B12FE">
        <w:t>higher</w:t>
      </w:r>
      <w:r w:rsidR="6E1A397E" w:rsidRPr="008B052A">
        <w:t xml:space="preserve">. In 2025, resident returns are forecast to increase </w:t>
      </w:r>
      <w:r w:rsidR="76A489E7" w:rsidRPr="008B052A">
        <w:t xml:space="preserve">by </w:t>
      </w:r>
      <w:r w:rsidR="00726428">
        <w:t>8</w:t>
      </w:r>
      <w:r w:rsidR="76A489E7" w:rsidRPr="008B052A">
        <w:t>% to 12.</w:t>
      </w:r>
      <w:r w:rsidR="00726428">
        <w:t>6</w:t>
      </w:r>
      <w:r w:rsidR="00726428" w:rsidRPr="008B052A">
        <w:t> </w:t>
      </w:r>
      <w:r w:rsidR="76A489E7" w:rsidRPr="008B052A">
        <w:t>million.</w:t>
      </w:r>
      <w:r w:rsidR="1FE651BB" w:rsidRPr="008B052A">
        <w:t xml:space="preserve"> </w:t>
      </w:r>
      <w:r w:rsidR="336308B2" w:rsidRPr="008B052A">
        <w:t xml:space="preserve">This </w:t>
      </w:r>
      <w:r w:rsidR="1A7ABD8C" w:rsidRPr="008B052A">
        <w:t>high number of</w:t>
      </w:r>
      <w:r w:rsidR="336308B2" w:rsidRPr="008B052A">
        <w:t xml:space="preserve"> outbound </w:t>
      </w:r>
      <w:r w:rsidR="1A7ABD8C" w:rsidRPr="008B052A">
        <w:t xml:space="preserve">trips </w:t>
      </w:r>
      <w:r w:rsidR="00532F8F">
        <w:t>i</w:t>
      </w:r>
      <w:r w:rsidR="00532F8F" w:rsidRPr="008B052A">
        <w:t xml:space="preserve">s </w:t>
      </w:r>
      <w:r w:rsidR="336308B2" w:rsidRPr="008B052A">
        <w:t>attributable to:</w:t>
      </w:r>
    </w:p>
    <w:p w14:paraId="6B8904A8" w14:textId="52102152" w:rsidR="00F83C12" w:rsidRPr="008B052A" w:rsidRDefault="00F83C12" w:rsidP="00F83C12">
      <w:pPr>
        <w:pStyle w:val="ListParagraph"/>
        <w:numPr>
          <w:ilvl w:val="0"/>
          <w:numId w:val="15"/>
        </w:numPr>
        <w:contextualSpacing w:val="0"/>
      </w:pPr>
      <w:r w:rsidRPr="008B052A">
        <w:rPr>
          <w:rFonts w:eastAsia="Verdana" w:cs="Times New Roman"/>
        </w:rPr>
        <w:t xml:space="preserve">strong demand for outbound holiday </w:t>
      </w:r>
      <w:r w:rsidR="00773A00" w:rsidRPr="008B052A">
        <w:rPr>
          <w:rFonts w:eastAsia="Verdana" w:cs="Times New Roman"/>
        </w:rPr>
        <w:t>and VFR</w:t>
      </w:r>
      <w:r w:rsidRPr="008B052A">
        <w:rPr>
          <w:rFonts w:eastAsia="Verdana" w:cs="Times New Roman"/>
        </w:rPr>
        <w:t xml:space="preserve"> travel </w:t>
      </w:r>
      <w:r w:rsidR="00992425" w:rsidRPr="008B052A">
        <w:rPr>
          <w:rFonts w:eastAsia="Verdana" w:cs="Times New Roman"/>
        </w:rPr>
        <w:t>(holiday and VFR travel accounted for 8</w:t>
      </w:r>
      <w:r w:rsidR="0037694C">
        <w:rPr>
          <w:rFonts w:eastAsia="Verdana" w:cs="Times New Roman"/>
        </w:rPr>
        <w:t>7</w:t>
      </w:r>
      <w:r w:rsidR="00992425" w:rsidRPr="008B052A">
        <w:rPr>
          <w:rFonts w:eastAsia="Verdana" w:cs="Times New Roman"/>
        </w:rPr>
        <w:t xml:space="preserve">% of total outbound travel in </w:t>
      </w:r>
      <w:r w:rsidR="0037694C">
        <w:rPr>
          <w:rFonts w:eastAsia="Verdana" w:cs="Times New Roman"/>
        </w:rPr>
        <w:t xml:space="preserve">January to September </w:t>
      </w:r>
      <w:r w:rsidR="00992425" w:rsidRPr="008B052A">
        <w:rPr>
          <w:rFonts w:eastAsia="Verdana" w:cs="Times New Roman"/>
        </w:rPr>
        <w:t>202</w:t>
      </w:r>
      <w:r w:rsidR="0037694C">
        <w:rPr>
          <w:rFonts w:eastAsia="Verdana" w:cs="Times New Roman"/>
        </w:rPr>
        <w:t>5</w:t>
      </w:r>
      <w:r w:rsidR="00992425" w:rsidRPr="008B052A">
        <w:rPr>
          <w:rFonts w:eastAsia="Verdana" w:cs="Times New Roman"/>
        </w:rPr>
        <w:t>)</w:t>
      </w:r>
    </w:p>
    <w:p w14:paraId="319B159E" w14:textId="3F9C0B38" w:rsidR="00F83C12" w:rsidRPr="009B12FE" w:rsidRDefault="336308B2" w:rsidP="009B12FE">
      <w:pPr>
        <w:pStyle w:val="ListParagraph"/>
        <w:numPr>
          <w:ilvl w:val="0"/>
          <w:numId w:val="15"/>
        </w:numPr>
        <w:ind w:left="357" w:hanging="357"/>
        <w:contextualSpacing w:val="0"/>
        <w:rPr>
          <w:rFonts w:eastAsia="Verdana" w:cs="Times New Roman"/>
        </w:rPr>
      </w:pPr>
      <w:r w:rsidRPr="008B052A">
        <w:rPr>
          <w:rFonts w:eastAsia="Verdana" w:cs="Times New Roman"/>
        </w:rPr>
        <w:t>the range of affordable short-haul travel destinations available to Australians (for example, Indonesia, Thailand, Vietnam</w:t>
      </w:r>
      <w:r w:rsidR="6B84F19F" w:rsidRPr="008B052A">
        <w:rPr>
          <w:rFonts w:eastAsia="Verdana" w:cs="Times New Roman"/>
        </w:rPr>
        <w:t>,</w:t>
      </w:r>
      <w:r w:rsidRPr="008B052A">
        <w:rPr>
          <w:rFonts w:eastAsia="Verdana" w:cs="Times New Roman"/>
        </w:rPr>
        <w:t xml:space="preserve"> and </w:t>
      </w:r>
      <w:r w:rsidR="003C0C97">
        <w:rPr>
          <w:rFonts w:eastAsia="Verdana" w:cs="Times New Roman"/>
        </w:rPr>
        <w:t>P</w:t>
      </w:r>
      <w:r w:rsidR="00F83C12" w:rsidRPr="00095227">
        <w:rPr>
          <w:rFonts w:eastAsia="Verdana" w:cs="Times New Roman"/>
        </w:rPr>
        <w:t xml:space="preserve">acific </w:t>
      </w:r>
      <w:r w:rsidR="003C0C97">
        <w:rPr>
          <w:rFonts w:eastAsia="Verdana" w:cs="Times New Roman"/>
        </w:rPr>
        <w:t>I</w:t>
      </w:r>
      <w:r w:rsidR="00F83C12" w:rsidRPr="00095227">
        <w:rPr>
          <w:rFonts w:eastAsia="Verdana" w:cs="Times New Roman"/>
        </w:rPr>
        <w:t>sland</w:t>
      </w:r>
      <w:r w:rsidR="7A669FE1" w:rsidRPr="008B052A">
        <w:rPr>
          <w:rFonts w:eastAsia="Verdana" w:cs="Times New Roman"/>
        </w:rPr>
        <w:t xml:space="preserve"> nation</w:t>
      </w:r>
      <w:r w:rsidRPr="008B052A">
        <w:rPr>
          <w:rFonts w:eastAsia="Verdana" w:cs="Times New Roman"/>
        </w:rPr>
        <w:t>s)</w:t>
      </w:r>
      <w:r w:rsidR="67480B0A" w:rsidRPr="008B052A">
        <w:rPr>
          <w:rFonts w:eastAsia="Verdana" w:cs="Times New Roman"/>
        </w:rPr>
        <w:t xml:space="preserve"> and the growth</w:t>
      </w:r>
      <w:r w:rsidR="5D121A36" w:rsidRPr="008B052A">
        <w:rPr>
          <w:rFonts w:eastAsia="Verdana" w:cs="Times New Roman"/>
        </w:rPr>
        <w:t xml:space="preserve"> in </w:t>
      </w:r>
      <w:r w:rsidRPr="008B052A">
        <w:rPr>
          <w:rFonts w:eastAsia="Verdana" w:cs="Times New Roman"/>
        </w:rPr>
        <w:t xml:space="preserve">aviation capacity servicing </w:t>
      </w:r>
      <w:r w:rsidR="5D121A36" w:rsidRPr="008B052A">
        <w:rPr>
          <w:rFonts w:eastAsia="Verdana" w:cs="Times New Roman"/>
        </w:rPr>
        <w:t xml:space="preserve">these </w:t>
      </w:r>
      <w:r w:rsidRPr="008B052A">
        <w:rPr>
          <w:rFonts w:eastAsia="Verdana" w:cs="Times New Roman"/>
        </w:rPr>
        <w:t>popular outbound travel destinations</w:t>
      </w:r>
    </w:p>
    <w:p w14:paraId="25991163" w14:textId="5AC26BC4" w:rsidR="00F83C12" w:rsidRPr="008B052A" w:rsidRDefault="00F83C12" w:rsidP="009B12FE">
      <w:pPr>
        <w:pStyle w:val="ListParagraph"/>
        <w:numPr>
          <w:ilvl w:val="0"/>
          <w:numId w:val="15"/>
        </w:numPr>
        <w:ind w:left="357" w:hanging="357"/>
        <w:contextualSpacing w:val="0"/>
      </w:pPr>
      <w:r w:rsidRPr="008B052A">
        <w:rPr>
          <w:rFonts w:eastAsia="Verdana" w:cs="Times New Roman"/>
        </w:rPr>
        <w:t>Australian</w:t>
      </w:r>
      <w:r w:rsidR="00396E98" w:rsidRPr="008B052A">
        <w:rPr>
          <w:rFonts w:eastAsia="Verdana" w:cs="Times New Roman"/>
        </w:rPr>
        <w:t>s</w:t>
      </w:r>
      <w:r w:rsidRPr="008B052A">
        <w:rPr>
          <w:rFonts w:eastAsia="Verdana" w:cs="Times New Roman"/>
        </w:rPr>
        <w:t>’ enduring love of travel</w:t>
      </w:r>
      <w:r w:rsidR="00115A0E" w:rsidRPr="008B052A">
        <w:rPr>
          <w:rFonts w:eastAsia="Verdana" w:cs="Times New Roman"/>
        </w:rPr>
        <w:t>,</w:t>
      </w:r>
      <w:r w:rsidR="00095227" w:rsidRPr="008B052A">
        <w:rPr>
          <w:rFonts w:eastAsia="Verdana" w:cs="Times New Roman"/>
        </w:rPr>
        <w:t xml:space="preserve"> </w:t>
      </w:r>
      <w:r w:rsidR="00765FA1" w:rsidRPr="008B052A">
        <w:rPr>
          <w:rFonts w:eastAsia="Verdana" w:cs="Times New Roman"/>
        </w:rPr>
        <w:t>willingness to spend on travel and experiences</w:t>
      </w:r>
      <w:r w:rsidR="00115A0E" w:rsidRPr="008B052A">
        <w:rPr>
          <w:rFonts w:eastAsia="Verdana" w:cs="Times New Roman"/>
        </w:rPr>
        <w:t xml:space="preserve">, and </w:t>
      </w:r>
      <w:r w:rsidR="007A129A" w:rsidRPr="008B052A">
        <w:rPr>
          <w:rFonts w:eastAsia="Verdana" w:cs="Times New Roman"/>
        </w:rPr>
        <w:t xml:space="preserve">eagerness to explore </w:t>
      </w:r>
      <w:r w:rsidR="000D432B" w:rsidRPr="008B052A">
        <w:rPr>
          <w:rFonts w:eastAsia="Verdana" w:cs="Times New Roman"/>
        </w:rPr>
        <w:t>the world</w:t>
      </w:r>
      <w:r w:rsidRPr="008B052A">
        <w:rPr>
          <w:rFonts w:eastAsia="Verdana" w:cs="Times New Roman"/>
        </w:rPr>
        <w:t>.</w:t>
      </w:r>
      <w:r w:rsidRPr="008B052A">
        <w:t xml:space="preserve"> </w:t>
      </w:r>
    </w:p>
    <w:p w14:paraId="739C0514" w14:textId="366ABB99" w:rsidR="00B7282C" w:rsidRPr="008B052A" w:rsidRDefault="4FED1DDA" w:rsidP="00B7282C">
      <w:r w:rsidRPr="008B052A">
        <w:t xml:space="preserve">Growth in outbound trips is forecast to be </w:t>
      </w:r>
      <w:proofErr w:type="gramStart"/>
      <w:r w:rsidRPr="008B052A">
        <w:t>broad-based,</w:t>
      </w:r>
      <w:proofErr w:type="gramEnd"/>
      <w:r w:rsidRPr="008B052A">
        <w:t xml:space="preserve"> however</w:t>
      </w:r>
      <w:r w:rsidR="51E4E06D" w:rsidRPr="008B052A">
        <w:t xml:space="preserve">, </w:t>
      </w:r>
      <w:r w:rsidR="76836948" w:rsidRPr="008B052A">
        <w:t xml:space="preserve">the following </w:t>
      </w:r>
      <w:r w:rsidR="03749A9D" w:rsidRPr="008B052A">
        <w:t xml:space="preserve">predominantly </w:t>
      </w:r>
      <w:r w:rsidR="76836948" w:rsidRPr="008B052A">
        <w:t>leisure-based</w:t>
      </w:r>
      <w:r w:rsidRPr="008B052A">
        <w:t xml:space="preserve"> markets </w:t>
      </w:r>
      <w:r w:rsidR="76836948" w:rsidRPr="008B052A">
        <w:t xml:space="preserve">are expected to record the strongest growth </w:t>
      </w:r>
      <w:r w:rsidRPr="008B052A">
        <w:t>for Australian resident trips</w:t>
      </w:r>
      <w:r w:rsidR="00B7282C">
        <w:t>:</w:t>
      </w:r>
      <w:r w:rsidRPr="008B052A">
        <w:t xml:space="preserve"> Japan, China</w:t>
      </w:r>
      <w:r w:rsidR="6B84F19F" w:rsidRPr="008B052A">
        <w:t>,</w:t>
      </w:r>
      <w:r w:rsidRPr="008B052A">
        <w:t xml:space="preserve"> </w:t>
      </w:r>
      <w:r w:rsidR="002D4177">
        <w:t>Vietnam</w:t>
      </w:r>
      <w:r w:rsidR="00C3454A">
        <w:t>,</w:t>
      </w:r>
      <w:r w:rsidR="002D4177">
        <w:t xml:space="preserve"> </w:t>
      </w:r>
      <w:r w:rsidRPr="008B052A">
        <w:t xml:space="preserve">and Thailand. Overall, and for these markets more specifically, the strength of Australian resident travel may be </w:t>
      </w:r>
      <w:r w:rsidR="76836948" w:rsidRPr="008B052A">
        <w:t>hampering</w:t>
      </w:r>
      <w:r w:rsidRPr="008B052A">
        <w:t xml:space="preserve"> growth </w:t>
      </w:r>
      <w:r w:rsidR="76836948" w:rsidRPr="008B052A">
        <w:t>in</w:t>
      </w:r>
      <w:r w:rsidRPr="008B052A">
        <w:t xml:space="preserve"> international visitor arrivals</w:t>
      </w:r>
      <w:r w:rsidR="76836948" w:rsidRPr="008B052A">
        <w:t xml:space="preserve"> from those destinations</w:t>
      </w:r>
      <w:r w:rsidR="2135C7CE" w:rsidRPr="008B052A">
        <w:t xml:space="preserve"> as </w:t>
      </w:r>
      <w:r w:rsidR="7CDDE1F3" w:rsidRPr="008B052A">
        <w:t xml:space="preserve">the high number of Australians </w:t>
      </w:r>
      <w:r w:rsidR="051794C1" w:rsidRPr="008B052A">
        <w:t xml:space="preserve">may be </w:t>
      </w:r>
      <w:r w:rsidR="7CDDE1F3" w:rsidRPr="008B052A">
        <w:t>occup</w:t>
      </w:r>
      <w:r w:rsidR="051794C1" w:rsidRPr="008B052A">
        <w:t>ying</w:t>
      </w:r>
      <w:r w:rsidR="7CDDE1F3" w:rsidRPr="008B052A">
        <w:t xml:space="preserve"> aviation seats in place of international inbound travellers to Australia. </w:t>
      </w:r>
      <w:r w:rsidR="02C3E2DC" w:rsidRPr="008B052A">
        <w:t xml:space="preserve">The effect is expected to be temporary and </w:t>
      </w:r>
      <w:r w:rsidR="19A654BA" w:rsidRPr="008B052A">
        <w:t>may</w:t>
      </w:r>
      <w:r w:rsidR="1684378C" w:rsidRPr="008B052A">
        <w:t>,</w:t>
      </w:r>
      <w:r w:rsidR="19A654BA" w:rsidRPr="008B052A">
        <w:t xml:space="preserve"> in time</w:t>
      </w:r>
      <w:r w:rsidR="1684378C" w:rsidRPr="008B052A">
        <w:t>,</w:t>
      </w:r>
      <w:r w:rsidR="19A654BA" w:rsidRPr="008B052A">
        <w:t xml:space="preserve"> encourage </w:t>
      </w:r>
      <w:r w:rsidR="30DC5F4B" w:rsidRPr="008B052A">
        <w:t xml:space="preserve">additional aviation capacity </w:t>
      </w:r>
      <w:r w:rsidR="433E74EE" w:rsidRPr="008B052A">
        <w:t>on popular routes</w:t>
      </w:r>
      <w:r w:rsidR="37C3C9C3" w:rsidRPr="008B052A">
        <w:t xml:space="preserve"> </w:t>
      </w:r>
      <w:r w:rsidR="73C8E8E7" w:rsidRPr="008B052A">
        <w:t xml:space="preserve">as well </w:t>
      </w:r>
      <w:r w:rsidR="261AB59C" w:rsidRPr="008B052A">
        <w:t>as possibly</w:t>
      </w:r>
      <w:r w:rsidR="7981BC33" w:rsidRPr="008B052A">
        <w:t xml:space="preserve"> </w:t>
      </w:r>
      <w:r w:rsidR="23257942" w:rsidRPr="008B052A">
        <w:t>inspire</w:t>
      </w:r>
      <w:r w:rsidR="034B469C" w:rsidRPr="008B052A">
        <w:t xml:space="preserve"> additional </w:t>
      </w:r>
      <w:r w:rsidR="5BF57114" w:rsidRPr="008B052A">
        <w:t xml:space="preserve">inbound </w:t>
      </w:r>
      <w:r w:rsidR="034B469C" w:rsidRPr="008B052A">
        <w:t xml:space="preserve">travel from these markets. </w:t>
      </w:r>
    </w:p>
    <w:p w14:paraId="39465ECF" w14:textId="7A9324AC" w:rsidR="00FC7ACF" w:rsidRPr="008B052A" w:rsidRDefault="000632EC" w:rsidP="00FC7ACF">
      <w:r>
        <w:t>Growth in</w:t>
      </w:r>
      <w:r w:rsidR="348275F9" w:rsidRPr="008B052A">
        <w:t xml:space="preserve"> resident outbound trips is </w:t>
      </w:r>
      <w:r>
        <w:t xml:space="preserve">expected </w:t>
      </w:r>
      <w:r w:rsidR="348275F9" w:rsidRPr="008B052A">
        <w:t xml:space="preserve">to </w:t>
      </w:r>
      <w:r w:rsidR="00D54FA7">
        <w:t>moderate</w:t>
      </w:r>
      <w:r w:rsidR="00D54FA7" w:rsidRPr="008B052A">
        <w:t xml:space="preserve"> </w:t>
      </w:r>
      <w:r w:rsidR="348275F9" w:rsidRPr="008B052A">
        <w:t>to 5.</w:t>
      </w:r>
      <w:r w:rsidR="000367E8">
        <w:t>0</w:t>
      </w:r>
      <w:r w:rsidR="348275F9" w:rsidRPr="008B052A">
        <w:t xml:space="preserve">% in 2026 then taper lower over the remainder of the forecast period (Figure 6). These growth rates are more consistent with historic </w:t>
      </w:r>
      <w:proofErr w:type="gramStart"/>
      <w:r w:rsidR="348275F9" w:rsidRPr="008B052A">
        <w:t>averages</w:t>
      </w:r>
      <w:r w:rsidR="00B4737A">
        <w:t>, and</w:t>
      </w:r>
      <w:proofErr w:type="gramEnd"/>
      <w:r w:rsidR="00B4737A">
        <w:t xml:space="preserve"> are lower than</w:t>
      </w:r>
      <w:r w:rsidR="348275F9" w:rsidRPr="008B052A">
        <w:t xml:space="preserve"> the high post-pandemic growth rates which are unlikely to be sustainable. Nonetheless, by 2030, resident outbound trips are forecast to reach </w:t>
      </w:r>
      <w:r w:rsidR="00226963">
        <w:t>14.9</w:t>
      </w:r>
      <w:r w:rsidR="348275F9" w:rsidRPr="008B052A">
        <w:t xml:space="preserve"> million.</w:t>
      </w:r>
    </w:p>
    <w:p w14:paraId="5BAFED5C" w14:textId="23F794B0" w:rsidR="00FC7ACF" w:rsidRPr="008B052A" w:rsidRDefault="348275F9" w:rsidP="3582A4C7">
      <w:r w:rsidRPr="008B052A">
        <w:t xml:space="preserve">Growth rates for outbound travel are forecast to be marginally lower than inbound visitor arrivals from 2027 onwards. Despite this, the </w:t>
      </w:r>
      <w:r w:rsidR="000427B5">
        <w:t xml:space="preserve">gap between the </w:t>
      </w:r>
      <w:r w:rsidRPr="008B052A">
        <w:t xml:space="preserve">number of Australian trips overseas compared to inbound visitor arrivals – termed “net outbound travel” – will remain large through to 2030. The gap between outbound and inbound travel is forecast to increase in 2025 to </w:t>
      </w:r>
      <w:r w:rsidR="0041666F" w:rsidRPr="008B052A">
        <w:t>3.</w:t>
      </w:r>
      <w:r w:rsidR="006E3ADE">
        <w:t>7</w:t>
      </w:r>
      <w:r w:rsidR="0056381E">
        <w:t> </w:t>
      </w:r>
      <w:r w:rsidRPr="008B052A">
        <w:t>million. It is then expected to stabilise at around 4.</w:t>
      </w:r>
      <w:r w:rsidR="00163352">
        <w:t>0</w:t>
      </w:r>
      <w:r w:rsidR="00163352" w:rsidRPr="008B052A">
        <w:t xml:space="preserve"> </w:t>
      </w:r>
      <w:r w:rsidRPr="008B052A">
        <w:t xml:space="preserve">million </w:t>
      </w:r>
      <w:r w:rsidR="00BE3078">
        <w:t>from 2028 to</w:t>
      </w:r>
      <w:r w:rsidRPr="008B052A">
        <w:t xml:space="preserve"> 2030. </w:t>
      </w:r>
    </w:p>
    <w:p w14:paraId="6BE4881B" w14:textId="77777777" w:rsidR="00FC7ACF" w:rsidRPr="008B052A" w:rsidRDefault="00FC7ACF" w:rsidP="00B7282C"/>
    <w:p w14:paraId="5B396F19" w14:textId="25671D20" w:rsidR="00B14815" w:rsidRPr="008B052A" w:rsidRDefault="00707883" w:rsidP="004C1CAA">
      <w:pPr>
        <w:keepNext/>
        <w:spacing w:after="0" w:line="300" w:lineRule="atLeast"/>
        <w:rPr>
          <w:color w:val="300050" w:themeColor="text2"/>
        </w:rPr>
      </w:pPr>
      <w:r w:rsidRPr="008B052A">
        <w:rPr>
          <w:b/>
          <w:bCs/>
          <w:color w:val="300050" w:themeColor="text2"/>
        </w:rPr>
        <w:lastRenderedPageBreak/>
        <w:t xml:space="preserve">Figure </w:t>
      </w:r>
      <w:r w:rsidR="001506B0" w:rsidRPr="008B052A">
        <w:rPr>
          <w:b/>
          <w:bCs/>
          <w:color w:val="300050" w:themeColor="text2"/>
        </w:rPr>
        <w:t>6</w:t>
      </w:r>
      <w:r w:rsidRPr="008B052A">
        <w:rPr>
          <w:b/>
          <w:bCs/>
          <w:color w:val="300050" w:themeColor="text2"/>
        </w:rPr>
        <w:t>.</w:t>
      </w:r>
      <w:r w:rsidRPr="008B052A">
        <w:rPr>
          <w:color w:val="300050" w:themeColor="text2"/>
        </w:rPr>
        <w:t xml:space="preserve"> </w:t>
      </w:r>
      <w:r w:rsidR="00D31289" w:rsidRPr="008B052A">
        <w:rPr>
          <w:color w:val="300050" w:themeColor="text2"/>
        </w:rPr>
        <w:t xml:space="preserve">Number of short-term </w:t>
      </w:r>
      <w:proofErr w:type="gramStart"/>
      <w:r w:rsidR="00D31289" w:rsidRPr="008B052A">
        <w:rPr>
          <w:color w:val="300050" w:themeColor="text2"/>
        </w:rPr>
        <w:t>resident</w:t>
      </w:r>
      <w:proofErr w:type="gramEnd"/>
      <w:r w:rsidR="00D31289" w:rsidRPr="008B052A">
        <w:rPr>
          <w:color w:val="300050" w:themeColor="text2"/>
        </w:rPr>
        <w:t xml:space="preserve"> returns from international trips </w:t>
      </w:r>
      <w:r w:rsidR="00FB4231" w:rsidRPr="008B052A">
        <w:rPr>
          <w:color w:val="300050" w:themeColor="text2"/>
        </w:rPr>
        <w:t xml:space="preserve">(Australian outbound travel) compared with </w:t>
      </w:r>
      <w:r w:rsidR="00D31289" w:rsidRPr="008B052A">
        <w:rPr>
          <w:color w:val="300050" w:themeColor="text2"/>
        </w:rPr>
        <w:t>short-term visitor arrivals from overseas</w:t>
      </w:r>
      <w:r w:rsidR="00FB4231" w:rsidRPr="008B052A">
        <w:rPr>
          <w:color w:val="300050" w:themeColor="text2"/>
        </w:rPr>
        <w:t xml:space="preserve"> (inbound travel)</w:t>
      </w:r>
      <w:r w:rsidRPr="008B052A">
        <w:rPr>
          <w:color w:val="300050" w:themeColor="text2"/>
        </w:rPr>
        <w:t xml:space="preserve">. </w:t>
      </w:r>
      <w:r w:rsidR="00B1013E">
        <w:rPr>
          <w:rFonts w:eastAsia="Times New Roman" w:cs="Times New Roman"/>
          <w:color w:val="300050"/>
          <w:lang w:eastAsia="en-AU"/>
        </w:rPr>
        <w:t>Reported</w:t>
      </w:r>
      <w:r w:rsidR="00BC0C49" w:rsidRPr="008B052A">
        <w:rPr>
          <w:rFonts w:eastAsia="Times New Roman" w:cs="Times New Roman"/>
          <w:color w:val="300050"/>
          <w:lang w:eastAsia="en-AU"/>
        </w:rPr>
        <w:t xml:space="preserve"> values to 2024, forecast values from 2025 onwards</w:t>
      </w:r>
      <w:r w:rsidR="00AA12DF" w:rsidRPr="008B052A">
        <w:rPr>
          <w:color w:val="300050" w:themeColor="text2"/>
        </w:rPr>
        <w:t>.</w:t>
      </w:r>
    </w:p>
    <w:p w14:paraId="7355F671" w14:textId="34A0F3CA" w:rsidR="00B14815" w:rsidRPr="008B052A" w:rsidRDefault="008F786F" w:rsidP="005D6A49">
      <w:pPr>
        <w:spacing w:before="0" w:after="0" w:line="240" w:lineRule="atLeast"/>
      </w:pPr>
      <w:r w:rsidRPr="008F786F">
        <w:t xml:space="preserve"> </w:t>
      </w:r>
      <w:r w:rsidR="00963C04" w:rsidRPr="00963C04">
        <w:rPr>
          <w:noProof/>
        </w:rPr>
        <w:drawing>
          <wp:inline distT="0" distB="0" distL="0" distR="0" wp14:anchorId="5BDAA16B" wp14:editId="42212BA2">
            <wp:extent cx="6329680" cy="3505200"/>
            <wp:effectExtent l="0" t="0" r="0" b="0"/>
            <wp:docPr id="1815624808" name="Picture 5" descr="Chart showing the number of  international visitors to Australia and number of Australians travelling overseas each year from 2015 to 2030. The gap between these to, termed 'net outbound travel' is also shown in bars for each year. The number of Autralians travelling overseas is typically higher than the number of international visitors to Australia each year, and the projected net outbound value remains high relative to history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24808" name="Picture 5" descr="Chart showing the number of  international visitors to Australia and number of Australians travelling overseas each year from 2015 to 2030. The gap between these to, termed 'net outbound travel' is also shown in bars for each year. The number of Autralians travelling overseas is typically higher than the number of international visitors to Australia each year, and the projected net outbound value remains high relative to history over the forecast period from 2025 to 2030.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29680" cy="3505200"/>
                    </a:xfrm>
                    <a:prstGeom prst="rect">
                      <a:avLst/>
                    </a:prstGeom>
                    <a:noFill/>
                    <a:ln>
                      <a:noFill/>
                    </a:ln>
                  </pic:spPr>
                </pic:pic>
              </a:graphicData>
            </a:graphic>
          </wp:inline>
        </w:drawing>
      </w:r>
    </w:p>
    <w:p w14:paraId="2FBADC66" w14:textId="50DD1A18" w:rsidR="000048A9" w:rsidRPr="008B052A" w:rsidRDefault="009F63D6" w:rsidP="00736BB1">
      <w:r w:rsidRPr="008B052A">
        <w:t>The trajectory of outbound travel is</w:t>
      </w:r>
      <w:r w:rsidR="00D03762" w:rsidRPr="008B052A">
        <w:t xml:space="preserve"> a key risk </w:t>
      </w:r>
      <w:r w:rsidR="00507552" w:rsidRPr="008B052A">
        <w:t xml:space="preserve">factor </w:t>
      </w:r>
      <w:r w:rsidR="0041666F" w:rsidRPr="008B052A">
        <w:t>that could affect</w:t>
      </w:r>
      <w:r w:rsidR="00507552" w:rsidRPr="008B052A">
        <w:t xml:space="preserve"> both</w:t>
      </w:r>
      <w:r w:rsidR="00D03762" w:rsidRPr="008B052A">
        <w:t xml:space="preserve"> the </w:t>
      </w:r>
      <w:r w:rsidR="00507552" w:rsidRPr="008B052A">
        <w:t xml:space="preserve">international and domestic </w:t>
      </w:r>
      <w:r w:rsidR="00D03762" w:rsidRPr="008B052A">
        <w:t xml:space="preserve">tourism forecasts. </w:t>
      </w:r>
      <w:r w:rsidR="00172962" w:rsidRPr="008B052A">
        <w:t>It has become evident that the strength in outbound travel</w:t>
      </w:r>
      <w:r w:rsidR="002D7A28">
        <w:t xml:space="preserve"> in recent years</w:t>
      </w:r>
      <w:r w:rsidR="00172962" w:rsidRPr="008B052A">
        <w:t xml:space="preserve"> has had an </w:t>
      </w:r>
      <w:r w:rsidR="00F64674" w:rsidRPr="008B052A">
        <w:t xml:space="preserve">impact on the pace of growth in both international arrivals and domestic overnight travel. </w:t>
      </w:r>
      <w:r w:rsidR="00071918" w:rsidRPr="008B052A">
        <w:t xml:space="preserve">While </w:t>
      </w:r>
      <w:r w:rsidR="00EF4D41" w:rsidRPr="008B052A">
        <w:t xml:space="preserve">TRA had </w:t>
      </w:r>
      <w:r w:rsidR="006E5F19" w:rsidRPr="008B052A">
        <w:t>anticipated that</w:t>
      </w:r>
      <w:r w:rsidR="00EF4D41" w:rsidRPr="008B052A">
        <w:t xml:space="preserve"> strong outbound travel </w:t>
      </w:r>
      <w:r w:rsidR="007542F9" w:rsidRPr="008B052A">
        <w:t xml:space="preserve">could </w:t>
      </w:r>
      <w:r w:rsidR="005166D9" w:rsidRPr="008B052A">
        <w:t>affect</w:t>
      </w:r>
      <w:r w:rsidR="007542F9" w:rsidRPr="008B052A">
        <w:t xml:space="preserve"> growth in domestic travel, </w:t>
      </w:r>
      <w:r w:rsidR="0052525E" w:rsidRPr="008B052A">
        <w:t xml:space="preserve">the prolonged strength in outbound travel, and </w:t>
      </w:r>
      <w:r w:rsidR="001633C1">
        <w:t xml:space="preserve">its </w:t>
      </w:r>
      <w:r w:rsidR="0052525E" w:rsidRPr="008B052A">
        <w:t xml:space="preserve">impact on </w:t>
      </w:r>
      <w:r w:rsidR="00EF4D41" w:rsidRPr="008B052A">
        <w:t>inbound travel</w:t>
      </w:r>
      <w:r w:rsidR="00DD54FC">
        <w:t>,</w:t>
      </w:r>
      <w:r w:rsidR="00EF4D41" w:rsidRPr="008B052A">
        <w:t xml:space="preserve"> had been </w:t>
      </w:r>
      <w:r w:rsidR="00984937">
        <w:t>underestimated</w:t>
      </w:r>
      <w:r w:rsidR="00BE50CC">
        <w:t>.</w:t>
      </w:r>
      <w:r w:rsidR="005D7AA1">
        <w:t xml:space="preserve"> It is possible that </w:t>
      </w:r>
      <w:r w:rsidR="00E9681A">
        <w:t xml:space="preserve">the </w:t>
      </w:r>
      <w:r w:rsidR="00B86EE3">
        <w:t xml:space="preserve">consequences </w:t>
      </w:r>
      <w:r w:rsidR="008B1800">
        <w:t xml:space="preserve">of strong outbound travel </w:t>
      </w:r>
      <w:r w:rsidR="007F0E7C">
        <w:t>w</w:t>
      </w:r>
      <w:r w:rsidR="00B86EE3">
        <w:t>ere</w:t>
      </w:r>
      <w:r w:rsidR="007F0E7C">
        <w:t xml:space="preserve"> amplified in the post-pandemic environment of </w:t>
      </w:r>
      <w:r w:rsidR="00984937">
        <w:t xml:space="preserve">supply constraints and </w:t>
      </w:r>
      <w:r w:rsidR="00630715">
        <w:t xml:space="preserve">financial </w:t>
      </w:r>
      <w:r w:rsidR="00CD0242">
        <w:t>pressures</w:t>
      </w:r>
      <w:r w:rsidR="00BE50CC">
        <w:t xml:space="preserve"> for airlines</w:t>
      </w:r>
      <w:r w:rsidR="00EF4D41" w:rsidRPr="008B052A">
        <w:t>.</w:t>
      </w:r>
      <w:r w:rsidRPr="008B052A">
        <w:t xml:space="preserve"> </w:t>
      </w:r>
    </w:p>
    <w:p w14:paraId="722BDA25" w14:textId="7937C522" w:rsidR="009F63D6" w:rsidRPr="008B052A" w:rsidRDefault="000048A9" w:rsidP="00736BB1">
      <w:r w:rsidRPr="008B052A">
        <w:t xml:space="preserve">Going forward, TRA expects that </w:t>
      </w:r>
      <w:r w:rsidR="0033192B" w:rsidRPr="008B052A">
        <w:t xml:space="preserve">preferences around outbound travel will continue to </w:t>
      </w:r>
      <w:r w:rsidR="00622743" w:rsidRPr="008B052A">
        <w:t>have an impact on the outlook</w:t>
      </w:r>
      <w:r w:rsidR="00184D18" w:rsidRPr="008B052A">
        <w:t xml:space="preserve"> for growth in domestic travel and inbound arrivals. </w:t>
      </w:r>
      <w:r w:rsidR="00622743" w:rsidRPr="008B052A">
        <w:t xml:space="preserve">If outbound travel </w:t>
      </w:r>
      <w:r w:rsidR="009C22CE" w:rsidRPr="008B052A">
        <w:t xml:space="preserve">maintains a stronger than anticipated trajectory, or </w:t>
      </w:r>
      <w:r w:rsidR="002C4499" w:rsidRPr="008B052A">
        <w:t xml:space="preserve">if outbound travel decelerates more quickly than anticipated, </w:t>
      </w:r>
      <w:r w:rsidR="0009727A" w:rsidRPr="008B052A">
        <w:t xml:space="preserve">it </w:t>
      </w:r>
      <w:proofErr w:type="gramStart"/>
      <w:r w:rsidR="006841D6" w:rsidRPr="008B052A">
        <w:t>w</w:t>
      </w:r>
      <w:r w:rsidR="0009727A" w:rsidRPr="008B052A">
        <w:t>ould</w:t>
      </w:r>
      <w:proofErr w:type="gramEnd"/>
      <w:r w:rsidR="009F63D6" w:rsidRPr="008B052A">
        <w:t xml:space="preserve"> </w:t>
      </w:r>
      <w:r w:rsidR="006841D6" w:rsidRPr="008B052A">
        <w:t xml:space="preserve">likely </w:t>
      </w:r>
      <w:r w:rsidR="00FC7ACF" w:rsidRPr="008B052A">
        <w:t>influence</w:t>
      </w:r>
      <w:r w:rsidR="009F1A2A" w:rsidRPr="008B052A">
        <w:t xml:space="preserve"> </w:t>
      </w:r>
      <w:r w:rsidR="005564D8" w:rsidRPr="008B052A">
        <w:t xml:space="preserve">outcomes for </w:t>
      </w:r>
      <w:r w:rsidR="009F1A2A" w:rsidRPr="008B052A">
        <w:t xml:space="preserve">both inbound travel and domestic travel. </w:t>
      </w:r>
    </w:p>
    <w:p w14:paraId="0854D697" w14:textId="77777777" w:rsidR="00585D4B" w:rsidRPr="008B052A" w:rsidRDefault="00585D4B" w:rsidP="00736BB1"/>
    <w:p w14:paraId="013A1E20" w14:textId="77777777" w:rsidR="000732C0" w:rsidRPr="008B052A" w:rsidRDefault="000732C0">
      <w:pPr>
        <w:spacing w:before="0" w:after="160" w:line="259" w:lineRule="auto"/>
        <w:rPr>
          <w:rFonts w:eastAsia="SimSun" w:cs="Times New Roman"/>
          <w:bCs/>
          <w:color w:val="441D4A" w:themeColor="accent1" w:themeShade="80"/>
          <w:sz w:val="32"/>
          <w:szCs w:val="26"/>
          <w:lang w:eastAsia="zh-CN"/>
        </w:rPr>
      </w:pPr>
      <w:bookmarkStart w:id="63" w:name="_Toc184632622"/>
      <w:r w:rsidRPr="008B052A">
        <w:br w:type="page"/>
      </w:r>
    </w:p>
    <w:p w14:paraId="7C1AB752" w14:textId="25066414" w:rsidR="00C13F4F" w:rsidRPr="008B052A" w:rsidRDefault="00C13F4F" w:rsidP="00C13F4F">
      <w:pPr>
        <w:pStyle w:val="Heading2"/>
      </w:pPr>
      <w:bookmarkStart w:id="64" w:name="_Toc214539198"/>
      <w:r w:rsidRPr="008B052A">
        <w:lastRenderedPageBreak/>
        <w:t>Domestic tourism forecasts</w:t>
      </w:r>
      <w:bookmarkEnd w:id="63"/>
      <w:bookmarkEnd w:id="64"/>
    </w:p>
    <w:p w14:paraId="05D5F4BD" w14:textId="1DCA2791" w:rsidR="00C13F4F" w:rsidRPr="008B052A" w:rsidRDefault="00CF2717" w:rsidP="008D7149">
      <w:pPr>
        <w:pStyle w:val="Heading3"/>
        <w:pBdr>
          <w:top w:val="single" w:sz="4" w:space="1" w:color="auto"/>
          <w:left w:val="single" w:sz="4" w:space="4" w:color="auto"/>
          <w:bottom w:val="single" w:sz="4" w:space="1" w:color="auto"/>
          <w:right w:val="single" w:sz="4" w:space="4" w:color="auto"/>
        </w:pBdr>
      </w:pPr>
      <w:bookmarkStart w:id="65" w:name="_Toc214539199"/>
      <w:r w:rsidRPr="008B052A">
        <w:t xml:space="preserve">A </w:t>
      </w:r>
      <w:r w:rsidR="008555E6">
        <w:t>n</w:t>
      </w:r>
      <w:r w:rsidRPr="008B052A">
        <w:t xml:space="preserve">ew </w:t>
      </w:r>
      <w:r w:rsidR="008555E6">
        <w:t>e</w:t>
      </w:r>
      <w:r w:rsidRPr="008B052A">
        <w:t xml:space="preserve">ra for </w:t>
      </w:r>
      <w:r w:rsidR="008555E6">
        <w:t>d</w:t>
      </w:r>
      <w:r w:rsidRPr="008B052A">
        <w:t xml:space="preserve">omestic </w:t>
      </w:r>
      <w:r w:rsidR="008555E6">
        <w:t>t</w:t>
      </w:r>
      <w:r w:rsidRPr="008B052A">
        <w:t xml:space="preserve">ourism </w:t>
      </w:r>
      <w:r w:rsidR="008555E6">
        <w:t>s</w:t>
      </w:r>
      <w:r w:rsidRPr="008B052A">
        <w:t>tatistics</w:t>
      </w:r>
      <w:bookmarkEnd w:id="65"/>
    </w:p>
    <w:p w14:paraId="40F393A7" w14:textId="19AA5084" w:rsidR="00B24B6C" w:rsidRPr="008B052A" w:rsidRDefault="00F5157B" w:rsidP="008D7149">
      <w:pPr>
        <w:pBdr>
          <w:top w:val="single" w:sz="4" w:space="1" w:color="auto"/>
          <w:left w:val="single" w:sz="4" w:space="4" w:color="auto"/>
          <w:bottom w:val="single" w:sz="4" w:space="1" w:color="auto"/>
          <w:right w:val="single" w:sz="4" w:space="4" w:color="auto"/>
        </w:pBdr>
      </w:pPr>
      <w:r>
        <w:t>In</w:t>
      </w:r>
      <w:r w:rsidR="00B24B6C" w:rsidRPr="008B052A">
        <w:t xml:space="preserve"> January 2025, TRA began producing </w:t>
      </w:r>
      <w:r w:rsidR="007209F3" w:rsidRPr="008B052A">
        <w:t xml:space="preserve">Australia’s official </w:t>
      </w:r>
      <w:r w:rsidR="00B24B6C" w:rsidRPr="008B052A">
        <w:t xml:space="preserve">domestic tourism statistics using a new approach: the </w:t>
      </w:r>
      <w:r w:rsidR="00B24B6C" w:rsidRPr="008B052A">
        <w:rPr>
          <w:b/>
          <w:bCs/>
        </w:rPr>
        <w:t>Domestic Tourism Statistics (</w:t>
      </w:r>
      <w:proofErr w:type="spellStart"/>
      <w:r w:rsidR="00B24B6C" w:rsidRPr="008B052A">
        <w:rPr>
          <w:b/>
          <w:bCs/>
        </w:rPr>
        <w:t>DoTS</w:t>
      </w:r>
      <w:proofErr w:type="spellEnd"/>
      <w:r w:rsidR="00B24B6C" w:rsidRPr="008B052A">
        <w:rPr>
          <w:b/>
          <w:bCs/>
        </w:rPr>
        <w:t>)</w:t>
      </w:r>
      <w:r w:rsidR="00B24B6C" w:rsidRPr="008B052A">
        <w:t xml:space="preserve"> collection. This marked the end of the long-running </w:t>
      </w:r>
      <w:r w:rsidR="00B24B6C" w:rsidRPr="008B052A">
        <w:rPr>
          <w:b/>
          <w:bCs/>
        </w:rPr>
        <w:t>National Visitor Survey (NVS)</w:t>
      </w:r>
      <w:r w:rsidR="00B24B6C" w:rsidRPr="008B052A">
        <w:t>, which had been in place since 1998.</w:t>
      </w:r>
    </w:p>
    <w:p w14:paraId="5B743273" w14:textId="1ABE7893" w:rsidR="00B24B6C" w:rsidRPr="008B052A" w:rsidRDefault="00B24B6C" w:rsidP="008D7149">
      <w:pPr>
        <w:pBdr>
          <w:top w:val="single" w:sz="4" w:space="1" w:color="auto"/>
          <w:left w:val="single" w:sz="4" w:space="4" w:color="auto"/>
          <w:bottom w:val="single" w:sz="4" w:space="1" w:color="auto"/>
          <w:right w:val="single" w:sz="4" w:space="4" w:color="auto"/>
        </w:pBdr>
      </w:pPr>
      <w:proofErr w:type="spellStart"/>
      <w:r w:rsidRPr="008B052A">
        <w:t>DoTS</w:t>
      </w:r>
      <w:proofErr w:type="spellEnd"/>
      <w:r w:rsidRPr="008B052A">
        <w:t xml:space="preserve"> is a revolutionary, world-leading approach to </w:t>
      </w:r>
      <w:r w:rsidR="00CA299F">
        <w:t xml:space="preserve">measuring official </w:t>
      </w:r>
      <w:r w:rsidR="00B31C63">
        <w:t>tourism</w:t>
      </w:r>
      <w:r w:rsidR="00A05E28" w:rsidRPr="008B052A">
        <w:t xml:space="preserve"> statistics</w:t>
      </w:r>
      <w:r w:rsidR="007F04BD" w:rsidRPr="008B052A">
        <w:t>. It</w:t>
      </w:r>
      <w:r w:rsidR="00A05E28" w:rsidRPr="008B052A">
        <w:t xml:space="preserve"> </w:t>
      </w:r>
      <w:r w:rsidRPr="008B052A">
        <w:t xml:space="preserve">brings together face-to-face and online </w:t>
      </w:r>
      <w:r w:rsidR="00006A35" w:rsidRPr="008B052A">
        <w:t xml:space="preserve">survey responses </w:t>
      </w:r>
      <w:r w:rsidRPr="008B052A">
        <w:t>with large-scale mobility</w:t>
      </w:r>
      <w:r w:rsidR="008C1037">
        <w:t xml:space="preserve"> </w:t>
      </w:r>
      <w:r w:rsidR="00CA6321">
        <w:t>data</w:t>
      </w:r>
      <w:r w:rsidRPr="008B052A">
        <w:t xml:space="preserve">– </w:t>
      </w:r>
      <w:r w:rsidR="00842E50" w:rsidRPr="008B052A">
        <w:t xml:space="preserve">which is </w:t>
      </w:r>
      <w:r w:rsidRPr="008B052A">
        <w:t xml:space="preserve">anonymous, aggregated </w:t>
      </w:r>
      <w:r w:rsidR="00CA6321" w:rsidRPr="008B052A">
        <w:t xml:space="preserve">data </w:t>
      </w:r>
      <w:r w:rsidR="00CA6321">
        <w:t>from mobile phones</w:t>
      </w:r>
      <w:r w:rsidR="00CA6321" w:rsidRPr="008B052A">
        <w:t xml:space="preserve"> </w:t>
      </w:r>
      <w:r w:rsidRPr="008B052A">
        <w:t>that reflects how people move around the country. This modern method allows for broader coverage and more timely insights into domestic travel patterns.</w:t>
      </w:r>
    </w:p>
    <w:p w14:paraId="07C55EAA" w14:textId="2A98DA13" w:rsidR="00BE54C6" w:rsidRPr="008B052A" w:rsidRDefault="00BE54C6" w:rsidP="00BE54C6">
      <w:pPr>
        <w:pBdr>
          <w:top w:val="single" w:sz="4" w:space="1" w:color="auto"/>
          <w:left w:val="single" w:sz="4" w:space="4" w:color="auto"/>
          <w:bottom w:val="single" w:sz="4" w:space="1" w:color="auto"/>
          <w:right w:val="single" w:sz="4" w:space="4" w:color="auto"/>
        </w:pBdr>
      </w:pPr>
      <w:r w:rsidRPr="008B052A">
        <w:t xml:space="preserve">The </w:t>
      </w:r>
      <w:proofErr w:type="spellStart"/>
      <w:r w:rsidRPr="008B052A">
        <w:t>DoTS</w:t>
      </w:r>
      <w:proofErr w:type="spellEnd"/>
      <w:r w:rsidRPr="008B052A">
        <w:t xml:space="preserve"> model produces domestic tourism statistics that are robust, relevant, more granular</w:t>
      </w:r>
      <w:r w:rsidR="002C17C7" w:rsidRPr="008B052A">
        <w:t>,</w:t>
      </w:r>
      <w:r w:rsidRPr="008B052A">
        <w:t xml:space="preserve"> and adaptive to a changing data environment – supporting better planning, investment, and policy decisions across the tourism sector.</w:t>
      </w:r>
    </w:p>
    <w:p w14:paraId="13C05C3E" w14:textId="51F9146B" w:rsidR="00B24B6C" w:rsidRPr="008B052A" w:rsidRDefault="00B24B6C" w:rsidP="008D7149">
      <w:pPr>
        <w:pBdr>
          <w:top w:val="single" w:sz="4" w:space="1" w:color="auto"/>
          <w:left w:val="single" w:sz="4" w:space="4" w:color="auto"/>
          <w:bottom w:val="single" w:sz="4" w:space="1" w:color="auto"/>
          <w:right w:val="single" w:sz="4" w:space="4" w:color="auto"/>
        </w:pBdr>
      </w:pPr>
      <w:r w:rsidRPr="008B052A">
        <w:t>While the core survey questions remain largely the same, the data collect</w:t>
      </w:r>
      <w:r w:rsidR="008975BF" w:rsidRPr="008B052A">
        <w:t>ion method</w:t>
      </w:r>
      <w:r w:rsidRPr="008B052A">
        <w:t xml:space="preserve"> and modell</w:t>
      </w:r>
      <w:r w:rsidR="008975BF" w:rsidRPr="008B052A">
        <w:t>ing</w:t>
      </w:r>
      <w:r w:rsidRPr="008B052A">
        <w:t xml:space="preserve"> </w:t>
      </w:r>
      <w:proofErr w:type="gramStart"/>
      <w:r w:rsidRPr="008B052A">
        <w:t>has</w:t>
      </w:r>
      <w:proofErr w:type="gramEnd"/>
      <w:r w:rsidRPr="008B052A">
        <w:t xml:space="preserve"> changed. </w:t>
      </w:r>
      <w:r w:rsidR="008267B8" w:rsidRPr="008B052A">
        <w:t xml:space="preserve">For this reason, the new </w:t>
      </w:r>
      <w:proofErr w:type="spellStart"/>
      <w:r w:rsidR="008267B8" w:rsidRPr="008B052A">
        <w:t>DoTS</w:t>
      </w:r>
      <w:proofErr w:type="spellEnd"/>
      <w:r w:rsidR="008267B8" w:rsidRPr="008B052A">
        <w:t xml:space="preserve"> data should not be compared with the</w:t>
      </w:r>
      <w:r w:rsidR="000C543D" w:rsidRPr="008B052A">
        <w:t xml:space="preserve"> historic </w:t>
      </w:r>
      <w:r w:rsidR="00F176C1" w:rsidRPr="008B052A">
        <w:t xml:space="preserve">NVS </w:t>
      </w:r>
      <w:r w:rsidR="00D74F25" w:rsidRPr="008B052A">
        <w:t>data</w:t>
      </w:r>
      <w:r w:rsidR="00566FFF" w:rsidRPr="008B052A">
        <w:t xml:space="preserve">. </w:t>
      </w:r>
      <w:proofErr w:type="spellStart"/>
      <w:r w:rsidR="00D74F25" w:rsidRPr="008B052A">
        <w:t>DoTS</w:t>
      </w:r>
      <w:proofErr w:type="spellEnd"/>
      <w:r w:rsidR="00D74F25" w:rsidRPr="008B052A">
        <w:t xml:space="preserve"> </w:t>
      </w:r>
      <w:proofErr w:type="spellStart"/>
      <w:r w:rsidR="00D74F25" w:rsidRPr="008B052A">
        <w:t>backcast</w:t>
      </w:r>
      <w:proofErr w:type="spellEnd"/>
      <w:r w:rsidR="00D74F25" w:rsidRPr="008B052A">
        <w:t xml:space="preserve"> series for key tourism metrics ha</w:t>
      </w:r>
      <w:r w:rsidR="00566FFF" w:rsidRPr="008B052A">
        <w:t>ve</w:t>
      </w:r>
      <w:r w:rsidR="00D74F25" w:rsidRPr="008B052A">
        <w:t xml:space="preserve"> been produced </w:t>
      </w:r>
      <w:r w:rsidR="005048CD" w:rsidRPr="008B052A">
        <w:t xml:space="preserve">for the period 2019 to 2024. </w:t>
      </w:r>
      <w:r w:rsidR="00842571" w:rsidRPr="008B052A">
        <w:t>There</w:t>
      </w:r>
      <w:r w:rsidRPr="008B052A">
        <w:t xml:space="preserve"> are some differences in reported volumes and trends </w:t>
      </w:r>
      <w:r w:rsidR="00566FFF" w:rsidRPr="008B052A">
        <w:t>between</w:t>
      </w:r>
      <w:r w:rsidRPr="008B052A">
        <w:t xml:space="preserve"> the </w:t>
      </w:r>
      <w:proofErr w:type="spellStart"/>
      <w:r w:rsidR="00EA3C7F" w:rsidRPr="008B052A">
        <w:t>backcast</w:t>
      </w:r>
      <w:proofErr w:type="spellEnd"/>
      <w:r w:rsidR="00EA3C7F" w:rsidRPr="008B052A">
        <w:t xml:space="preserve"> data and the historical </w:t>
      </w:r>
      <w:r w:rsidRPr="008B052A">
        <w:t>NVS</w:t>
      </w:r>
      <w:r w:rsidR="00EA3C7F" w:rsidRPr="008B052A">
        <w:t xml:space="preserve"> data</w:t>
      </w:r>
      <w:r w:rsidRPr="008B052A">
        <w:t xml:space="preserve">. For example, </w:t>
      </w:r>
      <w:proofErr w:type="spellStart"/>
      <w:r w:rsidRPr="008B052A">
        <w:t>DoTS</w:t>
      </w:r>
      <w:proofErr w:type="spellEnd"/>
      <w:r w:rsidRPr="008B052A">
        <w:t xml:space="preserve"> </w:t>
      </w:r>
      <w:r w:rsidR="000E1295" w:rsidRPr="008B052A">
        <w:t>reports</w:t>
      </w:r>
      <w:r w:rsidRPr="008B052A">
        <w:t xml:space="preserve"> slightly lower </w:t>
      </w:r>
      <w:r w:rsidR="002C23B6" w:rsidRPr="008B052A">
        <w:t>figures</w:t>
      </w:r>
      <w:r w:rsidRPr="008B052A">
        <w:t xml:space="preserve"> for overnight travel and spending, but higher figures for day trips.</w:t>
      </w:r>
    </w:p>
    <w:p w14:paraId="0A02FEAC" w14:textId="18F918F9" w:rsidR="00F37ACF" w:rsidRPr="008B052A" w:rsidRDefault="00C87874" w:rsidP="00F37ACF">
      <w:pPr>
        <w:pBdr>
          <w:top w:val="single" w:sz="4" w:space="1" w:color="auto"/>
          <w:left w:val="single" w:sz="4" w:space="4" w:color="auto"/>
          <w:bottom w:val="single" w:sz="4" w:space="1" w:color="auto"/>
          <w:right w:val="single" w:sz="4" w:space="4" w:color="auto"/>
        </w:pBdr>
      </w:pPr>
      <w:r w:rsidRPr="008B052A">
        <w:t>Due to</w:t>
      </w:r>
      <w:r w:rsidR="00B24B6C" w:rsidRPr="008B052A">
        <w:t xml:space="preserve"> </w:t>
      </w:r>
      <w:r w:rsidR="00F37ACF" w:rsidRPr="008B052A">
        <w:t xml:space="preserve">the </w:t>
      </w:r>
      <w:r w:rsidRPr="008B052A">
        <w:t>change in</w:t>
      </w:r>
      <w:r w:rsidR="0036720B" w:rsidRPr="008B052A">
        <w:t xml:space="preserve"> </w:t>
      </w:r>
      <w:r w:rsidR="00F37ACF" w:rsidRPr="008B052A">
        <w:t>underlying data source, method</w:t>
      </w:r>
      <w:r w:rsidR="002C17C7" w:rsidRPr="008B052A">
        <w:t>,</w:t>
      </w:r>
      <w:r w:rsidR="00F37ACF" w:rsidRPr="008B052A">
        <w:t xml:space="preserve"> and modelling </w:t>
      </w:r>
      <w:r w:rsidR="0036720B" w:rsidRPr="008B052A">
        <w:t>in 2025</w:t>
      </w:r>
      <w:r w:rsidR="00F37ACF" w:rsidRPr="008B052A">
        <w:t xml:space="preserve">, </w:t>
      </w:r>
      <w:r w:rsidR="002338F6" w:rsidRPr="008B052A">
        <w:t xml:space="preserve">comparisons of </w:t>
      </w:r>
      <w:r w:rsidR="0036720B" w:rsidRPr="008B052A">
        <w:t xml:space="preserve">the </w:t>
      </w:r>
      <w:r w:rsidR="00750F8D" w:rsidRPr="008B052A">
        <w:t>current</w:t>
      </w:r>
      <w:r w:rsidR="0036720B" w:rsidRPr="008B052A">
        <w:t xml:space="preserve"> forecast figures </w:t>
      </w:r>
      <w:r w:rsidR="00750F8D" w:rsidRPr="008B052A">
        <w:t>with the</w:t>
      </w:r>
      <w:r w:rsidR="002338F6" w:rsidRPr="008B052A">
        <w:t xml:space="preserve"> forecast figures </w:t>
      </w:r>
      <w:r w:rsidR="00750F8D" w:rsidRPr="008B052A">
        <w:t xml:space="preserve">from previous years </w:t>
      </w:r>
      <w:r w:rsidR="00492E53" w:rsidRPr="008B052A">
        <w:t xml:space="preserve">are not </w:t>
      </w:r>
      <w:r w:rsidR="00B50E8F">
        <w:t>recommended</w:t>
      </w:r>
      <w:r w:rsidR="00F37ACF" w:rsidRPr="008B052A">
        <w:t>.</w:t>
      </w:r>
    </w:p>
    <w:p w14:paraId="19433D0E" w14:textId="1C27AFC5" w:rsidR="003B55EF" w:rsidRDefault="52D90D5D" w:rsidP="00736BB1">
      <w:r w:rsidRPr="008B052A">
        <w:t xml:space="preserve">At a total level, Australians continue to balance their desire to travel with the realities of household budgets and changing economic conditions. Over the past year, many </w:t>
      </w:r>
      <w:r w:rsidR="7B9CEFD9" w:rsidRPr="008B052A">
        <w:t xml:space="preserve">Australians </w:t>
      </w:r>
      <w:r w:rsidRPr="008B052A">
        <w:t xml:space="preserve">have chosen to travel closer to home, opting for shorter trips and day </w:t>
      </w:r>
      <w:r w:rsidR="00533E25" w:rsidRPr="008B052A">
        <w:t>trips</w:t>
      </w:r>
      <w:r w:rsidRPr="008B052A">
        <w:t xml:space="preserve"> to manage costs while still enjoying travel. This pattern is expected to persist</w:t>
      </w:r>
      <w:r w:rsidR="00380EBA">
        <w:t xml:space="preserve"> into 2026</w:t>
      </w:r>
      <w:r w:rsidRPr="008B052A">
        <w:t xml:space="preserve">, with decisions about when, where, and how to travel shaped by ongoing cost-of-living pressures and the appeal of affordable domestic </w:t>
      </w:r>
      <w:r w:rsidR="00664E54">
        <w:t xml:space="preserve">and international travel </w:t>
      </w:r>
      <w:r w:rsidRPr="008B052A">
        <w:t xml:space="preserve">options. </w:t>
      </w:r>
    </w:p>
    <w:p w14:paraId="3C0F5C63" w14:textId="439A8092" w:rsidR="003B7F15" w:rsidRPr="008B052A" w:rsidRDefault="52D90D5D" w:rsidP="00736BB1">
      <w:r w:rsidRPr="008B052A">
        <w:t xml:space="preserve">As economic conditions gradually improve, we anticipate a modest </w:t>
      </w:r>
      <w:r w:rsidR="00533E25" w:rsidRPr="008B052A">
        <w:t>increase</w:t>
      </w:r>
      <w:r w:rsidRPr="008B052A">
        <w:t xml:space="preserve"> </w:t>
      </w:r>
      <w:r w:rsidR="00533E25" w:rsidRPr="008B052A">
        <w:t>in</w:t>
      </w:r>
      <w:r w:rsidRPr="008B052A">
        <w:t xml:space="preserve"> growth in overnight trips, while day trips remain a popular and cost-effective choice for many households</w:t>
      </w:r>
      <w:r w:rsidR="4A1EC170" w:rsidRPr="008B052A">
        <w:t>.</w:t>
      </w:r>
    </w:p>
    <w:p w14:paraId="3E92CDC4" w14:textId="77777777" w:rsidR="003B7F15" w:rsidRPr="008B052A" w:rsidRDefault="003B7F15" w:rsidP="003B7F15">
      <w:pPr>
        <w:pStyle w:val="Heading3"/>
      </w:pPr>
      <w:bookmarkStart w:id="66" w:name="_Toc184632623"/>
      <w:bookmarkStart w:id="67" w:name="_Toc214539200"/>
      <w:r w:rsidRPr="008B052A">
        <w:t>Domestic trip numbers</w:t>
      </w:r>
      <w:bookmarkEnd w:id="66"/>
      <w:bookmarkEnd w:id="67"/>
    </w:p>
    <w:p w14:paraId="7C3E7DFE" w14:textId="690191A8" w:rsidR="00CC3B16" w:rsidRDefault="003D068B" w:rsidP="000B0603">
      <w:r>
        <w:rPr>
          <w:rFonts w:eastAsia="Verdana" w:cs="Times New Roman"/>
        </w:rPr>
        <w:t>D</w:t>
      </w:r>
      <w:r w:rsidR="5B73AA39" w:rsidRPr="008B052A">
        <w:rPr>
          <w:rFonts w:eastAsia="Verdana" w:cs="Times New Roman"/>
        </w:rPr>
        <w:t xml:space="preserve">omestic overnight trips are forecast to </w:t>
      </w:r>
      <w:r w:rsidR="451410E9" w:rsidRPr="008B052A">
        <w:rPr>
          <w:rFonts w:eastAsia="Verdana" w:cs="Times New Roman"/>
        </w:rPr>
        <w:t>increase</w:t>
      </w:r>
      <w:r w:rsidR="5B73AA39" w:rsidRPr="008B052A">
        <w:rPr>
          <w:rFonts w:eastAsia="Verdana" w:cs="Times New Roman"/>
        </w:rPr>
        <w:t xml:space="preserve"> by 0.</w:t>
      </w:r>
      <w:r w:rsidR="67710224" w:rsidRPr="008B052A">
        <w:rPr>
          <w:rFonts w:eastAsia="Verdana" w:cs="Times New Roman"/>
        </w:rPr>
        <w:t>3</w:t>
      </w:r>
      <w:r w:rsidR="5B73AA39" w:rsidRPr="008B052A">
        <w:rPr>
          <w:rFonts w:eastAsia="Verdana" w:cs="Times New Roman"/>
        </w:rPr>
        <w:t>% to 11</w:t>
      </w:r>
      <w:r w:rsidR="1D4F0985" w:rsidRPr="008B052A">
        <w:rPr>
          <w:rFonts w:eastAsia="Verdana" w:cs="Times New Roman"/>
        </w:rPr>
        <w:t>3</w:t>
      </w:r>
      <w:r w:rsidR="5B73AA39" w:rsidRPr="008B052A">
        <w:rPr>
          <w:rFonts w:eastAsia="Verdana" w:cs="Times New Roman"/>
        </w:rPr>
        <w:t>.</w:t>
      </w:r>
      <w:r w:rsidR="3D7EBFE3" w:rsidRPr="008B052A">
        <w:rPr>
          <w:rFonts w:eastAsia="Verdana" w:cs="Times New Roman"/>
        </w:rPr>
        <w:t>2</w:t>
      </w:r>
      <w:r w:rsidR="5B73AA39" w:rsidRPr="008B052A">
        <w:rPr>
          <w:rFonts w:eastAsia="Verdana" w:cs="Times New Roman"/>
        </w:rPr>
        <w:t xml:space="preserve"> million in 2025, following a</w:t>
      </w:r>
      <w:r w:rsidR="5B73AA39" w:rsidRPr="008B052A" w:rsidDel="008F7401">
        <w:rPr>
          <w:rFonts w:eastAsia="Verdana" w:cs="Times New Roman"/>
        </w:rPr>
        <w:t xml:space="preserve"> </w:t>
      </w:r>
      <w:r w:rsidR="008F7401">
        <w:rPr>
          <w:rFonts w:eastAsia="Verdana" w:cs="Times New Roman"/>
        </w:rPr>
        <w:t xml:space="preserve">small </w:t>
      </w:r>
      <w:r w:rsidR="5B73AA39" w:rsidRPr="008B052A">
        <w:rPr>
          <w:rFonts w:eastAsia="Verdana" w:cs="Times New Roman"/>
        </w:rPr>
        <w:t xml:space="preserve">decline </w:t>
      </w:r>
      <w:r w:rsidR="5E9D164C" w:rsidRPr="008B052A">
        <w:rPr>
          <w:rFonts w:eastAsia="Verdana" w:cs="Times New Roman"/>
        </w:rPr>
        <w:t>in 2024</w:t>
      </w:r>
      <w:r w:rsidR="5B73AA39" w:rsidRPr="008B052A">
        <w:rPr>
          <w:rFonts w:eastAsia="Verdana" w:cs="Times New Roman"/>
        </w:rPr>
        <w:t xml:space="preserve"> (</w:t>
      </w:r>
      <w:r w:rsidR="008F7401">
        <w:rPr>
          <w:rFonts w:eastAsia="Verdana" w:cs="Times New Roman"/>
        </w:rPr>
        <w:t xml:space="preserve">down by </w:t>
      </w:r>
      <w:r w:rsidR="5B73AA39" w:rsidRPr="008B052A">
        <w:rPr>
          <w:rFonts w:eastAsia="Verdana" w:cs="Times New Roman"/>
        </w:rPr>
        <w:t>0.3%).</w:t>
      </w:r>
      <w:r w:rsidR="00C5058F">
        <w:rPr>
          <w:rFonts w:eastAsia="Verdana" w:cs="Times New Roman"/>
        </w:rPr>
        <w:t xml:space="preserve"> Growth in domestic overnight trips in 2025 has been </w:t>
      </w:r>
      <w:r w:rsidR="004A5442">
        <w:rPr>
          <w:rFonts w:eastAsia="Verdana" w:cs="Times New Roman"/>
        </w:rPr>
        <w:t xml:space="preserve">mild in the environment of </w:t>
      </w:r>
      <w:r w:rsidR="0019653B">
        <w:rPr>
          <w:rFonts w:eastAsia="Verdana" w:cs="Times New Roman"/>
        </w:rPr>
        <w:t xml:space="preserve">persistent </w:t>
      </w:r>
      <w:r w:rsidR="004A5442">
        <w:rPr>
          <w:rFonts w:eastAsia="Verdana" w:cs="Times New Roman"/>
        </w:rPr>
        <w:t>cost-of-living considerations</w:t>
      </w:r>
      <w:r w:rsidR="0019653B">
        <w:rPr>
          <w:rFonts w:eastAsia="Verdana" w:cs="Times New Roman"/>
        </w:rPr>
        <w:t>, while outbound travel continued to be attractive for Australians. On the other hand, growth</w:t>
      </w:r>
      <w:r w:rsidR="005F5E86">
        <w:rPr>
          <w:rFonts w:eastAsia="Verdana" w:cs="Times New Roman"/>
        </w:rPr>
        <w:t xml:space="preserve"> in domestic day trips has been strong, suggesting there has been substitution </w:t>
      </w:r>
      <w:r w:rsidR="00B0643F">
        <w:rPr>
          <w:rFonts w:eastAsia="Verdana" w:cs="Times New Roman"/>
        </w:rPr>
        <w:t xml:space="preserve">from overnight trips </w:t>
      </w:r>
      <w:r w:rsidR="005F5E86">
        <w:rPr>
          <w:rFonts w:eastAsia="Verdana" w:cs="Times New Roman"/>
        </w:rPr>
        <w:t>to day trips</w:t>
      </w:r>
      <w:r w:rsidR="00B0643F">
        <w:rPr>
          <w:rFonts w:eastAsia="Verdana" w:cs="Times New Roman"/>
        </w:rPr>
        <w:t>.</w:t>
      </w:r>
      <w:r w:rsidR="0019653B">
        <w:rPr>
          <w:rFonts w:eastAsia="Verdana" w:cs="Times New Roman"/>
        </w:rPr>
        <w:t xml:space="preserve"> </w:t>
      </w:r>
      <w:r w:rsidR="00CC3B16" w:rsidRPr="008B052A">
        <w:t xml:space="preserve">Domestic day trips, as a </w:t>
      </w:r>
      <w:r w:rsidR="00CC3B16" w:rsidRPr="008B052A">
        <w:lastRenderedPageBreak/>
        <w:t xml:space="preserve">more cost-effective form of domestic travel, are forecast to increase by 10% in 2025, then increase by 3.9% in 2026 and 2.5% in 2027. </w:t>
      </w:r>
    </w:p>
    <w:p w14:paraId="3F15A55A" w14:textId="40CF920E" w:rsidR="00297C90" w:rsidRDefault="00F84827" w:rsidP="000B0603">
      <w:pPr>
        <w:rPr>
          <w:rFonts w:eastAsia="Verdana" w:cs="Times New Roman"/>
        </w:rPr>
      </w:pPr>
      <w:r w:rsidRPr="008B052A">
        <w:rPr>
          <w:rFonts w:eastAsia="Verdana" w:cs="Times New Roman"/>
        </w:rPr>
        <w:t xml:space="preserve">As domestic economic conditions are anticipated to </w:t>
      </w:r>
      <w:r w:rsidR="00533E25" w:rsidRPr="008B052A">
        <w:rPr>
          <w:rFonts w:eastAsia="Verdana" w:cs="Times New Roman"/>
        </w:rPr>
        <w:t>gradually</w:t>
      </w:r>
      <w:r w:rsidRPr="008B052A">
        <w:rPr>
          <w:rFonts w:eastAsia="Verdana" w:cs="Times New Roman"/>
        </w:rPr>
        <w:t xml:space="preserve"> improv</w:t>
      </w:r>
      <w:r w:rsidR="008633FF" w:rsidRPr="008B052A">
        <w:rPr>
          <w:rFonts w:eastAsia="Verdana" w:cs="Times New Roman"/>
        </w:rPr>
        <w:t>e</w:t>
      </w:r>
      <w:r w:rsidRPr="008B052A">
        <w:rPr>
          <w:rFonts w:eastAsia="Verdana" w:cs="Times New Roman"/>
        </w:rPr>
        <w:t xml:space="preserve"> and </w:t>
      </w:r>
      <w:r w:rsidR="0011481F">
        <w:rPr>
          <w:rFonts w:eastAsia="Verdana" w:cs="Times New Roman"/>
        </w:rPr>
        <w:t>household financial</w:t>
      </w:r>
      <w:r w:rsidRPr="008B052A">
        <w:rPr>
          <w:rFonts w:eastAsia="Verdana" w:cs="Times New Roman"/>
        </w:rPr>
        <w:t xml:space="preserve"> pressures ease, there is expected to be a </w:t>
      </w:r>
      <w:r w:rsidR="2DD8B98A" w:rsidRPr="008B052A">
        <w:rPr>
          <w:rFonts w:eastAsia="Verdana" w:cs="Times New Roman"/>
        </w:rPr>
        <w:t>gradual uptick in</w:t>
      </w:r>
      <w:r w:rsidRPr="008B052A">
        <w:rPr>
          <w:rFonts w:eastAsia="Verdana" w:cs="Times New Roman"/>
        </w:rPr>
        <w:t xml:space="preserve"> growth </w:t>
      </w:r>
      <w:r w:rsidR="19CE8E3F" w:rsidRPr="008B052A">
        <w:rPr>
          <w:rFonts w:eastAsia="Verdana" w:cs="Times New Roman"/>
        </w:rPr>
        <w:t>for</w:t>
      </w:r>
      <w:r w:rsidRPr="008B052A">
        <w:rPr>
          <w:rFonts w:eastAsia="Verdana" w:cs="Times New Roman"/>
        </w:rPr>
        <w:t xml:space="preserve"> overnight trips in 2026 (</w:t>
      </w:r>
      <w:r w:rsidR="0C2C4605" w:rsidRPr="008B052A">
        <w:rPr>
          <w:rFonts w:eastAsia="Verdana" w:cs="Times New Roman"/>
        </w:rPr>
        <w:t>1.4</w:t>
      </w:r>
      <w:r w:rsidRPr="008B052A">
        <w:rPr>
          <w:rFonts w:eastAsia="Verdana" w:cs="Times New Roman"/>
        </w:rPr>
        <w:t xml:space="preserve">%) </w:t>
      </w:r>
      <w:r w:rsidR="6230C7BF" w:rsidRPr="008B052A">
        <w:rPr>
          <w:rFonts w:eastAsia="Verdana" w:cs="Times New Roman"/>
        </w:rPr>
        <w:t>and</w:t>
      </w:r>
      <w:r w:rsidR="006A33CE" w:rsidRPr="008B052A">
        <w:rPr>
          <w:rFonts w:eastAsia="Verdana" w:cs="Times New Roman"/>
        </w:rPr>
        <w:t xml:space="preserve"> </w:t>
      </w:r>
      <w:r w:rsidRPr="008B052A">
        <w:rPr>
          <w:rFonts w:eastAsia="Verdana" w:cs="Times New Roman"/>
        </w:rPr>
        <w:t>2027 (1.</w:t>
      </w:r>
      <w:r w:rsidR="6C96E496" w:rsidRPr="008B052A">
        <w:rPr>
          <w:rFonts w:eastAsia="Verdana" w:cs="Times New Roman"/>
        </w:rPr>
        <w:t>6</w:t>
      </w:r>
      <w:r w:rsidRPr="008B052A">
        <w:rPr>
          <w:rFonts w:eastAsia="Verdana" w:cs="Times New Roman"/>
        </w:rPr>
        <w:t xml:space="preserve">%). </w:t>
      </w:r>
      <w:r w:rsidR="00043DE0">
        <w:rPr>
          <w:rFonts w:eastAsia="Verdana" w:cs="Times New Roman"/>
        </w:rPr>
        <w:t>Over the 5-year forecast period, overnight trips are forecast to grow at 1.7%</w:t>
      </w:r>
      <w:r w:rsidR="00A72C5E">
        <w:rPr>
          <w:rFonts w:eastAsia="Verdana" w:cs="Times New Roman"/>
        </w:rPr>
        <w:t xml:space="preserve"> per year on average</w:t>
      </w:r>
      <w:r w:rsidR="00043DE0">
        <w:rPr>
          <w:rFonts w:eastAsia="Verdana" w:cs="Times New Roman"/>
        </w:rPr>
        <w:t xml:space="preserve">, slightly above the </w:t>
      </w:r>
      <w:r w:rsidR="00EA7A1B" w:rsidRPr="008B052A">
        <w:rPr>
          <w:rFonts w:eastAsia="Verdana" w:cs="Times New Roman"/>
        </w:rPr>
        <w:t xml:space="preserve">projected </w:t>
      </w:r>
      <w:r w:rsidR="00486C35" w:rsidRPr="008B052A">
        <w:rPr>
          <w:rFonts w:eastAsia="Verdana" w:cs="Times New Roman"/>
        </w:rPr>
        <w:t xml:space="preserve">growth </w:t>
      </w:r>
      <w:r w:rsidRPr="008B052A">
        <w:rPr>
          <w:rFonts w:eastAsia="Verdana" w:cs="Times New Roman"/>
        </w:rPr>
        <w:t xml:space="preserve">rate </w:t>
      </w:r>
      <w:r w:rsidR="00D75507">
        <w:rPr>
          <w:rFonts w:eastAsia="Verdana" w:cs="Times New Roman"/>
        </w:rPr>
        <w:t xml:space="preserve">for </w:t>
      </w:r>
      <w:r w:rsidR="00043DE0">
        <w:rPr>
          <w:rFonts w:eastAsia="Verdana" w:cs="Times New Roman"/>
        </w:rPr>
        <w:t xml:space="preserve">the </w:t>
      </w:r>
      <w:r w:rsidR="00043DE0" w:rsidRPr="00AE2C04">
        <w:rPr>
          <w:rFonts w:eastAsia="Verdana" w:cs="Times New Roman"/>
        </w:rPr>
        <w:t>Austra</w:t>
      </w:r>
      <w:r w:rsidR="00D75507">
        <w:rPr>
          <w:rFonts w:eastAsia="Verdana" w:cs="Times New Roman"/>
        </w:rPr>
        <w:t>lian resident</w:t>
      </w:r>
      <w:r w:rsidRPr="008B052A">
        <w:rPr>
          <w:rFonts w:eastAsia="Verdana" w:cs="Times New Roman"/>
        </w:rPr>
        <w:t xml:space="preserve"> population </w:t>
      </w:r>
      <w:r w:rsidR="00B33FA9">
        <w:rPr>
          <w:rFonts w:eastAsia="Verdana" w:cs="Times New Roman"/>
        </w:rPr>
        <w:t xml:space="preserve">aged over 15 years </w:t>
      </w:r>
      <w:r w:rsidRPr="008B052A">
        <w:rPr>
          <w:rFonts w:eastAsia="Verdana" w:cs="Times New Roman"/>
        </w:rPr>
        <w:t>over the same period</w:t>
      </w:r>
      <w:r w:rsidR="00043DE0">
        <w:rPr>
          <w:rFonts w:eastAsia="Verdana" w:cs="Times New Roman"/>
        </w:rPr>
        <w:t xml:space="preserve"> (1.6%).</w:t>
      </w:r>
      <w:r w:rsidR="00350938" w:rsidRPr="008B052A">
        <w:rPr>
          <w:rFonts w:eastAsia="Verdana" w:cs="Times New Roman"/>
        </w:rPr>
        <w:t xml:space="preserve"> </w:t>
      </w:r>
      <w:r w:rsidR="006E18C1" w:rsidRPr="008B052A">
        <w:rPr>
          <w:rFonts w:eastAsia="Verdana" w:cs="Times New Roman"/>
        </w:rPr>
        <w:t>By 2030, overnight trips are forecast to reach 12</w:t>
      </w:r>
      <w:r w:rsidR="7743FDA2" w:rsidRPr="008B052A">
        <w:rPr>
          <w:rFonts w:eastAsia="Verdana" w:cs="Times New Roman"/>
        </w:rPr>
        <w:t>3</w:t>
      </w:r>
      <w:r w:rsidR="006E18C1" w:rsidRPr="008B052A">
        <w:rPr>
          <w:rFonts w:eastAsia="Verdana" w:cs="Times New Roman"/>
        </w:rPr>
        <w:t xml:space="preserve"> million</w:t>
      </w:r>
      <w:r w:rsidR="00937838" w:rsidRPr="008B052A">
        <w:rPr>
          <w:rFonts w:eastAsia="Verdana" w:cs="Times New Roman"/>
        </w:rPr>
        <w:t xml:space="preserve"> (Figure 7)</w:t>
      </w:r>
      <w:r w:rsidR="006E18C1" w:rsidRPr="008B052A">
        <w:rPr>
          <w:rFonts w:eastAsia="Verdana" w:cs="Times New Roman"/>
        </w:rPr>
        <w:t>.</w:t>
      </w:r>
    </w:p>
    <w:p w14:paraId="4D16922A" w14:textId="5CC84AEF" w:rsidR="00EA7A1B" w:rsidRPr="0063471A" w:rsidRDefault="00F650E5" w:rsidP="00C7113E">
      <w:pPr>
        <w:rPr>
          <w:rFonts w:eastAsia="Verdana" w:cs="Times New Roman"/>
          <w:color w:val="000000"/>
        </w:rPr>
      </w:pPr>
      <w:r>
        <w:rPr>
          <w:rFonts w:eastAsia="Verdana" w:cs="Times New Roman"/>
          <w:color w:val="000000"/>
        </w:rPr>
        <w:t>Meanwhile, as</w:t>
      </w:r>
      <w:r w:rsidR="001A6AB3" w:rsidRPr="001A6AB3">
        <w:t xml:space="preserve"> </w:t>
      </w:r>
      <w:r w:rsidR="001A6AB3" w:rsidRPr="008B052A">
        <w:t xml:space="preserve">economic conditions improve and </w:t>
      </w:r>
      <w:r w:rsidR="001A6AB3">
        <w:t xml:space="preserve">growth in </w:t>
      </w:r>
      <w:r w:rsidR="001A6AB3" w:rsidRPr="008B052A">
        <w:t>overnight trips increase</w:t>
      </w:r>
      <w:r w:rsidR="001A6AB3">
        <w:t>s</w:t>
      </w:r>
      <w:r w:rsidR="001A6AB3" w:rsidRPr="008B052A">
        <w:t xml:space="preserve"> it is anticipated th</w:t>
      </w:r>
      <w:r w:rsidR="001A6AB3">
        <w:t>at th</w:t>
      </w:r>
      <w:r w:rsidR="001A6AB3" w:rsidRPr="008B052A">
        <w:t xml:space="preserve">e rate of growth </w:t>
      </w:r>
      <w:r w:rsidR="001A6AB3">
        <w:t xml:space="preserve">in </w:t>
      </w:r>
      <w:r w:rsidR="001A6AB3" w:rsidRPr="008B052A">
        <w:t xml:space="preserve">day trips will </w:t>
      </w:r>
      <w:r w:rsidR="001A6AB3">
        <w:t>ease.</w:t>
      </w:r>
      <w:r w:rsidR="00B87A0B">
        <w:t xml:space="preserve"> Domestic day trips </w:t>
      </w:r>
      <w:r w:rsidR="00B87A0B">
        <w:rPr>
          <w:rFonts w:eastAsia="Verdana" w:cs="Times New Roman"/>
        </w:rPr>
        <w:t>are forecast to grow at 2.2% per year on average over 2025 to 2030.</w:t>
      </w:r>
      <w:r w:rsidR="00153174" w:rsidRPr="00153174">
        <w:t xml:space="preserve"> </w:t>
      </w:r>
      <w:r w:rsidR="00153174" w:rsidRPr="008B052A">
        <w:t>By 2030, day trips are forecast to reach 313.1</w:t>
      </w:r>
      <w:r w:rsidR="00153174">
        <w:t> </w:t>
      </w:r>
      <w:r w:rsidR="00153174" w:rsidRPr="008B052A">
        <w:t>million</w:t>
      </w:r>
      <w:r w:rsidR="00153174">
        <w:t>.</w:t>
      </w:r>
    </w:p>
    <w:p w14:paraId="71916D16" w14:textId="6904EF16" w:rsidR="00A11E0E" w:rsidRPr="008B052A" w:rsidRDefault="00ED01AA" w:rsidP="00ED01AA">
      <w:pPr>
        <w:keepNext/>
        <w:spacing w:before="360" w:line="300" w:lineRule="atLeast"/>
        <w:rPr>
          <w:rFonts w:eastAsia="Verdana" w:cs="Times New Roman"/>
          <w:color w:val="300050" w:themeColor="text2"/>
        </w:rPr>
      </w:pPr>
      <w:r w:rsidRPr="008B052A">
        <w:rPr>
          <w:rFonts w:eastAsia="Verdana" w:cs="Times New Roman"/>
          <w:b/>
          <w:bCs/>
          <w:color w:val="300050" w:themeColor="text2"/>
        </w:rPr>
        <w:t xml:space="preserve">Figure </w:t>
      </w:r>
      <w:r w:rsidR="002E21E3" w:rsidRPr="008B052A">
        <w:rPr>
          <w:rFonts w:eastAsia="Verdana" w:cs="Times New Roman"/>
          <w:b/>
          <w:bCs/>
          <w:color w:val="300050" w:themeColor="text2"/>
        </w:rPr>
        <w:t>7</w:t>
      </w:r>
      <w:r w:rsidRPr="008B052A">
        <w:rPr>
          <w:rFonts w:eastAsia="Verdana" w:cs="Times New Roman"/>
          <w:b/>
          <w:bCs/>
          <w:color w:val="300050" w:themeColor="text2"/>
        </w:rPr>
        <w:t>.</w:t>
      </w:r>
      <w:r w:rsidRPr="008B052A">
        <w:rPr>
          <w:rFonts w:eastAsia="Verdana" w:cs="Times New Roman"/>
          <w:color w:val="300050" w:themeColor="text2"/>
        </w:rPr>
        <w:t xml:space="preserve"> Domestic trip numbers, overnight and day trips. </w:t>
      </w:r>
      <w:r w:rsidR="00B1013E">
        <w:rPr>
          <w:rFonts w:eastAsia="Verdana" w:cs="Times New Roman"/>
          <w:color w:val="300050" w:themeColor="text2"/>
        </w:rPr>
        <w:t>Reported</w:t>
      </w:r>
      <w:r w:rsidR="00B1013E" w:rsidRPr="008B052A">
        <w:rPr>
          <w:rFonts w:eastAsia="Verdana" w:cs="Times New Roman"/>
          <w:color w:val="300050" w:themeColor="text2"/>
        </w:rPr>
        <w:t xml:space="preserve"> </w:t>
      </w:r>
      <w:r w:rsidR="00C24125" w:rsidRPr="008B052A">
        <w:rPr>
          <w:rFonts w:eastAsia="Verdana" w:cs="Times New Roman"/>
          <w:color w:val="300050" w:themeColor="text2"/>
        </w:rPr>
        <w:t>values to 2024, forecast values from 2025 onwards</w:t>
      </w:r>
      <w:r w:rsidR="00A11E0E" w:rsidRPr="008B052A">
        <w:rPr>
          <w:rFonts w:eastAsia="Verdana" w:cs="Times New Roman"/>
          <w:color w:val="300050" w:themeColor="text2"/>
        </w:rPr>
        <w:t>.</w:t>
      </w:r>
    </w:p>
    <w:p w14:paraId="6077BEAF" w14:textId="04B9C016" w:rsidR="00BC7429" w:rsidRPr="008B052A" w:rsidRDefault="0008019C" w:rsidP="00622854">
      <w:pPr>
        <w:keepNext/>
        <w:spacing w:before="0" w:line="300" w:lineRule="atLeast"/>
        <w:rPr>
          <w:rFonts w:eastAsia="Verdana" w:cs="Times New Roman"/>
          <w:color w:val="300050" w:themeColor="text2"/>
        </w:rPr>
      </w:pPr>
      <w:r w:rsidRPr="0008019C">
        <w:rPr>
          <w:noProof/>
        </w:rPr>
        <w:drawing>
          <wp:inline distT="0" distB="0" distL="0" distR="0" wp14:anchorId="413E76FD" wp14:editId="188D9D92">
            <wp:extent cx="6329680" cy="3354705"/>
            <wp:effectExtent l="0" t="0" r="0" b="0"/>
            <wp:docPr id="82381927" name="Picture 6" descr="Chart showing the number of domestic trips taken in Australia each year from 2015 to 2030 by day trip or overnight trip. There are more day trips taken each year than overnight trips. The growth trend for day trips is expected to be stronger over the forecast period from 2025 to 2030, while the growth trajectory of overnight trips is more mi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1927" name="Picture 6" descr="Chart showing the number of domestic trips taken in Australia each year from 2015 to 2030 by day trip or overnight trip. There are more day trips taken each year than overnight trips. The growth trend for day trips is expected to be stronger over the forecast period from 2025 to 2030, while the growth trajectory of overnight trips is more mild.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29680" cy="3354705"/>
                    </a:xfrm>
                    <a:prstGeom prst="rect">
                      <a:avLst/>
                    </a:prstGeom>
                    <a:noFill/>
                    <a:ln>
                      <a:noFill/>
                    </a:ln>
                  </pic:spPr>
                </pic:pic>
              </a:graphicData>
            </a:graphic>
          </wp:inline>
        </w:drawing>
      </w:r>
      <w:r w:rsidR="006B4131" w:rsidRPr="006B4131">
        <w:t xml:space="preserve"> </w:t>
      </w:r>
    </w:p>
    <w:p w14:paraId="4AADA3B8" w14:textId="77777777" w:rsidR="00A11E0E" w:rsidRPr="008B052A" w:rsidRDefault="00A11E0E" w:rsidP="00C7113E"/>
    <w:p w14:paraId="78872D26" w14:textId="77777777" w:rsidR="00CA0913" w:rsidRPr="008B052A" w:rsidRDefault="00CA0913">
      <w:pPr>
        <w:spacing w:before="0" w:after="160" w:line="259" w:lineRule="auto"/>
        <w:rPr>
          <w:bCs/>
          <w:color w:val="300050" w:themeColor="text2"/>
          <w:sz w:val="28"/>
          <w:szCs w:val="32"/>
        </w:rPr>
      </w:pPr>
      <w:bookmarkStart w:id="68" w:name="_Toc184632624"/>
      <w:r w:rsidRPr="008B052A">
        <w:br w:type="page"/>
      </w:r>
    </w:p>
    <w:p w14:paraId="70F7ABCE" w14:textId="149A24EC" w:rsidR="0043137F" w:rsidRPr="008B052A" w:rsidRDefault="0043137F" w:rsidP="0043137F">
      <w:pPr>
        <w:pStyle w:val="Heading3"/>
        <w:rPr>
          <w:bCs w:val="0"/>
        </w:rPr>
      </w:pPr>
      <w:bookmarkStart w:id="69" w:name="_Toc214539201"/>
      <w:r w:rsidRPr="008B052A">
        <w:lastRenderedPageBreak/>
        <w:t xml:space="preserve">Domestic </w:t>
      </w:r>
      <w:proofErr w:type="gramStart"/>
      <w:r w:rsidRPr="008B052A">
        <w:t>visitor</w:t>
      </w:r>
      <w:proofErr w:type="gramEnd"/>
      <w:r w:rsidRPr="008B052A">
        <w:t xml:space="preserve"> spend</w:t>
      </w:r>
      <w:bookmarkEnd w:id="68"/>
      <w:bookmarkEnd w:id="69"/>
    </w:p>
    <w:p w14:paraId="01D08038" w14:textId="153B1F3B" w:rsidR="00967B20" w:rsidRPr="008B052A" w:rsidRDefault="00CA0913" w:rsidP="00967B20">
      <w:r w:rsidRPr="008B052A">
        <w:t xml:space="preserve">Domestic travel spending has been shaped by a period of high inflation, which peaked at nearly 8% in late 2022 and remained elevated </w:t>
      </w:r>
      <w:r w:rsidR="00780233" w:rsidRPr="008B052A">
        <w:t>in</w:t>
      </w:r>
      <w:r w:rsidR="002304B4" w:rsidRPr="008B052A">
        <w:t>to</w:t>
      </w:r>
      <w:r w:rsidRPr="008B052A">
        <w:t xml:space="preserve"> 2024. During this time, the cost of travel within Australia rose </w:t>
      </w:r>
      <w:r w:rsidR="00D1353F" w:rsidRPr="008B052A">
        <w:t xml:space="preserve">at a </w:t>
      </w:r>
      <w:r w:rsidR="00780233" w:rsidRPr="008B052A">
        <w:t>much</w:t>
      </w:r>
      <w:r w:rsidR="004B758A" w:rsidRPr="008B052A">
        <w:t xml:space="preserve"> </w:t>
      </w:r>
      <w:r w:rsidRPr="008B052A">
        <w:t xml:space="preserve">faster </w:t>
      </w:r>
      <w:r w:rsidR="00D1353F" w:rsidRPr="008B052A">
        <w:t xml:space="preserve">rate </w:t>
      </w:r>
      <w:r w:rsidRPr="008B052A">
        <w:t xml:space="preserve">than general inflation, </w:t>
      </w:r>
      <w:r w:rsidR="004B758A" w:rsidRPr="008B052A">
        <w:rPr>
          <w:rFonts w:eastAsia="Verdana" w:cs="Times New Roman"/>
          <w:color w:val="000000"/>
        </w:rPr>
        <w:t xml:space="preserve">including by as much as 25% in </w:t>
      </w:r>
      <w:r w:rsidR="00780233" w:rsidRPr="008B052A">
        <w:rPr>
          <w:rFonts w:eastAsia="Verdana" w:cs="Times New Roman"/>
          <w:color w:val="000000"/>
        </w:rPr>
        <w:t xml:space="preserve">the year to </w:t>
      </w:r>
      <w:r w:rsidR="004B758A" w:rsidRPr="008B052A">
        <w:rPr>
          <w:rFonts w:eastAsia="Verdana" w:cs="Times New Roman"/>
          <w:color w:val="000000"/>
        </w:rPr>
        <w:t>March quarter 2023.</w:t>
      </w:r>
      <w:r w:rsidR="00DD0D00" w:rsidRPr="008B052A">
        <w:rPr>
          <w:rStyle w:val="FootnoteReference"/>
          <w:rFonts w:eastAsia="Verdana" w:cs="Times New Roman"/>
          <w:color w:val="000000"/>
        </w:rPr>
        <w:footnoteReference w:id="4"/>
      </w:r>
      <w:r w:rsidR="00E94ECD">
        <w:t>This coincided</w:t>
      </w:r>
      <w:r w:rsidR="00765B7F" w:rsidRPr="008B052A">
        <w:t xml:space="preserve"> with strong pent-up demand for travel and households drawing on their savings in 2022</w:t>
      </w:r>
      <w:r w:rsidR="00733F88">
        <w:t>,</w:t>
      </w:r>
      <w:r w:rsidR="00765B7F" w:rsidRPr="008B052A">
        <w:t xml:space="preserve"> leading to a </w:t>
      </w:r>
      <w:r w:rsidR="0059080B" w:rsidRPr="008B052A">
        <w:t>56% increase in</w:t>
      </w:r>
      <w:r w:rsidR="00765B7F" w:rsidRPr="008B052A">
        <w:t xml:space="preserve"> domestic travel spending</w:t>
      </w:r>
      <w:r w:rsidRPr="008B052A">
        <w:t>.</w:t>
      </w:r>
      <w:r w:rsidR="000C7460" w:rsidRPr="008B052A">
        <w:t xml:space="preserve"> </w:t>
      </w:r>
      <w:r w:rsidR="00BA678F" w:rsidRPr="008B052A">
        <w:t>However, over time, a</w:t>
      </w:r>
      <w:r w:rsidRPr="008B052A">
        <w:t xml:space="preserve">s </w:t>
      </w:r>
      <w:r w:rsidR="00967B20" w:rsidRPr="008B052A">
        <w:t xml:space="preserve">pent-up demand for </w:t>
      </w:r>
      <w:r w:rsidR="00BA678F" w:rsidRPr="008B052A">
        <w:t xml:space="preserve">domestic </w:t>
      </w:r>
      <w:r w:rsidR="00967B20" w:rsidRPr="008B052A">
        <w:t xml:space="preserve">travel subsided, </w:t>
      </w:r>
      <w:r w:rsidRPr="008B052A">
        <w:t xml:space="preserve">Australians began to adjust their travel habits. </w:t>
      </w:r>
    </w:p>
    <w:p w14:paraId="58F62911" w14:textId="1829CF1C" w:rsidR="00CA0913" w:rsidRPr="008B052A" w:rsidRDefault="00BA22B8" w:rsidP="00967B20">
      <w:r w:rsidRPr="008B052A">
        <w:t>From</w:t>
      </w:r>
      <w:r w:rsidR="00CA0913" w:rsidRPr="008B052A">
        <w:t xml:space="preserve"> 2023, many responded to ongoing </w:t>
      </w:r>
      <w:r w:rsidR="007A0007">
        <w:t>household financial</w:t>
      </w:r>
      <w:r w:rsidR="00CA0913" w:rsidRPr="008B052A">
        <w:t xml:space="preserve"> pressures by opting for shorter overnight stays and more day trips, helping to manage travel expenses. Despite these adjustments, domestic travel spending </w:t>
      </w:r>
      <w:r w:rsidR="00FB3F1C" w:rsidRPr="008B052A">
        <w:t xml:space="preserve">has </w:t>
      </w:r>
      <w:r w:rsidR="00CA0913" w:rsidRPr="008B052A">
        <w:t>continued to grow</w:t>
      </w:r>
      <w:r w:rsidR="00FB3F1C" w:rsidRPr="008B052A">
        <w:t xml:space="preserve"> – </w:t>
      </w:r>
      <w:r w:rsidR="00CA0913" w:rsidRPr="008B052A">
        <w:t>albeit at a slower pace</w:t>
      </w:r>
      <w:r w:rsidR="00FB3F1C" w:rsidRPr="008B052A">
        <w:t xml:space="preserve"> – </w:t>
      </w:r>
      <w:r w:rsidR="00CA0913" w:rsidRPr="008B052A">
        <w:t xml:space="preserve">rising by </w:t>
      </w:r>
      <w:r w:rsidR="61C3B251" w:rsidRPr="008B052A">
        <w:t>6.5</w:t>
      </w:r>
      <w:r w:rsidR="00CA0913" w:rsidRPr="008B052A">
        <w:t>% in 2023 and a further 2.4% in 2024. Th</w:t>
      </w:r>
      <w:r w:rsidR="00A93509" w:rsidRPr="008B052A">
        <w:t>ese behaviour</w:t>
      </w:r>
      <w:r w:rsidR="00CA0913" w:rsidRPr="008B052A">
        <w:t xml:space="preserve"> shift</w:t>
      </w:r>
      <w:r w:rsidR="00A93509" w:rsidRPr="008B052A">
        <w:t>s</w:t>
      </w:r>
      <w:r w:rsidR="00CA0913" w:rsidRPr="008B052A">
        <w:t xml:space="preserve"> </w:t>
      </w:r>
      <w:r w:rsidR="00A93509" w:rsidRPr="008B052A">
        <w:t xml:space="preserve">demonstrate Australian’s love for travel and </w:t>
      </w:r>
      <w:r w:rsidR="00CA0913" w:rsidRPr="008B052A">
        <w:t>the resilience of travel demand, even as households adapt to changing economic conditions.</w:t>
      </w:r>
    </w:p>
    <w:p w14:paraId="0D7CCB76" w14:textId="2EC7314B" w:rsidR="002C0B83" w:rsidRDefault="001E2219" w:rsidP="003F4559">
      <w:pPr>
        <w:rPr>
          <w:rFonts w:eastAsia="Verdana" w:cs="Times New Roman"/>
        </w:rPr>
      </w:pPr>
      <w:r>
        <w:rPr>
          <w:rFonts w:eastAsia="Verdana" w:cs="Times New Roman"/>
        </w:rPr>
        <w:t>G</w:t>
      </w:r>
      <w:r w:rsidR="003634D3" w:rsidRPr="008B052A">
        <w:rPr>
          <w:rFonts w:eastAsia="Verdana" w:cs="Times New Roman"/>
        </w:rPr>
        <w:t xml:space="preserve">rowth </w:t>
      </w:r>
      <w:r>
        <w:rPr>
          <w:rFonts w:eastAsia="Verdana" w:cs="Times New Roman"/>
        </w:rPr>
        <w:t xml:space="preserve">in domestic visitor spend </w:t>
      </w:r>
      <w:r w:rsidR="003634D3" w:rsidRPr="008B052A">
        <w:rPr>
          <w:rFonts w:eastAsia="Verdana" w:cs="Times New Roman"/>
        </w:rPr>
        <w:t xml:space="preserve">is </w:t>
      </w:r>
      <w:r>
        <w:rPr>
          <w:rFonts w:eastAsia="Verdana" w:cs="Times New Roman"/>
        </w:rPr>
        <w:t>forecast to be stronger in 2025 than it was in 2024</w:t>
      </w:r>
      <w:r w:rsidR="00E91A41">
        <w:rPr>
          <w:rFonts w:eastAsia="Verdana" w:cs="Times New Roman"/>
        </w:rPr>
        <w:t>. D</w:t>
      </w:r>
      <w:r w:rsidR="003634D3" w:rsidRPr="008B052A">
        <w:rPr>
          <w:rFonts w:eastAsia="Verdana" w:cs="Times New Roman"/>
        </w:rPr>
        <w:t>omestic</w:t>
      </w:r>
      <w:r w:rsidR="00E91A41">
        <w:rPr>
          <w:rFonts w:eastAsia="Verdana" w:cs="Times New Roman"/>
        </w:rPr>
        <w:t xml:space="preserve"> </w:t>
      </w:r>
      <w:proofErr w:type="gramStart"/>
      <w:r w:rsidR="00E91A41">
        <w:rPr>
          <w:rFonts w:eastAsia="Verdana" w:cs="Times New Roman"/>
        </w:rPr>
        <w:t>visitor</w:t>
      </w:r>
      <w:proofErr w:type="gramEnd"/>
      <w:r w:rsidR="003634D3" w:rsidRPr="008B052A">
        <w:rPr>
          <w:rFonts w:eastAsia="Verdana" w:cs="Times New Roman"/>
        </w:rPr>
        <w:t xml:space="preserve"> spend </w:t>
      </w:r>
      <w:r w:rsidR="00B66FC0">
        <w:rPr>
          <w:rFonts w:eastAsia="Verdana" w:cs="Times New Roman"/>
        </w:rPr>
        <w:t xml:space="preserve">is </w:t>
      </w:r>
      <w:r w:rsidR="003634D3" w:rsidRPr="008B052A">
        <w:rPr>
          <w:rFonts w:eastAsia="Verdana" w:cs="Times New Roman"/>
        </w:rPr>
        <w:t xml:space="preserve">forecast to increase by </w:t>
      </w:r>
      <w:r w:rsidR="3DD32C30" w:rsidRPr="008B052A">
        <w:rPr>
          <w:rFonts w:eastAsia="Verdana" w:cs="Times New Roman"/>
        </w:rPr>
        <w:t>4.2</w:t>
      </w:r>
      <w:r w:rsidR="003634D3" w:rsidRPr="008B052A">
        <w:rPr>
          <w:rFonts w:eastAsia="Verdana" w:cs="Times New Roman"/>
        </w:rPr>
        <w:t>% to $1</w:t>
      </w:r>
      <w:r w:rsidR="232658E9" w:rsidRPr="008B052A">
        <w:rPr>
          <w:rFonts w:eastAsia="Verdana" w:cs="Times New Roman"/>
        </w:rPr>
        <w:t>53.9</w:t>
      </w:r>
      <w:r w:rsidR="003634D3" w:rsidRPr="008B052A">
        <w:rPr>
          <w:rFonts w:eastAsia="Verdana" w:cs="Times New Roman"/>
        </w:rPr>
        <w:t xml:space="preserve"> billion</w:t>
      </w:r>
      <w:r w:rsidR="001A1201">
        <w:rPr>
          <w:rFonts w:eastAsia="Verdana" w:cs="Times New Roman"/>
        </w:rPr>
        <w:t xml:space="preserve"> in 2</w:t>
      </w:r>
      <w:r w:rsidR="00981A16">
        <w:rPr>
          <w:rFonts w:eastAsia="Verdana" w:cs="Times New Roman"/>
        </w:rPr>
        <w:t xml:space="preserve">025, </w:t>
      </w:r>
      <w:r w:rsidR="003634D3" w:rsidRPr="008B052A">
        <w:rPr>
          <w:rFonts w:eastAsia="Verdana" w:cs="Times New Roman"/>
        </w:rPr>
        <w:t xml:space="preserve">driven by an upturn in expenditure on day trips (up </w:t>
      </w:r>
      <w:r w:rsidR="00C54BBB">
        <w:rPr>
          <w:rFonts w:eastAsia="Verdana" w:cs="Times New Roman"/>
        </w:rPr>
        <w:t xml:space="preserve">by </w:t>
      </w:r>
      <w:r w:rsidR="003634D3" w:rsidRPr="008B052A">
        <w:rPr>
          <w:rFonts w:eastAsia="Verdana" w:cs="Times New Roman"/>
        </w:rPr>
        <w:t>1</w:t>
      </w:r>
      <w:r w:rsidR="6BB892A2" w:rsidRPr="008B052A">
        <w:rPr>
          <w:rFonts w:eastAsia="Verdana" w:cs="Times New Roman"/>
        </w:rPr>
        <w:t>8</w:t>
      </w:r>
      <w:r w:rsidR="003634D3" w:rsidRPr="008B052A">
        <w:rPr>
          <w:rFonts w:eastAsia="Verdana" w:cs="Times New Roman"/>
        </w:rPr>
        <w:t>% to $4</w:t>
      </w:r>
      <w:r w:rsidR="6018FABC" w:rsidRPr="008B052A">
        <w:rPr>
          <w:rFonts w:eastAsia="Verdana" w:cs="Times New Roman"/>
        </w:rPr>
        <w:t>6</w:t>
      </w:r>
      <w:r w:rsidR="003634D3" w:rsidRPr="008B052A">
        <w:rPr>
          <w:rFonts w:eastAsia="Verdana" w:cs="Times New Roman"/>
        </w:rPr>
        <w:t>.</w:t>
      </w:r>
      <w:r w:rsidR="35EF3DCD" w:rsidRPr="008B052A">
        <w:rPr>
          <w:rFonts w:eastAsia="Verdana" w:cs="Times New Roman"/>
        </w:rPr>
        <w:t>0</w:t>
      </w:r>
      <w:r w:rsidR="007B2989" w:rsidRPr="008B052A">
        <w:rPr>
          <w:rFonts w:eastAsia="Verdana" w:cs="Times New Roman"/>
        </w:rPr>
        <w:t> </w:t>
      </w:r>
      <w:r w:rsidR="003634D3" w:rsidRPr="008B052A">
        <w:rPr>
          <w:rFonts w:eastAsia="Verdana" w:cs="Times New Roman"/>
        </w:rPr>
        <w:t xml:space="preserve">billion). In contrast, overnight trip spend is forecast to </w:t>
      </w:r>
      <w:r w:rsidR="627C51D6" w:rsidRPr="008B052A">
        <w:rPr>
          <w:rFonts w:eastAsia="Verdana" w:cs="Times New Roman"/>
        </w:rPr>
        <w:t>fall</w:t>
      </w:r>
      <w:r w:rsidR="003634D3" w:rsidRPr="008B052A">
        <w:rPr>
          <w:rFonts w:eastAsia="Verdana" w:cs="Times New Roman"/>
        </w:rPr>
        <w:t xml:space="preserve"> by a modest </w:t>
      </w:r>
      <w:r w:rsidR="4534DB16" w:rsidRPr="008B052A">
        <w:rPr>
          <w:rFonts w:eastAsia="Verdana" w:cs="Times New Roman"/>
        </w:rPr>
        <w:t>0.9</w:t>
      </w:r>
      <w:r w:rsidR="003634D3" w:rsidRPr="008B052A">
        <w:rPr>
          <w:rFonts w:eastAsia="Verdana" w:cs="Times New Roman"/>
        </w:rPr>
        <w:t>% to $</w:t>
      </w:r>
      <w:r w:rsidR="050A69A0" w:rsidRPr="008B052A">
        <w:rPr>
          <w:rFonts w:eastAsia="Verdana" w:cs="Times New Roman"/>
        </w:rPr>
        <w:t>107</w:t>
      </w:r>
      <w:r w:rsidR="003634D3" w:rsidRPr="008B052A">
        <w:rPr>
          <w:rFonts w:eastAsia="Verdana" w:cs="Times New Roman"/>
        </w:rPr>
        <w:t>.8</w:t>
      </w:r>
      <w:r w:rsidR="007B2989" w:rsidRPr="008B052A">
        <w:rPr>
          <w:rFonts w:eastAsia="Verdana" w:cs="Times New Roman"/>
        </w:rPr>
        <w:t> </w:t>
      </w:r>
      <w:r w:rsidR="003634D3" w:rsidRPr="008B052A">
        <w:rPr>
          <w:rFonts w:eastAsia="Verdana" w:cs="Times New Roman"/>
        </w:rPr>
        <w:t xml:space="preserve">billion </w:t>
      </w:r>
      <w:r w:rsidR="0082084A" w:rsidRPr="008B052A">
        <w:rPr>
          <w:rFonts w:eastAsia="Verdana" w:cs="Times New Roman"/>
        </w:rPr>
        <w:t>in 2025</w:t>
      </w:r>
      <w:r w:rsidR="003634D3" w:rsidRPr="008B052A">
        <w:rPr>
          <w:rFonts w:eastAsia="Verdana" w:cs="Times New Roman"/>
        </w:rPr>
        <w:t xml:space="preserve"> as Australians </w:t>
      </w:r>
      <w:r w:rsidR="003901F9">
        <w:rPr>
          <w:rFonts w:eastAsia="Verdana" w:cs="Times New Roman"/>
        </w:rPr>
        <w:t>moderate</w:t>
      </w:r>
      <w:r w:rsidR="003901F9" w:rsidRPr="008B052A">
        <w:rPr>
          <w:rFonts w:eastAsia="Verdana" w:cs="Times New Roman"/>
        </w:rPr>
        <w:t xml:space="preserve"> </w:t>
      </w:r>
      <w:r w:rsidR="003634D3" w:rsidRPr="008B052A">
        <w:rPr>
          <w:rFonts w:eastAsia="Verdana" w:cs="Times New Roman"/>
        </w:rPr>
        <w:t xml:space="preserve">their </w:t>
      </w:r>
      <w:r w:rsidR="003901F9">
        <w:rPr>
          <w:rFonts w:eastAsia="Verdana" w:cs="Times New Roman"/>
        </w:rPr>
        <w:t xml:space="preserve">demand for </w:t>
      </w:r>
      <w:r w:rsidR="003634D3" w:rsidRPr="008B052A">
        <w:rPr>
          <w:rFonts w:eastAsia="Verdana" w:cs="Times New Roman"/>
        </w:rPr>
        <w:t>overnight travel and take shorter trips</w:t>
      </w:r>
      <w:r w:rsidR="00437EAD" w:rsidRPr="008B052A">
        <w:rPr>
          <w:rFonts w:eastAsia="Verdana" w:cs="Times New Roman"/>
        </w:rPr>
        <w:t xml:space="preserve"> (Figure 8)</w:t>
      </w:r>
      <w:r w:rsidR="003634D3" w:rsidRPr="008B052A">
        <w:rPr>
          <w:rFonts w:eastAsia="Verdana" w:cs="Times New Roman"/>
        </w:rPr>
        <w:t>.</w:t>
      </w:r>
    </w:p>
    <w:p w14:paraId="69E07115" w14:textId="77777777" w:rsidR="003F4559" w:rsidRPr="008B052A" w:rsidRDefault="003F4559" w:rsidP="003F4559">
      <w:r w:rsidRPr="008B052A">
        <w:rPr>
          <w:rFonts w:eastAsia="Verdana" w:cs="Times New Roman"/>
        </w:rPr>
        <w:t xml:space="preserve">By 2030, domestic </w:t>
      </w:r>
      <w:r>
        <w:rPr>
          <w:rFonts w:eastAsia="Verdana" w:cs="Times New Roman"/>
        </w:rPr>
        <w:t xml:space="preserve">visitor </w:t>
      </w:r>
      <w:r w:rsidRPr="008B052A">
        <w:rPr>
          <w:rFonts w:eastAsia="Verdana" w:cs="Times New Roman"/>
        </w:rPr>
        <w:t>spend is forecast to reach $187.4 billion, with an average annual growth rate of 4.0% across the forecast period.</w:t>
      </w:r>
      <w:r w:rsidRPr="008B052A">
        <w:t xml:space="preserve"> This brings</w:t>
      </w:r>
      <w:r w:rsidRPr="008B052A" w:rsidDel="0081297D">
        <w:t xml:space="preserve"> </w:t>
      </w:r>
      <w:r w:rsidRPr="008B052A">
        <w:t xml:space="preserve">growth in </w:t>
      </w:r>
      <w:r>
        <w:t xml:space="preserve">real terms in </w:t>
      </w:r>
      <w:r w:rsidRPr="008B052A">
        <w:t xml:space="preserve">domestic spend, as </w:t>
      </w:r>
      <w:r>
        <w:t>economy-wide</w:t>
      </w:r>
      <w:r w:rsidRPr="008B052A" w:rsidDel="00C33308">
        <w:t xml:space="preserve"> </w:t>
      </w:r>
      <w:r w:rsidRPr="008B052A">
        <w:t xml:space="preserve">inflation is anticipated to average </w:t>
      </w:r>
      <w:r>
        <w:t>less than 3</w:t>
      </w:r>
      <w:r w:rsidRPr="008B052A">
        <w:t xml:space="preserve">% </w:t>
      </w:r>
      <w:r>
        <w:t xml:space="preserve">per year </w:t>
      </w:r>
      <w:r w:rsidRPr="008B052A">
        <w:t xml:space="preserve">over the same period. </w:t>
      </w:r>
    </w:p>
    <w:p w14:paraId="625F2963" w14:textId="77777777" w:rsidR="003F4559" w:rsidRPr="008B052A" w:rsidRDefault="003F4559" w:rsidP="003F4559">
      <w:r w:rsidRPr="008B052A">
        <w:t xml:space="preserve">Average annual growth is forecast to be marginally stronger for domestic day trip spend than for domestic overnight trip spend over the forecast horizon. Spend on overnight trips is forecast to increase at an average annual rate of 3.9% to $130.4 billion and day trip spend by 4.4% on average to $57.0 billion. Growth in overnight travel spend is expected to be stronger than day trip </w:t>
      </w:r>
      <w:proofErr w:type="gramStart"/>
      <w:r w:rsidRPr="008B052A">
        <w:t>spend</w:t>
      </w:r>
      <w:proofErr w:type="gramEnd"/>
      <w:r w:rsidRPr="008B052A">
        <w:t xml:space="preserve"> later in the forecast period, while </w:t>
      </w:r>
      <w:r>
        <w:t xml:space="preserve">growth in </w:t>
      </w:r>
      <w:r w:rsidRPr="008B052A">
        <w:t>day trip spend is expected to peak in 2025.</w:t>
      </w:r>
    </w:p>
    <w:p w14:paraId="4DE54A43" w14:textId="77777777" w:rsidR="003F4559" w:rsidRPr="003F4559" w:rsidRDefault="003F4559" w:rsidP="003F4559">
      <w:pPr>
        <w:rPr>
          <w:rFonts w:eastAsia="Verdana" w:cs="Times New Roman"/>
          <w:color w:val="000000"/>
        </w:rPr>
      </w:pPr>
    </w:p>
    <w:p w14:paraId="78D563BF" w14:textId="7B69BF9D" w:rsidR="00F430E6" w:rsidRPr="008B052A" w:rsidRDefault="00C24125" w:rsidP="008564EF">
      <w:pPr>
        <w:keepNext/>
        <w:spacing w:before="360" w:after="0" w:line="300" w:lineRule="atLeast"/>
        <w:rPr>
          <w:rFonts w:eastAsia="Verdana" w:cs="Times New Roman"/>
          <w:color w:val="300050" w:themeColor="text2"/>
        </w:rPr>
      </w:pPr>
      <w:r w:rsidRPr="008B052A">
        <w:rPr>
          <w:rFonts w:eastAsia="Verdana" w:cs="Times New Roman"/>
          <w:b/>
          <w:bCs/>
          <w:color w:val="300050" w:themeColor="text2"/>
        </w:rPr>
        <w:lastRenderedPageBreak/>
        <w:t>Figure 8.</w:t>
      </w:r>
      <w:r w:rsidRPr="008B052A">
        <w:rPr>
          <w:rFonts w:eastAsia="Verdana" w:cs="Times New Roman"/>
          <w:color w:val="300050" w:themeColor="text2"/>
        </w:rPr>
        <w:t xml:space="preserve"> Domestic </w:t>
      </w:r>
      <w:proofErr w:type="gramStart"/>
      <w:r w:rsidRPr="008B052A">
        <w:rPr>
          <w:rFonts w:eastAsia="Verdana" w:cs="Times New Roman"/>
          <w:color w:val="300050" w:themeColor="text2"/>
        </w:rPr>
        <w:t>visitor</w:t>
      </w:r>
      <w:proofErr w:type="gramEnd"/>
      <w:r w:rsidRPr="008B052A">
        <w:rPr>
          <w:rFonts w:eastAsia="Verdana" w:cs="Times New Roman"/>
          <w:color w:val="300050" w:themeColor="text2"/>
        </w:rPr>
        <w:t xml:space="preserve"> spend</w:t>
      </w:r>
      <w:r w:rsidR="00EB1075" w:rsidRPr="008B052A">
        <w:rPr>
          <w:rFonts w:eastAsia="Verdana" w:cs="Times New Roman"/>
          <w:color w:val="300050" w:themeColor="text2"/>
        </w:rPr>
        <w:t xml:space="preserve"> on </w:t>
      </w:r>
      <w:r w:rsidRPr="008B052A">
        <w:rPr>
          <w:rFonts w:eastAsia="Verdana" w:cs="Times New Roman"/>
          <w:color w:val="300050" w:themeColor="text2"/>
        </w:rPr>
        <w:t xml:space="preserve">overnight and day trips. </w:t>
      </w:r>
      <w:r w:rsidR="00B1013E">
        <w:rPr>
          <w:rFonts w:eastAsia="Verdana" w:cs="Times New Roman"/>
          <w:color w:val="300050" w:themeColor="text2"/>
        </w:rPr>
        <w:t>Reported</w:t>
      </w:r>
      <w:r w:rsidR="00B1013E" w:rsidRPr="008B052A">
        <w:rPr>
          <w:rFonts w:eastAsia="Verdana" w:cs="Times New Roman"/>
          <w:color w:val="300050" w:themeColor="text2"/>
        </w:rPr>
        <w:t xml:space="preserve"> </w:t>
      </w:r>
      <w:r w:rsidRPr="008B052A">
        <w:rPr>
          <w:rFonts w:eastAsia="Verdana" w:cs="Times New Roman"/>
          <w:color w:val="300050" w:themeColor="text2"/>
        </w:rPr>
        <w:t>values to 2024, forecast values from 2025 onwards.</w:t>
      </w:r>
    </w:p>
    <w:p w14:paraId="6A44F5A4" w14:textId="0F8D57C6" w:rsidR="00F430E6" w:rsidRDefault="00831B00" w:rsidP="008564EF">
      <w:pPr>
        <w:spacing w:before="0" w:line="240" w:lineRule="atLeast"/>
      </w:pPr>
      <w:r w:rsidRPr="00831B00">
        <w:t xml:space="preserve"> </w:t>
      </w:r>
      <w:r w:rsidR="008564EF" w:rsidRPr="008564EF">
        <w:rPr>
          <w:noProof/>
        </w:rPr>
        <w:drawing>
          <wp:inline distT="0" distB="0" distL="0" distR="0" wp14:anchorId="5CFD5F60" wp14:editId="762870B6">
            <wp:extent cx="6329680" cy="3368675"/>
            <wp:effectExtent l="0" t="0" r="0" b="3175"/>
            <wp:docPr id="922540615" name="Picture 7" descr="Chart showing the value of domestic travel spend in Australia each year from 2015 to 2030 by day trip or overnight trip. The spend from overnight trips is higher than day trips each year and both are expected to trend higher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40615" name="Picture 7" descr="Chart showing the value of domestic travel spend in Australia each year from 2015 to 2030 by day trip or overnight trip. The spend from overnight trips is higher than day trips each year and both are expected to trend higher over the forecast period from 2025 to 2030.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29680" cy="3368675"/>
                    </a:xfrm>
                    <a:prstGeom prst="rect">
                      <a:avLst/>
                    </a:prstGeom>
                    <a:noFill/>
                    <a:ln>
                      <a:noFill/>
                    </a:ln>
                  </pic:spPr>
                </pic:pic>
              </a:graphicData>
            </a:graphic>
          </wp:inline>
        </w:drawing>
      </w:r>
    </w:p>
    <w:p w14:paraId="1B3F5BEF" w14:textId="77777777" w:rsidR="003F4559" w:rsidRPr="008B052A" w:rsidRDefault="003F4559" w:rsidP="008564EF">
      <w:pPr>
        <w:spacing w:before="0" w:line="240" w:lineRule="atLeast"/>
      </w:pPr>
    </w:p>
    <w:p w14:paraId="345ABD7B" w14:textId="20AD0E6A" w:rsidR="0040344B" w:rsidRPr="008B052A" w:rsidRDefault="5106CF43" w:rsidP="0040344B">
      <w:pPr>
        <w:pStyle w:val="Heading3"/>
      </w:pPr>
      <w:bookmarkStart w:id="70" w:name="_Toc184632625"/>
      <w:bookmarkStart w:id="71" w:name="_Toc214539202"/>
      <w:r w:rsidRPr="008B052A">
        <w:t>Domestic visitor nights</w:t>
      </w:r>
      <w:bookmarkEnd w:id="70"/>
      <w:bookmarkEnd w:id="71"/>
    </w:p>
    <w:p w14:paraId="2FC504ED" w14:textId="23CD183D" w:rsidR="0040344B" w:rsidRPr="008B052A" w:rsidRDefault="64341B6B" w:rsidP="3582A4C7">
      <w:pPr>
        <w:rPr>
          <w:rFonts w:eastAsia="Verdana" w:cs="Times New Roman"/>
        </w:rPr>
      </w:pPr>
      <w:r w:rsidRPr="008B052A">
        <w:rPr>
          <w:rFonts w:eastAsia="Verdana" w:cs="Times New Roman"/>
        </w:rPr>
        <w:t xml:space="preserve">Australians </w:t>
      </w:r>
      <w:r w:rsidR="3A753358" w:rsidRPr="008B052A">
        <w:rPr>
          <w:rFonts w:eastAsia="Verdana" w:cs="Times New Roman"/>
        </w:rPr>
        <w:t xml:space="preserve">are </w:t>
      </w:r>
      <w:r w:rsidR="45AD9294" w:rsidRPr="008B052A">
        <w:rPr>
          <w:rFonts w:eastAsia="Verdana" w:cs="Times New Roman"/>
        </w:rPr>
        <w:t>taking more</w:t>
      </w:r>
      <w:r w:rsidRPr="008B052A">
        <w:rPr>
          <w:rFonts w:eastAsia="Verdana" w:cs="Times New Roman"/>
        </w:rPr>
        <w:t xml:space="preserve"> overseas </w:t>
      </w:r>
      <w:r w:rsidR="45AD9294" w:rsidRPr="008B052A">
        <w:rPr>
          <w:rFonts w:eastAsia="Verdana" w:cs="Times New Roman"/>
        </w:rPr>
        <w:t xml:space="preserve">trips </w:t>
      </w:r>
      <w:r w:rsidRPr="008B052A">
        <w:rPr>
          <w:rFonts w:eastAsia="Verdana" w:cs="Times New Roman"/>
        </w:rPr>
        <w:t xml:space="preserve">than ever </w:t>
      </w:r>
      <w:r w:rsidR="1388E46F" w:rsidRPr="008B052A">
        <w:rPr>
          <w:rFonts w:eastAsia="Verdana" w:cs="Times New Roman"/>
        </w:rPr>
        <w:t>before,</w:t>
      </w:r>
      <w:r w:rsidRPr="008B052A">
        <w:rPr>
          <w:rFonts w:eastAsia="Verdana" w:cs="Times New Roman"/>
        </w:rPr>
        <w:t xml:space="preserve"> and many </w:t>
      </w:r>
      <w:r w:rsidR="3A753358" w:rsidRPr="008B052A">
        <w:rPr>
          <w:rFonts w:eastAsia="Verdana" w:cs="Times New Roman"/>
        </w:rPr>
        <w:t xml:space="preserve">are </w:t>
      </w:r>
      <w:r w:rsidRPr="008B052A">
        <w:rPr>
          <w:rFonts w:eastAsia="Verdana" w:cs="Times New Roman"/>
        </w:rPr>
        <w:t>taking shorter domestic trips in response to cost-of-living pressures</w:t>
      </w:r>
      <w:r w:rsidR="3A753358" w:rsidRPr="008B052A">
        <w:rPr>
          <w:rFonts w:eastAsia="Verdana" w:cs="Times New Roman"/>
        </w:rPr>
        <w:t>.</w:t>
      </w:r>
      <w:r w:rsidR="6D64FD01" w:rsidRPr="008B052A">
        <w:rPr>
          <w:rFonts w:eastAsia="Verdana" w:cs="Times New Roman"/>
        </w:rPr>
        <w:t xml:space="preserve"> </w:t>
      </w:r>
      <w:r w:rsidR="3040CBCE" w:rsidRPr="008B052A">
        <w:rPr>
          <w:rFonts w:eastAsia="Verdana" w:cs="Times New Roman"/>
        </w:rPr>
        <w:t>Consequently</w:t>
      </w:r>
      <w:r w:rsidR="3A753358" w:rsidRPr="008B052A">
        <w:rPr>
          <w:rFonts w:eastAsia="Verdana" w:cs="Times New Roman"/>
        </w:rPr>
        <w:t xml:space="preserve">, </w:t>
      </w:r>
      <w:r w:rsidR="6D64FD01" w:rsidRPr="008B052A">
        <w:rPr>
          <w:rFonts w:eastAsia="Verdana" w:cs="Times New Roman"/>
        </w:rPr>
        <w:t xml:space="preserve">domestic visitor nights </w:t>
      </w:r>
      <w:r w:rsidR="3AD90A86" w:rsidRPr="008B052A">
        <w:rPr>
          <w:rFonts w:eastAsia="Verdana" w:cs="Times New Roman"/>
        </w:rPr>
        <w:t>are</w:t>
      </w:r>
      <w:r w:rsidR="41CCFA77" w:rsidRPr="008B052A">
        <w:rPr>
          <w:rFonts w:eastAsia="Verdana" w:cs="Times New Roman"/>
        </w:rPr>
        <w:t xml:space="preserve"> estimated to have fallen</w:t>
      </w:r>
      <w:r w:rsidR="6D64FD01" w:rsidRPr="008B052A">
        <w:rPr>
          <w:rFonts w:eastAsia="Verdana" w:cs="Times New Roman"/>
        </w:rPr>
        <w:t xml:space="preserve"> by </w:t>
      </w:r>
      <w:r w:rsidR="4CC1F128" w:rsidRPr="008B052A">
        <w:rPr>
          <w:rFonts w:eastAsia="Verdana" w:cs="Times New Roman"/>
        </w:rPr>
        <w:t>0.3</w:t>
      </w:r>
      <w:r w:rsidR="6D64FD01" w:rsidRPr="008B052A">
        <w:rPr>
          <w:rFonts w:eastAsia="Verdana" w:cs="Times New Roman"/>
        </w:rPr>
        <w:t xml:space="preserve">% </w:t>
      </w:r>
      <w:r w:rsidR="4CC1F128" w:rsidRPr="008B052A">
        <w:rPr>
          <w:rFonts w:eastAsia="Verdana" w:cs="Times New Roman"/>
        </w:rPr>
        <w:t>in 202</w:t>
      </w:r>
      <w:r w:rsidR="1F13CB9F" w:rsidRPr="008B052A">
        <w:rPr>
          <w:rFonts w:eastAsia="Verdana" w:cs="Times New Roman"/>
        </w:rPr>
        <w:t xml:space="preserve">4 and </w:t>
      </w:r>
      <w:r w:rsidR="3AD90A86" w:rsidRPr="008B052A">
        <w:rPr>
          <w:rFonts w:eastAsia="Verdana" w:cs="Times New Roman"/>
        </w:rPr>
        <w:t>are</w:t>
      </w:r>
      <w:r w:rsidR="1F13CB9F" w:rsidRPr="008B052A">
        <w:rPr>
          <w:rFonts w:eastAsia="Verdana" w:cs="Times New Roman"/>
        </w:rPr>
        <w:t xml:space="preserve"> forecast to decline </w:t>
      </w:r>
      <w:r w:rsidR="00E47E5F">
        <w:rPr>
          <w:rFonts w:eastAsia="Verdana" w:cs="Times New Roman"/>
        </w:rPr>
        <w:t xml:space="preserve">slightly </w:t>
      </w:r>
      <w:r w:rsidR="1F13CB9F" w:rsidRPr="008B052A">
        <w:rPr>
          <w:rFonts w:eastAsia="Verdana" w:cs="Times New Roman"/>
        </w:rPr>
        <w:t>further</w:t>
      </w:r>
      <w:r w:rsidR="00107090">
        <w:rPr>
          <w:rFonts w:eastAsia="Verdana" w:cs="Times New Roman"/>
        </w:rPr>
        <w:t xml:space="preserve"> in 2025</w:t>
      </w:r>
      <w:r w:rsidR="00425ABE">
        <w:rPr>
          <w:rFonts w:eastAsia="Verdana" w:cs="Times New Roman"/>
        </w:rPr>
        <w:t xml:space="preserve">, </w:t>
      </w:r>
      <w:r w:rsidR="00107090">
        <w:rPr>
          <w:rFonts w:eastAsia="Verdana" w:cs="Times New Roman"/>
        </w:rPr>
        <w:t xml:space="preserve">down </w:t>
      </w:r>
      <w:r w:rsidR="00425ABE">
        <w:rPr>
          <w:rFonts w:eastAsia="Verdana" w:cs="Times New Roman"/>
        </w:rPr>
        <w:t>by</w:t>
      </w:r>
      <w:r w:rsidR="1F13CB9F" w:rsidRPr="008B052A">
        <w:rPr>
          <w:rFonts w:eastAsia="Verdana" w:cs="Times New Roman"/>
        </w:rPr>
        <w:t xml:space="preserve"> </w:t>
      </w:r>
      <w:r w:rsidR="7355E654" w:rsidRPr="008B052A">
        <w:rPr>
          <w:rFonts w:eastAsia="Verdana" w:cs="Times New Roman"/>
        </w:rPr>
        <w:t>0.1</w:t>
      </w:r>
      <w:r w:rsidR="1F13CB9F" w:rsidRPr="008B052A">
        <w:rPr>
          <w:rFonts w:eastAsia="Verdana" w:cs="Times New Roman"/>
        </w:rPr>
        <w:t>%, to 3</w:t>
      </w:r>
      <w:r w:rsidR="54387344" w:rsidRPr="008B052A">
        <w:rPr>
          <w:rFonts w:eastAsia="Verdana" w:cs="Times New Roman"/>
        </w:rPr>
        <w:t>82.1</w:t>
      </w:r>
      <w:r w:rsidR="1F13CB9F" w:rsidRPr="008B052A">
        <w:rPr>
          <w:rFonts w:eastAsia="Verdana" w:cs="Times New Roman"/>
        </w:rPr>
        <w:t xml:space="preserve"> million night</w:t>
      </w:r>
      <w:r w:rsidR="00160973">
        <w:rPr>
          <w:rFonts w:eastAsia="Verdana" w:cs="Times New Roman"/>
        </w:rPr>
        <w:t>s (Figure 9)</w:t>
      </w:r>
      <w:r w:rsidR="1F13CB9F" w:rsidRPr="008B052A">
        <w:rPr>
          <w:rFonts w:eastAsia="Verdana" w:cs="Times New Roman"/>
        </w:rPr>
        <w:t>.</w:t>
      </w:r>
    </w:p>
    <w:p w14:paraId="32DE0034" w14:textId="0E27AA8A" w:rsidR="00C76C40" w:rsidRPr="008B052A" w:rsidRDefault="2AA9BA15" w:rsidP="00160973">
      <w:r w:rsidRPr="008B052A">
        <w:t>D</w:t>
      </w:r>
      <w:r w:rsidR="3A753358" w:rsidRPr="008B052A">
        <w:t>omestic visitor nights</w:t>
      </w:r>
      <w:r w:rsidRPr="008B052A">
        <w:t xml:space="preserve"> are</w:t>
      </w:r>
      <w:r w:rsidR="3A753358" w:rsidRPr="008B052A">
        <w:t xml:space="preserve"> expected to </w:t>
      </w:r>
      <w:r w:rsidR="231ABDDC" w:rsidRPr="008B052A">
        <w:t>trend higher from 2026 onwards,</w:t>
      </w:r>
      <w:r w:rsidR="3A753358" w:rsidRPr="008B052A">
        <w:t xml:space="preserve"> as </w:t>
      </w:r>
      <w:r w:rsidR="008C2159">
        <w:t>household financial</w:t>
      </w:r>
      <w:r w:rsidR="3A753358" w:rsidRPr="008B052A">
        <w:t xml:space="preserve"> pressures </w:t>
      </w:r>
      <w:r w:rsidR="008C2159">
        <w:t xml:space="preserve">continue to </w:t>
      </w:r>
      <w:r w:rsidR="231ABDDC" w:rsidRPr="008B052A">
        <w:t xml:space="preserve">ease </w:t>
      </w:r>
      <w:r w:rsidR="3A753358" w:rsidRPr="008B052A">
        <w:t xml:space="preserve">and </w:t>
      </w:r>
      <w:r w:rsidR="33608D9A" w:rsidRPr="008B052A">
        <w:t>growth in</w:t>
      </w:r>
      <w:r w:rsidR="3A753358" w:rsidRPr="008B052A">
        <w:t xml:space="preserve"> demand for outbound travel </w:t>
      </w:r>
      <w:r w:rsidR="3519234F" w:rsidRPr="008B052A">
        <w:t>moderates</w:t>
      </w:r>
      <w:r w:rsidR="3A753358" w:rsidRPr="008B052A">
        <w:t xml:space="preserve">. </w:t>
      </w:r>
      <w:r w:rsidR="2D85C352" w:rsidRPr="008B052A">
        <w:t xml:space="preserve">Growth in domestic visitor nights is forecast to </w:t>
      </w:r>
      <w:r w:rsidR="4DDE6741" w:rsidRPr="008B052A">
        <w:t xml:space="preserve">outpace growth in the number of domestic overnight trips from 2028 onwards, suggesting a mild increase in the average length of domestic overnight trip. </w:t>
      </w:r>
      <w:r w:rsidR="584DA9E0" w:rsidRPr="008B052A">
        <w:t>Domestic visitor nights are forecast to grow at an average annual rate of 1.</w:t>
      </w:r>
      <w:r w:rsidR="64F82805" w:rsidRPr="008B052A">
        <w:t>7</w:t>
      </w:r>
      <w:r w:rsidR="584DA9E0" w:rsidRPr="008B052A">
        <w:t>% over the years 2025 to 2030, and to reach 4</w:t>
      </w:r>
      <w:r w:rsidR="05F07F54" w:rsidRPr="008B052A">
        <w:t>1</w:t>
      </w:r>
      <w:r w:rsidR="584DA9E0" w:rsidRPr="008B052A">
        <w:t>5</w:t>
      </w:r>
      <w:r w:rsidR="34FB4422" w:rsidRPr="008B052A">
        <w:t>.6</w:t>
      </w:r>
      <w:r w:rsidR="584DA9E0" w:rsidRPr="008B052A">
        <w:t xml:space="preserve"> million in 2030.</w:t>
      </w:r>
    </w:p>
    <w:p w14:paraId="19150B1B" w14:textId="22C62376" w:rsidR="00621EB7" w:rsidRPr="008B052A" w:rsidRDefault="00621EB7" w:rsidP="003F4559">
      <w:pPr>
        <w:keepNext/>
        <w:spacing w:before="0" w:after="0" w:line="240" w:lineRule="auto"/>
        <w:rPr>
          <w:rFonts w:eastAsia="Times New Roman" w:cs="Times New Roman"/>
          <w:b/>
          <w:bCs/>
          <w:color w:val="300050"/>
          <w:lang w:eastAsia="en-AU"/>
        </w:rPr>
      </w:pPr>
      <w:bookmarkStart w:id="72" w:name="_Toc184632626"/>
      <w:r w:rsidRPr="008B052A">
        <w:rPr>
          <w:rFonts w:eastAsia="Times New Roman" w:cs="Times New Roman"/>
          <w:b/>
          <w:bCs/>
          <w:color w:val="300050" w:themeColor="text2"/>
          <w:lang w:eastAsia="en-AU"/>
        </w:rPr>
        <w:lastRenderedPageBreak/>
        <w:t>Figure 9.</w:t>
      </w:r>
      <w:r w:rsidRPr="008B052A">
        <w:rPr>
          <w:rFonts w:eastAsia="Times New Roman" w:cs="Times New Roman"/>
          <w:color w:val="300050"/>
          <w:lang w:eastAsia="en-AU"/>
        </w:rPr>
        <w:t xml:space="preserve"> Domestic visitor nights.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69F33B8F" w14:textId="4C847875" w:rsidR="008E36BB" w:rsidRPr="008B052A" w:rsidRDefault="001F1278">
      <w:pPr>
        <w:spacing w:before="0" w:after="160" w:line="259" w:lineRule="auto"/>
        <w:rPr>
          <w:bCs/>
          <w:color w:val="300050" w:themeColor="text2"/>
          <w:sz w:val="28"/>
          <w:szCs w:val="32"/>
        </w:rPr>
      </w:pPr>
      <w:r w:rsidRPr="001F1278">
        <w:rPr>
          <w:noProof/>
        </w:rPr>
        <w:drawing>
          <wp:inline distT="0" distB="0" distL="0" distR="0" wp14:anchorId="17381803" wp14:editId="48BC7EAA">
            <wp:extent cx="6329680" cy="3401695"/>
            <wp:effectExtent l="0" t="0" r="0" b="8255"/>
            <wp:docPr id="1979085446" name="Picture 9" descr="Chart showing the number of  domestic visitor nights in Australia each year from 2015 to 2030. There is expected to be a trend rise in domestic nights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5446" name="Picture 9" descr="Chart showing the number of  domestic visitor nights in Australia each year from 2015 to 2030. There is expected to be a trend rise in domestic nights over the forecast period from 2025 to 2030.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29680" cy="3401695"/>
                    </a:xfrm>
                    <a:prstGeom prst="rect">
                      <a:avLst/>
                    </a:prstGeom>
                    <a:noFill/>
                    <a:ln>
                      <a:noFill/>
                    </a:ln>
                  </pic:spPr>
                </pic:pic>
              </a:graphicData>
            </a:graphic>
          </wp:inline>
        </w:drawing>
      </w:r>
    </w:p>
    <w:p w14:paraId="6079B9CE" w14:textId="78CB9CFC" w:rsidR="00F64440" w:rsidRPr="008B052A" w:rsidRDefault="005757FC" w:rsidP="00F64440">
      <w:pPr>
        <w:pStyle w:val="Heading3"/>
        <w:rPr>
          <w:bCs w:val="0"/>
        </w:rPr>
      </w:pPr>
      <w:bookmarkStart w:id="73" w:name="_Toc214539203"/>
      <w:r w:rsidRPr="008B052A">
        <w:t xml:space="preserve">Domestic </w:t>
      </w:r>
      <w:r w:rsidR="00097D76" w:rsidRPr="008B052A">
        <w:t>p</w:t>
      </w:r>
      <w:r w:rsidR="00F64440" w:rsidRPr="008B052A">
        <w:t>urpose of travel</w:t>
      </w:r>
      <w:bookmarkEnd w:id="72"/>
      <w:bookmarkEnd w:id="73"/>
      <w:r w:rsidR="00F64440" w:rsidRPr="008B052A">
        <w:t xml:space="preserve"> </w:t>
      </w:r>
    </w:p>
    <w:p w14:paraId="463453A5" w14:textId="73823B49" w:rsidR="00F64440" w:rsidRPr="008B052A" w:rsidRDefault="00BF0B14" w:rsidP="00245E86">
      <w:r w:rsidRPr="008B052A">
        <w:t xml:space="preserve">Australians travel for a variety of reasons, </w:t>
      </w:r>
      <w:r w:rsidR="00AE0349" w:rsidRPr="008B052A">
        <w:t>such as for</w:t>
      </w:r>
      <w:r w:rsidRPr="008B052A">
        <w:t xml:space="preserve"> holiday, </w:t>
      </w:r>
      <w:r w:rsidR="00AE0349" w:rsidRPr="008B052A">
        <w:t xml:space="preserve">to </w:t>
      </w:r>
      <w:r w:rsidRPr="008B052A">
        <w:t xml:space="preserve">visit friends and relative, </w:t>
      </w:r>
      <w:r w:rsidR="00AE0349" w:rsidRPr="008B052A">
        <w:t xml:space="preserve">for </w:t>
      </w:r>
      <w:r w:rsidRPr="008B052A">
        <w:t xml:space="preserve">business, and </w:t>
      </w:r>
      <w:r w:rsidR="00AE0349" w:rsidRPr="008B052A">
        <w:t xml:space="preserve">for </w:t>
      </w:r>
      <w:r w:rsidR="00A61AE1" w:rsidRPr="008B052A">
        <w:t>‘</w:t>
      </w:r>
      <w:r w:rsidRPr="008B052A">
        <w:t>other</w:t>
      </w:r>
      <w:r w:rsidR="00A61AE1" w:rsidRPr="008B052A">
        <w:t>’</w:t>
      </w:r>
      <w:r w:rsidRPr="008B052A">
        <w:t xml:space="preserve"> </w:t>
      </w:r>
      <w:r w:rsidR="00AE0349" w:rsidRPr="008B052A">
        <w:t xml:space="preserve">purposes such as </w:t>
      </w:r>
      <w:r w:rsidR="00A61AE1" w:rsidRPr="008B052A">
        <w:t xml:space="preserve">health reasons and education. </w:t>
      </w:r>
      <w:r w:rsidR="0065238A" w:rsidRPr="008B052A">
        <w:t>H</w:t>
      </w:r>
      <w:r w:rsidRPr="008B052A">
        <w:t>olidays remain the largest driver of overnight travel</w:t>
      </w:r>
      <w:r w:rsidR="0072227B" w:rsidRPr="008B052A">
        <w:t xml:space="preserve"> (Figure 10).</w:t>
      </w:r>
      <w:r w:rsidRPr="008B052A">
        <w:t xml:space="preserve"> </w:t>
      </w:r>
      <w:r w:rsidR="0072227B" w:rsidRPr="008B052A">
        <w:t>E</w:t>
      </w:r>
      <w:r w:rsidRPr="008B052A">
        <w:t xml:space="preserve">ach purpose </w:t>
      </w:r>
      <w:r w:rsidR="0072227B" w:rsidRPr="008B052A">
        <w:t xml:space="preserve">of travel </w:t>
      </w:r>
      <w:r w:rsidRPr="008B052A">
        <w:t>shows its own trend</w:t>
      </w:r>
      <w:r w:rsidR="0065238A" w:rsidRPr="008B052A">
        <w:t>s and forecast pattern</w:t>
      </w:r>
      <w:r w:rsidRPr="008B052A">
        <w:t xml:space="preserve">, reflecting changing preferences, economic conditions, and </w:t>
      </w:r>
      <w:r w:rsidR="00BD58C5" w:rsidRPr="008B052A">
        <w:t>behaviour.</w:t>
      </w:r>
    </w:p>
    <w:p w14:paraId="62720107" w14:textId="4FE834F4" w:rsidR="008E36BB" w:rsidRPr="008B052A" w:rsidRDefault="008E36BB" w:rsidP="00245E86">
      <w:r w:rsidRPr="008B052A">
        <w:t xml:space="preserve">Due to recent </w:t>
      </w:r>
      <w:r w:rsidR="00080173" w:rsidRPr="008B052A">
        <w:t>changes</w:t>
      </w:r>
      <w:r w:rsidRPr="008B052A">
        <w:t xml:space="preserve"> in the way domestic tourism statistics are collected and </w:t>
      </w:r>
      <w:r w:rsidR="00080173" w:rsidRPr="008B052A">
        <w:t>modelled</w:t>
      </w:r>
      <w:r w:rsidRPr="008B052A">
        <w:t xml:space="preserve">, </w:t>
      </w:r>
      <w:proofErr w:type="spellStart"/>
      <w:r w:rsidR="00B90B07">
        <w:t>DoTS</w:t>
      </w:r>
      <w:proofErr w:type="spellEnd"/>
      <w:r w:rsidR="00B90B07">
        <w:t xml:space="preserve"> </w:t>
      </w:r>
      <w:r w:rsidRPr="008B052A">
        <w:t xml:space="preserve">data </w:t>
      </w:r>
      <w:r w:rsidR="00281901">
        <w:t>for</w:t>
      </w:r>
      <w:r w:rsidR="006C0102">
        <w:t xml:space="preserve"> domestic travel </w:t>
      </w:r>
      <w:r w:rsidRPr="008B052A">
        <w:t xml:space="preserve">by purpose of </w:t>
      </w:r>
      <w:r w:rsidR="006C0102">
        <w:t xml:space="preserve">trip </w:t>
      </w:r>
      <w:r w:rsidRPr="008B052A">
        <w:t xml:space="preserve">is not </w:t>
      </w:r>
      <w:r w:rsidR="006C0102">
        <w:t>available for years prior to 2025</w:t>
      </w:r>
      <w:r w:rsidRPr="008B052A">
        <w:t>.</w:t>
      </w:r>
    </w:p>
    <w:p w14:paraId="2C1F2CDA" w14:textId="1A445C45" w:rsidR="002C319F" w:rsidRPr="008B052A" w:rsidRDefault="002C319F" w:rsidP="003F4559">
      <w:pPr>
        <w:keepNext/>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lastRenderedPageBreak/>
        <w:t>Figure 10.</w:t>
      </w:r>
      <w:r w:rsidRPr="008B052A">
        <w:rPr>
          <w:rFonts w:eastAsia="Times New Roman" w:cs="Times New Roman"/>
          <w:color w:val="300050"/>
          <w:lang w:eastAsia="en-AU"/>
        </w:rPr>
        <w:t xml:space="preserve"> Domestic overnight trips by purpose.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4048F2AD" w14:textId="365DC632" w:rsidR="00CF2896" w:rsidRDefault="00CB1EFC" w:rsidP="002C319F">
      <w:pPr>
        <w:spacing w:line="240" w:lineRule="atLeast"/>
      </w:pPr>
      <w:r w:rsidRPr="00CB1EFC">
        <w:rPr>
          <w:noProof/>
        </w:rPr>
        <w:drawing>
          <wp:inline distT="0" distB="0" distL="0" distR="0" wp14:anchorId="2A8F288F" wp14:editId="1B5A2D88">
            <wp:extent cx="6329680" cy="3476625"/>
            <wp:effectExtent l="0" t="0" r="0" b="9525"/>
            <wp:docPr id="1751090951" name="Picture 10" descr="Chart showing the projected path for domestic overnight trips by purpose of trip.  Trips for the purpose of holiday are the largest category of domestic overnight travel, closely followed by VFR travel. Trips for all purposes are projected to trend higher over the forecast period from 2025 to 20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90951" name="Picture 10" descr="Chart showing the projected path for domestic overnight trips by purpose of trip.  Trips for the purpose of holiday are the largest category of domestic overnight travel, closely followed by VFR travel. Trips for all purposes are projected to trend higher over the forecast period from 2025 to 2030.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29680" cy="3476625"/>
                    </a:xfrm>
                    <a:prstGeom prst="rect">
                      <a:avLst/>
                    </a:prstGeom>
                    <a:noFill/>
                    <a:ln>
                      <a:noFill/>
                    </a:ln>
                  </pic:spPr>
                </pic:pic>
              </a:graphicData>
            </a:graphic>
          </wp:inline>
        </w:drawing>
      </w:r>
    </w:p>
    <w:p w14:paraId="04499FDC" w14:textId="0485437E" w:rsidR="008E36BB" w:rsidRPr="008B052A" w:rsidRDefault="008E36BB" w:rsidP="008E36BB">
      <w:pPr>
        <w:pStyle w:val="Heading4"/>
      </w:pPr>
      <w:r w:rsidRPr="008B052A">
        <w:t>Holiday travel</w:t>
      </w:r>
    </w:p>
    <w:p w14:paraId="17867ECF" w14:textId="4A9AFC00" w:rsidR="008E36BB" w:rsidRPr="008B052A" w:rsidRDefault="008E36BB" w:rsidP="008E36BB">
      <w:r w:rsidRPr="008B052A">
        <w:t xml:space="preserve">Holiday travel </w:t>
      </w:r>
      <w:r w:rsidR="5B512110" w:rsidRPr="008B052A">
        <w:t>is</w:t>
      </w:r>
      <w:r w:rsidRPr="008B052A">
        <w:t xml:space="preserve"> the main driver of domestic overnight trips in Australia, with 4</w:t>
      </w:r>
      <w:r w:rsidR="7E20CAF0" w:rsidRPr="008B052A">
        <w:t>9.2</w:t>
      </w:r>
      <w:r w:rsidR="780678A6" w:rsidRPr="008B052A">
        <w:t> </w:t>
      </w:r>
      <w:r w:rsidRPr="008B052A">
        <w:t>million holiday trips forecast for 2025, representing 4</w:t>
      </w:r>
      <w:r w:rsidR="3DDDDE1E" w:rsidRPr="008B052A">
        <w:t>4</w:t>
      </w:r>
      <w:r w:rsidRPr="008B052A">
        <w:t>% of all domestic overnight trips. This firmly establishes holidays as the largest segment by purpose, reflecting Australians’ enduring enthusiasm for leisure travel and exploring their own country.</w:t>
      </w:r>
    </w:p>
    <w:p w14:paraId="3C15172D" w14:textId="54FCDD28" w:rsidR="00A37B79" w:rsidRDefault="008E36BB" w:rsidP="00CF2896">
      <w:r w:rsidRPr="008B052A">
        <w:t>Looking ahead, holiday trips are expected to grow at an average annual rate of 1.</w:t>
      </w:r>
      <w:r w:rsidR="378070E6" w:rsidRPr="008B052A">
        <w:t>8</w:t>
      </w:r>
      <w:r w:rsidRPr="008B052A">
        <w:t>%, reaching 5</w:t>
      </w:r>
      <w:r w:rsidR="19F97D99" w:rsidRPr="008B052A">
        <w:t>3</w:t>
      </w:r>
      <w:r w:rsidRPr="008B052A">
        <w:t>.</w:t>
      </w:r>
      <w:r w:rsidR="5459A39E" w:rsidRPr="008B052A">
        <w:t>8</w:t>
      </w:r>
      <w:r w:rsidRPr="008B052A">
        <w:t xml:space="preserve"> million </w:t>
      </w:r>
      <w:r w:rsidR="00A547B6">
        <w:t xml:space="preserve">trips </w:t>
      </w:r>
      <w:r w:rsidRPr="008B052A">
        <w:t xml:space="preserve">by 2030. This growth </w:t>
      </w:r>
      <w:r w:rsidR="00A547B6">
        <w:t xml:space="preserve">rate </w:t>
      </w:r>
      <w:r w:rsidRPr="008B052A">
        <w:t xml:space="preserve">marginally outpaces other travel purposes, particularly from 2028 onwards. </w:t>
      </w:r>
    </w:p>
    <w:p w14:paraId="7A644285" w14:textId="77777777" w:rsidR="003F4559" w:rsidRDefault="003F4559" w:rsidP="00CF2896"/>
    <w:p w14:paraId="5116F978" w14:textId="14ED8774" w:rsidR="009D0EA5" w:rsidRPr="008B052A" w:rsidRDefault="00800AAC" w:rsidP="0056045B">
      <w:pPr>
        <w:pStyle w:val="Heading4"/>
        <w:keepNext/>
      </w:pPr>
      <w:r w:rsidRPr="008B052A">
        <w:t xml:space="preserve">Visiting </w:t>
      </w:r>
      <w:r w:rsidR="003F4559">
        <w:t>f</w:t>
      </w:r>
      <w:r w:rsidR="00955685" w:rsidRPr="008B052A">
        <w:t xml:space="preserve">riends and </w:t>
      </w:r>
      <w:proofErr w:type="gramStart"/>
      <w:r w:rsidR="003F4559">
        <w:t>r</w:t>
      </w:r>
      <w:r w:rsidR="00955685" w:rsidRPr="008B052A">
        <w:t>elatives</w:t>
      </w:r>
      <w:proofErr w:type="gramEnd"/>
      <w:r w:rsidR="009D4388" w:rsidRPr="008B052A">
        <w:t xml:space="preserve"> </w:t>
      </w:r>
      <w:r w:rsidR="00955685" w:rsidRPr="008B052A">
        <w:t>travel</w:t>
      </w:r>
    </w:p>
    <w:p w14:paraId="6339F27A" w14:textId="1E999D72" w:rsidR="00FB4835" w:rsidRPr="008B052A" w:rsidRDefault="00A6328A" w:rsidP="00F00CD8">
      <w:r>
        <w:t>VFR</w:t>
      </w:r>
      <w:r w:rsidR="7B2D3E02" w:rsidRPr="008B052A">
        <w:t xml:space="preserve"> </w:t>
      </w:r>
      <w:r w:rsidR="4D20F76C" w:rsidRPr="008B052A">
        <w:t>accounts for</w:t>
      </w:r>
      <w:r w:rsidR="7B2D3E02" w:rsidRPr="008B052A">
        <w:t xml:space="preserve"> the second largest </w:t>
      </w:r>
      <w:r w:rsidR="4D20F76C" w:rsidRPr="008B052A">
        <w:t>share</w:t>
      </w:r>
      <w:r w:rsidR="7B2D3E02" w:rsidRPr="008B052A">
        <w:t xml:space="preserve"> of domestic overnight travel in Australia, with 4</w:t>
      </w:r>
      <w:r w:rsidR="520E7124" w:rsidRPr="008B052A">
        <w:t>3.3</w:t>
      </w:r>
      <w:r w:rsidR="00BB7A24">
        <w:t> </w:t>
      </w:r>
      <w:r w:rsidR="7B2D3E02" w:rsidRPr="008B052A">
        <w:t xml:space="preserve">million VFR trips forecast for 2025. This segment is characterised by lower average spend, as travellers often stay with family or friends and share expenses, making it a cost-effective way to travel. </w:t>
      </w:r>
    </w:p>
    <w:p w14:paraId="4888BF06" w14:textId="13531C49" w:rsidR="0037615F" w:rsidRPr="008B052A" w:rsidRDefault="009D4388" w:rsidP="00F00CD8">
      <w:r w:rsidRPr="008B052A">
        <w:t>G</w:t>
      </w:r>
      <w:r w:rsidR="00F00CD8" w:rsidRPr="008B052A">
        <w:t>rowth in VFR trips is expected to be marginally stronger</w:t>
      </w:r>
      <w:r w:rsidR="00D4166C">
        <w:t xml:space="preserve"> than for holiday trips</w:t>
      </w:r>
      <w:r w:rsidR="00F00CD8" w:rsidRPr="008B052A">
        <w:t xml:space="preserve"> </w:t>
      </w:r>
      <w:r w:rsidRPr="008B052A">
        <w:t>in 2026 and 2027</w:t>
      </w:r>
      <w:r w:rsidR="00F00CD8" w:rsidRPr="008B052A">
        <w:t>, as Australians continue to seek affordable travel options.</w:t>
      </w:r>
      <w:r w:rsidR="0037615F" w:rsidRPr="008B052A">
        <w:t xml:space="preserve"> </w:t>
      </w:r>
      <w:r w:rsidR="00F40E9D" w:rsidRPr="008B052A">
        <w:t>A</w:t>
      </w:r>
      <w:r w:rsidR="00F00CD8" w:rsidRPr="008B052A">
        <w:t xml:space="preserve">s the forecast period progresses, the pace of growth in VFR travel is anticipated to slow compared to holiday travel. </w:t>
      </w:r>
    </w:p>
    <w:p w14:paraId="5BEA29BF" w14:textId="65DE517C" w:rsidR="00955685" w:rsidRDefault="7B2D3E02" w:rsidP="00F00CD8">
      <w:r w:rsidRPr="008B052A">
        <w:t>By 2030, the number of VFR trips is projected to reach 4</w:t>
      </w:r>
      <w:r w:rsidR="66871C24" w:rsidRPr="008B052A">
        <w:t>7</w:t>
      </w:r>
      <w:r w:rsidRPr="008B052A">
        <w:t xml:space="preserve">.1 million, </w:t>
      </w:r>
      <w:r w:rsidR="2E4377C4" w:rsidRPr="008B052A">
        <w:t>which implies</w:t>
      </w:r>
      <w:r w:rsidRPr="008B052A">
        <w:t xml:space="preserve"> an average annual growth rate of 1.</w:t>
      </w:r>
      <w:r w:rsidR="256F27ED" w:rsidRPr="008B052A">
        <w:t>7</w:t>
      </w:r>
      <w:r w:rsidRPr="008B052A">
        <w:t>%</w:t>
      </w:r>
      <w:r w:rsidR="007B3ACA">
        <w:t xml:space="preserve"> over the forecast period</w:t>
      </w:r>
      <w:r w:rsidRPr="008B052A">
        <w:t xml:space="preserve">. </w:t>
      </w:r>
    </w:p>
    <w:p w14:paraId="360F5E95" w14:textId="027E7379" w:rsidR="0037615F" w:rsidRPr="008B052A" w:rsidRDefault="00EE48FB" w:rsidP="0037615F">
      <w:pPr>
        <w:pStyle w:val="Heading4"/>
      </w:pPr>
      <w:r w:rsidRPr="008B052A">
        <w:lastRenderedPageBreak/>
        <w:t>Business</w:t>
      </w:r>
      <w:r w:rsidR="0037615F" w:rsidRPr="008B052A">
        <w:t xml:space="preserve"> travel</w:t>
      </w:r>
    </w:p>
    <w:p w14:paraId="0AFD2BDD" w14:textId="0BF1AD38" w:rsidR="00830F6D" w:rsidRPr="008B052A" w:rsidRDefault="00830F6D" w:rsidP="00830F6D">
      <w:r w:rsidRPr="008B052A">
        <w:t xml:space="preserve">Business travel </w:t>
      </w:r>
      <w:r w:rsidR="006336D7" w:rsidRPr="008B052A">
        <w:t xml:space="preserve">is forecast to </w:t>
      </w:r>
      <w:r w:rsidR="00A85CDF" w:rsidRPr="008B052A">
        <w:t xml:space="preserve">exhibit a slower </w:t>
      </w:r>
      <w:r w:rsidR="006336D7" w:rsidRPr="008B052A">
        <w:t xml:space="preserve">rate of growth </w:t>
      </w:r>
      <w:r w:rsidR="00A85CDF" w:rsidRPr="008B052A">
        <w:t>than holiday and VFR travel</w:t>
      </w:r>
      <w:r w:rsidRPr="008B052A">
        <w:t>. Several factors contribute to this, including the widespread adoption of online communication technologies and a growing focus among businesses on the environmental impact of travel. These influences have led many organisations to reassess the necessity and frequency of business trips.</w:t>
      </w:r>
    </w:p>
    <w:p w14:paraId="2D886DB1" w14:textId="69B5FEF6" w:rsidR="00830F6D" w:rsidRPr="008B052A" w:rsidRDefault="727F53E4" w:rsidP="00830F6D">
      <w:r w:rsidRPr="008B052A">
        <w:t xml:space="preserve">While economic conditions are expected to gradually improve, growth in business travel is projected to remain modest compared to leisure segments. </w:t>
      </w:r>
      <w:r w:rsidR="6E8BE1BD" w:rsidRPr="008B052A">
        <w:t>The number of domestic</w:t>
      </w:r>
      <w:r w:rsidRPr="008B052A">
        <w:t xml:space="preserve"> business trips </w:t>
      </w:r>
      <w:r w:rsidR="6E8BE1BD" w:rsidRPr="008B052A">
        <w:t>in 2025 is</w:t>
      </w:r>
      <w:r w:rsidRPr="008B052A">
        <w:t xml:space="preserve"> forecast to </w:t>
      </w:r>
      <w:r w:rsidR="6E8BE1BD" w:rsidRPr="008B052A">
        <w:t xml:space="preserve">be </w:t>
      </w:r>
      <w:r w:rsidRPr="008B052A">
        <w:t>1</w:t>
      </w:r>
      <w:r w:rsidR="5472CB31" w:rsidRPr="008B052A">
        <w:t>3.7</w:t>
      </w:r>
      <w:r w:rsidRPr="008B052A">
        <w:t xml:space="preserve"> million, with </w:t>
      </w:r>
      <w:r w:rsidR="00C077D7">
        <w:t>modest</w:t>
      </w:r>
      <w:r w:rsidR="00C077D7" w:rsidRPr="008B052A">
        <w:t xml:space="preserve"> </w:t>
      </w:r>
      <w:r w:rsidRPr="008B052A">
        <w:t xml:space="preserve">increases anticipated in the following years. Growth </w:t>
      </w:r>
      <w:r w:rsidR="2F3832A8" w:rsidRPr="008B052A">
        <w:t xml:space="preserve">in the number of domestic business trips </w:t>
      </w:r>
      <w:r w:rsidRPr="008B052A">
        <w:t>is expected to peak at 1.</w:t>
      </w:r>
      <w:r w:rsidR="05B377F1" w:rsidRPr="008B052A">
        <w:t>7</w:t>
      </w:r>
      <w:r w:rsidRPr="008B052A">
        <w:t>% in 2028</w:t>
      </w:r>
      <w:r w:rsidR="25DCB0BC" w:rsidRPr="008B052A">
        <w:t>, while annual growth over the 2025 to 2030 period is expected to average 1.</w:t>
      </w:r>
      <w:r w:rsidR="69D8D584" w:rsidRPr="008B052A">
        <w:t>4</w:t>
      </w:r>
      <w:r w:rsidR="25DCB0BC" w:rsidRPr="008B052A">
        <w:t>%</w:t>
      </w:r>
      <w:r w:rsidR="532E0C45" w:rsidRPr="008B052A">
        <w:t xml:space="preserve">, reflecting a cautious but steady increase to </w:t>
      </w:r>
      <w:r w:rsidR="00C077D7">
        <w:t xml:space="preserve">the volume of </w:t>
      </w:r>
      <w:r w:rsidR="532E0C45" w:rsidRPr="008B052A">
        <w:t>business travel</w:t>
      </w:r>
      <w:r w:rsidR="2F3832A8" w:rsidRPr="008B052A">
        <w:t xml:space="preserve">. </w:t>
      </w:r>
      <w:r w:rsidR="7B9F5433" w:rsidRPr="008B052A">
        <w:t>B</w:t>
      </w:r>
      <w:r w:rsidRPr="008B052A">
        <w:t xml:space="preserve">y 2030, </w:t>
      </w:r>
      <w:r w:rsidR="7B9F5433" w:rsidRPr="008B052A">
        <w:t>there</w:t>
      </w:r>
      <w:r w:rsidRPr="008B052A">
        <w:t xml:space="preserve"> are forecast to </w:t>
      </w:r>
      <w:r w:rsidR="7B9F5433" w:rsidRPr="008B052A">
        <w:t>be</w:t>
      </w:r>
      <w:r w:rsidRPr="008B052A">
        <w:t xml:space="preserve"> 1</w:t>
      </w:r>
      <w:r w:rsidR="1D671785" w:rsidRPr="008B052A">
        <w:t>4.6</w:t>
      </w:r>
      <w:r w:rsidR="00E22C03">
        <w:t> </w:t>
      </w:r>
      <w:r w:rsidRPr="008B052A">
        <w:t>million</w:t>
      </w:r>
      <w:r w:rsidR="5AC9CD32" w:rsidRPr="008B052A">
        <w:t xml:space="preserve"> </w:t>
      </w:r>
      <w:r w:rsidR="7B9F5433" w:rsidRPr="008B052A">
        <w:t>domestic business trips</w:t>
      </w:r>
      <w:r w:rsidR="25DCB0BC" w:rsidRPr="008B052A">
        <w:t>.</w:t>
      </w:r>
      <w:r w:rsidR="7B9F5433" w:rsidRPr="008B052A">
        <w:t xml:space="preserve"> </w:t>
      </w:r>
    </w:p>
    <w:p w14:paraId="2CA4505D" w14:textId="12117311" w:rsidR="00B41D68" w:rsidRPr="008B052A" w:rsidRDefault="00B41D68" w:rsidP="00B41D68">
      <w:pPr>
        <w:pStyle w:val="Heading4"/>
      </w:pPr>
      <w:r w:rsidRPr="008B052A">
        <w:t>Other travel</w:t>
      </w:r>
    </w:p>
    <w:p w14:paraId="2166886F" w14:textId="77777777" w:rsidR="00F55749" w:rsidRPr="008B052A" w:rsidRDefault="008833CC" w:rsidP="00B41D68">
      <w:r w:rsidRPr="008B052A">
        <w:t>Travel for ‘other’ purposes makes up the smallest share of domestic overnight trips, typically accounting for approximately 6% of total domestic overnight trips. This category includes journeys for reasons such as medical appointments, education, funerals, personal commitments, and employment</w:t>
      </w:r>
      <w:r w:rsidR="00F55749" w:rsidRPr="008B052A">
        <w:t xml:space="preserve"> – </w:t>
      </w:r>
      <w:r w:rsidRPr="008B052A">
        <w:t>trips that are often non-discretionary and not related to leisure.</w:t>
      </w:r>
    </w:p>
    <w:p w14:paraId="3C7C6B47" w14:textId="24A37CD3" w:rsidR="00435B67" w:rsidRPr="008B052A" w:rsidRDefault="59D1601E" w:rsidP="00B41D68">
      <w:r w:rsidRPr="008B052A">
        <w:t>In 2025, Australians are forecast to take 7 million overnight trips for these ‘other’ purposes. Looking ahead, this segment is expected to stead</w:t>
      </w:r>
      <w:r w:rsidR="682AF970" w:rsidRPr="008B052A">
        <w:t>ily</w:t>
      </w:r>
      <w:r w:rsidRPr="008B052A">
        <w:t xml:space="preserve"> grow, reaching 7.</w:t>
      </w:r>
      <w:r w:rsidR="601D1E04" w:rsidRPr="008B052A">
        <w:t>6</w:t>
      </w:r>
      <w:r w:rsidRPr="008B052A">
        <w:t xml:space="preserve"> million trips by 2030, with an average annual increase of 1.</w:t>
      </w:r>
      <w:r w:rsidR="384426CD" w:rsidRPr="008B052A">
        <w:t>7</w:t>
      </w:r>
      <w:r w:rsidRPr="008B052A">
        <w:t>% over the forecast period.</w:t>
      </w:r>
    </w:p>
    <w:p w14:paraId="606279D9" w14:textId="36238900" w:rsidR="00154234" w:rsidRPr="008B052A" w:rsidRDefault="00154234" w:rsidP="00154234">
      <w:pPr>
        <w:pStyle w:val="Heading3"/>
        <w:rPr>
          <w:bCs w:val="0"/>
        </w:rPr>
      </w:pPr>
      <w:bookmarkStart w:id="74" w:name="_Toc184632628"/>
      <w:bookmarkStart w:id="75" w:name="_Toc214539204"/>
      <w:r w:rsidRPr="008B052A">
        <w:t>States and territories</w:t>
      </w:r>
      <w:bookmarkEnd w:id="74"/>
      <w:bookmarkEnd w:id="75"/>
    </w:p>
    <w:p w14:paraId="685D805C" w14:textId="513DE2DA" w:rsidR="0005158B" w:rsidRPr="008B052A" w:rsidRDefault="0005158B" w:rsidP="00736F24">
      <w:r>
        <w:t xml:space="preserve">While broad </w:t>
      </w:r>
      <w:r w:rsidR="0047715B">
        <w:t xml:space="preserve">factors such as </w:t>
      </w:r>
      <w:r w:rsidR="0047715B" w:rsidRPr="008B052A">
        <w:t>cost-of-living pressures</w:t>
      </w:r>
      <w:r w:rsidR="0047715B">
        <w:t xml:space="preserve"> </w:t>
      </w:r>
      <w:r w:rsidR="00261302">
        <w:t xml:space="preserve">also </w:t>
      </w:r>
      <w:r w:rsidR="0047715B">
        <w:t xml:space="preserve">influence </w:t>
      </w:r>
      <w:r w:rsidR="00261302">
        <w:t>the</w:t>
      </w:r>
      <w:r w:rsidR="0047715B">
        <w:t xml:space="preserve"> state and territory-level forecasts</w:t>
      </w:r>
      <w:r w:rsidR="002D3D08">
        <w:t xml:space="preserve">, differences in </w:t>
      </w:r>
      <w:r w:rsidR="00484C83">
        <w:t xml:space="preserve">local economic outlook, population growth and other key factors </w:t>
      </w:r>
      <w:r w:rsidR="00DD220B">
        <w:t xml:space="preserve">lead to </w:t>
      </w:r>
      <w:r w:rsidR="00C82725">
        <w:t>varying growth patterns across the states and territories.</w:t>
      </w:r>
      <w:r w:rsidR="00A03B49">
        <w:t xml:space="preserve"> </w:t>
      </w:r>
      <w:r w:rsidR="005973D7">
        <w:t xml:space="preserve">For most states and territories, </w:t>
      </w:r>
      <w:r w:rsidR="00221206">
        <w:t xml:space="preserve">growth is forecast to be weaker in 2025 than </w:t>
      </w:r>
      <w:r w:rsidR="0023790E">
        <w:t>in future years.</w:t>
      </w:r>
    </w:p>
    <w:p w14:paraId="28131930" w14:textId="418E953C" w:rsidR="008E4B04" w:rsidRPr="008B052A" w:rsidRDefault="676F9A31" w:rsidP="00736F24">
      <w:pPr>
        <w:pStyle w:val="ListParagraph"/>
        <w:numPr>
          <w:ilvl w:val="0"/>
          <w:numId w:val="25"/>
        </w:numPr>
      </w:pPr>
      <w:r w:rsidRPr="008B052A">
        <w:t xml:space="preserve">The Australian Capital Territory, </w:t>
      </w:r>
      <w:r w:rsidR="44664515" w:rsidRPr="008B052A">
        <w:t xml:space="preserve">New South Wales and South Australia </w:t>
      </w:r>
      <w:r w:rsidR="51F85317" w:rsidRPr="008B052A">
        <w:t>are expected to see small declines in overnight trips in 2025, ranging from 0.</w:t>
      </w:r>
      <w:r w:rsidR="38390F86" w:rsidRPr="008B052A">
        <w:t>3</w:t>
      </w:r>
      <w:r w:rsidR="51F85317" w:rsidRPr="008B052A">
        <w:t xml:space="preserve">% to </w:t>
      </w:r>
      <w:r w:rsidR="20AE20AD" w:rsidRPr="008B052A">
        <w:t>0.9</w:t>
      </w:r>
      <w:r w:rsidR="51F85317" w:rsidRPr="008B052A">
        <w:t>%.</w:t>
      </w:r>
    </w:p>
    <w:p w14:paraId="0494B7F6" w14:textId="27A805BB" w:rsidR="00736F24" w:rsidRPr="008B052A" w:rsidRDefault="7B8C7B85" w:rsidP="00736F24">
      <w:pPr>
        <w:pStyle w:val="ListParagraph"/>
        <w:numPr>
          <w:ilvl w:val="0"/>
          <w:numId w:val="25"/>
        </w:numPr>
      </w:pPr>
      <w:r w:rsidRPr="008B052A">
        <w:t xml:space="preserve">Tasmania, </w:t>
      </w:r>
      <w:r w:rsidR="388CD1B0" w:rsidRPr="008B052A">
        <w:t>Victoria</w:t>
      </w:r>
      <w:r w:rsidR="0024173B">
        <w:t xml:space="preserve"> and </w:t>
      </w:r>
      <w:r w:rsidR="388CD1B0" w:rsidRPr="008B052A">
        <w:t xml:space="preserve">Queensland, </w:t>
      </w:r>
      <w:r w:rsidR="51F85317" w:rsidRPr="008B052A">
        <w:t>are forecast to record marginal growth</w:t>
      </w:r>
      <w:r w:rsidR="608B68E0" w:rsidRPr="008B052A">
        <w:t>, ranging from 0</w:t>
      </w:r>
      <w:r w:rsidR="00E51220">
        <w:t>.</w:t>
      </w:r>
      <w:r w:rsidR="608B68E0" w:rsidRPr="008B052A">
        <w:t xml:space="preserve">2% to </w:t>
      </w:r>
      <w:r w:rsidR="007D4CC0">
        <w:t>0.4</w:t>
      </w:r>
      <w:r w:rsidR="608B68E0" w:rsidRPr="008B052A">
        <w:t>%</w:t>
      </w:r>
      <w:r w:rsidR="6B732CEF" w:rsidRPr="008B052A">
        <w:t>.</w:t>
      </w:r>
    </w:p>
    <w:p w14:paraId="52AE0DEF" w14:textId="223FC798" w:rsidR="00B91E6C" w:rsidRPr="008B052A" w:rsidRDefault="004F4074" w:rsidP="00B91E6C">
      <w:pPr>
        <w:pStyle w:val="ListParagraph"/>
        <w:numPr>
          <w:ilvl w:val="0"/>
          <w:numId w:val="25"/>
        </w:numPr>
      </w:pPr>
      <w:r>
        <w:t>Western Australia and t</w:t>
      </w:r>
      <w:r w:rsidR="00B91E6C" w:rsidRPr="008B052A">
        <w:t>he Northern Territory stand out with significant increase</w:t>
      </w:r>
      <w:r w:rsidR="00B842B5">
        <w:t>s</w:t>
      </w:r>
      <w:r w:rsidR="00B91E6C" w:rsidRPr="008B052A">
        <w:t xml:space="preserve"> in overnight trips forecast for 2025.</w:t>
      </w:r>
    </w:p>
    <w:p w14:paraId="5861F896" w14:textId="49ABB199" w:rsidR="00736F24" w:rsidRDefault="00736F24" w:rsidP="00736F24">
      <w:r w:rsidRPr="008B052A">
        <w:t>Over the full forecast period to 2030, growth in overnight trips is expected to vary modestly between states and territories. These differences reflect a mix of factors including each jurisdiction’s economic outlook</w:t>
      </w:r>
      <w:r w:rsidR="00731AFC">
        <w:t xml:space="preserve"> and projected</w:t>
      </w:r>
      <w:r w:rsidRPr="008B052A">
        <w:t xml:space="preserve"> population growth, a</w:t>
      </w:r>
      <w:r w:rsidR="00D81487">
        <w:t>s well as</w:t>
      </w:r>
      <w:r w:rsidRPr="008B052A">
        <w:t xml:space="preserve"> the composition of their visitor markets</w:t>
      </w:r>
      <w:r w:rsidR="00D81487">
        <w:t>. For example, the share of interstate versus intrastate travel varies across the states and territories, as does the share of visitors</w:t>
      </w:r>
      <w:r w:rsidR="005D1313">
        <w:t xml:space="preserve"> by reason for travel</w:t>
      </w:r>
      <w:r w:rsidR="00B83BB9">
        <w:t xml:space="preserve"> and </w:t>
      </w:r>
      <w:r w:rsidR="00D81487">
        <w:t xml:space="preserve">by </w:t>
      </w:r>
      <w:r w:rsidR="00B83BB9">
        <w:t>source destination</w:t>
      </w:r>
      <w:r w:rsidRPr="008B052A">
        <w:t>.</w:t>
      </w:r>
    </w:p>
    <w:p w14:paraId="17C6C0BC" w14:textId="77777777" w:rsidR="003F4559" w:rsidRPr="008B052A" w:rsidRDefault="003F4559" w:rsidP="00736F24"/>
    <w:p w14:paraId="0EEA8504" w14:textId="7CAC4277" w:rsidR="00600154" w:rsidRPr="008B052A" w:rsidRDefault="591F37A4" w:rsidP="00600154">
      <w:pPr>
        <w:pStyle w:val="Heading4"/>
      </w:pPr>
      <w:r w:rsidRPr="008B052A">
        <w:lastRenderedPageBreak/>
        <w:t>New South Wales</w:t>
      </w:r>
    </w:p>
    <w:p w14:paraId="0E1A6C35" w14:textId="39B872D7" w:rsidR="00BA548A" w:rsidRPr="008B052A" w:rsidRDefault="00AE68B6" w:rsidP="00245E86">
      <w:r w:rsidRPr="008B052A">
        <w:t xml:space="preserve">Domestic overnight trips in New South Wales are forecast to decline by </w:t>
      </w:r>
      <w:r w:rsidR="46DE2584" w:rsidRPr="008B052A">
        <w:t>0.4</w:t>
      </w:r>
      <w:r w:rsidRPr="008B052A">
        <w:t>% to 3</w:t>
      </w:r>
      <w:r w:rsidR="27B0FD19" w:rsidRPr="008B052A">
        <w:t>9.2</w:t>
      </w:r>
      <w:r w:rsidRPr="008B052A">
        <w:t xml:space="preserve"> million in 2025. A return to modest growth is expected from 2026, with increases of </w:t>
      </w:r>
      <w:r w:rsidR="5C0BC674" w:rsidRPr="008B052A">
        <w:t>1.3</w:t>
      </w:r>
      <w:r w:rsidRPr="008B052A">
        <w:t>% and 1.</w:t>
      </w:r>
      <w:r w:rsidR="3E54F8CA" w:rsidRPr="008B052A">
        <w:t>6</w:t>
      </w:r>
      <w:r w:rsidRPr="008B052A">
        <w:t xml:space="preserve">% in the following two years. Growth is forecast to peak at </w:t>
      </w:r>
      <w:r w:rsidR="60B35B1D" w:rsidRPr="008B052A">
        <w:t>2.0</w:t>
      </w:r>
      <w:r w:rsidRPr="008B052A">
        <w:t xml:space="preserve">% in 2028. Over the </w:t>
      </w:r>
      <w:r w:rsidR="00536A65">
        <w:t>5</w:t>
      </w:r>
      <w:r w:rsidRPr="008B052A">
        <w:t>-year forecast period, overnight trips are projected to grow at an average annual rate of 1.</w:t>
      </w:r>
      <w:r w:rsidR="7C838A63" w:rsidRPr="008B052A">
        <w:t>6</w:t>
      </w:r>
      <w:r w:rsidRPr="008B052A">
        <w:t>%, reaching 4</w:t>
      </w:r>
      <w:r w:rsidR="3C5ACB03" w:rsidRPr="008B052A">
        <w:t>2.6</w:t>
      </w:r>
      <w:r w:rsidR="00330F65">
        <w:t> </w:t>
      </w:r>
      <w:r w:rsidRPr="008B052A">
        <w:t>million by 2030</w:t>
      </w:r>
      <w:r w:rsidR="00E2084E" w:rsidRPr="008B052A">
        <w:t xml:space="preserve"> (Figure 11)</w:t>
      </w:r>
      <w:r w:rsidRPr="008B052A">
        <w:t>.</w:t>
      </w:r>
    </w:p>
    <w:p w14:paraId="17210B06" w14:textId="0A31ABF0" w:rsidR="00862C7F" w:rsidRDefault="00862C7F" w:rsidP="00862C7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0E2BD9">
        <w:t>D</w:t>
      </w:r>
      <w:r w:rsidR="005C246D">
        <w:t>o</w:t>
      </w:r>
      <w:r w:rsidR="000E2BD9">
        <w:t>TS</w:t>
      </w:r>
      <w:proofErr w:type="spellEnd"/>
      <w:r w:rsidR="000E2BD9">
        <w:t xml:space="preserve"> </w:t>
      </w:r>
      <w:r w:rsidRPr="008E36BB">
        <w:t xml:space="preserve">data by purpose of travel is </w:t>
      </w:r>
      <w:r w:rsidRPr="008E36BB" w:rsidDel="000E2BD9">
        <w:t xml:space="preserve">not </w:t>
      </w:r>
      <w:r w:rsidR="000E2BD9">
        <w:t>available</w:t>
      </w:r>
      <w:r w:rsidRPr="008E36BB">
        <w:t>.</w:t>
      </w:r>
    </w:p>
    <w:p w14:paraId="0DB43C8D" w14:textId="2E9DD44E" w:rsidR="00E2084E" w:rsidRPr="008B052A" w:rsidRDefault="00E2084E" w:rsidP="00120BDB">
      <w:pPr>
        <w:keepNext/>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11.</w:t>
      </w:r>
      <w:r w:rsidRPr="008B052A">
        <w:rPr>
          <w:rFonts w:eastAsia="Times New Roman" w:cs="Times New Roman"/>
          <w:color w:val="300050"/>
          <w:lang w:eastAsia="en-AU"/>
        </w:rPr>
        <w:t xml:space="preserve"> Domestic overnight trips in New South Wales and by purpose of trip.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3D4E4805" w14:textId="08553645" w:rsidR="00E26828" w:rsidRPr="008B052A" w:rsidRDefault="00A92016" w:rsidP="00135DB3">
      <w:pPr>
        <w:spacing w:line="240" w:lineRule="atLeast"/>
        <w:rPr>
          <w:rFonts w:eastAsia="Verdana" w:cs="Times New Roman"/>
          <w:color w:val="300050" w:themeColor="text2"/>
        </w:rPr>
      </w:pPr>
      <w:r w:rsidRPr="00A92016">
        <w:rPr>
          <w:rFonts w:eastAsia="Verdana" w:cs="Times New Roman"/>
          <w:color w:val="300050" w:themeColor="text2"/>
        </w:rPr>
        <w:t xml:space="preserve"> </w:t>
      </w:r>
      <w:r w:rsidR="00C20744" w:rsidRPr="00C20744">
        <w:rPr>
          <w:noProof/>
        </w:rPr>
        <w:drawing>
          <wp:inline distT="0" distB="0" distL="0" distR="0" wp14:anchorId="38BBF0CD" wp14:editId="0E18BC69">
            <wp:extent cx="6329680" cy="3571240"/>
            <wp:effectExtent l="0" t="0" r="0" b="0"/>
            <wp:docPr id="82201867" name="Picture 11" descr="Chart showing the projected path for the number of domestic overnight trips in New South Wales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1867" name="Picture 11" descr="Chart showing the projected path for the number of domestic overnight trips in New South Wales by purpose of trip.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6EBEF4E6" w14:textId="77777777" w:rsidR="003F4559" w:rsidRDefault="003F4559">
      <w:pPr>
        <w:spacing w:before="0" w:after="160" w:line="259" w:lineRule="auto"/>
        <w:rPr>
          <w:bCs/>
          <w:sz w:val="26"/>
          <w:szCs w:val="24"/>
        </w:rPr>
      </w:pPr>
      <w:bookmarkStart w:id="76" w:name="_Toc150846181"/>
      <w:bookmarkStart w:id="77" w:name="_Toc184632629"/>
      <w:r>
        <w:br w:type="page"/>
      </w:r>
    </w:p>
    <w:p w14:paraId="281D0716" w14:textId="7014F319" w:rsidR="002315BF" w:rsidRPr="008B052A" w:rsidRDefault="00AB40DA" w:rsidP="002315BF">
      <w:pPr>
        <w:pStyle w:val="Heading4"/>
      </w:pPr>
      <w:r w:rsidRPr="008B052A">
        <w:lastRenderedPageBreak/>
        <w:t>Victoria</w:t>
      </w:r>
    </w:p>
    <w:p w14:paraId="12BCA18D" w14:textId="51F87193" w:rsidR="00CA64FD" w:rsidRPr="008B052A" w:rsidRDefault="541EA985" w:rsidP="002315BF">
      <w:r w:rsidRPr="008B052A">
        <w:t xml:space="preserve">Overnight trips </w:t>
      </w:r>
      <w:r w:rsidR="00274992">
        <w:t>in</w:t>
      </w:r>
      <w:r w:rsidR="00274992" w:rsidRPr="008B052A">
        <w:t xml:space="preserve"> </w:t>
      </w:r>
      <w:r w:rsidRPr="008B052A">
        <w:t xml:space="preserve">Victoria are forecast to </w:t>
      </w:r>
      <w:r w:rsidR="0B67F0A4" w:rsidRPr="008B052A">
        <w:t>increase marginally</w:t>
      </w:r>
      <w:r w:rsidRPr="008B052A">
        <w:t xml:space="preserve"> </w:t>
      </w:r>
      <w:r w:rsidR="6647A0B9" w:rsidRPr="008B052A">
        <w:t>by 0.4% to 31</w:t>
      </w:r>
      <w:r w:rsidR="33E60C04" w:rsidRPr="008B052A">
        <w:t>.</w:t>
      </w:r>
      <w:r w:rsidR="6647A0B9" w:rsidRPr="008B052A">
        <w:t xml:space="preserve">4 million </w:t>
      </w:r>
      <w:r w:rsidRPr="008B052A">
        <w:t>in 2025. Growth is expected to pick up gradually from 2026, with stronger gains anticipated from 2028 onwards. This is supported by Victoria’s comparatively high projected population growth. By 2030, overnight trips are forecast to reach 3</w:t>
      </w:r>
      <w:r w:rsidR="74FA8D47" w:rsidRPr="008B052A">
        <w:t>4</w:t>
      </w:r>
      <w:r w:rsidR="00274992">
        <w:t>.</w:t>
      </w:r>
      <w:r w:rsidR="74FA8D47" w:rsidRPr="008B052A">
        <w:t>1</w:t>
      </w:r>
      <w:r w:rsidRPr="008B052A">
        <w:t xml:space="preserve"> million, reflecting an average annual growth rate of 1.</w:t>
      </w:r>
      <w:r w:rsidR="4710D916" w:rsidRPr="008B052A">
        <w:t>7</w:t>
      </w:r>
      <w:r w:rsidRPr="008B052A">
        <w:t>% over the forecast period.</w:t>
      </w:r>
    </w:p>
    <w:p w14:paraId="7B3891A3" w14:textId="5FB67886" w:rsidR="00862C7F" w:rsidRDefault="00862C7F" w:rsidP="00862C7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531F81">
        <w:t>DoTS</w:t>
      </w:r>
      <w:proofErr w:type="spellEnd"/>
      <w:r w:rsidR="00531F81">
        <w:t xml:space="preserve"> data</w:t>
      </w:r>
      <w:r w:rsidR="00531F81" w:rsidRPr="008E36BB">
        <w:t xml:space="preserve"> </w:t>
      </w:r>
      <w:r w:rsidRPr="008E36BB">
        <w:t xml:space="preserve">by purpose of travel is not </w:t>
      </w:r>
      <w:r w:rsidR="00531F81">
        <w:t>available</w:t>
      </w:r>
      <w:r w:rsidRPr="008E36BB">
        <w:t>.</w:t>
      </w:r>
    </w:p>
    <w:p w14:paraId="216AAFF4" w14:textId="763A91FB" w:rsidR="00A44266" w:rsidRPr="008B052A" w:rsidRDefault="00A44266" w:rsidP="003F4559">
      <w:pPr>
        <w:keepNext/>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12.</w:t>
      </w:r>
      <w:r w:rsidRPr="008B052A">
        <w:rPr>
          <w:rFonts w:eastAsia="Times New Roman" w:cs="Times New Roman"/>
          <w:color w:val="300050"/>
          <w:lang w:eastAsia="en-AU"/>
        </w:rPr>
        <w:t xml:space="preserve"> Domestic overnight trips in Victoria and by purpose of trip.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3AAE6585" w14:textId="3353CD1C" w:rsidR="00350C9C" w:rsidRPr="008B052A" w:rsidRDefault="00FB5003" w:rsidP="00421EB4">
      <w:pPr>
        <w:spacing w:line="240" w:lineRule="atLeast"/>
      </w:pPr>
      <w:r w:rsidRPr="00FB5003">
        <w:rPr>
          <w:noProof/>
        </w:rPr>
        <w:drawing>
          <wp:inline distT="0" distB="0" distL="0" distR="0" wp14:anchorId="666E4803" wp14:editId="727DAE1C">
            <wp:extent cx="6329680" cy="3571240"/>
            <wp:effectExtent l="0" t="0" r="0" b="0"/>
            <wp:docPr id="1388715589" name="Picture 12" descr="Chart showing the projected path for the number of domestic overnight trips in Victoria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15589" name="Picture 12" descr="Chart showing the projected path for the number of domestic overnight trips in Victoria by purpose of trip.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61B8C407" w14:textId="77777777" w:rsidR="003B750C" w:rsidRPr="008B052A" w:rsidRDefault="003B750C">
      <w:pPr>
        <w:spacing w:before="0" w:after="160" w:line="259" w:lineRule="auto"/>
        <w:rPr>
          <w:bCs/>
          <w:sz w:val="26"/>
          <w:szCs w:val="24"/>
        </w:rPr>
      </w:pPr>
      <w:r w:rsidRPr="008B052A">
        <w:br w:type="page"/>
      </w:r>
    </w:p>
    <w:p w14:paraId="66F05D0D" w14:textId="440A7F0C" w:rsidR="002315BF" w:rsidRPr="008B052A" w:rsidRDefault="000931FC" w:rsidP="002315BF">
      <w:pPr>
        <w:pStyle w:val="Heading4"/>
      </w:pPr>
      <w:r w:rsidRPr="008B052A">
        <w:lastRenderedPageBreak/>
        <w:t>Queensland</w:t>
      </w:r>
    </w:p>
    <w:p w14:paraId="27915566" w14:textId="03D8E026" w:rsidR="00153461" w:rsidRPr="008B052A" w:rsidRDefault="7916AB1F" w:rsidP="002315BF">
      <w:r w:rsidRPr="008B052A">
        <w:t>Queensland is forecast to record 26 million overnight trips in 2025</w:t>
      </w:r>
      <w:r w:rsidR="00B73B45">
        <w:t>. This represents an increase of</w:t>
      </w:r>
      <w:r w:rsidRPr="008B052A">
        <w:t xml:space="preserve"> 0</w:t>
      </w:r>
      <w:r w:rsidR="2CD1EDA8" w:rsidRPr="008B052A">
        <w:t>.4</w:t>
      </w:r>
      <w:r w:rsidRPr="008B052A">
        <w:t>% from the previous year</w:t>
      </w:r>
      <w:r w:rsidR="007924F2">
        <w:t xml:space="preserve">, </w:t>
      </w:r>
      <w:r w:rsidR="007924F2" w:rsidRPr="007924F2">
        <w:t xml:space="preserve">despite a significant impact on travel to the popular southeast region of the state </w:t>
      </w:r>
      <w:proofErr w:type="gramStart"/>
      <w:r w:rsidR="009658C5">
        <w:t>as a result of</w:t>
      </w:r>
      <w:proofErr w:type="gramEnd"/>
      <w:r w:rsidR="00A24963">
        <w:t xml:space="preserve"> Tropical</w:t>
      </w:r>
      <w:r w:rsidR="009658C5" w:rsidRPr="007924F2">
        <w:t xml:space="preserve"> </w:t>
      </w:r>
      <w:r w:rsidR="007924F2" w:rsidRPr="007924F2">
        <w:t>Cyclone Alfred</w:t>
      </w:r>
      <w:r w:rsidR="00D30E1F">
        <w:t xml:space="preserve"> </w:t>
      </w:r>
      <w:r w:rsidR="007924F2" w:rsidRPr="007924F2">
        <w:t>in March</w:t>
      </w:r>
      <w:r w:rsidR="00D30E1F">
        <w:t xml:space="preserve"> 2025</w:t>
      </w:r>
      <w:r w:rsidR="00153461" w:rsidRPr="00153461">
        <w:t>.</w:t>
      </w:r>
      <w:r w:rsidRPr="008B052A">
        <w:t xml:space="preserve"> </w:t>
      </w:r>
      <w:r w:rsidR="00856260">
        <w:t>Growth in d</w:t>
      </w:r>
      <w:r w:rsidR="00E74A53">
        <w:t xml:space="preserve">omestic overnight trips </w:t>
      </w:r>
      <w:r w:rsidR="00515FC0">
        <w:t>to</w:t>
      </w:r>
      <w:r w:rsidR="00E74A53">
        <w:t xml:space="preserve"> Queensland </w:t>
      </w:r>
      <w:r w:rsidR="00515FC0">
        <w:t>is expected</w:t>
      </w:r>
      <w:r w:rsidR="00E74A53">
        <w:t xml:space="preserve"> to </w:t>
      </w:r>
      <w:r w:rsidR="002C4EC7">
        <w:t>strengthen</w:t>
      </w:r>
      <w:r w:rsidR="000B1B1B">
        <w:t xml:space="preserve"> in </w:t>
      </w:r>
      <w:r w:rsidR="004070A8">
        <w:t>subsequent years</w:t>
      </w:r>
      <w:r w:rsidR="009865A4">
        <w:t xml:space="preserve">. </w:t>
      </w:r>
      <w:r w:rsidR="003E7A68">
        <w:t xml:space="preserve">Domestic overnight trips to Queensland are forecast </w:t>
      </w:r>
      <w:r w:rsidR="002C4EC7">
        <w:t xml:space="preserve">to </w:t>
      </w:r>
      <w:r w:rsidR="003E7A68">
        <w:t xml:space="preserve">increase </w:t>
      </w:r>
      <w:r w:rsidR="004070A8">
        <w:t xml:space="preserve">by 1.9% </w:t>
      </w:r>
      <w:r w:rsidRPr="008B052A">
        <w:t xml:space="preserve">in 2026 and </w:t>
      </w:r>
      <w:r w:rsidR="002C4EC7">
        <w:t>by 2.1% in</w:t>
      </w:r>
      <w:r w:rsidRPr="008B052A">
        <w:t xml:space="preserve"> 2028</w:t>
      </w:r>
      <w:r w:rsidR="00FB41D2">
        <w:t xml:space="preserve">. </w:t>
      </w:r>
      <w:r w:rsidRPr="008B052A">
        <w:t>Supported by a strong state economy, Queensland’s overnight trips are projected to grow at an average annual rate of 1.</w:t>
      </w:r>
      <w:r w:rsidR="33450379" w:rsidRPr="008B052A">
        <w:t>8</w:t>
      </w:r>
      <w:r w:rsidRPr="008B052A">
        <w:t xml:space="preserve">% over the next </w:t>
      </w:r>
      <w:r w:rsidR="00925968">
        <w:t>5</w:t>
      </w:r>
      <w:r w:rsidR="00925968" w:rsidRPr="008B052A">
        <w:t xml:space="preserve"> </w:t>
      </w:r>
      <w:r w:rsidRPr="008B052A">
        <w:t>years, reaching 2</w:t>
      </w:r>
      <w:r w:rsidR="4C63E3FD" w:rsidRPr="008B052A">
        <w:t>8.5</w:t>
      </w:r>
      <w:r w:rsidRPr="008B052A">
        <w:t xml:space="preserve"> million by 2030.</w:t>
      </w:r>
    </w:p>
    <w:p w14:paraId="68EAF236" w14:textId="662CE9BC" w:rsidR="00862C7F" w:rsidRDefault="00862C7F" w:rsidP="00862C7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45133C">
        <w:t>DoTS</w:t>
      </w:r>
      <w:proofErr w:type="spellEnd"/>
      <w:r w:rsidR="0045133C">
        <w:t xml:space="preserve"> </w:t>
      </w:r>
      <w:r w:rsidRPr="008E36BB">
        <w:t xml:space="preserve">data by purpose of travel is not </w:t>
      </w:r>
      <w:r w:rsidR="0045133C">
        <w:t>available</w:t>
      </w:r>
      <w:r w:rsidRPr="008E36BB">
        <w:t>.</w:t>
      </w:r>
    </w:p>
    <w:p w14:paraId="70AC17FF" w14:textId="640FB40D" w:rsidR="00EF6991" w:rsidRPr="008B052A" w:rsidRDefault="00EF6991" w:rsidP="0067019B">
      <w:pPr>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13.</w:t>
      </w:r>
      <w:r w:rsidRPr="008B052A">
        <w:rPr>
          <w:rFonts w:eastAsia="Times New Roman" w:cs="Times New Roman"/>
          <w:color w:val="300050"/>
          <w:lang w:eastAsia="en-AU"/>
        </w:rPr>
        <w:t xml:space="preserve"> Domestic overnight trips in Queensland and by purpose of trip.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7FD626B4" w14:textId="2DC59EFB" w:rsidR="00350C9C" w:rsidRPr="008B052A" w:rsidRDefault="00AF72AC" w:rsidP="009746B4">
      <w:pPr>
        <w:spacing w:line="240" w:lineRule="atLeast"/>
      </w:pPr>
      <w:r w:rsidRPr="00AF72AC">
        <w:rPr>
          <w:noProof/>
        </w:rPr>
        <w:drawing>
          <wp:inline distT="0" distB="0" distL="0" distR="0" wp14:anchorId="76D9F151" wp14:editId="34EC261D">
            <wp:extent cx="6329680" cy="3571240"/>
            <wp:effectExtent l="0" t="0" r="0" b="0"/>
            <wp:docPr id="1038863375" name="Picture 13" descr="Chart showing the projected path for the number of domestic overnight trips in Queensland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63375" name="Picture 13" descr="Chart showing the projected path for the number of domestic overnight trips in Queensland by purpose of trip.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3062B0F0" w14:textId="77777777" w:rsidR="003B750C" w:rsidRPr="008B052A" w:rsidRDefault="003B750C">
      <w:pPr>
        <w:spacing w:before="0" w:after="160" w:line="259" w:lineRule="auto"/>
        <w:rPr>
          <w:bCs/>
          <w:sz w:val="26"/>
          <w:szCs w:val="24"/>
        </w:rPr>
      </w:pPr>
      <w:r w:rsidRPr="008B052A">
        <w:br w:type="page"/>
      </w:r>
    </w:p>
    <w:p w14:paraId="7C0ABA7D" w14:textId="6D5D53BF" w:rsidR="002315BF" w:rsidRPr="008B052A" w:rsidRDefault="001D59EB" w:rsidP="002315BF">
      <w:pPr>
        <w:pStyle w:val="Heading4"/>
      </w:pPr>
      <w:r w:rsidRPr="008B052A">
        <w:lastRenderedPageBreak/>
        <w:t>South Australia</w:t>
      </w:r>
    </w:p>
    <w:p w14:paraId="42A14C57" w14:textId="34B6B569" w:rsidR="002315BF" w:rsidRPr="008B052A" w:rsidRDefault="140F7B23" w:rsidP="002315BF">
      <w:r w:rsidRPr="008B052A">
        <w:t>In 2025, overnight trips</w:t>
      </w:r>
      <w:r w:rsidRPr="008B052A" w:rsidDel="00227CE4">
        <w:t xml:space="preserve"> </w:t>
      </w:r>
      <w:r w:rsidR="00227CE4">
        <w:t>in</w:t>
      </w:r>
      <w:r w:rsidRPr="008B052A">
        <w:t xml:space="preserve"> South Australia are forecast to decline by </w:t>
      </w:r>
      <w:r w:rsidR="11DB43F7" w:rsidRPr="008B052A">
        <w:t>0.9</w:t>
      </w:r>
      <w:r w:rsidRPr="008B052A">
        <w:t>% to 7.8 million. Modest growth is expected to follow, with increases of 0.8% in 2026 and 1.</w:t>
      </w:r>
      <w:r w:rsidR="718934F5" w:rsidRPr="008B052A">
        <w:t>4</w:t>
      </w:r>
      <w:r w:rsidRPr="008B052A">
        <w:t>% in 2027. Growth is forecast to peak at 1.</w:t>
      </w:r>
      <w:r w:rsidR="681C67E5" w:rsidRPr="008B052A">
        <w:t>8</w:t>
      </w:r>
      <w:r w:rsidRPr="008B052A">
        <w:t>% in 2028. Over the forecast period, overnight trips are expected to grow at an average annual rate of 1.</w:t>
      </w:r>
      <w:r w:rsidR="1C679652" w:rsidRPr="008B052A">
        <w:t>4</w:t>
      </w:r>
      <w:r w:rsidRPr="008B052A">
        <w:t>%, reaching 8.</w:t>
      </w:r>
      <w:r w:rsidR="55F54706" w:rsidRPr="008B052A">
        <w:t>4</w:t>
      </w:r>
      <w:r w:rsidRPr="008B052A">
        <w:t xml:space="preserve"> million by 2030.</w:t>
      </w:r>
    </w:p>
    <w:p w14:paraId="2066C233" w14:textId="6BC22EA2" w:rsidR="009B2068" w:rsidRPr="008B052A" w:rsidRDefault="009B2068" w:rsidP="002315B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9B00C4">
        <w:t>DoTS</w:t>
      </w:r>
      <w:proofErr w:type="spellEnd"/>
      <w:r w:rsidR="009B00C4">
        <w:t xml:space="preserve"> </w:t>
      </w:r>
      <w:r w:rsidRPr="008E36BB">
        <w:t xml:space="preserve">data by purpose of travel is </w:t>
      </w:r>
      <w:r w:rsidR="009B00C4">
        <w:t>not available</w:t>
      </w:r>
      <w:r w:rsidRPr="008E36BB">
        <w:t>.</w:t>
      </w:r>
    </w:p>
    <w:p w14:paraId="73D3AAE0" w14:textId="15137BD6" w:rsidR="00280969" w:rsidRPr="008B052A" w:rsidRDefault="00280969" w:rsidP="0067019B">
      <w:pPr>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14.</w:t>
      </w:r>
      <w:r w:rsidRPr="008B052A">
        <w:rPr>
          <w:rFonts w:eastAsia="Times New Roman" w:cs="Times New Roman"/>
          <w:color w:val="300050"/>
          <w:lang w:eastAsia="en-AU"/>
        </w:rPr>
        <w:t xml:space="preserve"> Domestic overnight trips in South Australia and by purpose of trip.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1EA57CE8" w14:textId="7D692124" w:rsidR="00DC6AB8" w:rsidRPr="008B052A" w:rsidRDefault="004C038F" w:rsidP="004D1EE1">
      <w:pPr>
        <w:spacing w:line="240" w:lineRule="atLeast"/>
      </w:pPr>
      <w:r w:rsidRPr="004C038F">
        <w:rPr>
          <w:noProof/>
        </w:rPr>
        <w:drawing>
          <wp:inline distT="0" distB="0" distL="0" distR="0" wp14:anchorId="7C6E1E00" wp14:editId="0BB6A256">
            <wp:extent cx="6329680" cy="3571240"/>
            <wp:effectExtent l="0" t="0" r="0" b="0"/>
            <wp:docPr id="947826392" name="Picture 14" descr="Chart showing the projected path for the number of domestic overnight trips in South Australia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26392" name="Picture 14" descr="Chart showing the projected path for the number of domestic overnight trips in South Australia by purpose of trip.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26D016B9" w14:textId="7CD92E2D" w:rsidR="00C74C0D" w:rsidRPr="008B052A" w:rsidRDefault="00C74C0D">
      <w:pPr>
        <w:spacing w:before="0" w:after="160" w:line="259" w:lineRule="auto"/>
      </w:pPr>
      <w:r w:rsidRPr="008B052A">
        <w:br w:type="page"/>
      </w:r>
    </w:p>
    <w:p w14:paraId="10B67A5B" w14:textId="735DE0A1" w:rsidR="002315BF" w:rsidRPr="008B052A" w:rsidRDefault="0006618E" w:rsidP="002315BF">
      <w:pPr>
        <w:pStyle w:val="Heading4"/>
      </w:pPr>
      <w:r w:rsidRPr="008B052A">
        <w:lastRenderedPageBreak/>
        <w:t>Western Australia</w:t>
      </w:r>
    </w:p>
    <w:p w14:paraId="4380C010" w14:textId="321BC1AF" w:rsidR="002315BF" w:rsidRPr="008B052A" w:rsidRDefault="10F5600B" w:rsidP="002315BF">
      <w:r w:rsidRPr="008B052A">
        <w:t xml:space="preserve">Domestic overnight trips in Western Australia are forecast to increase by </w:t>
      </w:r>
      <w:r w:rsidR="6CF637EF" w:rsidRPr="008B052A">
        <w:t>2.5</w:t>
      </w:r>
      <w:r w:rsidRPr="008B052A">
        <w:t xml:space="preserve">% to </w:t>
      </w:r>
      <w:r w:rsidR="53645431" w:rsidRPr="008B052A">
        <w:t>10</w:t>
      </w:r>
      <w:r w:rsidRPr="008B052A">
        <w:t xml:space="preserve"> million in 2025. The state’s strong economic performance, high levels of interstate migration, and a large intrastate travel market are expected to support continued growth. Forecasts indicate growth </w:t>
      </w:r>
      <w:r w:rsidR="00694AAA">
        <w:t>of</w:t>
      </w:r>
      <w:r w:rsidRPr="008B052A">
        <w:t xml:space="preserve"> </w:t>
      </w:r>
      <w:r w:rsidR="00527D5C">
        <w:t xml:space="preserve">1.5% </w:t>
      </w:r>
      <w:r w:rsidRPr="008B052A">
        <w:t xml:space="preserve">in 2026 and </w:t>
      </w:r>
      <w:r w:rsidR="00527D5C">
        <w:t xml:space="preserve">1.9% in </w:t>
      </w:r>
      <w:r w:rsidRPr="008B052A">
        <w:t>2027 before moderating later in the period. Overall, overnight trips are projected to grow at an average annual rate of 1.</w:t>
      </w:r>
      <w:r w:rsidR="0BE6116C" w:rsidRPr="008B052A">
        <w:t>8</w:t>
      </w:r>
      <w:r w:rsidRPr="008B052A">
        <w:t xml:space="preserve">% over the next </w:t>
      </w:r>
      <w:r w:rsidR="00917B1F">
        <w:t>5</w:t>
      </w:r>
      <w:r w:rsidR="00917B1F" w:rsidRPr="008B052A">
        <w:t xml:space="preserve"> </w:t>
      </w:r>
      <w:r w:rsidRPr="008B052A">
        <w:t>years, reaching 10.</w:t>
      </w:r>
      <w:r w:rsidR="7BD7DDE7" w:rsidRPr="008B052A">
        <w:t>9</w:t>
      </w:r>
      <w:r w:rsidRPr="008B052A">
        <w:t xml:space="preserve"> million by 2030.</w:t>
      </w:r>
    </w:p>
    <w:p w14:paraId="483A74BF" w14:textId="06E99CC8" w:rsidR="00BE2CD0" w:rsidRPr="008B052A" w:rsidRDefault="00BE2CD0" w:rsidP="002315B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E33E2C">
        <w:t>DoTS</w:t>
      </w:r>
      <w:proofErr w:type="spellEnd"/>
      <w:r w:rsidR="00E33E2C">
        <w:t xml:space="preserve"> </w:t>
      </w:r>
      <w:r w:rsidRPr="008E36BB">
        <w:t xml:space="preserve">data by purpose of travel is </w:t>
      </w:r>
      <w:r w:rsidR="00E33E2C">
        <w:t>not available</w:t>
      </w:r>
      <w:r w:rsidRPr="008E36BB">
        <w:t>.</w:t>
      </w:r>
    </w:p>
    <w:p w14:paraId="22488AD1" w14:textId="4A946A59" w:rsidR="005D50D0" w:rsidRPr="008B052A" w:rsidRDefault="005D50D0" w:rsidP="0067019B">
      <w:pPr>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15.</w:t>
      </w:r>
      <w:r w:rsidRPr="008B052A">
        <w:rPr>
          <w:rFonts w:eastAsia="Times New Roman" w:cs="Times New Roman"/>
          <w:color w:val="300050"/>
          <w:lang w:eastAsia="en-AU"/>
        </w:rPr>
        <w:t xml:space="preserve"> Domestic overnight trips in Western Australia and by purpose of trip. </w:t>
      </w:r>
      <w:r w:rsidR="00B1013E">
        <w:rPr>
          <w:rFonts w:eastAsia="Times New Roman" w:cs="Times New Roman"/>
          <w:color w:val="300050"/>
          <w:lang w:eastAsia="en-AU"/>
        </w:rPr>
        <w:t>Reported</w:t>
      </w:r>
      <w:r w:rsidRPr="008B052A">
        <w:rPr>
          <w:rFonts w:eastAsia="Times New Roman" w:cs="Times New Roman"/>
          <w:color w:val="300050"/>
          <w:lang w:eastAsia="en-AU"/>
        </w:rPr>
        <w:t xml:space="preserve"> values to 2024, forecast values from 2025 onwards.</w:t>
      </w:r>
    </w:p>
    <w:p w14:paraId="74991136" w14:textId="0C7C2448" w:rsidR="00350C9C" w:rsidRPr="008B052A" w:rsidRDefault="00E42000" w:rsidP="0064451A">
      <w:pPr>
        <w:spacing w:line="240" w:lineRule="atLeast"/>
      </w:pPr>
      <w:r w:rsidRPr="00E42000">
        <w:rPr>
          <w:noProof/>
        </w:rPr>
        <w:drawing>
          <wp:inline distT="0" distB="0" distL="0" distR="0" wp14:anchorId="1BDD9D43" wp14:editId="48D47325">
            <wp:extent cx="6329680" cy="3571240"/>
            <wp:effectExtent l="0" t="0" r="0" b="0"/>
            <wp:docPr id="1449597215" name="Picture 16" descr="Chart showing the projected path for the number of domestic overnight trips in Western Australia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97215" name="Picture 16" descr="Chart showing the projected path for the number of domestic overnight trips in Western Australia by purpose of trip.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4FC61D26" w14:textId="77777777" w:rsidR="00C74C0D" w:rsidRPr="008B052A" w:rsidRDefault="00C74C0D">
      <w:pPr>
        <w:spacing w:before="0" w:after="160" w:line="259" w:lineRule="auto"/>
        <w:rPr>
          <w:bCs/>
          <w:sz w:val="26"/>
          <w:szCs w:val="24"/>
        </w:rPr>
      </w:pPr>
      <w:r w:rsidRPr="008B052A">
        <w:br w:type="page"/>
      </w:r>
    </w:p>
    <w:p w14:paraId="7C5FA98C" w14:textId="55699D58" w:rsidR="002315BF" w:rsidRPr="008B052A" w:rsidRDefault="00350C9C" w:rsidP="002315BF">
      <w:pPr>
        <w:pStyle w:val="Heading4"/>
      </w:pPr>
      <w:r w:rsidRPr="008B052A">
        <w:lastRenderedPageBreak/>
        <w:t>Tasmania</w:t>
      </w:r>
    </w:p>
    <w:p w14:paraId="7CF84E86" w14:textId="12C28888" w:rsidR="002315BF" w:rsidRPr="008B052A" w:rsidRDefault="492FCA58" w:rsidP="002315BF">
      <w:r w:rsidRPr="008B052A">
        <w:t xml:space="preserve">Overnight trips </w:t>
      </w:r>
      <w:r w:rsidR="000C7DED">
        <w:t>in</w:t>
      </w:r>
      <w:r w:rsidR="000C7DED" w:rsidRPr="008B052A">
        <w:t xml:space="preserve"> </w:t>
      </w:r>
      <w:r w:rsidRPr="008B052A">
        <w:t xml:space="preserve">Tasmania are forecast to remain </w:t>
      </w:r>
      <w:r w:rsidR="000C7DED">
        <w:t xml:space="preserve">relatively </w:t>
      </w:r>
      <w:r w:rsidRPr="008B052A">
        <w:t>steady in 2025, increasing slightly by 0.</w:t>
      </w:r>
      <w:r w:rsidR="46EE6C61" w:rsidRPr="008B052A">
        <w:t>2</w:t>
      </w:r>
      <w:r w:rsidRPr="008B052A">
        <w:t>% to 3.0 million. Growth is expected to strengthen modestly in the following years, peaking at 1.</w:t>
      </w:r>
      <w:r w:rsidR="3E5A890E" w:rsidRPr="008B052A">
        <w:t>7</w:t>
      </w:r>
      <w:r w:rsidRPr="008B052A">
        <w:t>% in 2028. By 2030, overnight trips to Tasmania are forecast to reach 3.2 million, with an average annual growth rate of 1.</w:t>
      </w:r>
      <w:r w:rsidR="04FA5A72" w:rsidRPr="008B052A">
        <w:t>3</w:t>
      </w:r>
      <w:r w:rsidRPr="008B052A">
        <w:t>% over the forecast period.</w:t>
      </w:r>
      <w:r w:rsidR="00F775DC">
        <w:t xml:space="preserve"> </w:t>
      </w:r>
      <w:r w:rsidR="00C76462">
        <w:t>Th</w:t>
      </w:r>
      <w:r w:rsidR="00943C82">
        <w:t xml:space="preserve">is is </w:t>
      </w:r>
      <w:r w:rsidR="0020225A">
        <w:t xml:space="preserve">less than the </w:t>
      </w:r>
      <w:r w:rsidR="00D243D6">
        <w:t xml:space="preserve">national average rate </w:t>
      </w:r>
      <w:r w:rsidR="006C7ACB">
        <w:t xml:space="preserve">of increase </w:t>
      </w:r>
      <w:r w:rsidR="00D243D6">
        <w:t xml:space="preserve">due to </w:t>
      </w:r>
      <w:r w:rsidR="000321B6">
        <w:t xml:space="preserve">Tasmania’s </w:t>
      </w:r>
      <w:r w:rsidR="00C03780">
        <w:t xml:space="preserve">modest </w:t>
      </w:r>
      <w:r w:rsidR="000321B6">
        <w:t xml:space="preserve">projected rate of population growth and </w:t>
      </w:r>
      <w:r w:rsidR="00C63A58">
        <w:t xml:space="preserve">higher reliance on interstate </w:t>
      </w:r>
      <w:r w:rsidR="00411538">
        <w:t xml:space="preserve">travel </w:t>
      </w:r>
      <w:r w:rsidR="0087742E">
        <w:t xml:space="preserve">than </w:t>
      </w:r>
      <w:r w:rsidR="00BA3266">
        <w:t>most</w:t>
      </w:r>
      <w:r w:rsidR="0087742E">
        <w:t xml:space="preserve"> </w:t>
      </w:r>
      <w:r w:rsidR="00E12004">
        <w:t>states and territories.</w:t>
      </w:r>
      <w:r w:rsidR="00797BF6">
        <w:t xml:space="preserve"> </w:t>
      </w:r>
      <w:r w:rsidR="00C105FF">
        <w:t xml:space="preserve"> </w:t>
      </w:r>
    </w:p>
    <w:p w14:paraId="4CA9487D" w14:textId="0173E8E2" w:rsidR="000C7DED" w:rsidRPr="008B052A" w:rsidRDefault="000C7DED" w:rsidP="002315B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526DD1">
        <w:t>DoTS</w:t>
      </w:r>
      <w:proofErr w:type="spellEnd"/>
      <w:r w:rsidR="00526DD1">
        <w:t xml:space="preserve"> </w:t>
      </w:r>
      <w:r w:rsidRPr="008E36BB">
        <w:t xml:space="preserve">data by purpose of travel is </w:t>
      </w:r>
      <w:r w:rsidR="00526DD1">
        <w:t>not available</w:t>
      </w:r>
      <w:r w:rsidRPr="008E36BB">
        <w:t>.</w:t>
      </w:r>
    </w:p>
    <w:p w14:paraId="118736C6" w14:textId="049179A9" w:rsidR="006E030A" w:rsidRPr="008B052A" w:rsidRDefault="006E030A" w:rsidP="0067019B">
      <w:pPr>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16.</w:t>
      </w:r>
      <w:r w:rsidRPr="008B052A">
        <w:rPr>
          <w:rFonts w:eastAsia="Times New Roman" w:cs="Times New Roman"/>
          <w:color w:val="300050"/>
          <w:lang w:eastAsia="en-AU"/>
        </w:rPr>
        <w:t xml:space="preserve"> Domestic overnight trips in Tasmania and by purpose of trip. </w:t>
      </w:r>
      <w:r w:rsidR="00B1013E">
        <w:rPr>
          <w:rFonts w:eastAsia="Times New Roman" w:cs="Times New Roman"/>
          <w:color w:val="300050"/>
          <w:lang w:eastAsia="en-AU"/>
        </w:rPr>
        <w:t>Reported</w:t>
      </w:r>
      <w:r w:rsidR="00B1013E" w:rsidRPr="008B052A">
        <w:rPr>
          <w:rFonts w:eastAsia="Times New Roman" w:cs="Times New Roman"/>
          <w:color w:val="300050"/>
          <w:lang w:eastAsia="en-AU"/>
        </w:rPr>
        <w:t xml:space="preserve"> </w:t>
      </w:r>
      <w:r w:rsidRPr="008B052A">
        <w:rPr>
          <w:rFonts w:eastAsia="Times New Roman" w:cs="Times New Roman"/>
          <w:color w:val="300050"/>
          <w:lang w:eastAsia="en-AU"/>
        </w:rPr>
        <w:t>values to 2024, forecast values from 2025 onwards.</w:t>
      </w:r>
    </w:p>
    <w:p w14:paraId="46A42F19" w14:textId="1999A9B6" w:rsidR="003B750C" w:rsidRPr="008B052A" w:rsidRDefault="00F41524" w:rsidP="001B14AE">
      <w:pPr>
        <w:spacing w:line="240" w:lineRule="atLeast"/>
        <w:rPr>
          <w:bCs/>
          <w:sz w:val="26"/>
          <w:szCs w:val="24"/>
        </w:rPr>
      </w:pPr>
      <w:r w:rsidRPr="00F41524">
        <w:rPr>
          <w:noProof/>
        </w:rPr>
        <w:drawing>
          <wp:inline distT="0" distB="0" distL="0" distR="0" wp14:anchorId="518DBA11" wp14:editId="695A7CDC">
            <wp:extent cx="6329680" cy="3571240"/>
            <wp:effectExtent l="0" t="0" r="0" b="0"/>
            <wp:docPr id="205586097" name="Picture 17" descr="Chart showing the projected path for the number of domestic overnight trips in Tasmania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6097" name="Picture 17" descr="Chart showing the projected path for the number of domestic overnight trips in Tasmania by purpose of trip.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39A23950" w14:textId="77777777" w:rsidR="00C74C0D" w:rsidRPr="008B052A" w:rsidRDefault="00C74C0D">
      <w:pPr>
        <w:spacing w:before="0" w:after="160" w:line="259" w:lineRule="auto"/>
        <w:rPr>
          <w:bCs/>
          <w:sz w:val="26"/>
          <w:szCs w:val="24"/>
        </w:rPr>
      </w:pPr>
      <w:r w:rsidRPr="008B052A">
        <w:br w:type="page"/>
      </w:r>
    </w:p>
    <w:p w14:paraId="48B3A4EE" w14:textId="7E590F05" w:rsidR="002315BF" w:rsidRPr="008B052A" w:rsidRDefault="004D3BE0" w:rsidP="002315BF">
      <w:pPr>
        <w:pStyle w:val="Heading4"/>
      </w:pPr>
      <w:r w:rsidRPr="008B052A">
        <w:lastRenderedPageBreak/>
        <w:t>Northern Territory</w:t>
      </w:r>
    </w:p>
    <w:p w14:paraId="2ECB2650" w14:textId="2D8558E7" w:rsidR="002315BF" w:rsidRPr="008B052A" w:rsidRDefault="0B3B0792" w:rsidP="002315BF">
      <w:r w:rsidRPr="008B052A">
        <w:t xml:space="preserve">The Northern Territory is forecast to see a </w:t>
      </w:r>
      <w:r w:rsidR="001D7F6B">
        <w:t>material</w:t>
      </w:r>
      <w:r w:rsidR="001D7F6B" w:rsidRPr="008B052A">
        <w:t xml:space="preserve"> </w:t>
      </w:r>
      <w:r w:rsidRPr="008B052A">
        <w:t xml:space="preserve">increase in overnight trips in 2025, </w:t>
      </w:r>
      <w:r w:rsidR="00215A3A">
        <w:t xml:space="preserve">rising by </w:t>
      </w:r>
      <w:r w:rsidR="008B1234">
        <w:t>19</w:t>
      </w:r>
      <w:r w:rsidR="00215A3A">
        <w:t xml:space="preserve">% to </w:t>
      </w:r>
      <w:r w:rsidRPr="008B052A">
        <w:t xml:space="preserve">reach 1.0 million. </w:t>
      </w:r>
      <w:r w:rsidR="006F136E" w:rsidRPr="00C1401C">
        <w:t>This</w:t>
      </w:r>
      <w:r w:rsidRPr="008B052A">
        <w:t xml:space="preserve"> rise</w:t>
      </w:r>
      <w:r w:rsidR="473695D9" w:rsidRPr="008B052A">
        <w:t xml:space="preserve"> in 2025</w:t>
      </w:r>
      <w:r w:rsidRPr="008B052A">
        <w:t xml:space="preserve"> is </w:t>
      </w:r>
      <w:r w:rsidR="266DF81D" w:rsidRPr="008B052A">
        <w:t xml:space="preserve">in </w:t>
      </w:r>
      <w:r w:rsidRPr="008B052A">
        <w:t>part</w:t>
      </w:r>
      <w:r w:rsidR="266DF81D" w:rsidRPr="008B052A">
        <w:t xml:space="preserve"> attributable</w:t>
      </w:r>
      <w:r w:rsidRPr="008B052A">
        <w:t xml:space="preserve"> to the </w:t>
      </w:r>
      <w:r w:rsidR="4963EDF7" w:rsidRPr="008B052A">
        <w:t xml:space="preserve">changes in </w:t>
      </w:r>
      <w:r w:rsidR="03B4D1A6" w:rsidRPr="008B052A">
        <w:t xml:space="preserve">modelling of </w:t>
      </w:r>
      <w:r w:rsidR="4963EDF7" w:rsidRPr="008B052A">
        <w:t xml:space="preserve">domestic tourism </w:t>
      </w:r>
      <w:r w:rsidR="2B1C9E99" w:rsidRPr="008B052A">
        <w:t>statistics</w:t>
      </w:r>
      <w:r w:rsidRPr="008B052A">
        <w:t>. From 2026 onwards, growth is expected to align more closely with national trends. By 2030, overnight trips are forecast to reach 1.1 million, representing an average annual growth rate of 1.</w:t>
      </w:r>
      <w:r w:rsidR="7D434532" w:rsidRPr="008B052A">
        <w:t>6</w:t>
      </w:r>
      <w:r w:rsidRPr="008B052A">
        <w:t>% over the forecast period.</w:t>
      </w:r>
    </w:p>
    <w:p w14:paraId="363545E1" w14:textId="4D2F7CD9" w:rsidR="00E51742" w:rsidRPr="008B052A" w:rsidRDefault="00E51742" w:rsidP="002315BF">
      <w:r w:rsidRPr="008E36BB">
        <w:t xml:space="preserve">Due to recent </w:t>
      </w:r>
      <w:r>
        <w:t>changes</w:t>
      </w:r>
      <w:r w:rsidRPr="008E36BB">
        <w:t xml:space="preserve"> in the way domestic tourism statistics are collected and </w:t>
      </w:r>
      <w:r>
        <w:t>modelled</w:t>
      </w:r>
      <w:r w:rsidRPr="008E36BB">
        <w:t xml:space="preserve">, historical </w:t>
      </w:r>
      <w:proofErr w:type="spellStart"/>
      <w:r w:rsidR="005F4F49">
        <w:t>DoTS</w:t>
      </w:r>
      <w:proofErr w:type="spellEnd"/>
      <w:r w:rsidR="005F4F49">
        <w:t xml:space="preserve"> </w:t>
      </w:r>
      <w:r w:rsidRPr="008E36BB">
        <w:t xml:space="preserve">data by purpose of travel is </w:t>
      </w:r>
      <w:r w:rsidR="005F4F49">
        <w:t>not available</w:t>
      </w:r>
      <w:r w:rsidRPr="008E36BB">
        <w:t>.</w:t>
      </w:r>
    </w:p>
    <w:p w14:paraId="5DED4A96" w14:textId="32D1ECA6" w:rsidR="00872565" w:rsidRPr="008B052A" w:rsidRDefault="00872565" w:rsidP="0067019B">
      <w:pPr>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17.</w:t>
      </w:r>
      <w:r w:rsidRPr="008B052A">
        <w:rPr>
          <w:rFonts w:eastAsia="Times New Roman" w:cs="Times New Roman"/>
          <w:color w:val="300050"/>
          <w:lang w:eastAsia="en-AU"/>
        </w:rPr>
        <w:t xml:space="preserve"> Domestic overnight trips in Northern Territory and by purpose of trip. </w:t>
      </w:r>
      <w:r w:rsidR="00B1013E">
        <w:rPr>
          <w:rFonts w:eastAsia="Times New Roman" w:cs="Times New Roman"/>
          <w:color w:val="300050"/>
          <w:lang w:eastAsia="en-AU"/>
        </w:rPr>
        <w:t>Reported</w:t>
      </w:r>
      <w:r w:rsidRPr="008B052A">
        <w:rPr>
          <w:rFonts w:eastAsia="Times New Roman" w:cs="Times New Roman"/>
          <w:color w:val="300050"/>
          <w:lang w:eastAsia="en-AU"/>
        </w:rPr>
        <w:t xml:space="preserve"> values to 2024, forecast values from 2025 onwards.</w:t>
      </w:r>
    </w:p>
    <w:p w14:paraId="70A5E59A" w14:textId="3FFA5D6C" w:rsidR="00AD0BA2" w:rsidRPr="008B052A" w:rsidRDefault="007452F2" w:rsidP="0067019B">
      <w:pPr>
        <w:spacing w:line="240" w:lineRule="atLeast"/>
      </w:pPr>
      <w:r w:rsidRPr="007452F2">
        <w:rPr>
          <w:noProof/>
        </w:rPr>
        <w:drawing>
          <wp:inline distT="0" distB="0" distL="0" distR="0" wp14:anchorId="3DAECF7B" wp14:editId="6F5D5A3E">
            <wp:extent cx="6329680" cy="3571240"/>
            <wp:effectExtent l="0" t="0" r="0" b="0"/>
            <wp:docPr id="82204020" name="Picture 18" descr="Chart showing the projected path for the number of domestic overnight trips in Northern Territory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4020" name="Picture 18" descr="Chart showing the projected path for the number of domestic overnight trips in Northern Territory by purpose of trip.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p>
    <w:p w14:paraId="1291A16A" w14:textId="77777777" w:rsidR="003B750C" w:rsidRPr="008B052A" w:rsidRDefault="003B750C">
      <w:pPr>
        <w:spacing w:before="0" w:after="160" w:line="259" w:lineRule="auto"/>
        <w:rPr>
          <w:bCs/>
          <w:sz w:val="26"/>
          <w:szCs w:val="24"/>
        </w:rPr>
      </w:pPr>
      <w:r w:rsidRPr="008B052A">
        <w:br w:type="page"/>
      </w:r>
    </w:p>
    <w:p w14:paraId="3E9B5E67" w14:textId="504F703D" w:rsidR="00AB40DA" w:rsidRPr="008B052A" w:rsidRDefault="00D76252" w:rsidP="00AB40DA">
      <w:pPr>
        <w:pStyle w:val="Heading4"/>
      </w:pPr>
      <w:r w:rsidRPr="008B052A">
        <w:lastRenderedPageBreak/>
        <w:t>Australian Capital Territory</w:t>
      </w:r>
    </w:p>
    <w:p w14:paraId="698170E7" w14:textId="6DE23309" w:rsidR="00AB40DA" w:rsidRPr="008B052A" w:rsidRDefault="2E5BAD3C" w:rsidP="00AB40DA">
      <w:r w:rsidRPr="008B052A">
        <w:t>Overnight trips to the Australian Capital Territory are forecast to decline slightly by 0.</w:t>
      </w:r>
      <w:r w:rsidR="2EA521E3" w:rsidRPr="008B052A">
        <w:t>3</w:t>
      </w:r>
      <w:r w:rsidRPr="008B052A">
        <w:t>% to 2.2 million in 2025. Modest growth is expected to resume in 2026 (1.</w:t>
      </w:r>
      <w:r w:rsidR="6463ED07" w:rsidRPr="008B052A">
        <w:t>1</w:t>
      </w:r>
      <w:r w:rsidRPr="008B052A">
        <w:t>%) and 2027 (1.</w:t>
      </w:r>
      <w:r w:rsidR="5A8EB1DE" w:rsidRPr="008B052A">
        <w:t>6</w:t>
      </w:r>
      <w:r w:rsidRPr="008B052A">
        <w:t xml:space="preserve">%), with a peak of </w:t>
      </w:r>
      <w:r w:rsidR="46CB3A89" w:rsidRPr="008B052A">
        <w:t>2.0</w:t>
      </w:r>
      <w:r w:rsidRPr="008B052A">
        <w:t xml:space="preserve">% forecast in 2028. Over the </w:t>
      </w:r>
      <w:r w:rsidR="00917B1F">
        <w:t>5</w:t>
      </w:r>
      <w:r w:rsidRPr="008B052A">
        <w:t>-year forecast period, overnight trips are projected to grow at an average annual rate of 1.</w:t>
      </w:r>
      <w:r w:rsidR="5825EA8C" w:rsidRPr="008B052A">
        <w:t>6</w:t>
      </w:r>
      <w:r w:rsidRPr="008B052A">
        <w:t>%, reaching 2.4 million by 2030.</w:t>
      </w:r>
    </w:p>
    <w:p w14:paraId="0E043FC9" w14:textId="57DFEEB9" w:rsidR="00BB5CFE" w:rsidRDefault="00BB5CFE" w:rsidP="00BB5CFE">
      <w:r w:rsidRPr="008E36BB">
        <w:t xml:space="preserve">Due to recent </w:t>
      </w:r>
      <w:r>
        <w:t>changes</w:t>
      </w:r>
      <w:r w:rsidRPr="008E36BB">
        <w:t xml:space="preserve"> in the way domestic tourism statistics are collected and </w:t>
      </w:r>
      <w:r>
        <w:t>modelled</w:t>
      </w:r>
      <w:r w:rsidRPr="008E36BB">
        <w:t>, historical</w:t>
      </w:r>
      <w:r w:rsidR="005F4F49">
        <w:t xml:space="preserve"> </w:t>
      </w:r>
      <w:proofErr w:type="spellStart"/>
      <w:r w:rsidR="005F4F49">
        <w:t>DoTS</w:t>
      </w:r>
      <w:proofErr w:type="spellEnd"/>
      <w:r w:rsidRPr="008E36BB">
        <w:t xml:space="preserve"> data by purpose of travel is </w:t>
      </w:r>
      <w:r w:rsidR="005F4F49">
        <w:t>not available</w:t>
      </w:r>
      <w:r w:rsidRPr="008E36BB">
        <w:t>.</w:t>
      </w:r>
    </w:p>
    <w:p w14:paraId="64296F4C" w14:textId="77777777" w:rsidR="00BB5CFE" w:rsidRPr="008B052A" w:rsidRDefault="00BB5CFE" w:rsidP="00AB40DA"/>
    <w:p w14:paraId="5E8400A7" w14:textId="6259AC2A" w:rsidR="00FF609B" w:rsidRPr="008B052A" w:rsidRDefault="00FF609B" w:rsidP="0067019B">
      <w:pPr>
        <w:spacing w:before="0" w:after="0"/>
        <w:rPr>
          <w:rFonts w:eastAsia="Times New Roman" w:cs="Times New Roman"/>
          <w:b/>
          <w:bCs/>
          <w:color w:val="300050"/>
          <w:lang w:eastAsia="en-AU"/>
        </w:rPr>
      </w:pPr>
      <w:r w:rsidRPr="008B052A">
        <w:rPr>
          <w:rFonts w:eastAsia="Times New Roman" w:cs="Times New Roman"/>
          <w:b/>
          <w:bCs/>
          <w:color w:val="300050" w:themeColor="text2"/>
          <w:lang w:eastAsia="en-AU"/>
        </w:rPr>
        <w:t>Figure 18.</w:t>
      </w:r>
      <w:r w:rsidRPr="008B052A">
        <w:rPr>
          <w:rFonts w:eastAsia="Times New Roman" w:cs="Times New Roman"/>
          <w:color w:val="300050"/>
          <w:lang w:eastAsia="en-AU"/>
        </w:rPr>
        <w:t xml:space="preserve"> Domestic overnight trips in Australian Capital Territory and by purpose of trip. </w:t>
      </w:r>
      <w:r w:rsidR="00B1013E">
        <w:rPr>
          <w:rFonts w:eastAsia="Times New Roman" w:cs="Times New Roman"/>
          <w:color w:val="300050"/>
          <w:lang w:eastAsia="en-AU"/>
        </w:rPr>
        <w:t>Reported</w:t>
      </w:r>
      <w:r w:rsidRPr="008B052A">
        <w:rPr>
          <w:rFonts w:eastAsia="Times New Roman" w:cs="Times New Roman"/>
          <w:color w:val="300050"/>
          <w:lang w:eastAsia="en-AU"/>
        </w:rPr>
        <w:t xml:space="preserve"> values to 2024, forecast values from 2025 onwards.</w:t>
      </w:r>
    </w:p>
    <w:p w14:paraId="0A62D0FD" w14:textId="637D44C5" w:rsidR="00600154" w:rsidRPr="008B052A" w:rsidRDefault="005B42C4">
      <w:pPr>
        <w:spacing w:before="0" w:after="160" w:line="259" w:lineRule="auto"/>
        <w:rPr>
          <w:rFonts w:eastAsia="SimSun" w:cs="Times New Roman"/>
          <w:bCs/>
          <w:color w:val="441D4A" w:themeColor="accent1" w:themeShade="80"/>
          <w:sz w:val="32"/>
          <w:szCs w:val="26"/>
          <w:lang w:eastAsia="zh-CN"/>
        </w:rPr>
      </w:pPr>
      <w:r w:rsidRPr="005B42C4">
        <w:rPr>
          <w:noProof/>
        </w:rPr>
        <w:drawing>
          <wp:inline distT="0" distB="0" distL="0" distR="0" wp14:anchorId="5C244D4B" wp14:editId="6447E650">
            <wp:extent cx="6329680" cy="3571240"/>
            <wp:effectExtent l="0" t="0" r="0" b="0"/>
            <wp:docPr id="158714774" name="Picture 19" descr="Chart showing the projected path for the number of domestic overnight trips in the Australian Capital Territory by purpose of tr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4774" name="Picture 19" descr="Chart showing the projected path for the number of domestic overnight trips in the Australian Capital Territory by purpose of trip.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29680" cy="3571240"/>
                    </a:xfrm>
                    <a:prstGeom prst="rect">
                      <a:avLst/>
                    </a:prstGeom>
                    <a:noFill/>
                    <a:ln>
                      <a:noFill/>
                    </a:ln>
                  </pic:spPr>
                </pic:pic>
              </a:graphicData>
            </a:graphic>
          </wp:inline>
        </w:drawing>
      </w:r>
      <w:r w:rsidR="00600154" w:rsidRPr="008B052A">
        <w:br w:type="page"/>
      </w:r>
    </w:p>
    <w:p w14:paraId="5FBCDC64" w14:textId="0514CF56" w:rsidR="00E6336B" w:rsidRPr="008B052A" w:rsidRDefault="00E6336B" w:rsidP="00E6336B">
      <w:pPr>
        <w:pStyle w:val="Heading2"/>
      </w:pPr>
      <w:bookmarkStart w:id="78" w:name="_Toc214539205"/>
      <w:r w:rsidRPr="008B052A">
        <w:lastRenderedPageBreak/>
        <w:t>Alternative forecast scenarios</w:t>
      </w:r>
      <w:bookmarkEnd w:id="78"/>
    </w:p>
    <w:p w14:paraId="38B4B6C6" w14:textId="252EC18B" w:rsidR="000125BD" w:rsidRPr="008B052A" w:rsidRDefault="00DD33E9" w:rsidP="00E725E5">
      <w:pPr>
        <w:rPr>
          <w:lang w:eastAsia="zh-CN"/>
        </w:rPr>
      </w:pPr>
      <w:r w:rsidRPr="008B052A">
        <w:rPr>
          <w:lang w:eastAsia="zh-CN"/>
        </w:rPr>
        <w:t>T</w:t>
      </w:r>
      <w:r w:rsidR="004A49B6" w:rsidRPr="008B052A">
        <w:rPr>
          <w:lang w:eastAsia="zh-CN"/>
        </w:rPr>
        <w:t xml:space="preserve">he </w:t>
      </w:r>
      <w:r w:rsidR="001B4E34" w:rsidRPr="008B052A">
        <w:rPr>
          <w:lang w:eastAsia="zh-CN"/>
        </w:rPr>
        <w:t xml:space="preserve">forecasts outlined </w:t>
      </w:r>
      <w:r w:rsidR="00EA068B">
        <w:rPr>
          <w:lang w:eastAsia="zh-CN"/>
        </w:rPr>
        <w:t>in this report</w:t>
      </w:r>
      <w:r w:rsidR="00EA068B" w:rsidRPr="008B052A">
        <w:rPr>
          <w:lang w:eastAsia="zh-CN"/>
        </w:rPr>
        <w:t xml:space="preserve"> </w:t>
      </w:r>
      <w:r w:rsidR="001B4E34" w:rsidRPr="008B052A">
        <w:rPr>
          <w:lang w:eastAsia="zh-CN"/>
        </w:rPr>
        <w:t xml:space="preserve">reflect TRA’s current </w:t>
      </w:r>
      <w:r w:rsidR="00EA068B">
        <w:rPr>
          <w:lang w:eastAsia="zh-CN"/>
        </w:rPr>
        <w:t xml:space="preserve">best </w:t>
      </w:r>
      <w:r w:rsidR="001B4E34" w:rsidRPr="008B052A">
        <w:rPr>
          <w:lang w:eastAsia="zh-CN"/>
        </w:rPr>
        <w:t>view of the most likely outcomes for tourism metrics</w:t>
      </w:r>
      <w:r w:rsidRPr="008B052A">
        <w:rPr>
          <w:lang w:eastAsia="zh-CN"/>
        </w:rPr>
        <w:t xml:space="preserve">. However, </w:t>
      </w:r>
      <w:r w:rsidR="00BA7D13" w:rsidRPr="008B052A">
        <w:rPr>
          <w:lang w:eastAsia="zh-CN"/>
        </w:rPr>
        <w:t>there is a high level of uncertainty</w:t>
      </w:r>
      <w:r w:rsidR="001D21B6" w:rsidRPr="008B052A">
        <w:rPr>
          <w:lang w:eastAsia="zh-CN"/>
        </w:rPr>
        <w:t xml:space="preserve"> inherent in any forecasting exercise</w:t>
      </w:r>
      <w:r w:rsidR="00EA068B">
        <w:rPr>
          <w:lang w:eastAsia="zh-CN"/>
        </w:rPr>
        <w:t>, particularly one projecting out several years</w:t>
      </w:r>
      <w:r w:rsidR="001D21B6" w:rsidRPr="008B052A">
        <w:rPr>
          <w:lang w:eastAsia="zh-CN"/>
        </w:rPr>
        <w:t>.</w:t>
      </w:r>
      <w:r w:rsidR="00A2497C" w:rsidRPr="008B052A">
        <w:rPr>
          <w:lang w:eastAsia="zh-CN"/>
        </w:rPr>
        <w:t xml:space="preserve"> With respect to these tourism forecasts, there are many forecast assumptions that could </w:t>
      </w:r>
      <w:r w:rsidR="000A37D5" w:rsidRPr="008B052A">
        <w:rPr>
          <w:lang w:eastAsia="zh-CN"/>
        </w:rPr>
        <w:t xml:space="preserve">evolve over the next 5 years differently to what was expected. TRA have therefore produced </w:t>
      </w:r>
      <w:r w:rsidR="00D955EE" w:rsidRPr="008B052A">
        <w:rPr>
          <w:lang w:eastAsia="zh-CN"/>
        </w:rPr>
        <w:t xml:space="preserve">2 </w:t>
      </w:r>
      <w:r w:rsidR="001778ED" w:rsidRPr="008B052A">
        <w:rPr>
          <w:lang w:eastAsia="zh-CN"/>
        </w:rPr>
        <w:t>scenario</w:t>
      </w:r>
      <w:r w:rsidR="00D955EE" w:rsidRPr="008B052A">
        <w:rPr>
          <w:lang w:eastAsia="zh-CN"/>
        </w:rPr>
        <w:t>s</w:t>
      </w:r>
      <w:r w:rsidR="001778ED" w:rsidRPr="008B052A">
        <w:rPr>
          <w:lang w:eastAsia="zh-CN"/>
        </w:rPr>
        <w:t xml:space="preserve"> </w:t>
      </w:r>
      <w:r w:rsidR="007F0029">
        <w:rPr>
          <w:lang w:eastAsia="zh-CN"/>
        </w:rPr>
        <w:t xml:space="preserve">as part of this year’s forecasting exercise </w:t>
      </w:r>
      <w:r w:rsidR="001778ED" w:rsidRPr="008B052A">
        <w:rPr>
          <w:lang w:eastAsia="zh-CN"/>
        </w:rPr>
        <w:t xml:space="preserve">that outline how key tourism metrics could unfold in the case where certain </w:t>
      </w:r>
      <w:r w:rsidR="00720C94" w:rsidRPr="008B052A">
        <w:rPr>
          <w:lang w:eastAsia="zh-CN"/>
        </w:rPr>
        <w:t xml:space="preserve">variables evolve </w:t>
      </w:r>
      <w:r w:rsidR="00D955EE" w:rsidRPr="008B052A">
        <w:rPr>
          <w:lang w:eastAsia="zh-CN"/>
        </w:rPr>
        <w:t>differently</w:t>
      </w:r>
      <w:r w:rsidR="00720C94" w:rsidRPr="008B052A">
        <w:rPr>
          <w:lang w:eastAsia="zh-CN"/>
        </w:rPr>
        <w:t xml:space="preserve"> than </w:t>
      </w:r>
      <w:r w:rsidR="00D955EE" w:rsidRPr="008B052A">
        <w:rPr>
          <w:lang w:eastAsia="zh-CN"/>
        </w:rPr>
        <w:t>envisaged</w:t>
      </w:r>
      <w:r w:rsidR="00720C94" w:rsidRPr="008B052A">
        <w:rPr>
          <w:lang w:eastAsia="zh-CN"/>
        </w:rPr>
        <w:t xml:space="preserve"> </w:t>
      </w:r>
      <w:r w:rsidR="00E725E5" w:rsidRPr="008B052A">
        <w:rPr>
          <w:lang w:eastAsia="zh-CN"/>
        </w:rPr>
        <w:t>in the central forecast scenario</w:t>
      </w:r>
      <w:r w:rsidR="00D30839" w:rsidRPr="008B052A">
        <w:rPr>
          <w:lang w:eastAsia="zh-CN"/>
        </w:rPr>
        <w:t xml:space="preserve">. </w:t>
      </w:r>
      <w:r w:rsidR="00D955EE" w:rsidRPr="008B052A">
        <w:rPr>
          <w:lang w:eastAsia="zh-CN"/>
        </w:rPr>
        <w:t>This section</w:t>
      </w:r>
      <w:r w:rsidR="00502458" w:rsidRPr="008B052A">
        <w:rPr>
          <w:lang w:eastAsia="zh-CN"/>
        </w:rPr>
        <w:t xml:space="preserve"> details the optimistic and the pessimistic scenario and how they compare to the central forecast scenario that is detailed elsewhere in this report. </w:t>
      </w:r>
    </w:p>
    <w:p w14:paraId="1452B1D4" w14:textId="60DA3CA9" w:rsidR="00022814" w:rsidRPr="008B052A" w:rsidRDefault="00022814" w:rsidP="00E725E5">
      <w:pPr>
        <w:rPr>
          <w:lang w:eastAsia="zh-CN"/>
        </w:rPr>
      </w:pPr>
      <w:r w:rsidRPr="008B052A">
        <w:rPr>
          <w:lang w:eastAsia="zh-CN"/>
        </w:rPr>
        <w:t xml:space="preserve">These scenarios do not capture potential </w:t>
      </w:r>
      <w:r w:rsidR="00B45567" w:rsidRPr="008B052A">
        <w:rPr>
          <w:lang w:eastAsia="zh-CN"/>
        </w:rPr>
        <w:t>growth paths</w:t>
      </w:r>
      <w:r w:rsidRPr="008B052A">
        <w:rPr>
          <w:lang w:eastAsia="zh-CN"/>
        </w:rPr>
        <w:t xml:space="preserve"> </w:t>
      </w:r>
      <w:r w:rsidR="00B45567" w:rsidRPr="008B052A">
        <w:rPr>
          <w:lang w:eastAsia="zh-CN"/>
        </w:rPr>
        <w:t xml:space="preserve">in the </w:t>
      </w:r>
      <w:r w:rsidR="00A32D48">
        <w:rPr>
          <w:lang w:eastAsia="zh-CN"/>
        </w:rPr>
        <w:t>case</w:t>
      </w:r>
      <w:r w:rsidR="00B45567" w:rsidRPr="008B052A">
        <w:rPr>
          <w:lang w:eastAsia="zh-CN"/>
        </w:rPr>
        <w:t xml:space="preserve"> of extreme</w:t>
      </w:r>
      <w:r w:rsidR="000D5455" w:rsidRPr="008B052A">
        <w:rPr>
          <w:lang w:eastAsia="zh-CN"/>
        </w:rPr>
        <w:t xml:space="preserve"> </w:t>
      </w:r>
      <w:r w:rsidR="00386755">
        <w:rPr>
          <w:lang w:eastAsia="zh-CN"/>
        </w:rPr>
        <w:t>events</w:t>
      </w:r>
      <w:r w:rsidR="00B45567" w:rsidRPr="008B052A">
        <w:rPr>
          <w:lang w:eastAsia="zh-CN"/>
        </w:rPr>
        <w:t xml:space="preserve">. For example, </w:t>
      </w:r>
      <w:r w:rsidR="005B33B8" w:rsidRPr="008B052A">
        <w:rPr>
          <w:lang w:eastAsia="zh-CN"/>
        </w:rPr>
        <w:t xml:space="preserve">neither the central forecasts, nor the scenarios consider the impact of another global pandemic. </w:t>
      </w:r>
      <w:r w:rsidR="00DB00D2" w:rsidRPr="008B052A">
        <w:rPr>
          <w:lang w:eastAsia="zh-CN"/>
        </w:rPr>
        <w:t xml:space="preserve">Similarly, the scenarios do not consider </w:t>
      </w:r>
      <w:r w:rsidR="007174F9" w:rsidRPr="008B052A">
        <w:rPr>
          <w:lang w:eastAsia="zh-CN"/>
        </w:rPr>
        <w:t xml:space="preserve">major changes to pre-announced government policies, </w:t>
      </w:r>
      <w:r w:rsidR="00D8642F" w:rsidRPr="008B052A">
        <w:rPr>
          <w:lang w:eastAsia="zh-CN"/>
        </w:rPr>
        <w:t xml:space="preserve">geo-political settings or </w:t>
      </w:r>
      <w:r w:rsidR="004D1BF2" w:rsidRPr="008B052A">
        <w:rPr>
          <w:lang w:eastAsia="zh-CN"/>
        </w:rPr>
        <w:t xml:space="preserve">world events such as </w:t>
      </w:r>
      <w:r w:rsidR="00E053DC" w:rsidRPr="008B052A">
        <w:rPr>
          <w:lang w:eastAsia="zh-CN"/>
        </w:rPr>
        <w:t>the emergence of a large health,</w:t>
      </w:r>
      <w:r w:rsidR="00994A99" w:rsidRPr="008B052A">
        <w:rPr>
          <w:lang w:eastAsia="zh-CN"/>
        </w:rPr>
        <w:t xml:space="preserve"> social,</w:t>
      </w:r>
      <w:r w:rsidR="00E053DC" w:rsidRPr="008B052A">
        <w:rPr>
          <w:lang w:eastAsia="zh-CN"/>
        </w:rPr>
        <w:t xml:space="preserve"> </w:t>
      </w:r>
      <w:r w:rsidR="00240CEC" w:rsidRPr="008B052A">
        <w:rPr>
          <w:lang w:eastAsia="zh-CN"/>
        </w:rPr>
        <w:t>environmental</w:t>
      </w:r>
      <w:r w:rsidR="00E053DC" w:rsidRPr="008B052A">
        <w:rPr>
          <w:lang w:eastAsia="zh-CN"/>
        </w:rPr>
        <w:t xml:space="preserve">, </w:t>
      </w:r>
      <w:r w:rsidR="00994A99" w:rsidRPr="008B052A">
        <w:rPr>
          <w:lang w:eastAsia="zh-CN"/>
        </w:rPr>
        <w:t xml:space="preserve">technological </w:t>
      </w:r>
      <w:r w:rsidR="00E053DC" w:rsidRPr="008B052A">
        <w:rPr>
          <w:lang w:eastAsia="zh-CN"/>
        </w:rPr>
        <w:t>or economic</w:t>
      </w:r>
      <w:r w:rsidR="00240CEC" w:rsidRPr="008B052A">
        <w:rPr>
          <w:lang w:eastAsia="zh-CN"/>
        </w:rPr>
        <w:t xml:space="preserve"> crisis.</w:t>
      </w:r>
    </w:p>
    <w:p w14:paraId="347AC7C3" w14:textId="5CE81475" w:rsidR="003E7351" w:rsidRPr="008B052A" w:rsidRDefault="00083697" w:rsidP="00694D5B">
      <w:pPr>
        <w:pStyle w:val="Heading3"/>
      </w:pPr>
      <w:bookmarkStart w:id="79" w:name="_Toc214539206"/>
      <w:r>
        <w:t>Alternative international projections</w:t>
      </w:r>
      <w:bookmarkEnd w:id="79"/>
    </w:p>
    <w:p w14:paraId="65F5EA5D" w14:textId="17B06D7B" w:rsidR="00C064F6" w:rsidRPr="008B052A" w:rsidRDefault="00C064F6" w:rsidP="00C064F6">
      <w:pPr>
        <w:pStyle w:val="Heading4"/>
      </w:pPr>
      <w:r w:rsidRPr="008B052A">
        <w:t>International optimistic scenario</w:t>
      </w:r>
    </w:p>
    <w:p w14:paraId="654E4746" w14:textId="51127309" w:rsidR="003E7351" w:rsidRPr="008B052A" w:rsidRDefault="003E7351" w:rsidP="003E7351">
      <w:r w:rsidRPr="008B052A">
        <w:t xml:space="preserve">The international optimistic scenario is </w:t>
      </w:r>
      <w:r w:rsidR="00A274A4" w:rsidRPr="008B052A">
        <w:t>characterised</w:t>
      </w:r>
      <w:r w:rsidR="00A33F8A" w:rsidRPr="008B052A">
        <w:t xml:space="preserve"> by </w:t>
      </w:r>
      <w:r w:rsidR="00CC570E" w:rsidRPr="008B052A">
        <w:t xml:space="preserve">the following </w:t>
      </w:r>
      <w:r w:rsidR="005F7C72" w:rsidRPr="008B052A">
        <w:t xml:space="preserve">conditions </w:t>
      </w:r>
      <w:r w:rsidR="00105FF6" w:rsidRPr="008B052A">
        <w:t xml:space="preserve">that are more positive than </w:t>
      </w:r>
      <w:r w:rsidRPr="008B052A">
        <w:t xml:space="preserve">the </w:t>
      </w:r>
      <w:r w:rsidR="0081146B" w:rsidRPr="008B052A">
        <w:t>central</w:t>
      </w:r>
      <w:r w:rsidRPr="008B052A">
        <w:t xml:space="preserve"> </w:t>
      </w:r>
      <w:r w:rsidR="0081146B" w:rsidRPr="008B052A">
        <w:t xml:space="preserve">forecast </w:t>
      </w:r>
      <w:r w:rsidRPr="008B052A">
        <w:t>projection:</w:t>
      </w:r>
    </w:p>
    <w:p w14:paraId="6B80FA5E" w14:textId="55CA3CFB" w:rsidR="00E062B6" w:rsidRPr="008B052A" w:rsidRDefault="00E062B6">
      <w:pPr>
        <w:pStyle w:val="ListParagraph"/>
        <w:numPr>
          <w:ilvl w:val="0"/>
          <w:numId w:val="27"/>
        </w:numPr>
      </w:pPr>
      <w:r w:rsidRPr="008B052A">
        <w:t xml:space="preserve">Broader and stronger global economic growth conditions, with growth in household incomes leading to additional discretionary spending. This </w:t>
      </w:r>
      <w:r w:rsidR="00FF1F1D" w:rsidRPr="008B052A">
        <w:t xml:space="preserve">may </w:t>
      </w:r>
      <w:r w:rsidR="00297DFB" w:rsidRPr="008B052A">
        <w:t>occur through</w:t>
      </w:r>
      <w:r w:rsidR="00BB6A42" w:rsidRPr="008B052A">
        <w:t xml:space="preserve"> </w:t>
      </w:r>
      <w:r w:rsidRPr="008B052A">
        <w:t>a smaller than expected impact on trade and global relations.</w:t>
      </w:r>
    </w:p>
    <w:p w14:paraId="0711348E" w14:textId="07498708" w:rsidR="003E7351" w:rsidRPr="008B052A" w:rsidRDefault="003E7351" w:rsidP="003E7351">
      <w:pPr>
        <w:pStyle w:val="ListParagraph"/>
        <w:numPr>
          <w:ilvl w:val="0"/>
          <w:numId w:val="27"/>
        </w:numPr>
      </w:pPr>
      <w:r w:rsidRPr="008B052A">
        <w:t xml:space="preserve">A de-escalation in global conflicts, with </w:t>
      </w:r>
      <w:r w:rsidR="000446BF" w:rsidRPr="008B052A">
        <w:t xml:space="preserve">increased </w:t>
      </w:r>
      <w:r w:rsidRPr="008B052A">
        <w:t>confidence that future conflicts can be avoided, lead</w:t>
      </w:r>
      <w:r w:rsidR="00A10A1B" w:rsidRPr="008B052A">
        <w:t>ing</w:t>
      </w:r>
      <w:r w:rsidRPr="008B052A">
        <w:t xml:space="preserve"> to improved travel sentiment and reopening of some flight routes.</w:t>
      </w:r>
    </w:p>
    <w:p w14:paraId="4A86C5B3" w14:textId="507966E7" w:rsidR="009114D4" w:rsidRPr="008B052A" w:rsidRDefault="003E7351" w:rsidP="003E7351">
      <w:pPr>
        <w:pStyle w:val="ListParagraph"/>
        <w:numPr>
          <w:ilvl w:val="0"/>
          <w:numId w:val="27"/>
        </w:numPr>
      </w:pPr>
      <w:r w:rsidRPr="008B052A">
        <w:t>Inbound aviation capacity grows more strongly, including additional long-haul routes to high-value markets</w:t>
      </w:r>
      <w:r w:rsidR="008D5860" w:rsidRPr="008B052A">
        <w:t xml:space="preserve">. This </w:t>
      </w:r>
      <w:r w:rsidR="00945220" w:rsidRPr="008B052A">
        <w:t>may be supported by</w:t>
      </w:r>
      <w:r w:rsidR="008D5860" w:rsidRPr="008B052A">
        <w:t xml:space="preserve"> a </w:t>
      </w:r>
      <w:r w:rsidRPr="008B052A">
        <w:t xml:space="preserve">more stable and moderate fuel price outlook. </w:t>
      </w:r>
    </w:p>
    <w:p w14:paraId="0E2D5360" w14:textId="2F7061DD" w:rsidR="003E7351" w:rsidRPr="008B052A" w:rsidRDefault="003E7351" w:rsidP="003E7351">
      <w:pPr>
        <w:pStyle w:val="ListParagraph"/>
        <w:numPr>
          <w:ilvl w:val="0"/>
          <w:numId w:val="27"/>
        </w:numPr>
      </w:pPr>
      <w:r w:rsidRPr="008B052A">
        <w:t>The new Nancy-Bird Walton International airport in Western Sydney promot</w:t>
      </w:r>
      <w:r w:rsidR="00D15C3B" w:rsidRPr="008B052A">
        <w:t>es</w:t>
      </w:r>
      <w:r w:rsidRPr="008B052A">
        <w:t xml:space="preserve"> additional inbound travel</w:t>
      </w:r>
      <w:r w:rsidR="00D15C3B" w:rsidRPr="008B052A">
        <w:t xml:space="preserve"> for a variety of travel purposes</w:t>
      </w:r>
      <w:r w:rsidRPr="008B052A">
        <w:t xml:space="preserve">. </w:t>
      </w:r>
    </w:p>
    <w:p w14:paraId="7BE4406B" w14:textId="5D1A1AD0" w:rsidR="003E7351" w:rsidRPr="008B052A" w:rsidRDefault="003E7351" w:rsidP="00AD5835">
      <w:pPr>
        <w:pStyle w:val="ListParagraph"/>
        <w:numPr>
          <w:ilvl w:val="0"/>
          <w:numId w:val="27"/>
        </w:numPr>
      </w:pPr>
      <w:r w:rsidRPr="008B052A">
        <w:t xml:space="preserve">Arrivals from China maintain a stronger </w:t>
      </w:r>
      <w:r w:rsidR="00A27D29">
        <w:t xml:space="preserve">growth </w:t>
      </w:r>
      <w:r w:rsidRPr="008B052A">
        <w:t>trend</w:t>
      </w:r>
      <w:r w:rsidR="004B3BEA" w:rsidRPr="008B052A">
        <w:t>. This is associated with</w:t>
      </w:r>
      <w:r w:rsidRPr="008B052A">
        <w:t xml:space="preserve"> increase</w:t>
      </w:r>
      <w:r w:rsidR="006B07BB" w:rsidRPr="008B052A">
        <w:t>d</w:t>
      </w:r>
      <w:r w:rsidRPr="008B052A">
        <w:t xml:space="preserve"> support </w:t>
      </w:r>
      <w:r w:rsidR="004B3BEA" w:rsidRPr="008B052A">
        <w:t xml:space="preserve">aligned with </w:t>
      </w:r>
      <w:r w:rsidRPr="008B052A">
        <w:t xml:space="preserve">the recent </w:t>
      </w:r>
      <w:r w:rsidR="004B3BEA" w:rsidRPr="008B052A">
        <w:t>Memorandum of Understanding (</w:t>
      </w:r>
      <w:r w:rsidRPr="008B052A">
        <w:t>MoU</w:t>
      </w:r>
      <w:r w:rsidR="004B3BEA" w:rsidRPr="008B052A">
        <w:t>)</w:t>
      </w:r>
      <w:r w:rsidRPr="008B052A">
        <w:t xml:space="preserve"> on tourism with China, </w:t>
      </w:r>
      <w:r w:rsidR="006B07BB" w:rsidRPr="008B052A">
        <w:t>enhancements</w:t>
      </w:r>
      <w:r w:rsidRPr="008B052A">
        <w:t xml:space="preserve"> to the </w:t>
      </w:r>
      <w:r w:rsidR="0096661E" w:rsidRPr="008B052A">
        <w:t xml:space="preserve">Approved Destination </w:t>
      </w:r>
      <w:r w:rsidR="00304E49" w:rsidRPr="008B052A">
        <w:t>Status</w:t>
      </w:r>
      <w:r w:rsidR="0096661E" w:rsidRPr="008B052A">
        <w:t xml:space="preserve"> (</w:t>
      </w:r>
      <w:r w:rsidRPr="008B052A">
        <w:t>ADS</w:t>
      </w:r>
      <w:r w:rsidR="0096661E" w:rsidRPr="008B052A">
        <w:t>)</w:t>
      </w:r>
      <w:r w:rsidRPr="008B052A">
        <w:t xml:space="preserve"> scheme, policy stability related to inbound international travellers, and positive economic and social ties with this major source market.</w:t>
      </w:r>
    </w:p>
    <w:p w14:paraId="7E885210" w14:textId="781C4F85" w:rsidR="003E7351" w:rsidRPr="008B052A" w:rsidRDefault="003E7351" w:rsidP="003E7351">
      <w:r w:rsidRPr="008B052A">
        <w:t xml:space="preserve">In addition, </w:t>
      </w:r>
      <w:r w:rsidR="006B07BB" w:rsidRPr="008B052A">
        <w:t xml:space="preserve">in the optimistic scenario, </w:t>
      </w:r>
      <w:r w:rsidRPr="008B052A">
        <w:t>Australia’s exchange rate remains competitive, policies and attitudes to welcoming visitors remain supportive, sustainability-related policy commitments do not reduce inbound travel demand, and the impact of natural disasters does not grow in scale over the forecast horizon.</w:t>
      </w:r>
    </w:p>
    <w:p w14:paraId="4EC12021" w14:textId="0DEF0B42" w:rsidR="003E7351" w:rsidRPr="008B052A" w:rsidRDefault="003E7351" w:rsidP="003E7351">
      <w:r w:rsidRPr="008B052A">
        <w:lastRenderedPageBreak/>
        <w:t xml:space="preserve">Under these more optimistic conditions, </w:t>
      </w:r>
      <w:r w:rsidR="0047497F" w:rsidRPr="008B052A">
        <w:t xml:space="preserve">Australia sees </w:t>
      </w:r>
      <w:r w:rsidRPr="008B052A">
        <w:t>stronger demand for a range of travel purposes</w:t>
      </w:r>
      <w:r w:rsidR="00B17C3F" w:rsidRPr="008B052A">
        <w:t xml:space="preserve">. </w:t>
      </w:r>
      <w:r w:rsidR="002974F3" w:rsidRPr="008B052A">
        <w:t>This is because</w:t>
      </w:r>
      <w:r w:rsidR="006704C1" w:rsidRPr="008B052A">
        <w:t xml:space="preserve">, </w:t>
      </w:r>
      <w:r w:rsidR="002974F3" w:rsidRPr="008B052A">
        <w:t xml:space="preserve">under the more optimistic settings, </w:t>
      </w:r>
      <w:r w:rsidR="0047497F" w:rsidRPr="008B052A">
        <w:t>Australia</w:t>
      </w:r>
      <w:r w:rsidR="002974F3" w:rsidRPr="008B052A">
        <w:t xml:space="preserve"> i</w:t>
      </w:r>
      <w:r w:rsidR="0047497F" w:rsidRPr="008B052A">
        <w:t xml:space="preserve">s </w:t>
      </w:r>
      <w:r w:rsidR="002974F3" w:rsidRPr="008B052A">
        <w:t xml:space="preserve">better </w:t>
      </w:r>
      <w:r w:rsidR="0047497F" w:rsidRPr="008B052A">
        <w:t>abl</w:t>
      </w:r>
      <w:r w:rsidR="002974F3" w:rsidRPr="008B052A">
        <w:t>e</w:t>
      </w:r>
      <w:r w:rsidR="0047497F" w:rsidRPr="008B052A">
        <w:t xml:space="preserve"> to capitali</w:t>
      </w:r>
      <w:r w:rsidR="003130B5" w:rsidRPr="008B052A">
        <w:t>s</w:t>
      </w:r>
      <w:r w:rsidR="0047497F" w:rsidRPr="008B052A">
        <w:t>e on</w:t>
      </w:r>
      <w:r w:rsidR="002974F3" w:rsidRPr="008B052A">
        <w:t xml:space="preserve"> a range of</w:t>
      </w:r>
      <w:r w:rsidR="0047497F" w:rsidRPr="008B052A">
        <w:t xml:space="preserve"> </w:t>
      </w:r>
      <w:r w:rsidR="0082720C" w:rsidRPr="008B052A">
        <w:t>existing</w:t>
      </w:r>
      <w:r w:rsidR="0047497F" w:rsidRPr="008B052A">
        <w:t xml:space="preserve"> opportunities</w:t>
      </w:r>
      <w:r w:rsidR="0082720C" w:rsidRPr="008B052A">
        <w:t>, such as</w:t>
      </w:r>
      <w:r w:rsidRPr="008B052A">
        <w:t>:</w:t>
      </w:r>
    </w:p>
    <w:p w14:paraId="61FA769D" w14:textId="19CCBFA8" w:rsidR="003E7351" w:rsidRPr="008B052A" w:rsidRDefault="003E7351" w:rsidP="003E7351">
      <w:pPr>
        <w:pStyle w:val="ListParagraph"/>
        <w:numPr>
          <w:ilvl w:val="0"/>
          <w:numId w:val="28"/>
        </w:numPr>
      </w:pPr>
      <w:r w:rsidRPr="008B052A">
        <w:t>the positive impact of global marketing to attract visitors to Australia and Australia’s reputation as a safe, friendly and cherished destination</w:t>
      </w:r>
    </w:p>
    <w:p w14:paraId="60A56310" w14:textId="5EE14C59" w:rsidR="003E7351" w:rsidRPr="008B052A" w:rsidRDefault="003E7351" w:rsidP="003E7351">
      <w:pPr>
        <w:pStyle w:val="ListParagraph"/>
        <w:numPr>
          <w:ilvl w:val="0"/>
          <w:numId w:val="28"/>
        </w:numPr>
      </w:pPr>
      <w:r w:rsidRPr="008B052A">
        <w:t xml:space="preserve">the line-up of major sporting events </w:t>
      </w:r>
      <w:r w:rsidR="0082720C" w:rsidRPr="008B052A">
        <w:t>during</w:t>
      </w:r>
      <w:r w:rsidRPr="008B052A">
        <w:t xml:space="preserve"> the green and gold decade leading to the 2032 Brisbane Olympics and Paralympics</w:t>
      </w:r>
    </w:p>
    <w:p w14:paraId="43D64A95" w14:textId="043AD4A4" w:rsidR="003E7351" w:rsidRPr="008B052A" w:rsidRDefault="003E7351" w:rsidP="003E7351">
      <w:pPr>
        <w:pStyle w:val="ListParagraph"/>
        <w:numPr>
          <w:ilvl w:val="0"/>
          <w:numId w:val="28"/>
        </w:numPr>
      </w:pPr>
      <w:r w:rsidRPr="008B052A">
        <w:t>positive exposure and work</w:t>
      </w:r>
      <w:r w:rsidR="00084B7A" w:rsidRPr="008B052A">
        <w:t>s completed</w:t>
      </w:r>
      <w:r w:rsidRPr="008B052A">
        <w:t xml:space="preserve"> to enhance </w:t>
      </w:r>
      <w:r w:rsidR="0039248D" w:rsidRPr="008B052A">
        <w:t xml:space="preserve">Australia’s </w:t>
      </w:r>
      <w:r w:rsidRPr="008B052A">
        <w:t>sustainability offering</w:t>
      </w:r>
      <w:r w:rsidR="0022606A" w:rsidRPr="008B052A">
        <w:t>,</w:t>
      </w:r>
      <w:r w:rsidRPr="008B052A">
        <w:t xml:space="preserve"> </w:t>
      </w:r>
      <w:r w:rsidR="0039248D" w:rsidRPr="008B052A">
        <w:t xml:space="preserve">leading to </w:t>
      </w:r>
      <w:r w:rsidRPr="008B052A">
        <w:t>Australia gain</w:t>
      </w:r>
      <w:r w:rsidR="0039248D" w:rsidRPr="008B052A">
        <w:t>ing more</w:t>
      </w:r>
      <w:r w:rsidRPr="008B052A">
        <w:t xml:space="preserve"> business events</w:t>
      </w:r>
      <w:r w:rsidR="0039248D" w:rsidRPr="008B052A">
        <w:t xml:space="preserve"> and conferences</w:t>
      </w:r>
    </w:p>
    <w:p w14:paraId="0EF813F1" w14:textId="6EA41510" w:rsidR="003E7351" w:rsidRPr="008B052A" w:rsidRDefault="0022606A" w:rsidP="003E7351">
      <w:pPr>
        <w:pStyle w:val="ListParagraph"/>
        <w:numPr>
          <w:ilvl w:val="0"/>
          <w:numId w:val="28"/>
        </w:numPr>
      </w:pPr>
      <w:r w:rsidRPr="008B052A">
        <w:t xml:space="preserve">a </w:t>
      </w:r>
      <w:r w:rsidR="003E7351" w:rsidRPr="008B052A">
        <w:t>stable outlook for international education policies which supports growth in arrivals for education in line with government policy to support the sustainable growth of this sector</w:t>
      </w:r>
      <w:r w:rsidR="0030514F" w:rsidRPr="008B052A">
        <w:t xml:space="preserve"> </w:t>
      </w:r>
    </w:p>
    <w:p w14:paraId="5E21C7E9" w14:textId="325FD484" w:rsidR="003E7351" w:rsidRPr="008B052A" w:rsidRDefault="00BD63B4" w:rsidP="003E7351">
      <w:pPr>
        <w:pStyle w:val="ListParagraph"/>
        <w:numPr>
          <w:ilvl w:val="0"/>
          <w:numId w:val="28"/>
        </w:numPr>
      </w:pPr>
      <w:r w:rsidRPr="008B052A">
        <w:t>highlighting</w:t>
      </w:r>
      <w:r w:rsidR="003E15C6" w:rsidRPr="008B052A">
        <w:t xml:space="preserve"> Australia’s visitor economy</w:t>
      </w:r>
      <w:r w:rsidRPr="008B052A">
        <w:t xml:space="preserve"> alignment</w:t>
      </w:r>
      <w:r w:rsidR="003E15C6" w:rsidRPr="008B052A">
        <w:t xml:space="preserve"> </w:t>
      </w:r>
      <w:r w:rsidRPr="008B052A">
        <w:t>with</w:t>
      </w:r>
      <w:r w:rsidR="003E7351" w:rsidRPr="008B052A">
        <w:t xml:space="preserve"> growth trends such as sustainable travel, nature-based travel, experiences, wellness travel, adventure travel, cultural tourism, agritourism, </w:t>
      </w:r>
      <w:r w:rsidR="00BA6489">
        <w:t>and blended business/leisure travel</w:t>
      </w:r>
      <w:r w:rsidR="000934E2">
        <w:t xml:space="preserve"> trends</w:t>
      </w:r>
      <w:r w:rsidR="00BA6489">
        <w:t xml:space="preserve"> (</w:t>
      </w:r>
      <w:proofErr w:type="spellStart"/>
      <w:r w:rsidR="003E7351" w:rsidRPr="008B052A">
        <w:t>bleisure</w:t>
      </w:r>
      <w:proofErr w:type="spellEnd"/>
      <w:r w:rsidR="00DE6E2F">
        <w:t xml:space="preserve">, </w:t>
      </w:r>
      <w:r w:rsidR="005E732C">
        <w:t>work-fr</w:t>
      </w:r>
      <w:r w:rsidR="00DE6E2F">
        <w:t>o</w:t>
      </w:r>
      <w:r w:rsidR="005E732C">
        <w:t>m-anywhere</w:t>
      </w:r>
      <w:r w:rsidR="00C9765D">
        <w:t>, digital nomads)</w:t>
      </w:r>
      <w:r w:rsidR="003E7351" w:rsidRPr="008B052A">
        <w:t>.</w:t>
      </w:r>
    </w:p>
    <w:p w14:paraId="50FF1ACC" w14:textId="23877AB8" w:rsidR="003E7351" w:rsidRPr="008B052A" w:rsidRDefault="003E7351" w:rsidP="003E7351">
      <w:r w:rsidRPr="008B052A">
        <w:t xml:space="preserve">In the optimistic scenario, international arrivals increase </w:t>
      </w:r>
      <w:r w:rsidR="00C25DA5" w:rsidRPr="008B052A">
        <w:t xml:space="preserve">at a </w:t>
      </w:r>
      <w:r w:rsidRPr="008B052A">
        <w:t xml:space="preserve">faster </w:t>
      </w:r>
      <w:r w:rsidR="00C25DA5" w:rsidRPr="008B052A">
        <w:t xml:space="preserve">rate </w:t>
      </w:r>
      <w:r w:rsidRPr="008B052A">
        <w:t>and reach 11.</w:t>
      </w:r>
      <w:r w:rsidR="005772A4">
        <w:t>5</w:t>
      </w:r>
      <w:r w:rsidR="004A5AB1">
        <w:t> </w:t>
      </w:r>
      <w:r w:rsidRPr="008B052A">
        <w:t xml:space="preserve">million in 2030 – an increase of </w:t>
      </w:r>
      <w:r w:rsidR="002756E4">
        <w:t xml:space="preserve">around </w:t>
      </w:r>
      <w:r w:rsidR="00C77FC6">
        <w:t>5</w:t>
      </w:r>
      <w:r w:rsidR="002756E4">
        <w:t>7</w:t>
      </w:r>
      <w:r w:rsidR="00C77FC6">
        <w:t>5</w:t>
      </w:r>
      <w:r w:rsidRPr="008B052A">
        <w:t xml:space="preserve">,000 arrivals or </w:t>
      </w:r>
      <w:r w:rsidR="007A540D">
        <w:t>5.3</w:t>
      </w:r>
      <w:r w:rsidRPr="008B052A">
        <w:t xml:space="preserve">% compared with the </w:t>
      </w:r>
      <w:r w:rsidR="00BD63B4" w:rsidRPr="008B052A">
        <w:t>central</w:t>
      </w:r>
      <w:r w:rsidRPr="008B052A">
        <w:t xml:space="preserve"> scenario</w:t>
      </w:r>
      <w:r w:rsidR="001D6C9C">
        <w:t xml:space="preserve"> (Figure 19)</w:t>
      </w:r>
      <w:r w:rsidRPr="008B052A">
        <w:t xml:space="preserve">. </w:t>
      </w:r>
      <w:r w:rsidR="00017D2F" w:rsidRPr="008B052A">
        <w:t>Of note</w:t>
      </w:r>
      <w:r w:rsidRPr="008B052A">
        <w:t xml:space="preserve">, arrivals from China </w:t>
      </w:r>
      <w:r w:rsidR="00017D2F" w:rsidRPr="008B052A">
        <w:t xml:space="preserve">would </w:t>
      </w:r>
      <w:r w:rsidRPr="008B052A">
        <w:t>overtake New Zealand as Australia’s largest source market</w:t>
      </w:r>
      <w:r w:rsidR="00017D2F" w:rsidRPr="008B052A">
        <w:t xml:space="preserve"> </w:t>
      </w:r>
      <w:r w:rsidR="003429D6" w:rsidRPr="00BE5454">
        <w:t xml:space="preserve">in </w:t>
      </w:r>
      <w:r w:rsidR="0094643D" w:rsidRPr="00BE5454">
        <w:t>2030</w:t>
      </w:r>
      <w:r w:rsidR="003429D6">
        <w:t xml:space="preserve"> </w:t>
      </w:r>
      <w:r w:rsidR="00664634">
        <w:t>due to</w:t>
      </w:r>
      <w:r w:rsidR="00017D2F" w:rsidRPr="008B052A">
        <w:t xml:space="preserve"> the faster growth in arrivals from this major source market</w:t>
      </w:r>
      <w:r w:rsidRPr="008B052A">
        <w:t xml:space="preserve">. </w:t>
      </w:r>
    </w:p>
    <w:p w14:paraId="7311DCDA" w14:textId="6C6F7447" w:rsidR="001D6C9C" w:rsidRDefault="001D6C9C" w:rsidP="001D6C9C">
      <w:pPr>
        <w:keepNext/>
        <w:spacing w:before="0" w:after="0"/>
      </w:pPr>
      <w:r w:rsidRPr="008B052A">
        <w:rPr>
          <w:rFonts w:eastAsia="Verdana" w:cs="Times New Roman"/>
          <w:b/>
          <w:bCs/>
          <w:color w:val="300050" w:themeColor="text2"/>
        </w:rPr>
        <w:t xml:space="preserve">Figure </w:t>
      </w:r>
      <w:r>
        <w:rPr>
          <w:rFonts w:eastAsia="Verdana" w:cs="Times New Roman"/>
          <w:b/>
          <w:bCs/>
          <w:color w:val="300050" w:themeColor="text2"/>
        </w:rPr>
        <w:t>19</w:t>
      </w:r>
      <w:r w:rsidRPr="008B052A">
        <w:rPr>
          <w:rFonts w:eastAsia="Verdana" w:cs="Times New Roman"/>
          <w:b/>
          <w:bCs/>
          <w:color w:val="300050" w:themeColor="text2"/>
        </w:rPr>
        <w:t>.</w:t>
      </w:r>
      <w:r w:rsidRPr="008B052A">
        <w:rPr>
          <w:rFonts w:eastAsia="Verdana" w:cs="Times New Roman"/>
          <w:color w:val="300050" w:themeColor="text2"/>
        </w:rPr>
        <w:t xml:space="preserve"> </w:t>
      </w:r>
      <w:r w:rsidRPr="008B052A">
        <w:rPr>
          <w:color w:val="300050" w:themeColor="text2"/>
        </w:rPr>
        <w:t>International visitor arrivals projections in the pessimistic</w:t>
      </w:r>
      <w:r>
        <w:rPr>
          <w:color w:val="300050" w:themeColor="text2"/>
        </w:rPr>
        <w:t xml:space="preserve"> </w:t>
      </w:r>
      <w:r w:rsidRPr="008B052A">
        <w:rPr>
          <w:color w:val="300050" w:themeColor="text2"/>
        </w:rPr>
        <w:t>and optimistic scenarios</w:t>
      </w:r>
      <w:r>
        <w:rPr>
          <w:color w:val="300050" w:themeColor="text2"/>
        </w:rPr>
        <w:t xml:space="preserve"> compared with central forecast</w:t>
      </w:r>
      <w:r w:rsidRPr="008B052A">
        <w:rPr>
          <w:color w:val="300050" w:themeColor="text2"/>
        </w:rPr>
        <w:t xml:space="preserve">. </w:t>
      </w:r>
      <w:r>
        <w:rPr>
          <w:rFonts w:eastAsia="Times New Roman" w:cs="Times New Roman"/>
          <w:color w:val="300050"/>
          <w:lang w:eastAsia="en-AU"/>
        </w:rPr>
        <w:t>Reported</w:t>
      </w:r>
      <w:r w:rsidRPr="008B052A">
        <w:rPr>
          <w:rFonts w:eastAsia="Times New Roman" w:cs="Times New Roman"/>
          <w:color w:val="300050"/>
          <w:lang w:eastAsia="en-AU"/>
        </w:rPr>
        <w:t xml:space="preserve"> values to 2024, forecast values from 2025 onwards</w:t>
      </w:r>
      <w:r w:rsidRPr="008B052A">
        <w:rPr>
          <w:color w:val="300050" w:themeColor="text2"/>
        </w:rPr>
        <w:t>.</w:t>
      </w:r>
    </w:p>
    <w:p w14:paraId="0F527E73" w14:textId="78851496" w:rsidR="001D6C9C" w:rsidRPr="008B052A" w:rsidRDefault="00A7603E" w:rsidP="001D6C9C">
      <w:pPr>
        <w:spacing w:line="240" w:lineRule="atLeast"/>
      </w:pPr>
      <w:r w:rsidRPr="00A7603E">
        <w:rPr>
          <w:noProof/>
        </w:rPr>
        <w:drawing>
          <wp:inline distT="0" distB="0" distL="0" distR="0" wp14:anchorId="43F3E39F" wp14:editId="62C71BEC">
            <wp:extent cx="6329680" cy="3287395"/>
            <wp:effectExtent l="0" t="0" r="0" b="8255"/>
            <wp:docPr id="505116261" name="Picture 20" descr="Time series chart from 2015 to 2030 showing the projected path for international short-term visitor arrivals to Australia based on the optimistic and pessimistic scenario outlines, as well as the central forecast for visitor arriv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16261" name="Picture 20" descr="Time series chart from 2015 to 2030 showing the projected path for international short-term visitor arrivals to Australia based on the optimistic and pessimistic scenario outlines, as well as the central forecast for visitor arrivals.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29680" cy="3287395"/>
                    </a:xfrm>
                    <a:prstGeom prst="rect">
                      <a:avLst/>
                    </a:prstGeom>
                    <a:noFill/>
                    <a:ln>
                      <a:noFill/>
                    </a:ln>
                  </pic:spPr>
                </pic:pic>
              </a:graphicData>
            </a:graphic>
          </wp:inline>
        </w:drawing>
      </w:r>
    </w:p>
    <w:p w14:paraId="65B3E630" w14:textId="069F255B" w:rsidR="003E7351" w:rsidRPr="008B052A" w:rsidRDefault="003E7351" w:rsidP="000E087B">
      <w:pPr>
        <w:spacing w:line="300" w:lineRule="atLeast"/>
      </w:pPr>
      <w:r w:rsidRPr="008B052A">
        <w:t xml:space="preserve">With additional growth in high-value travel segments, the </w:t>
      </w:r>
      <w:r w:rsidR="00745901" w:rsidRPr="008B052A">
        <w:t>increase</w:t>
      </w:r>
      <w:r w:rsidRPr="008B052A">
        <w:t xml:space="preserve"> in international spend in Australia is even stronger in the optimistic scenario </w:t>
      </w:r>
      <w:r w:rsidR="003429D6">
        <w:t>compared with the c</w:t>
      </w:r>
      <w:r w:rsidR="009D48F7">
        <w:t>entral case</w:t>
      </w:r>
      <w:r w:rsidR="00F27087">
        <w:t xml:space="preserve"> </w:t>
      </w:r>
      <w:r w:rsidR="00F27087" w:rsidRPr="008B052A">
        <w:t xml:space="preserve">(Figure </w:t>
      </w:r>
      <w:r w:rsidR="001D6C9C">
        <w:t>20</w:t>
      </w:r>
      <w:r w:rsidR="00F27087" w:rsidRPr="008B052A">
        <w:t>)</w:t>
      </w:r>
      <w:r w:rsidRPr="008B052A">
        <w:t xml:space="preserve">. International </w:t>
      </w:r>
      <w:proofErr w:type="gramStart"/>
      <w:r w:rsidR="00286FD6" w:rsidRPr="008B052A">
        <w:t>visitor</w:t>
      </w:r>
      <w:proofErr w:type="gramEnd"/>
      <w:r w:rsidRPr="008B052A">
        <w:t xml:space="preserve"> spend </w:t>
      </w:r>
      <w:r w:rsidR="00286FD6" w:rsidRPr="008B052A">
        <w:t xml:space="preserve">in Australia </w:t>
      </w:r>
      <w:r w:rsidR="00FC6448" w:rsidRPr="008B052A">
        <w:t>in th</w:t>
      </w:r>
      <w:r w:rsidR="00BB06ED" w:rsidRPr="008B052A">
        <w:t>e optimistic</w:t>
      </w:r>
      <w:r w:rsidR="00FC6448" w:rsidRPr="008B052A">
        <w:t xml:space="preserve"> scenario is forecast to </w:t>
      </w:r>
      <w:r w:rsidR="005E074F" w:rsidRPr="008B052A">
        <w:t xml:space="preserve">reach </w:t>
      </w:r>
      <w:r w:rsidRPr="008B052A">
        <w:t>$</w:t>
      </w:r>
      <w:r w:rsidR="00BC418B">
        <w:t>51</w:t>
      </w:r>
      <w:r w:rsidRPr="008B052A">
        <w:t xml:space="preserve"> billion</w:t>
      </w:r>
      <w:r w:rsidR="005E074F" w:rsidRPr="008B052A">
        <w:t xml:space="preserve"> </w:t>
      </w:r>
      <w:r w:rsidR="00A2386E">
        <w:t xml:space="preserve">in 2030 </w:t>
      </w:r>
      <w:r w:rsidR="005E074F" w:rsidRPr="008B052A">
        <w:t xml:space="preserve">– </w:t>
      </w:r>
      <w:r w:rsidRPr="008B052A">
        <w:t>11% higher</w:t>
      </w:r>
      <w:r w:rsidR="00A33099">
        <w:t xml:space="preserve"> and $5 billion more</w:t>
      </w:r>
      <w:r w:rsidRPr="008B052A">
        <w:t xml:space="preserve"> than under the </w:t>
      </w:r>
      <w:r w:rsidR="00BB06ED" w:rsidRPr="008B052A">
        <w:t>central</w:t>
      </w:r>
      <w:r w:rsidRPr="008B052A">
        <w:t xml:space="preserve"> </w:t>
      </w:r>
      <w:r w:rsidR="005E074F" w:rsidRPr="008B052A">
        <w:t xml:space="preserve">forecast – </w:t>
      </w:r>
      <w:r w:rsidRPr="008B052A">
        <w:t xml:space="preserve">representing </w:t>
      </w:r>
      <w:r w:rsidR="005E074F" w:rsidRPr="008B052A">
        <w:t xml:space="preserve">an </w:t>
      </w:r>
      <w:r w:rsidRPr="008B052A">
        <w:t xml:space="preserve">annual </w:t>
      </w:r>
      <w:r w:rsidRPr="008B052A">
        <w:lastRenderedPageBreak/>
        <w:t xml:space="preserve">average growth of </w:t>
      </w:r>
      <w:r w:rsidR="00B50A11">
        <w:t>6.</w:t>
      </w:r>
      <w:r w:rsidR="00896447">
        <w:t>2</w:t>
      </w:r>
      <w:r w:rsidRPr="008B052A">
        <w:t xml:space="preserve">% over the forecast period. Average </w:t>
      </w:r>
      <w:proofErr w:type="gramStart"/>
      <w:r w:rsidRPr="008B052A">
        <w:t>spend</w:t>
      </w:r>
      <w:proofErr w:type="gramEnd"/>
      <w:r w:rsidRPr="008B052A">
        <w:t xml:space="preserve"> per trip </w:t>
      </w:r>
      <w:r w:rsidR="004B6169">
        <w:t xml:space="preserve">trends </w:t>
      </w:r>
      <w:r w:rsidR="00AC23EA">
        <w:t xml:space="preserve">marginally higher </w:t>
      </w:r>
      <w:r w:rsidRPr="008B052A">
        <w:t xml:space="preserve">(in nominal terms) over the forecast period in the optimistic scenario. </w:t>
      </w:r>
    </w:p>
    <w:p w14:paraId="720C5A44" w14:textId="08C4EF18" w:rsidR="00286FD6" w:rsidRPr="00412A35" w:rsidRDefault="00286FD6" w:rsidP="00412A35">
      <w:pPr>
        <w:keepNext/>
        <w:spacing w:before="0" w:after="0"/>
        <w:rPr>
          <w:rFonts w:eastAsia="Times New Roman" w:cs="Times New Roman"/>
          <w:b/>
          <w:bCs/>
          <w:color w:val="300050"/>
          <w:lang w:eastAsia="en-AU"/>
        </w:rPr>
      </w:pPr>
      <w:r w:rsidRPr="008B052A">
        <w:rPr>
          <w:rFonts w:eastAsia="Verdana" w:cs="Times New Roman"/>
          <w:b/>
          <w:bCs/>
          <w:color w:val="300050" w:themeColor="text2"/>
        </w:rPr>
        <w:t xml:space="preserve">Figure </w:t>
      </w:r>
      <w:r w:rsidR="001D6C9C">
        <w:rPr>
          <w:rFonts w:eastAsia="Verdana" w:cs="Times New Roman"/>
          <w:b/>
          <w:bCs/>
          <w:color w:val="300050" w:themeColor="text2"/>
        </w:rPr>
        <w:t>20</w:t>
      </w:r>
      <w:r w:rsidRPr="008B052A">
        <w:rPr>
          <w:rFonts w:eastAsia="Verdana" w:cs="Times New Roman"/>
          <w:b/>
          <w:bCs/>
          <w:color w:val="300050" w:themeColor="text2"/>
        </w:rPr>
        <w:t>.</w:t>
      </w:r>
      <w:r w:rsidRPr="008B052A">
        <w:rPr>
          <w:rFonts w:eastAsia="Verdana" w:cs="Times New Roman"/>
          <w:color w:val="300050" w:themeColor="text2"/>
        </w:rPr>
        <w:t xml:space="preserve"> </w:t>
      </w:r>
      <w:r w:rsidR="00AF56B4" w:rsidRPr="008B052A">
        <w:rPr>
          <w:color w:val="300050" w:themeColor="text2"/>
        </w:rPr>
        <w:t xml:space="preserve">International </w:t>
      </w:r>
      <w:proofErr w:type="gramStart"/>
      <w:r w:rsidR="00AF56B4" w:rsidRPr="008B052A">
        <w:rPr>
          <w:color w:val="300050" w:themeColor="text2"/>
        </w:rPr>
        <w:t>visitor</w:t>
      </w:r>
      <w:proofErr w:type="gramEnd"/>
      <w:r w:rsidR="00AF56B4" w:rsidRPr="008B052A">
        <w:rPr>
          <w:color w:val="300050" w:themeColor="text2"/>
        </w:rPr>
        <w:t xml:space="preserve"> spend in Australia</w:t>
      </w:r>
      <w:r w:rsidR="006B3D2D" w:rsidRPr="008B052A">
        <w:rPr>
          <w:color w:val="300050" w:themeColor="text2"/>
        </w:rPr>
        <w:t xml:space="preserve"> in the pessimistic</w:t>
      </w:r>
      <w:r w:rsidR="00412A35">
        <w:rPr>
          <w:color w:val="300050" w:themeColor="text2"/>
        </w:rPr>
        <w:t xml:space="preserve"> </w:t>
      </w:r>
      <w:r w:rsidR="006B3D2D" w:rsidRPr="008B052A">
        <w:rPr>
          <w:color w:val="300050" w:themeColor="text2"/>
        </w:rPr>
        <w:t>and optimistic scenarios</w:t>
      </w:r>
      <w:r w:rsidR="00412A35">
        <w:rPr>
          <w:color w:val="300050" w:themeColor="text2"/>
        </w:rPr>
        <w:t xml:space="preserve"> compared with central </w:t>
      </w:r>
      <w:r w:rsidR="00906D40">
        <w:rPr>
          <w:color w:val="300050" w:themeColor="text2"/>
        </w:rPr>
        <w:t>forecast</w:t>
      </w:r>
      <w:r w:rsidR="00AF56B4" w:rsidRPr="008B052A">
        <w:rPr>
          <w:color w:val="300050" w:themeColor="text2"/>
        </w:rPr>
        <w:t xml:space="preserve">. </w:t>
      </w:r>
      <w:r w:rsidR="00B1013E">
        <w:rPr>
          <w:rFonts w:eastAsia="Times New Roman" w:cs="Times New Roman"/>
          <w:color w:val="300050"/>
          <w:lang w:eastAsia="en-AU"/>
        </w:rPr>
        <w:t>Reported</w:t>
      </w:r>
      <w:r w:rsidR="00412A35" w:rsidRPr="008B052A">
        <w:rPr>
          <w:rFonts w:eastAsia="Times New Roman" w:cs="Times New Roman"/>
          <w:color w:val="300050"/>
          <w:lang w:eastAsia="en-AU"/>
        </w:rPr>
        <w:t xml:space="preserve"> values to 2024, forecast values from 2025 onwards</w:t>
      </w:r>
      <w:r w:rsidR="00AF56B4" w:rsidRPr="008B052A">
        <w:rPr>
          <w:color w:val="300050" w:themeColor="text2"/>
        </w:rPr>
        <w:t>.</w:t>
      </w:r>
    </w:p>
    <w:p w14:paraId="4192B6B9" w14:textId="04E51D3E" w:rsidR="003E7351" w:rsidRPr="008B052A" w:rsidRDefault="00084A5C" w:rsidP="003E7351">
      <w:pPr>
        <w:spacing w:line="240" w:lineRule="atLeast"/>
      </w:pPr>
      <w:r w:rsidRPr="00084A5C">
        <w:rPr>
          <w:noProof/>
        </w:rPr>
        <w:drawing>
          <wp:inline distT="0" distB="0" distL="0" distR="0" wp14:anchorId="5AFF7323" wp14:editId="5D9E3FF0">
            <wp:extent cx="6329680" cy="3446145"/>
            <wp:effectExtent l="0" t="0" r="0" b="1905"/>
            <wp:docPr id="1964842357" name="Picture 21" descr="Time series chart from 2015 to 2030 showing the projected path for international visitor spend in Australia based on the optimistic and pessimistic scenario outlines, as well as the central forecast for international visitor sp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2357" name="Picture 21" descr="Time series chart from 2015 to 2030 showing the projected path for international visitor spend in Australia based on the optimistic and pessimistic scenario outlines, as well as the central forecast for international visitor spend.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29680" cy="3446145"/>
                    </a:xfrm>
                    <a:prstGeom prst="rect">
                      <a:avLst/>
                    </a:prstGeom>
                    <a:noFill/>
                    <a:ln>
                      <a:noFill/>
                    </a:ln>
                  </pic:spPr>
                </pic:pic>
              </a:graphicData>
            </a:graphic>
          </wp:inline>
        </w:drawing>
      </w:r>
      <w:r w:rsidR="003E7351" w:rsidRPr="008B052A">
        <w:t xml:space="preserve"> </w:t>
      </w:r>
    </w:p>
    <w:p w14:paraId="68F67171" w14:textId="77777777" w:rsidR="00491F4E" w:rsidRPr="008B052A" w:rsidRDefault="00491F4E" w:rsidP="00491F4E">
      <w:pPr>
        <w:pStyle w:val="Heading4"/>
      </w:pPr>
      <w:r w:rsidRPr="008B052A">
        <w:t>International pessimistic scenario</w:t>
      </w:r>
    </w:p>
    <w:p w14:paraId="516AFDAD" w14:textId="77777777" w:rsidR="00491F4E" w:rsidRPr="008B052A" w:rsidRDefault="00491F4E" w:rsidP="00491F4E">
      <w:r w:rsidRPr="008B052A">
        <w:t xml:space="preserve">The international pessimistic scenario is characterised by a combination of the following </w:t>
      </w:r>
      <w:r>
        <w:t>conditions</w:t>
      </w:r>
      <w:r w:rsidRPr="008B052A">
        <w:t>:</w:t>
      </w:r>
    </w:p>
    <w:p w14:paraId="1092B8D5" w14:textId="77777777" w:rsidR="00491F4E" w:rsidRPr="008B052A" w:rsidRDefault="00491F4E" w:rsidP="00491F4E">
      <w:pPr>
        <w:pStyle w:val="ListParagraph"/>
        <w:numPr>
          <w:ilvl w:val="0"/>
          <w:numId w:val="27"/>
        </w:numPr>
      </w:pPr>
      <w:r w:rsidRPr="008B052A">
        <w:t xml:space="preserve">Weaker economic outcomes for key markets, driven in part by trade tensions, leading to a shift to internal facing demand globally and lower growth in wages. These weigh on global travel demand as well as travel to Australia from key source markets. </w:t>
      </w:r>
    </w:p>
    <w:p w14:paraId="67C974D4" w14:textId="77777777" w:rsidR="00491F4E" w:rsidRPr="008B052A" w:rsidRDefault="00491F4E" w:rsidP="00491F4E">
      <w:pPr>
        <w:pStyle w:val="ListParagraph"/>
        <w:numPr>
          <w:ilvl w:val="0"/>
          <w:numId w:val="27"/>
        </w:numPr>
      </w:pPr>
      <w:r w:rsidRPr="008B052A">
        <w:t xml:space="preserve">The number and scale of natural disasters become more prominent, and travel in Australia becomes increasingly associated with the potential for disruptions from natural disasters. </w:t>
      </w:r>
    </w:p>
    <w:p w14:paraId="3693E4B9" w14:textId="77777777" w:rsidR="00491F4E" w:rsidRPr="008B052A" w:rsidRDefault="00491F4E" w:rsidP="00491F4E">
      <w:pPr>
        <w:pStyle w:val="ListParagraph"/>
        <w:numPr>
          <w:ilvl w:val="0"/>
          <w:numId w:val="27"/>
        </w:numPr>
      </w:pPr>
      <w:r w:rsidRPr="008B052A">
        <w:t>The impact of additional domestic and global policies to address sustainability, particularly related to the aviation sector for example either through taxes, fees, or higher airfares due to a transition to (assumed) higher cost sustainable fuels.</w:t>
      </w:r>
    </w:p>
    <w:p w14:paraId="62BA62C6" w14:textId="77777777" w:rsidR="00491F4E" w:rsidRPr="008B052A" w:rsidRDefault="00491F4E" w:rsidP="00491F4E">
      <w:pPr>
        <w:pStyle w:val="ListParagraph"/>
        <w:numPr>
          <w:ilvl w:val="0"/>
          <w:numId w:val="27"/>
        </w:numPr>
      </w:pPr>
      <w:r w:rsidRPr="008B052A">
        <w:t xml:space="preserve">Policies related to international students in Australia lead to restricted growth in visitor arrivals for education – and flow-on visiting friends and relatives – from many markets, including key source markets. </w:t>
      </w:r>
    </w:p>
    <w:p w14:paraId="236C3068" w14:textId="77777777" w:rsidR="00491F4E" w:rsidRPr="008B052A" w:rsidRDefault="00491F4E" w:rsidP="00491F4E">
      <w:pPr>
        <w:pStyle w:val="ListParagraph"/>
        <w:numPr>
          <w:ilvl w:val="0"/>
          <w:numId w:val="27"/>
        </w:numPr>
      </w:pPr>
      <w:r w:rsidRPr="008B052A">
        <w:t xml:space="preserve">Aviation capacity </w:t>
      </w:r>
      <w:r>
        <w:t xml:space="preserve">growth </w:t>
      </w:r>
      <w:r w:rsidRPr="008B052A">
        <w:t xml:space="preserve">continues to favour outbound travel destinations and additional routes </w:t>
      </w:r>
      <w:r>
        <w:t xml:space="preserve">that target inbound markets </w:t>
      </w:r>
      <w:r w:rsidRPr="008B052A">
        <w:t>are limited, as airlines continue to seek high margins. Consequently, growth in arrivals via the new Nancy-Bird Walton international airport in Western Sydney is more moderate than assumed in the central scenario.</w:t>
      </w:r>
    </w:p>
    <w:p w14:paraId="0889BD88" w14:textId="77777777" w:rsidR="00491F4E" w:rsidRPr="008B052A" w:rsidRDefault="00491F4E" w:rsidP="00491F4E">
      <w:r w:rsidRPr="008B052A">
        <w:t>In addition, there is an ongoing risk of global conflicts, including conflicts that lead to occasional impacts on travel routes, which weighs on travel sentiment.</w:t>
      </w:r>
    </w:p>
    <w:p w14:paraId="2738C347" w14:textId="77777777" w:rsidR="00491F4E" w:rsidRPr="008B052A" w:rsidRDefault="00491F4E" w:rsidP="00491F4E">
      <w:r w:rsidRPr="008B052A">
        <w:lastRenderedPageBreak/>
        <w:t xml:space="preserve">Under these </w:t>
      </w:r>
      <w:r>
        <w:t>more</w:t>
      </w:r>
      <w:r w:rsidRPr="008B052A">
        <w:t xml:space="preserve"> pessimistic conditions</w:t>
      </w:r>
      <w:r>
        <w:t xml:space="preserve"> relative to the central case</w:t>
      </w:r>
      <w:r w:rsidRPr="008B052A">
        <w:t xml:space="preserve">, Australia continues to reap the benefit of its reputation as a safe and friendly destination, however, international arrival growth is more muted. In the pessimistic scenario, annual growth in arrivals could average </w:t>
      </w:r>
      <w:r>
        <w:t>2.9</w:t>
      </w:r>
      <w:r w:rsidRPr="008B052A">
        <w:t xml:space="preserve">% over the forecast period. This results in total arrivals reaching just over 10 million in 2030. In this scenario, arrivals from key markets, in particular China and the USA grow much more slowly. </w:t>
      </w:r>
    </w:p>
    <w:p w14:paraId="6A301885" w14:textId="09834BF5" w:rsidR="00491F4E" w:rsidRPr="008B052A" w:rsidRDefault="00491F4E" w:rsidP="00491F4E">
      <w:pPr>
        <w:pStyle w:val="Heading3"/>
      </w:pPr>
      <w:bookmarkStart w:id="80" w:name="_Toc214539207"/>
      <w:r>
        <w:t>Alternative domestic projections</w:t>
      </w:r>
      <w:bookmarkEnd w:id="80"/>
    </w:p>
    <w:p w14:paraId="04FBCEBA" w14:textId="13AF87C5" w:rsidR="00C064F6" w:rsidRPr="008B052A" w:rsidRDefault="00C064F6" w:rsidP="00C064F6">
      <w:pPr>
        <w:pStyle w:val="Heading4"/>
      </w:pPr>
      <w:r w:rsidRPr="008B052A">
        <w:t>Domestic optimistic scenario</w:t>
      </w:r>
    </w:p>
    <w:p w14:paraId="1629DFA7" w14:textId="0E7E9ADD" w:rsidR="003E7351" w:rsidRPr="008B052A" w:rsidRDefault="003E7351" w:rsidP="000E087B">
      <w:r w:rsidRPr="008B052A">
        <w:t xml:space="preserve">The domestic optimistic scenario is characterised by a combination of the following more optimistic </w:t>
      </w:r>
      <w:r w:rsidR="00E9430A">
        <w:t>conditions</w:t>
      </w:r>
      <w:r w:rsidR="00541967" w:rsidRPr="008B052A">
        <w:t xml:space="preserve"> </w:t>
      </w:r>
      <w:r w:rsidRPr="008B052A">
        <w:t xml:space="preserve">relative to the </w:t>
      </w:r>
      <w:r w:rsidR="00C064F6" w:rsidRPr="008B052A">
        <w:t>central</w:t>
      </w:r>
      <w:r w:rsidRPr="008B052A">
        <w:t xml:space="preserve"> projection:</w:t>
      </w:r>
    </w:p>
    <w:p w14:paraId="7A0FF853" w14:textId="1FF1EBB3" w:rsidR="00F87345" w:rsidRPr="008B052A" w:rsidRDefault="00F87345" w:rsidP="00F87345">
      <w:pPr>
        <w:pStyle w:val="ListParagraph"/>
        <w:numPr>
          <w:ilvl w:val="0"/>
          <w:numId w:val="26"/>
        </w:numPr>
      </w:pPr>
      <w:r w:rsidRPr="008B052A">
        <w:t xml:space="preserve">Stronger economic growth </w:t>
      </w:r>
      <w:r w:rsidR="00C064F6" w:rsidRPr="008B052A">
        <w:t xml:space="preserve">in Australia </w:t>
      </w:r>
      <w:r w:rsidRPr="008B052A">
        <w:t>with better employment and wage outcomes, while inflation remains at the low end of the RBA target band, supporting faster than expected growth in real household disposable income.</w:t>
      </w:r>
    </w:p>
    <w:p w14:paraId="5F75D1AC" w14:textId="1D82B13F" w:rsidR="003E7351" w:rsidRPr="008B052A" w:rsidRDefault="003E7351" w:rsidP="000E087B">
      <w:pPr>
        <w:pStyle w:val="ListParagraph"/>
        <w:numPr>
          <w:ilvl w:val="0"/>
          <w:numId w:val="26"/>
        </w:numPr>
      </w:pPr>
      <w:r w:rsidRPr="008B052A">
        <w:t>Stronger average annual population growth of 1.8% over the 5-year forecast period</w:t>
      </w:r>
      <w:r w:rsidRPr="008B052A">
        <w:rPr>
          <w:rStyle w:val="FootnoteReference"/>
        </w:rPr>
        <w:footnoteReference w:id="5"/>
      </w:r>
      <w:r w:rsidR="001963D8" w:rsidRPr="008B052A">
        <w:t>.</w:t>
      </w:r>
    </w:p>
    <w:p w14:paraId="14E2B5F8" w14:textId="75293309" w:rsidR="003E7351" w:rsidRPr="008B052A" w:rsidRDefault="003E7351" w:rsidP="000E087B">
      <w:pPr>
        <w:pStyle w:val="ListParagraph"/>
        <w:numPr>
          <w:ilvl w:val="0"/>
          <w:numId w:val="26"/>
        </w:numPr>
      </w:pPr>
      <w:r w:rsidRPr="008B052A">
        <w:t>Australians continue to prioritise travel and are willing to spend their income to maintain or grow travel’s share of household discretionary spending</w:t>
      </w:r>
      <w:r w:rsidR="001963D8" w:rsidRPr="008B052A">
        <w:t>.</w:t>
      </w:r>
    </w:p>
    <w:p w14:paraId="586BACE1" w14:textId="6CBE759B" w:rsidR="003E7351" w:rsidRPr="008B052A" w:rsidRDefault="003E7351" w:rsidP="000E087B">
      <w:pPr>
        <w:pStyle w:val="ListParagraph"/>
        <w:numPr>
          <w:ilvl w:val="0"/>
          <w:numId w:val="26"/>
        </w:numPr>
      </w:pPr>
      <w:r w:rsidRPr="008B052A">
        <w:t xml:space="preserve">Domestic aviation capacity and competitiveness </w:t>
      </w:r>
      <w:r w:rsidR="001A4288" w:rsidRPr="008B052A">
        <w:t>improve</w:t>
      </w:r>
      <w:r w:rsidRPr="008B052A">
        <w:t>, while fuel price inflation and other travel cost growth is moderate and predictable (i.e. reduced volatility and general price increases in line with economy-wide inflation)</w:t>
      </w:r>
      <w:r w:rsidR="00A124E0" w:rsidRPr="008B052A">
        <w:t>.</w:t>
      </w:r>
    </w:p>
    <w:p w14:paraId="35D42003" w14:textId="77777777" w:rsidR="003E7351" w:rsidRPr="008B052A" w:rsidRDefault="003E7351" w:rsidP="000E087B">
      <w:pPr>
        <w:pStyle w:val="ListParagraph"/>
        <w:numPr>
          <w:ilvl w:val="0"/>
          <w:numId w:val="26"/>
        </w:numPr>
      </w:pPr>
      <w:r w:rsidRPr="008B052A">
        <w:t>No step-up in the scale of impact from natural disasters on domestic travel preferences.</w:t>
      </w:r>
    </w:p>
    <w:p w14:paraId="25DCD8A0" w14:textId="2B0C7023" w:rsidR="003E7351" w:rsidRPr="008B052A" w:rsidRDefault="003E7351" w:rsidP="000E087B">
      <w:r w:rsidRPr="008B052A">
        <w:t xml:space="preserve">Under these more optimistic conditions, growth in domestic trips, nights and spend is higher than in the </w:t>
      </w:r>
      <w:r w:rsidR="00604017" w:rsidRPr="008B052A">
        <w:t>central</w:t>
      </w:r>
      <w:r w:rsidRPr="008B052A">
        <w:t xml:space="preserve"> scenario. </w:t>
      </w:r>
    </w:p>
    <w:p w14:paraId="246F3B2F" w14:textId="60004957" w:rsidR="003E7351" w:rsidRPr="008B052A" w:rsidRDefault="0C04E064" w:rsidP="000E087B">
      <w:pPr>
        <w:spacing w:line="300" w:lineRule="atLeast"/>
      </w:pPr>
      <w:r w:rsidRPr="008B052A">
        <w:t>In the optimistic forecast scenario, d</w:t>
      </w:r>
      <w:r w:rsidR="27357F40" w:rsidRPr="008B052A">
        <w:t xml:space="preserve">omestic overnight trips </w:t>
      </w:r>
      <w:r w:rsidR="27357F40" w:rsidRPr="0055668F">
        <w:t xml:space="preserve">could grow by </w:t>
      </w:r>
      <w:r w:rsidR="15AAE7B5" w:rsidRPr="0055668F">
        <w:t>2.6</w:t>
      </w:r>
      <w:r w:rsidR="27357F40" w:rsidRPr="0055668F">
        <w:t xml:space="preserve">% per year on average over 2025 to 2030, to </w:t>
      </w:r>
      <w:r w:rsidR="62F0EBEF" w:rsidRPr="0055668F">
        <w:t>close to</w:t>
      </w:r>
      <w:r w:rsidR="27357F40" w:rsidRPr="0055668F">
        <w:t xml:space="preserve"> 1</w:t>
      </w:r>
      <w:r w:rsidR="06270F5C" w:rsidRPr="0055668F">
        <w:t>30</w:t>
      </w:r>
      <w:r w:rsidR="27357F40" w:rsidRPr="0055668F">
        <w:t xml:space="preserve"> million in 2030, which</w:t>
      </w:r>
      <w:r w:rsidR="27357F40" w:rsidRPr="008B052A">
        <w:t xml:space="preserve"> is </w:t>
      </w:r>
      <w:r w:rsidR="79F6B648" w:rsidRPr="008B052A">
        <w:t>5.3</w:t>
      </w:r>
      <w:r w:rsidR="27357F40" w:rsidRPr="008B052A">
        <w:t xml:space="preserve">% higher than the central scenario forecast (Figure </w:t>
      </w:r>
      <w:r w:rsidR="0055668F">
        <w:t>2</w:t>
      </w:r>
      <w:r w:rsidR="001D1F44">
        <w:t>1</w:t>
      </w:r>
      <w:r w:rsidR="27357F40" w:rsidRPr="008B052A">
        <w:t xml:space="preserve">). </w:t>
      </w:r>
      <w:r w:rsidR="519D4A02" w:rsidRPr="008B052A">
        <w:t>T</w:t>
      </w:r>
      <w:r w:rsidR="27357F40" w:rsidRPr="008B052A">
        <w:t xml:space="preserve">his is associated with a </w:t>
      </w:r>
      <w:r w:rsidR="0B4BA272" w:rsidRPr="008B052A">
        <w:t>soli</w:t>
      </w:r>
      <w:r w:rsidR="27357F40" w:rsidRPr="008B052A">
        <w:t>d increase in the number of domestic overnight trips per person</w:t>
      </w:r>
      <w:r w:rsidR="1404F99C" w:rsidRPr="008B052A">
        <w:t>.</w:t>
      </w:r>
    </w:p>
    <w:p w14:paraId="5A3E315F" w14:textId="39DAAFA9" w:rsidR="003E7351" w:rsidRDefault="7CF2516E" w:rsidP="000E087B">
      <w:pPr>
        <w:spacing w:line="300" w:lineRule="atLeast"/>
      </w:pPr>
      <w:r w:rsidRPr="008B052A">
        <w:t>Domestic visitor n</w:t>
      </w:r>
      <w:r w:rsidR="27357F40" w:rsidRPr="008B052A">
        <w:t xml:space="preserve">ights </w:t>
      </w:r>
      <w:r w:rsidRPr="008B052A">
        <w:t>w</w:t>
      </w:r>
      <w:r w:rsidR="27357F40" w:rsidRPr="008B052A">
        <w:t>ould increase by more than the number of trips, as the optimistic conditions afford an increase in the average length of trip</w:t>
      </w:r>
      <w:r w:rsidR="60E882EF" w:rsidRPr="008B052A">
        <w:t xml:space="preserve">. </w:t>
      </w:r>
    </w:p>
    <w:p w14:paraId="34D429C7" w14:textId="2FCA6842" w:rsidR="00016A09" w:rsidRPr="00016A09" w:rsidRDefault="00016A09" w:rsidP="00016A09">
      <w:pPr>
        <w:keepNext/>
        <w:spacing w:before="0" w:after="0"/>
        <w:rPr>
          <w:rFonts w:eastAsia="Times New Roman" w:cs="Times New Roman"/>
          <w:b/>
          <w:bCs/>
          <w:color w:val="300050"/>
          <w:lang w:eastAsia="en-AU"/>
        </w:rPr>
      </w:pPr>
      <w:r w:rsidRPr="008B052A">
        <w:rPr>
          <w:rFonts w:eastAsia="Verdana" w:cs="Times New Roman"/>
          <w:b/>
          <w:bCs/>
          <w:color w:val="300050" w:themeColor="text2"/>
        </w:rPr>
        <w:lastRenderedPageBreak/>
        <w:t xml:space="preserve">Figure </w:t>
      </w:r>
      <w:r>
        <w:rPr>
          <w:rFonts w:eastAsia="Verdana" w:cs="Times New Roman"/>
          <w:b/>
          <w:bCs/>
          <w:color w:val="300050" w:themeColor="text2"/>
        </w:rPr>
        <w:t>2</w:t>
      </w:r>
      <w:r w:rsidR="00491F4E">
        <w:rPr>
          <w:rFonts w:eastAsia="Verdana" w:cs="Times New Roman"/>
          <w:b/>
          <w:bCs/>
          <w:color w:val="300050" w:themeColor="text2"/>
        </w:rPr>
        <w:t>1</w:t>
      </w:r>
      <w:r w:rsidRPr="008B052A">
        <w:rPr>
          <w:rFonts w:eastAsia="Verdana" w:cs="Times New Roman"/>
          <w:b/>
          <w:bCs/>
          <w:color w:val="300050" w:themeColor="text2"/>
        </w:rPr>
        <w:t>.</w:t>
      </w:r>
      <w:r w:rsidRPr="008B052A">
        <w:rPr>
          <w:rFonts w:eastAsia="Verdana" w:cs="Times New Roman"/>
          <w:color w:val="300050" w:themeColor="text2"/>
        </w:rPr>
        <w:t xml:space="preserve"> </w:t>
      </w:r>
      <w:r w:rsidR="00D91945">
        <w:rPr>
          <w:color w:val="300050" w:themeColor="text2"/>
        </w:rPr>
        <w:t>Domestic o</w:t>
      </w:r>
      <w:r w:rsidRPr="008B052A">
        <w:rPr>
          <w:color w:val="300050" w:themeColor="text2"/>
        </w:rPr>
        <w:t>v</w:t>
      </w:r>
      <w:r w:rsidR="00D91945">
        <w:rPr>
          <w:color w:val="300050" w:themeColor="text2"/>
        </w:rPr>
        <w:t>e</w:t>
      </w:r>
      <w:r w:rsidRPr="008B052A">
        <w:rPr>
          <w:color w:val="300050" w:themeColor="text2"/>
        </w:rPr>
        <w:t>r</w:t>
      </w:r>
      <w:r w:rsidR="00D91945">
        <w:rPr>
          <w:color w:val="300050" w:themeColor="text2"/>
        </w:rPr>
        <w:t>night</w:t>
      </w:r>
      <w:r w:rsidRPr="008B052A">
        <w:rPr>
          <w:color w:val="300050" w:themeColor="text2"/>
        </w:rPr>
        <w:t xml:space="preserve"> </w:t>
      </w:r>
      <w:r w:rsidR="00D91945">
        <w:rPr>
          <w:color w:val="300050" w:themeColor="text2"/>
        </w:rPr>
        <w:t xml:space="preserve">trip </w:t>
      </w:r>
      <w:r w:rsidRPr="008B052A">
        <w:rPr>
          <w:color w:val="300050" w:themeColor="text2"/>
        </w:rPr>
        <w:t>projections in the pessimistic</w:t>
      </w:r>
      <w:r>
        <w:rPr>
          <w:color w:val="300050" w:themeColor="text2"/>
        </w:rPr>
        <w:t xml:space="preserve"> </w:t>
      </w:r>
      <w:r w:rsidRPr="008B052A">
        <w:rPr>
          <w:color w:val="300050" w:themeColor="text2"/>
        </w:rPr>
        <w:t>and optimistic scenarios</w:t>
      </w:r>
      <w:r>
        <w:rPr>
          <w:color w:val="300050" w:themeColor="text2"/>
        </w:rPr>
        <w:t xml:space="preserve"> compared with central forecast</w:t>
      </w:r>
      <w:r w:rsidRPr="008B052A">
        <w:rPr>
          <w:color w:val="300050" w:themeColor="text2"/>
        </w:rPr>
        <w:t xml:space="preserve">. </w:t>
      </w:r>
      <w:r w:rsidR="00B1013E">
        <w:rPr>
          <w:rFonts w:eastAsia="Times New Roman" w:cs="Times New Roman"/>
          <w:color w:val="300050"/>
          <w:lang w:eastAsia="en-AU"/>
        </w:rPr>
        <w:t>Reported</w:t>
      </w:r>
      <w:r w:rsidRPr="008B052A">
        <w:rPr>
          <w:rFonts w:eastAsia="Times New Roman" w:cs="Times New Roman"/>
          <w:color w:val="300050"/>
          <w:lang w:eastAsia="en-AU"/>
        </w:rPr>
        <w:t xml:space="preserve"> values to 2024, forecast values from 2025 onwards</w:t>
      </w:r>
      <w:r w:rsidRPr="008B052A">
        <w:rPr>
          <w:color w:val="300050" w:themeColor="text2"/>
        </w:rPr>
        <w:t>.</w:t>
      </w:r>
    </w:p>
    <w:p w14:paraId="1EF8E54D" w14:textId="205897D2" w:rsidR="003E7351" w:rsidRPr="008B052A" w:rsidRDefault="009D492D" w:rsidP="003E7351">
      <w:pPr>
        <w:spacing w:line="240" w:lineRule="atLeast"/>
      </w:pPr>
      <w:r w:rsidRPr="009D492D">
        <w:rPr>
          <w:noProof/>
        </w:rPr>
        <w:drawing>
          <wp:inline distT="0" distB="0" distL="0" distR="0" wp14:anchorId="2E37BC30" wp14:editId="5A1DEDC0">
            <wp:extent cx="6329680" cy="3439160"/>
            <wp:effectExtent l="0" t="0" r="0" b="8890"/>
            <wp:docPr id="2060758576" name="Picture 22" descr="Time series chart from 2019 to 2030 showing the projected path for the number of domestic overnight trips in Australia based on the optimistic and pessimistic scenario outlines, as well as the central forecast for domestic overnight tri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58576" name="Picture 22" descr="Time series chart from 2019 to 2030 showing the projected path for the number of domestic overnight trips in Australia based on the optimistic and pessimistic scenario outlines, as well as the central forecast for domestic overnight trips.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29680" cy="3439160"/>
                    </a:xfrm>
                    <a:prstGeom prst="rect">
                      <a:avLst/>
                    </a:prstGeom>
                    <a:noFill/>
                    <a:ln>
                      <a:noFill/>
                    </a:ln>
                  </pic:spPr>
                </pic:pic>
              </a:graphicData>
            </a:graphic>
          </wp:inline>
        </w:drawing>
      </w:r>
    </w:p>
    <w:p w14:paraId="4202DD18" w14:textId="4E0F6470" w:rsidR="00B42F41" w:rsidRPr="008B052A" w:rsidRDefault="00B42F41" w:rsidP="00B42F41">
      <w:pPr>
        <w:pStyle w:val="Heading4"/>
      </w:pPr>
      <w:r w:rsidRPr="008B052A">
        <w:t>Domestic pessimistic scenario</w:t>
      </w:r>
    </w:p>
    <w:p w14:paraId="375C6694" w14:textId="7FC7ECE6" w:rsidR="003E7351" w:rsidRPr="008B052A" w:rsidRDefault="003E7351" w:rsidP="000E087B">
      <w:r w:rsidRPr="008B052A">
        <w:t xml:space="preserve">The domestic pessimistic scenario is characterised by a combination of the following </w:t>
      </w:r>
      <w:r w:rsidR="00435B67">
        <w:t>conditions</w:t>
      </w:r>
      <w:r w:rsidRPr="008B052A">
        <w:t>:</w:t>
      </w:r>
    </w:p>
    <w:p w14:paraId="6ED80CE9" w14:textId="1183B833" w:rsidR="003E7351" w:rsidRPr="008B052A" w:rsidRDefault="003E7351" w:rsidP="000E087B">
      <w:pPr>
        <w:pStyle w:val="ListParagraph"/>
        <w:numPr>
          <w:ilvl w:val="0"/>
          <w:numId w:val="26"/>
        </w:numPr>
      </w:pPr>
      <w:r w:rsidRPr="008B052A">
        <w:t>Average annual population growth of 1.4% over the 5-year forecast period (aligning with the ABS low projection series)</w:t>
      </w:r>
      <w:r w:rsidR="00AA1C55" w:rsidRPr="008B052A">
        <w:t>.</w:t>
      </w:r>
    </w:p>
    <w:p w14:paraId="71743BFB" w14:textId="3308BC9E" w:rsidR="003E7351" w:rsidRPr="008B052A" w:rsidRDefault="003E7351" w:rsidP="000E087B">
      <w:pPr>
        <w:pStyle w:val="ListParagraph"/>
        <w:numPr>
          <w:ilvl w:val="0"/>
          <w:numId w:val="26"/>
        </w:numPr>
      </w:pPr>
      <w:r w:rsidRPr="008B052A">
        <w:t xml:space="preserve">Domestic travel costs </w:t>
      </w:r>
      <w:proofErr w:type="spellStart"/>
      <w:r w:rsidRPr="008B052A">
        <w:t>increase</w:t>
      </w:r>
      <w:proofErr w:type="spellEnd"/>
      <w:r w:rsidRPr="008B052A">
        <w:t xml:space="preserve"> considerably more than nation-wide inflation and fuel prices increase</w:t>
      </w:r>
      <w:r w:rsidR="00D96DD1" w:rsidRPr="008B052A">
        <w:t>,</w:t>
      </w:r>
      <w:r w:rsidRPr="008B052A">
        <w:t xml:space="preserve"> with volatility possibly due to an escalation in geopolitical tensions.</w:t>
      </w:r>
    </w:p>
    <w:p w14:paraId="132DF769" w14:textId="77777777" w:rsidR="003E7351" w:rsidRPr="008B052A" w:rsidRDefault="003E7351" w:rsidP="000E087B">
      <w:pPr>
        <w:pStyle w:val="ListParagraph"/>
        <w:numPr>
          <w:ilvl w:val="0"/>
          <w:numId w:val="26"/>
        </w:numPr>
      </w:pPr>
      <w:r w:rsidRPr="008B052A">
        <w:t>Continuation of strong outbound travel demand that limits growth in domestic travel, particularly for interstate overnight holiday trips.</w:t>
      </w:r>
    </w:p>
    <w:p w14:paraId="657927EC" w14:textId="434F9D28" w:rsidR="003E7351" w:rsidRPr="008B052A" w:rsidRDefault="003E7351" w:rsidP="000E087B">
      <w:pPr>
        <w:pStyle w:val="ListParagraph"/>
        <w:numPr>
          <w:ilvl w:val="0"/>
          <w:numId w:val="26"/>
        </w:numPr>
      </w:pPr>
      <w:r w:rsidRPr="008B052A">
        <w:t>Increase in the incidence and impact of extreme weather events on tourism hotspots</w:t>
      </w:r>
      <w:r w:rsidR="00DF5B38" w:rsidRPr="008B052A">
        <w:t>.</w:t>
      </w:r>
    </w:p>
    <w:p w14:paraId="73FD6C16" w14:textId="007AFF45" w:rsidR="003E7351" w:rsidRPr="008B052A" w:rsidRDefault="003E7351" w:rsidP="000E087B">
      <w:pPr>
        <w:pStyle w:val="ListParagraph"/>
        <w:numPr>
          <w:ilvl w:val="0"/>
          <w:numId w:val="26"/>
        </w:numPr>
      </w:pPr>
      <w:r w:rsidRPr="008B052A">
        <w:t xml:space="preserve">The economy underperforms over the forecast period with cost-of-living </w:t>
      </w:r>
      <w:r w:rsidR="00BE466F">
        <w:t>challenges</w:t>
      </w:r>
      <w:r w:rsidR="00BE466F" w:rsidRPr="008B052A">
        <w:t xml:space="preserve"> </w:t>
      </w:r>
      <w:r w:rsidRPr="008B052A">
        <w:t>remaining more evident</w:t>
      </w:r>
      <w:r w:rsidR="00E57A11" w:rsidRPr="008B052A">
        <w:t>.</w:t>
      </w:r>
    </w:p>
    <w:p w14:paraId="5C2882A6" w14:textId="53ED0374" w:rsidR="003E7351" w:rsidRPr="008B052A" w:rsidRDefault="003E7351" w:rsidP="000E087B">
      <w:pPr>
        <w:pStyle w:val="ListParagraph"/>
        <w:numPr>
          <w:ilvl w:val="0"/>
          <w:numId w:val="26"/>
        </w:numPr>
      </w:pPr>
      <w:r w:rsidRPr="008B052A">
        <w:t>Australians reduce discretionary spending, particularly the share of spend allocated to domestic travel</w:t>
      </w:r>
      <w:r w:rsidR="00E57A11" w:rsidRPr="008B052A">
        <w:t>.</w:t>
      </w:r>
    </w:p>
    <w:p w14:paraId="552AAA18" w14:textId="57643FCA" w:rsidR="003E7351" w:rsidRPr="008B052A" w:rsidRDefault="003E7351" w:rsidP="00FE774F">
      <w:pPr>
        <w:pStyle w:val="ListParagraph"/>
        <w:numPr>
          <w:ilvl w:val="0"/>
          <w:numId w:val="26"/>
        </w:numPr>
      </w:pPr>
      <w:r w:rsidRPr="008B052A">
        <w:t>No change in aviation competitiveness and capacity growth despite recent and upcoming changes in domestic aviation settings.</w:t>
      </w:r>
    </w:p>
    <w:p w14:paraId="77608DF7" w14:textId="13B79674" w:rsidR="00E57A11" w:rsidRPr="008B052A" w:rsidRDefault="003E7351" w:rsidP="00FE774F">
      <w:r w:rsidRPr="008B052A">
        <w:t>Under these conditions, growth in day trips is expected to outperform overnight trips through</w:t>
      </w:r>
      <w:r w:rsidR="00B42F41" w:rsidRPr="008B052A">
        <w:t>out</w:t>
      </w:r>
      <w:r w:rsidRPr="008B052A">
        <w:t xml:space="preserve"> the forecast period. Overnight trips could </w:t>
      </w:r>
      <w:r w:rsidR="0008099D">
        <w:t xml:space="preserve">also </w:t>
      </w:r>
      <w:r w:rsidRPr="008B052A">
        <w:t xml:space="preserve">become shorter and generate lower average spend per night. </w:t>
      </w:r>
    </w:p>
    <w:p w14:paraId="1445AC6B" w14:textId="63A79BBD" w:rsidR="003E7351" w:rsidRPr="008B052A" w:rsidRDefault="27357F40" w:rsidP="3582A4C7">
      <w:pPr>
        <w:rPr>
          <w:i/>
          <w:iCs/>
        </w:rPr>
      </w:pPr>
      <w:r w:rsidRPr="008B052A">
        <w:t>As a result of the soft economic conditions and continued household budget pressures in the pessimistic scenario, domestic overnight spend</w:t>
      </w:r>
      <w:r w:rsidR="509190C7" w:rsidRPr="008B052A">
        <w:t xml:space="preserve"> would still increase, but would be approximately $</w:t>
      </w:r>
      <w:r w:rsidR="3A84424D" w:rsidRPr="008B052A">
        <w:t>10</w:t>
      </w:r>
      <w:r w:rsidR="509190C7" w:rsidRPr="008B052A">
        <w:t xml:space="preserve"> billion lower than the central forecast</w:t>
      </w:r>
      <w:r w:rsidR="0729ADFE" w:rsidRPr="008B052A">
        <w:t xml:space="preserve"> over the forecast </w:t>
      </w:r>
      <w:r w:rsidR="425A8821" w:rsidRPr="008B052A">
        <w:t>period,</w:t>
      </w:r>
      <w:r w:rsidRPr="008B052A">
        <w:t xml:space="preserve"> </w:t>
      </w:r>
      <w:r w:rsidR="425A8821" w:rsidRPr="008B052A">
        <w:t xml:space="preserve">reaching </w:t>
      </w:r>
      <w:r w:rsidRPr="008B052A">
        <w:t>$1</w:t>
      </w:r>
      <w:r w:rsidR="67EDA186" w:rsidRPr="008B052A">
        <w:t>20.3</w:t>
      </w:r>
      <w:r w:rsidRPr="008B052A">
        <w:t xml:space="preserve"> billion in 2030</w:t>
      </w:r>
      <w:r w:rsidR="002D09F4">
        <w:t xml:space="preserve"> (Figure 22)</w:t>
      </w:r>
      <w:r w:rsidRPr="008B052A">
        <w:t xml:space="preserve">. This represents a cumulative reduction in growth of one-third over the next 5 </w:t>
      </w:r>
      <w:r w:rsidRPr="008B052A">
        <w:lastRenderedPageBreak/>
        <w:t>years: 14% growth over the period</w:t>
      </w:r>
      <w:r w:rsidR="42487943" w:rsidRPr="008B052A">
        <w:t xml:space="preserve"> in the pessimistic scenario</w:t>
      </w:r>
      <w:r w:rsidRPr="008B052A">
        <w:t>, compared with 2</w:t>
      </w:r>
      <w:r w:rsidR="082769C1" w:rsidRPr="008B052A">
        <w:t>1</w:t>
      </w:r>
      <w:r w:rsidRPr="008B052A">
        <w:t>%</w:t>
      </w:r>
      <w:r w:rsidR="42487943" w:rsidRPr="008B052A">
        <w:t xml:space="preserve"> growth</w:t>
      </w:r>
      <w:r w:rsidRPr="008B052A">
        <w:t xml:space="preserve"> in the </w:t>
      </w:r>
      <w:r w:rsidR="42487943" w:rsidRPr="008B052A">
        <w:t>central</w:t>
      </w:r>
      <w:r w:rsidRPr="008B052A">
        <w:t xml:space="preserve"> scenario.</w:t>
      </w:r>
    </w:p>
    <w:p w14:paraId="77DEEB74" w14:textId="4CCBEAF0" w:rsidR="009E6114" w:rsidRPr="00412A35" w:rsidRDefault="009E6114" w:rsidP="009E6114">
      <w:pPr>
        <w:keepNext/>
        <w:spacing w:before="0" w:after="0"/>
        <w:rPr>
          <w:rFonts w:eastAsia="Times New Roman" w:cs="Times New Roman"/>
          <w:b/>
          <w:bCs/>
          <w:color w:val="300050"/>
          <w:lang w:eastAsia="en-AU"/>
        </w:rPr>
      </w:pPr>
      <w:r w:rsidRPr="5A740D18">
        <w:rPr>
          <w:rFonts w:eastAsia="Verdana" w:cs="Times New Roman"/>
          <w:b/>
          <w:color w:val="300050" w:themeColor="accent2"/>
        </w:rPr>
        <w:t xml:space="preserve">Figure </w:t>
      </w:r>
      <w:r w:rsidR="00137D06" w:rsidRPr="5A740D18">
        <w:rPr>
          <w:rFonts w:eastAsia="Verdana" w:cs="Times New Roman"/>
          <w:b/>
          <w:color w:val="300050" w:themeColor="accent2"/>
        </w:rPr>
        <w:t>22</w:t>
      </w:r>
      <w:r w:rsidRPr="5A740D18">
        <w:rPr>
          <w:rFonts w:eastAsia="Verdana" w:cs="Times New Roman"/>
          <w:b/>
          <w:color w:val="300050" w:themeColor="accent2"/>
        </w:rPr>
        <w:t>.</w:t>
      </w:r>
      <w:r w:rsidRPr="5A740D18">
        <w:rPr>
          <w:rFonts w:eastAsia="Verdana" w:cs="Times New Roman"/>
          <w:color w:val="300050" w:themeColor="accent2"/>
        </w:rPr>
        <w:t xml:space="preserve"> </w:t>
      </w:r>
      <w:r w:rsidR="0C74F3F0" w:rsidRPr="5A740D18">
        <w:rPr>
          <w:color w:val="300050" w:themeColor="accent2"/>
        </w:rPr>
        <w:t>Domestic overnight</w:t>
      </w:r>
      <w:r w:rsidRPr="5A740D18">
        <w:rPr>
          <w:color w:val="300050" w:themeColor="accent2"/>
        </w:rPr>
        <w:t xml:space="preserve"> </w:t>
      </w:r>
      <w:r w:rsidR="7F92E4C8" w:rsidRPr="30CC94EC">
        <w:rPr>
          <w:color w:val="300050" w:themeColor="accent2"/>
        </w:rPr>
        <w:t xml:space="preserve">trip </w:t>
      </w:r>
      <w:proofErr w:type="gramStart"/>
      <w:r w:rsidRPr="5A740D18">
        <w:rPr>
          <w:color w:val="300050" w:themeColor="accent2"/>
        </w:rPr>
        <w:t>spend</w:t>
      </w:r>
      <w:proofErr w:type="gramEnd"/>
      <w:r w:rsidRPr="5A740D18">
        <w:rPr>
          <w:color w:val="300050" w:themeColor="accent2"/>
        </w:rPr>
        <w:t xml:space="preserve"> in the pessimistic and optimistic scenarios compared with central forecast. </w:t>
      </w:r>
      <w:r w:rsidR="00B1013E">
        <w:rPr>
          <w:rFonts w:eastAsia="Times New Roman" w:cs="Times New Roman"/>
          <w:color w:val="300050" w:themeColor="accent2"/>
          <w:lang w:eastAsia="en-AU"/>
        </w:rPr>
        <w:t>Reported</w:t>
      </w:r>
      <w:r w:rsidRPr="5A740D18">
        <w:rPr>
          <w:rFonts w:eastAsia="Times New Roman" w:cs="Times New Roman"/>
          <w:color w:val="300050" w:themeColor="accent2"/>
          <w:lang w:eastAsia="en-AU"/>
        </w:rPr>
        <w:t xml:space="preserve"> values to 2024, forecast values from 2025 onwards</w:t>
      </w:r>
      <w:r w:rsidRPr="5A740D18">
        <w:rPr>
          <w:color w:val="300050" w:themeColor="accent2"/>
        </w:rPr>
        <w:t>.</w:t>
      </w:r>
    </w:p>
    <w:p w14:paraId="4FF44396" w14:textId="602F4A97" w:rsidR="003E7351" w:rsidRPr="008B052A" w:rsidRDefault="00F3253F" w:rsidP="003E7351">
      <w:pPr>
        <w:spacing w:line="240" w:lineRule="atLeast"/>
      </w:pPr>
      <w:r w:rsidRPr="00F3253F">
        <w:rPr>
          <w:noProof/>
        </w:rPr>
        <w:drawing>
          <wp:inline distT="0" distB="0" distL="0" distR="0" wp14:anchorId="765F291A" wp14:editId="1D19AEFD">
            <wp:extent cx="6329680" cy="3439160"/>
            <wp:effectExtent l="0" t="0" r="0" b="8890"/>
            <wp:docPr id="579085958" name="Picture 23" descr="Time series chart from 2019 to 2030 showing the projected path for domestic overnight trip spend in Australia based on the optimistic and pessimistic scenario outlines, as well as the central forecast for domestic overnight trip sp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85958" name="Picture 23" descr="Time series chart from 2019 to 2030 showing the projected path for domestic overnight trip spend in Australia based on the optimistic and pessimistic scenario outlines, as well as the central forecast for domestic overnight trip spend.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29680" cy="3439160"/>
                    </a:xfrm>
                    <a:prstGeom prst="rect">
                      <a:avLst/>
                    </a:prstGeom>
                    <a:noFill/>
                    <a:ln>
                      <a:noFill/>
                    </a:ln>
                  </pic:spPr>
                </pic:pic>
              </a:graphicData>
            </a:graphic>
          </wp:inline>
        </w:drawing>
      </w:r>
    </w:p>
    <w:p w14:paraId="68D1AC9A" w14:textId="77777777" w:rsidR="003E7351" w:rsidRPr="008B052A" w:rsidRDefault="003E7351" w:rsidP="003E7351"/>
    <w:p w14:paraId="2909F0FA" w14:textId="63038AEC" w:rsidR="00435B67" w:rsidRDefault="00435B67">
      <w:pPr>
        <w:spacing w:before="0" w:after="160" w:line="259" w:lineRule="auto"/>
        <w:rPr>
          <w:sz w:val="36"/>
          <w:szCs w:val="28"/>
        </w:rPr>
      </w:pPr>
    </w:p>
    <w:p w14:paraId="3C827E56" w14:textId="77777777" w:rsidR="00741F3C" w:rsidRDefault="00741F3C">
      <w:pPr>
        <w:spacing w:before="0" w:after="160" w:line="259" w:lineRule="auto"/>
        <w:rPr>
          <w:rFonts w:eastAsia="SimSun" w:cs="Times New Roman"/>
          <w:bCs/>
          <w:color w:val="441D4A" w:themeColor="accent1" w:themeShade="80"/>
          <w:sz w:val="36"/>
          <w:szCs w:val="28"/>
          <w:lang w:eastAsia="zh-CN"/>
        </w:rPr>
      </w:pPr>
    </w:p>
    <w:p w14:paraId="77A35805" w14:textId="4600D576" w:rsidR="00BA548A" w:rsidRPr="008B052A" w:rsidRDefault="00BA548A" w:rsidP="00BA548A">
      <w:pPr>
        <w:pStyle w:val="Heading2"/>
        <w:rPr>
          <w:sz w:val="36"/>
          <w:szCs w:val="28"/>
        </w:rPr>
      </w:pPr>
      <w:bookmarkStart w:id="81" w:name="_Toc214539208"/>
      <w:r w:rsidRPr="008B052A">
        <w:rPr>
          <w:sz w:val="36"/>
          <w:szCs w:val="28"/>
        </w:rPr>
        <w:t>Methodology</w:t>
      </w:r>
      <w:bookmarkEnd w:id="76"/>
      <w:bookmarkEnd w:id="77"/>
      <w:bookmarkEnd w:id="81"/>
    </w:p>
    <w:p w14:paraId="5074B9AB" w14:textId="14361908" w:rsidR="00BA548A" w:rsidRPr="008B052A" w:rsidRDefault="00BA548A" w:rsidP="00BA548A">
      <w:pPr>
        <w:rPr>
          <w:rFonts w:eastAsia="Verdana" w:cs="Verdana"/>
          <w:color w:val="000000"/>
        </w:rPr>
      </w:pPr>
      <w:r w:rsidRPr="008B052A">
        <w:rPr>
          <w:rFonts w:eastAsia="Verdana" w:cs="Verdana"/>
          <w:bCs/>
          <w:color w:val="000000"/>
        </w:rPr>
        <w:t xml:space="preserve">TRA forecasts are produced using a hybrid, </w:t>
      </w:r>
      <w:r w:rsidRPr="008B052A">
        <w:rPr>
          <w:rFonts w:eastAsia="Verdana" w:cs="Verdana"/>
          <w:color w:val="000000"/>
        </w:rPr>
        <w:t>evidence-based</w:t>
      </w:r>
      <w:r w:rsidRPr="008B052A">
        <w:rPr>
          <w:rFonts w:eastAsia="Verdana" w:cs="Verdana"/>
          <w:bCs/>
          <w:color w:val="000000"/>
        </w:rPr>
        <w:t xml:space="preserve"> approach which combines quantitative data-based modelling and expert judgement. This method utilises market intelligence, the most recent available data and relevant research</w:t>
      </w:r>
      <w:r w:rsidR="0079267C" w:rsidRPr="008B052A">
        <w:rPr>
          <w:rFonts w:eastAsia="Verdana" w:cs="Verdana"/>
          <w:bCs/>
          <w:color w:val="000000"/>
        </w:rPr>
        <w:t xml:space="preserve"> and publications to generate the expected trajectory for each metric. </w:t>
      </w:r>
      <w:r w:rsidR="00FA7BB2" w:rsidRPr="008B052A">
        <w:rPr>
          <w:rFonts w:eastAsia="Verdana" w:cs="Verdana"/>
          <w:bCs/>
          <w:color w:val="000000"/>
        </w:rPr>
        <w:t>Where possible</w:t>
      </w:r>
      <w:r w:rsidRPr="008B052A">
        <w:rPr>
          <w:rFonts w:eastAsia="Verdana" w:cs="Verdana"/>
          <w:bCs/>
          <w:color w:val="000000"/>
        </w:rPr>
        <w:t xml:space="preserve">, </w:t>
      </w:r>
      <w:r w:rsidR="00FA7BB2" w:rsidRPr="008B052A">
        <w:rPr>
          <w:rFonts w:eastAsia="Verdana" w:cs="Verdana"/>
          <w:bCs/>
          <w:color w:val="000000"/>
        </w:rPr>
        <w:t xml:space="preserve">TRA forecasts </w:t>
      </w:r>
      <w:r w:rsidR="002A33E6" w:rsidRPr="008B052A">
        <w:rPr>
          <w:rFonts w:eastAsia="Verdana" w:cs="Verdana"/>
          <w:bCs/>
          <w:color w:val="000000"/>
        </w:rPr>
        <w:t xml:space="preserve">are </w:t>
      </w:r>
      <w:r w:rsidR="00CA0B81" w:rsidRPr="008B052A">
        <w:rPr>
          <w:rFonts w:eastAsia="Verdana" w:cs="Verdana"/>
          <w:bCs/>
          <w:color w:val="000000"/>
        </w:rPr>
        <w:t>compar</w:t>
      </w:r>
      <w:r w:rsidR="00CA0B81">
        <w:rPr>
          <w:rFonts w:eastAsia="Verdana" w:cs="Verdana"/>
          <w:bCs/>
          <w:color w:val="000000"/>
        </w:rPr>
        <w:t>ed</w:t>
      </w:r>
      <w:r w:rsidR="00CA0B81" w:rsidRPr="008B052A">
        <w:rPr>
          <w:rFonts w:eastAsia="Verdana" w:cs="Verdana"/>
          <w:bCs/>
          <w:color w:val="000000"/>
        </w:rPr>
        <w:t xml:space="preserve"> </w:t>
      </w:r>
      <w:r w:rsidR="002A33E6" w:rsidRPr="008B052A">
        <w:rPr>
          <w:rFonts w:eastAsia="Verdana" w:cs="Verdana"/>
          <w:bCs/>
          <w:color w:val="000000"/>
        </w:rPr>
        <w:t xml:space="preserve">against other travel forecasts, including those produced by Oxford Economics, and </w:t>
      </w:r>
      <w:r w:rsidR="00FA7BB2" w:rsidRPr="008B052A">
        <w:rPr>
          <w:rFonts w:eastAsia="Verdana" w:cs="Verdana"/>
          <w:bCs/>
          <w:color w:val="000000"/>
        </w:rPr>
        <w:t>incorporate</w:t>
      </w:r>
      <w:r w:rsidRPr="008B052A">
        <w:rPr>
          <w:rFonts w:eastAsia="Verdana" w:cs="Verdana"/>
          <w:bCs/>
          <w:color w:val="000000"/>
        </w:rPr>
        <w:t xml:space="preserve"> </w:t>
      </w:r>
      <w:r w:rsidR="00FA7BB2" w:rsidRPr="008B052A">
        <w:rPr>
          <w:rFonts w:eastAsia="Verdana" w:cs="Verdana"/>
          <w:bCs/>
          <w:color w:val="000000"/>
        </w:rPr>
        <w:t>feedback from subject matter experts</w:t>
      </w:r>
      <w:r w:rsidRPr="008B052A">
        <w:rPr>
          <w:rFonts w:eastAsia="Verdana" w:cs="Verdana"/>
          <w:bCs/>
          <w:color w:val="000000"/>
        </w:rPr>
        <w:t>.</w:t>
      </w:r>
      <w:r w:rsidRPr="008B052A">
        <w:rPr>
          <w:rFonts w:eastAsia="Verdana" w:cs="Verdana"/>
          <w:color w:val="000000"/>
        </w:rPr>
        <w:t xml:space="preserve"> </w:t>
      </w:r>
    </w:p>
    <w:p w14:paraId="2903A6B8" w14:textId="314AECB3" w:rsidR="00BA548A" w:rsidRPr="008B052A" w:rsidRDefault="00BA548A" w:rsidP="00BA548A">
      <w:pPr>
        <w:rPr>
          <w:rFonts w:eastAsia="Verdana" w:cs="Times New Roman"/>
          <w:color w:val="000000"/>
          <w:lang w:eastAsia="zh-CN"/>
        </w:rPr>
      </w:pPr>
      <w:r w:rsidRPr="008B052A">
        <w:rPr>
          <w:rFonts w:eastAsia="Verdana" w:cs="Verdana"/>
          <w:color w:val="000000"/>
        </w:rPr>
        <w:t>Insights from the Tourism Forecasting Expert Panel are a critical component of TRA’s tourism forecasts. The Tourism Forecasting Expert Panel is a</w:t>
      </w:r>
      <w:r w:rsidR="002A33E6" w:rsidRPr="008B052A">
        <w:rPr>
          <w:rFonts w:eastAsia="Verdana" w:cs="Verdana"/>
          <w:color w:val="000000"/>
        </w:rPr>
        <w:t xml:space="preserve">n </w:t>
      </w:r>
      <w:r w:rsidRPr="008B052A">
        <w:rPr>
          <w:rFonts w:eastAsia="Verdana" w:cs="Verdana"/>
          <w:color w:val="000000"/>
        </w:rPr>
        <w:t>important source of broad-based, respected, and constructive intelligence drawn on by TRA to inform the tourism forecasts. TRA has been supported by a forecasting panel over many years: this year it comprised academic, industry and government experts</w:t>
      </w:r>
      <w:r w:rsidR="00A0102A" w:rsidRPr="008B052A">
        <w:rPr>
          <w:rFonts w:eastAsia="Verdana" w:cs="Verdana"/>
          <w:color w:val="000000"/>
        </w:rPr>
        <w:t>. Federal government departments</w:t>
      </w:r>
      <w:r w:rsidRPr="008B052A">
        <w:rPr>
          <w:rFonts w:eastAsia="Verdana" w:cs="Verdana"/>
          <w:color w:val="000000"/>
        </w:rPr>
        <w:t xml:space="preserve"> and the state and territory tourism organisations</w:t>
      </w:r>
      <w:r w:rsidR="00A0102A" w:rsidRPr="008B052A">
        <w:rPr>
          <w:rFonts w:eastAsia="Verdana" w:cs="Verdana"/>
          <w:color w:val="000000"/>
        </w:rPr>
        <w:t xml:space="preserve"> were also consulted during the forecasting process</w:t>
      </w:r>
      <w:r w:rsidRPr="008B052A">
        <w:rPr>
          <w:rFonts w:eastAsia="Verdana" w:cs="Verdana"/>
          <w:color w:val="000000"/>
        </w:rPr>
        <w:t>.</w:t>
      </w:r>
    </w:p>
    <w:p w14:paraId="0C1FB345" w14:textId="6CC33161" w:rsidR="00BA548A" w:rsidRPr="008B052A" w:rsidRDefault="00BA548A" w:rsidP="00BA548A">
      <w:pPr>
        <w:rPr>
          <w:rFonts w:eastAsia="Verdana" w:cs="Verdana"/>
          <w:color w:val="000000"/>
        </w:rPr>
      </w:pPr>
      <w:r w:rsidRPr="008B052A">
        <w:rPr>
          <w:rFonts w:eastAsia="Verdana" w:cs="Verdana"/>
          <w:color w:val="000000"/>
        </w:rPr>
        <w:lastRenderedPageBreak/>
        <w:t>G</w:t>
      </w:r>
      <w:r w:rsidRPr="008B052A">
        <w:rPr>
          <w:rFonts w:eastAsia="Verdana" w:cs="Verdana"/>
          <w:bCs/>
          <w:color w:val="000000"/>
        </w:rPr>
        <w:t xml:space="preserve">iven the </w:t>
      </w:r>
      <w:r w:rsidR="00074A86">
        <w:rPr>
          <w:rFonts w:eastAsia="Verdana" w:cs="Verdana"/>
          <w:bCs/>
          <w:color w:val="000000"/>
        </w:rPr>
        <w:t>varied trends in</w:t>
      </w:r>
      <w:r w:rsidRPr="008B052A">
        <w:rPr>
          <w:rFonts w:eastAsia="Verdana" w:cs="Verdana"/>
          <w:bCs/>
          <w:color w:val="000000"/>
        </w:rPr>
        <w:t xml:space="preserve"> international and domestic travel </w:t>
      </w:r>
      <w:r w:rsidR="00074A86">
        <w:rPr>
          <w:rFonts w:eastAsia="Verdana" w:cs="Verdana"/>
          <w:bCs/>
          <w:color w:val="000000"/>
        </w:rPr>
        <w:t>across</w:t>
      </w:r>
      <w:r w:rsidRPr="008B052A">
        <w:rPr>
          <w:rFonts w:eastAsia="Verdana" w:cs="Verdana"/>
          <w:bCs/>
          <w:color w:val="000000"/>
        </w:rPr>
        <w:t xml:space="preserve"> source markets and travel segments within a challenging global and domestic economic environment,</w:t>
      </w:r>
      <w:r w:rsidRPr="008B052A">
        <w:rPr>
          <w:rFonts w:eastAsia="Verdana" w:cs="Verdana"/>
          <w:color w:val="000000"/>
        </w:rPr>
        <w:t xml:space="preserve"> this year’s forecast approach again relied </w:t>
      </w:r>
      <w:r w:rsidR="002448FF">
        <w:rPr>
          <w:rFonts w:eastAsia="Verdana" w:cs="Verdana"/>
          <w:color w:val="000000"/>
        </w:rPr>
        <w:t xml:space="preserve">more heavily </w:t>
      </w:r>
      <w:r w:rsidRPr="008B052A">
        <w:rPr>
          <w:rFonts w:eastAsia="Verdana" w:cs="Verdana"/>
          <w:color w:val="000000"/>
        </w:rPr>
        <w:t xml:space="preserve">on input from the Tourism Forecasting Expert Panel, market intelligence and recent data trends for </w:t>
      </w:r>
      <w:r w:rsidR="002448FF">
        <w:rPr>
          <w:rFonts w:eastAsia="Verdana" w:cs="Verdana"/>
          <w:color w:val="000000"/>
        </w:rPr>
        <w:t xml:space="preserve">the </w:t>
      </w:r>
      <w:r w:rsidRPr="008B052A">
        <w:rPr>
          <w:rFonts w:eastAsia="Verdana" w:cs="Verdana"/>
          <w:color w:val="000000"/>
        </w:rPr>
        <w:t xml:space="preserve">short- and medium-term </w:t>
      </w:r>
      <w:r w:rsidR="002448FF">
        <w:rPr>
          <w:rFonts w:eastAsia="Verdana" w:cs="Verdana"/>
          <w:color w:val="000000"/>
        </w:rPr>
        <w:t>forecast values</w:t>
      </w:r>
      <w:r w:rsidRPr="008B052A">
        <w:rPr>
          <w:rFonts w:eastAsia="Verdana" w:cs="Verdana"/>
          <w:color w:val="000000"/>
        </w:rPr>
        <w:t>. M</w:t>
      </w:r>
      <w:r w:rsidR="002448FF">
        <w:rPr>
          <w:rFonts w:eastAsia="Verdana" w:cs="Verdana"/>
          <w:color w:val="000000"/>
        </w:rPr>
        <w:t>eanwhile, m</w:t>
      </w:r>
      <w:r w:rsidRPr="008B052A">
        <w:rPr>
          <w:rFonts w:eastAsia="Verdana" w:cs="Verdana"/>
          <w:color w:val="000000"/>
        </w:rPr>
        <w:t xml:space="preserve">odel-based and structural parameters are given a larger weight in the longer-term forecasts. </w:t>
      </w:r>
    </w:p>
    <w:p w14:paraId="372D0A0D" w14:textId="3648A25C" w:rsidR="00BA548A" w:rsidRPr="008B052A" w:rsidRDefault="00BA548A" w:rsidP="00BA548A">
      <w:pPr>
        <w:rPr>
          <w:rFonts w:eastAsia="Verdana" w:cs="Verdana"/>
          <w:color w:val="000000"/>
        </w:rPr>
      </w:pPr>
      <w:r w:rsidRPr="008B052A">
        <w:rPr>
          <w:rFonts w:eastAsia="Verdana" w:cs="Verdana"/>
          <w:bCs/>
          <w:color w:val="000000"/>
        </w:rPr>
        <w:t xml:space="preserve">Forecasts for domestic tourism at the national level </w:t>
      </w:r>
      <w:r w:rsidRPr="008B052A">
        <w:rPr>
          <w:rFonts w:eastAsia="Verdana" w:cs="Verdana"/>
          <w:color w:val="000000"/>
        </w:rPr>
        <w:t>are modelled from two parameters: Australian population growth and travel propensities of age cohorts. Travel propensities are estimated using recent and pre-pandemic TRA data. Population growth projections are sourced from the Australian Bureau of Statistics and</w:t>
      </w:r>
      <w:r w:rsidR="00D70A6E">
        <w:rPr>
          <w:rFonts w:eastAsia="Verdana" w:cs="Verdana"/>
          <w:color w:val="000000"/>
        </w:rPr>
        <w:t xml:space="preserve"> the</w:t>
      </w:r>
      <w:r w:rsidRPr="008B052A">
        <w:rPr>
          <w:rFonts w:eastAsia="Verdana" w:cs="Verdana"/>
          <w:color w:val="000000"/>
        </w:rPr>
        <w:t xml:space="preserve"> </w:t>
      </w:r>
      <w:hyperlink r:id="rId48" w:history="1">
        <w:r w:rsidR="00AB4425">
          <w:rPr>
            <w:rStyle w:val="Hyperlink"/>
            <w:rFonts w:eastAsia="Verdana" w:cs="Verdana"/>
          </w:rPr>
          <w:t>Economist Intelligence Unit</w:t>
        </w:r>
      </w:hyperlink>
      <w:r w:rsidRPr="008B052A">
        <w:rPr>
          <w:rFonts w:eastAsia="Verdana" w:cs="Verdana"/>
          <w:color w:val="000000"/>
        </w:rPr>
        <w:t>.</w:t>
      </w:r>
    </w:p>
    <w:p w14:paraId="55E76019" w14:textId="77777777" w:rsidR="00BA548A" w:rsidRPr="008B052A" w:rsidRDefault="00BA548A" w:rsidP="00BA548A">
      <w:pPr>
        <w:rPr>
          <w:rFonts w:eastAsia="Verdana" w:cs="Verdana"/>
          <w:color w:val="000000"/>
        </w:rPr>
      </w:pPr>
      <w:r w:rsidRPr="008B052A">
        <w:rPr>
          <w:rFonts w:eastAsia="Verdana" w:cs="Verdana"/>
          <w:color w:val="000000"/>
        </w:rPr>
        <w:t xml:space="preserve">The judgement overlay permits weighting of the various forecast component inputs. Factors such as aviation capacity, availability of labour within the visitor economy, the accommodation outlook, national savings and disposable income growth, and behavioural considerations are also accounted for in this way. </w:t>
      </w:r>
    </w:p>
    <w:p w14:paraId="285E94F2" w14:textId="77777777" w:rsidR="00BA548A" w:rsidRPr="008B052A" w:rsidRDefault="00BA548A" w:rsidP="00BA548A">
      <w:pPr>
        <w:rPr>
          <w:rFonts w:eastAsia="Verdana" w:cs="Verdana"/>
          <w:bCs/>
          <w:color w:val="000000"/>
        </w:rPr>
      </w:pPr>
      <w:bookmarkStart w:id="82" w:name="_Hlk78379270"/>
      <w:r w:rsidRPr="008B052A">
        <w:rPr>
          <w:rFonts w:eastAsia="Verdana" w:cs="Verdana"/>
          <w:bCs/>
          <w:color w:val="000000"/>
        </w:rPr>
        <w:t>The steps to incorporate expert judgement and market intelligence into TRA’s forecasts are as follows:</w:t>
      </w:r>
    </w:p>
    <w:p w14:paraId="4F84D70A" w14:textId="77777777" w:rsidR="00BA548A" w:rsidRPr="008B052A" w:rsidRDefault="00BA548A" w:rsidP="00BA548A">
      <w:pPr>
        <w:keepNext/>
        <w:numPr>
          <w:ilvl w:val="0"/>
          <w:numId w:val="11"/>
        </w:numPr>
        <w:spacing w:before="0" w:after="80"/>
        <w:ind w:left="714" w:hanging="357"/>
        <w:rPr>
          <w:rFonts w:eastAsia="Verdana" w:cs="Verdana"/>
          <w:bCs/>
          <w:color w:val="000000"/>
        </w:rPr>
      </w:pPr>
      <w:bookmarkStart w:id="83" w:name="_Hlk78379244"/>
      <w:r w:rsidRPr="008B052A">
        <w:rPr>
          <w:rFonts w:eastAsia="Verdana" w:cs="Verdana"/>
          <w:bCs/>
          <w:color w:val="000000"/>
        </w:rPr>
        <w:t>Data-driven analysis and modelling by TRA to produce initial forecasts</w:t>
      </w:r>
    </w:p>
    <w:p w14:paraId="363A6D48" w14:textId="251728EF" w:rsidR="00BA548A" w:rsidRPr="008B052A" w:rsidRDefault="00BA548A" w:rsidP="00BA548A">
      <w:pPr>
        <w:numPr>
          <w:ilvl w:val="0"/>
          <w:numId w:val="11"/>
        </w:numPr>
        <w:spacing w:before="0" w:after="80"/>
        <w:rPr>
          <w:rFonts w:eastAsia="Verdana" w:cs="Verdana"/>
          <w:bCs/>
          <w:color w:val="000000"/>
        </w:rPr>
      </w:pPr>
      <w:r w:rsidRPr="008B052A">
        <w:rPr>
          <w:rFonts w:eastAsia="Verdana" w:cs="Verdana"/>
          <w:bCs/>
          <w:color w:val="000000"/>
        </w:rPr>
        <w:t xml:space="preserve">Survey of </w:t>
      </w:r>
      <w:r w:rsidR="00B97A06" w:rsidRPr="008B052A">
        <w:rPr>
          <w:rFonts w:eastAsia="Verdana" w:cs="Verdana"/>
          <w:bCs/>
          <w:color w:val="000000"/>
        </w:rPr>
        <w:t>external expert</w:t>
      </w:r>
      <w:r w:rsidRPr="008B052A">
        <w:rPr>
          <w:rFonts w:eastAsia="Verdana" w:cs="Verdana"/>
          <w:bCs/>
          <w:color w:val="000000"/>
        </w:rPr>
        <w:t xml:space="preserve"> panel members and state and territory representatives to collect views and forecasts</w:t>
      </w:r>
    </w:p>
    <w:p w14:paraId="7A7F240A" w14:textId="77777777" w:rsidR="00BA548A" w:rsidRPr="008B052A" w:rsidRDefault="00BA548A" w:rsidP="00BA548A">
      <w:pPr>
        <w:numPr>
          <w:ilvl w:val="0"/>
          <w:numId w:val="11"/>
        </w:numPr>
        <w:spacing w:before="0" w:after="80"/>
        <w:rPr>
          <w:rFonts w:eastAsia="Verdana" w:cs="Verdana"/>
          <w:bCs/>
          <w:color w:val="000000"/>
        </w:rPr>
      </w:pPr>
      <w:r w:rsidRPr="008B052A">
        <w:rPr>
          <w:rFonts w:eastAsia="Verdana" w:cs="Verdana"/>
          <w:bCs/>
          <w:color w:val="000000"/>
        </w:rPr>
        <w:t>Analysis of survey results to encompass all views and determine the average expectation for each tourism indicator at various time periods</w:t>
      </w:r>
    </w:p>
    <w:p w14:paraId="7A969F5F" w14:textId="77777777" w:rsidR="00BA548A" w:rsidRPr="008B052A" w:rsidRDefault="00BA548A" w:rsidP="00BA548A">
      <w:pPr>
        <w:numPr>
          <w:ilvl w:val="0"/>
          <w:numId w:val="11"/>
        </w:numPr>
        <w:spacing w:before="0" w:after="80"/>
        <w:rPr>
          <w:rFonts w:eastAsia="Verdana" w:cs="Verdana"/>
          <w:bCs/>
          <w:color w:val="000000"/>
        </w:rPr>
      </w:pPr>
      <w:r w:rsidRPr="008B052A">
        <w:rPr>
          <w:rFonts w:eastAsia="Verdana" w:cs="Verdana"/>
          <w:bCs/>
          <w:color w:val="000000"/>
        </w:rPr>
        <w:t>Adjusting the model-based forecasts to incorporate panel and state and territory inputs, and confrontation with other data sources</w:t>
      </w:r>
    </w:p>
    <w:p w14:paraId="7F6CF692" w14:textId="77777777" w:rsidR="00BA548A" w:rsidRPr="008B052A" w:rsidRDefault="00BA548A" w:rsidP="00BA548A">
      <w:pPr>
        <w:numPr>
          <w:ilvl w:val="0"/>
          <w:numId w:val="11"/>
        </w:numPr>
        <w:spacing w:before="0" w:after="80"/>
        <w:rPr>
          <w:rFonts w:eastAsia="Verdana" w:cs="Verdana"/>
          <w:bCs/>
          <w:color w:val="000000"/>
        </w:rPr>
      </w:pPr>
      <w:r w:rsidRPr="008B052A">
        <w:rPr>
          <w:rFonts w:eastAsia="Verdana" w:cs="Verdana"/>
          <w:bCs/>
          <w:color w:val="000000"/>
        </w:rPr>
        <w:t>Expert panel review and discussion of draft, initial forecast outputs</w:t>
      </w:r>
    </w:p>
    <w:p w14:paraId="123C3102" w14:textId="5191859D" w:rsidR="00BA548A" w:rsidRPr="008B052A" w:rsidRDefault="00BA548A" w:rsidP="00440D48">
      <w:pPr>
        <w:numPr>
          <w:ilvl w:val="0"/>
          <w:numId w:val="11"/>
        </w:numPr>
        <w:spacing w:before="0" w:after="80"/>
        <w:ind w:left="714" w:hanging="357"/>
        <w:rPr>
          <w:rFonts w:eastAsia="Verdana" w:cs="Verdana"/>
          <w:bCs/>
          <w:color w:val="000000"/>
        </w:rPr>
      </w:pPr>
      <w:r w:rsidRPr="008B052A">
        <w:rPr>
          <w:rFonts w:eastAsia="Verdana" w:cs="Verdana"/>
          <w:bCs/>
          <w:color w:val="000000"/>
        </w:rPr>
        <w:t xml:space="preserve">Incorporation of feedback from expert panel, updating input data sources and review of modelled components by TRA </w:t>
      </w:r>
    </w:p>
    <w:p w14:paraId="148D5F3D" w14:textId="77777777" w:rsidR="00440D48" w:rsidRPr="008B052A" w:rsidRDefault="00BA548A" w:rsidP="00BA548A">
      <w:pPr>
        <w:numPr>
          <w:ilvl w:val="0"/>
          <w:numId w:val="11"/>
        </w:numPr>
        <w:spacing w:before="0"/>
        <w:ind w:left="714" w:hanging="357"/>
        <w:rPr>
          <w:rFonts w:eastAsia="Verdana" w:cs="Verdana"/>
          <w:bCs/>
          <w:color w:val="000000"/>
        </w:rPr>
      </w:pPr>
      <w:r w:rsidRPr="008B052A">
        <w:rPr>
          <w:rFonts w:eastAsia="Verdana" w:cs="Verdana"/>
          <w:bCs/>
          <w:color w:val="000000"/>
        </w:rPr>
        <w:t>Internal and external consultative review of detailed forecast data</w:t>
      </w:r>
    </w:p>
    <w:p w14:paraId="2A30D7D8" w14:textId="1AE67AAA" w:rsidR="00BA548A" w:rsidRPr="008B052A" w:rsidRDefault="00440D48" w:rsidP="00BA548A">
      <w:pPr>
        <w:numPr>
          <w:ilvl w:val="0"/>
          <w:numId w:val="11"/>
        </w:numPr>
        <w:spacing w:before="0"/>
        <w:ind w:left="714" w:hanging="357"/>
        <w:rPr>
          <w:rFonts w:eastAsia="Verdana" w:cs="Verdana"/>
          <w:bCs/>
          <w:color w:val="000000"/>
        </w:rPr>
      </w:pPr>
      <w:r w:rsidRPr="008B052A">
        <w:rPr>
          <w:rFonts w:eastAsia="Verdana" w:cs="Verdana"/>
          <w:bCs/>
          <w:color w:val="000000"/>
        </w:rPr>
        <w:t>Finalisation of forecast data</w:t>
      </w:r>
      <w:r w:rsidR="00BA548A" w:rsidRPr="008B052A">
        <w:rPr>
          <w:rFonts w:eastAsia="Verdana" w:cs="Verdana"/>
          <w:bCs/>
          <w:color w:val="000000"/>
        </w:rPr>
        <w:t xml:space="preserve">. </w:t>
      </w:r>
    </w:p>
    <w:bookmarkEnd w:id="82"/>
    <w:bookmarkEnd w:id="83"/>
    <w:p w14:paraId="2ED54333" w14:textId="77777777" w:rsidR="00BA548A" w:rsidRPr="008B052A" w:rsidRDefault="00BA548A" w:rsidP="00BA548A">
      <w:pPr>
        <w:rPr>
          <w:rFonts w:eastAsia="Verdana" w:cs="Verdana"/>
          <w:color w:val="000000"/>
        </w:rPr>
      </w:pPr>
      <w:r w:rsidRPr="008B052A">
        <w:rPr>
          <w:rFonts w:eastAsia="Verdana" w:cs="Verdana"/>
          <w:color w:val="000000"/>
        </w:rPr>
        <w:t>During the current period of rapid change, revisions to forecasts are more likely than pre-pandemic. This reflects the pace of change in the input data series as well as updates to the forecasting methodology to capture key drivers of tourism demand in the current environment.</w:t>
      </w:r>
    </w:p>
    <w:p w14:paraId="7CD1FC7E" w14:textId="5D298EE9" w:rsidR="00B14E65" w:rsidRPr="008B052A" w:rsidRDefault="00B14E65">
      <w:pPr>
        <w:spacing w:before="0" w:after="160" w:line="259" w:lineRule="auto"/>
        <w:rPr>
          <w:rFonts w:eastAsia="SimSun" w:cs="Times New Roman"/>
          <w:bCs/>
          <w:color w:val="441D4A" w:themeColor="accent1" w:themeShade="80"/>
          <w:sz w:val="32"/>
          <w:szCs w:val="26"/>
          <w:lang w:eastAsia="zh-CN"/>
        </w:rPr>
      </w:pPr>
      <w:bookmarkStart w:id="84" w:name="_Toc150846182"/>
      <w:bookmarkStart w:id="85" w:name="_Toc184632630"/>
    </w:p>
    <w:p w14:paraId="467FCB2D" w14:textId="5F528C01" w:rsidR="00BA548A" w:rsidRPr="008B052A" w:rsidRDefault="00BA548A" w:rsidP="00BA548A">
      <w:pPr>
        <w:pStyle w:val="Heading2"/>
      </w:pPr>
      <w:bookmarkStart w:id="86" w:name="_Toc214539209"/>
      <w:r w:rsidRPr="008B052A">
        <w:t>Data sources</w:t>
      </w:r>
      <w:bookmarkEnd w:id="84"/>
      <w:bookmarkEnd w:id="85"/>
      <w:bookmarkEnd w:id="86"/>
    </w:p>
    <w:p w14:paraId="2FA25A69" w14:textId="77777777" w:rsidR="00BA548A" w:rsidRPr="008B052A" w:rsidRDefault="00BA548A" w:rsidP="00BA548A">
      <w:pPr>
        <w:spacing w:after="120"/>
        <w:rPr>
          <w:b/>
          <w:bCs/>
        </w:rPr>
      </w:pPr>
      <w:r w:rsidRPr="008B052A">
        <w:rPr>
          <w:b/>
          <w:bCs/>
        </w:rPr>
        <w:t xml:space="preserve">Australian Bureau of Statistics </w:t>
      </w:r>
    </w:p>
    <w:p w14:paraId="0273388D" w14:textId="7BEC3298" w:rsidR="00BA548A" w:rsidRPr="008B052A" w:rsidRDefault="00BA548A" w:rsidP="00BA548A">
      <w:pPr>
        <w:numPr>
          <w:ilvl w:val="0"/>
          <w:numId w:val="12"/>
        </w:numPr>
        <w:spacing w:before="0" w:after="0" w:line="257" w:lineRule="auto"/>
        <w:ind w:left="714" w:hanging="357"/>
        <w:rPr>
          <w:rFonts w:eastAsia="Verdana" w:cs="Times New Roman"/>
          <w:color w:val="000000"/>
        </w:rPr>
      </w:pPr>
      <w:r w:rsidRPr="008B052A">
        <w:rPr>
          <w:rFonts w:eastAsia="Verdana" w:cs="Times New Roman"/>
          <w:color w:val="000000"/>
        </w:rPr>
        <w:t>Population projections, Australia, 2022 (base</w:t>
      </w:r>
      <w:r w:rsidR="00645974">
        <w:rPr>
          <w:rFonts w:eastAsia="Verdana" w:cs="Times New Roman"/>
          <w:color w:val="000000"/>
        </w:rPr>
        <w:t>)</w:t>
      </w:r>
      <w:r w:rsidRPr="008B052A">
        <w:rPr>
          <w:rFonts w:eastAsia="Verdana" w:cs="Times New Roman"/>
          <w:color w:val="000000"/>
        </w:rPr>
        <w:t xml:space="preserve"> – 2071</w:t>
      </w:r>
      <w:r w:rsidR="0076232F">
        <w:rPr>
          <w:rFonts w:eastAsia="Verdana" w:cs="Times New Roman"/>
          <w:color w:val="000000"/>
        </w:rPr>
        <w:t>,</w:t>
      </w:r>
      <w:r w:rsidRPr="008B052A">
        <w:rPr>
          <w:rFonts w:eastAsia="Verdana" w:cs="Times New Roman"/>
          <w:color w:val="000000"/>
        </w:rPr>
        <w:t xml:space="preserve"> released November 2023</w:t>
      </w:r>
    </w:p>
    <w:p w14:paraId="194D3ADD" w14:textId="1C75DC15" w:rsidR="00BA548A" w:rsidRPr="008B052A" w:rsidRDefault="00BA548A" w:rsidP="00BA548A">
      <w:pPr>
        <w:numPr>
          <w:ilvl w:val="0"/>
          <w:numId w:val="12"/>
        </w:numPr>
        <w:spacing w:before="0" w:after="0" w:line="257" w:lineRule="auto"/>
        <w:ind w:left="714" w:hanging="357"/>
        <w:rPr>
          <w:rFonts w:eastAsia="Verdana" w:cs="Times New Roman"/>
          <w:color w:val="000000"/>
        </w:rPr>
      </w:pPr>
      <w:r w:rsidRPr="008B052A">
        <w:rPr>
          <w:rFonts w:eastAsia="Verdana" w:cs="Times New Roman"/>
          <w:color w:val="000000"/>
        </w:rPr>
        <w:t>Consumer Price Index, Australia, June Quarter 202</w:t>
      </w:r>
      <w:r w:rsidR="00DD7080" w:rsidRPr="008B052A">
        <w:rPr>
          <w:rFonts w:eastAsia="Verdana" w:cs="Times New Roman"/>
          <w:color w:val="000000"/>
        </w:rPr>
        <w:t>5</w:t>
      </w:r>
      <w:r w:rsidRPr="008B052A">
        <w:rPr>
          <w:rFonts w:eastAsia="Verdana" w:cs="Times New Roman"/>
          <w:color w:val="000000"/>
        </w:rPr>
        <w:t>, September Quarter 202</w:t>
      </w:r>
      <w:r w:rsidR="00DD7080" w:rsidRPr="008B052A">
        <w:rPr>
          <w:rFonts w:eastAsia="Verdana" w:cs="Times New Roman"/>
          <w:color w:val="000000"/>
        </w:rPr>
        <w:t>5</w:t>
      </w:r>
    </w:p>
    <w:p w14:paraId="42D7E842" w14:textId="020793F5" w:rsidR="00BA548A" w:rsidRPr="008B052A" w:rsidRDefault="00BA548A" w:rsidP="00BA548A">
      <w:pPr>
        <w:numPr>
          <w:ilvl w:val="0"/>
          <w:numId w:val="12"/>
        </w:numPr>
        <w:spacing w:before="0" w:after="0" w:line="257" w:lineRule="auto"/>
        <w:ind w:left="714" w:hanging="357"/>
        <w:rPr>
          <w:rFonts w:eastAsia="Verdana" w:cs="Times New Roman"/>
          <w:color w:val="000000"/>
        </w:rPr>
      </w:pPr>
      <w:r w:rsidRPr="008B052A">
        <w:rPr>
          <w:rFonts w:eastAsia="Verdana" w:cs="Times New Roman"/>
          <w:color w:val="000000"/>
        </w:rPr>
        <w:t xml:space="preserve">Overseas Arrivals and Departures, Australia – various releases up to </w:t>
      </w:r>
      <w:r w:rsidR="00E15822" w:rsidRPr="008B052A">
        <w:rPr>
          <w:rFonts w:eastAsia="Verdana" w:cs="Times New Roman"/>
          <w:color w:val="000000"/>
        </w:rPr>
        <w:t>September data 2025, released 12 Novem</w:t>
      </w:r>
      <w:r w:rsidRPr="008B052A">
        <w:rPr>
          <w:rFonts w:eastAsia="Verdana" w:cs="Times New Roman"/>
          <w:color w:val="000000"/>
        </w:rPr>
        <w:t>ber 202</w:t>
      </w:r>
      <w:r w:rsidR="00F97A29" w:rsidRPr="008B052A">
        <w:rPr>
          <w:rFonts w:eastAsia="Verdana" w:cs="Times New Roman"/>
          <w:color w:val="000000"/>
        </w:rPr>
        <w:t>5</w:t>
      </w:r>
      <w:r w:rsidRPr="008B052A">
        <w:rPr>
          <w:rFonts w:eastAsia="Verdana" w:cs="Times New Roman"/>
          <w:color w:val="000000"/>
        </w:rPr>
        <w:t xml:space="preserve"> </w:t>
      </w:r>
    </w:p>
    <w:p w14:paraId="6FF610C1" w14:textId="77777777" w:rsidR="00BA548A" w:rsidRPr="008B052A" w:rsidRDefault="00BA548A" w:rsidP="00BA548A">
      <w:pPr>
        <w:spacing w:after="120"/>
        <w:rPr>
          <w:b/>
          <w:bCs/>
        </w:rPr>
      </w:pPr>
      <w:r w:rsidRPr="008B052A">
        <w:rPr>
          <w:b/>
          <w:bCs/>
        </w:rPr>
        <w:lastRenderedPageBreak/>
        <w:t>Australian Trade and Investment Commission (Austrade)</w:t>
      </w:r>
    </w:p>
    <w:p w14:paraId="4DEDA1B7" w14:textId="77777777" w:rsidR="00BA548A" w:rsidRPr="008B052A" w:rsidRDefault="00BA548A" w:rsidP="00BA548A">
      <w:pPr>
        <w:numPr>
          <w:ilvl w:val="0"/>
          <w:numId w:val="12"/>
        </w:numPr>
        <w:spacing w:before="0" w:after="0" w:line="257" w:lineRule="auto"/>
        <w:ind w:left="714" w:hanging="357"/>
        <w:rPr>
          <w:rFonts w:eastAsia="Verdana" w:cs="Times New Roman"/>
          <w:color w:val="000000"/>
        </w:rPr>
      </w:pPr>
      <w:hyperlink r:id="rId49" w:history="1">
        <w:r w:rsidRPr="008B052A">
          <w:rPr>
            <w:rStyle w:val="Hyperlink"/>
            <w:rFonts w:eastAsia="Verdana" w:cs="Times New Roman"/>
          </w:rPr>
          <w:t>THRIVE 2030 Strategy - Austrade</w:t>
        </w:r>
      </w:hyperlink>
      <w:r w:rsidRPr="008B052A">
        <w:rPr>
          <w:rFonts w:eastAsia="Verdana" w:cs="Times New Roman"/>
          <w:color w:val="000000"/>
        </w:rPr>
        <w:t>, August 2024</w:t>
      </w:r>
    </w:p>
    <w:p w14:paraId="3061CF02" w14:textId="437FAF26" w:rsidR="00BA548A" w:rsidRPr="008B052A" w:rsidRDefault="00BA548A" w:rsidP="00DD7080">
      <w:pPr>
        <w:spacing w:after="120" w:line="240" w:lineRule="auto"/>
        <w:rPr>
          <w:b/>
          <w:bCs/>
        </w:rPr>
      </w:pPr>
      <w:r w:rsidRPr="008B052A">
        <w:rPr>
          <w:b/>
          <w:bCs/>
        </w:rPr>
        <w:t>Bureau of Infrastructure, Transport and Regional Economics (BITRE), Department of Infrastructure, Transport, Regional Development, Communications</w:t>
      </w:r>
      <w:r w:rsidR="0036596F" w:rsidRPr="008B052A">
        <w:rPr>
          <w:b/>
          <w:bCs/>
        </w:rPr>
        <w:t>,</w:t>
      </w:r>
      <w:r w:rsidRPr="008B052A">
        <w:rPr>
          <w:b/>
          <w:bCs/>
        </w:rPr>
        <w:t> and the Arts</w:t>
      </w:r>
    </w:p>
    <w:bookmarkStart w:id="87" w:name="_Hlk121325230"/>
    <w:p w14:paraId="334F5E4A" w14:textId="77777777" w:rsidR="00BA548A" w:rsidRPr="008B052A" w:rsidRDefault="00BA548A" w:rsidP="00BA548A">
      <w:pPr>
        <w:pStyle w:val="ListParagraph"/>
        <w:numPr>
          <w:ilvl w:val="0"/>
          <w:numId w:val="12"/>
        </w:numPr>
        <w:spacing w:before="0" w:after="160" w:line="252" w:lineRule="auto"/>
      </w:pPr>
      <w:r w:rsidRPr="008B052A">
        <w:fldChar w:fldCharType="begin"/>
      </w:r>
      <w:r w:rsidRPr="008B052A">
        <w:instrText>HYPERLINK "https://www.bitre.gov.au/publications/ongoing/domestic_airline_activity-time_series"</w:instrText>
      </w:r>
      <w:r w:rsidRPr="008B052A">
        <w:fldChar w:fldCharType="separate"/>
      </w:r>
      <w:r w:rsidRPr="008B052A">
        <w:rPr>
          <w:rStyle w:val="Hyperlink"/>
        </w:rPr>
        <w:t>Australian Domestic Airline Activity—time series: Domestic Totals &amp; Top Routes</w:t>
      </w:r>
      <w:r w:rsidRPr="008B052A">
        <w:fldChar w:fldCharType="end"/>
      </w:r>
    </w:p>
    <w:p w14:paraId="06E0F934" w14:textId="77777777" w:rsidR="00BA548A" w:rsidRPr="008B052A" w:rsidRDefault="00BA548A" w:rsidP="00BA548A">
      <w:pPr>
        <w:pStyle w:val="ListParagraph"/>
        <w:numPr>
          <w:ilvl w:val="0"/>
          <w:numId w:val="12"/>
        </w:numPr>
        <w:spacing w:before="0" w:after="160" w:line="252" w:lineRule="auto"/>
      </w:pPr>
      <w:hyperlink r:id="rId50" w:history="1">
        <w:r w:rsidRPr="008B052A">
          <w:rPr>
            <w:rStyle w:val="Hyperlink"/>
          </w:rPr>
          <w:t>International Airline Activity monthly airline performance – July 2024</w:t>
        </w:r>
      </w:hyperlink>
    </w:p>
    <w:p w14:paraId="7FC4FBD4" w14:textId="77777777" w:rsidR="00BA548A" w:rsidRPr="008B052A" w:rsidRDefault="00BA548A" w:rsidP="00BA548A">
      <w:pPr>
        <w:pStyle w:val="ListParagraph"/>
        <w:numPr>
          <w:ilvl w:val="0"/>
          <w:numId w:val="12"/>
        </w:numPr>
        <w:spacing w:before="0" w:after="120" w:line="254" w:lineRule="auto"/>
        <w:textAlignment w:val="baseline"/>
      </w:pPr>
      <w:hyperlink r:id="rId51" w:history="1">
        <w:r w:rsidRPr="008B052A">
          <w:rPr>
            <w:rStyle w:val="Hyperlink"/>
          </w:rPr>
          <w:t>International Airlines Operated Flights and Seats</w:t>
        </w:r>
      </w:hyperlink>
    </w:p>
    <w:p w14:paraId="42FE0035" w14:textId="77777777" w:rsidR="00BA548A" w:rsidRPr="008B052A" w:rsidRDefault="00BA548A" w:rsidP="00BA548A">
      <w:pPr>
        <w:pStyle w:val="ListParagraph"/>
        <w:numPr>
          <w:ilvl w:val="0"/>
          <w:numId w:val="12"/>
        </w:numPr>
        <w:spacing w:before="0" w:after="120" w:line="254" w:lineRule="auto"/>
        <w:textAlignment w:val="baseline"/>
      </w:pPr>
      <w:hyperlink r:id="rId52" w:history="1">
        <w:r w:rsidRPr="008B052A">
          <w:rPr>
            <w:rStyle w:val="Hyperlink"/>
          </w:rPr>
          <w:t xml:space="preserve">International airlines timetable summary </w:t>
        </w:r>
      </w:hyperlink>
    </w:p>
    <w:bookmarkEnd w:id="87"/>
    <w:p w14:paraId="740F4B06" w14:textId="77777777" w:rsidR="00BA548A" w:rsidRPr="008B052A" w:rsidRDefault="00BA548A" w:rsidP="00BA548A">
      <w:pPr>
        <w:spacing w:after="120"/>
        <w:rPr>
          <w:b/>
          <w:bCs/>
        </w:rPr>
      </w:pPr>
      <w:r w:rsidRPr="008B052A">
        <w:rPr>
          <w:b/>
          <w:bCs/>
        </w:rPr>
        <w:t>Consensus Economics</w:t>
      </w:r>
    </w:p>
    <w:p w14:paraId="09BE23AA" w14:textId="77777777" w:rsidR="00BA548A" w:rsidRPr="008B052A" w:rsidRDefault="00BA548A" w:rsidP="00BA548A">
      <w:pPr>
        <w:numPr>
          <w:ilvl w:val="0"/>
          <w:numId w:val="13"/>
        </w:numPr>
        <w:ind w:left="714" w:hanging="357"/>
        <w:rPr>
          <w:rFonts w:eastAsia="Verdana" w:cs="Times New Roman"/>
          <w:color w:val="000000"/>
        </w:rPr>
      </w:pPr>
      <w:r w:rsidRPr="008B052A">
        <w:rPr>
          <w:rFonts w:eastAsia="Verdana" w:cs="Times New Roman"/>
          <w:color w:val="000000"/>
        </w:rPr>
        <w:t xml:space="preserve">Consensus forecasts (via subscription) </w:t>
      </w:r>
    </w:p>
    <w:p w14:paraId="5E6AD53F" w14:textId="77777777" w:rsidR="00BA548A" w:rsidRPr="008B052A" w:rsidRDefault="00BA548A" w:rsidP="00BA548A">
      <w:pPr>
        <w:spacing w:after="120"/>
        <w:rPr>
          <w:b/>
          <w:bCs/>
        </w:rPr>
      </w:pPr>
      <w:r w:rsidRPr="008B052A">
        <w:rPr>
          <w:b/>
          <w:bCs/>
        </w:rPr>
        <w:t>Economist Intelligence Unit</w:t>
      </w:r>
    </w:p>
    <w:p w14:paraId="4383BD56" w14:textId="0743DAB2" w:rsidR="00BA548A" w:rsidRPr="008B052A" w:rsidRDefault="00BA548A" w:rsidP="00BA548A">
      <w:pPr>
        <w:numPr>
          <w:ilvl w:val="0"/>
          <w:numId w:val="13"/>
        </w:numPr>
        <w:ind w:left="714" w:hanging="357"/>
        <w:rPr>
          <w:rFonts w:eastAsia="Verdana" w:cs="Times New Roman"/>
          <w:color w:val="000000"/>
        </w:rPr>
      </w:pPr>
      <w:r w:rsidRPr="008B052A">
        <w:rPr>
          <w:rFonts w:eastAsia="Verdana" w:cs="Times New Roman"/>
          <w:color w:val="000000"/>
        </w:rPr>
        <w:t xml:space="preserve">Australian </w:t>
      </w:r>
      <w:r w:rsidR="0018630C">
        <w:rPr>
          <w:rFonts w:eastAsia="Verdana" w:cs="Times New Roman"/>
          <w:color w:val="000000"/>
        </w:rPr>
        <w:t xml:space="preserve">and international economic </w:t>
      </w:r>
      <w:r w:rsidRPr="008B052A">
        <w:rPr>
          <w:rFonts w:eastAsia="Verdana" w:cs="Times New Roman"/>
          <w:color w:val="000000"/>
        </w:rPr>
        <w:t>forecasts (via subscription)</w:t>
      </w:r>
    </w:p>
    <w:p w14:paraId="300351DA" w14:textId="77777777" w:rsidR="00BA548A" w:rsidRPr="008B052A" w:rsidRDefault="00BA548A" w:rsidP="00BA548A">
      <w:pPr>
        <w:spacing w:after="120"/>
        <w:rPr>
          <w:b/>
          <w:bCs/>
        </w:rPr>
      </w:pPr>
      <w:r w:rsidRPr="008B052A">
        <w:rPr>
          <w:b/>
          <w:bCs/>
        </w:rPr>
        <w:t>Euromonitor passport</w:t>
      </w:r>
    </w:p>
    <w:p w14:paraId="0A67E839" w14:textId="77777777" w:rsidR="00BA548A" w:rsidRPr="008B052A" w:rsidRDefault="00BA548A" w:rsidP="00BA548A">
      <w:pPr>
        <w:numPr>
          <w:ilvl w:val="0"/>
          <w:numId w:val="13"/>
        </w:numPr>
        <w:ind w:left="714" w:hanging="357"/>
        <w:rPr>
          <w:rFonts w:eastAsia="Verdana" w:cs="Times New Roman"/>
          <w:color w:val="000000"/>
        </w:rPr>
      </w:pPr>
      <w:r w:rsidRPr="008B052A">
        <w:rPr>
          <w:rFonts w:eastAsia="Verdana" w:cs="Times New Roman"/>
          <w:color w:val="000000"/>
        </w:rPr>
        <w:t>International outbound travel forecasts (via subscription)</w:t>
      </w:r>
    </w:p>
    <w:p w14:paraId="4F4485E2" w14:textId="77777777" w:rsidR="00BA548A" w:rsidRPr="008B052A" w:rsidRDefault="00BA548A" w:rsidP="00BA548A">
      <w:pPr>
        <w:spacing w:after="120"/>
        <w:rPr>
          <w:b/>
          <w:bCs/>
        </w:rPr>
      </w:pPr>
      <w:r w:rsidRPr="008B052A">
        <w:rPr>
          <w:b/>
          <w:bCs/>
        </w:rPr>
        <w:t>Oxford Economics</w:t>
      </w:r>
    </w:p>
    <w:p w14:paraId="12D10B44" w14:textId="77777777" w:rsidR="00BA548A" w:rsidRPr="008B052A" w:rsidRDefault="00BA548A" w:rsidP="00BA548A">
      <w:pPr>
        <w:numPr>
          <w:ilvl w:val="0"/>
          <w:numId w:val="13"/>
        </w:numPr>
        <w:ind w:left="714" w:hanging="357"/>
        <w:rPr>
          <w:rFonts w:eastAsia="Verdana" w:cs="Times New Roman"/>
          <w:color w:val="000000"/>
        </w:rPr>
      </w:pPr>
      <w:r w:rsidRPr="008B052A">
        <w:rPr>
          <w:rFonts w:eastAsia="Verdana" w:cs="Times New Roman"/>
          <w:color w:val="000000"/>
        </w:rPr>
        <w:t xml:space="preserve">Travel and Tourism Databank (via subscription)  </w:t>
      </w:r>
    </w:p>
    <w:p w14:paraId="78A9F336" w14:textId="77777777" w:rsidR="00BA548A" w:rsidRPr="008B052A" w:rsidRDefault="00BA548A" w:rsidP="00BA548A">
      <w:pPr>
        <w:spacing w:after="120"/>
        <w:rPr>
          <w:b/>
          <w:bCs/>
        </w:rPr>
      </w:pPr>
      <w:r w:rsidRPr="008B052A">
        <w:rPr>
          <w:b/>
          <w:bCs/>
        </w:rPr>
        <w:t>Reserve Bank of Australia</w:t>
      </w:r>
    </w:p>
    <w:p w14:paraId="2AE451B5" w14:textId="7C6F84B4" w:rsidR="00BA548A" w:rsidRPr="008B052A" w:rsidRDefault="00BA548A" w:rsidP="00BA548A">
      <w:pPr>
        <w:numPr>
          <w:ilvl w:val="0"/>
          <w:numId w:val="14"/>
        </w:numPr>
        <w:spacing w:before="0" w:after="160" w:line="256" w:lineRule="auto"/>
        <w:ind w:left="714" w:hanging="357"/>
        <w:rPr>
          <w:rFonts w:eastAsia="Verdana" w:cs="Times New Roman"/>
          <w:color w:val="000000"/>
        </w:rPr>
      </w:pPr>
      <w:r w:rsidRPr="008B052A">
        <w:rPr>
          <w:rFonts w:eastAsia="Verdana" w:cs="Times New Roman"/>
          <w:color w:val="000000"/>
        </w:rPr>
        <w:t xml:space="preserve">Statement on Monetary Policy, </w:t>
      </w:r>
      <w:r w:rsidR="009466F0" w:rsidRPr="008B052A">
        <w:rPr>
          <w:rFonts w:eastAsia="Verdana" w:cs="Times New Roman"/>
          <w:color w:val="000000"/>
        </w:rPr>
        <w:t xml:space="preserve">May 2025, </w:t>
      </w:r>
      <w:r w:rsidRPr="008B052A">
        <w:rPr>
          <w:rFonts w:eastAsia="Verdana" w:cs="Times New Roman"/>
          <w:color w:val="000000"/>
        </w:rPr>
        <w:t>August 202</w:t>
      </w:r>
      <w:r w:rsidR="009466F0" w:rsidRPr="008B052A">
        <w:rPr>
          <w:rFonts w:eastAsia="Verdana" w:cs="Times New Roman"/>
          <w:color w:val="000000"/>
        </w:rPr>
        <w:t>5</w:t>
      </w:r>
      <w:r w:rsidR="006E2D07" w:rsidRPr="008B052A">
        <w:rPr>
          <w:rFonts w:eastAsia="Verdana" w:cs="Times New Roman"/>
          <w:color w:val="000000"/>
        </w:rPr>
        <w:t>, November 2025</w:t>
      </w:r>
    </w:p>
    <w:p w14:paraId="141F6699" w14:textId="77777777" w:rsidR="00BA548A" w:rsidRPr="008B052A" w:rsidRDefault="00BA548A" w:rsidP="00BA548A">
      <w:pPr>
        <w:spacing w:after="120"/>
        <w:rPr>
          <w:b/>
          <w:bCs/>
        </w:rPr>
      </w:pPr>
      <w:r w:rsidRPr="008B052A">
        <w:rPr>
          <w:b/>
          <w:bCs/>
        </w:rPr>
        <w:t>Tourism Australia</w:t>
      </w:r>
    </w:p>
    <w:p w14:paraId="13AFA6E5" w14:textId="61B4CD23" w:rsidR="00BA548A" w:rsidRPr="008B052A" w:rsidRDefault="00BA548A" w:rsidP="00BA548A">
      <w:pPr>
        <w:numPr>
          <w:ilvl w:val="0"/>
          <w:numId w:val="13"/>
        </w:numPr>
        <w:ind w:left="714" w:hanging="357"/>
        <w:rPr>
          <w:b/>
          <w:bCs/>
        </w:rPr>
      </w:pPr>
      <w:r w:rsidRPr="008B052A">
        <w:rPr>
          <w:rFonts w:eastAsia="Verdana" w:cs="Times New Roman"/>
          <w:color w:val="000000"/>
        </w:rPr>
        <w:t xml:space="preserve">Scheduled international flights, average weekly flights to Australia, data provided via </w:t>
      </w:r>
      <w:proofErr w:type="spellStart"/>
      <w:r w:rsidRPr="008B052A">
        <w:rPr>
          <w:rFonts w:eastAsia="Verdana" w:cs="Times New Roman"/>
          <w:color w:val="000000"/>
        </w:rPr>
        <w:t>Cirium</w:t>
      </w:r>
      <w:proofErr w:type="spellEnd"/>
      <w:r w:rsidRPr="008B052A">
        <w:rPr>
          <w:rFonts w:eastAsia="Verdana" w:cs="Times New Roman"/>
          <w:color w:val="000000"/>
        </w:rPr>
        <w:t xml:space="preserve"> as at 2</w:t>
      </w:r>
      <w:r w:rsidR="003C7EED" w:rsidRPr="008B052A">
        <w:rPr>
          <w:rFonts w:eastAsia="Verdana" w:cs="Times New Roman"/>
          <w:color w:val="000000"/>
        </w:rPr>
        <w:t>1</w:t>
      </w:r>
      <w:r w:rsidRPr="008B052A">
        <w:rPr>
          <w:rFonts w:eastAsia="Verdana" w:cs="Times New Roman"/>
          <w:color w:val="000000"/>
        </w:rPr>
        <w:t xml:space="preserve"> July 202</w:t>
      </w:r>
      <w:r w:rsidR="009466F0" w:rsidRPr="008B052A">
        <w:rPr>
          <w:rFonts w:eastAsia="Verdana" w:cs="Times New Roman"/>
          <w:color w:val="000000"/>
        </w:rPr>
        <w:t>5</w:t>
      </w:r>
      <w:r w:rsidRPr="008B052A">
        <w:rPr>
          <w:rFonts w:eastAsia="Verdana" w:cs="Times New Roman"/>
          <w:color w:val="000000"/>
        </w:rPr>
        <w:t xml:space="preserve">, </w:t>
      </w:r>
      <w:hyperlink r:id="rId53" w:history="1">
        <w:r w:rsidRPr="008B052A">
          <w:rPr>
            <w:rStyle w:val="Hyperlink"/>
          </w:rPr>
          <w:t>https://www.tourism.australia.com/en/insights/tourism-statistics/aviation-statistics.html</w:t>
        </w:r>
      </w:hyperlink>
      <w:r w:rsidRPr="008B052A">
        <w:rPr>
          <w:b/>
          <w:bCs/>
        </w:rPr>
        <w:t xml:space="preserve"> </w:t>
      </w:r>
    </w:p>
    <w:p w14:paraId="54A25237" w14:textId="77777777" w:rsidR="00BA548A" w:rsidRPr="008B052A" w:rsidRDefault="00BA548A" w:rsidP="00BA548A">
      <w:pPr>
        <w:spacing w:after="120"/>
        <w:rPr>
          <w:b/>
          <w:bCs/>
        </w:rPr>
      </w:pPr>
      <w:r w:rsidRPr="008B052A">
        <w:rPr>
          <w:b/>
          <w:bCs/>
        </w:rPr>
        <w:t xml:space="preserve">Tourism Research Australia (TRA) </w:t>
      </w:r>
    </w:p>
    <w:p w14:paraId="5816D153" w14:textId="77777777" w:rsidR="001F4189" w:rsidRPr="001F4189" w:rsidRDefault="001F4189" w:rsidP="00BA548A">
      <w:pPr>
        <w:numPr>
          <w:ilvl w:val="0"/>
          <w:numId w:val="12"/>
        </w:numPr>
        <w:spacing w:before="0" w:after="0" w:line="257" w:lineRule="auto"/>
        <w:ind w:left="714" w:hanging="357"/>
        <w:rPr>
          <w:rFonts w:eastAsia="Verdana" w:cs="Times New Roman"/>
          <w:color w:val="000000"/>
        </w:rPr>
      </w:pPr>
      <w:r>
        <w:rPr>
          <w:rFonts w:eastAsia="Verdana" w:cs="Times New Roman"/>
        </w:rPr>
        <w:t>Annual benchmark report: Australia’s visitor economy in 2024</w:t>
      </w:r>
    </w:p>
    <w:p w14:paraId="7238FC91" w14:textId="12977958" w:rsidR="00BA548A" w:rsidRPr="008B052A" w:rsidRDefault="00BA548A" w:rsidP="00BA548A">
      <w:pPr>
        <w:numPr>
          <w:ilvl w:val="0"/>
          <w:numId w:val="12"/>
        </w:numPr>
        <w:spacing w:before="0" w:after="0" w:line="257" w:lineRule="auto"/>
        <w:ind w:left="714" w:hanging="357"/>
        <w:rPr>
          <w:rFonts w:eastAsia="Verdana" w:cs="Times New Roman"/>
          <w:color w:val="000000"/>
        </w:rPr>
      </w:pPr>
      <w:r w:rsidRPr="008B052A">
        <w:rPr>
          <w:rFonts w:eastAsia="Verdana" w:cs="Times New Roman"/>
          <w:color w:val="000000"/>
        </w:rPr>
        <w:t>Domestic mobility data</w:t>
      </w:r>
      <w:r w:rsidR="006E2D07" w:rsidRPr="008B052A">
        <w:rPr>
          <w:rFonts w:eastAsia="Verdana" w:cs="Times New Roman"/>
          <w:color w:val="000000"/>
        </w:rPr>
        <w:t>, various releases</w:t>
      </w:r>
    </w:p>
    <w:p w14:paraId="0F3E38CB" w14:textId="77777777" w:rsidR="00BA548A" w:rsidRPr="008B052A" w:rsidRDefault="00BA548A" w:rsidP="00BA548A">
      <w:pPr>
        <w:numPr>
          <w:ilvl w:val="0"/>
          <w:numId w:val="12"/>
        </w:numPr>
        <w:spacing w:before="0" w:after="0" w:line="257" w:lineRule="auto"/>
        <w:ind w:left="714" w:hanging="357"/>
        <w:rPr>
          <w:rFonts w:eastAsia="Verdana" w:cs="Times New Roman"/>
          <w:color w:val="000000"/>
        </w:rPr>
      </w:pPr>
      <w:r w:rsidRPr="008B052A">
        <w:rPr>
          <w:rFonts w:eastAsia="Verdana" w:cs="Times New Roman"/>
          <w:color w:val="000000"/>
        </w:rPr>
        <w:t>International Visitor Survey (IVS), various editions</w:t>
      </w:r>
    </w:p>
    <w:p w14:paraId="61158FCC" w14:textId="57E64980" w:rsidR="00BA548A" w:rsidRPr="008B052A" w:rsidRDefault="00BA548A" w:rsidP="00BA548A">
      <w:pPr>
        <w:numPr>
          <w:ilvl w:val="0"/>
          <w:numId w:val="12"/>
        </w:numPr>
        <w:spacing w:before="0" w:after="0" w:line="257" w:lineRule="auto"/>
        <w:ind w:left="714" w:hanging="357"/>
        <w:rPr>
          <w:rFonts w:eastAsia="Verdana" w:cs="Times New Roman"/>
          <w:color w:val="000000"/>
        </w:rPr>
      </w:pPr>
      <w:r w:rsidRPr="008B052A">
        <w:rPr>
          <w:rFonts w:eastAsia="Verdana" w:cs="Times New Roman"/>
          <w:color w:val="000000"/>
        </w:rPr>
        <w:t>National Visitor Survey (NVS), various editions</w:t>
      </w:r>
    </w:p>
    <w:p w14:paraId="78E6EA69" w14:textId="789E800E" w:rsidR="004767E6" w:rsidRPr="001F4189" w:rsidRDefault="00BA548A" w:rsidP="001F4189">
      <w:pPr>
        <w:numPr>
          <w:ilvl w:val="0"/>
          <w:numId w:val="12"/>
        </w:numPr>
        <w:spacing w:before="0" w:after="0" w:line="257" w:lineRule="auto"/>
        <w:ind w:left="714" w:hanging="357"/>
        <w:rPr>
          <w:rFonts w:eastAsia="Verdana" w:cs="Times New Roman"/>
          <w:color w:val="000000"/>
        </w:rPr>
      </w:pPr>
      <w:r w:rsidRPr="160CD3CC">
        <w:rPr>
          <w:rFonts w:eastAsia="Verdana" w:cs="Times New Roman"/>
        </w:rPr>
        <w:t xml:space="preserve">Tourism </w:t>
      </w:r>
      <w:r w:rsidR="002161C3">
        <w:rPr>
          <w:rFonts w:eastAsia="Verdana" w:cs="Times New Roman"/>
        </w:rPr>
        <w:t>f</w:t>
      </w:r>
      <w:r w:rsidRPr="160CD3CC">
        <w:rPr>
          <w:rFonts w:eastAsia="Verdana" w:cs="Times New Roman"/>
        </w:rPr>
        <w:t>orecasts for Australia 202</w:t>
      </w:r>
      <w:r w:rsidR="00495CD8">
        <w:rPr>
          <w:rFonts w:eastAsia="Verdana" w:cs="Times New Roman"/>
        </w:rPr>
        <w:t>4</w:t>
      </w:r>
      <w:r w:rsidRPr="160CD3CC">
        <w:rPr>
          <w:rFonts w:eastAsia="Verdana" w:cs="Times New Roman"/>
        </w:rPr>
        <w:t xml:space="preserve"> to 202</w:t>
      </w:r>
      <w:r w:rsidR="004B61AF" w:rsidRPr="160CD3CC">
        <w:rPr>
          <w:rFonts w:eastAsia="Verdana" w:cs="Times New Roman"/>
        </w:rPr>
        <w:t>9</w:t>
      </w:r>
    </w:p>
    <w:sectPr w:rsidR="004767E6" w:rsidRPr="001F4189" w:rsidSect="007D1491">
      <w:headerReference w:type="even" r:id="rId54"/>
      <w:headerReference w:type="default" r:id="rId55"/>
      <w:footerReference w:type="even" r:id="rId56"/>
      <w:headerReference w:type="first" r:id="rId57"/>
      <w:footerReference w:type="first" r:id="rId58"/>
      <w:type w:val="continuous"/>
      <w:pgSz w:w="11906" w:h="16838"/>
      <w:pgMar w:top="851" w:right="945" w:bottom="993" w:left="993" w:header="708" w:footer="362"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93FF" w14:textId="77777777" w:rsidR="00606730" w:rsidRPr="008B052A" w:rsidRDefault="00606730" w:rsidP="007B0021">
      <w:r w:rsidRPr="008B052A">
        <w:separator/>
      </w:r>
    </w:p>
    <w:p w14:paraId="7A3A8316" w14:textId="77777777" w:rsidR="00606730" w:rsidRPr="008B052A" w:rsidRDefault="00606730" w:rsidP="007B0021"/>
  </w:endnote>
  <w:endnote w:type="continuationSeparator" w:id="0">
    <w:p w14:paraId="42998ACA" w14:textId="77777777" w:rsidR="00606730" w:rsidRPr="008B052A" w:rsidRDefault="00606730" w:rsidP="007B0021">
      <w:r w:rsidRPr="008B052A">
        <w:continuationSeparator/>
      </w:r>
    </w:p>
    <w:p w14:paraId="176E5049" w14:textId="77777777" w:rsidR="00606730" w:rsidRPr="008B052A" w:rsidRDefault="00606730"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U Sans BETA Text Medium">
    <w:altName w:val="Calibri"/>
    <w:panose1 w:val="00000000000000000000"/>
    <w:charset w:val="00"/>
    <w:family w:val="modern"/>
    <w:notTrueType/>
    <w:pitch w:val="variable"/>
    <w:sig w:usb0="00000003" w:usb1="00000000" w:usb2="00000000" w:usb3="00000000" w:csb0="00000001" w:csb1="00000000"/>
  </w:font>
  <w:font w:name="AU Sans BETA Text Light">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Pr="008B052A" w:rsidRDefault="00710296">
    <w:pPr>
      <w:pStyle w:val="Footer"/>
    </w:pPr>
    <w:r w:rsidRPr="008B052A">
      <w:rPr>
        <w:noProof/>
      </w:rPr>
      <mc:AlternateContent>
        <mc:Choice Requires="wps">
          <w:drawing>
            <wp:anchor distT="0" distB="0" distL="0" distR="0" simplePos="0" relativeHeight="251658244"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8"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1872D669" w14:textId="089835DE"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3B1C" w14:textId="41A9AC7E" w:rsidR="00033FEA" w:rsidRPr="008B052A" w:rsidRDefault="00033FEA" w:rsidP="00033FEA">
    <w:pPr>
      <w:pStyle w:val="Footer"/>
      <w:pBdr>
        <w:top w:val="single" w:sz="4" w:space="8" w:color="893B94" w:themeColor="accent1"/>
      </w:pBdr>
      <w:tabs>
        <w:tab w:val="right" w:pos="9968"/>
      </w:tabs>
      <w:spacing w:before="360"/>
      <w:contextualSpacing/>
      <w:rPr>
        <w:color w:val="404040" w:themeColor="text1" w:themeTint="BF"/>
      </w:rPr>
    </w:pPr>
    <w:r w:rsidRPr="008B052A">
      <w:rPr>
        <w:color w:val="404040" w:themeColor="text1" w:themeTint="BF"/>
      </w:rPr>
      <w:t>Tourism Research Australia</w:t>
    </w:r>
    <w:r w:rsidRPr="008B052A">
      <w:rPr>
        <w:color w:val="404040" w:themeColor="text1" w:themeTint="BF"/>
      </w:rPr>
      <w:tab/>
    </w:r>
    <w:r w:rsidRPr="008B052A">
      <w:rPr>
        <w:color w:val="404040" w:themeColor="text1" w:themeTint="BF"/>
      </w:rPr>
      <w:tab/>
    </w:r>
    <w:r w:rsidRPr="008B052A">
      <w:rPr>
        <w:color w:val="404040" w:themeColor="text1" w:themeTint="BF"/>
      </w:rPr>
      <w:tab/>
    </w:r>
    <w:r w:rsidRPr="008B052A">
      <w:rPr>
        <w:color w:val="404040" w:themeColor="text1" w:themeTint="BF"/>
      </w:rPr>
      <w:fldChar w:fldCharType="begin"/>
    </w:r>
    <w:r w:rsidRPr="008B052A">
      <w:rPr>
        <w:color w:val="404040" w:themeColor="text1" w:themeTint="BF"/>
      </w:rPr>
      <w:instrText xml:space="preserve"> PAGE   \* MERGEFORMAT </w:instrText>
    </w:r>
    <w:r w:rsidRPr="008B052A">
      <w:rPr>
        <w:color w:val="404040" w:themeColor="text1" w:themeTint="BF"/>
      </w:rPr>
      <w:fldChar w:fldCharType="separate"/>
    </w:r>
    <w:r w:rsidRPr="008B052A">
      <w:rPr>
        <w:color w:val="404040" w:themeColor="text1" w:themeTint="BF"/>
      </w:rPr>
      <w:t>2</w:t>
    </w:r>
    <w:r w:rsidRPr="008B052A">
      <w:rPr>
        <w:color w:val="404040" w:themeColor="text1" w:themeTint="BF"/>
      </w:rPr>
      <w:fldChar w:fldCharType="end"/>
    </w:r>
  </w:p>
  <w:p w14:paraId="5EB109EB" w14:textId="3B6EB6F9" w:rsidR="00710296" w:rsidRPr="008B052A"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9DDE" w14:textId="6D425285" w:rsidR="00710296" w:rsidRPr="008B052A" w:rsidRDefault="00710296">
    <w:pPr>
      <w:pStyle w:val="Footer"/>
    </w:pPr>
    <w:r w:rsidRPr="008B052A">
      <w:rPr>
        <w:noProof/>
      </w:rPr>
      <mc:AlternateContent>
        <mc:Choice Requires="wps">
          <w:drawing>
            <wp:anchor distT="0" distB="0" distL="0" distR="0" simplePos="0" relativeHeight="251658243" behindDoc="0" locked="0" layoutInCell="1" allowOverlap="1" wp14:anchorId="2464A052" wp14:editId="1147EB68">
              <wp:simplePos x="635" y="635"/>
              <wp:positionH relativeFrom="page">
                <wp:align>center</wp:align>
              </wp:positionH>
              <wp:positionV relativeFrom="page">
                <wp:align>bottom</wp:align>
              </wp:positionV>
              <wp:extent cx="551815" cy="508000"/>
              <wp:effectExtent l="0" t="0" r="635" b="0"/>
              <wp:wrapNone/>
              <wp:docPr id="72660558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A28CB4" w14:textId="4AFCBA18"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4A052" id="_x0000_t202" coordsize="21600,21600" o:spt="202" path="m,l,21600r21600,l21600,xe">
              <v:stroke joinstyle="miter"/>
              <v:path gradientshapeok="t" o:connecttype="rect"/>
            </v:shapetype>
            <v:shape id="Text Box 12" o:spid="_x0000_s1030"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cDgIAABwEAAAOAAAAZHJzL2Uyb0RvYy54bWysU01v2zAMvQ/YfxB0X2wXy5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zYGwcDgIAABwE&#10;AAAOAAAAAAAAAAAAAAAAAC4CAABkcnMvZTJvRG9jLnhtbFBLAQItABQABgAIAAAAIQAun/o72gAA&#10;AAMBAAAPAAAAAAAAAAAAAAAAAGgEAABkcnMvZG93bnJldi54bWxQSwUGAAAAAAQABADzAAAAbwUA&#10;AAAA&#10;" filled="f" stroked="f">
              <v:textbox style="mso-fit-shape-to-text:t" inset="0,0,0,15pt">
                <w:txbxContent>
                  <w:p w14:paraId="64A28CB4" w14:textId="4AFCBA18"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7633" w14:textId="77777777" w:rsidR="00EE3B7E" w:rsidRPr="008B052A" w:rsidRDefault="00EE3B7E">
    <w:pPr>
      <w:pStyle w:val="Footer"/>
    </w:pPr>
    <w:r w:rsidRPr="008B052A">
      <w:rPr>
        <w:noProof/>
      </w:rPr>
      <mc:AlternateContent>
        <mc:Choice Requires="wps">
          <w:drawing>
            <wp:anchor distT="0" distB="0" distL="0" distR="0" simplePos="0" relativeHeight="251658249" behindDoc="0" locked="0" layoutInCell="1" allowOverlap="1" wp14:anchorId="66A96D2F" wp14:editId="0CCE9B70">
              <wp:simplePos x="635" y="635"/>
              <wp:positionH relativeFrom="page">
                <wp:align>center</wp:align>
              </wp:positionH>
              <wp:positionV relativeFrom="page">
                <wp:align>bottom</wp:align>
              </wp:positionV>
              <wp:extent cx="551815" cy="508000"/>
              <wp:effectExtent l="0" t="0" r="635" b="0"/>
              <wp:wrapNone/>
              <wp:docPr id="77106525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7B68579F"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96D2F" id="_x0000_t202" coordsize="21600,21600" o:spt="202" path="m,l,21600r21600,l21600,xe">
              <v:stroke joinstyle="miter"/>
              <v:path gradientshapeok="t" o:connecttype="rect"/>
            </v:shapetype>
            <v:shape id="_x0000_s1033" type="#_x0000_t202" alt="OFFICIAL" style="position:absolute;margin-left:0;margin-top:0;width:43.45pt;height:40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DEobtaDgIAABwE&#10;AAAOAAAAAAAAAAAAAAAAAC4CAABkcnMvZTJvRG9jLnhtbFBLAQItABQABgAIAAAAIQAun/o72gAA&#10;AAMBAAAPAAAAAAAAAAAAAAAAAGgEAABkcnMvZG93bnJldi54bWxQSwUGAAAAAAQABADzAAAAbwUA&#10;AAAA&#10;" filled="f" stroked="f">
              <v:textbox style="mso-fit-shape-to-text:t" inset="0,0,0,15pt">
                <w:txbxContent>
                  <w:p w14:paraId="7B68579F"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3BBB" w14:textId="77777777" w:rsidR="00EE3B7E" w:rsidRPr="008B052A" w:rsidRDefault="00EE3B7E">
    <w:pPr>
      <w:pStyle w:val="Footer"/>
    </w:pPr>
    <w:r w:rsidRPr="008B052A">
      <w:rPr>
        <w:noProof/>
      </w:rPr>
      <mc:AlternateContent>
        <mc:Choice Requires="wps">
          <w:drawing>
            <wp:anchor distT="0" distB="0" distL="0" distR="0" simplePos="0" relativeHeight="251658248" behindDoc="0" locked="0" layoutInCell="1" allowOverlap="1" wp14:anchorId="3BE5F123" wp14:editId="7F6097FD">
              <wp:simplePos x="635" y="635"/>
              <wp:positionH relativeFrom="page">
                <wp:align>center</wp:align>
              </wp:positionH>
              <wp:positionV relativeFrom="page">
                <wp:align>bottom</wp:align>
              </wp:positionV>
              <wp:extent cx="551815" cy="508000"/>
              <wp:effectExtent l="0" t="0" r="635" b="0"/>
              <wp:wrapNone/>
              <wp:docPr id="152427610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66DB517"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5F123" id="_x0000_t202" coordsize="21600,21600" o:spt="202" path="m,l,21600r21600,l21600,xe">
              <v:stroke joinstyle="miter"/>
              <v:path gradientshapeok="t" o:connecttype="rect"/>
            </v:shapetype>
            <v:shape id="_x0000_s1035" type="#_x0000_t202" alt="OFFICIAL" style="position:absolute;margin-left:0;margin-top:0;width:43.45pt;height:40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CD3/DhDgIAABwE&#10;AAAOAAAAAAAAAAAAAAAAAC4CAABkcnMvZTJvRG9jLnhtbFBLAQItABQABgAIAAAAIQAun/o72gAA&#10;AAMBAAAPAAAAAAAAAAAAAAAAAGgEAABkcnMvZG93bnJldi54bWxQSwUGAAAAAAQABADzAAAAbwUA&#10;AAAA&#10;" filled="f" stroked="f">
              <v:textbox style="mso-fit-shape-to-text:t" inset="0,0,0,15pt">
                <w:txbxContent>
                  <w:p w14:paraId="366DB517"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C39D" w14:textId="77777777" w:rsidR="00606730" w:rsidRPr="008B052A" w:rsidRDefault="00606730" w:rsidP="007B0021">
      <w:r w:rsidRPr="008B052A">
        <w:separator/>
      </w:r>
    </w:p>
    <w:p w14:paraId="298459D2" w14:textId="77777777" w:rsidR="00606730" w:rsidRPr="008B052A" w:rsidRDefault="00606730" w:rsidP="007B0021"/>
  </w:footnote>
  <w:footnote w:type="continuationSeparator" w:id="0">
    <w:p w14:paraId="3E9E2C38" w14:textId="77777777" w:rsidR="00606730" w:rsidRPr="008B052A" w:rsidRDefault="00606730" w:rsidP="007B0021">
      <w:r w:rsidRPr="008B052A">
        <w:continuationSeparator/>
      </w:r>
    </w:p>
    <w:p w14:paraId="55133ED4" w14:textId="77777777" w:rsidR="00606730" w:rsidRPr="008B052A" w:rsidRDefault="00606730" w:rsidP="007B0021"/>
  </w:footnote>
  <w:footnote w:id="1">
    <w:p w14:paraId="683EEFC5" w14:textId="5C85B35C" w:rsidR="006D5FEC" w:rsidRDefault="006D5FEC">
      <w:pPr>
        <w:pStyle w:val="FootnoteText"/>
      </w:pPr>
      <w:r>
        <w:rPr>
          <w:rStyle w:val="FootnoteReference"/>
        </w:rPr>
        <w:footnoteRef/>
      </w:r>
      <w:r>
        <w:t xml:space="preserve"> </w:t>
      </w:r>
      <w:r w:rsidR="00CD69FB" w:rsidRPr="00CD69FB">
        <w:t xml:space="preserve">Australian population </w:t>
      </w:r>
      <w:r w:rsidR="006A27B6">
        <w:t xml:space="preserve">projections </w:t>
      </w:r>
      <w:r w:rsidR="00741288">
        <w:t xml:space="preserve">by the Australian Bureau of Statistics (ABS) </w:t>
      </w:r>
      <w:r w:rsidR="006A27B6">
        <w:t xml:space="preserve">have been used to inform the expected rate of population growth for the Australian </w:t>
      </w:r>
      <w:r w:rsidR="00FD4585">
        <w:t xml:space="preserve">resident population </w:t>
      </w:r>
      <w:r w:rsidR="00775980">
        <w:t xml:space="preserve">aged 15+ </w:t>
      </w:r>
      <w:r w:rsidR="00FD4585">
        <w:t>over the forecast period</w:t>
      </w:r>
      <w:r w:rsidR="00775980">
        <w:t>.</w:t>
      </w:r>
    </w:p>
  </w:footnote>
  <w:footnote w:id="2">
    <w:p w14:paraId="05C3809B" w14:textId="77777777" w:rsidR="00A47FC0" w:rsidRPr="008B052A" w:rsidRDefault="00A47FC0" w:rsidP="00A47FC0">
      <w:pPr>
        <w:pStyle w:val="FootnoteText"/>
        <w:rPr>
          <w:sz w:val="18"/>
          <w:szCs w:val="18"/>
        </w:rPr>
      </w:pPr>
      <w:r w:rsidRPr="008B052A">
        <w:rPr>
          <w:rStyle w:val="FootnoteReference"/>
        </w:rPr>
        <w:footnoteRef/>
      </w:r>
      <w:r w:rsidRPr="008B052A">
        <w:t xml:space="preserve"> </w:t>
      </w:r>
      <w:r w:rsidRPr="008B052A">
        <w:rPr>
          <w:sz w:val="18"/>
          <w:szCs w:val="18"/>
        </w:rPr>
        <w:t xml:space="preserve">Tourism data collections have typically identified travellers from Hong Kong and Taiwan. Given unique aspects of these tourism markets, TRA reports these as individual source markets for travellers to Australia. </w:t>
      </w:r>
    </w:p>
  </w:footnote>
  <w:footnote w:id="3">
    <w:p w14:paraId="4BA28563" w14:textId="14491748" w:rsidR="00952FEC" w:rsidRPr="008B052A" w:rsidRDefault="00952FEC" w:rsidP="00952FEC">
      <w:pPr>
        <w:spacing w:line="240" w:lineRule="auto"/>
      </w:pPr>
      <w:r w:rsidRPr="008B052A">
        <w:rPr>
          <w:rStyle w:val="FootnoteReference"/>
        </w:rPr>
        <w:footnoteRef/>
      </w:r>
      <w:r w:rsidRPr="008B052A">
        <w:t xml:space="preserve"> </w:t>
      </w:r>
      <w:r w:rsidRPr="008B052A">
        <w:rPr>
          <w:sz w:val="18"/>
          <w:szCs w:val="18"/>
        </w:rPr>
        <w:t>Employment arrivals capture only short-term visitor arrivals with the main purpose of working and does not count permanent migration to Australia for work purposes.</w:t>
      </w:r>
    </w:p>
  </w:footnote>
  <w:footnote w:id="4">
    <w:p w14:paraId="6728B764" w14:textId="207674C0" w:rsidR="00DD0D00" w:rsidRPr="008B052A" w:rsidRDefault="00DD0D00">
      <w:pPr>
        <w:pStyle w:val="FootnoteText"/>
      </w:pPr>
      <w:r w:rsidRPr="008B052A">
        <w:rPr>
          <w:rStyle w:val="FootnoteReference"/>
        </w:rPr>
        <w:footnoteRef/>
      </w:r>
      <w:r w:rsidRPr="008B052A">
        <w:t xml:space="preserve"> </w:t>
      </w:r>
      <w:r w:rsidR="00BC56D8" w:rsidRPr="00D523AE">
        <w:rPr>
          <w:sz w:val="18"/>
          <w:szCs w:val="18"/>
        </w:rPr>
        <w:t xml:space="preserve">As discussed in TRA’s </w:t>
      </w:r>
      <w:hyperlink r:id="rId1" w:history="1">
        <w:r w:rsidR="00BC56D8" w:rsidRPr="00D523AE">
          <w:rPr>
            <w:rStyle w:val="Hyperlink"/>
            <w:sz w:val="18"/>
            <w:szCs w:val="18"/>
          </w:rPr>
          <w:t>Annual Benchmark report</w:t>
        </w:r>
      </w:hyperlink>
      <w:r w:rsidR="00BC56D8" w:rsidRPr="00D523AE">
        <w:rPr>
          <w:sz w:val="18"/>
          <w:szCs w:val="18"/>
        </w:rPr>
        <w:t xml:space="preserve"> (2024), t</w:t>
      </w:r>
      <w:r w:rsidR="00096138" w:rsidRPr="00D523AE">
        <w:rPr>
          <w:sz w:val="18"/>
          <w:szCs w:val="18"/>
        </w:rPr>
        <w:t>he ABS’s producer price index data reports that the</w:t>
      </w:r>
      <w:r w:rsidR="00AE46E2" w:rsidRPr="00D523AE">
        <w:rPr>
          <w:sz w:val="18"/>
          <w:szCs w:val="18"/>
        </w:rPr>
        <w:t xml:space="preserve"> cost of doing business for accommodation service providers and for cafés, restaurants and take-away food service providers</w:t>
      </w:r>
      <w:r w:rsidR="00FF6CB3" w:rsidRPr="00D523AE">
        <w:rPr>
          <w:sz w:val="18"/>
          <w:szCs w:val="18"/>
        </w:rPr>
        <w:t xml:space="preserve"> has ris</w:t>
      </w:r>
      <w:r w:rsidR="00133241" w:rsidRPr="00D523AE">
        <w:rPr>
          <w:sz w:val="18"/>
          <w:szCs w:val="18"/>
        </w:rPr>
        <w:t xml:space="preserve">en </w:t>
      </w:r>
      <w:r w:rsidR="002B0DD4" w:rsidRPr="00D523AE">
        <w:rPr>
          <w:sz w:val="18"/>
          <w:szCs w:val="18"/>
        </w:rPr>
        <w:t>faster than</w:t>
      </w:r>
      <w:r w:rsidR="00635064" w:rsidRPr="00D523AE">
        <w:rPr>
          <w:sz w:val="18"/>
          <w:szCs w:val="18"/>
        </w:rPr>
        <w:t xml:space="preserve"> for other industries</w:t>
      </w:r>
      <w:r w:rsidR="00133241" w:rsidRPr="00D523AE">
        <w:rPr>
          <w:sz w:val="18"/>
          <w:szCs w:val="18"/>
        </w:rPr>
        <w:t xml:space="preserve">. </w:t>
      </w:r>
      <w:r w:rsidR="00D900C2" w:rsidRPr="00D523AE">
        <w:rPr>
          <w:sz w:val="18"/>
          <w:szCs w:val="18"/>
        </w:rPr>
        <w:t xml:space="preserve">The producer price index increased by </w:t>
      </w:r>
      <w:r w:rsidR="0086560E" w:rsidRPr="00D523AE">
        <w:rPr>
          <w:sz w:val="18"/>
          <w:szCs w:val="18"/>
        </w:rPr>
        <w:t>9% i</w:t>
      </w:r>
      <w:r w:rsidR="00D900C2" w:rsidRPr="00D523AE">
        <w:rPr>
          <w:sz w:val="18"/>
          <w:szCs w:val="18"/>
        </w:rPr>
        <w:t>n the June quarter 2025 compared with the previous year</w:t>
      </w:r>
      <w:r w:rsidR="0086560E" w:rsidRPr="00D523AE">
        <w:rPr>
          <w:sz w:val="18"/>
          <w:szCs w:val="18"/>
        </w:rPr>
        <w:t xml:space="preserve"> for accommodation providers and by 11% for cafés, restaurants and take-away food services</w:t>
      </w:r>
      <w:r w:rsidR="00D900C2" w:rsidRPr="00D523AE">
        <w:rPr>
          <w:sz w:val="18"/>
          <w:szCs w:val="18"/>
        </w:rPr>
        <w:t>,</w:t>
      </w:r>
      <w:r w:rsidR="0086560E" w:rsidRPr="00D523AE">
        <w:rPr>
          <w:sz w:val="18"/>
          <w:szCs w:val="18"/>
        </w:rPr>
        <w:t xml:space="preserve"> compared with </w:t>
      </w:r>
      <w:r w:rsidR="00DC3905" w:rsidRPr="00D523AE">
        <w:rPr>
          <w:sz w:val="18"/>
          <w:szCs w:val="18"/>
        </w:rPr>
        <w:t xml:space="preserve">3% for the overall index of final demand. </w:t>
      </w:r>
      <w:r w:rsidR="00D900C2" w:rsidRPr="00D523AE">
        <w:rPr>
          <w:sz w:val="18"/>
          <w:szCs w:val="18"/>
        </w:rPr>
        <w:t xml:space="preserve"> </w:t>
      </w:r>
      <w:r w:rsidR="00096138" w:rsidRPr="00D523AE">
        <w:rPr>
          <w:sz w:val="18"/>
          <w:szCs w:val="18"/>
        </w:rPr>
        <w:t xml:space="preserve"> </w:t>
      </w:r>
    </w:p>
  </w:footnote>
  <w:footnote w:id="5">
    <w:p w14:paraId="449B3C08" w14:textId="2095E8AF" w:rsidR="003E7351" w:rsidRDefault="003E7351" w:rsidP="003E7351">
      <w:pPr>
        <w:pStyle w:val="FootnoteText"/>
      </w:pPr>
      <w:r w:rsidRPr="008B052A">
        <w:rPr>
          <w:rStyle w:val="FootnoteReference"/>
        </w:rPr>
        <w:footnoteRef/>
      </w:r>
      <w:r w:rsidRPr="008B052A">
        <w:t xml:space="preserve"> </w:t>
      </w:r>
      <w:r w:rsidR="00EE6CE0">
        <w:t>Informed by</w:t>
      </w:r>
      <w:r w:rsidRPr="008B052A">
        <w:t xml:space="preserve"> the ABS </w:t>
      </w:r>
      <w:r w:rsidR="0052546A">
        <w:t>‘</w:t>
      </w:r>
      <w:r w:rsidRPr="008B052A">
        <w:t>high</w:t>
      </w:r>
      <w:r w:rsidR="00EE6CE0">
        <w:t>’</w:t>
      </w:r>
      <w:r w:rsidRPr="008B052A">
        <w:t xml:space="preserve"> projection</w:t>
      </w:r>
      <w:r w:rsidR="0052546A">
        <w:t xml:space="preserve"> for </w:t>
      </w:r>
      <w:r w:rsidR="00787D50">
        <w:t>t</w:t>
      </w:r>
      <w:r w:rsidR="00E842AA">
        <w:t xml:space="preserve">he </w:t>
      </w:r>
      <w:r w:rsidR="0052546A" w:rsidRPr="00CD69FB">
        <w:t xml:space="preserve">Australian </w:t>
      </w:r>
      <w:r w:rsidR="001332C9">
        <w:t xml:space="preserve">resident </w:t>
      </w:r>
      <w:r w:rsidR="0052546A" w:rsidRPr="00CD69FB">
        <w:t>population</w:t>
      </w:r>
      <w:r w:rsidRPr="008B05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Pr="008B052A" w:rsidRDefault="00710296">
    <w:pPr>
      <w:pStyle w:val="Header"/>
    </w:pPr>
    <w:r w:rsidRPr="008B052A">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D81E" w14:textId="18E354ED" w:rsidR="00710296" w:rsidRPr="008B052A" w:rsidRDefault="00710296">
    <w:pPr>
      <w:pStyle w:val="Header"/>
    </w:pPr>
    <w:r w:rsidRPr="008B052A">
      <w:rPr>
        <w:noProof/>
      </w:rPr>
      <mc:AlternateContent>
        <mc:Choice Requires="wps">
          <w:drawing>
            <wp:anchor distT="0" distB="0" distL="0" distR="0" simplePos="0" relativeHeight="251658242" behindDoc="0" locked="0" layoutInCell="1" allowOverlap="1" wp14:anchorId="643DBDD2" wp14:editId="1F4E3151">
              <wp:simplePos x="635" y="635"/>
              <wp:positionH relativeFrom="page">
                <wp:align>center</wp:align>
              </wp:positionH>
              <wp:positionV relativeFrom="page">
                <wp:align>top</wp:align>
              </wp:positionV>
              <wp:extent cx="551815" cy="508000"/>
              <wp:effectExtent l="0" t="0" r="635" b="6350"/>
              <wp:wrapNone/>
              <wp:docPr id="106398590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707238D" w14:textId="17EBD3C8"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DBDD2" id="_x0000_t202" coordsize="21600,21600" o:spt="202" path="m,l,21600r21600,l21600,xe">
              <v:stroke joinstyle="miter"/>
              <v:path gradientshapeok="t" o:connecttype="rect"/>
            </v:shapetype>
            <v:shape id="Text Box 8"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6707238D" w14:textId="17EBD3C8"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Pr="008B052A" w:rsidRDefault="00710296" w:rsidP="007B0021">
    <w:pPr>
      <w:pStyle w:val="Header"/>
    </w:pPr>
    <w:r w:rsidRPr="008B052A">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9"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filled="f" stroked="f">
              <v:textbox style="mso-fit-shape-to-text:t" inset="0,15pt,0,0">
                <w:txbxContent>
                  <w:p w14:paraId="1CE421FE" w14:textId="76F8BD26" w:rsidR="00710296" w:rsidRPr="008B052A" w:rsidRDefault="00710296"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p w14:paraId="42260FC9" w14:textId="77777777" w:rsidR="003A58AB" w:rsidRPr="008B052A" w:rsidRDefault="003A58AB" w:rsidP="007B00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ED3" w14:textId="77777777" w:rsidR="00EE3B7E" w:rsidRPr="008B052A" w:rsidRDefault="00EE3B7E">
    <w:pPr>
      <w:pStyle w:val="Header"/>
    </w:pPr>
    <w:r w:rsidRPr="008B052A">
      <w:rPr>
        <w:noProof/>
      </w:rPr>
      <mc:AlternateContent>
        <mc:Choice Requires="wps">
          <w:drawing>
            <wp:anchor distT="0" distB="0" distL="0" distR="0" simplePos="0" relativeHeight="251658246" behindDoc="0" locked="0" layoutInCell="1" allowOverlap="1" wp14:anchorId="2309520D" wp14:editId="379D8B06">
              <wp:simplePos x="635" y="635"/>
              <wp:positionH relativeFrom="page">
                <wp:align>center</wp:align>
              </wp:positionH>
              <wp:positionV relativeFrom="page">
                <wp:align>top</wp:align>
              </wp:positionV>
              <wp:extent cx="551815" cy="508000"/>
              <wp:effectExtent l="0" t="0" r="635" b="6350"/>
              <wp:wrapNone/>
              <wp:docPr id="60090276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7CDC33C"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09520D" id="_x0000_t202" coordsize="21600,21600" o:spt="202" path="m,l,21600r21600,l21600,xe">
              <v:stroke joinstyle="miter"/>
              <v:path gradientshapeok="t" o:connecttype="rect"/>
            </v:shapetype>
            <v:shape id="_x0000_s1031" type="#_x0000_t202" alt="OFFICIAL" style="position:absolute;margin-left:0;margin-top:0;width:43.45pt;height:40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VDQ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dT83H6LdRHWsrDie/g5Kqj1msR8El4Ipj2INHi&#10;Ix2Nhr7icLY4a8H//p8/5hPuFOWsJ8FU3JKiOdM/LfERtZWM4ls+JQCYH93b0bB7cwckw4JehJPJ&#10;jHmoR7PxYF5IzsvYiELCSmpXcRzNOzwpl56DVMtlSiIZOYFru3Eylo5wRSyfhxfh3RlwJKYeYFST&#10;KN/gfsqNN4Nb7pHQT6REaE9AnhEnCSauzs8lavz1f8q6PurFHwA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BiPlQ0CAAAcBAAA&#10;DgAAAAAAAAAAAAAAAAAuAgAAZHJzL2Uyb0RvYy54bWxQSwECLQAUAAYACAAAACEAzWwmhNkAAAAD&#10;AQAADwAAAAAAAAAAAAAAAABnBAAAZHJzL2Rvd25yZXYueG1sUEsFBgAAAAAEAAQA8wAAAG0FAAAA&#10;AA==&#10;" filled="f" stroked="f">
              <v:textbox style="mso-fit-shape-to-text:t" inset="0,15pt,0,0">
                <w:txbxContent>
                  <w:p w14:paraId="67CDC33C"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4B1B" w14:textId="77777777" w:rsidR="00EE3B7E" w:rsidRPr="008B052A" w:rsidRDefault="00EE3B7E">
    <w:pPr>
      <w:pStyle w:val="Header"/>
    </w:pPr>
    <w:r w:rsidRPr="008B052A">
      <w:rPr>
        <w:noProof/>
      </w:rPr>
      <mc:AlternateContent>
        <mc:Choice Requires="wps">
          <w:drawing>
            <wp:anchor distT="0" distB="0" distL="0" distR="0" simplePos="0" relativeHeight="251658247" behindDoc="0" locked="0" layoutInCell="1" allowOverlap="1" wp14:anchorId="31EB37E7" wp14:editId="27CC60C7">
              <wp:simplePos x="635" y="635"/>
              <wp:positionH relativeFrom="page">
                <wp:align>center</wp:align>
              </wp:positionH>
              <wp:positionV relativeFrom="page">
                <wp:align>top</wp:align>
              </wp:positionV>
              <wp:extent cx="551815" cy="508000"/>
              <wp:effectExtent l="0" t="0" r="635" b="6350"/>
              <wp:wrapNone/>
              <wp:docPr id="15356265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B8B3AF4"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B37E7" id="_x0000_t202" coordsize="21600,21600" o:spt="202" path="m,l,21600r21600,l21600,xe">
              <v:stroke joinstyle="miter"/>
              <v:path gradientshapeok="t" o:connecttype="rect"/>
            </v:shapetype>
            <v:shape id="_x0000_s1032" type="#_x0000_t202" alt="OFFICIAL" style="position:absolute;margin-left:0;margin-top:0;width:43.45pt;height:40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N9lY0w0CAAAcBAAA&#10;DgAAAAAAAAAAAAAAAAAuAgAAZHJzL2Uyb0RvYy54bWxQSwECLQAUAAYACAAAACEAzWwmhNkAAAAD&#10;AQAADwAAAAAAAAAAAAAAAABnBAAAZHJzL2Rvd25yZXYueG1sUEsFBgAAAAAEAAQA8wAAAG0FAAAA&#10;AA==&#10;" filled="f" stroked="f">
              <v:textbox style="mso-fit-shape-to-text:t" inset="0,15pt,0,0">
                <w:txbxContent>
                  <w:p w14:paraId="1B8B3AF4"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0F4C" w14:textId="77777777" w:rsidR="00EE3B7E" w:rsidRPr="008B052A" w:rsidRDefault="00EE3B7E" w:rsidP="007B0021">
    <w:pPr>
      <w:pStyle w:val="Header"/>
    </w:pPr>
    <w:r w:rsidRPr="008B052A">
      <w:rPr>
        <w:noProof/>
      </w:rPr>
      <mc:AlternateContent>
        <mc:Choice Requires="wps">
          <w:drawing>
            <wp:anchor distT="0" distB="0" distL="0" distR="0" simplePos="0" relativeHeight="251658245" behindDoc="0" locked="0" layoutInCell="1" allowOverlap="1" wp14:anchorId="6D2DD8B9" wp14:editId="12E02486">
              <wp:simplePos x="635" y="635"/>
              <wp:positionH relativeFrom="page">
                <wp:align>center</wp:align>
              </wp:positionH>
              <wp:positionV relativeFrom="page">
                <wp:align>top</wp:align>
              </wp:positionV>
              <wp:extent cx="551815" cy="508000"/>
              <wp:effectExtent l="0" t="0" r="635" b="6350"/>
              <wp:wrapNone/>
              <wp:docPr id="4814499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2376C11"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DD8B9" id="_x0000_t202" coordsize="21600,21600" o:spt="202" path="m,l,21600r21600,l21600,xe">
              <v:stroke joinstyle="miter"/>
              <v:path gradientshapeok="t" o:connecttype="rect"/>
            </v:shapetype>
            <v:shape id="_x0000_s1034"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NoDQ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dXfDZOv4X6SEt5OPEdnFx11HotAj4JTwTTHiRa&#10;fKSj0dBXHM4WZy343//zx3zCnaKc9SSYiltSNGf6pyU+oraSUXzLpwQA86N7Oxp2b+6AZFjQi3Ay&#10;mTEP9Wg2HswLyXkZG1FIWEntKo6jeYcn5dJzkGq5TEkkIydwbTdOxtIRrojl8/AivDsDjsTUA4xq&#10;EuUb3E+58WZwyz0S+omUCO0JyDPiJMHE1fm5RI2//k9Z10e9+AM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cKcTaA0CAAAcBAAA&#10;DgAAAAAAAAAAAAAAAAAuAgAAZHJzL2Uyb0RvYy54bWxQSwECLQAUAAYACAAAACEAzWwmhNkAAAAD&#10;AQAADwAAAAAAAAAAAAAAAABnBAAAZHJzL2Rvd25yZXYueG1sUEsFBgAAAAAEAAQA8wAAAG0FAAAA&#10;AA==&#10;" filled="f" stroked="f">
              <v:textbox style="mso-fit-shape-to-text:t" inset="0,15pt,0,0">
                <w:txbxContent>
                  <w:p w14:paraId="42376C11" w14:textId="77777777" w:rsidR="00EE3B7E" w:rsidRPr="008B052A" w:rsidRDefault="00EE3B7E" w:rsidP="00710296">
                    <w:pPr>
                      <w:spacing w:after="0"/>
                      <w:rPr>
                        <w:rFonts w:ascii="Calibri" w:eastAsia="Calibri" w:hAnsi="Calibri" w:cs="Calibri"/>
                        <w:color w:val="FF0000"/>
                        <w:sz w:val="24"/>
                        <w:szCs w:val="24"/>
                      </w:rPr>
                    </w:pPr>
                    <w:r w:rsidRPr="008B052A">
                      <w:rPr>
                        <w:rFonts w:ascii="Calibri" w:eastAsia="Calibri" w:hAnsi="Calibri" w:cs="Calibri"/>
                        <w:color w:val="FF0000"/>
                        <w:sz w:val="24"/>
                        <w:szCs w:val="24"/>
                      </w:rPr>
                      <w:t>OFFICIAL</w:t>
                    </w:r>
                  </w:p>
                </w:txbxContent>
              </v:textbox>
              <w10:wrap anchorx="page" anchory="page"/>
            </v:shape>
          </w:pict>
        </mc:Fallback>
      </mc:AlternateContent>
    </w:r>
  </w:p>
  <w:p w14:paraId="5252D1A4" w14:textId="77777777" w:rsidR="00EE3B7E" w:rsidRPr="008B052A" w:rsidRDefault="00EE3B7E"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2F7"/>
    <w:multiLevelType w:val="hybridMultilevel"/>
    <w:tmpl w:val="C5FCECBA"/>
    <w:lvl w:ilvl="0" w:tplc="25DCAE4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2114E9"/>
    <w:multiLevelType w:val="hybridMultilevel"/>
    <w:tmpl w:val="DD129F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FA1D7E"/>
    <w:multiLevelType w:val="hybridMultilevel"/>
    <w:tmpl w:val="27BEF3D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13094C"/>
    <w:multiLevelType w:val="hybridMultilevel"/>
    <w:tmpl w:val="C458E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6C3FAD"/>
    <w:multiLevelType w:val="hybridMultilevel"/>
    <w:tmpl w:val="07A47E46"/>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F1E74AC"/>
    <w:multiLevelType w:val="hybridMultilevel"/>
    <w:tmpl w:val="7624A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05C187E"/>
    <w:multiLevelType w:val="hybridMultilevel"/>
    <w:tmpl w:val="BE369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1321C"/>
    <w:multiLevelType w:val="hybridMultilevel"/>
    <w:tmpl w:val="4FC2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5C6926"/>
    <w:multiLevelType w:val="hybridMultilevel"/>
    <w:tmpl w:val="360CE734"/>
    <w:lvl w:ilvl="0" w:tplc="55FE7B0C">
      <w:start w:val="1"/>
      <w:numFmt w:val="bullet"/>
      <w:lvlText w:val="•"/>
      <w:lvlJc w:val="left"/>
      <w:pPr>
        <w:tabs>
          <w:tab w:val="num" w:pos="720"/>
        </w:tabs>
        <w:ind w:left="720" w:hanging="360"/>
      </w:pPr>
      <w:rPr>
        <w:rFonts w:ascii="Arial" w:hAnsi="Arial" w:hint="default"/>
      </w:rPr>
    </w:lvl>
    <w:lvl w:ilvl="1" w:tplc="EEEA226A" w:tentative="1">
      <w:start w:val="1"/>
      <w:numFmt w:val="bullet"/>
      <w:lvlText w:val="•"/>
      <w:lvlJc w:val="left"/>
      <w:pPr>
        <w:tabs>
          <w:tab w:val="num" w:pos="1440"/>
        </w:tabs>
        <w:ind w:left="1440" w:hanging="360"/>
      </w:pPr>
      <w:rPr>
        <w:rFonts w:ascii="Arial" w:hAnsi="Arial" w:hint="default"/>
      </w:rPr>
    </w:lvl>
    <w:lvl w:ilvl="2" w:tplc="AE6C1132" w:tentative="1">
      <w:start w:val="1"/>
      <w:numFmt w:val="bullet"/>
      <w:lvlText w:val="•"/>
      <w:lvlJc w:val="left"/>
      <w:pPr>
        <w:tabs>
          <w:tab w:val="num" w:pos="2160"/>
        </w:tabs>
        <w:ind w:left="2160" w:hanging="360"/>
      </w:pPr>
      <w:rPr>
        <w:rFonts w:ascii="Arial" w:hAnsi="Arial" w:hint="default"/>
      </w:rPr>
    </w:lvl>
    <w:lvl w:ilvl="3" w:tplc="06F67CE2" w:tentative="1">
      <w:start w:val="1"/>
      <w:numFmt w:val="bullet"/>
      <w:lvlText w:val="•"/>
      <w:lvlJc w:val="left"/>
      <w:pPr>
        <w:tabs>
          <w:tab w:val="num" w:pos="2880"/>
        </w:tabs>
        <w:ind w:left="2880" w:hanging="360"/>
      </w:pPr>
      <w:rPr>
        <w:rFonts w:ascii="Arial" w:hAnsi="Arial" w:hint="default"/>
      </w:rPr>
    </w:lvl>
    <w:lvl w:ilvl="4" w:tplc="61520FA2" w:tentative="1">
      <w:start w:val="1"/>
      <w:numFmt w:val="bullet"/>
      <w:lvlText w:val="•"/>
      <w:lvlJc w:val="left"/>
      <w:pPr>
        <w:tabs>
          <w:tab w:val="num" w:pos="3600"/>
        </w:tabs>
        <w:ind w:left="3600" w:hanging="360"/>
      </w:pPr>
      <w:rPr>
        <w:rFonts w:ascii="Arial" w:hAnsi="Arial" w:hint="default"/>
      </w:rPr>
    </w:lvl>
    <w:lvl w:ilvl="5" w:tplc="2FAA1282" w:tentative="1">
      <w:start w:val="1"/>
      <w:numFmt w:val="bullet"/>
      <w:lvlText w:val="•"/>
      <w:lvlJc w:val="left"/>
      <w:pPr>
        <w:tabs>
          <w:tab w:val="num" w:pos="4320"/>
        </w:tabs>
        <w:ind w:left="4320" w:hanging="360"/>
      </w:pPr>
      <w:rPr>
        <w:rFonts w:ascii="Arial" w:hAnsi="Arial" w:hint="default"/>
      </w:rPr>
    </w:lvl>
    <w:lvl w:ilvl="6" w:tplc="54968C9C" w:tentative="1">
      <w:start w:val="1"/>
      <w:numFmt w:val="bullet"/>
      <w:lvlText w:val="•"/>
      <w:lvlJc w:val="left"/>
      <w:pPr>
        <w:tabs>
          <w:tab w:val="num" w:pos="5040"/>
        </w:tabs>
        <w:ind w:left="5040" w:hanging="360"/>
      </w:pPr>
      <w:rPr>
        <w:rFonts w:ascii="Arial" w:hAnsi="Arial" w:hint="default"/>
      </w:rPr>
    </w:lvl>
    <w:lvl w:ilvl="7" w:tplc="D1E4D6DA" w:tentative="1">
      <w:start w:val="1"/>
      <w:numFmt w:val="bullet"/>
      <w:lvlText w:val="•"/>
      <w:lvlJc w:val="left"/>
      <w:pPr>
        <w:tabs>
          <w:tab w:val="num" w:pos="5760"/>
        </w:tabs>
        <w:ind w:left="5760" w:hanging="360"/>
      </w:pPr>
      <w:rPr>
        <w:rFonts w:ascii="Arial" w:hAnsi="Arial" w:hint="default"/>
      </w:rPr>
    </w:lvl>
    <w:lvl w:ilvl="8" w:tplc="EF0E7A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64355B"/>
    <w:multiLevelType w:val="hybridMultilevel"/>
    <w:tmpl w:val="5142A6BA"/>
    <w:lvl w:ilvl="0" w:tplc="0C090001">
      <w:start w:val="1"/>
      <w:numFmt w:val="bullet"/>
      <w:lvlText w:val=""/>
      <w:lvlJc w:val="left"/>
      <w:pPr>
        <w:ind w:left="790" w:hanging="360"/>
      </w:pPr>
      <w:rPr>
        <w:rFonts w:ascii="Symbol" w:hAnsi="Symbol" w:hint="default"/>
      </w:rPr>
    </w:lvl>
    <w:lvl w:ilvl="1" w:tplc="0C090003">
      <w:start w:val="1"/>
      <w:numFmt w:val="bullet"/>
      <w:lvlText w:val="o"/>
      <w:lvlJc w:val="left"/>
      <w:pPr>
        <w:ind w:left="1510" w:hanging="360"/>
      </w:pPr>
      <w:rPr>
        <w:rFonts w:ascii="Courier New" w:hAnsi="Courier New" w:cs="Courier New" w:hint="default"/>
      </w:rPr>
    </w:lvl>
    <w:lvl w:ilvl="2" w:tplc="0C090005">
      <w:start w:val="1"/>
      <w:numFmt w:val="bullet"/>
      <w:lvlText w:val=""/>
      <w:lvlJc w:val="left"/>
      <w:pPr>
        <w:ind w:left="2230" w:hanging="360"/>
      </w:pPr>
      <w:rPr>
        <w:rFonts w:ascii="Wingdings" w:hAnsi="Wingdings" w:hint="default"/>
      </w:rPr>
    </w:lvl>
    <w:lvl w:ilvl="3" w:tplc="0C090001">
      <w:start w:val="1"/>
      <w:numFmt w:val="bullet"/>
      <w:lvlText w:val=""/>
      <w:lvlJc w:val="left"/>
      <w:pPr>
        <w:ind w:left="2950" w:hanging="360"/>
      </w:pPr>
      <w:rPr>
        <w:rFonts w:ascii="Symbol" w:hAnsi="Symbol" w:hint="default"/>
      </w:rPr>
    </w:lvl>
    <w:lvl w:ilvl="4" w:tplc="0C090003">
      <w:start w:val="1"/>
      <w:numFmt w:val="bullet"/>
      <w:lvlText w:val="o"/>
      <w:lvlJc w:val="left"/>
      <w:pPr>
        <w:ind w:left="3670" w:hanging="360"/>
      </w:pPr>
      <w:rPr>
        <w:rFonts w:ascii="Courier New" w:hAnsi="Courier New" w:cs="Courier New" w:hint="default"/>
      </w:rPr>
    </w:lvl>
    <w:lvl w:ilvl="5" w:tplc="0C090005">
      <w:start w:val="1"/>
      <w:numFmt w:val="bullet"/>
      <w:lvlText w:val=""/>
      <w:lvlJc w:val="left"/>
      <w:pPr>
        <w:ind w:left="4390" w:hanging="360"/>
      </w:pPr>
      <w:rPr>
        <w:rFonts w:ascii="Wingdings" w:hAnsi="Wingdings" w:hint="default"/>
      </w:rPr>
    </w:lvl>
    <w:lvl w:ilvl="6" w:tplc="0C090001">
      <w:start w:val="1"/>
      <w:numFmt w:val="bullet"/>
      <w:lvlText w:val=""/>
      <w:lvlJc w:val="left"/>
      <w:pPr>
        <w:ind w:left="5110" w:hanging="360"/>
      </w:pPr>
      <w:rPr>
        <w:rFonts w:ascii="Symbol" w:hAnsi="Symbol" w:hint="default"/>
      </w:rPr>
    </w:lvl>
    <w:lvl w:ilvl="7" w:tplc="0C090003">
      <w:start w:val="1"/>
      <w:numFmt w:val="bullet"/>
      <w:lvlText w:val="o"/>
      <w:lvlJc w:val="left"/>
      <w:pPr>
        <w:ind w:left="5830" w:hanging="360"/>
      </w:pPr>
      <w:rPr>
        <w:rFonts w:ascii="Courier New" w:hAnsi="Courier New" w:cs="Courier New" w:hint="default"/>
      </w:rPr>
    </w:lvl>
    <w:lvl w:ilvl="8" w:tplc="0C090005">
      <w:start w:val="1"/>
      <w:numFmt w:val="bullet"/>
      <w:lvlText w:val=""/>
      <w:lvlJc w:val="left"/>
      <w:pPr>
        <w:ind w:left="6550" w:hanging="360"/>
      </w:pPr>
      <w:rPr>
        <w:rFonts w:ascii="Wingdings" w:hAnsi="Wingdings" w:hint="default"/>
      </w:rPr>
    </w:lvl>
  </w:abstractNum>
  <w:abstractNum w:abstractNumId="10" w15:restartNumberingAfterBreak="0">
    <w:nsid w:val="2D34515C"/>
    <w:multiLevelType w:val="hybridMultilevel"/>
    <w:tmpl w:val="610C73C4"/>
    <w:lvl w:ilvl="0" w:tplc="8E12BB7E">
      <w:start w:val="2030"/>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7D7EE8"/>
    <w:multiLevelType w:val="hybridMultilevel"/>
    <w:tmpl w:val="DC649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1410F6"/>
    <w:multiLevelType w:val="hybridMultilevel"/>
    <w:tmpl w:val="CDD4BE2A"/>
    <w:lvl w:ilvl="0" w:tplc="EF0C2F58">
      <w:start w:val="1"/>
      <w:numFmt w:val="bullet"/>
      <w:lvlText w:val="•"/>
      <w:lvlJc w:val="left"/>
      <w:pPr>
        <w:tabs>
          <w:tab w:val="num" w:pos="720"/>
        </w:tabs>
        <w:ind w:left="720" w:hanging="360"/>
      </w:pPr>
      <w:rPr>
        <w:rFonts w:ascii="Arial" w:hAnsi="Arial" w:hint="default"/>
      </w:rPr>
    </w:lvl>
    <w:lvl w:ilvl="1" w:tplc="D3AAD376" w:tentative="1">
      <w:start w:val="1"/>
      <w:numFmt w:val="bullet"/>
      <w:lvlText w:val="•"/>
      <w:lvlJc w:val="left"/>
      <w:pPr>
        <w:tabs>
          <w:tab w:val="num" w:pos="1440"/>
        </w:tabs>
        <w:ind w:left="1440" w:hanging="360"/>
      </w:pPr>
      <w:rPr>
        <w:rFonts w:ascii="Arial" w:hAnsi="Arial" w:hint="default"/>
      </w:rPr>
    </w:lvl>
    <w:lvl w:ilvl="2" w:tplc="0BF075EA" w:tentative="1">
      <w:start w:val="1"/>
      <w:numFmt w:val="bullet"/>
      <w:lvlText w:val="•"/>
      <w:lvlJc w:val="left"/>
      <w:pPr>
        <w:tabs>
          <w:tab w:val="num" w:pos="2160"/>
        </w:tabs>
        <w:ind w:left="2160" w:hanging="360"/>
      </w:pPr>
      <w:rPr>
        <w:rFonts w:ascii="Arial" w:hAnsi="Arial" w:hint="default"/>
      </w:rPr>
    </w:lvl>
    <w:lvl w:ilvl="3" w:tplc="33C43242" w:tentative="1">
      <w:start w:val="1"/>
      <w:numFmt w:val="bullet"/>
      <w:lvlText w:val="•"/>
      <w:lvlJc w:val="left"/>
      <w:pPr>
        <w:tabs>
          <w:tab w:val="num" w:pos="2880"/>
        </w:tabs>
        <w:ind w:left="2880" w:hanging="360"/>
      </w:pPr>
      <w:rPr>
        <w:rFonts w:ascii="Arial" w:hAnsi="Arial" w:hint="default"/>
      </w:rPr>
    </w:lvl>
    <w:lvl w:ilvl="4" w:tplc="896427E6" w:tentative="1">
      <w:start w:val="1"/>
      <w:numFmt w:val="bullet"/>
      <w:lvlText w:val="•"/>
      <w:lvlJc w:val="left"/>
      <w:pPr>
        <w:tabs>
          <w:tab w:val="num" w:pos="3600"/>
        </w:tabs>
        <w:ind w:left="3600" w:hanging="360"/>
      </w:pPr>
      <w:rPr>
        <w:rFonts w:ascii="Arial" w:hAnsi="Arial" w:hint="default"/>
      </w:rPr>
    </w:lvl>
    <w:lvl w:ilvl="5" w:tplc="EB386C28" w:tentative="1">
      <w:start w:val="1"/>
      <w:numFmt w:val="bullet"/>
      <w:lvlText w:val="•"/>
      <w:lvlJc w:val="left"/>
      <w:pPr>
        <w:tabs>
          <w:tab w:val="num" w:pos="4320"/>
        </w:tabs>
        <w:ind w:left="4320" w:hanging="360"/>
      </w:pPr>
      <w:rPr>
        <w:rFonts w:ascii="Arial" w:hAnsi="Arial" w:hint="default"/>
      </w:rPr>
    </w:lvl>
    <w:lvl w:ilvl="6" w:tplc="9C2A77C4" w:tentative="1">
      <w:start w:val="1"/>
      <w:numFmt w:val="bullet"/>
      <w:lvlText w:val="•"/>
      <w:lvlJc w:val="left"/>
      <w:pPr>
        <w:tabs>
          <w:tab w:val="num" w:pos="5040"/>
        </w:tabs>
        <w:ind w:left="5040" w:hanging="360"/>
      </w:pPr>
      <w:rPr>
        <w:rFonts w:ascii="Arial" w:hAnsi="Arial" w:hint="default"/>
      </w:rPr>
    </w:lvl>
    <w:lvl w:ilvl="7" w:tplc="057A823A" w:tentative="1">
      <w:start w:val="1"/>
      <w:numFmt w:val="bullet"/>
      <w:lvlText w:val="•"/>
      <w:lvlJc w:val="left"/>
      <w:pPr>
        <w:tabs>
          <w:tab w:val="num" w:pos="5760"/>
        </w:tabs>
        <w:ind w:left="5760" w:hanging="360"/>
      </w:pPr>
      <w:rPr>
        <w:rFonts w:ascii="Arial" w:hAnsi="Arial" w:hint="default"/>
      </w:rPr>
    </w:lvl>
    <w:lvl w:ilvl="8" w:tplc="753CFDB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C61A04"/>
    <w:multiLevelType w:val="hybridMultilevel"/>
    <w:tmpl w:val="C39CCB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7" w15:restartNumberingAfterBreak="0">
    <w:nsid w:val="61105E74"/>
    <w:multiLevelType w:val="hybridMultilevel"/>
    <w:tmpl w:val="A942D43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8" w15:restartNumberingAfterBreak="0">
    <w:nsid w:val="63323A48"/>
    <w:multiLevelType w:val="hybridMultilevel"/>
    <w:tmpl w:val="2D1E6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0"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73374585"/>
    <w:multiLevelType w:val="hybridMultilevel"/>
    <w:tmpl w:val="BAA4C28C"/>
    <w:lvl w:ilvl="0" w:tplc="FFFC0E94">
      <w:start w:val="2030"/>
      <w:numFmt w:val="bullet"/>
      <w:lvlText w:val="-"/>
      <w:lvlJc w:val="left"/>
      <w:pPr>
        <w:ind w:left="420" w:hanging="360"/>
      </w:pPr>
      <w:rPr>
        <w:rFonts w:ascii="Verdana" w:eastAsiaTheme="minorHAnsi" w:hAnsi="Verdana"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7AC10FA5"/>
    <w:multiLevelType w:val="hybridMultilevel"/>
    <w:tmpl w:val="10C6FF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CED6848"/>
    <w:multiLevelType w:val="hybridMultilevel"/>
    <w:tmpl w:val="B270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991280"/>
    <w:multiLevelType w:val="hybridMultilevel"/>
    <w:tmpl w:val="AE3CA0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49639102">
    <w:abstractNumId w:val="12"/>
  </w:num>
  <w:num w:numId="2" w16cid:durableId="784662544">
    <w:abstractNumId w:val="13"/>
  </w:num>
  <w:num w:numId="3" w16cid:durableId="1442451738">
    <w:abstractNumId w:val="13"/>
    <w:lvlOverride w:ilvl="0">
      <w:startOverride w:val="1"/>
    </w:lvlOverride>
  </w:num>
  <w:num w:numId="4" w16cid:durableId="1562522304">
    <w:abstractNumId w:val="13"/>
    <w:lvlOverride w:ilvl="0">
      <w:startOverride w:val="1"/>
    </w:lvlOverride>
  </w:num>
  <w:num w:numId="5" w16cid:durableId="1125929345">
    <w:abstractNumId w:val="13"/>
    <w:lvlOverride w:ilvl="0">
      <w:startOverride w:val="1"/>
    </w:lvlOverride>
  </w:num>
  <w:num w:numId="6" w16cid:durableId="641621793">
    <w:abstractNumId w:val="11"/>
  </w:num>
  <w:num w:numId="7" w16cid:durableId="2117015349">
    <w:abstractNumId w:val="20"/>
  </w:num>
  <w:num w:numId="8" w16cid:durableId="116532335">
    <w:abstractNumId w:val="19"/>
  </w:num>
  <w:num w:numId="9" w16cid:durableId="1678850544">
    <w:abstractNumId w:val="4"/>
  </w:num>
  <w:num w:numId="10" w16cid:durableId="1122503789">
    <w:abstractNumId w:val="17"/>
  </w:num>
  <w:num w:numId="11" w16cid:durableId="1523325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577349">
    <w:abstractNumId w:val="0"/>
  </w:num>
  <w:num w:numId="13" w16cid:durableId="788670035">
    <w:abstractNumId w:val="5"/>
  </w:num>
  <w:num w:numId="14" w16cid:durableId="988440572">
    <w:abstractNumId w:val="1"/>
  </w:num>
  <w:num w:numId="15" w16cid:durableId="1416896656">
    <w:abstractNumId w:val="24"/>
  </w:num>
  <w:num w:numId="16" w16cid:durableId="85267373">
    <w:abstractNumId w:val="21"/>
  </w:num>
  <w:num w:numId="17" w16cid:durableId="1150561370">
    <w:abstractNumId w:val="10"/>
  </w:num>
  <w:num w:numId="18" w16cid:durableId="272177936">
    <w:abstractNumId w:val="9"/>
  </w:num>
  <w:num w:numId="19" w16cid:durableId="371149430">
    <w:abstractNumId w:val="16"/>
  </w:num>
  <w:num w:numId="20" w16cid:durableId="872497009">
    <w:abstractNumId w:val="3"/>
  </w:num>
  <w:num w:numId="21" w16cid:durableId="358162599">
    <w:abstractNumId w:val="14"/>
  </w:num>
  <w:num w:numId="22" w16cid:durableId="2042827060">
    <w:abstractNumId w:val="15"/>
  </w:num>
  <w:num w:numId="23" w16cid:durableId="1234900368">
    <w:abstractNumId w:val="8"/>
  </w:num>
  <w:num w:numId="24" w16cid:durableId="593245304">
    <w:abstractNumId w:val="6"/>
  </w:num>
  <w:num w:numId="25" w16cid:durableId="1855070940">
    <w:abstractNumId w:val="23"/>
  </w:num>
  <w:num w:numId="26" w16cid:durableId="689843620">
    <w:abstractNumId w:val="7"/>
  </w:num>
  <w:num w:numId="27" w16cid:durableId="1113986765">
    <w:abstractNumId w:val="18"/>
  </w:num>
  <w:num w:numId="28" w16cid:durableId="498548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080D"/>
    <w:rsid w:val="00000938"/>
    <w:rsid w:val="00000B21"/>
    <w:rsid w:val="000011FE"/>
    <w:rsid w:val="00001392"/>
    <w:rsid w:val="000022A3"/>
    <w:rsid w:val="00002327"/>
    <w:rsid w:val="00002349"/>
    <w:rsid w:val="00003CA2"/>
    <w:rsid w:val="00003F74"/>
    <w:rsid w:val="000048A9"/>
    <w:rsid w:val="000055B6"/>
    <w:rsid w:val="00005F02"/>
    <w:rsid w:val="000069FD"/>
    <w:rsid w:val="00006A35"/>
    <w:rsid w:val="000071A1"/>
    <w:rsid w:val="00007684"/>
    <w:rsid w:val="00010146"/>
    <w:rsid w:val="00010186"/>
    <w:rsid w:val="00010F89"/>
    <w:rsid w:val="00011F33"/>
    <w:rsid w:val="0001206F"/>
    <w:rsid w:val="000125BD"/>
    <w:rsid w:val="00013D74"/>
    <w:rsid w:val="00014468"/>
    <w:rsid w:val="00014D9D"/>
    <w:rsid w:val="000159AC"/>
    <w:rsid w:val="000161DC"/>
    <w:rsid w:val="0001620E"/>
    <w:rsid w:val="00016A09"/>
    <w:rsid w:val="0001737B"/>
    <w:rsid w:val="00017D2F"/>
    <w:rsid w:val="000212ED"/>
    <w:rsid w:val="00021367"/>
    <w:rsid w:val="000216D1"/>
    <w:rsid w:val="00022814"/>
    <w:rsid w:val="000229CC"/>
    <w:rsid w:val="00023AC7"/>
    <w:rsid w:val="0002481B"/>
    <w:rsid w:val="00025269"/>
    <w:rsid w:val="000252AB"/>
    <w:rsid w:val="000253A3"/>
    <w:rsid w:val="00026637"/>
    <w:rsid w:val="0002699C"/>
    <w:rsid w:val="00027D91"/>
    <w:rsid w:val="0003007F"/>
    <w:rsid w:val="0003023B"/>
    <w:rsid w:val="0003025E"/>
    <w:rsid w:val="000303FC"/>
    <w:rsid w:val="000308B5"/>
    <w:rsid w:val="00030BAF"/>
    <w:rsid w:val="000320B4"/>
    <w:rsid w:val="000321B6"/>
    <w:rsid w:val="00032699"/>
    <w:rsid w:val="000329A9"/>
    <w:rsid w:val="00033FEA"/>
    <w:rsid w:val="000342C8"/>
    <w:rsid w:val="000343B7"/>
    <w:rsid w:val="0003449E"/>
    <w:rsid w:val="00034711"/>
    <w:rsid w:val="000349E6"/>
    <w:rsid w:val="00034DC1"/>
    <w:rsid w:val="000351AF"/>
    <w:rsid w:val="000352AB"/>
    <w:rsid w:val="00035364"/>
    <w:rsid w:val="00035835"/>
    <w:rsid w:val="000367E8"/>
    <w:rsid w:val="00036AA1"/>
    <w:rsid w:val="00036CE3"/>
    <w:rsid w:val="00036D0A"/>
    <w:rsid w:val="00037085"/>
    <w:rsid w:val="00037A24"/>
    <w:rsid w:val="00037EC8"/>
    <w:rsid w:val="00037F5C"/>
    <w:rsid w:val="000417F3"/>
    <w:rsid w:val="00041DC8"/>
    <w:rsid w:val="000422E8"/>
    <w:rsid w:val="000427B5"/>
    <w:rsid w:val="000429EE"/>
    <w:rsid w:val="00043DE0"/>
    <w:rsid w:val="0004416B"/>
    <w:rsid w:val="000446BF"/>
    <w:rsid w:val="000448E5"/>
    <w:rsid w:val="00044D9D"/>
    <w:rsid w:val="00045666"/>
    <w:rsid w:val="0004579E"/>
    <w:rsid w:val="0004729B"/>
    <w:rsid w:val="00050061"/>
    <w:rsid w:val="0005158B"/>
    <w:rsid w:val="00052497"/>
    <w:rsid w:val="00052A9D"/>
    <w:rsid w:val="00052D66"/>
    <w:rsid w:val="000537AB"/>
    <w:rsid w:val="00054243"/>
    <w:rsid w:val="00055AFA"/>
    <w:rsid w:val="0005668F"/>
    <w:rsid w:val="00056E5A"/>
    <w:rsid w:val="00057251"/>
    <w:rsid w:val="000613E4"/>
    <w:rsid w:val="0006223A"/>
    <w:rsid w:val="0006259F"/>
    <w:rsid w:val="00062931"/>
    <w:rsid w:val="000632EC"/>
    <w:rsid w:val="0006347A"/>
    <w:rsid w:val="00064CCD"/>
    <w:rsid w:val="000652A3"/>
    <w:rsid w:val="000656E3"/>
    <w:rsid w:val="0006618E"/>
    <w:rsid w:val="00066B22"/>
    <w:rsid w:val="00067FF9"/>
    <w:rsid w:val="0007020F"/>
    <w:rsid w:val="00071918"/>
    <w:rsid w:val="00072C62"/>
    <w:rsid w:val="000732C0"/>
    <w:rsid w:val="00073E84"/>
    <w:rsid w:val="00074A86"/>
    <w:rsid w:val="00075EA0"/>
    <w:rsid w:val="00076BF4"/>
    <w:rsid w:val="000772FB"/>
    <w:rsid w:val="00080173"/>
    <w:rsid w:val="0008019C"/>
    <w:rsid w:val="0008099D"/>
    <w:rsid w:val="00080CCC"/>
    <w:rsid w:val="0008104D"/>
    <w:rsid w:val="00083697"/>
    <w:rsid w:val="00084A5C"/>
    <w:rsid w:val="00084B7A"/>
    <w:rsid w:val="00084C98"/>
    <w:rsid w:val="0008651E"/>
    <w:rsid w:val="0008669E"/>
    <w:rsid w:val="0008728A"/>
    <w:rsid w:val="00087469"/>
    <w:rsid w:val="00087735"/>
    <w:rsid w:val="00087C0B"/>
    <w:rsid w:val="000908A8"/>
    <w:rsid w:val="000919B9"/>
    <w:rsid w:val="00092C50"/>
    <w:rsid w:val="00092D57"/>
    <w:rsid w:val="000931FC"/>
    <w:rsid w:val="0009327C"/>
    <w:rsid w:val="000934E2"/>
    <w:rsid w:val="00093E33"/>
    <w:rsid w:val="00095227"/>
    <w:rsid w:val="0009566C"/>
    <w:rsid w:val="00095791"/>
    <w:rsid w:val="00096138"/>
    <w:rsid w:val="0009727A"/>
    <w:rsid w:val="00097D76"/>
    <w:rsid w:val="000A0061"/>
    <w:rsid w:val="000A117B"/>
    <w:rsid w:val="000A152C"/>
    <w:rsid w:val="000A15E0"/>
    <w:rsid w:val="000A2D2D"/>
    <w:rsid w:val="000A37D5"/>
    <w:rsid w:val="000A3ADB"/>
    <w:rsid w:val="000A3FA8"/>
    <w:rsid w:val="000A5519"/>
    <w:rsid w:val="000A5C77"/>
    <w:rsid w:val="000A723E"/>
    <w:rsid w:val="000B0603"/>
    <w:rsid w:val="000B0615"/>
    <w:rsid w:val="000B0AF8"/>
    <w:rsid w:val="000B0F55"/>
    <w:rsid w:val="000B10CB"/>
    <w:rsid w:val="000B1364"/>
    <w:rsid w:val="000B1A96"/>
    <w:rsid w:val="000B1B1B"/>
    <w:rsid w:val="000B21D9"/>
    <w:rsid w:val="000B2477"/>
    <w:rsid w:val="000B3064"/>
    <w:rsid w:val="000B344D"/>
    <w:rsid w:val="000B355A"/>
    <w:rsid w:val="000B3595"/>
    <w:rsid w:val="000B41E3"/>
    <w:rsid w:val="000B429B"/>
    <w:rsid w:val="000B4764"/>
    <w:rsid w:val="000B51AF"/>
    <w:rsid w:val="000B5C37"/>
    <w:rsid w:val="000B6405"/>
    <w:rsid w:val="000B7A87"/>
    <w:rsid w:val="000C00FD"/>
    <w:rsid w:val="000C0A7B"/>
    <w:rsid w:val="000C1648"/>
    <w:rsid w:val="000C192A"/>
    <w:rsid w:val="000C35E4"/>
    <w:rsid w:val="000C47E2"/>
    <w:rsid w:val="000C543D"/>
    <w:rsid w:val="000C7460"/>
    <w:rsid w:val="000C7DED"/>
    <w:rsid w:val="000D0E2F"/>
    <w:rsid w:val="000D31F2"/>
    <w:rsid w:val="000D3BE9"/>
    <w:rsid w:val="000D41D0"/>
    <w:rsid w:val="000D432B"/>
    <w:rsid w:val="000D4FBA"/>
    <w:rsid w:val="000D5455"/>
    <w:rsid w:val="000D68FC"/>
    <w:rsid w:val="000E087B"/>
    <w:rsid w:val="000E128F"/>
    <w:rsid w:val="000E1295"/>
    <w:rsid w:val="000E190D"/>
    <w:rsid w:val="000E2BD9"/>
    <w:rsid w:val="000E302D"/>
    <w:rsid w:val="000E3112"/>
    <w:rsid w:val="000E445F"/>
    <w:rsid w:val="000E4633"/>
    <w:rsid w:val="000E71AD"/>
    <w:rsid w:val="000E74C4"/>
    <w:rsid w:val="000E75E5"/>
    <w:rsid w:val="000E7E86"/>
    <w:rsid w:val="000F11B9"/>
    <w:rsid w:val="000F1D76"/>
    <w:rsid w:val="000F3189"/>
    <w:rsid w:val="000F3D93"/>
    <w:rsid w:val="000F40E8"/>
    <w:rsid w:val="000F42FD"/>
    <w:rsid w:val="000F486E"/>
    <w:rsid w:val="000F48BB"/>
    <w:rsid w:val="000F4AD9"/>
    <w:rsid w:val="000F511B"/>
    <w:rsid w:val="000F5153"/>
    <w:rsid w:val="000F571A"/>
    <w:rsid w:val="000F6999"/>
    <w:rsid w:val="000F78A6"/>
    <w:rsid w:val="000F7BDD"/>
    <w:rsid w:val="0010080F"/>
    <w:rsid w:val="00100E20"/>
    <w:rsid w:val="00101C2F"/>
    <w:rsid w:val="00101CB9"/>
    <w:rsid w:val="00101EEC"/>
    <w:rsid w:val="00101FDA"/>
    <w:rsid w:val="00102EA7"/>
    <w:rsid w:val="001036A0"/>
    <w:rsid w:val="001040FA"/>
    <w:rsid w:val="00105D2E"/>
    <w:rsid w:val="00105FF6"/>
    <w:rsid w:val="00106598"/>
    <w:rsid w:val="001068F6"/>
    <w:rsid w:val="00107090"/>
    <w:rsid w:val="0010718A"/>
    <w:rsid w:val="001073A4"/>
    <w:rsid w:val="00107956"/>
    <w:rsid w:val="00107CAA"/>
    <w:rsid w:val="00107DA7"/>
    <w:rsid w:val="00110936"/>
    <w:rsid w:val="00110EB5"/>
    <w:rsid w:val="00111688"/>
    <w:rsid w:val="0011297E"/>
    <w:rsid w:val="001131BE"/>
    <w:rsid w:val="00113F6D"/>
    <w:rsid w:val="0011481F"/>
    <w:rsid w:val="0011482A"/>
    <w:rsid w:val="00115A0E"/>
    <w:rsid w:val="00117092"/>
    <w:rsid w:val="001174A2"/>
    <w:rsid w:val="00117B11"/>
    <w:rsid w:val="001207E6"/>
    <w:rsid w:val="00120BDB"/>
    <w:rsid w:val="0012136B"/>
    <w:rsid w:val="00121621"/>
    <w:rsid w:val="00121ADD"/>
    <w:rsid w:val="001230FA"/>
    <w:rsid w:val="0012425F"/>
    <w:rsid w:val="0012428C"/>
    <w:rsid w:val="001258D2"/>
    <w:rsid w:val="00126285"/>
    <w:rsid w:val="00126CF7"/>
    <w:rsid w:val="00127D8F"/>
    <w:rsid w:val="001318AD"/>
    <w:rsid w:val="00131CC9"/>
    <w:rsid w:val="00132853"/>
    <w:rsid w:val="001328EC"/>
    <w:rsid w:val="00132A55"/>
    <w:rsid w:val="00132B79"/>
    <w:rsid w:val="00132C30"/>
    <w:rsid w:val="001330FB"/>
    <w:rsid w:val="00133241"/>
    <w:rsid w:val="001332C9"/>
    <w:rsid w:val="0013358A"/>
    <w:rsid w:val="00133F0C"/>
    <w:rsid w:val="00133F74"/>
    <w:rsid w:val="001351BF"/>
    <w:rsid w:val="00135DB3"/>
    <w:rsid w:val="00136195"/>
    <w:rsid w:val="00136639"/>
    <w:rsid w:val="0013706A"/>
    <w:rsid w:val="00137D06"/>
    <w:rsid w:val="00140FF7"/>
    <w:rsid w:val="001428F6"/>
    <w:rsid w:val="00142EA5"/>
    <w:rsid w:val="00143820"/>
    <w:rsid w:val="00144200"/>
    <w:rsid w:val="00144B68"/>
    <w:rsid w:val="0014569E"/>
    <w:rsid w:val="00145CEB"/>
    <w:rsid w:val="00146051"/>
    <w:rsid w:val="0014786F"/>
    <w:rsid w:val="00147D40"/>
    <w:rsid w:val="001506B0"/>
    <w:rsid w:val="00150C2D"/>
    <w:rsid w:val="00152BED"/>
    <w:rsid w:val="00152DDC"/>
    <w:rsid w:val="00153174"/>
    <w:rsid w:val="001533DB"/>
    <w:rsid w:val="00153461"/>
    <w:rsid w:val="00154234"/>
    <w:rsid w:val="0015429C"/>
    <w:rsid w:val="001542E3"/>
    <w:rsid w:val="001549E3"/>
    <w:rsid w:val="00155364"/>
    <w:rsid w:val="00156746"/>
    <w:rsid w:val="00156BF8"/>
    <w:rsid w:val="0015714A"/>
    <w:rsid w:val="0015748A"/>
    <w:rsid w:val="00157F2F"/>
    <w:rsid w:val="00160973"/>
    <w:rsid w:val="0016160B"/>
    <w:rsid w:val="001618AF"/>
    <w:rsid w:val="00161B04"/>
    <w:rsid w:val="00161C4C"/>
    <w:rsid w:val="00162CAF"/>
    <w:rsid w:val="00163352"/>
    <w:rsid w:val="001633C1"/>
    <w:rsid w:val="001637AD"/>
    <w:rsid w:val="00163D90"/>
    <w:rsid w:val="00164695"/>
    <w:rsid w:val="00164B77"/>
    <w:rsid w:val="00164E37"/>
    <w:rsid w:val="00170200"/>
    <w:rsid w:val="00170283"/>
    <w:rsid w:val="001709BA"/>
    <w:rsid w:val="00170A2E"/>
    <w:rsid w:val="00170EB7"/>
    <w:rsid w:val="00171A91"/>
    <w:rsid w:val="001723A0"/>
    <w:rsid w:val="00172962"/>
    <w:rsid w:val="00173237"/>
    <w:rsid w:val="001734CD"/>
    <w:rsid w:val="00173F96"/>
    <w:rsid w:val="00176B9D"/>
    <w:rsid w:val="00176E22"/>
    <w:rsid w:val="001778ED"/>
    <w:rsid w:val="00182422"/>
    <w:rsid w:val="0018244B"/>
    <w:rsid w:val="001839AC"/>
    <w:rsid w:val="001839D0"/>
    <w:rsid w:val="00184224"/>
    <w:rsid w:val="00184730"/>
    <w:rsid w:val="00184B62"/>
    <w:rsid w:val="00184D18"/>
    <w:rsid w:val="0018522A"/>
    <w:rsid w:val="0018630C"/>
    <w:rsid w:val="001877D6"/>
    <w:rsid w:val="00187902"/>
    <w:rsid w:val="001946AF"/>
    <w:rsid w:val="001955E3"/>
    <w:rsid w:val="00195A48"/>
    <w:rsid w:val="001963D8"/>
    <w:rsid w:val="0019653B"/>
    <w:rsid w:val="001A0525"/>
    <w:rsid w:val="001A1201"/>
    <w:rsid w:val="001A1F1D"/>
    <w:rsid w:val="001A23C9"/>
    <w:rsid w:val="001A38D7"/>
    <w:rsid w:val="001A4288"/>
    <w:rsid w:val="001A491D"/>
    <w:rsid w:val="001A5277"/>
    <w:rsid w:val="001A6AB3"/>
    <w:rsid w:val="001A72E0"/>
    <w:rsid w:val="001A7437"/>
    <w:rsid w:val="001A78EE"/>
    <w:rsid w:val="001B0300"/>
    <w:rsid w:val="001B0BDD"/>
    <w:rsid w:val="001B14AE"/>
    <w:rsid w:val="001B1CF2"/>
    <w:rsid w:val="001B2DE8"/>
    <w:rsid w:val="001B4444"/>
    <w:rsid w:val="001B4E34"/>
    <w:rsid w:val="001B5479"/>
    <w:rsid w:val="001B5C2B"/>
    <w:rsid w:val="001BD7E5"/>
    <w:rsid w:val="001C0845"/>
    <w:rsid w:val="001C1A34"/>
    <w:rsid w:val="001C2AE3"/>
    <w:rsid w:val="001C2B3F"/>
    <w:rsid w:val="001C3175"/>
    <w:rsid w:val="001C3E1C"/>
    <w:rsid w:val="001C41EB"/>
    <w:rsid w:val="001C4220"/>
    <w:rsid w:val="001C5412"/>
    <w:rsid w:val="001C62A5"/>
    <w:rsid w:val="001C6EB5"/>
    <w:rsid w:val="001D0A31"/>
    <w:rsid w:val="001D0E08"/>
    <w:rsid w:val="001D0EF2"/>
    <w:rsid w:val="001D1F44"/>
    <w:rsid w:val="001D21B6"/>
    <w:rsid w:val="001D26A1"/>
    <w:rsid w:val="001D427C"/>
    <w:rsid w:val="001D49B6"/>
    <w:rsid w:val="001D4A06"/>
    <w:rsid w:val="001D532D"/>
    <w:rsid w:val="001D57F4"/>
    <w:rsid w:val="001D59EB"/>
    <w:rsid w:val="001D6C9C"/>
    <w:rsid w:val="001D7218"/>
    <w:rsid w:val="001D7F6B"/>
    <w:rsid w:val="001E0C5C"/>
    <w:rsid w:val="001E186F"/>
    <w:rsid w:val="001E1A91"/>
    <w:rsid w:val="001E2219"/>
    <w:rsid w:val="001E23E9"/>
    <w:rsid w:val="001E37E3"/>
    <w:rsid w:val="001E39A5"/>
    <w:rsid w:val="001E4259"/>
    <w:rsid w:val="001E4D34"/>
    <w:rsid w:val="001E5142"/>
    <w:rsid w:val="001E67F5"/>
    <w:rsid w:val="001E6B64"/>
    <w:rsid w:val="001E76C3"/>
    <w:rsid w:val="001F046A"/>
    <w:rsid w:val="001F06F3"/>
    <w:rsid w:val="001F1278"/>
    <w:rsid w:val="001F1F4F"/>
    <w:rsid w:val="001F35AC"/>
    <w:rsid w:val="001F3E0F"/>
    <w:rsid w:val="001F3EBB"/>
    <w:rsid w:val="001F4189"/>
    <w:rsid w:val="001F4229"/>
    <w:rsid w:val="001F44D8"/>
    <w:rsid w:val="001F603E"/>
    <w:rsid w:val="001F7111"/>
    <w:rsid w:val="001F7557"/>
    <w:rsid w:val="002008CD"/>
    <w:rsid w:val="002012AF"/>
    <w:rsid w:val="00201579"/>
    <w:rsid w:val="0020225A"/>
    <w:rsid w:val="0020294B"/>
    <w:rsid w:val="002034A2"/>
    <w:rsid w:val="00205478"/>
    <w:rsid w:val="00205C08"/>
    <w:rsid w:val="00206258"/>
    <w:rsid w:val="00206EDC"/>
    <w:rsid w:val="00207E97"/>
    <w:rsid w:val="00207FF7"/>
    <w:rsid w:val="00210CD1"/>
    <w:rsid w:val="002124B6"/>
    <w:rsid w:val="0021255D"/>
    <w:rsid w:val="00213537"/>
    <w:rsid w:val="0021364F"/>
    <w:rsid w:val="00215370"/>
    <w:rsid w:val="00215A3A"/>
    <w:rsid w:val="00215A62"/>
    <w:rsid w:val="002161C3"/>
    <w:rsid w:val="002166A2"/>
    <w:rsid w:val="0021749F"/>
    <w:rsid w:val="00217DDB"/>
    <w:rsid w:val="0022004B"/>
    <w:rsid w:val="0022043C"/>
    <w:rsid w:val="002210F0"/>
    <w:rsid w:val="00221206"/>
    <w:rsid w:val="00221CBC"/>
    <w:rsid w:val="00222862"/>
    <w:rsid w:val="002228C9"/>
    <w:rsid w:val="00224D9A"/>
    <w:rsid w:val="0022585A"/>
    <w:rsid w:val="0022606A"/>
    <w:rsid w:val="002268FB"/>
    <w:rsid w:val="00226963"/>
    <w:rsid w:val="00227CE4"/>
    <w:rsid w:val="0023044D"/>
    <w:rsid w:val="002304B4"/>
    <w:rsid w:val="002315BF"/>
    <w:rsid w:val="002320A9"/>
    <w:rsid w:val="002338F6"/>
    <w:rsid w:val="00234425"/>
    <w:rsid w:val="00235188"/>
    <w:rsid w:val="0023538F"/>
    <w:rsid w:val="00236039"/>
    <w:rsid w:val="00236CB6"/>
    <w:rsid w:val="002370D9"/>
    <w:rsid w:val="0023790E"/>
    <w:rsid w:val="00240CEC"/>
    <w:rsid w:val="0024133D"/>
    <w:rsid w:val="00241545"/>
    <w:rsid w:val="0024173B"/>
    <w:rsid w:val="00241E07"/>
    <w:rsid w:val="0024303F"/>
    <w:rsid w:val="00243F5F"/>
    <w:rsid w:val="00243FBA"/>
    <w:rsid w:val="002448FF"/>
    <w:rsid w:val="00244DB5"/>
    <w:rsid w:val="00245462"/>
    <w:rsid w:val="00245E86"/>
    <w:rsid w:val="0024655B"/>
    <w:rsid w:val="002478E3"/>
    <w:rsid w:val="00247FE2"/>
    <w:rsid w:val="00250644"/>
    <w:rsid w:val="002518DB"/>
    <w:rsid w:val="00252095"/>
    <w:rsid w:val="00252928"/>
    <w:rsid w:val="00252AB5"/>
    <w:rsid w:val="00253226"/>
    <w:rsid w:val="002535CA"/>
    <w:rsid w:val="00253668"/>
    <w:rsid w:val="002538C9"/>
    <w:rsid w:val="0025397A"/>
    <w:rsid w:val="00255562"/>
    <w:rsid w:val="0025644D"/>
    <w:rsid w:val="0025654E"/>
    <w:rsid w:val="002577DE"/>
    <w:rsid w:val="002602E8"/>
    <w:rsid w:val="00261302"/>
    <w:rsid w:val="00261A4B"/>
    <w:rsid w:val="00261F28"/>
    <w:rsid w:val="002620AE"/>
    <w:rsid w:val="002625F4"/>
    <w:rsid w:val="00262976"/>
    <w:rsid w:val="00264208"/>
    <w:rsid w:val="00265405"/>
    <w:rsid w:val="00265F38"/>
    <w:rsid w:val="00265FD7"/>
    <w:rsid w:val="0026610D"/>
    <w:rsid w:val="002668E9"/>
    <w:rsid w:val="00266BBE"/>
    <w:rsid w:val="002676EB"/>
    <w:rsid w:val="00267723"/>
    <w:rsid w:val="00267EF6"/>
    <w:rsid w:val="002703CD"/>
    <w:rsid w:val="00270996"/>
    <w:rsid w:val="0027099F"/>
    <w:rsid w:val="00270E12"/>
    <w:rsid w:val="002717FA"/>
    <w:rsid w:val="00272DF9"/>
    <w:rsid w:val="00273374"/>
    <w:rsid w:val="00274506"/>
    <w:rsid w:val="00274992"/>
    <w:rsid w:val="002749C0"/>
    <w:rsid w:val="00274E2A"/>
    <w:rsid w:val="002756E4"/>
    <w:rsid w:val="00276B9F"/>
    <w:rsid w:val="00276E13"/>
    <w:rsid w:val="00280969"/>
    <w:rsid w:val="0028112D"/>
    <w:rsid w:val="00281901"/>
    <w:rsid w:val="00281AE6"/>
    <w:rsid w:val="00282239"/>
    <w:rsid w:val="0028227E"/>
    <w:rsid w:val="00282818"/>
    <w:rsid w:val="002829F0"/>
    <w:rsid w:val="00282C92"/>
    <w:rsid w:val="0028349C"/>
    <w:rsid w:val="00283D08"/>
    <w:rsid w:val="002843F9"/>
    <w:rsid w:val="00285558"/>
    <w:rsid w:val="0028696F"/>
    <w:rsid w:val="00286F3B"/>
    <w:rsid w:val="00286FD6"/>
    <w:rsid w:val="00287C56"/>
    <w:rsid w:val="0029071D"/>
    <w:rsid w:val="00292990"/>
    <w:rsid w:val="002950F1"/>
    <w:rsid w:val="002951E6"/>
    <w:rsid w:val="00295A74"/>
    <w:rsid w:val="00295B71"/>
    <w:rsid w:val="00295F22"/>
    <w:rsid w:val="00296AA3"/>
    <w:rsid w:val="002974F3"/>
    <w:rsid w:val="00297C90"/>
    <w:rsid w:val="00297DFB"/>
    <w:rsid w:val="002A02BA"/>
    <w:rsid w:val="002A0A04"/>
    <w:rsid w:val="002A1C88"/>
    <w:rsid w:val="002A33E6"/>
    <w:rsid w:val="002A38A0"/>
    <w:rsid w:val="002A3C76"/>
    <w:rsid w:val="002A4100"/>
    <w:rsid w:val="002A5153"/>
    <w:rsid w:val="002A532E"/>
    <w:rsid w:val="002A598E"/>
    <w:rsid w:val="002A6345"/>
    <w:rsid w:val="002B0769"/>
    <w:rsid w:val="002B0DD4"/>
    <w:rsid w:val="002B11E8"/>
    <w:rsid w:val="002B1A54"/>
    <w:rsid w:val="002B1E7B"/>
    <w:rsid w:val="002B1F0D"/>
    <w:rsid w:val="002B2439"/>
    <w:rsid w:val="002B4985"/>
    <w:rsid w:val="002B4ACA"/>
    <w:rsid w:val="002B5275"/>
    <w:rsid w:val="002B5334"/>
    <w:rsid w:val="002B5A9F"/>
    <w:rsid w:val="002B74DA"/>
    <w:rsid w:val="002C0B83"/>
    <w:rsid w:val="002C0D13"/>
    <w:rsid w:val="002C16C2"/>
    <w:rsid w:val="002C17C7"/>
    <w:rsid w:val="002C1F51"/>
    <w:rsid w:val="002C23B6"/>
    <w:rsid w:val="002C319F"/>
    <w:rsid w:val="002C3ADA"/>
    <w:rsid w:val="002C3CA9"/>
    <w:rsid w:val="002C3F33"/>
    <w:rsid w:val="002C418A"/>
    <w:rsid w:val="002C4338"/>
    <w:rsid w:val="002C4499"/>
    <w:rsid w:val="002C4EC7"/>
    <w:rsid w:val="002C5B62"/>
    <w:rsid w:val="002C5ED6"/>
    <w:rsid w:val="002C61E6"/>
    <w:rsid w:val="002C6C74"/>
    <w:rsid w:val="002C75C3"/>
    <w:rsid w:val="002D01FE"/>
    <w:rsid w:val="002D0912"/>
    <w:rsid w:val="002D09F4"/>
    <w:rsid w:val="002D2A19"/>
    <w:rsid w:val="002D3C49"/>
    <w:rsid w:val="002D3D08"/>
    <w:rsid w:val="002D3FD5"/>
    <w:rsid w:val="002D4177"/>
    <w:rsid w:val="002D42FB"/>
    <w:rsid w:val="002D4846"/>
    <w:rsid w:val="002D4A62"/>
    <w:rsid w:val="002D6027"/>
    <w:rsid w:val="002D6C1D"/>
    <w:rsid w:val="002D7A28"/>
    <w:rsid w:val="002E059E"/>
    <w:rsid w:val="002E0E38"/>
    <w:rsid w:val="002E1BC7"/>
    <w:rsid w:val="002E21E3"/>
    <w:rsid w:val="002E2AD6"/>
    <w:rsid w:val="002E309C"/>
    <w:rsid w:val="002E33CE"/>
    <w:rsid w:val="002E3FDB"/>
    <w:rsid w:val="002E44C1"/>
    <w:rsid w:val="002E4FBC"/>
    <w:rsid w:val="002E5551"/>
    <w:rsid w:val="002E5597"/>
    <w:rsid w:val="002E5793"/>
    <w:rsid w:val="002E5ED1"/>
    <w:rsid w:val="002E7D8B"/>
    <w:rsid w:val="002E7F14"/>
    <w:rsid w:val="002F09AE"/>
    <w:rsid w:val="002F10E3"/>
    <w:rsid w:val="002F1F0A"/>
    <w:rsid w:val="002F27EC"/>
    <w:rsid w:val="002F3387"/>
    <w:rsid w:val="002F3462"/>
    <w:rsid w:val="002F4083"/>
    <w:rsid w:val="002F41ED"/>
    <w:rsid w:val="002F4AAE"/>
    <w:rsid w:val="002F55EC"/>
    <w:rsid w:val="002F66A3"/>
    <w:rsid w:val="002F675C"/>
    <w:rsid w:val="002F77B8"/>
    <w:rsid w:val="002F7B17"/>
    <w:rsid w:val="0030294B"/>
    <w:rsid w:val="00302D69"/>
    <w:rsid w:val="00304E49"/>
    <w:rsid w:val="0030514F"/>
    <w:rsid w:val="00305370"/>
    <w:rsid w:val="003054B8"/>
    <w:rsid w:val="00306ABB"/>
    <w:rsid w:val="003076CF"/>
    <w:rsid w:val="00310C76"/>
    <w:rsid w:val="00310C7C"/>
    <w:rsid w:val="00310D9C"/>
    <w:rsid w:val="003128CB"/>
    <w:rsid w:val="003130B5"/>
    <w:rsid w:val="00313559"/>
    <w:rsid w:val="003139D1"/>
    <w:rsid w:val="00314657"/>
    <w:rsid w:val="0031468E"/>
    <w:rsid w:val="00314845"/>
    <w:rsid w:val="003159C8"/>
    <w:rsid w:val="00315BEF"/>
    <w:rsid w:val="00316FFF"/>
    <w:rsid w:val="00317B20"/>
    <w:rsid w:val="00317BB3"/>
    <w:rsid w:val="003204D8"/>
    <w:rsid w:val="003205A0"/>
    <w:rsid w:val="003209C5"/>
    <w:rsid w:val="00320FEF"/>
    <w:rsid w:val="003211D3"/>
    <w:rsid w:val="00321E47"/>
    <w:rsid w:val="00322D88"/>
    <w:rsid w:val="00324297"/>
    <w:rsid w:val="00325138"/>
    <w:rsid w:val="00325C43"/>
    <w:rsid w:val="00326AF4"/>
    <w:rsid w:val="00326B31"/>
    <w:rsid w:val="003271DE"/>
    <w:rsid w:val="00330F65"/>
    <w:rsid w:val="00330FF1"/>
    <w:rsid w:val="0033192B"/>
    <w:rsid w:val="003323DA"/>
    <w:rsid w:val="003329FF"/>
    <w:rsid w:val="00332A53"/>
    <w:rsid w:val="00332AA5"/>
    <w:rsid w:val="00333E20"/>
    <w:rsid w:val="003344F2"/>
    <w:rsid w:val="003353EB"/>
    <w:rsid w:val="00337E53"/>
    <w:rsid w:val="003402C5"/>
    <w:rsid w:val="003402D0"/>
    <w:rsid w:val="00342143"/>
    <w:rsid w:val="00342666"/>
    <w:rsid w:val="003429D6"/>
    <w:rsid w:val="0034355B"/>
    <w:rsid w:val="00343B3A"/>
    <w:rsid w:val="00344E15"/>
    <w:rsid w:val="00345445"/>
    <w:rsid w:val="0034695E"/>
    <w:rsid w:val="00346DAB"/>
    <w:rsid w:val="0034717B"/>
    <w:rsid w:val="003472BB"/>
    <w:rsid w:val="00347453"/>
    <w:rsid w:val="003502B4"/>
    <w:rsid w:val="003506F8"/>
    <w:rsid w:val="00350938"/>
    <w:rsid w:val="00350C9C"/>
    <w:rsid w:val="0035125E"/>
    <w:rsid w:val="00353738"/>
    <w:rsid w:val="00354F32"/>
    <w:rsid w:val="003562E2"/>
    <w:rsid w:val="00356624"/>
    <w:rsid w:val="00356EB2"/>
    <w:rsid w:val="00357291"/>
    <w:rsid w:val="00357C31"/>
    <w:rsid w:val="00360BA1"/>
    <w:rsid w:val="0036204D"/>
    <w:rsid w:val="003634D3"/>
    <w:rsid w:val="00364406"/>
    <w:rsid w:val="0036452F"/>
    <w:rsid w:val="003645D7"/>
    <w:rsid w:val="003650AC"/>
    <w:rsid w:val="0036596F"/>
    <w:rsid w:val="00365D96"/>
    <w:rsid w:val="00366B9B"/>
    <w:rsid w:val="00366D22"/>
    <w:rsid w:val="0036720B"/>
    <w:rsid w:val="0036789A"/>
    <w:rsid w:val="00370655"/>
    <w:rsid w:val="00370ABA"/>
    <w:rsid w:val="00371C1A"/>
    <w:rsid w:val="00372492"/>
    <w:rsid w:val="00372B21"/>
    <w:rsid w:val="00373B71"/>
    <w:rsid w:val="00373DFB"/>
    <w:rsid w:val="003745DE"/>
    <w:rsid w:val="0037615F"/>
    <w:rsid w:val="003763B6"/>
    <w:rsid w:val="0037694C"/>
    <w:rsid w:val="003804BD"/>
    <w:rsid w:val="00380813"/>
    <w:rsid w:val="00380A7B"/>
    <w:rsid w:val="00380EBA"/>
    <w:rsid w:val="00381922"/>
    <w:rsid w:val="00381CFF"/>
    <w:rsid w:val="00381E6F"/>
    <w:rsid w:val="0038405E"/>
    <w:rsid w:val="003853DF"/>
    <w:rsid w:val="00385C8E"/>
    <w:rsid w:val="00386755"/>
    <w:rsid w:val="00386ABF"/>
    <w:rsid w:val="00387471"/>
    <w:rsid w:val="00387551"/>
    <w:rsid w:val="003901F9"/>
    <w:rsid w:val="00390F9A"/>
    <w:rsid w:val="00391421"/>
    <w:rsid w:val="00391474"/>
    <w:rsid w:val="0039182B"/>
    <w:rsid w:val="0039248D"/>
    <w:rsid w:val="00392905"/>
    <w:rsid w:val="00392F5E"/>
    <w:rsid w:val="003947C0"/>
    <w:rsid w:val="00394C44"/>
    <w:rsid w:val="00396597"/>
    <w:rsid w:val="003967DA"/>
    <w:rsid w:val="00396E98"/>
    <w:rsid w:val="00397ADC"/>
    <w:rsid w:val="003A0784"/>
    <w:rsid w:val="003A0A4F"/>
    <w:rsid w:val="003A1F8E"/>
    <w:rsid w:val="003A21BD"/>
    <w:rsid w:val="003A21CF"/>
    <w:rsid w:val="003A34D5"/>
    <w:rsid w:val="003A5806"/>
    <w:rsid w:val="003A58AB"/>
    <w:rsid w:val="003A59A8"/>
    <w:rsid w:val="003A66FF"/>
    <w:rsid w:val="003A69A5"/>
    <w:rsid w:val="003B1685"/>
    <w:rsid w:val="003B25FE"/>
    <w:rsid w:val="003B2B7E"/>
    <w:rsid w:val="003B2F46"/>
    <w:rsid w:val="003B3464"/>
    <w:rsid w:val="003B4D2E"/>
    <w:rsid w:val="003B4DE2"/>
    <w:rsid w:val="003B4F38"/>
    <w:rsid w:val="003B55EF"/>
    <w:rsid w:val="003B6694"/>
    <w:rsid w:val="003B750C"/>
    <w:rsid w:val="003B76C5"/>
    <w:rsid w:val="003B7A95"/>
    <w:rsid w:val="003B7F15"/>
    <w:rsid w:val="003C0ABE"/>
    <w:rsid w:val="003C0C97"/>
    <w:rsid w:val="003C23BE"/>
    <w:rsid w:val="003C3B0A"/>
    <w:rsid w:val="003C3F10"/>
    <w:rsid w:val="003C4899"/>
    <w:rsid w:val="003C4ADF"/>
    <w:rsid w:val="003C5087"/>
    <w:rsid w:val="003C5AB0"/>
    <w:rsid w:val="003C5B40"/>
    <w:rsid w:val="003C5D19"/>
    <w:rsid w:val="003C5DA1"/>
    <w:rsid w:val="003C75F1"/>
    <w:rsid w:val="003C7EED"/>
    <w:rsid w:val="003D05D3"/>
    <w:rsid w:val="003D068B"/>
    <w:rsid w:val="003D0704"/>
    <w:rsid w:val="003D10DD"/>
    <w:rsid w:val="003D1DE6"/>
    <w:rsid w:val="003D2027"/>
    <w:rsid w:val="003D3CD2"/>
    <w:rsid w:val="003D3CF6"/>
    <w:rsid w:val="003D3EED"/>
    <w:rsid w:val="003D40AE"/>
    <w:rsid w:val="003D4925"/>
    <w:rsid w:val="003D4F3C"/>
    <w:rsid w:val="003D5585"/>
    <w:rsid w:val="003D600D"/>
    <w:rsid w:val="003D65E7"/>
    <w:rsid w:val="003D6D00"/>
    <w:rsid w:val="003D6D65"/>
    <w:rsid w:val="003D78BE"/>
    <w:rsid w:val="003E04FA"/>
    <w:rsid w:val="003E0991"/>
    <w:rsid w:val="003E15C6"/>
    <w:rsid w:val="003E1ED1"/>
    <w:rsid w:val="003E2EF9"/>
    <w:rsid w:val="003E38E3"/>
    <w:rsid w:val="003E406A"/>
    <w:rsid w:val="003E4074"/>
    <w:rsid w:val="003E4A00"/>
    <w:rsid w:val="003E5497"/>
    <w:rsid w:val="003E54CD"/>
    <w:rsid w:val="003E72FC"/>
    <w:rsid w:val="003E7351"/>
    <w:rsid w:val="003E7A68"/>
    <w:rsid w:val="003E7DDA"/>
    <w:rsid w:val="003F0336"/>
    <w:rsid w:val="003F0721"/>
    <w:rsid w:val="003F0ACE"/>
    <w:rsid w:val="003F3E30"/>
    <w:rsid w:val="003F42E7"/>
    <w:rsid w:val="003F4559"/>
    <w:rsid w:val="003F52F6"/>
    <w:rsid w:val="003F5C00"/>
    <w:rsid w:val="003F5FCF"/>
    <w:rsid w:val="003F6FC4"/>
    <w:rsid w:val="003F7898"/>
    <w:rsid w:val="003F7C3F"/>
    <w:rsid w:val="00400A18"/>
    <w:rsid w:val="004017D8"/>
    <w:rsid w:val="0040187D"/>
    <w:rsid w:val="0040344B"/>
    <w:rsid w:val="00404F1B"/>
    <w:rsid w:val="00405AF5"/>
    <w:rsid w:val="00406593"/>
    <w:rsid w:val="00406D47"/>
    <w:rsid w:val="00406EA3"/>
    <w:rsid w:val="004070A8"/>
    <w:rsid w:val="00407331"/>
    <w:rsid w:val="0040758D"/>
    <w:rsid w:val="00407795"/>
    <w:rsid w:val="00410045"/>
    <w:rsid w:val="004103FF"/>
    <w:rsid w:val="00410680"/>
    <w:rsid w:val="00411538"/>
    <w:rsid w:val="00411908"/>
    <w:rsid w:val="0041224B"/>
    <w:rsid w:val="004122E0"/>
    <w:rsid w:val="00412A35"/>
    <w:rsid w:val="00412AAE"/>
    <w:rsid w:val="00413AB7"/>
    <w:rsid w:val="00414084"/>
    <w:rsid w:val="0041409D"/>
    <w:rsid w:val="004156E9"/>
    <w:rsid w:val="004164FF"/>
    <w:rsid w:val="0041666F"/>
    <w:rsid w:val="00417B53"/>
    <w:rsid w:val="00420891"/>
    <w:rsid w:val="00420A9F"/>
    <w:rsid w:val="004214E7"/>
    <w:rsid w:val="004215D0"/>
    <w:rsid w:val="00421A5F"/>
    <w:rsid w:val="00421EB4"/>
    <w:rsid w:val="004220A3"/>
    <w:rsid w:val="004224BD"/>
    <w:rsid w:val="00422D92"/>
    <w:rsid w:val="004231E8"/>
    <w:rsid w:val="00424433"/>
    <w:rsid w:val="00425ABE"/>
    <w:rsid w:val="00425F40"/>
    <w:rsid w:val="00426060"/>
    <w:rsid w:val="00426611"/>
    <w:rsid w:val="00427D37"/>
    <w:rsid w:val="0043019D"/>
    <w:rsid w:val="0043062E"/>
    <w:rsid w:val="0043137F"/>
    <w:rsid w:val="004329DA"/>
    <w:rsid w:val="00432F00"/>
    <w:rsid w:val="004345CD"/>
    <w:rsid w:val="00435B67"/>
    <w:rsid w:val="00436511"/>
    <w:rsid w:val="00436F8C"/>
    <w:rsid w:val="00437A2A"/>
    <w:rsid w:val="00437EAD"/>
    <w:rsid w:val="00440D48"/>
    <w:rsid w:val="004417D6"/>
    <w:rsid w:val="00441B97"/>
    <w:rsid w:val="00442068"/>
    <w:rsid w:val="00442A7D"/>
    <w:rsid w:val="00442D90"/>
    <w:rsid w:val="004440CB"/>
    <w:rsid w:val="00446405"/>
    <w:rsid w:val="004469A9"/>
    <w:rsid w:val="0044715E"/>
    <w:rsid w:val="0044786C"/>
    <w:rsid w:val="00447AD6"/>
    <w:rsid w:val="00450D53"/>
    <w:rsid w:val="0045133C"/>
    <w:rsid w:val="0045192E"/>
    <w:rsid w:val="00453341"/>
    <w:rsid w:val="00455015"/>
    <w:rsid w:val="004552E1"/>
    <w:rsid w:val="0045559F"/>
    <w:rsid w:val="0045750F"/>
    <w:rsid w:val="00460206"/>
    <w:rsid w:val="00460499"/>
    <w:rsid w:val="00460700"/>
    <w:rsid w:val="00460A41"/>
    <w:rsid w:val="00460CFD"/>
    <w:rsid w:val="0046280E"/>
    <w:rsid w:val="0046356F"/>
    <w:rsid w:val="00466233"/>
    <w:rsid w:val="004667AC"/>
    <w:rsid w:val="00466933"/>
    <w:rsid w:val="00466963"/>
    <w:rsid w:val="004701C0"/>
    <w:rsid w:val="0047123A"/>
    <w:rsid w:val="004714CA"/>
    <w:rsid w:val="004716F1"/>
    <w:rsid w:val="004718B7"/>
    <w:rsid w:val="00471967"/>
    <w:rsid w:val="00472807"/>
    <w:rsid w:val="004728BD"/>
    <w:rsid w:val="00472DD9"/>
    <w:rsid w:val="00473152"/>
    <w:rsid w:val="00473F6A"/>
    <w:rsid w:val="0047497F"/>
    <w:rsid w:val="00474D86"/>
    <w:rsid w:val="004752B1"/>
    <w:rsid w:val="0047625A"/>
    <w:rsid w:val="004767E6"/>
    <w:rsid w:val="004769CA"/>
    <w:rsid w:val="00476BE0"/>
    <w:rsid w:val="0047715B"/>
    <w:rsid w:val="00477B98"/>
    <w:rsid w:val="00477CDF"/>
    <w:rsid w:val="00481583"/>
    <w:rsid w:val="00482575"/>
    <w:rsid w:val="004834CB"/>
    <w:rsid w:val="004835AA"/>
    <w:rsid w:val="00483FBA"/>
    <w:rsid w:val="0048479C"/>
    <w:rsid w:val="00484C10"/>
    <w:rsid w:val="00484C83"/>
    <w:rsid w:val="004857E2"/>
    <w:rsid w:val="0048590C"/>
    <w:rsid w:val="0048623A"/>
    <w:rsid w:val="0048656D"/>
    <w:rsid w:val="00486C35"/>
    <w:rsid w:val="004902BB"/>
    <w:rsid w:val="004902F7"/>
    <w:rsid w:val="00491D79"/>
    <w:rsid w:val="00491F4E"/>
    <w:rsid w:val="00492C93"/>
    <w:rsid w:val="00492E53"/>
    <w:rsid w:val="00493984"/>
    <w:rsid w:val="004949AB"/>
    <w:rsid w:val="0049515B"/>
    <w:rsid w:val="0049564C"/>
    <w:rsid w:val="00495CD8"/>
    <w:rsid w:val="004961A8"/>
    <w:rsid w:val="0049643C"/>
    <w:rsid w:val="00496C9F"/>
    <w:rsid w:val="004A14F7"/>
    <w:rsid w:val="004A1DE9"/>
    <w:rsid w:val="004A3A20"/>
    <w:rsid w:val="004A4190"/>
    <w:rsid w:val="004A45FB"/>
    <w:rsid w:val="004A4925"/>
    <w:rsid w:val="004A4946"/>
    <w:rsid w:val="004A49B6"/>
    <w:rsid w:val="004A5263"/>
    <w:rsid w:val="004A5442"/>
    <w:rsid w:val="004A5AB1"/>
    <w:rsid w:val="004A7CC2"/>
    <w:rsid w:val="004B1D83"/>
    <w:rsid w:val="004B1EBF"/>
    <w:rsid w:val="004B25A6"/>
    <w:rsid w:val="004B2CE3"/>
    <w:rsid w:val="004B33BA"/>
    <w:rsid w:val="004B3BEA"/>
    <w:rsid w:val="004B430A"/>
    <w:rsid w:val="004B5523"/>
    <w:rsid w:val="004B56A4"/>
    <w:rsid w:val="004B6169"/>
    <w:rsid w:val="004B61AF"/>
    <w:rsid w:val="004B758A"/>
    <w:rsid w:val="004C038F"/>
    <w:rsid w:val="004C1CAA"/>
    <w:rsid w:val="004C21FC"/>
    <w:rsid w:val="004C2DE7"/>
    <w:rsid w:val="004C33DA"/>
    <w:rsid w:val="004C3DD8"/>
    <w:rsid w:val="004C444E"/>
    <w:rsid w:val="004C4DD8"/>
    <w:rsid w:val="004C5165"/>
    <w:rsid w:val="004C535B"/>
    <w:rsid w:val="004C6441"/>
    <w:rsid w:val="004D00A7"/>
    <w:rsid w:val="004D03FE"/>
    <w:rsid w:val="004D06AF"/>
    <w:rsid w:val="004D13BC"/>
    <w:rsid w:val="004D1BF2"/>
    <w:rsid w:val="004D1EE1"/>
    <w:rsid w:val="004D210C"/>
    <w:rsid w:val="004D329C"/>
    <w:rsid w:val="004D3BE0"/>
    <w:rsid w:val="004D49D4"/>
    <w:rsid w:val="004D6F59"/>
    <w:rsid w:val="004E0C12"/>
    <w:rsid w:val="004E0D86"/>
    <w:rsid w:val="004E1FAE"/>
    <w:rsid w:val="004E304B"/>
    <w:rsid w:val="004E324A"/>
    <w:rsid w:val="004E3F5C"/>
    <w:rsid w:val="004E470D"/>
    <w:rsid w:val="004E4B3D"/>
    <w:rsid w:val="004F06E0"/>
    <w:rsid w:val="004F0730"/>
    <w:rsid w:val="004F0906"/>
    <w:rsid w:val="004F0B68"/>
    <w:rsid w:val="004F0BBF"/>
    <w:rsid w:val="004F1B12"/>
    <w:rsid w:val="004F1F64"/>
    <w:rsid w:val="004F2132"/>
    <w:rsid w:val="004F26DF"/>
    <w:rsid w:val="004F4074"/>
    <w:rsid w:val="004F414C"/>
    <w:rsid w:val="004F5AC1"/>
    <w:rsid w:val="004F6784"/>
    <w:rsid w:val="004F6872"/>
    <w:rsid w:val="004F7FAE"/>
    <w:rsid w:val="005004B1"/>
    <w:rsid w:val="00501469"/>
    <w:rsid w:val="005017CA"/>
    <w:rsid w:val="00502458"/>
    <w:rsid w:val="005024AC"/>
    <w:rsid w:val="00502C4A"/>
    <w:rsid w:val="00503D02"/>
    <w:rsid w:val="005048CD"/>
    <w:rsid w:val="00505D18"/>
    <w:rsid w:val="005067B4"/>
    <w:rsid w:val="00506B37"/>
    <w:rsid w:val="00507552"/>
    <w:rsid w:val="005078DE"/>
    <w:rsid w:val="005107A5"/>
    <w:rsid w:val="00510DFA"/>
    <w:rsid w:val="00511F2E"/>
    <w:rsid w:val="005126EC"/>
    <w:rsid w:val="005129D6"/>
    <w:rsid w:val="00512B81"/>
    <w:rsid w:val="00512C4B"/>
    <w:rsid w:val="005135EC"/>
    <w:rsid w:val="00513B0D"/>
    <w:rsid w:val="005140DB"/>
    <w:rsid w:val="00514FD5"/>
    <w:rsid w:val="00515AE2"/>
    <w:rsid w:val="00515FC0"/>
    <w:rsid w:val="00516149"/>
    <w:rsid w:val="005166D9"/>
    <w:rsid w:val="005177E3"/>
    <w:rsid w:val="0052013A"/>
    <w:rsid w:val="005202C7"/>
    <w:rsid w:val="00520D16"/>
    <w:rsid w:val="0052179A"/>
    <w:rsid w:val="005224E7"/>
    <w:rsid w:val="00523A0F"/>
    <w:rsid w:val="00523B7E"/>
    <w:rsid w:val="00524DB6"/>
    <w:rsid w:val="00525107"/>
    <w:rsid w:val="0052525E"/>
    <w:rsid w:val="00525285"/>
    <w:rsid w:val="0052546A"/>
    <w:rsid w:val="00526631"/>
    <w:rsid w:val="00526DD1"/>
    <w:rsid w:val="00527CB0"/>
    <w:rsid w:val="00527D5C"/>
    <w:rsid w:val="0053009A"/>
    <w:rsid w:val="00530D9F"/>
    <w:rsid w:val="00530F13"/>
    <w:rsid w:val="00531799"/>
    <w:rsid w:val="00531953"/>
    <w:rsid w:val="00531F81"/>
    <w:rsid w:val="00532F8F"/>
    <w:rsid w:val="005332B3"/>
    <w:rsid w:val="00533E25"/>
    <w:rsid w:val="00534555"/>
    <w:rsid w:val="00535B58"/>
    <w:rsid w:val="00535C54"/>
    <w:rsid w:val="005360D9"/>
    <w:rsid w:val="00536537"/>
    <w:rsid w:val="00536A65"/>
    <w:rsid w:val="0053713B"/>
    <w:rsid w:val="0053737B"/>
    <w:rsid w:val="005376B8"/>
    <w:rsid w:val="005400EB"/>
    <w:rsid w:val="00540BBC"/>
    <w:rsid w:val="005410CF"/>
    <w:rsid w:val="00541967"/>
    <w:rsid w:val="00541B8E"/>
    <w:rsid w:val="00546143"/>
    <w:rsid w:val="005465E1"/>
    <w:rsid w:val="005507C3"/>
    <w:rsid w:val="00550C7B"/>
    <w:rsid w:val="005511C3"/>
    <w:rsid w:val="00551D79"/>
    <w:rsid w:val="00551E03"/>
    <w:rsid w:val="005543D6"/>
    <w:rsid w:val="00554969"/>
    <w:rsid w:val="00554C12"/>
    <w:rsid w:val="00555AB1"/>
    <w:rsid w:val="005563E6"/>
    <w:rsid w:val="005564D8"/>
    <w:rsid w:val="0055668F"/>
    <w:rsid w:val="00557E17"/>
    <w:rsid w:val="0056045B"/>
    <w:rsid w:val="00560C90"/>
    <w:rsid w:val="00560FC6"/>
    <w:rsid w:val="005614B6"/>
    <w:rsid w:val="00561542"/>
    <w:rsid w:val="0056381E"/>
    <w:rsid w:val="00563843"/>
    <w:rsid w:val="0056435C"/>
    <w:rsid w:val="0056444A"/>
    <w:rsid w:val="005652B4"/>
    <w:rsid w:val="00565BA2"/>
    <w:rsid w:val="005665C4"/>
    <w:rsid w:val="005669F2"/>
    <w:rsid w:val="00566FFF"/>
    <w:rsid w:val="005703EB"/>
    <w:rsid w:val="00570C95"/>
    <w:rsid w:val="00571150"/>
    <w:rsid w:val="00571BDC"/>
    <w:rsid w:val="00572385"/>
    <w:rsid w:val="00572797"/>
    <w:rsid w:val="00572A9E"/>
    <w:rsid w:val="00572FEE"/>
    <w:rsid w:val="005744E6"/>
    <w:rsid w:val="005757FC"/>
    <w:rsid w:val="0057601E"/>
    <w:rsid w:val="005769BB"/>
    <w:rsid w:val="005772A4"/>
    <w:rsid w:val="0057750C"/>
    <w:rsid w:val="00577F9A"/>
    <w:rsid w:val="00580B4A"/>
    <w:rsid w:val="0058211B"/>
    <w:rsid w:val="00582CEA"/>
    <w:rsid w:val="00582F50"/>
    <w:rsid w:val="005830BC"/>
    <w:rsid w:val="00583960"/>
    <w:rsid w:val="00584383"/>
    <w:rsid w:val="005848F4"/>
    <w:rsid w:val="00585D4B"/>
    <w:rsid w:val="005864EF"/>
    <w:rsid w:val="00586A8E"/>
    <w:rsid w:val="00586AF1"/>
    <w:rsid w:val="0058718C"/>
    <w:rsid w:val="00587325"/>
    <w:rsid w:val="0058762F"/>
    <w:rsid w:val="0059080B"/>
    <w:rsid w:val="00591FBF"/>
    <w:rsid w:val="0059302B"/>
    <w:rsid w:val="005931A7"/>
    <w:rsid w:val="00593AF9"/>
    <w:rsid w:val="00593C4D"/>
    <w:rsid w:val="00596074"/>
    <w:rsid w:val="00596A77"/>
    <w:rsid w:val="005973D7"/>
    <w:rsid w:val="00597E5B"/>
    <w:rsid w:val="005A044B"/>
    <w:rsid w:val="005A0E2E"/>
    <w:rsid w:val="005A1C2A"/>
    <w:rsid w:val="005A2337"/>
    <w:rsid w:val="005A2C73"/>
    <w:rsid w:val="005A30DC"/>
    <w:rsid w:val="005A3217"/>
    <w:rsid w:val="005A3E0F"/>
    <w:rsid w:val="005A5E5A"/>
    <w:rsid w:val="005A5E63"/>
    <w:rsid w:val="005A6231"/>
    <w:rsid w:val="005A68C9"/>
    <w:rsid w:val="005A69DA"/>
    <w:rsid w:val="005A6A7B"/>
    <w:rsid w:val="005A6F23"/>
    <w:rsid w:val="005B01F0"/>
    <w:rsid w:val="005B0BA0"/>
    <w:rsid w:val="005B114E"/>
    <w:rsid w:val="005B1714"/>
    <w:rsid w:val="005B1911"/>
    <w:rsid w:val="005B1F52"/>
    <w:rsid w:val="005B1FFC"/>
    <w:rsid w:val="005B33B8"/>
    <w:rsid w:val="005B3760"/>
    <w:rsid w:val="005B3A50"/>
    <w:rsid w:val="005B3FBF"/>
    <w:rsid w:val="005B42C4"/>
    <w:rsid w:val="005B5633"/>
    <w:rsid w:val="005B5CF4"/>
    <w:rsid w:val="005B63F6"/>
    <w:rsid w:val="005B6C63"/>
    <w:rsid w:val="005C05B2"/>
    <w:rsid w:val="005C0606"/>
    <w:rsid w:val="005C0F2E"/>
    <w:rsid w:val="005C1B0A"/>
    <w:rsid w:val="005C223D"/>
    <w:rsid w:val="005C246D"/>
    <w:rsid w:val="005C4FD5"/>
    <w:rsid w:val="005C635C"/>
    <w:rsid w:val="005C7AB8"/>
    <w:rsid w:val="005C7D29"/>
    <w:rsid w:val="005D04FF"/>
    <w:rsid w:val="005D1313"/>
    <w:rsid w:val="005D15D9"/>
    <w:rsid w:val="005D1D86"/>
    <w:rsid w:val="005D24F7"/>
    <w:rsid w:val="005D26EB"/>
    <w:rsid w:val="005D2E50"/>
    <w:rsid w:val="005D335B"/>
    <w:rsid w:val="005D3D3D"/>
    <w:rsid w:val="005D3E5E"/>
    <w:rsid w:val="005D50D0"/>
    <w:rsid w:val="005D524B"/>
    <w:rsid w:val="005D55B6"/>
    <w:rsid w:val="005D57FA"/>
    <w:rsid w:val="005D6061"/>
    <w:rsid w:val="005D6A49"/>
    <w:rsid w:val="005D7186"/>
    <w:rsid w:val="005D7340"/>
    <w:rsid w:val="005D79C3"/>
    <w:rsid w:val="005D7A4B"/>
    <w:rsid w:val="005D7AA1"/>
    <w:rsid w:val="005D7AF2"/>
    <w:rsid w:val="005E0230"/>
    <w:rsid w:val="005E074F"/>
    <w:rsid w:val="005E0783"/>
    <w:rsid w:val="005E1686"/>
    <w:rsid w:val="005E1A94"/>
    <w:rsid w:val="005E1C5C"/>
    <w:rsid w:val="005E3496"/>
    <w:rsid w:val="005E45E6"/>
    <w:rsid w:val="005E4E2A"/>
    <w:rsid w:val="005E4FBD"/>
    <w:rsid w:val="005E50AD"/>
    <w:rsid w:val="005E57BF"/>
    <w:rsid w:val="005E732C"/>
    <w:rsid w:val="005F00DC"/>
    <w:rsid w:val="005F0338"/>
    <w:rsid w:val="005F06FD"/>
    <w:rsid w:val="005F2DE9"/>
    <w:rsid w:val="005F32D8"/>
    <w:rsid w:val="005F3ADC"/>
    <w:rsid w:val="005F4492"/>
    <w:rsid w:val="005F44FD"/>
    <w:rsid w:val="005F463F"/>
    <w:rsid w:val="005F4F49"/>
    <w:rsid w:val="005F4FC1"/>
    <w:rsid w:val="005F5171"/>
    <w:rsid w:val="005F5287"/>
    <w:rsid w:val="005F52BC"/>
    <w:rsid w:val="005F53C2"/>
    <w:rsid w:val="005F5E86"/>
    <w:rsid w:val="005F6371"/>
    <w:rsid w:val="005F70BC"/>
    <w:rsid w:val="005F723D"/>
    <w:rsid w:val="005F772C"/>
    <w:rsid w:val="005F7C72"/>
    <w:rsid w:val="00600154"/>
    <w:rsid w:val="00601218"/>
    <w:rsid w:val="00601FC6"/>
    <w:rsid w:val="0060270C"/>
    <w:rsid w:val="00603AA0"/>
    <w:rsid w:val="00604017"/>
    <w:rsid w:val="006041FA"/>
    <w:rsid w:val="006047DD"/>
    <w:rsid w:val="00604A66"/>
    <w:rsid w:val="00604C9F"/>
    <w:rsid w:val="006058E3"/>
    <w:rsid w:val="00605F50"/>
    <w:rsid w:val="00606639"/>
    <w:rsid w:val="00606730"/>
    <w:rsid w:val="00607532"/>
    <w:rsid w:val="00607B3F"/>
    <w:rsid w:val="00610C9C"/>
    <w:rsid w:val="00610FCC"/>
    <w:rsid w:val="00611C5C"/>
    <w:rsid w:val="00612E7A"/>
    <w:rsid w:val="00613361"/>
    <w:rsid w:val="00614875"/>
    <w:rsid w:val="0061527F"/>
    <w:rsid w:val="006157FE"/>
    <w:rsid w:val="00616941"/>
    <w:rsid w:val="006175AB"/>
    <w:rsid w:val="00620570"/>
    <w:rsid w:val="00620987"/>
    <w:rsid w:val="00620B7B"/>
    <w:rsid w:val="00620C04"/>
    <w:rsid w:val="006211DC"/>
    <w:rsid w:val="00621A2B"/>
    <w:rsid w:val="00621EB7"/>
    <w:rsid w:val="006225DB"/>
    <w:rsid w:val="00622743"/>
    <w:rsid w:val="00622854"/>
    <w:rsid w:val="00622C55"/>
    <w:rsid w:val="0062450B"/>
    <w:rsid w:val="0062488E"/>
    <w:rsid w:val="00625AFD"/>
    <w:rsid w:val="00626442"/>
    <w:rsid w:val="00626888"/>
    <w:rsid w:val="00626B05"/>
    <w:rsid w:val="0062720C"/>
    <w:rsid w:val="006278E7"/>
    <w:rsid w:val="006279C6"/>
    <w:rsid w:val="00627DB9"/>
    <w:rsid w:val="00630715"/>
    <w:rsid w:val="006307F0"/>
    <w:rsid w:val="0063176F"/>
    <w:rsid w:val="0063177B"/>
    <w:rsid w:val="00632448"/>
    <w:rsid w:val="00633656"/>
    <w:rsid w:val="006336D7"/>
    <w:rsid w:val="006338AC"/>
    <w:rsid w:val="0063471A"/>
    <w:rsid w:val="00635064"/>
    <w:rsid w:val="0063513B"/>
    <w:rsid w:val="00636151"/>
    <w:rsid w:val="00636ADB"/>
    <w:rsid w:val="00637BF7"/>
    <w:rsid w:val="00640E17"/>
    <w:rsid w:val="006415CC"/>
    <w:rsid w:val="00641E82"/>
    <w:rsid w:val="00643496"/>
    <w:rsid w:val="00643BFB"/>
    <w:rsid w:val="0064402D"/>
    <w:rsid w:val="00644069"/>
    <w:rsid w:val="0064451A"/>
    <w:rsid w:val="00644952"/>
    <w:rsid w:val="00644B98"/>
    <w:rsid w:val="00645036"/>
    <w:rsid w:val="00645974"/>
    <w:rsid w:val="00645CDE"/>
    <w:rsid w:val="006462FD"/>
    <w:rsid w:val="00646750"/>
    <w:rsid w:val="0064680B"/>
    <w:rsid w:val="0064716F"/>
    <w:rsid w:val="00650D0B"/>
    <w:rsid w:val="0065148D"/>
    <w:rsid w:val="00651BD8"/>
    <w:rsid w:val="00651BF9"/>
    <w:rsid w:val="00651CA5"/>
    <w:rsid w:val="0065238A"/>
    <w:rsid w:val="006524F3"/>
    <w:rsid w:val="00652640"/>
    <w:rsid w:val="00654152"/>
    <w:rsid w:val="00655E08"/>
    <w:rsid w:val="00656AAA"/>
    <w:rsid w:val="006570DF"/>
    <w:rsid w:val="00657D80"/>
    <w:rsid w:val="00660483"/>
    <w:rsid w:val="006604DD"/>
    <w:rsid w:val="00660AEB"/>
    <w:rsid w:val="00660CBB"/>
    <w:rsid w:val="00660E56"/>
    <w:rsid w:val="006614A7"/>
    <w:rsid w:val="00661612"/>
    <w:rsid w:val="00661ED2"/>
    <w:rsid w:val="006620B1"/>
    <w:rsid w:val="006621FD"/>
    <w:rsid w:val="006622CB"/>
    <w:rsid w:val="0066325D"/>
    <w:rsid w:val="00664634"/>
    <w:rsid w:val="00664683"/>
    <w:rsid w:val="00664A04"/>
    <w:rsid w:val="00664E54"/>
    <w:rsid w:val="006655B5"/>
    <w:rsid w:val="006658D6"/>
    <w:rsid w:val="00665C53"/>
    <w:rsid w:val="00666F4F"/>
    <w:rsid w:val="006677C6"/>
    <w:rsid w:val="0067019B"/>
    <w:rsid w:val="006704C1"/>
    <w:rsid w:val="00670A50"/>
    <w:rsid w:val="00673938"/>
    <w:rsid w:val="00674C01"/>
    <w:rsid w:val="0067608D"/>
    <w:rsid w:val="00677E88"/>
    <w:rsid w:val="00680C6E"/>
    <w:rsid w:val="00680DFF"/>
    <w:rsid w:val="00680EA8"/>
    <w:rsid w:val="00681081"/>
    <w:rsid w:val="0068187E"/>
    <w:rsid w:val="006841D6"/>
    <w:rsid w:val="00684CCA"/>
    <w:rsid w:val="00685D0C"/>
    <w:rsid w:val="0068644C"/>
    <w:rsid w:val="006867D7"/>
    <w:rsid w:val="00686EF8"/>
    <w:rsid w:val="00686F11"/>
    <w:rsid w:val="006900A2"/>
    <w:rsid w:val="00690269"/>
    <w:rsid w:val="006912D4"/>
    <w:rsid w:val="006924FF"/>
    <w:rsid w:val="00692524"/>
    <w:rsid w:val="006926D3"/>
    <w:rsid w:val="006927DD"/>
    <w:rsid w:val="0069304A"/>
    <w:rsid w:val="00693382"/>
    <w:rsid w:val="006936A5"/>
    <w:rsid w:val="00694AAA"/>
    <w:rsid w:val="00694AAD"/>
    <w:rsid w:val="00694D49"/>
    <w:rsid w:val="00694D5B"/>
    <w:rsid w:val="00695867"/>
    <w:rsid w:val="00696548"/>
    <w:rsid w:val="00696F9E"/>
    <w:rsid w:val="006973D2"/>
    <w:rsid w:val="006979B1"/>
    <w:rsid w:val="00697D0F"/>
    <w:rsid w:val="00697DDF"/>
    <w:rsid w:val="006A0A51"/>
    <w:rsid w:val="006A1331"/>
    <w:rsid w:val="006A2213"/>
    <w:rsid w:val="006A2787"/>
    <w:rsid w:val="006A27B6"/>
    <w:rsid w:val="006A33CE"/>
    <w:rsid w:val="006A4387"/>
    <w:rsid w:val="006A487D"/>
    <w:rsid w:val="006A67E4"/>
    <w:rsid w:val="006B0431"/>
    <w:rsid w:val="006B05E1"/>
    <w:rsid w:val="006B07BB"/>
    <w:rsid w:val="006B2FBA"/>
    <w:rsid w:val="006B3C9F"/>
    <w:rsid w:val="006B3D2D"/>
    <w:rsid w:val="006B4131"/>
    <w:rsid w:val="006B4EAF"/>
    <w:rsid w:val="006B6A60"/>
    <w:rsid w:val="006C0102"/>
    <w:rsid w:val="006C068B"/>
    <w:rsid w:val="006C0866"/>
    <w:rsid w:val="006C0A3B"/>
    <w:rsid w:val="006C1914"/>
    <w:rsid w:val="006C33D6"/>
    <w:rsid w:val="006C35D7"/>
    <w:rsid w:val="006C3683"/>
    <w:rsid w:val="006C37A3"/>
    <w:rsid w:val="006C4AF6"/>
    <w:rsid w:val="006C5200"/>
    <w:rsid w:val="006C6096"/>
    <w:rsid w:val="006C70F3"/>
    <w:rsid w:val="006C7ACB"/>
    <w:rsid w:val="006D02E4"/>
    <w:rsid w:val="006D05E6"/>
    <w:rsid w:val="006D10E7"/>
    <w:rsid w:val="006D1AD7"/>
    <w:rsid w:val="006D31B9"/>
    <w:rsid w:val="006D49D1"/>
    <w:rsid w:val="006D4C12"/>
    <w:rsid w:val="006D4C23"/>
    <w:rsid w:val="006D52C9"/>
    <w:rsid w:val="006D575C"/>
    <w:rsid w:val="006D5FEC"/>
    <w:rsid w:val="006D60F6"/>
    <w:rsid w:val="006D6719"/>
    <w:rsid w:val="006D6C9B"/>
    <w:rsid w:val="006D7583"/>
    <w:rsid w:val="006E030A"/>
    <w:rsid w:val="006E0EA6"/>
    <w:rsid w:val="006E1547"/>
    <w:rsid w:val="006E18C1"/>
    <w:rsid w:val="006E2660"/>
    <w:rsid w:val="006E2D07"/>
    <w:rsid w:val="006E2E4F"/>
    <w:rsid w:val="006E33FC"/>
    <w:rsid w:val="006E3A51"/>
    <w:rsid w:val="006E3ADE"/>
    <w:rsid w:val="006E4465"/>
    <w:rsid w:val="006E5730"/>
    <w:rsid w:val="006E57C2"/>
    <w:rsid w:val="006E5F19"/>
    <w:rsid w:val="006E757A"/>
    <w:rsid w:val="006E7718"/>
    <w:rsid w:val="006E7F00"/>
    <w:rsid w:val="006F0FEF"/>
    <w:rsid w:val="006F136E"/>
    <w:rsid w:val="006F30EB"/>
    <w:rsid w:val="006F3F10"/>
    <w:rsid w:val="006F4C44"/>
    <w:rsid w:val="006F7525"/>
    <w:rsid w:val="0070034B"/>
    <w:rsid w:val="0070072B"/>
    <w:rsid w:val="007009DA"/>
    <w:rsid w:val="007014AD"/>
    <w:rsid w:val="00701D67"/>
    <w:rsid w:val="007024F6"/>
    <w:rsid w:val="00702972"/>
    <w:rsid w:val="007034C0"/>
    <w:rsid w:val="007038EA"/>
    <w:rsid w:val="007047A7"/>
    <w:rsid w:val="00704B29"/>
    <w:rsid w:val="00707883"/>
    <w:rsid w:val="00710109"/>
    <w:rsid w:val="00710156"/>
    <w:rsid w:val="00710296"/>
    <w:rsid w:val="00710A76"/>
    <w:rsid w:val="00710D41"/>
    <w:rsid w:val="0071118D"/>
    <w:rsid w:val="00713357"/>
    <w:rsid w:val="0071394D"/>
    <w:rsid w:val="00714480"/>
    <w:rsid w:val="007144D0"/>
    <w:rsid w:val="007152DD"/>
    <w:rsid w:val="00715550"/>
    <w:rsid w:val="007159DC"/>
    <w:rsid w:val="00715DF0"/>
    <w:rsid w:val="00716016"/>
    <w:rsid w:val="00716834"/>
    <w:rsid w:val="00716C6E"/>
    <w:rsid w:val="0071739A"/>
    <w:rsid w:val="007174F9"/>
    <w:rsid w:val="00717B6F"/>
    <w:rsid w:val="00720474"/>
    <w:rsid w:val="007209F3"/>
    <w:rsid w:val="00720C94"/>
    <w:rsid w:val="00720D09"/>
    <w:rsid w:val="0072118E"/>
    <w:rsid w:val="00721472"/>
    <w:rsid w:val="00721AE0"/>
    <w:rsid w:val="00721C56"/>
    <w:rsid w:val="0072227B"/>
    <w:rsid w:val="007225CE"/>
    <w:rsid w:val="0072290E"/>
    <w:rsid w:val="0072310D"/>
    <w:rsid w:val="00724416"/>
    <w:rsid w:val="00724715"/>
    <w:rsid w:val="00725CE4"/>
    <w:rsid w:val="00726428"/>
    <w:rsid w:val="00727D9C"/>
    <w:rsid w:val="00730CA8"/>
    <w:rsid w:val="00731AFC"/>
    <w:rsid w:val="0073252B"/>
    <w:rsid w:val="00733371"/>
    <w:rsid w:val="00733F88"/>
    <w:rsid w:val="00734FC0"/>
    <w:rsid w:val="007356DE"/>
    <w:rsid w:val="007357EE"/>
    <w:rsid w:val="00735C8E"/>
    <w:rsid w:val="00736BB1"/>
    <w:rsid w:val="00736F24"/>
    <w:rsid w:val="007406F2"/>
    <w:rsid w:val="00740C47"/>
    <w:rsid w:val="00741288"/>
    <w:rsid w:val="00741836"/>
    <w:rsid w:val="00741F3C"/>
    <w:rsid w:val="0074223A"/>
    <w:rsid w:val="00742760"/>
    <w:rsid w:val="007428C6"/>
    <w:rsid w:val="00743E00"/>
    <w:rsid w:val="007452F2"/>
    <w:rsid w:val="00745682"/>
    <w:rsid w:val="00745901"/>
    <w:rsid w:val="00747913"/>
    <w:rsid w:val="00750968"/>
    <w:rsid w:val="00750AE1"/>
    <w:rsid w:val="00750DF1"/>
    <w:rsid w:val="00750F8D"/>
    <w:rsid w:val="0075156D"/>
    <w:rsid w:val="00751621"/>
    <w:rsid w:val="007542F9"/>
    <w:rsid w:val="00754C1D"/>
    <w:rsid w:val="00755C1F"/>
    <w:rsid w:val="00755E4C"/>
    <w:rsid w:val="0075650E"/>
    <w:rsid w:val="0075667D"/>
    <w:rsid w:val="00757230"/>
    <w:rsid w:val="00757AF0"/>
    <w:rsid w:val="00757F86"/>
    <w:rsid w:val="00761C16"/>
    <w:rsid w:val="0076232F"/>
    <w:rsid w:val="0076379E"/>
    <w:rsid w:val="0076393C"/>
    <w:rsid w:val="00764071"/>
    <w:rsid w:val="00764EF1"/>
    <w:rsid w:val="007659BF"/>
    <w:rsid w:val="00765B7F"/>
    <w:rsid w:val="00765BCC"/>
    <w:rsid w:val="00765FA1"/>
    <w:rsid w:val="007665BA"/>
    <w:rsid w:val="00766BBC"/>
    <w:rsid w:val="00767302"/>
    <w:rsid w:val="00770A49"/>
    <w:rsid w:val="00770FA7"/>
    <w:rsid w:val="00772871"/>
    <w:rsid w:val="007730B2"/>
    <w:rsid w:val="0077370A"/>
    <w:rsid w:val="00773981"/>
    <w:rsid w:val="00773A00"/>
    <w:rsid w:val="00774485"/>
    <w:rsid w:val="00775456"/>
    <w:rsid w:val="00775980"/>
    <w:rsid w:val="00776A9A"/>
    <w:rsid w:val="007776DC"/>
    <w:rsid w:val="00777A07"/>
    <w:rsid w:val="00780101"/>
    <w:rsid w:val="00780210"/>
    <w:rsid w:val="00780233"/>
    <w:rsid w:val="0078148D"/>
    <w:rsid w:val="00781680"/>
    <w:rsid w:val="00781A5B"/>
    <w:rsid w:val="00781AB9"/>
    <w:rsid w:val="00782860"/>
    <w:rsid w:val="0078331A"/>
    <w:rsid w:val="0078435A"/>
    <w:rsid w:val="0078506C"/>
    <w:rsid w:val="00786478"/>
    <w:rsid w:val="00786E8A"/>
    <w:rsid w:val="00786ECD"/>
    <w:rsid w:val="007874FD"/>
    <w:rsid w:val="00787D50"/>
    <w:rsid w:val="00787DEE"/>
    <w:rsid w:val="00790455"/>
    <w:rsid w:val="00790A7F"/>
    <w:rsid w:val="0079243B"/>
    <w:rsid w:val="007924F2"/>
    <w:rsid w:val="0079267C"/>
    <w:rsid w:val="00792834"/>
    <w:rsid w:val="0079297A"/>
    <w:rsid w:val="0079436A"/>
    <w:rsid w:val="00794677"/>
    <w:rsid w:val="007947DF"/>
    <w:rsid w:val="00794C3B"/>
    <w:rsid w:val="007968FC"/>
    <w:rsid w:val="00796A03"/>
    <w:rsid w:val="00797BF6"/>
    <w:rsid w:val="00797C28"/>
    <w:rsid w:val="007A0007"/>
    <w:rsid w:val="007A0637"/>
    <w:rsid w:val="007A0BE9"/>
    <w:rsid w:val="007A0FC3"/>
    <w:rsid w:val="007A129A"/>
    <w:rsid w:val="007A2294"/>
    <w:rsid w:val="007A4378"/>
    <w:rsid w:val="007A4EB1"/>
    <w:rsid w:val="007A5156"/>
    <w:rsid w:val="007A540D"/>
    <w:rsid w:val="007A5C4D"/>
    <w:rsid w:val="007A5EBB"/>
    <w:rsid w:val="007A63A4"/>
    <w:rsid w:val="007A63B7"/>
    <w:rsid w:val="007A6976"/>
    <w:rsid w:val="007A701F"/>
    <w:rsid w:val="007A7A57"/>
    <w:rsid w:val="007B0021"/>
    <w:rsid w:val="007B09D5"/>
    <w:rsid w:val="007B12DF"/>
    <w:rsid w:val="007B24E1"/>
    <w:rsid w:val="007B2989"/>
    <w:rsid w:val="007B3ACA"/>
    <w:rsid w:val="007B3B67"/>
    <w:rsid w:val="007B47A0"/>
    <w:rsid w:val="007B69F0"/>
    <w:rsid w:val="007B6AD4"/>
    <w:rsid w:val="007B6F7D"/>
    <w:rsid w:val="007B7268"/>
    <w:rsid w:val="007B7DE0"/>
    <w:rsid w:val="007C08DC"/>
    <w:rsid w:val="007C0F36"/>
    <w:rsid w:val="007C1410"/>
    <w:rsid w:val="007C14CA"/>
    <w:rsid w:val="007C1676"/>
    <w:rsid w:val="007C1A3E"/>
    <w:rsid w:val="007C1CBD"/>
    <w:rsid w:val="007C2514"/>
    <w:rsid w:val="007C2D69"/>
    <w:rsid w:val="007C5501"/>
    <w:rsid w:val="007C6A05"/>
    <w:rsid w:val="007C7B08"/>
    <w:rsid w:val="007D011D"/>
    <w:rsid w:val="007D1007"/>
    <w:rsid w:val="007D123B"/>
    <w:rsid w:val="007D1491"/>
    <w:rsid w:val="007D1C1D"/>
    <w:rsid w:val="007D4C0C"/>
    <w:rsid w:val="007D4CC0"/>
    <w:rsid w:val="007D5CAC"/>
    <w:rsid w:val="007E0056"/>
    <w:rsid w:val="007E0545"/>
    <w:rsid w:val="007E0640"/>
    <w:rsid w:val="007E093F"/>
    <w:rsid w:val="007E0DF0"/>
    <w:rsid w:val="007E166C"/>
    <w:rsid w:val="007E1F79"/>
    <w:rsid w:val="007E3A28"/>
    <w:rsid w:val="007E3B66"/>
    <w:rsid w:val="007E3DBB"/>
    <w:rsid w:val="007E3DCD"/>
    <w:rsid w:val="007E7FD6"/>
    <w:rsid w:val="007F0029"/>
    <w:rsid w:val="007F04BD"/>
    <w:rsid w:val="007F0A23"/>
    <w:rsid w:val="007F0E7C"/>
    <w:rsid w:val="007F18FD"/>
    <w:rsid w:val="007F1903"/>
    <w:rsid w:val="007F1EA4"/>
    <w:rsid w:val="007F33D5"/>
    <w:rsid w:val="007F359D"/>
    <w:rsid w:val="007F3769"/>
    <w:rsid w:val="007F3946"/>
    <w:rsid w:val="007F3E9A"/>
    <w:rsid w:val="007F4294"/>
    <w:rsid w:val="007F4CE9"/>
    <w:rsid w:val="007F51E8"/>
    <w:rsid w:val="007F52F1"/>
    <w:rsid w:val="007F55AF"/>
    <w:rsid w:val="0080057D"/>
    <w:rsid w:val="00800AAC"/>
    <w:rsid w:val="00801417"/>
    <w:rsid w:val="00801E9B"/>
    <w:rsid w:val="00802AD2"/>
    <w:rsid w:val="00804D44"/>
    <w:rsid w:val="00805DA6"/>
    <w:rsid w:val="0081070F"/>
    <w:rsid w:val="0081146B"/>
    <w:rsid w:val="0081297D"/>
    <w:rsid w:val="00813ACE"/>
    <w:rsid w:val="00814674"/>
    <w:rsid w:val="008148CC"/>
    <w:rsid w:val="0081516A"/>
    <w:rsid w:val="0081758A"/>
    <w:rsid w:val="00817687"/>
    <w:rsid w:val="00817D34"/>
    <w:rsid w:val="00817DD0"/>
    <w:rsid w:val="0082084A"/>
    <w:rsid w:val="00823426"/>
    <w:rsid w:val="008234E4"/>
    <w:rsid w:val="00823526"/>
    <w:rsid w:val="00823664"/>
    <w:rsid w:val="00823BB6"/>
    <w:rsid w:val="00823EC5"/>
    <w:rsid w:val="00824553"/>
    <w:rsid w:val="00824FB7"/>
    <w:rsid w:val="008264BA"/>
    <w:rsid w:val="008267B8"/>
    <w:rsid w:val="008268D5"/>
    <w:rsid w:val="00826FD1"/>
    <w:rsid w:val="0082720C"/>
    <w:rsid w:val="00827487"/>
    <w:rsid w:val="008278F6"/>
    <w:rsid w:val="0083012C"/>
    <w:rsid w:val="008305AE"/>
    <w:rsid w:val="008305BC"/>
    <w:rsid w:val="00830F6D"/>
    <w:rsid w:val="00831B00"/>
    <w:rsid w:val="00831EEF"/>
    <w:rsid w:val="00831F86"/>
    <w:rsid w:val="008338D9"/>
    <w:rsid w:val="008338FF"/>
    <w:rsid w:val="00834A98"/>
    <w:rsid w:val="00836CB2"/>
    <w:rsid w:val="008370CC"/>
    <w:rsid w:val="008373A4"/>
    <w:rsid w:val="00837B7E"/>
    <w:rsid w:val="008405CD"/>
    <w:rsid w:val="008407EC"/>
    <w:rsid w:val="00840FA5"/>
    <w:rsid w:val="00842186"/>
    <w:rsid w:val="00842571"/>
    <w:rsid w:val="00842600"/>
    <w:rsid w:val="00842AB3"/>
    <w:rsid w:val="00842E50"/>
    <w:rsid w:val="00843441"/>
    <w:rsid w:val="00843FFD"/>
    <w:rsid w:val="008459A3"/>
    <w:rsid w:val="008462B2"/>
    <w:rsid w:val="008466F1"/>
    <w:rsid w:val="00847C91"/>
    <w:rsid w:val="00850104"/>
    <w:rsid w:val="00850CFA"/>
    <w:rsid w:val="008514EC"/>
    <w:rsid w:val="00853096"/>
    <w:rsid w:val="008539AF"/>
    <w:rsid w:val="0085529F"/>
    <w:rsid w:val="008555E6"/>
    <w:rsid w:val="00855984"/>
    <w:rsid w:val="00855EC7"/>
    <w:rsid w:val="00856260"/>
    <w:rsid w:val="008564EF"/>
    <w:rsid w:val="00857A0A"/>
    <w:rsid w:val="00857D9E"/>
    <w:rsid w:val="008617E8"/>
    <w:rsid w:val="00862877"/>
    <w:rsid w:val="00862C7F"/>
    <w:rsid w:val="00862E61"/>
    <w:rsid w:val="008633FF"/>
    <w:rsid w:val="008649DE"/>
    <w:rsid w:val="00864B5D"/>
    <w:rsid w:val="00865233"/>
    <w:rsid w:val="0086560E"/>
    <w:rsid w:val="00866C3E"/>
    <w:rsid w:val="0086722F"/>
    <w:rsid w:val="0086797F"/>
    <w:rsid w:val="008679FE"/>
    <w:rsid w:val="00867CE0"/>
    <w:rsid w:val="00870499"/>
    <w:rsid w:val="00870CAA"/>
    <w:rsid w:val="00870CEC"/>
    <w:rsid w:val="008724B6"/>
    <w:rsid w:val="00872565"/>
    <w:rsid w:val="008726FE"/>
    <w:rsid w:val="00872748"/>
    <w:rsid w:val="00873693"/>
    <w:rsid w:val="00874045"/>
    <w:rsid w:val="00874395"/>
    <w:rsid w:val="0087474B"/>
    <w:rsid w:val="008759B7"/>
    <w:rsid w:val="00875A15"/>
    <w:rsid w:val="008767B8"/>
    <w:rsid w:val="0087702B"/>
    <w:rsid w:val="0087742E"/>
    <w:rsid w:val="00877B9B"/>
    <w:rsid w:val="00877D9B"/>
    <w:rsid w:val="0088028A"/>
    <w:rsid w:val="00880841"/>
    <w:rsid w:val="008813F8"/>
    <w:rsid w:val="00881A4D"/>
    <w:rsid w:val="00881B13"/>
    <w:rsid w:val="00883050"/>
    <w:rsid w:val="008833CC"/>
    <w:rsid w:val="008836FD"/>
    <w:rsid w:val="00884586"/>
    <w:rsid w:val="008847C9"/>
    <w:rsid w:val="00884DFE"/>
    <w:rsid w:val="00885DD4"/>
    <w:rsid w:val="008860DF"/>
    <w:rsid w:val="0088718A"/>
    <w:rsid w:val="008878F0"/>
    <w:rsid w:val="008907FF"/>
    <w:rsid w:val="00890A16"/>
    <w:rsid w:val="00890E1E"/>
    <w:rsid w:val="00891CBB"/>
    <w:rsid w:val="008924CD"/>
    <w:rsid w:val="00893921"/>
    <w:rsid w:val="00894F02"/>
    <w:rsid w:val="0089513D"/>
    <w:rsid w:val="00895996"/>
    <w:rsid w:val="008962B0"/>
    <w:rsid w:val="00896447"/>
    <w:rsid w:val="008975BF"/>
    <w:rsid w:val="008A0737"/>
    <w:rsid w:val="008A0F67"/>
    <w:rsid w:val="008A1689"/>
    <w:rsid w:val="008A1BCB"/>
    <w:rsid w:val="008A1CBD"/>
    <w:rsid w:val="008A3851"/>
    <w:rsid w:val="008A3BA6"/>
    <w:rsid w:val="008A5269"/>
    <w:rsid w:val="008A5A3E"/>
    <w:rsid w:val="008A6124"/>
    <w:rsid w:val="008A6E00"/>
    <w:rsid w:val="008B052A"/>
    <w:rsid w:val="008B0DD1"/>
    <w:rsid w:val="008B1234"/>
    <w:rsid w:val="008B1442"/>
    <w:rsid w:val="008B1800"/>
    <w:rsid w:val="008B2472"/>
    <w:rsid w:val="008B328D"/>
    <w:rsid w:val="008B344F"/>
    <w:rsid w:val="008B370D"/>
    <w:rsid w:val="008B5A7C"/>
    <w:rsid w:val="008B5C48"/>
    <w:rsid w:val="008B6033"/>
    <w:rsid w:val="008B6189"/>
    <w:rsid w:val="008B6CB3"/>
    <w:rsid w:val="008B74F6"/>
    <w:rsid w:val="008C0CE2"/>
    <w:rsid w:val="008C0DC0"/>
    <w:rsid w:val="008C1037"/>
    <w:rsid w:val="008C1079"/>
    <w:rsid w:val="008C1A84"/>
    <w:rsid w:val="008C2159"/>
    <w:rsid w:val="008C4F01"/>
    <w:rsid w:val="008C5ACE"/>
    <w:rsid w:val="008C5BDB"/>
    <w:rsid w:val="008C71A5"/>
    <w:rsid w:val="008C7209"/>
    <w:rsid w:val="008C749E"/>
    <w:rsid w:val="008C76BB"/>
    <w:rsid w:val="008C774A"/>
    <w:rsid w:val="008C7989"/>
    <w:rsid w:val="008D212F"/>
    <w:rsid w:val="008D24F6"/>
    <w:rsid w:val="008D2B49"/>
    <w:rsid w:val="008D4EAB"/>
    <w:rsid w:val="008D4EEF"/>
    <w:rsid w:val="008D5860"/>
    <w:rsid w:val="008D5E3F"/>
    <w:rsid w:val="008D6455"/>
    <w:rsid w:val="008D6E57"/>
    <w:rsid w:val="008D6F6C"/>
    <w:rsid w:val="008D7149"/>
    <w:rsid w:val="008E0443"/>
    <w:rsid w:val="008E06F3"/>
    <w:rsid w:val="008E219D"/>
    <w:rsid w:val="008E31CD"/>
    <w:rsid w:val="008E33F6"/>
    <w:rsid w:val="008E36BB"/>
    <w:rsid w:val="008E3D51"/>
    <w:rsid w:val="008E4B04"/>
    <w:rsid w:val="008E566B"/>
    <w:rsid w:val="008E5844"/>
    <w:rsid w:val="008E7A97"/>
    <w:rsid w:val="008F1D74"/>
    <w:rsid w:val="008F20A4"/>
    <w:rsid w:val="008F3234"/>
    <w:rsid w:val="008F4359"/>
    <w:rsid w:val="008F4A15"/>
    <w:rsid w:val="008F4ACD"/>
    <w:rsid w:val="008F4FD7"/>
    <w:rsid w:val="008F60F3"/>
    <w:rsid w:val="008F60F7"/>
    <w:rsid w:val="008F6A1F"/>
    <w:rsid w:val="008F7401"/>
    <w:rsid w:val="008F786F"/>
    <w:rsid w:val="00902742"/>
    <w:rsid w:val="0090450B"/>
    <w:rsid w:val="00904581"/>
    <w:rsid w:val="00905A14"/>
    <w:rsid w:val="00906D40"/>
    <w:rsid w:val="00910824"/>
    <w:rsid w:val="0091103D"/>
    <w:rsid w:val="009114D4"/>
    <w:rsid w:val="00911835"/>
    <w:rsid w:val="00911F64"/>
    <w:rsid w:val="009127FA"/>
    <w:rsid w:val="0091488A"/>
    <w:rsid w:val="009148B5"/>
    <w:rsid w:val="00914D5C"/>
    <w:rsid w:val="00915B80"/>
    <w:rsid w:val="00915DC1"/>
    <w:rsid w:val="0091631A"/>
    <w:rsid w:val="0091662F"/>
    <w:rsid w:val="00916FF9"/>
    <w:rsid w:val="00917B1F"/>
    <w:rsid w:val="009209FF"/>
    <w:rsid w:val="00920DC6"/>
    <w:rsid w:val="00921168"/>
    <w:rsid w:val="00921435"/>
    <w:rsid w:val="00921928"/>
    <w:rsid w:val="00922F8D"/>
    <w:rsid w:val="00925280"/>
    <w:rsid w:val="0092566E"/>
    <w:rsid w:val="00925968"/>
    <w:rsid w:val="00925ABD"/>
    <w:rsid w:val="0092648B"/>
    <w:rsid w:val="00926647"/>
    <w:rsid w:val="00926779"/>
    <w:rsid w:val="00926E00"/>
    <w:rsid w:val="0092730A"/>
    <w:rsid w:val="00927422"/>
    <w:rsid w:val="00930E09"/>
    <w:rsid w:val="009322D1"/>
    <w:rsid w:val="009325EA"/>
    <w:rsid w:val="00932EA1"/>
    <w:rsid w:val="0093306D"/>
    <w:rsid w:val="0093366A"/>
    <w:rsid w:val="009336CF"/>
    <w:rsid w:val="00933DF0"/>
    <w:rsid w:val="0093549A"/>
    <w:rsid w:val="009365EF"/>
    <w:rsid w:val="0093714F"/>
    <w:rsid w:val="00937613"/>
    <w:rsid w:val="00937838"/>
    <w:rsid w:val="009402A1"/>
    <w:rsid w:val="00940395"/>
    <w:rsid w:val="00941AC9"/>
    <w:rsid w:val="0094218B"/>
    <w:rsid w:val="00943146"/>
    <w:rsid w:val="00943497"/>
    <w:rsid w:val="00943C82"/>
    <w:rsid w:val="0094417F"/>
    <w:rsid w:val="00944571"/>
    <w:rsid w:val="0094463A"/>
    <w:rsid w:val="00945220"/>
    <w:rsid w:val="00945D44"/>
    <w:rsid w:val="0094643D"/>
    <w:rsid w:val="0094655E"/>
    <w:rsid w:val="009466F0"/>
    <w:rsid w:val="0094745B"/>
    <w:rsid w:val="00950342"/>
    <w:rsid w:val="00951286"/>
    <w:rsid w:val="009521DD"/>
    <w:rsid w:val="00952569"/>
    <w:rsid w:val="00952EE9"/>
    <w:rsid w:val="00952FEC"/>
    <w:rsid w:val="00953899"/>
    <w:rsid w:val="0095425E"/>
    <w:rsid w:val="00955685"/>
    <w:rsid w:val="0095584D"/>
    <w:rsid w:val="009566DD"/>
    <w:rsid w:val="009567F8"/>
    <w:rsid w:val="00961055"/>
    <w:rsid w:val="00961132"/>
    <w:rsid w:val="0096190E"/>
    <w:rsid w:val="009619AD"/>
    <w:rsid w:val="00961B0B"/>
    <w:rsid w:val="00961BDA"/>
    <w:rsid w:val="00961ED7"/>
    <w:rsid w:val="00961F56"/>
    <w:rsid w:val="009623BF"/>
    <w:rsid w:val="0096251F"/>
    <w:rsid w:val="0096293B"/>
    <w:rsid w:val="009637AA"/>
    <w:rsid w:val="00963C04"/>
    <w:rsid w:val="0096552A"/>
    <w:rsid w:val="009658C5"/>
    <w:rsid w:val="0096640D"/>
    <w:rsid w:val="0096661E"/>
    <w:rsid w:val="00966926"/>
    <w:rsid w:val="00966C25"/>
    <w:rsid w:val="00967B20"/>
    <w:rsid w:val="009704D3"/>
    <w:rsid w:val="00970826"/>
    <w:rsid w:val="00970F54"/>
    <w:rsid w:val="00970FC4"/>
    <w:rsid w:val="00971107"/>
    <w:rsid w:val="00971B2D"/>
    <w:rsid w:val="00972855"/>
    <w:rsid w:val="00973B11"/>
    <w:rsid w:val="009746B4"/>
    <w:rsid w:val="00974B46"/>
    <w:rsid w:val="00975659"/>
    <w:rsid w:val="00976573"/>
    <w:rsid w:val="009769C1"/>
    <w:rsid w:val="00980969"/>
    <w:rsid w:val="00981737"/>
    <w:rsid w:val="00981A16"/>
    <w:rsid w:val="0098379B"/>
    <w:rsid w:val="00983A8D"/>
    <w:rsid w:val="00984937"/>
    <w:rsid w:val="00986542"/>
    <w:rsid w:val="009865A4"/>
    <w:rsid w:val="009873AB"/>
    <w:rsid w:val="00987440"/>
    <w:rsid w:val="00987FD2"/>
    <w:rsid w:val="00990998"/>
    <w:rsid w:val="00990D29"/>
    <w:rsid w:val="00990E99"/>
    <w:rsid w:val="00992425"/>
    <w:rsid w:val="009925EC"/>
    <w:rsid w:val="009933B2"/>
    <w:rsid w:val="00993A55"/>
    <w:rsid w:val="0099408A"/>
    <w:rsid w:val="00994A99"/>
    <w:rsid w:val="0099592C"/>
    <w:rsid w:val="00996864"/>
    <w:rsid w:val="009969DD"/>
    <w:rsid w:val="00996B27"/>
    <w:rsid w:val="009971EF"/>
    <w:rsid w:val="009977FB"/>
    <w:rsid w:val="009A04B1"/>
    <w:rsid w:val="009A064B"/>
    <w:rsid w:val="009A082E"/>
    <w:rsid w:val="009A2914"/>
    <w:rsid w:val="009A2931"/>
    <w:rsid w:val="009A3051"/>
    <w:rsid w:val="009A3070"/>
    <w:rsid w:val="009A4235"/>
    <w:rsid w:val="009A4B99"/>
    <w:rsid w:val="009A6191"/>
    <w:rsid w:val="009A6636"/>
    <w:rsid w:val="009A6684"/>
    <w:rsid w:val="009A67AB"/>
    <w:rsid w:val="009A6843"/>
    <w:rsid w:val="009A7222"/>
    <w:rsid w:val="009A7638"/>
    <w:rsid w:val="009B00C4"/>
    <w:rsid w:val="009B0AE3"/>
    <w:rsid w:val="009B0D89"/>
    <w:rsid w:val="009B12DC"/>
    <w:rsid w:val="009B12FE"/>
    <w:rsid w:val="009B2068"/>
    <w:rsid w:val="009B2691"/>
    <w:rsid w:val="009B27F3"/>
    <w:rsid w:val="009B34D2"/>
    <w:rsid w:val="009B44EE"/>
    <w:rsid w:val="009B491F"/>
    <w:rsid w:val="009B513E"/>
    <w:rsid w:val="009B55E6"/>
    <w:rsid w:val="009B56D6"/>
    <w:rsid w:val="009B58EF"/>
    <w:rsid w:val="009C03B1"/>
    <w:rsid w:val="009C162F"/>
    <w:rsid w:val="009C1718"/>
    <w:rsid w:val="009C22CE"/>
    <w:rsid w:val="009C23D0"/>
    <w:rsid w:val="009C3186"/>
    <w:rsid w:val="009C3553"/>
    <w:rsid w:val="009C368A"/>
    <w:rsid w:val="009C3A99"/>
    <w:rsid w:val="009C458F"/>
    <w:rsid w:val="009C5E99"/>
    <w:rsid w:val="009C6521"/>
    <w:rsid w:val="009C678D"/>
    <w:rsid w:val="009C6DF1"/>
    <w:rsid w:val="009C78CB"/>
    <w:rsid w:val="009D0452"/>
    <w:rsid w:val="009D0EA5"/>
    <w:rsid w:val="009D388F"/>
    <w:rsid w:val="009D3BD2"/>
    <w:rsid w:val="009D3DB5"/>
    <w:rsid w:val="009D4388"/>
    <w:rsid w:val="009D48F7"/>
    <w:rsid w:val="009D492D"/>
    <w:rsid w:val="009D50FB"/>
    <w:rsid w:val="009D5AF7"/>
    <w:rsid w:val="009D6397"/>
    <w:rsid w:val="009D6B0C"/>
    <w:rsid w:val="009D6B24"/>
    <w:rsid w:val="009D70B3"/>
    <w:rsid w:val="009E13BF"/>
    <w:rsid w:val="009E1993"/>
    <w:rsid w:val="009E1D4B"/>
    <w:rsid w:val="009E200F"/>
    <w:rsid w:val="009E23F5"/>
    <w:rsid w:val="009E28E2"/>
    <w:rsid w:val="009E2948"/>
    <w:rsid w:val="009E4806"/>
    <w:rsid w:val="009E6114"/>
    <w:rsid w:val="009E6DB3"/>
    <w:rsid w:val="009E6FDC"/>
    <w:rsid w:val="009E7E05"/>
    <w:rsid w:val="009F026D"/>
    <w:rsid w:val="009F0E33"/>
    <w:rsid w:val="009F0F4C"/>
    <w:rsid w:val="009F1A2A"/>
    <w:rsid w:val="009F1C55"/>
    <w:rsid w:val="009F27AE"/>
    <w:rsid w:val="009F2B3D"/>
    <w:rsid w:val="009F315A"/>
    <w:rsid w:val="009F3265"/>
    <w:rsid w:val="009F34F7"/>
    <w:rsid w:val="009F44C4"/>
    <w:rsid w:val="009F533D"/>
    <w:rsid w:val="009F5884"/>
    <w:rsid w:val="009F63D6"/>
    <w:rsid w:val="009F68A6"/>
    <w:rsid w:val="009F6C01"/>
    <w:rsid w:val="00A00806"/>
    <w:rsid w:val="00A0102A"/>
    <w:rsid w:val="00A01BC3"/>
    <w:rsid w:val="00A01C07"/>
    <w:rsid w:val="00A02635"/>
    <w:rsid w:val="00A03B0B"/>
    <w:rsid w:val="00A03B49"/>
    <w:rsid w:val="00A03F99"/>
    <w:rsid w:val="00A04C98"/>
    <w:rsid w:val="00A05E28"/>
    <w:rsid w:val="00A06912"/>
    <w:rsid w:val="00A06E26"/>
    <w:rsid w:val="00A10388"/>
    <w:rsid w:val="00A10A1B"/>
    <w:rsid w:val="00A10F30"/>
    <w:rsid w:val="00A11092"/>
    <w:rsid w:val="00A11240"/>
    <w:rsid w:val="00A11BD3"/>
    <w:rsid w:val="00A11E0E"/>
    <w:rsid w:val="00A11EDE"/>
    <w:rsid w:val="00A124E0"/>
    <w:rsid w:val="00A125ED"/>
    <w:rsid w:val="00A13793"/>
    <w:rsid w:val="00A139CF"/>
    <w:rsid w:val="00A13D29"/>
    <w:rsid w:val="00A13EC6"/>
    <w:rsid w:val="00A140C8"/>
    <w:rsid w:val="00A1450C"/>
    <w:rsid w:val="00A166C1"/>
    <w:rsid w:val="00A16A14"/>
    <w:rsid w:val="00A17681"/>
    <w:rsid w:val="00A214BB"/>
    <w:rsid w:val="00A214CD"/>
    <w:rsid w:val="00A21744"/>
    <w:rsid w:val="00A22D3D"/>
    <w:rsid w:val="00A22F63"/>
    <w:rsid w:val="00A2386E"/>
    <w:rsid w:val="00A23E96"/>
    <w:rsid w:val="00A244FB"/>
    <w:rsid w:val="00A24747"/>
    <w:rsid w:val="00A24963"/>
    <w:rsid w:val="00A2497C"/>
    <w:rsid w:val="00A24F34"/>
    <w:rsid w:val="00A2550D"/>
    <w:rsid w:val="00A25D77"/>
    <w:rsid w:val="00A274A4"/>
    <w:rsid w:val="00A276A8"/>
    <w:rsid w:val="00A27A71"/>
    <w:rsid w:val="00A27C29"/>
    <w:rsid w:val="00A27D29"/>
    <w:rsid w:val="00A27EB7"/>
    <w:rsid w:val="00A31944"/>
    <w:rsid w:val="00A31C03"/>
    <w:rsid w:val="00A32D48"/>
    <w:rsid w:val="00A33099"/>
    <w:rsid w:val="00A3324B"/>
    <w:rsid w:val="00A33F8A"/>
    <w:rsid w:val="00A343CF"/>
    <w:rsid w:val="00A348BD"/>
    <w:rsid w:val="00A361A9"/>
    <w:rsid w:val="00A37495"/>
    <w:rsid w:val="00A37B79"/>
    <w:rsid w:val="00A401AE"/>
    <w:rsid w:val="00A40FE5"/>
    <w:rsid w:val="00A41226"/>
    <w:rsid w:val="00A41C14"/>
    <w:rsid w:val="00A42B42"/>
    <w:rsid w:val="00A42BAE"/>
    <w:rsid w:val="00A43BF8"/>
    <w:rsid w:val="00A44266"/>
    <w:rsid w:val="00A4433C"/>
    <w:rsid w:val="00A445BA"/>
    <w:rsid w:val="00A45009"/>
    <w:rsid w:val="00A454CB"/>
    <w:rsid w:val="00A45B06"/>
    <w:rsid w:val="00A45C53"/>
    <w:rsid w:val="00A46D3B"/>
    <w:rsid w:val="00A46DD7"/>
    <w:rsid w:val="00A46FCE"/>
    <w:rsid w:val="00A47FC0"/>
    <w:rsid w:val="00A501AF"/>
    <w:rsid w:val="00A50A05"/>
    <w:rsid w:val="00A51D98"/>
    <w:rsid w:val="00A521B7"/>
    <w:rsid w:val="00A5313D"/>
    <w:rsid w:val="00A54163"/>
    <w:rsid w:val="00A543BA"/>
    <w:rsid w:val="00A5455B"/>
    <w:rsid w:val="00A547B6"/>
    <w:rsid w:val="00A547CA"/>
    <w:rsid w:val="00A551BD"/>
    <w:rsid w:val="00A566F9"/>
    <w:rsid w:val="00A569FA"/>
    <w:rsid w:val="00A6085C"/>
    <w:rsid w:val="00A61AE1"/>
    <w:rsid w:val="00A61D13"/>
    <w:rsid w:val="00A62204"/>
    <w:rsid w:val="00A6328A"/>
    <w:rsid w:val="00A63575"/>
    <w:rsid w:val="00A63907"/>
    <w:rsid w:val="00A64453"/>
    <w:rsid w:val="00A65034"/>
    <w:rsid w:val="00A65627"/>
    <w:rsid w:val="00A658C7"/>
    <w:rsid w:val="00A65CAC"/>
    <w:rsid w:val="00A660C6"/>
    <w:rsid w:val="00A66401"/>
    <w:rsid w:val="00A664F7"/>
    <w:rsid w:val="00A66844"/>
    <w:rsid w:val="00A66CC3"/>
    <w:rsid w:val="00A66E83"/>
    <w:rsid w:val="00A66F16"/>
    <w:rsid w:val="00A67121"/>
    <w:rsid w:val="00A67373"/>
    <w:rsid w:val="00A72C5E"/>
    <w:rsid w:val="00A74543"/>
    <w:rsid w:val="00A7498A"/>
    <w:rsid w:val="00A74BDA"/>
    <w:rsid w:val="00A75080"/>
    <w:rsid w:val="00A7603E"/>
    <w:rsid w:val="00A76197"/>
    <w:rsid w:val="00A766A5"/>
    <w:rsid w:val="00A8040D"/>
    <w:rsid w:val="00A80680"/>
    <w:rsid w:val="00A80A4D"/>
    <w:rsid w:val="00A80D1D"/>
    <w:rsid w:val="00A818A7"/>
    <w:rsid w:val="00A8256F"/>
    <w:rsid w:val="00A83E4E"/>
    <w:rsid w:val="00A85CDF"/>
    <w:rsid w:val="00A85FE4"/>
    <w:rsid w:val="00A86F56"/>
    <w:rsid w:val="00A86F8C"/>
    <w:rsid w:val="00A879B7"/>
    <w:rsid w:val="00A87F31"/>
    <w:rsid w:val="00A90A59"/>
    <w:rsid w:val="00A91044"/>
    <w:rsid w:val="00A92016"/>
    <w:rsid w:val="00A92AE5"/>
    <w:rsid w:val="00A93509"/>
    <w:rsid w:val="00A937CA"/>
    <w:rsid w:val="00A95C8A"/>
    <w:rsid w:val="00A95E2E"/>
    <w:rsid w:val="00A95F02"/>
    <w:rsid w:val="00A96156"/>
    <w:rsid w:val="00A97802"/>
    <w:rsid w:val="00AA0C99"/>
    <w:rsid w:val="00AA12DF"/>
    <w:rsid w:val="00AA1807"/>
    <w:rsid w:val="00AA1C55"/>
    <w:rsid w:val="00AA1CFC"/>
    <w:rsid w:val="00AA23DE"/>
    <w:rsid w:val="00AA2723"/>
    <w:rsid w:val="00AA2FC9"/>
    <w:rsid w:val="00AA323D"/>
    <w:rsid w:val="00AA53DC"/>
    <w:rsid w:val="00AA5F2E"/>
    <w:rsid w:val="00AA73EA"/>
    <w:rsid w:val="00AA76DB"/>
    <w:rsid w:val="00AB1187"/>
    <w:rsid w:val="00AB1F77"/>
    <w:rsid w:val="00AB34DA"/>
    <w:rsid w:val="00AB3AA0"/>
    <w:rsid w:val="00AB3F5A"/>
    <w:rsid w:val="00AB40DA"/>
    <w:rsid w:val="00AB4425"/>
    <w:rsid w:val="00AB4440"/>
    <w:rsid w:val="00AB52AA"/>
    <w:rsid w:val="00AB7147"/>
    <w:rsid w:val="00AB78DA"/>
    <w:rsid w:val="00AB7B7F"/>
    <w:rsid w:val="00AC0F96"/>
    <w:rsid w:val="00AC1529"/>
    <w:rsid w:val="00AC1855"/>
    <w:rsid w:val="00AC1B06"/>
    <w:rsid w:val="00AC23EA"/>
    <w:rsid w:val="00AC40CD"/>
    <w:rsid w:val="00AC4334"/>
    <w:rsid w:val="00AC434C"/>
    <w:rsid w:val="00AC4514"/>
    <w:rsid w:val="00AC47D6"/>
    <w:rsid w:val="00AC6A49"/>
    <w:rsid w:val="00AD05CB"/>
    <w:rsid w:val="00AD0824"/>
    <w:rsid w:val="00AD0BA2"/>
    <w:rsid w:val="00AD2336"/>
    <w:rsid w:val="00AD2A21"/>
    <w:rsid w:val="00AD3045"/>
    <w:rsid w:val="00AD3133"/>
    <w:rsid w:val="00AD36B5"/>
    <w:rsid w:val="00AD3AE8"/>
    <w:rsid w:val="00AD4704"/>
    <w:rsid w:val="00AD5835"/>
    <w:rsid w:val="00AD5BF7"/>
    <w:rsid w:val="00AD6890"/>
    <w:rsid w:val="00AD6A63"/>
    <w:rsid w:val="00AD6F65"/>
    <w:rsid w:val="00AD7578"/>
    <w:rsid w:val="00AD786D"/>
    <w:rsid w:val="00AD796F"/>
    <w:rsid w:val="00AD7C8C"/>
    <w:rsid w:val="00AE0349"/>
    <w:rsid w:val="00AE11A0"/>
    <w:rsid w:val="00AE1638"/>
    <w:rsid w:val="00AE1D0F"/>
    <w:rsid w:val="00AE22ED"/>
    <w:rsid w:val="00AE2C04"/>
    <w:rsid w:val="00AE2F62"/>
    <w:rsid w:val="00AE2FC4"/>
    <w:rsid w:val="00AE316B"/>
    <w:rsid w:val="00AE341A"/>
    <w:rsid w:val="00AE3867"/>
    <w:rsid w:val="00AE3D08"/>
    <w:rsid w:val="00AE46E2"/>
    <w:rsid w:val="00AE5628"/>
    <w:rsid w:val="00AE62AD"/>
    <w:rsid w:val="00AE657F"/>
    <w:rsid w:val="00AE68B6"/>
    <w:rsid w:val="00AE6BBA"/>
    <w:rsid w:val="00AE6E98"/>
    <w:rsid w:val="00AF0433"/>
    <w:rsid w:val="00AF0FA9"/>
    <w:rsid w:val="00AF1C91"/>
    <w:rsid w:val="00AF372B"/>
    <w:rsid w:val="00AF436C"/>
    <w:rsid w:val="00AF489C"/>
    <w:rsid w:val="00AF53D9"/>
    <w:rsid w:val="00AF56B4"/>
    <w:rsid w:val="00AF5FB2"/>
    <w:rsid w:val="00AF622C"/>
    <w:rsid w:val="00AF70E4"/>
    <w:rsid w:val="00AF72AC"/>
    <w:rsid w:val="00B004E3"/>
    <w:rsid w:val="00B01096"/>
    <w:rsid w:val="00B02B4B"/>
    <w:rsid w:val="00B02B6E"/>
    <w:rsid w:val="00B02E80"/>
    <w:rsid w:val="00B0368D"/>
    <w:rsid w:val="00B04D05"/>
    <w:rsid w:val="00B04EF5"/>
    <w:rsid w:val="00B050D2"/>
    <w:rsid w:val="00B057EC"/>
    <w:rsid w:val="00B059BD"/>
    <w:rsid w:val="00B05B39"/>
    <w:rsid w:val="00B0643F"/>
    <w:rsid w:val="00B06FDB"/>
    <w:rsid w:val="00B0702D"/>
    <w:rsid w:val="00B07CA8"/>
    <w:rsid w:val="00B1013E"/>
    <w:rsid w:val="00B11480"/>
    <w:rsid w:val="00B11CB6"/>
    <w:rsid w:val="00B1376D"/>
    <w:rsid w:val="00B13782"/>
    <w:rsid w:val="00B13869"/>
    <w:rsid w:val="00B13BCC"/>
    <w:rsid w:val="00B140C8"/>
    <w:rsid w:val="00B14815"/>
    <w:rsid w:val="00B14E65"/>
    <w:rsid w:val="00B1583F"/>
    <w:rsid w:val="00B15F0C"/>
    <w:rsid w:val="00B161FE"/>
    <w:rsid w:val="00B163BD"/>
    <w:rsid w:val="00B16F18"/>
    <w:rsid w:val="00B177F0"/>
    <w:rsid w:val="00B17C3F"/>
    <w:rsid w:val="00B17D35"/>
    <w:rsid w:val="00B24B5B"/>
    <w:rsid w:val="00B24B6C"/>
    <w:rsid w:val="00B24EAA"/>
    <w:rsid w:val="00B250C3"/>
    <w:rsid w:val="00B257A9"/>
    <w:rsid w:val="00B25965"/>
    <w:rsid w:val="00B25A4E"/>
    <w:rsid w:val="00B30690"/>
    <w:rsid w:val="00B30BB3"/>
    <w:rsid w:val="00B31469"/>
    <w:rsid w:val="00B31C63"/>
    <w:rsid w:val="00B33FA9"/>
    <w:rsid w:val="00B34EEF"/>
    <w:rsid w:val="00B354F1"/>
    <w:rsid w:val="00B37B72"/>
    <w:rsid w:val="00B406CE"/>
    <w:rsid w:val="00B40B75"/>
    <w:rsid w:val="00B40C79"/>
    <w:rsid w:val="00B41719"/>
    <w:rsid w:val="00B41D68"/>
    <w:rsid w:val="00B42F41"/>
    <w:rsid w:val="00B443EC"/>
    <w:rsid w:val="00B44802"/>
    <w:rsid w:val="00B45567"/>
    <w:rsid w:val="00B45768"/>
    <w:rsid w:val="00B46755"/>
    <w:rsid w:val="00B46AC8"/>
    <w:rsid w:val="00B4737A"/>
    <w:rsid w:val="00B4779E"/>
    <w:rsid w:val="00B47F34"/>
    <w:rsid w:val="00B50A11"/>
    <w:rsid w:val="00B50A35"/>
    <w:rsid w:val="00B50E8F"/>
    <w:rsid w:val="00B511D2"/>
    <w:rsid w:val="00B5184F"/>
    <w:rsid w:val="00B5238E"/>
    <w:rsid w:val="00B52A01"/>
    <w:rsid w:val="00B53526"/>
    <w:rsid w:val="00B53752"/>
    <w:rsid w:val="00B544A4"/>
    <w:rsid w:val="00B54801"/>
    <w:rsid w:val="00B55161"/>
    <w:rsid w:val="00B55852"/>
    <w:rsid w:val="00B564F1"/>
    <w:rsid w:val="00B57201"/>
    <w:rsid w:val="00B6057C"/>
    <w:rsid w:val="00B61137"/>
    <w:rsid w:val="00B62B0D"/>
    <w:rsid w:val="00B63C76"/>
    <w:rsid w:val="00B641ED"/>
    <w:rsid w:val="00B64F82"/>
    <w:rsid w:val="00B6510B"/>
    <w:rsid w:val="00B65753"/>
    <w:rsid w:val="00B65E7F"/>
    <w:rsid w:val="00B660A9"/>
    <w:rsid w:val="00B666E8"/>
    <w:rsid w:val="00B66A84"/>
    <w:rsid w:val="00B66FC0"/>
    <w:rsid w:val="00B67BC4"/>
    <w:rsid w:val="00B70873"/>
    <w:rsid w:val="00B715DD"/>
    <w:rsid w:val="00B727D2"/>
    <w:rsid w:val="00B7282C"/>
    <w:rsid w:val="00B73493"/>
    <w:rsid w:val="00B738D0"/>
    <w:rsid w:val="00B739EF"/>
    <w:rsid w:val="00B73B45"/>
    <w:rsid w:val="00B73DDD"/>
    <w:rsid w:val="00B740CE"/>
    <w:rsid w:val="00B740F0"/>
    <w:rsid w:val="00B74615"/>
    <w:rsid w:val="00B74799"/>
    <w:rsid w:val="00B76A3A"/>
    <w:rsid w:val="00B76FAE"/>
    <w:rsid w:val="00B8009C"/>
    <w:rsid w:val="00B80C82"/>
    <w:rsid w:val="00B80E7B"/>
    <w:rsid w:val="00B82DFB"/>
    <w:rsid w:val="00B83845"/>
    <w:rsid w:val="00B83BB9"/>
    <w:rsid w:val="00B842B5"/>
    <w:rsid w:val="00B8511A"/>
    <w:rsid w:val="00B86247"/>
    <w:rsid w:val="00B863CC"/>
    <w:rsid w:val="00B86841"/>
    <w:rsid w:val="00B86EE3"/>
    <w:rsid w:val="00B8777E"/>
    <w:rsid w:val="00B87A0B"/>
    <w:rsid w:val="00B87D4B"/>
    <w:rsid w:val="00B90B07"/>
    <w:rsid w:val="00B91E6C"/>
    <w:rsid w:val="00B921BC"/>
    <w:rsid w:val="00B92223"/>
    <w:rsid w:val="00B928D7"/>
    <w:rsid w:val="00B92BA8"/>
    <w:rsid w:val="00B94858"/>
    <w:rsid w:val="00B9496C"/>
    <w:rsid w:val="00B95585"/>
    <w:rsid w:val="00B95933"/>
    <w:rsid w:val="00B9640C"/>
    <w:rsid w:val="00B96B6E"/>
    <w:rsid w:val="00B96CEF"/>
    <w:rsid w:val="00B97A06"/>
    <w:rsid w:val="00B97C6C"/>
    <w:rsid w:val="00BA0D6A"/>
    <w:rsid w:val="00BA1B96"/>
    <w:rsid w:val="00BA22B8"/>
    <w:rsid w:val="00BA22D5"/>
    <w:rsid w:val="00BA2B1F"/>
    <w:rsid w:val="00BA2BBB"/>
    <w:rsid w:val="00BA3266"/>
    <w:rsid w:val="00BA33CA"/>
    <w:rsid w:val="00BA351C"/>
    <w:rsid w:val="00BA4140"/>
    <w:rsid w:val="00BA4697"/>
    <w:rsid w:val="00BA48E9"/>
    <w:rsid w:val="00BA4D52"/>
    <w:rsid w:val="00BA4F7C"/>
    <w:rsid w:val="00BA548A"/>
    <w:rsid w:val="00BA6489"/>
    <w:rsid w:val="00BA678F"/>
    <w:rsid w:val="00BA7D13"/>
    <w:rsid w:val="00BB0204"/>
    <w:rsid w:val="00BB06ED"/>
    <w:rsid w:val="00BB0D4B"/>
    <w:rsid w:val="00BB0EDF"/>
    <w:rsid w:val="00BB142F"/>
    <w:rsid w:val="00BB1509"/>
    <w:rsid w:val="00BB1699"/>
    <w:rsid w:val="00BB186C"/>
    <w:rsid w:val="00BB22AD"/>
    <w:rsid w:val="00BB2331"/>
    <w:rsid w:val="00BB2639"/>
    <w:rsid w:val="00BB36F5"/>
    <w:rsid w:val="00BB42CF"/>
    <w:rsid w:val="00BB464A"/>
    <w:rsid w:val="00BB4C47"/>
    <w:rsid w:val="00BB5CFE"/>
    <w:rsid w:val="00BB6A42"/>
    <w:rsid w:val="00BB7A24"/>
    <w:rsid w:val="00BC0C49"/>
    <w:rsid w:val="00BC0EB2"/>
    <w:rsid w:val="00BC1044"/>
    <w:rsid w:val="00BC123D"/>
    <w:rsid w:val="00BC19FD"/>
    <w:rsid w:val="00BC3116"/>
    <w:rsid w:val="00BC353C"/>
    <w:rsid w:val="00BC3569"/>
    <w:rsid w:val="00BC418B"/>
    <w:rsid w:val="00BC43F4"/>
    <w:rsid w:val="00BC49AC"/>
    <w:rsid w:val="00BC56D8"/>
    <w:rsid w:val="00BC5C77"/>
    <w:rsid w:val="00BC62CC"/>
    <w:rsid w:val="00BC640E"/>
    <w:rsid w:val="00BC69CE"/>
    <w:rsid w:val="00BC7429"/>
    <w:rsid w:val="00BC7A07"/>
    <w:rsid w:val="00BD23BF"/>
    <w:rsid w:val="00BD323F"/>
    <w:rsid w:val="00BD411B"/>
    <w:rsid w:val="00BD4A2C"/>
    <w:rsid w:val="00BD4B75"/>
    <w:rsid w:val="00BD5687"/>
    <w:rsid w:val="00BD58C5"/>
    <w:rsid w:val="00BD6318"/>
    <w:rsid w:val="00BD63B4"/>
    <w:rsid w:val="00BD6795"/>
    <w:rsid w:val="00BD6D96"/>
    <w:rsid w:val="00BD75E4"/>
    <w:rsid w:val="00BE10D2"/>
    <w:rsid w:val="00BE1458"/>
    <w:rsid w:val="00BE19C1"/>
    <w:rsid w:val="00BE1C64"/>
    <w:rsid w:val="00BE2839"/>
    <w:rsid w:val="00BE2CD0"/>
    <w:rsid w:val="00BE3078"/>
    <w:rsid w:val="00BE35EB"/>
    <w:rsid w:val="00BE3B29"/>
    <w:rsid w:val="00BE4084"/>
    <w:rsid w:val="00BE41C8"/>
    <w:rsid w:val="00BE466F"/>
    <w:rsid w:val="00BE4C70"/>
    <w:rsid w:val="00BE50CC"/>
    <w:rsid w:val="00BE5454"/>
    <w:rsid w:val="00BE54C6"/>
    <w:rsid w:val="00BE596D"/>
    <w:rsid w:val="00BE626A"/>
    <w:rsid w:val="00BE7973"/>
    <w:rsid w:val="00BF0B14"/>
    <w:rsid w:val="00BF0BE6"/>
    <w:rsid w:val="00BF11FA"/>
    <w:rsid w:val="00BF28B7"/>
    <w:rsid w:val="00BF2FB3"/>
    <w:rsid w:val="00BF3B3B"/>
    <w:rsid w:val="00BF429F"/>
    <w:rsid w:val="00BF4842"/>
    <w:rsid w:val="00BF5142"/>
    <w:rsid w:val="00BF5C79"/>
    <w:rsid w:val="00BF6CA0"/>
    <w:rsid w:val="00BF709E"/>
    <w:rsid w:val="00BF7CCF"/>
    <w:rsid w:val="00C00824"/>
    <w:rsid w:val="00C00D85"/>
    <w:rsid w:val="00C02758"/>
    <w:rsid w:val="00C03780"/>
    <w:rsid w:val="00C03AF8"/>
    <w:rsid w:val="00C03C60"/>
    <w:rsid w:val="00C0458A"/>
    <w:rsid w:val="00C05000"/>
    <w:rsid w:val="00C05FA7"/>
    <w:rsid w:val="00C064F6"/>
    <w:rsid w:val="00C06C20"/>
    <w:rsid w:val="00C07209"/>
    <w:rsid w:val="00C077D7"/>
    <w:rsid w:val="00C105FF"/>
    <w:rsid w:val="00C10655"/>
    <w:rsid w:val="00C11FD9"/>
    <w:rsid w:val="00C125AC"/>
    <w:rsid w:val="00C125C0"/>
    <w:rsid w:val="00C1287A"/>
    <w:rsid w:val="00C13375"/>
    <w:rsid w:val="00C1341A"/>
    <w:rsid w:val="00C1355F"/>
    <w:rsid w:val="00C13F4F"/>
    <w:rsid w:val="00C1401C"/>
    <w:rsid w:val="00C14CBD"/>
    <w:rsid w:val="00C158E8"/>
    <w:rsid w:val="00C16057"/>
    <w:rsid w:val="00C16CBE"/>
    <w:rsid w:val="00C16F10"/>
    <w:rsid w:val="00C16F90"/>
    <w:rsid w:val="00C2045D"/>
    <w:rsid w:val="00C20744"/>
    <w:rsid w:val="00C21B02"/>
    <w:rsid w:val="00C22102"/>
    <w:rsid w:val="00C23C1C"/>
    <w:rsid w:val="00C24125"/>
    <w:rsid w:val="00C25DA5"/>
    <w:rsid w:val="00C265F1"/>
    <w:rsid w:val="00C26764"/>
    <w:rsid w:val="00C274ED"/>
    <w:rsid w:val="00C279D9"/>
    <w:rsid w:val="00C27BF9"/>
    <w:rsid w:val="00C305A1"/>
    <w:rsid w:val="00C3141D"/>
    <w:rsid w:val="00C31517"/>
    <w:rsid w:val="00C317CB"/>
    <w:rsid w:val="00C31AE2"/>
    <w:rsid w:val="00C3289D"/>
    <w:rsid w:val="00C32A1B"/>
    <w:rsid w:val="00C32FB6"/>
    <w:rsid w:val="00C33308"/>
    <w:rsid w:val="00C33793"/>
    <w:rsid w:val="00C3454A"/>
    <w:rsid w:val="00C35345"/>
    <w:rsid w:val="00C359ED"/>
    <w:rsid w:val="00C3660D"/>
    <w:rsid w:val="00C37718"/>
    <w:rsid w:val="00C40A1B"/>
    <w:rsid w:val="00C4108D"/>
    <w:rsid w:val="00C41655"/>
    <w:rsid w:val="00C43650"/>
    <w:rsid w:val="00C44557"/>
    <w:rsid w:val="00C4528F"/>
    <w:rsid w:val="00C455DA"/>
    <w:rsid w:val="00C4577A"/>
    <w:rsid w:val="00C45BEB"/>
    <w:rsid w:val="00C473FA"/>
    <w:rsid w:val="00C5058F"/>
    <w:rsid w:val="00C50AE2"/>
    <w:rsid w:val="00C51D8C"/>
    <w:rsid w:val="00C52A8C"/>
    <w:rsid w:val="00C52DF9"/>
    <w:rsid w:val="00C54A70"/>
    <w:rsid w:val="00C54BBB"/>
    <w:rsid w:val="00C54C14"/>
    <w:rsid w:val="00C54F71"/>
    <w:rsid w:val="00C55E79"/>
    <w:rsid w:val="00C627C2"/>
    <w:rsid w:val="00C63A58"/>
    <w:rsid w:val="00C64032"/>
    <w:rsid w:val="00C6664B"/>
    <w:rsid w:val="00C66A18"/>
    <w:rsid w:val="00C67C68"/>
    <w:rsid w:val="00C70883"/>
    <w:rsid w:val="00C70C2E"/>
    <w:rsid w:val="00C7113E"/>
    <w:rsid w:val="00C7150F"/>
    <w:rsid w:val="00C7260E"/>
    <w:rsid w:val="00C72B47"/>
    <w:rsid w:val="00C73CD6"/>
    <w:rsid w:val="00C73D3F"/>
    <w:rsid w:val="00C74460"/>
    <w:rsid w:val="00C74C0D"/>
    <w:rsid w:val="00C74FA9"/>
    <w:rsid w:val="00C76462"/>
    <w:rsid w:val="00C76C40"/>
    <w:rsid w:val="00C76D7B"/>
    <w:rsid w:val="00C76FEF"/>
    <w:rsid w:val="00C7717D"/>
    <w:rsid w:val="00C77FC6"/>
    <w:rsid w:val="00C80404"/>
    <w:rsid w:val="00C80763"/>
    <w:rsid w:val="00C81BBE"/>
    <w:rsid w:val="00C82361"/>
    <w:rsid w:val="00C82437"/>
    <w:rsid w:val="00C82725"/>
    <w:rsid w:val="00C82FAE"/>
    <w:rsid w:val="00C83A55"/>
    <w:rsid w:val="00C84C44"/>
    <w:rsid w:val="00C85E65"/>
    <w:rsid w:val="00C863A2"/>
    <w:rsid w:val="00C868CF"/>
    <w:rsid w:val="00C87874"/>
    <w:rsid w:val="00C87DBE"/>
    <w:rsid w:val="00C87F3D"/>
    <w:rsid w:val="00C916F8"/>
    <w:rsid w:val="00C92F2E"/>
    <w:rsid w:val="00C93B7B"/>
    <w:rsid w:val="00C94350"/>
    <w:rsid w:val="00C95935"/>
    <w:rsid w:val="00C95A93"/>
    <w:rsid w:val="00C95FD5"/>
    <w:rsid w:val="00C96091"/>
    <w:rsid w:val="00C9643A"/>
    <w:rsid w:val="00C96ACF"/>
    <w:rsid w:val="00C96D62"/>
    <w:rsid w:val="00C9765D"/>
    <w:rsid w:val="00C97C45"/>
    <w:rsid w:val="00CA07DE"/>
    <w:rsid w:val="00CA0913"/>
    <w:rsid w:val="00CA0960"/>
    <w:rsid w:val="00CA0B81"/>
    <w:rsid w:val="00CA0C5A"/>
    <w:rsid w:val="00CA0F7F"/>
    <w:rsid w:val="00CA1B6C"/>
    <w:rsid w:val="00CA1C50"/>
    <w:rsid w:val="00CA1C74"/>
    <w:rsid w:val="00CA299F"/>
    <w:rsid w:val="00CA2D59"/>
    <w:rsid w:val="00CA3353"/>
    <w:rsid w:val="00CA502D"/>
    <w:rsid w:val="00CA6321"/>
    <w:rsid w:val="00CA64FD"/>
    <w:rsid w:val="00CA6E5B"/>
    <w:rsid w:val="00CB1DF7"/>
    <w:rsid w:val="00CB1EFC"/>
    <w:rsid w:val="00CB30EE"/>
    <w:rsid w:val="00CB35DD"/>
    <w:rsid w:val="00CB377E"/>
    <w:rsid w:val="00CB3DE6"/>
    <w:rsid w:val="00CB426A"/>
    <w:rsid w:val="00CB4A8B"/>
    <w:rsid w:val="00CB65AE"/>
    <w:rsid w:val="00CB76C3"/>
    <w:rsid w:val="00CB78A2"/>
    <w:rsid w:val="00CC21AF"/>
    <w:rsid w:val="00CC3B16"/>
    <w:rsid w:val="00CC3CEB"/>
    <w:rsid w:val="00CC4169"/>
    <w:rsid w:val="00CC5610"/>
    <w:rsid w:val="00CC570E"/>
    <w:rsid w:val="00CC5D01"/>
    <w:rsid w:val="00CD0242"/>
    <w:rsid w:val="00CD0522"/>
    <w:rsid w:val="00CD0754"/>
    <w:rsid w:val="00CD0CE5"/>
    <w:rsid w:val="00CD1439"/>
    <w:rsid w:val="00CD1BE3"/>
    <w:rsid w:val="00CD28E9"/>
    <w:rsid w:val="00CD3E9B"/>
    <w:rsid w:val="00CD4804"/>
    <w:rsid w:val="00CD6610"/>
    <w:rsid w:val="00CD69FB"/>
    <w:rsid w:val="00CD7130"/>
    <w:rsid w:val="00CE01D6"/>
    <w:rsid w:val="00CE2135"/>
    <w:rsid w:val="00CE27BD"/>
    <w:rsid w:val="00CE48F5"/>
    <w:rsid w:val="00CE5552"/>
    <w:rsid w:val="00CE65BD"/>
    <w:rsid w:val="00CE6822"/>
    <w:rsid w:val="00CE6D8F"/>
    <w:rsid w:val="00CE717B"/>
    <w:rsid w:val="00CF0A19"/>
    <w:rsid w:val="00CF151B"/>
    <w:rsid w:val="00CF25DE"/>
    <w:rsid w:val="00CF2717"/>
    <w:rsid w:val="00CF2896"/>
    <w:rsid w:val="00CF32A4"/>
    <w:rsid w:val="00CF3D6E"/>
    <w:rsid w:val="00CF435D"/>
    <w:rsid w:val="00CF4F9D"/>
    <w:rsid w:val="00CF5B94"/>
    <w:rsid w:val="00CF6B86"/>
    <w:rsid w:val="00CF6B89"/>
    <w:rsid w:val="00CF6BF1"/>
    <w:rsid w:val="00CF6D34"/>
    <w:rsid w:val="00CF7D70"/>
    <w:rsid w:val="00D006E9"/>
    <w:rsid w:val="00D01064"/>
    <w:rsid w:val="00D01169"/>
    <w:rsid w:val="00D01706"/>
    <w:rsid w:val="00D01F3E"/>
    <w:rsid w:val="00D02048"/>
    <w:rsid w:val="00D02C24"/>
    <w:rsid w:val="00D030C5"/>
    <w:rsid w:val="00D03195"/>
    <w:rsid w:val="00D03762"/>
    <w:rsid w:val="00D038F1"/>
    <w:rsid w:val="00D03934"/>
    <w:rsid w:val="00D03BE6"/>
    <w:rsid w:val="00D047CE"/>
    <w:rsid w:val="00D054AA"/>
    <w:rsid w:val="00D054B4"/>
    <w:rsid w:val="00D05AEF"/>
    <w:rsid w:val="00D06777"/>
    <w:rsid w:val="00D06F97"/>
    <w:rsid w:val="00D07279"/>
    <w:rsid w:val="00D109FE"/>
    <w:rsid w:val="00D11501"/>
    <w:rsid w:val="00D123A8"/>
    <w:rsid w:val="00D1263F"/>
    <w:rsid w:val="00D1353F"/>
    <w:rsid w:val="00D13BF6"/>
    <w:rsid w:val="00D14BE1"/>
    <w:rsid w:val="00D14CD6"/>
    <w:rsid w:val="00D14DEC"/>
    <w:rsid w:val="00D15C3B"/>
    <w:rsid w:val="00D15FF7"/>
    <w:rsid w:val="00D167F3"/>
    <w:rsid w:val="00D20676"/>
    <w:rsid w:val="00D2091E"/>
    <w:rsid w:val="00D20C11"/>
    <w:rsid w:val="00D217B8"/>
    <w:rsid w:val="00D21FBA"/>
    <w:rsid w:val="00D235E6"/>
    <w:rsid w:val="00D236A3"/>
    <w:rsid w:val="00D243D6"/>
    <w:rsid w:val="00D24611"/>
    <w:rsid w:val="00D25E7B"/>
    <w:rsid w:val="00D27134"/>
    <w:rsid w:val="00D27F59"/>
    <w:rsid w:val="00D30839"/>
    <w:rsid w:val="00D309C3"/>
    <w:rsid w:val="00D30E1F"/>
    <w:rsid w:val="00D31289"/>
    <w:rsid w:val="00D32787"/>
    <w:rsid w:val="00D329D5"/>
    <w:rsid w:val="00D333ED"/>
    <w:rsid w:val="00D33644"/>
    <w:rsid w:val="00D3457F"/>
    <w:rsid w:val="00D34DF6"/>
    <w:rsid w:val="00D3519C"/>
    <w:rsid w:val="00D3525B"/>
    <w:rsid w:val="00D35E14"/>
    <w:rsid w:val="00D36839"/>
    <w:rsid w:val="00D36D62"/>
    <w:rsid w:val="00D37719"/>
    <w:rsid w:val="00D4022A"/>
    <w:rsid w:val="00D406FD"/>
    <w:rsid w:val="00D40A32"/>
    <w:rsid w:val="00D415F9"/>
    <w:rsid w:val="00D4166C"/>
    <w:rsid w:val="00D43766"/>
    <w:rsid w:val="00D43C03"/>
    <w:rsid w:val="00D4482D"/>
    <w:rsid w:val="00D44D3A"/>
    <w:rsid w:val="00D461AC"/>
    <w:rsid w:val="00D465B5"/>
    <w:rsid w:val="00D4702D"/>
    <w:rsid w:val="00D47095"/>
    <w:rsid w:val="00D47DB2"/>
    <w:rsid w:val="00D5079F"/>
    <w:rsid w:val="00D509A0"/>
    <w:rsid w:val="00D5102E"/>
    <w:rsid w:val="00D51285"/>
    <w:rsid w:val="00D51FCF"/>
    <w:rsid w:val="00D52066"/>
    <w:rsid w:val="00D523AE"/>
    <w:rsid w:val="00D523E8"/>
    <w:rsid w:val="00D52C7E"/>
    <w:rsid w:val="00D53396"/>
    <w:rsid w:val="00D53B5F"/>
    <w:rsid w:val="00D5403B"/>
    <w:rsid w:val="00D5473F"/>
    <w:rsid w:val="00D5483C"/>
    <w:rsid w:val="00D54FA7"/>
    <w:rsid w:val="00D55217"/>
    <w:rsid w:val="00D56750"/>
    <w:rsid w:val="00D60E15"/>
    <w:rsid w:val="00D61367"/>
    <w:rsid w:val="00D63806"/>
    <w:rsid w:val="00D63852"/>
    <w:rsid w:val="00D638B8"/>
    <w:rsid w:val="00D6416F"/>
    <w:rsid w:val="00D64773"/>
    <w:rsid w:val="00D66390"/>
    <w:rsid w:val="00D66C2E"/>
    <w:rsid w:val="00D67159"/>
    <w:rsid w:val="00D673C9"/>
    <w:rsid w:val="00D70778"/>
    <w:rsid w:val="00D707CA"/>
    <w:rsid w:val="00D70A6E"/>
    <w:rsid w:val="00D7295B"/>
    <w:rsid w:val="00D73131"/>
    <w:rsid w:val="00D74454"/>
    <w:rsid w:val="00D744FA"/>
    <w:rsid w:val="00D74AEE"/>
    <w:rsid w:val="00D74F25"/>
    <w:rsid w:val="00D75289"/>
    <w:rsid w:val="00D75507"/>
    <w:rsid w:val="00D76252"/>
    <w:rsid w:val="00D76AE4"/>
    <w:rsid w:val="00D76B8A"/>
    <w:rsid w:val="00D77D1B"/>
    <w:rsid w:val="00D80ACF"/>
    <w:rsid w:val="00D81487"/>
    <w:rsid w:val="00D814F3"/>
    <w:rsid w:val="00D821BC"/>
    <w:rsid w:val="00D8223C"/>
    <w:rsid w:val="00D823A0"/>
    <w:rsid w:val="00D82799"/>
    <w:rsid w:val="00D8281D"/>
    <w:rsid w:val="00D82A46"/>
    <w:rsid w:val="00D82C83"/>
    <w:rsid w:val="00D83142"/>
    <w:rsid w:val="00D831BA"/>
    <w:rsid w:val="00D8642F"/>
    <w:rsid w:val="00D86A17"/>
    <w:rsid w:val="00D86C5D"/>
    <w:rsid w:val="00D86F05"/>
    <w:rsid w:val="00D871C3"/>
    <w:rsid w:val="00D8774E"/>
    <w:rsid w:val="00D900C2"/>
    <w:rsid w:val="00D91945"/>
    <w:rsid w:val="00D9246B"/>
    <w:rsid w:val="00D92C24"/>
    <w:rsid w:val="00D92FE9"/>
    <w:rsid w:val="00D93830"/>
    <w:rsid w:val="00D93952"/>
    <w:rsid w:val="00D95199"/>
    <w:rsid w:val="00D955EE"/>
    <w:rsid w:val="00D96DD1"/>
    <w:rsid w:val="00D9791B"/>
    <w:rsid w:val="00D97A8C"/>
    <w:rsid w:val="00DA0857"/>
    <w:rsid w:val="00DA10BB"/>
    <w:rsid w:val="00DA11CE"/>
    <w:rsid w:val="00DA1320"/>
    <w:rsid w:val="00DA1CB5"/>
    <w:rsid w:val="00DA1D25"/>
    <w:rsid w:val="00DA42D1"/>
    <w:rsid w:val="00DA5C01"/>
    <w:rsid w:val="00DA66F5"/>
    <w:rsid w:val="00DA6929"/>
    <w:rsid w:val="00DA71D0"/>
    <w:rsid w:val="00DA77AC"/>
    <w:rsid w:val="00DB00D2"/>
    <w:rsid w:val="00DB0459"/>
    <w:rsid w:val="00DB0739"/>
    <w:rsid w:val="00DB0F80"/>
    <w:rsid w:val="00DB21A7"/>
    <w:rsid w:val="00DB301E"/>
    <w:rsid w:val="00DB3805"/>
    <w:rsid w:val="00DB3DC8"/>
    <w:rsid w:val="00DB4866"/>
    <w:rsid w:val="00DB4B00"/>
    <w:rsid w:val="00DB6703"/>
    <w:rsid w:val="00DB6B27"/>
    <w:rsid w:val="00DB6E7D"/>
    <w:rsid w:val="00DB6F19"/>
    <w:rsid w:val="00DB6F88"/>
    <w:rsid w:val="00DB70FF"/>
    <w:rsid w:val="00DB71EA"/>
    <w:rsid w:val="00DB7BBA"/>
    <w:rsid w:val="00DC12CD"/>
    <w:rsid w:val="00DC1F2D"/>
    <w:rsid w:val="00DC23E6"/>
    <w:rsid w:val="00DC2473"/>
    <w:rsid w:val="00DC3905"/>
    <w:rsid w:val="00DC4611"/>
    <w:rsid w:val="00DC46E3"/>
    <w:rsid w:val="00DC4EC6"/>
    <w:rsid w:val="00DC5090"/>
    <w:rsid w:val="00DC551B"/>
    <w:rsid w:val="00DC5E98"/>
    <w:rsid w:val="00DC5F94"/>
    <w:rsid w:val="00DC62BF"/>
    <w:rsid w:val="00DC6AB8"/>
    <w:rsid w:val="00DC6B3F"/>
    <w:rsid w:val="00DC74DD"/>
    <w:rsid w:val="00DD0251"/>
    <w:rsid w:val="00DD0399"/>
    <w:rsid w:val="00DD074F"/>
    <w:rsid w:val="00DD0D00"/>
    <w:rsid w:val="00DD1624"/>
    <w:rsid w:val="00DD1ABA"/>
    <w:rsid w:val="00DD220B"/>
    <w:rsid w:val="00DD24E6"/>
    <w:rsid w:val="00DD33E9"/>
    <w:rsid w:val="00DD3400"/>
    <w:rsid w:val="00DD34A2"/>
    <w:rsid w:val="00DD44AC"/>
    <w:rsid w:val="00DD4DD6"/>
    <w:rsid w:val="00DD54FC"/>
    <w:rsid w:val="00DD5508"/>
    <w:rsid w:val="00DD5B79"/>
    <w:rsid w:val="00DD5F76"/>
    <w:rsid w:val="00DD6636"/>
    <w:rsid w:val="00DD697F"/>
    <w:rsid w:val="00DD7080"/>
    <w:rsid w:val="00DE024F"/>
    <w:rsid w:val="00DE02B4"/>
    <w:rsid w:val="00DE1EC6"/>
    <w:rsid w:val="00DE27F5"/>
    <w:rsid w:val="00DE31B4"/>
    <w:rsid w:val="00DE3465"/>
    <w:rsid w:val="00DE394D"/>
    <w:rsid w:val="00DE5322"/>
    <w:rsid w:val="00DE5798"/>
    <w:rsid w:val="00DE6451"/>
    <w:rsid w:val="00DE6E2F"/>
    <w:rsid w:val="00DE767C"/>
    <w:rsid w:val="00DE7983"/>
    <w:rsid w:val="00DF03A3"/>
    <w:rsid w:val="00DF15BE"/>
    <w:rsid w:val="00DF21E1"/>
    <w:rsid w:val="00DF244B"/>
    <w:rsid w:val="00DF2D87"/>
    <w:rsid w:val="00DF33D5"/>
    <w:rsid w:val="00DF3473"/>
    <w:rsid w:val="00DF49A0"/>
    <w:rsid w:val="00DF4BF9"/>
    <w:rsid w:val="00DF5B38"/>
    <w:rsid w:val="00DF5D5E"/>
    <w:rsid w:val="00DF6D51"/>
    <w:rsid w:val="00DF73B4"/>
    <w:rsid w:val="00E00469"/>
    <w:rsid w:val="00E0230B"/>
    <w:rsid w:val="00E0288B"/>
    <w:rsid w:val="00E04400"/>
    <w:rsid w:val="00E04ED9"/>
    <w:rsid w:val="00E053DC"/>
    <w:rsid w:val="00E05C7C"/>
    <w:rsid w:val="00E062B6"/>
    <w:rsid w:val="00E0642D"/>
    <w:rsid w:val="00E06434"/>
    <w:rsid w:val="00E066D4"/>
    <w:rsid w:val="00E06B9A"/>
    <w:rsid w:val="00E06CE3"/>
    <w:rsid w:val="00E10ABC"/>
    <w:rsid w:val="00E10D5A"/>
    <w:rsid w:val="00E10FD0"/>
    <w:rsid w:val="00E11604"/>
    <w:rsid w:val="00E11B11"/>
    <w:rsid w:val="00E12004"/>
    <w:rsid w:val="00E12346"/>
    <w:rsid w:val="00E135E1"/>
    <w:rsid w:val="00E15813"/>
    <w:rsid w:val="00E15822"/>
    <w:rsid w:val="00E15A1D"/>
    <w:rsid w:val="00E16F69"/>
    <w:rsid w:val="00E16FAF"/>
    <w:rsid w:val="00E17A34"/>
    <w:rsid w:val="00E17C23"/>
    <w:rsid w:val="00E17D26"/>
    <w:rsid w:val="00E20373"/>
    <w:rsid w:val="00E204A4"/>
    <w:rsid w:val="00E207C1"/>
    <w:rsid w:val="00E2084E"/>
    <w:rsid w:val="00E20A9E"/>
    <w:rsid w:val="00E2225B"/>
    <w:rsid w:val="00E22C03"/>
    <w:rsid w:val="00E24D12"/>
    <w:rsid w:val="00E25BB9"/>
    <w:rsid w:val="00E26422"/>
    <w:rsid w:val="00E26828"/>
    <w:rsid w:val="00E26E62"/>
    <w:rsid w:val="00E32C6A"/>
    <w:rsid w:val="00E33E2C"/>
    <w:rsid w:val="00E34ABC"/>
    <w:rsid w:val="00E34D3E"/>
    <w:rsid w:val="00E351D3"/>
    <w:rsid w:val="00E35A0F"/>
    <w:rsid w:val="00E36368"/>
    <w:rsid w:val="00E3744A"/>
    <w:rsid w:val="00E42000"/>
    <w:rsid w:val="00E42917"/>
    <w:rsid w:val="00E42E91"/>
    <w:rsid w:val="00E43422"/>
    <w:rsid w:val="00E43BC6"/>
    <w:rsid w:val="00E43D8D"/>
    <w:rsid w:val="00E44CA1"/>
    <w:rsid w:val="00E4707C"/>
    <w:rsid w:val="00E470D2"/>
    <w:rsid w:val="00E47E5F"/>
    <w:rsid w:val="00E47F72"/>
    <w:rsid w:val="00E51220"/>
    <w:rsid w:val="00E5125E"/>
    <w:rsid w:val="00E513C8"/>
    <w:rsid w:val="00E51633"/>
    <w:rsid w:val="00E51742"/>
    <w:rsid w:val="00E518D1"/>
    <w:rsid w:val="00E52351"/>
    <w:rsid w:val="00E52401"/>
    <w:rsid w:val="00E5248B"/>
    <w:rsid w:val="00E5255A"/>
    <w:rsid w:val="00E52745"/>
    <w:rsid w:val="00E52EC6"/>
    <w:rsid w:val="00E53F55"/>
    <w:rsid w:val="00E5515C"/>
    <w:rsid w:val="00E55414"/>
    <w:rsid w:val="00E5563F"/>
    <w:rsid w:val="00E5659D"/>
    <w:rsid w:val="00E565BD"/>
    <w:rsid w:val="00E574BD"/>
    <w:rsid w:val="00E57A11"/>
    <w:rsid w:val="00E60129"/>
    <w:rsid w:val="00E604CE"/>
    <w:rsid w:val="00E614ED"/>
    <w:rsid w:val="00E62316"/>
    <w:rsid w:val="00E62CF2"/>
    <w:rsid w:val="00E63157"/>
    <w:rsid w:val="00E6336B"/>
    <w:rsid w:val="00E633CB"/>
    <w:rsid w:val="00E641E1"/>
    <w:rsid w:val="00E64E06"/>
    <w:rsid w:val="00E650CB"/>
    <w:rsid w:val="00E650CF"/>
    <w:rsid w:val="00E65ACF"/>
    <w:rsid w:val="00E7080C"/>
    <w:rsid w:val="00E70AF0"/>
    <w:rsid w:val="00E720C8"/>
    <w:rsid w:val="00E72428"/>
    <w:rsid w:val="00E725E5"/>
    <w:rsid w:val="00E72A1B"/>
    <w:rsid w:val="00E74449"/>
    <w:rsid w:val="00E745F8"/>
    <w:rsid w:val="00E749D8"/>
    <w:rsid w:val="00E74A53"/>
    <w:rsid w:val="00E74E4A"/>
    <w:rsid w:val="00E751B0"/>
    <w:rsid w:val="00E76BE0"/>
    <w:rsid w:val="00E80050"/>
    <w:rsid w:val="00E816E2"/>
    <w:rsid w:val="00E842AA"/>
    <w:rsid w:val="00E84513"/>
    <w:rsid w:val="00E84FF0"/>
    <w:rsid w:val="00E853F0"/>
    <w:rsid w:val="00E86493"/>
    <w:rsid w:val="00E865C8"/>
    <w:rsid w:val="00E871D1"/>
    <w:rsid w:val="00E87232"/>
    <w:rsid w:val="00E87279"/>
    <w:rsid w:val="00E87B99"/>
    <w:rsid w:val="00E902C6"/>
    <w:rsid w:val="00E905B7"/>
    <w:rsid w:val="00E90810"/>
    <w:rsid w:val="00E90A02"/>
    <w:rsid w:val="00E90C39"/>
    <w:rsid w:val="00E90D40"/>
    <w:rsid w:val="00E91727"/>
    <w:rsid w:val="00E9176A"/>
    <w:rsid w:val="00E917C2"/>
    <w:rsid w:val="00E91A41"/>
    <w:rsid w:val="00E91EBB"/>
    <w:rsid w:val="00E92F62"/>
    <w:rsid w:val="00E93CAD"/>
    <w:rsid w:val="00E94136"/>
    <w:rsid w:val="00E9430A"/>
    <w:rsid w:val="00E94ECD"/>
    <w:rsid w:val="00E9636C"/>
    <w:rsid w:val="00E9681A"/>
    <w:rsid w:val="00EA002A"/>
    <w:rsid w:val="00EA0197"/>
    <w:rsid w:val="00EA068B"/>
    <w:rsid w:val="00EA2505"/>
    <w:rsid w:val="00EA2739"/>
    <w:rsid w:val="00EA274F"/>
    <w:rsid w:val="00EA27A2"/>
    <w:rsid w:val="00EA3C7F"/>
    <w:rsid w:val="00EA4240"/>
    <w:rsid w:val="00EA46E2"/>
    <w:rsid w:val="00EA4A3C"/>
    <w:rsid w:val="00EA60B4"/>
    <w:rsid w:val="00EA6B92"/>
    <w:rsid w:val="00EA7738"/>
    <w:rsid w:val="00EA79AE"/>
    <w:rsid w:val="00EA7A1B"/>
    <w:rsid w:val="00EB0766"/>
    <w:rsid w:val="00EB0FCA"/>
    <w:rsid w:val="00EB1075"/>
    <w:rsid w:val="00EB23A3"/>
    <w:rsid w:val="00EB34AE"/>
    <w:rsid w:val="00EB3E33"/>
    <w:rsid w:val="00EB4024"/>
    <w:rsid w:val="00EB488E"/>
    <w:rsid w:val="00EB5180"/>
    <w:rsid w:val="00EB5FF8"/>
    <w:rsid w:val="00EB60CD"/>
    <w:rsid w:val="00EB785E"/>
    <w:rsid w:val="00EC0CA7"/>
    <w:rsid w:val="00EC20B7"/>
    <w:rsid w:val="00EC2B90"/>
    <w:rsid w:val="00EC306F"/>
    <w:rsid w:val="00EC3A00"/>
    <w:rsid w:val="00EC4252"/>
    <w:rsid w:val="00EC5052"/>
    <w:rsid w:val="00EC5495"/>
    <w:rsid w:val="00EC59BC"/>
    <w:rsid w:val="00EC622F"/>
    <w:rsid w:val="00EC6F26"/>
    <w:rsid w:val="00EC71A6"/>
    <w:rsid w:val="00ED01AA"/>
    <w:rsid w:val="00ED05E1"/>
    <w:rsid w:val="00ED0B37"/>
    <w:rsid w:val="00ED0DFE"/>
    <w:rsid w:val="00ED0E05"/>
    <w:rsid w:val="00ED2E10"/>
    <w:rsid w:val="00ED3220"/>
    <w:rsid w:val="00ED3C65"/>
    <w:rsid w:val="00ED4E40"/>
    <w:rsid w:val="00ED505C"/>
    <w:rsid w:val="00ED6B32"/>
    <w:rsid w:val="00ED74E4"/>
    <w:rsid w:val="00ED7735"/>
    <w:rsid w:val="00ED77CB"/>
    <w:rsid w:val="00EE05FC"/>
    <w:rsid w:val="00EE0DEE"/>
    <w:rsid w:val="00EE1757"/>
    <w:rsid w:val="00EE27B9"/>
    <w:rsid w:val="00EE32B1"/>
    <w:rsid w:val="00EE3B7E"/>
    <w:rsid w:val="00EE3D88"/>
    <w:rsid w:val="00EE4027"/>
    <w:rsid w:val="00EE40B6"/>
    <w:rsid w:val="00EE48FB"/>
    <w:rsid w:val="00EE4E18"/>
    <w:rsid w:val="00EE4E1C"/>
    <w:rsid w:val="00EE5955"/>
    <w:rsid w:val="00EE6C6C"/>
    <w:rsid w:val="00EE6CE0"/>
    <w:rsid w:val="00EE75D3"/>
    <w:rsid w:val="00EE7B11"/>
    <w:rsid w:val="00EE7DD9"/>
    <w:rsid w:val="00EF0A74"/>
    <w:rsid w:val="00EF1127"/>
    <w:rsid w:val="00EF14C4"/>
    <w:rsid w:val="00EF15A1"/>
    <w:rsid w:val="00EF1CC5"/>
    <w:rsid w:val="00EF22EE"/>
    <w:rsid w:val="00EF2745"/>
    <w:rsid w:val="00EF2810"/>
    <w:rsid w:val="00EF3004"/>
    <w:rsid w:val="00EF4504"/>
    <w:rsid w:val="00EF469C"/>
    <w:rsid w:val="00EF488D"/>
    <w:rsid w:val="00EF4BEE"/>
    <w:rsid w:val="00EF4D41"/>
    <w:rsid w:val="00EF61DC"/>
    <w:rsid w:val="00EF6225"/>
    <w:rsid w:val="00EF6991"/>
    <w:rsid w:val="00EF6DFA"/>
    <w:rsid w:val="00F00596"/>
    <w:rsid w:val="00F007D8"/>
    <w:rsid w:val="00F00CD8"/>
    <w:rsid w:val="00F0163F"/>
    <w:rsid w:val="00F016E6"/>
    <w:rsid w:val="00F02CDC"/>
    <w:rsid w:val="00F032DF"/>
    <w:rsid w:val="00F033CF"/>
    <w:rsid w:val="00F03EA6"/>
    <w:rsid w:val="00F04C5F"/>
    <w:rsid w:val="00F056AB"/>
    <w:rsid w:val="00F05D1D"/>
    <w:rsid w:val="00F05DE9"/>
    <w:rsid w:val="00F073F4"/>
    <w:rsid w:val="00F1060D"/>
    <w:rsid w:val="00F10B3C"/>
    <w:rsid w:val="00F10DBE"/>
    <w:rsid w:val="00F1322E"/>
    <w:rsid w:val="00F156CC"/>
    <w:rsid w:val="00F16860"/>
    <w:rsid w:val="00F176C1"/>
    <w:rsid w:val="00F178DC"/>
    <w:rsid w:val="00F222E9"/>
    <w:rsid w:val="00F22C59"/>
    <w:rsid w:val="00F239B9"/>
    <w:rsid w:val="00F23FEC"/>
    <w:rsid w:val="00F243E3"/>
    <w:rsid w:val="00F2548C"/>
    <w:rsid w:val="00F25588"/>
    <w:rsid w:val="00F25DC9"/>
    <w:rsid w:val="00F26ADA"/>
    <w:rsid w:val="00F27087"/>
    <w:rsid w:val="00F279D8"/>
    <w:rsid w:val="00F3162C"/>
    <w:rsid w:val="00F31B0C"/>
    <w:rsid w:val="00F31C58"/>
    <w:rsid w:val="00F31ECB"/>
    <w:rsid w:val="00F32199"/>
    <w:rsid w:val="00F321FB"/>
    <w:rsid w:val="00F3253F"/>
    <w:rsid w:val="00F32BF4"/>
    <w:rsid w:val="00F32EAF"/>
    <w:rsid w:val="00F334C2"/>
    <w:rsid w:val="00F33AB6"/>
    <w:rsid w:val="00F34490"/>
    <w:rsid w:val="00F34800"/>
    <w:rsid w:val="00F34860"/>
    <w:rsid w:val="00F34914"/>
    <w:rsid w:val="00F35042"/>
    <w:rsid w:val="00F3537D"/>
    <w:rsid w:val="00F3618C"/>
    <w:rsid w:val="00F36E9D"/>
    <w:rsid w:val="00F37A3E"/>
    <w:rsid w:val="00F37ACF"/>
    <w:rsid w:val="00F37CC3"/>
    <w:rsid w:val="00F406AE"/>
    <w:rsid w:val="00F40E9D"/>
    <w:rsid w:val="00F4109F"/>
    <w:rsid w:val="00F411A6"/>
    <w:rsid w:val="00F41524"/>
    <w:rsid w:val="00F427E4"/>
    <w:rsid w:val="00F42CEA"/>
    <w:rsid w:val="00F430E6"/>
    <w:rsid w:val="00F4463F"/>
    <w:rsid w:val="00F45A2B"/>
    <w:rsid w:val="00F46657"/>
    <w:rsid w:val="00F470FA"/>
    <w:rsid w:val="00F471E5"/>
    <w:rsid w:val="00F50072"/>
    <w:rsid w:val="00F5078B"/>
    <w:rsid w:val="00F514AE"/>
    <w:rsid w:val="00F5157B"/>
    <w:rsid w:val="00F52976"/>
    <w:rsid w:val="00F52EC4"/>
    <w:rsid w:val="00F53AFC"/>
    <w:rsid w:val="00F53FE3"/>
    <w:rsid w:val="00F55749"/>
    <w:rsid w:val="00F563FC"/>
    <w:rsid w:val="00F564F7"/>
    <w:rsid w:val="00F56D2E"/>
    <w:rsid w:val="00F56F3F"/>
    <w:rsid w:val="00F572EF"/>
    <w:rsid w:val="00F574CE"/>
    <w:rsid w:val="00F57624"/>
    <w:rsid w:val="00F57F70"/>
    <w:rsid w:val="00F61115"/>
    <w:rsid w:val="00F612F1"/>
    <w:rsid w:val="00F620F3"/>
    <w:rsid w:val="00F62E69"/>
    <w:rsid w:val="00F63F8E"/>
    <w:rsid w:val="00F64440"/>
    <w:rsid w:val="00F6456A"/>
    <w:rsid w:val="00F6464E"/>
    <w:rsid w:val="00F64674"/>
    <w:rsid w:val="00F64EF7"/>
    <w:rsid w:val="00F650E5"/>
    <w:rsid w:val="00F658AC"/>
    <w:rsid w:val="00F67006"/>
    <w:rsid w:val="00F67336"/>
    <w:rsid w:val="00F675F3"/>
    <w:rsid w:val="00F676DB"/>
    <w:rsid w:val="00F7018B"/>
    <w:rsid w:val="00F722A5"/>
    <w:rsid w:val="00F7277E"/>
    <w:rsid w:val="00F72D1A"/>
    <w:rsid w:val="00F73378"/>
    <w:rsid w:val="00F741EB"/>
    <w:rsid w:val="00F743B5"/>
    <w:rsid w:val="00F7460D"/>
    <w:rsid w:val="00F75DC6"/>
    <w:rsid w:val="00F75E2A"/>
    <w:rsid w:val="00F763DE"/>
    <w:rsid w:val="00F775DC"/>
    <w:rsid w:val="00F8072F"/>
    <w:rsid w:val="00F807F0"/>
    <w:rsid w:val="00F80AEB"/>
    <w:rsid w:val="00F817B6"/>
    <w:rsid w:val="00F838A7"/>
    <w:rsid w:val="00F83C12"/>
    <w:rsid w:val="00F84827"/>
    <w:rsid w:val="00F85A20"/>
    <w:rsid w:val="00F86025"/>
    <w:rsid w:val="00F86952"/>
    <w:rsid w:val="00F8732F"/>
    <w:rsid w:val="00F87345"/>
    <w:rsid w:val="00F87F94"/>
    <w:rsid w:val="00F905B8"/>
    <w:rsid w:val="00F90D33"/>
    <w:rsid w:val="00F91EB4"/>
    <w:rsid w:val="00F920F2"/>
    <w:rsid w:val="00F92D37"/>
    <w:rsid w:val="00F9355A"/>
    <w:rsid w:val="00F93828"/>
    <w:rsid w:val="00F93CA5"/>
    <w:rsid w:val="00F94283"/>
    <w:rsid w:val="00F9583F"/>
    <w:rsid w:val="00F959F0"/>
    <w:rsid w:val="00F95B15"/>
    <w:rsid w:val="00F963A3"/>
    <w:rsid w:val="00F965B0"/>
    <w:rsid w:val="00F9753E"/>
    <w:rsid w:val="00F97A29"/>
    <w:rsid w:val="00F97EB7"/>
    <w:rsid w:val="00FA089A"/>
    <w:rsid w:val="00FA2606"/>
    <w:rsid w:val="00FA4E40"/>
    <w:rsid w:val="00FA54EE"/>
    <w:rsid w:val="00FA5830"/>
    <w:rsid w:val="00FA5FCF"/>
    <w:rsid w:val="00FA7195"/>
    <w:rsid w:val="00FA7BB2"/>
    <w:rsid w:val="00FB02C4"/>
    <w:rsid w:val="00FB0893"/>
    <w:rsid w:val="00FB0DA2"/>
    <w:rsid w:val="00FB1518"/>
    <w:rsid w:val="00FB195C"/>
    <w:rsid w:val="00FB1C12"/>
    <w:rsid w:val="00FB3552"/>
    <w:rsid w:val="00FB3F1C"/>
    <w:rsid w:val="00FB4167"/>
    <w:rsid w:val="00FB41D2"/>
    <w:rsid w:val="00FB4231"/>
    <w:rsid w:val="00FB45E8"/>
    <w:rsid w:val="00FB4835"/>
    <w:rsid w:val="00FB4FE3"/>
    <w:rsid w:val="00FB5003"/>
    <w:rsid w:val="00FB54D9"/>
    <w:rsid w:val="00FB606A"/>
    <w:rsid w:val="00FC0595"/>
    <w:rsid w:val="00FC1ABB"/>
    <w:rsid w:val="00FC2DBB"/>
    <w:rsid w:val="00FC3436"/>
    <w:rsid w:val="00FC394E"/>
    <w:rsid w:val="00FC4615"/>
    <w:rsid w:val="00FC4F0C"/>
    <w:rsid w:val="00FC500B"/>
    <w:rsid w:val="00FC50EC"/>
    <w:rsid w:val="00FC597B"/>
    <w:rsid w:val="00FC61B9"/>
    <w:rsid w:val="00FC6448"/>
    <w:rsid w:val="00FC7ACF"/>
    <w:rsid w:val="00FC7CFC"/>
    <w:rsid w:val="00FC7D18"/>
    <w:rsid w:val="00FD0C0A"/>
    <w:rsid w:val="00FD0DA4"/>
    <w:rsid w:val="00FD0FEF"/>
    <w:rsid w:val="00FD1D33"/>
    <w:rsid w:val="00FD2476"/>
    <w:rsid w:val="00FD3BEB"/>
    <w:rsid w:val="00FD4585"/>
    <w:rsid w:val="00FD4941"/>
    <w:rsid w:val="00FD56D1"/>
    <w:rsid w:val="00FD6C77"/>
    <w:rsid w:val="00FD6F93"/>
    <w:rsid w:val="00FD7875"/>
    <w:rsid w:val="00FE0678"/>
    <w:rsid w:val="00FE1443"/>
    <w:rsid w:val="00FE1E43"/>
    <w:rsid w:val="00FE225A"/>
    <w:rsid w:val="00FE4720"/>
    <w:rsid w:val="00FE4994"/>
    <w:rsid w:val="00FE53E8"/>
    <w:rsid w:val="00FE6D7B"/>
    <w:rsid w:val="00FE774F"/>
    <w:rsid w:val="00FF0F3A"/>
    <w:rsid w:val="00FF0FE3"/>
    <w:rsid w:val="00FF11EE"/>
    <w:rsid w:val="00FF1730"/>
    <w:rsid w:val="00FF192E"/>
    <w:rsid w:val="00FF1F1D"/>
    <w:rsid w:val="00FF2D85"/>
    <w:rsid w:val="00FF3167"/>
    <w:rsid w:val="00FF5141"/>
    <w:rsid w:val="00FF541D"/>
    <w:rsid w:val="00FF596F"/>
    <w:rsid w:val="00FF609B"/>
    <w:rsid w:val="00FF66EF"/>
    <w:rsid w:val="00FF683A"/>
    <w:rsid w:val="00FF6CB3"/>
    <w:rsid w:val="00FF6EA1"/>
    <w:rsid w:val="0106E41D"/>
    <w:rsid w:val="014E7423"/>
    <w:rsid w:val="01836631"/>
    <w:rsid w:val="01E15F23"/>
    <w:rsid w:val="01EC4C22"/>
    <w:rsid w:val="0201AD3E"/>
    <w:rsid w:val="02C3E2DC"/>
    <w:rsid w:val="02C97810"/>
    <w:rsid w:val="034B469C"/>
    <w:rsid w:val="03749A9D"/>
    <w:rsid w:val="038FE897"/>
    <w:rsid w:val="03B4D1A6"/>
    <w:rsid w:val="0462D144"/>
    <w:rsid w:val="04FA5A72"/>
    <w:rsid w:val="050A69A0"/>
    <w:rsid w:val="051794C1"/>
    <w:rsid w:val="05B377F1"/>
    <w:rsid w:val="05F07F54"/>
    <w:rsid w:val="06270F5C"/>
    <w:rsid w:val="06FD0557"/>
    <w:rsid w:val="0729ADFE"/>
    <w:rsid w:val="072BF403"/>
    <w:rsid w:val="0765C0CF"/>
    <w:rsid w:val="082769C1"/>
    <w:rsid w:val="095D7FDB"/>
    <w:rsid w:val="097EDF22"/>
    <w:rsid w:val="09BA92D0"/>
    <w:rsid w:val="09CFC8D1"/>
    <w:rsid w:val="09F77F33"/>
    <w:rsid w:val="09FD870B"/>
    <w:rsid w:val="0A92547C"/>
    <w:rsid w:val="0B035BB8"/>
    <w:rsid w:val="0B3B0792"/>
    <w:rsid w:val="0B4BA272"/>
    <w:rsid w:val="0B67F0A4"/>
    <w:rsid w:val="0BE6116C"/>
    <w:rsid w:val="0C04E064"/>
    <w:rsid w:val="0C2C4605"/>
    <w:rsid w:val="0C74F3F0"/>
    <w:rsid w:val="0D69F9D5"/>
    <w:rsid w:val="0F526B6E"/>
    <w:rsid w:val="0F7B576E"/>
    <w:rsid w:val="0F8C6FD2"/>
    <w:rsid w:val="10F5600B"/>
    <w:rsid w:val="115C583F"/>
    <w:rsid w:val="11B48B89"/>
    <w:rsid w:val="11DB43F7"/>
    <w:rsid w:val="12853857"/>
    <w:rsid w:val="12B687DF"/>
    <w:rsid w:val="12BE1FD2"/>
    <w:rsid w:val="1382984D"/>
    <w:rsid w:val="1388E46F"/>
    <w:rsid w:val="13FBB03A"/>
    <w:rsid w:val="1404F99C"/>
    <w:rsid w:val="140F7B23"/>
    <w:rsid w:val="1433F126"/>
    <w:rsid w:val="1496F3B5"/>
    <w:rsid w:val="14EDD52C"/>
    <w:rsid w:val="15AAE7B5"/>
    <w:rsid w:val="160CD3CC"/>
    <w:rsid w:val="16506245"/>
    <w:rsid w:val="1684378C"/>
    <w:rsid w:val="169A6044"/>
    <w:rsid w:val="16EBCF1F"/>
    <w:rsid w:val="176B072F"/>
    <w:rsid w:val="178F30C7"/>
    <w:rsid w:val="181E1855"/>
    <w:rsid w:val="18AF6B96"/>
    <w:rsid w:val="18F38560"/>
    <w:rsid w:val="1906F914"/>
    <w:rsid w:val="192F8135"/>
    <w:rsid w:val="19A654BA"/>
    <w:rsid w:val="19ABD3CB"/>
    <w:rsid w:val="19CE8E3F"/>
    <w:rsid w:val="19F97D99"/>
    <w:rsid w:val="19FCBB14"/>
    <w:rsid w:val="1A0DABBC"/>
    <w:rsid w:val="1A370221"/>
    <w:rsid w:val="1A7ABD8C"/>
    <w:rsid w:val="1B18FC16"/>
    <w:rsid w:val="1C28C69E"/>
    <w:rsid w:val="1C679652"/>
    <w:rsid w:val="1D20767F"/>
    <w:rsid w:val="1D4F0985"/>
    <w:rsid w:val="1D671785"/>
    <w:rsid w:val="1F13CB9F"/>
    <w:rsid w:val="1F98BF7E"/>
    <w:rsid w:val="1FB52BBA"/>
    <w:rsid w:val="1FE651BB"/>
    <w:rsid w:val="20AE20AD"/>
    <w:rsid w:val="20C326F5"/>
    <w:rsid w:val="2135C7CE"/>
    <w:rsid w:val="21A2DC3F"/>
    <w:rsid w:val="231ABDDC"/>
    <w:rsid w:val="23257942"/>
    <w:rsid w:val="232658E9"/>
    <w:rsid w:val="235E7982"/>
    <w:rsid w:val="237C37AD"/>
    <w:rsid w:val="2389CAD6"/>
    <w:rsid w:val="23BCB81F"/>
    <w:rsid w:val="2519D5A0"/>
    <w:rsid w:val="256F27ED"/>
    <w:rsid w:val="25DCB0BC"/>
    <w:rsid w:val="261AB59C"/>
    <w:rsid w:val="266DF81D"/>
    <w:rsid w:val="26B98817"/>
    <w:rsid w:val="26B9D06D"/>
    <w:rsid w:val="27357F40"/>
    <w:rsid w:val="27ADE365"/>
    <w:rsid w:val="27B0FD19"/>
    <w:rsid w:val="27B317CF"/>
    <w:rsid w:val="28698CA0"/>
    <w:rsid w:val="2895ED5C"/>
    <w:rsid w:val="28B11B60"/>
    <w:rsid w:val="292523CD"/>
    <w:rsid w:val="29FB1146"/>
    <w:rsid w:val="2A69FE1E"/>
    <w:rsid w:val="2AA9BA15"/>
    <w:rsid w:val="2AE4B42C"/>
    <w:rsid w:val="2AFAED6F"/>
    <w:rsid w:val="2B1C9E99"/>
    <w:rsid w:val="2B2F7293"/>
    <w:rsid w:val="2BBA9F26"/>
    <w:rsid w:val="2BECE72E"/>
    <w:rsid w:val="2C05D24B"/>
    <w:rsid w:val="2CB1244F"/>
    <w:rsid w:val="2CD1EDA8"/>
    <w:rsid w:val="2CE16714"/>
    <w:rsid w:val="2CEA1D44"/>
    <w:rsid w:val="2CFB5F46"/>
    <w:rsid w:val="2CFF37B0"/>
    <w:rsid w:val="2D468D84"/>
    <w:rsid w:val="2D85C352"/>
    <w:rsid w:val="2DCBBD4E"/>
    <w:rsid w:val="2DD8B98A"/>
    <w:rsid w:val="2E4377C4"/>
    <w:rsid w:val="2E5BAD3C"/>
    <w:rsid w:val="2E7D9952"/>
    <w:rsid w:val="2EA521E3"/>
    <w:rsid w:val="2F2AAF24"/>
    <w:rsid w:val="2F3832A8"/>
    <w:rsid w:val="2F84F0C3"/>
    <w:rsid w:val="2FBC7B78"/>
    <w:rsid w:val="3040CBCE"/>
    <w:rsid w:val="30C56C25"/>
    <w:rsid w:val="30CC94EC"/>
    <w:rsid w:val="30DC5F4B"/>
    <w:rsid w:val="31150889"/>
    <w:rsid w:val="31177927"/>
    <w:rsid w:val="314D7B0C"/>
    <w:rsid w:val="323DDA5C"/>
    <w:rsid w:val="326E7A71"/>
    <w:rsid w:val="33450379"/>
    <w:rsid w:val="33608D9A"/>
    <w:rsid w:val="336308B2"/>
    <w:rsid w:val="33D31C49"/>
    <w:rsid w:val="33E60C04"/>
    <w:rsid w:val="342083DF"/>
    <w:rsid w:val="348275F9"/>
    <w:rsid w:val="34971022"/>
    <w:rsid w:val="34B3E958"/>
    <w:rsid w:val="34FB4422"/>
    <w:rsid w:val="3519234F"/>
    <w:rsid w:val="35435C45"/>
    <w:rsid w:val="3563557A"/>
    <w:rsid w:val="35701CEA"/>
    <w:rsid w:val="3582A4C7"/>
    <w:rsid w:val="3593A57D"/>
    <w:rsid w:val="35EF3DCD"/>
    <w:rsid w:val="368B9674"/>
    <w:rsid w:val="36B35AC8"/>
    <w:rsid w:val="374ABF03"/>
    <w:rsid w:val="378070E6"/>
    <w:rsid w:val="3789B9E7"/>
    <w:rsid w:val="37C3C9C3"/>
    <w:rsid w:val="38390F86"/>
    <w:rsid w:val="384426CD"/>
    <w:rsid w:val="388CD1B0"/>
    <w:rsid w:val="3900EE49"/>
    <w:rsid w:val="39C4D9B4"/>
    <w:rsid w:val="3A4E10DA"/>
    <w:rsid w:val="3A753358"/>
    <w:rsid w:val="3A84424D"/>
    <w:rsid w:val="3AD90A86"/>
    <w:rsid w:val="3B91F697"/>
    <w:rsid w:val="3C5ACB03"/>
    <w:rsid w:val="3D37E5EB"/>
    <w:rsid w:val="3D46A806"/>
    <w:rsid w:val="3D4CD46F"/>
    <w:rsid w:val="3D7EBFE3"/>
    <w:rsid w:val="3DBB2DC8"/>
    <w:rsid w:val="3DD32C30"/>
    <w:rsid w:val="3DDDDE1E"/>
    <w:rsid w:val="3E0ACD49"/>
    <w:rsid w:val="3E54F8CA"/>
    <w:rsid w:val="3E5A890E"/>
    <w:rsid w:val="3F085169"/>
    <w:rsid w:val="3F1B7E4B"/>
    <w:rsid w:val="3F2C5FC1"/>
    <w:rsid w:val="4040353A"/>
    <w:rsid w:val="40B4C76E"/>
    <w:rsid w:val="40E79264"/>
    <w:rsid w:val="415BCFAA"/>
    <w:rsid w:val="41CCFA77"/>
    <w:rsid w:val="42487943"/>
    <w:rsid w:val="425A8821"/>
    <w:rsid w:val="432C1EA1"/>
    <w:rsid w:val="433E74EE"/>
    <w:rsid w:val="43541035"/>
    <w:rsid w:val="4430A4E9"/>
    <w:rsid w:val="444B6C2C"/>
    <w:rsid w:val="44664515"/>
    <w:rsid w:val="44F70F08"/>
    <w:rsid w:val="451410E9"/>
    <w:rsid w:val="451729E0"/>
    <w:rsid w:val="4534DB16"/>
    <w:rsid w:val="45AD9294"/>
    <w:rsid w:val="4654C61B"/>
    <w:rsid w:val="467DAD33"/>
    <w:rsid w:val="468F272C"/>
    <w:rsid w:val="469DBD27"/>
    <w:rsid w:val="46CB3A89"/>
    <w:rsid w:val="46DE2584"/>
    <w:rsid w:val="46EE6C61"/>
    <w:rsid w:val="4710D916"/>
    <w:rsid w:val="473695D9"/>
    <w:rsid w:val="492FCA58"/>
    <w:rsid w:val="4963EDF7"/>
    <w:rsid w:val="49643BB5"/>
    <w:rsid w:val="4975DE7F"/>
    <w:rsid w:val="498707A1"/>
    <w:rsid w:val="4A1EC170"/>
    <w:rsid w:val="4ACC37D9"/>
    <w:rsid w:val="4B02CD19"/>
    <w:rsid w:val="4C59791E"/>
    <w:rsid w:val="4C63E3FD"/>
    <w:rsid w:val="4C994388"/>
    <w:rsid w:val="4CC1F128"/>
    <w:rsid w:val="4D0EEC3F"/>
    <w:rsid w:val="4D20F76C"/>
    <w:rsid w:val="4DA8A13A"/>
    <w:rsid w:val="4DDE6741"/>
    <w:rsid w:val="4E2137E8"/>
    <w:rsid w:val="4E664FE6"/>
    <w:rsid w:val="4EBB6433"/>
    <w:rsid w:val="4EC2869F"/>
    <w:rsid w:val="4F12D8E4"/>
    <w:rsid w:val="4F4AF147"/>
    <w:rsid w:val="4F80747B"/>
    <w:rsid w:val="4F81DCAD"/>
    <w:rsid w:val="4FED1DDA"/>
    <w:rsid w:val="509190C7"/>
    <w:rsid w:val="50C8EA0B"/>
    <w:rsid w:val="5106CF43"/>
    <w:rsid w:val="51160244"/>
    <w:rsid w:val="519D4A02"/>
    <w:rsid w:val="51A20640"/>
    <w:rsid w:val="51E4E06D"/>
    <w:rsid w:val="51F85317"/>
    <w:rsid w:val="520E7124"/>
    <w:rsid w:val="521BFD63"/>
    <w:rsid w:val="52D90D5D"/>
    <w:rsid w:val="532E0C45"/>
    <w:rsid w:val="53645431"/>
    <w:rsid w:val="541EA985"/>
    <w:rsid w:val="54387344"/>
    <w:rsid w:val="5459A39E"/>
    <w:rsid w:val="5467D3B1"/>
    <w:rsid w:val="546D6D21"/>
    <w:rsid w:val="5472CB31"/>
    <w:rsid w:val="5486DD53"/>
    <w:rsid w:val="55C4190F"/>
    <w:rsid w:val="55F54706"/>
    <w:rsid w:val="563EEA2F"/>
    <w:rsid w:val="56602AB5"/>
    <w:rsid w:val="567A00DE"/>
    <w:rsid w:val="56F90723"/>
    <w:rsid w:val="58004E22"/>
    <w:rsid w:val="5825EA8C"/>
    <w:rsid w:val="584DA9E0"/>
    <w:rsid w:val="58725C45"/>
    <w:rsid w:val="58A25AD8"/>
    <w:rsid w:val="58A920E3"/>
    <w:rsid w:val="591F37A4"/>
    <w:rsid w:val="592FBB8F"/>
    <w:rsid w:val="59BAC1A0"/>
    <w:rsid w:val="59D1601E"/>
    <w:rsid w:val="5A104BAF"/>
    <w:rsid w:val="5A145812"/>
    <w:rsid w:val="5A5074D0"/>
    <w:rsid w:val="5A740D18"/>
    <w:rsid w:val="5A8EB1DE"/>
    <w:rsid w:val="5A9BF95E"/>
    <w:rsid w:val="5AC9CD32"/>
    <w:rsid w:val="5B0A123C"/>
    <w:rsid w:val="5B28EF96"/>
    <w:rsid w:val="5B512110"/>
    <w:rsid w:val="5B73AA39"/>
    <w:rsid w:val="5BD71AEB"/>
    <w:rsid w:val="5BF57114"/>
    <w:rsid w:val="5C0BC674"/>
    <w:rsid w:val="5C5F78A1"/>
    <w:rsid w:val="5D121A36"/>
    <w:rsid w:val="5E7CDAC2"/>
    <w:rsid w:val="5E95E31A"/>
    <w:rsid w:val="5E9D164C"/>
    <w:rsid w:val="5EFA2F2C"/>
    <w:rsid w:val="6018FABC"/>
    <w:rsid w:val="601D1E04"/>
    <w:rsid w:val="608B68E0"/>
    <w:rsid w:val="60B35B1D"/>
    <w:rsid w:val="60BC021F"/>
    <w:rsid w:val="60E882EF"/>
    <w:rsid w:val="614C447A"/>
    <w:rsid w:val="61C3B251"/>
    <w:rsid w:val="621DF447"/>
    <w:rsid w:val="6230C7BF"/>
    <w:rsid w:val="627C51D6"/>
    <w:rsid w:val="62F0EBEF"/>
    <w:rsid w:val="62FF23BE"/>
    <w:rsid w:val="632CF1C1"/>
    <w:rsid w:val="638DC1EF"/>
    <w:rsid w:val="639D04EB"/>
    <w:rsid w:val="63D79743"/>
    <w:rsid w:val="64341B6B"/>
    <w:rsid w:val="6437A6A0"/>
    <w:rsid w:val="6463ED07"/>
    <w:rsid w:val="6466820A"/>
    <w:rsid w:val="64DA91C5"/>
    <w:rsid w:val="64F82805"/>
    <w:rsid w:val="65036AC0"/>
    <w:rsid w:val="656924BF"/>
    <w:rsid w:val="6647A0B9"/>
    <w:rsid w:val="66871C24"/>
    <w:rsid w:val="66A678A4"/>
    <w:rsid w:val="67480B0A"/>
    <w:rsid w:val="676F9A31"/>
    <w:rsid w:val="67710224"/>
    <w:rsid w:val="6781CEF2"/>
    <w:rsid w:val="67DC2276"/>
    <w:rsid w:val="67EDA186"/>
    <w:rsid w:val="67F88A56"/>
    <w:rsid w:val="681C67E5"/>
    <w:rsid w:val="682AF970"/>
    <w:rsid w:val="69121741"/>
    <w:rsid w:val="69D8D584"/>
    <w:rsid w:val="6B732CEF"/>
    <w:rsid w:val="6B84F19F"/>
    <w:rsid w:val="6B878ADF"/>
    <w:rsid w:val="6BB892A2"/>
    <w:rsid w:val="6C4D6CCD"/>
    <w:rsid w:val="6C96E496"/>
    <w:rsid w:val="6CB9A80A"/>
    <w:rsid w:val="6CF637EF"/>
    <w:rsid w:val="6D64FD01"/>
    <w:rsid w:val="6DFE0230"/>
    <w:rsid w:val="6E044022"/>
    <w:rsid w:val="6E1A397E"/>
    <w:rsid w:val="6E2F2DF1"/>
    <w:rsid w:val="6E7B8D66"/>
    <w:rsid w:val="6E8BE1BD"/>
    <w:rsid w:val="6FA33445"/>
    <w:rsid w:val="6FEDA32A"/>
    <w:rsid w:val="704FBCD0"/>
    <w:rsid w:val="7165562E"/>
    <w:rsid w:val="718934F5"/>
    <w:rsid w:val="727F53E4"/>
    <w:rsid w:val="72BD9254"/>
    <w:rsid w:val="7355E654"/>
    <w:rsid w:val="736C112B"/>
    <w:rsid w:val="73C8E8E7"/>
    <w:rsid w:val="73EF2028"/>
    <w:rsid w:val="74C6945C"/>
    <w:rsid w:val="74F6783E"/>
    <w:rsid w:val="74FA8D47"/>
    <w:rsid w:val="76836948"/>
    <w:rsid w:val="769E1B3A"/>
    <w:rsid w:val="76A489E7"/>
    <w:rsid w:val="7743FDA2"/>
    <w:rsid w:val="780678A6"/>
    <w:rsid w:val="78AB07B5"/>
    <w:rsid w:val="7916AB1F"/>
    <w:rsid w:val="796A61C4"/>
    <w:rsid w:val="7981BC33"/>
    <w:rsid w:val="7988EE6F"/>
    <w:rsid w:val="79EFC65F"/>
    <w:rsid w:val="79F6B648"/>
    <w:rsid w:val="7A669FE1"/>
    <w:rsid w:val="7A9E567A"/>
    <w:rsid w:val="7B2D3E02"/>
    <w:rsid w:val="7B8C7B85"/>
    <w:rsid w:val="7B9CEFD9"/>
    <w:rsid w:val="7B9F5433"/>
    <w:rsid w:val="7BD7DDE7"/>
    <w:rsid w:val="7C838A63"/>
    <w:rsid w:val="7CDDE1F3"/>
    <w:rsid w:val="7CF2516E"/>
    <w:rsid w:val="7D1E1474"/>
    <w:rsid w:val="7D434532"/>
    <w:rsid w:val="7D8E11B3"/>
    <w:rsid w:val="7E20CAF0"/>
    <w:rsid w:val="7E5AB07D"/>
    <w:rsid w:val="7F131457"/>
    <w:rsid w:val="7F92E4C8"/>
    <w:rsid w:val="7FF6B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87DDF1F4-EEC0-4F29-AB00-34BD7A6C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14"/>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qFormat/>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customStyle="1" w:styleId="Default">
    <w:name w:val="Default"/>
    <w:rsid w:val="00A2550D"/>
    <w:pPr>
      <w:autoSpaceDE w:val="0"/>
      <w:autoSpaceDN w:val="0"/>
      <w:adjustRightInd w:val="0"/>
      <w:spacing w:after="0" w:line="240" w:lineRule="auto"/>
    </w:pPr>
    <w:rPr>
      <w:rFonts w:ascii="Verdana" w:hAnsi="Verdana" w:cs="Verdana"/>
      <w:color w:val="000000"/>
      <w:sz w:val="24"/>
      <w:szCs w:val="24"/>
    </w:rPr>
  </w:style>
  <w:style w:type="paragraph" w:customStyle="1" w:styleId="Pa2">
    <w:name w:val="Pa2"/>
    <w:basedOn w:val="Default"/>
    <w:next w:val="Default"/>
    <w:uiPriority w:val="99"/>
    <w:rsid w:val="00A2550D"/>
    <w:pPr>
      <w:spacing w:line="141" w:lineRule="atLeast"/>
    </w:pPr>
    <w:rPr>
      <w:rFonts w:ascii="AU Sans BETA Text Medium" w:hAnsi="AU Sans BETA Text Medium" w:cstheme="minorBidi"/>
      <w:color w:val="auto"/>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qFormat/>
    <w:locked/>
    <w:rsid w:val="00BA548A"/>
    <w:rPr>
      <w:rFonts w:ascii="Verdana" w:hAnsi="Verdana"/>
      <w:color w:val="000000" w:themeColor="text1"/>
      <w:sz w:val="20"/>
      <w:szCs w:val="20"/>
    </w:rPr>
  </w:style>
  <w:style w:type="paragraph" w:styleId="TOCHeading">
    <w:name w:val="TOC Heading"/>
    <w:basedOn w:val="Heading1"/>
    <w:next w:val="Normal"/>
    <w:uiPriority w:val="39"/>
    <w:unhideWhenUsed/>
    <w:qFormat/>
    <w:rsid w:val="00640E17"/>
    <w:pPr>
      <w:keepNext/>
      <w:keepLines/>
      <w:spacing w:before="240" w:after="0" w:line="259" w:lineRule="auto"/>
      <w:outlineLvl w:val="9"/>
    </w:pPr>
    <w:rPr>
      <w:rFonts w:asciiTheme="majorHAnsi" w:eastAsiaTheme="majorEastAsia" w:hAnsiTheme="majorHAnsi" w:cstheme="majorBidi"/>
      <w:bCs w:val="0"/>
      <w:color w:val="662C6E" w:themeColor="accent1" w:themeShade="BF"/>
      <w:sz w:val="32"/>
      <w:szCs w:val="32"/>
      <w:lang w:val="en-US" w:eastAsia="en-US"/>
    </w:rPr>
  </w:style>
  <w:style w:type="paragraph" w:styleId="TOC1">
    <w:name w:val="toc 1"/>
    <w:basedOn w:val="Normal"/>
    <w:next w:val="Normal"/>
    <w:autoRedefine/>
    <w:uiPriority w:val="39"/>
    <w:unhideWhenUsed/>
    <w:rsid w:val="00640E17"/>
    <w:pPr>
      <w:spacing w:after="100"/>
    </w:pPr>
  </w:style>
  <w:style w:type="paragraph" w:styleId="TOC3">
    <w:name w:val="toc 3"/>
    <w:basedOn w:val="Normal"/>
    <w:next w:val="Normal"/>
    <w:autoRedefine/>
    <w:uiPriority w:val="39"/>
    <w:unhideWhenUsed/>
    <w:rsid w:val="00640E17"/>
    <w:pPr>
      <w:spacing w:after="100"/>
      <w:ind w:left="400"/>
    </w:pPr>
  </w:style>
  <w:style w:type="paragraph" w:styleId="TOC2">
    <w:name w:val="toc 2"/>
    <w:basedOn w:val="Normal"/>
    <w:next w:val="Normal"/>
    <w:autoRedefine/>
    <w:uiPriority w:val="39"/>
    <w:unhideWhenUsed/>
    <w:rsid w:val="00640E17"/>
    <w:pPr>
      <w:spacing w:after="100"/>
      <w:ind w:left="200"/>
    </w:pPr>
  </w:style>
  <w:style w:type="character" w:styleId="Mention">
    <w:name w:val="Mention"/>
    <w:basedOn w:val="DefaultParagraphFont"/>
    <w:uiPriority w:val="99"/>
    <w:unhideWhenUsed/>
    <w:rsid w:val="009933B2"/>
    <w:rPr>
      <w:color w:val="2B579A"/>
      <w:shd w:val="clear" w:color="auto" w:fill="E1DFDD"/>
    </w:rPr>
  </w:style>
  <w:style w:type="character" w:styleId="UnresolvedMention">
    <w:name w:val="Unresolved Mention"/>
    <w:basedOn w:val="DefaultParagraphFont"/>
    <w:uiPriority w:val="99"/>
    <w:semiHidden/>
    <w:unhideWhenUsed/>
    <w:rsid w:val="00E04400"/>
    <w:rPr>
      <w:color w:val="605E5C"/>
      <w:shd w:val="clear" w:color="auto" w:fill="E1DFDD"/>
    </w:rPr>
  </w:style>
  <w:style w:type="paragraph" w:styleId="FootnoteText">
    <w:name w:val="footnote text"/>
    <w:basedOn w:val="Normal"/>
    <w:link w:val="FootnoteTextChar"/>
    <w:uiPriority w:val="99"/>
    <w:semiHidden/>
    <w:unhideWhenUsed/>
    <w:rsid w:val="00217DDB"/>
    <w:pPr>
      <w:spacing w:before="0" w:after="0" w:line="240" w:lineRule="auto"/>
    </w:pPr>
  </w:style>
  <w:style w:type="character" w:customStyle="1" w:styleId="FootnoteTextChar">
    <w:name w:val="Footnote Text Char"/>
    <w:basedOn w:val="DefaultParagraphFont"/>
    <w:link w:val="FootnoteText"/>
    <w:uiPriority w:val="99"/>
    <w:semiHidden/>
    <w:rsid w:val="00217DDB"/>
    <w:rPr>
      <w:rFonts w:ascii="Verdana" w:hAnsi="Verdana"/>
      <w:color w:val="000000" w:themeColor="text1"/>
      <w:sz w:val="20"/>
      <w:szCs w:val="20"/>
    </w:rPr>
  </w:style>
  <w:style w:type="character" w:styleId="FootnoteReference">
    <w:name w:val="footnote reference"/>
    <w:basedOn w:val="DefaultParagraphFont"/>
    <w:uiPriority w:val="99"/>
    <w:semiHidden/>
    <w:unhideWhenUsed/>
    <w:rsid w:val="00217DDB"/>
    <w:rPr>
      <w:vertAlign w:val="superscript"/>
    </w:rPr>
  </w:style>
  <w:style w:type="paragraph" w:styleId="NormalWeb">
    <w:name w:val="Normal (Web)"/>
    <w:basedOn w:val="Normal"/>
    <w:uiPriority w:val="99"/>
    <w:semiHidden/>
    <w:unhideWhenUsed/>
    <w:rsid w:val="007406F2"/>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7406F2"/>
    <w:pPr>
      <w:spacing w:after="0" w:line="240" w:lineRule="auto"/>
    </w:pPr>
    <w:rPr>
      <w:rFonts w:ascii="Verdana" w:hAnsi="Verdan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8381">
      <w:bodyDiv w:val="1"/>
      <w:marLeft w:val="0"/>
      <w:marRight w:val="0"/>
      <w:marTop w:val="0"/>
      <w:marBottom w:val="0"/>
      <w:divBdr>
        <w:top w:val="none" w:sz="0" w:space="0" w:color="auto"/>
        <w:left w:val="none" w:sz="0" w:space="0" w:color="auto"/>
        <w:bottom w:val="none" w:sz="0" w:space="0" w:color="auto"/>
        <w:right w:val="none" w:sz="0" w:space="0" w:color="auto"/>
      </w:divBdr>
    </w:div>
    <w:div w:id="130681765">
      <w:bodyDiv w:val="1"/>
      <w:marLeft w:val="0"/>
      <w:marRight w:val="0"/>
      <w:marTop w:val="0"/>
      <w:marBottom w:val="0"/>
      <w:divBdr>
        <w:top w:val="none" w:sz="0" w:space="0" w:color="auto"/>
        <w:left w:val="none" w:sz="0" w:space="0" w:color="auto"/>
        <w:bottom w:val="none" w:sz="0" w:space="0" w:color="auto"/>
        <w:right w:val="none" w:sz="0" w:space="0" w:color="auto"/>
      </w:divBdr>
    </w:div>
    <w:div w:id="211966626">
      <w:bodyDiv w:val="1"/>
      <w:marLeft w:val="0"/>
      <w:marRight w:val="0"/>
      <w:marTop w:val="0"/>
      <w:marBottom w:val="0"/>
      <w:divBdr>
        <w:top w:val="none" w:sz="0" w:space="0" w:color="auto"/>
        <w:left w:val="none" w:sz="0" w:space="0" w:color="auto"/>
        <w:bottom w:val="none" w:sz="0" w:space="0" w:color="auto"/>
        <w:right w:val="none" w:sz="0" w:space="0" w:color="auto"/>
      </w:divBdr>
    </w:div>
    <w:div w:id="273563762">
      <w:bodyDiv w:val="1"/>
      <w:marLeft w:val="0"/>
      <w:marRight w:val="0"/>
      <w:marTop w:val="0"/>
      <w:marBottom w:val="0"/>
      <w:divBdr>
        <w:top w:val="none" w:sz="0" w:space="0" w:color="auto"/>
        <w:left w:val="none" w:sz="0" w:space="0" w:color="auto"/>
        <w:bottom w:val="none" w:sz="0" w:space="0" w:color="auto"/>
        <w:right w:val="none" w:sz="0" w:space="0" w:color="auto"/>
      </w:divBdr>
    </w:div>
    <w:div w:id="274336358">
      <w:bodyDiv w:val="1"/>
      <w:marLeft w:val="0"/>
      <w:marRight w:val="0"/>
      <w:marTop w:val="0"/>
      <w:marBottom w:val="0"/>
      <w:divBdr>
        <w:top w:val="none" w:sz="0" w:space="0" w:color="auto"/>
        <w:left w:val="none" w:sz="0" w:space="0" w:color="auto"/>
        <w:bottom w:val="none" w:sz="0" w:space="0" w:color="auto"/>
        <w:right w:val="none" w:sz="0" w:space="0" w:color="auto"/>
      </w:divBdr>
    </w:div>
    <w:div w:id="275186803">
      <w:bodyDiv w:val="1"/>
      <w:marLeft w:val="0"/>
      <w:marRight w:val="0"/>
      <w:marTop w:val="0"/>
      <w:marBottom w:val="0"/>
      <w:divBdr>
        <w:top w:val="none" w:sz="0" w:space="0" w:color="auto"/>
        <w:left w:val="none" w:sz="0" w:space="0" w:color="auto"/>
        <w:bottom w:val="none" w:sz="0" w:space="0" w:color="auto"/>
        <w:right w:val="none" w:sz="0" w:space="0" w:color="auto"/>
      </w:divBdr>
    </w:div>
    <w:div w:id="307633954">
      <w:bodyDiv w:val="1"/>
      <w:marLeft w:val="0"/>
      <w:marRight w:val="0"/>
      <w:marTop w:val="0"/>
      <w:marBottom w:val="0"/>
      <w:divBdr>
        <w:top w:val="none" w:sz="0" w:space="0" w:color="auto"/>
        <w:left w:val="none" w:sz="0" w:space="0" w:color="auto"/>
        <w:bottom w:val="none" w:sz="0" w:space="0" w:color="auto"/>
        <w:right w:val="none" w:sz="0" w:space="0" w:color="auto"/>
      </w:divBdr>
    </w:div>
    <w:div w:id="372460963">
      <w:bodyDiv w:val="1"/>
      <w:marLeft w:val="0"/>
      <w:marRight w:val="0"/>
      <w:marTop w:val="0"/>
      <w:marBottom w:val="0"/>
      <w:divBdr>
        <w:top w:val="none" w:sz="0" w:space="0" w:color="auto"/>
        <w:left w:val="none" w:sz="0" w:space="0" w:color="auto"/>
        <w:bottom w:val="none" w:sz="0" w:space="0" w:color="auto"/>
        <w:right w:val="none" w:sz="0" w:space="0" w:color="auto"/>
      </w:divBdr>
    </w:div>
    <w:div w:id="382338579">
      <w:bodyDiv w:val="1"/>
      <w:marLeft w:val="0"/>
      <w:marRight w:val="0"/>
      <w:marTop w:val="0"/>
      <w:marBottom w:val="0"/>
      <w:divBdr>
        <w:top w:val="none" w:sz="0" w:space="0" w:color="auto"/>
        <w:left w:val="none" w:sz="0" w:space="0" w:color="auto"/>
        <w:bottom w:val="none" w:sz="0" w:space="0" w:color="auto"/>
        <w:right w:val="none" w:sz="0" w:space="0" w:color="auto"/>
      </w:divBdr>
    </w:div>
    <w:div w:id="447512038">
      <w:bodyDiv w:val="1"/>
      <w:marLeft w:val="0"/>
      <w:marRight w:val="0"/>
      <w:marTop w:val="0"/>
      <w:marBottom w:val="0"/>
      <w:divBdr>
        <w:top w:val="none" w:sz="0" w:space="0" w:color="auto"/>
        <w:left w:val="none" w:sz="0" w:space="0" w:color="auto"/>
        <w:bottom w:val="none" w:sz="0" w:space="0" w:color="auto"/>
        <w:right w:val="none" w:sz="0" w:space="0" w:color="auto"/>
      </w:divBdr>
    </w:div>
    <w:div w:id="449011438">
      <w:bodyDiv w:val="1"/>
      <w:marLeft w:val="0"/>
      <w:marRight w:val="0"/>
      <w:marTop w:val="0"/>
      <w:marBottom w:val="0"/>
      <w:divBdr>
        <w:top w:val="none" w:sz="0" w:space="0" w:color="auto"/>
        <w:left w:val="none" w:sz="0" w:space="0" w:color="auto"/>
        <w:bottom w:val="none" w:sz="0" w:space="0" w:color="auto"/>
        <w:right w:val="none" w:sz="0" w:space="0" w:color="auto"/>
      </w:divBdr>
    </w:div>
    <w:div w:id="499584516">
      <w:bodyDiv w:val="1"/>
      <w:marLeft w:val="0"/>
      <w:marRight w:val="0"/>
      <w:marTop w:val="0"/>
      <w:marBottom w:val="0"/>
      <w:divBdr>
        <w:top w:val="none" w:sz="0" w:space="0" w:color="auto"/>
        <w:left w:val="none" w:sz="0" w:space="0" w:color="auto"/>
        <w:bottom w:val="none" w:sz="0" w:space="0" w:color="auto"/>
        <w:right w:val="none" w:sz="0" w:space="0" w:color="auto"/>
      </w:divBdr>
    </w:div>
    <w:div w:id="504322591">
      <w:bodyDiv w:val="1"/>
      <w:marLeft w:val="0"/>
      <w:marRight w:val="0"/>
      <w:marTop w:val="0"/>
      <w:marBottom w:val="0"/>
      <w:divBdr>
        <w:top w:val="none" w:sz="0" w:space="0" w:color="auto"/>
        <w:left w:val="none" w:sz="0" w:space="0" w:color="auto"/>
        <w:bottom w:val="none" w:sz="0" w:space="0" w:color="auto"/>
        <w:right w:val="none" w:sz="0" w:space="0" w:color="auto"/>
      </w:divBdr>
      <w:divsChild>
        <w:div w:id="99642949">
          <w:marLeft w:val="547"/>
          <w:marRight w:val="0"/>
          <w:marTop w:val="200"/>
          <w:marBottom w:val="0"/>
          <w:divBdr>
            <w:top w:val="none" w:sz="0" w:space="0" w:color="auto"/>
            <w:left w:val="none" w:sz="0" w:space="0" w:color="auto"/>
            <w:bottom w:val="none" w:sz="0" w:space="0" w:color="auto"/>
            <w:right w:val="none" w:sz="0" w:space="0" w:color="auto"/>
          </w:divBdr>
        </w:div>
        <w:div w:id="309134757">
          <w:marLeft w:val="547"/>
          <w:marRight w:val="0"/>
          <w:marTop w:val="200"/>
          <w:marBottom w:val="0"/>
          <w:divBdr>
            <w:top w:val="none" w:sz="0" w:space="0" w:color="auto"/>
            <w:left w:val="none" w:sz="0" w:space="0" w:color="auto"/>
            <w:bottom w:val="none" w:sz="0" w:space="0" w:color="auto"/>
            <w:right w:val="none" w:sz="0" w:space="0" w:color="auto"/>
          </w:divBdr>
        </w:div>
        <w:div w:id="875853100">
          <w:marLeft w:val="547"/>
          <w:marRight w:val="0"/>
          <w:marTop w:val="200"/>
          <w:marBottom w:val="0"/>
          <w:divBdr>
            <w:top w:val="none" w:sz="0" w:space="0" w:color="auto"/>
            <w:left w:val="none" w:sz="0" w:space="0" w:color="auto"/>
            <w:bottom w:val="none" w:sz="0" w:space="0" w:color="auto"/>
            <w:right w:val="none" w:sz="0" w:space="0" w:color="auto"/>
          </w:divBdr>
        </w:div>
        <w:div w:id="1042897551">
          <w:marLeft w:val="547"/>
          <w:marRight w:val="0"/>
          <w:marTop w:val="200"/>
          <w:marBottom w:val="0"/>
          <w:divBdr>
            <w:top w:val="none" w:sz="0" w:space="0" w:color="auto"/>
            <w:left w:val="none" w:sz="0" w:space="0" w:color="auto"/>
            <w:bottom w:val="none" w:sz="0" w:space="0" w:color="auto"/>
            <w:right w:val="none" w:sz="0" w:space="0" w:color="auto"/>
          </w:divBdr>
        </w:div>
      </w:divsChild>
    </w:div>
    <w:div w:id="576328618">
      <w:bodyDiv w:val="1"/>
      <w:marLeft w:val="0"/>
      <w:marRight w:val="0"/>
      <w:marTop w:val="0"/>
      <w:marBottom w:val="0"/>
      <w:divBdr>
        <w:top w:val="none" w:sz="0" w:space="0" w:color="auto"/>
        <w:left w:val="none" w:sz="0" w:space="0" w:color="auto"/>
        <w:bottom w:val="none" w:sz="0" w:space="0" w:color="auto"/>
        <w:right w:val="none" w:sz="0" w:space="0" w:color="auto"/>
      </w:divBdr>
    </w:div>
    <w:div w:id="680281666">
      <w:bodyDiv w:val="1"/>
      <w:marLeft w:val="0"/>
      <w:marRight w:val="0"/>
      <w:marTop w:val="0"/>
      <w:marBottom w:val="0"/>
      <w:divBdr>
        <w:top w:val="none" w:sz="0" w:space="0" w:color="auto"/>
        <w:left w:val="none" w:sz="0" w:space="0" w:color="auto"/>
        <w:bottom w:val="none" w:sz="0" w:space="0" w:color="auto"/>
        <w:right w:val="none" w:sz="0" w:space="0" w:color="auto"/>
      </w:divBdr>
    </w:div>
    <w:div w:id="778379003">
      <w:bodyDiv w:val="1"/>
      <w:marLeft w:val="0"/>
      <w:marRight w:val="0"/>
      <w:marTop w:val="0"/>
      <w:marBottom w:val="0"/>
      <w:divBdr>
        <w:top w:val="none" w:sz="0" w:space="0" w:color="auto"/>
        <w:left w:val="none" w:sz="0" w:space="0" w:color="auto"/>
        <w:bottom w:val="none" w:sz="0" w:space="0" w:color="auto"/>
        <w:right w:val="none" w:sz="0" w:space="0" w:color="auto"/>
      </w:divBdr>
    </w:div>
    <w:div w:id="816805535">
      <w:bodyDiv w:val="1"/>
      <w:marLeft w:val="0"/>
      <w:marRight w:val="0"/>
      <w:marTop w:val="0"/>
      <w:marBottom w:val="0"/>
      <w:divBdr>
        <w:top w:val="none" w:sz="0" w:space="0" w:color="auto"/>
        <w:left w:val="none" w:sz="0" w:space="0" w:color="auto"/>
        <w:bottom w:val="none" w:sz="0" w:space="0" w:color="auto"/>
        <w:right w:val="none" w:sz="0" w:space="0" w:color="auto"/>
      </w:divBdr>
    </w:div>
    <w:div w:id="847133128">
      <w:bodyDiv w:val="1"/>
      <w:marLeft w:val="0"/>
      <w:marRight w:val="0"/>
      <w:marTop w:val="0"/>
      <w:marBottom w:val="0"/>
      <w:divBdr>
        <w:top w:val="none" w:sz="0" w:space="0" w:color="auto"/>
        <w:left w:val="none" w:sz="0" w:space="0" w:color="auto"/>
        <w:bottom w:val="none" w:sz="0" w:space="0" w:color="auto"/>
        <w:right w:val="none" w:sz="0" w:space="0" w:color="auto"/>
      </w:divBdr>
    </w:div>
    <w:div w:id="875507068">
      <w:bodyDiv w:val="1"/>
      <w:marLeft w:val="0"/>
      <w:marRight w:val="0"/>
      <w:marTop w:val="0"/>
      <w:marBottom w:val="0"/>
      <w:divBdr>
        <w:top w:val="none" w:sz="0" w:space="0" w:color="auto"/>
        <w:left w:val="none" w:sz="0" w:space="0" w:color="auto"/>
        <w:bottom w:val="none" w:sz="0" w:space="0" w:color="auto"/>
        <w:right w:val="none" w:sz="0" w:space="0" w:color="auto"/>
      </w:divBdr>
    </w:div>
    <w:div w:id="894315657">
      <w:bodyDiv w:val="1"/>
      <w:marLeft w:val="0"/>
      <w:marRight w:val="0"/>
      <w:marTop w:val="0"/>
      <w:marBottom w:val="0"/>
      <w:divBdr>
        <w:top w:val="none" w:sz="0" w:space="0" w:color="auto"/>
        <w:left w:val="none" w:sz="0" w:space="0" w:color="auto"/>
        <w:bottom w:val="none" w:sz="0" w:space="0" w:color="auto"/>
        <w:right w:val="none" w:sz="0" w:space="0" w:color="auto"/>
      </w:divBdr>
    </w:div>
    <w:div w:id="919675305">
      <w:bodyDiv w:val="1"/>
      <w:marLeft w:val="0"/>
      <w:marRight w:val="0"/>
      <w:marTop w:val="0"/>
      <w:marBottom w:val="0"/>
      <w:divBdr>
        <w:top w:val="none" w:sz="0" w:space="0" w:color="auto"/>
        <w:left w:val="none" w:sz="0" w:space="0" w:color="auto"/>
        <w:bottom w:val="none" w:sz="0" w:space="0" w:color="auto"/>
        <w:right w:val="none" w:sz="0" w:space="0" w:color="auto"/>
      </w:divBdr>
    </w:div>
    <w:div w:id="989868669">
      <w:bodyDiv w:val="1"/>
      <w:marLeft w:val="0"/>
      <w:marRight w:val="0"/>
      <w:marTop w:val="0"/>
      <w:marBottom w:val="0"/>
      <w:divBdr>
        <w:top w:val="none" w:sz="0" w:space="0" w:color="auto"/>
        <w:left w:val="none" w:sz="0" w:space="0" w:color="auto"/>
        <w:bottom w:val="none" w:sz="0" w:space="0" w:color="auto"/>
        <w:right w:val="none" w:sz="0" w:space="0" w:color="auto"/>
      </w:divBdr>
    </w:div>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052772618">
      <w:bodyDiv w:val="1"/>
      <w:marLeft w:val="0"/>
      <w:marRight w:val="0"/>
      <w:marTop w:val="0"/>
      <w:marBottom w:val="0"/>
      <w:divBdr>
        <w:top w:val="none" w:sz="0" w:space="0" w:color="auto"/>
        <w:left w:val="none" w:sz="0" w:space="0" w:color="auto"/>
        <w:bottom w:val="none" w:sz="0" w:space="0" w:color="auto"/>
        <w:right w:val="none" w:sz="0" w:space="0" w:color="auto"/>
      </w:divBdr>
    </w:div>
    <w:div w:id="1112090610">
      <w:bodyDiv w:val="1"/>
      <w:marLeft w:val="0"/>
      <w:marRight w:val="0"/>
      <w:marTop w:val="0"/>
      <w:marBottom w:val="0"/>
      <w:divBdr>
        <w:top w:val="none" w:sz="0" w:space="0" w:color="auto"/>
        <w:left w:val="none" w:sz="0" w:space="0" w:color="auto"/>
        <w:bottom w:val="none" w:sz="0" w:space="0" w:color="auto"/>
        <w:right w:val="none" w:sz="0" w:space="0" w:color="auto"/>
      </w:divBdr>
    </w:div>
    <w:div w:id="1197962626">
      <w:bodyDiv w:val="1"/>
      <w:marLeft w:val="0"/>
      <w:marRight w:val="0"/>
      <w:marTop w:val="0"/>
      <w:marBottom w:val="0"/>
      <w:divBdr>
        <w:top w:val="none" w:sz="0" w:space="0" w:color="auto"/>
        <w:left w:val="none" w:sz="0" w:space="0" w:color="auto"/>
        <w:bottom w:val="none" w:sz="0" w:space="0" w:color="auto"/>
        <w:right w:val="none" w:sz="0" w:space="0" w:color="auto"/>
      </w:divBdr>
    </w:div>
    <w:div w:id="1238977588">
      <w:bodyDiv w:val="1"/>
      <w:marLeft w:val="0"/>
      <w:marRight w:val="0"/>
      <w:marTop w:val="0"/>
      <w:marBottom w:val="0"/>
      <w:divBdr>
        <w:top w:val="none" w:sz="0" w:space="0" w:color="auto"/>
        <w:left w:val="none" w:sz="0" w:space="0" w:color="auto"/>
        <w:bottom w:val="none" w:sz="0" w:space="0" w:color="auto"/>
        <w:right w:val="none" w:sz="0" w:space="0" w:color="auto"/>
      </w:divBdr>
    </w:div>
    <w:div w:id="1254364228">
      <w:bodyDiv w:val="1"/>
      <w:marLeft w:val="0"/>
      <w:marRight w:val="0"/>
      <w:marTop w:val="0"/>
      <w:marBottom w:val="0"/>
      <w:divBdr>
        <w:top w:val="none" w:sz="0" w:space="0" w:color="auto"/>
        <w:left w:val="none" w:sz="0" w:space="0" w:color="auto"/>
        <w:bottom w:val="none" w:sz="0" w:space="0" w:color="auto"/>
        <w:right w:val="none" w:sz="0" w:space="0" w:color="auto"/>
      </w:divBdr>
    </w:div>
    <w:div w:id="1261718200">
      <w:bodyDiv w:val="1"/>
      <w:marLeft w:val="0"/>
      <w:marRight w:val="0"/>
      <w:marTop w:val="0"/>
      <w:marBottom w:val="0"/>
      <w:divBdr>
        <w:top w:val="none" w:sz="0" w:space="0" w:color="auto"/>
        <w:left w:val="none" w:sz="0" w:space="0" w:color="auto"/>
        <w:bottom w:val="none" w:sz="0" w:space="0" w:color="auto"/>
        <w:right w:val="none" w:sz="0" w:space="0" w:color="auto"/>
      </w:divBdr>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1416778550">
      <w:bodyDiv w:val="1"/>
      <w:marLeft w:val="0"/>
      <w:marRight w:val="0"/>
      <w:marTop w:val="0"/>
      <w:marBottom w:val="0"/>
      <w:divBdr>
        <w:top w:val="none" w:sz="0" w:space="0" w:color="auto"/>
        <w:left w:val="none" w:sz="0" w:space="0" w:color="auto"/>
        <w:bottom w:val="none" w:sz="0" w:space="0" w:color="auto"/>
        <w:right w:val="none" w:sz="0" w:space="0" w:color="auto"/>
      </w:divBdr>
    </w:div>
    <w:div w:id="1431969636">
      <w:bodyDiv w:val="1"/>
      <w:marLeft w:val="0"/>
      <w:marRight w:val="0"/>
      <w:marTop w:val="0"/>
      <w:marBottom w:val="0"/>
      <w:divBdr>
        <w:top w:val="none" w:sz="0" w:space="0" w:color="auto"/>
        <w:left w:val="none" w:sz="0" w:space="0" w:color="auto"/>
        <w:bottom w:val="none" w:sz="0" w:space="0" w:color="auto"/>
        <w:right w:val="none" w:sz="0" w:space="0" w:color="auto"/>
      </w:divBdr>
    </w:div>
    <w:div w:id="1493764130">
      <w:bodyDiv w:val="1"/>
      <w:marLeft w:val="0"/>
      <w:marRight w:val="0"/>
      <w:marTop w:val="0"/>
      <w:marBottom w:val="0"/>
      <w:divBdr>
        <w:top w:val="none" w:sz="0" w:space="0" w:color="auto"/>
        <w:left w:val="none" w:sz="0" w:space="0" w:color="auto"/>
        <w:bottom w:val="none" w:sz="0" w:space="0" w:color="auto"/>
        <w:right w:val="none" w:sz="0" w:space="0" w:color="auto"/>
      </w:divBdr>
    </w:div>
    <w:div w:id="1560550495">
      <w:bodyDiv w:val="1"/>
      <w:marLeft w:val="0"/>
      <w:marRight w:val="0"/>
      <w:marTop w:val="0"/>
      <w:marBottom w:val="0"/>
      <w:divBdr>
        <w:top w:val="none" w:sz="0" w:space="0" w:color="auto"/>
        <w:left w:val="none" w:sz="0" w:space="0" w:color="auto"/>
        <w:bottom w:val="none" w:sz="0" w:space="0" w:color="auto"/>
        <w:right w:val="none" w:sz="0" w:space="0" w:color="auto"/>
      </w:divBdr>
    </w:div>
    <w:div w:id="1576472291">
      <w:bodyDiv w:val="1"/>
      <w:marLeft w:val="0"/>
      <w:marRight w:val="0"/>
      <w:marTop w:val="0"/>
      <w:marBottom w:val="0"/>
      <w:divBdr>
        <w:top w:val="none" w:sz="0" w:space="0" w:color="auto"/>
        <w:left w:val="none" w:sz="0" w:space="0" w:color="auto"/>
        <w:bottom w:val="none" w:sz="0" w:space="0" w:color="auto"/>
        <w:right w:val="none" w:sz="0" w:space="0" w:color="auto"/>
      </w:divBdr>
    </w:div>
    <w:div w:id="1584607257">
      <w:bodyDiv w:val="1"/>
      <w:marLeft w:val="0"/>
      <w:marRight w:val="0"/>
      <w:marTop w:val="0"/>
      <w:marBottom w:val="0"/>
      <w:divBdr>
        <w:top w:val="none" w:sz="0" w:space="0" w:color="auto"/>
        <w:left w:val="none" w:sz="0" w:space="0" w:color="auto"/>
        <w:bottom w:val="none" w:sz="0" w:space="0" w:color="auto"/>
        <w:right w:val="none" w:sz="0" w:space="0" w:color="auto"/>
      </w:divBdr>
      <w:divsChild>
        <w:div w:id="244845383">
          <w:marLeft w:val="547"/>
          <w:marRight w:val="0"/>
          <w:marTop w:val="200"/>
          <w:marBottom w:val="0"/>
          <w:divBdr>
            <w:top w:val="none" w:sz="0" w:space="0" w:color="auto"/>
            <w:left w:val="none" w:sz="0" w:space="0" w:color="auto"/>
            <w:bottom w:val="none" w:sz="0" w:space="0" w:color="auto"/>
            <w:right w:val="none" w:sz="0" w:space="0" w:color="auto"/>
          </w:divBdr>
        </w:div>
        <w:div w:id="660038245">
          <w:marLeft w:val="547"/>
          <w:marRight w:val="0"/>
          <w:marTop w:val="200"/>
          <w:marBottom w:val="0"/>
          <w:divBdr>
            <w:top w:val="none" w:sz="0" w:space="0" w:color="auto"/>
            <w:left w:val="none" w:sz="0" w:space="0" w:color="auto"/>
            <w:bottom w:val="none" w:sz="0" w:space="0" w:color="auto"/>
            <w:right w:val="none" w:sz="0" w:space="0" w:color="auto"/>
          </w:divBdr>
        </w:div>
        <w:div w:id="890926908">
          <w:marLeft w:val="547"/>
          <w:marRight w:val="0"/>
          <w:marTop w:val="200"/>
          <w:marBottom w:val="0"/>
          <w:divBdr>
            <w:top w:val="none" w:sz="0" w:space="0" w:color="auto"/>
            <w:left w:val="none" w:sz="0" w:space="0" w:color="auto"/>
            <w:bottom w:val="none" w:sz="0" w:space="0" w:color="auto"/>
            <w:right w:val="none" w:sz="0" w:space="0" w:color="auto"/>
          </w:divBdr>
        </w:div>
        <w:div w:id="1105343566">
          <w:marLeft w:val="547"/>
          <w:marRight w:val="0"/>
          <w:marTop w:val="200"/>
          <w:marBottom w:val="0"/>
          <w:divBdr>
            <w:top w:val="none" w:sz="0" w:space="0" w:color="auto"/>
            <w:left w:val="none" w:sz="0" w:space="0" w:color="auto"/>
            <w:bottom w:val="none" w:sz="0" w:space="0" w:color="auto"/>
            <w:right w:val="none" w:sz="0" w:space="0" w:color="auto"/>
          </w:divBdr>
        </w:div>
      </w:divsChild>
    </w:div>
    <w:div w:id="1601335302">
      <w:bodyDiv w:val="1"/>
      <w:marLeft w:val="0"/>
      <w:marRight w:val="0"/>
      <w:marTop w:val="0"/>
      <w:marBottom w:val="0"/>
      <w:divBdr>
        <w:top w:val="none" w:sz="0" w:space="0" w:color="auto"/>
        <w:left w:val="none" w:sz="0" w:space="0" w:color="auto"/>
        <w:bottom w:val="none" w:sz="0" w:space="0" w:color="auto"/>
        <w:right w:val="none" w:sz="0" w:space="0" w:color="auto"/>
      </w:divBdr>
    </w:div>
    <w:div w:id="1651128730">
      <w:bodyDiv w:val="1"/>
      <w:marLeft w:val="0"/>
      <w:marRight w:val="0"/>
      <w:marTop w:val="0"/>
      <w:marBottom w:val="0"/>
      <w:divBdr>
        <w:top w:val="none" w:sz="0" w:space="0" w:color="auto"/>
        <w:left w:val="none" w:sz="0" w:space="0" w:color="auto"/>
        <w:bottom w:val="none" w:sz="0" w:space="0" w:color="auto"/>
        <w:right w:val="none" w:sz="0" w:space="0" w:color="auto"/>
      </w:divBdr>
    </w:div>
    <w:div w:id="1829445348">
      <w:bodyDiv w:val="1"/>
      <w:marLeft w:val="0"/>
      <w:marRight w:val="0"/>
      <w:marTop w:val="0"/>
      <w:marBottom w:val="0"/>
      <w:divBdr>
        <w:top w:val="none" w:sz="0" w:space="0" w:color="auto"/>
        <w:left w:val="none" w:sz="0" w:space="0" w:color="auto"/>
        <w:bottom w:val="none" w:sz="0" w:space="0" w:color="auto"/>
        <w:right w:val="none" w:sz="0" w:space="0" w:color="auto"/>
      </w:divBdr>
    </w:div>
    <w:div w:id="1834905902">
      <w:bodyDiv w:val="1"/>
      <w:marLeft w:val="0"/>
      <w:marRight w:val="0"/>
      <w:marTop w:val="0"/>
      <w:marBottom w:val="0"/>
      <w:divBdr>
        <w:top w:val="none" w:sz="0" w:space="0" w:color="auto"/>
        <w:left w:val="none" w:sz="0" w:space="0" w:color="auto"/>
        <w:bottom w:val="none" w:sz="0" w:space="0" w:color="auto"/>
        <w:right w:val="none" w:sz="0" w:space="0" w:color="auto"/>
      </w:divBdr>
    </w:div>
    <w:div w:id="1942839897">
      <w:bodyDiv w:val="1"/>
      <w:marLeft w:val="0"/>
      <w:marRight w:val="0"/>
      <w:marTop w:val="0"/>
      <w:marBottom w:val="0"/>
      <w:divBdr>
        <w:top w:val="none" w:sz="0" w:space="0" w:color="auto"/>
        <w:left w:val="none" w:sz="0" w:space="0" w:color="auto"/>
        <w:bottom w:val="none" w:sz="0" w:space="0" w:color="auto"/>
        <w:right w:val="none" w:sz="0" w:space="0" w:color="auto"/>
      </w:divBdr>
    </w:div>
    <w:div w:id="2011443811">
      <w:bodyDiv w:val="1"/>
      <w:marLeft w:val="0"/>
      <w:marRight w:val="0"/>
      <w:marTop w:val="0"/>
      <w:marBottom w:val="0"/>
      <w:divBdr>
        <w:top w:val="none" w:sz="0" w:space="0" w:color="auto"/>
        <w:left w:val="none" w:sz="0" w:space="0" w:color="auto"/>
        <w:bottom w:val="none" w:sz="0" w:space="0" w:color="auto"/>
        <w:right w:val="none" w:sz="0" w:space="0" w:color="auto"/>
      </w:divBdr>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 w:id="21070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urism.research@tra.gov.au" TargetMode="External"/><Relationship Id="rId18" Type="http://schemas.openxmlformats.org/officeDocument/2006/relationships/hyperlink" Target="file:///C:/Users/corrine-rose/AppData/Local/Microsoft/Windows/INetCache/Content.Outlook/2Z3XW8LL/pmc.gov.au/%20government/commonwealth-coat-arms" TargetMode="External"/><Relationship Id="rId26" Type="http://schemas.openxmlformats.org/officeDocument/2006/relationships/image" Target="media/image4.emf"/><Relationship Id="rId39" Type="http://schemas.openxmlformats.org/officeDocument/2006/relationships/image" Target="media/image16.emf"/><Relationship Id="rId21" Type="http://schemas.openxmlformats.org/officeDocument/2006/relationships/header" Target="header2.xml"/><Relationship Id="rId34" Type="http://schemas.openxmlformats.org/officeDocument/2006/relationships/image" Target="media/image11.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hyperlink" Target="https://www.bitre.gov.au/publications/ongoing/international_airline_activity-time_series"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ourism.research@tra.gov.au" TargetMode="External"/><Relationship Id="rId29"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hyperlink" Target="https://www.tourism.australia.com/en/insights/tourism-statistics/aviation-statistics.html" TargetMode="External"/><Relationship Id="rId58" Type="http://schemas.openxmlformats.org/officeDocument/2006/relationships/footer" Target="footer5.xml"/><Relationship Id="rId5" Type="http://schemas.openxmlformats.org/officeDocument/2006/relationships/numbering" Target="numbering.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gov.au" TargetMode="External"/><Relationship Id="rId22" Type="http://schemas.openxmlformats.org/officeDocument/2006/relationships/footer" Target="footer1.xml"/><Relationship Id="rId27" Type="http://schemas.openxmlformats.org/officeDocument/2006/relationships/hyperlink" Target="https://www.tra.gov.au/en/economic-analysis/tourism-forecasts/tourism-forecast-for-australia-2024-2029" TargetMode="External"/><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hyperlink" Target="https://www.eiu.com/n/about/"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bitre.gov.au/publications/ongoing/international_airlines-operated_flights_seats"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mailto:advisory@austrade.gov.au" TargetMode="External"/><Relationship Id="rId25" Type="http://schemas.openxmlformats.org/officeDocument/2006/relationships/footer" Target="footer3.xml"/><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image" Target="media/image18.e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ra.gov.au/" TargetMode="External"/><Relationship Id="rId23" Type="http://schemas.openxmlformats.org/officeDocument/2006/relationships/footer" Target="footer2.xml"/><Relationship Id="rId28" Type="http://schemas.openxmlformats.org/officeDocument/2006/relationships/image" Target="media/image5.emf"/><Relationship Id="rId36" Type="http://schemas.openxmlformats.org/officeDocument/2006/relationships/image" Target="media/image13.emf"/><Relationship Id="rId49" Type="http://schemas.openxmlformats.org/officeDocument/2006/relationships/hyperlink" Target="https://www.austrade.gov.au/news/publications/thrive-2030-strategy"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hyperlink" Target="https://www.infrastructure.gov.au/infrastructure-transport-vehicles/aviation/international-aviation/air-services-agreements-arrangements/international-airlines-timetable-summary"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ra.gov.au/en/economic-analysis/annual-benchmark-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fb70c03df4a417e1da846c9586274329">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c6b0820de3d16b3bb4d7175b3da0f41d"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F091F4BD-718A-4F6E-B34B-7473B94A4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38FE75B8-1135-4512-93FA-FCDD832F13E7}">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932d29ee-28c9-41bc-b9e4-7f2eba331d28"/>
    <ds:schemaRef ds:uri="http://schemas.microsoft.com/office/2006/metadata/properties"/>
    <ds:schemaRef ds:uri="84193d32-96af-42bb-9a8d-e389b6b013d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1</TotalTime>
  <Pages>39</Pages>
  <Words>10140</Words>
  <Characters>57799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Tourism Research Australia</Company>
  <LinksUpToDate>false</LinksUpToDate>
  <CharactersWithSpaces>67804</CharactersWithSpaces>
  <SharedDoc>false</SharedDoc>
  <HLinks>
    <vt:vector size="216" baseType="variant">
      <vt:variant>
        <vt:i4>6225936</vt:i4>
      </vt:variant>
      <vt:variant>
        <vt:i4>156</vt:i4>
      </vt:variant>
      <vt:variant>
        <vt:i4>0</vt:i4>
      </vt:variant>
      <vt:variant>
        <vt:i4>5</vt:i4>
      </vt:variant>
      <vt:variant>
        <vt:lpwstr>https://www.tourism.australia.com/en/insights/tourism-statistics/aviation-statistics.html</vt:lpwstr>
      </vt:variant>
      <vt:variant>
        <vt:lpwstr/>
      </vt:variant>
      <vt:variant>
        <vt:i4>786449</vt:i4>
      </vt:variant>
      <vt:variant>
        <vt:i4>153</vt:i4>
      </vt:variant>
      <vt:variant>
        <vt:i4>0</vt:i4>
      </vt:variant>
      <vt:variant>
        <vt:i4>5</vt:i4>
      </vt:variant>
      <vt:variant>
        <vt:lpwstr>https://www.infrastructure.gov.au/infrastructure-transport-vehicles/aviation/international-aviation/air-services-agreements-arrangements/international-airlines-timetable-summary</vt:lpwstr>
      </vt:variant>
      <vt:variant>
        <vt:lpwstr/>
      </vt:variant>
      <vt:variant>
        <vt:i4>196667</vt:i4>
      </vt:variant>
      <vt:variant>
        <vt:i4>150</vt:i4>
      </vt:variant>
      <vt:variant>
        <vt:i4>0</vt:i4>
      </vt:variant>
      <vt:variant>
        <vt:i4>5</vt:i4>
      </vt:variant>
      <vt:variant>
        <vt:lpwstr>https://www.bitre.gov.au/publications/ongoing/international_airlines-operated_flights_seats</vt:lpwstr>
      </vt:variant>
      <vt:variant>
        <vt:lpwstr/>
      </vt:variant>
      <vt:variant>
        <vt:i4>7077968</vt:i4>
      </vt:variant>
      <vt:variant>
        <vt:i4>147</vt:i4>
      </vt:variant>
      <vt:variant>
        <vt:i4>0</vt:i4>
      </vt:variant>
      <vt:variant>
        <vt:i4>5</vt:i4>
      </vt:variant>
      <vt:variant>
        <vt:lpwstr>https://www.bitre.gov.au/publications/ongoing/international_airline_activity-time_series</vt:lpwstr>
      </vt:variant>
      <vt:variant>
        <vt:lpwstr/>
      </vt:variant>
      <vt:variant>
        <vt:i4>7012432</vt:i4>
      </vt:variant>
      <vt:variant>
        <vt:i4>144</vt:i4>
      </vt:variant>
      <vt:variant>
        <vt:i4>0</vt:i4>
      </vt:variant>
      <vt:variant>
        <vt:i4>5</vt:i4>
      </vt:variant>
      <vt:variant>
        <vt:lpwstr>https://www.bitre.gov.au/publications/ongoing/domestic_airline_activity-time_series</vt:lpwstr>
      </vt:variant>
      <vt:variant>
        <vt:lpwstr/>
      </vt:variant>
      <vt:variant>
        <vt:i4>7798837</vt:i4>
      </vt:variant>
      <vt:variant>
        <vt:i4>141</vt:i4>
      </vt:variant>
      <vt:variant>
        <vt:i4>0</vt:i4>
      </vt:variant>
      <vt:variant>
        <vt:i4>5</vt:i4>
      </vt:variant>
      <vt:variant>
        <vt:lpwstr>https://www.austrade.gov.au/news/publications/thrive-2030-strategy</vt:lpwstr>
      </vt:variant>
      <vt:variant>
        <vt:lpwstr/>
      </vt:variant>
      <vt:variant>
        <vt:i4>5767242</vt:i4>
      </vt:variant>
      <vt:variant>
        <vt:i4>138</vt:i4>
      </vt:variant>
      <vt:variant>
        <vt:i4>0</vt:i4>
      </vt:variant>
      <vt:variant>
        <vt:i4>5</vt:i4>
      </vt:variant>
      <vt:variant>
        <vt:lpwstr>https://www.eiu.com/n/about/</vt:lpwstr>
      </vt:variant>
      <vt:variant>
        <vt:lpwstr/>
      </vt:variant>
      <vt:variant>
        <vt:i4>2359419</vt:i4>
      </vt:variant>
      <vt:variant>
        <vt:i4>135</vt:i4>
      </vt:variant>
      <vt:variant>
        <vt:i4>0</vt:i4>
      </vt:variant>
      <vt:variant>
        <vt:i4>5</vt:i4>
      </vt:variant>
      <vt:variant>
        <vt:lpwstr>https://www.tra.gov.au/en/economic-analysis/tourism-forecasts/tourism-forecast-for-australia-2024-2029</vt:lpwstr>
      </vt:variant>
      <vt:variant>
        <vt:lpwstr/>
      </vt:variant>
      <vt:variant>
        <vt:i4>1638450</vt:i4>
      </vt:variant>
      <vt:variant>
        <vt:i4>128</vt:i4>
      </vt:variant>
      <vt:variant>
        <vt:i4>0</vt:i4>
      </vt:variant>
      <vt:variant>
        <vt:i4>5</vt:i4>
      </vt:variant>
      <vt:variant>
        <vt:lpwstr/>
      </vt:variant>
      <vt:variant>
        <vt:lpwstr>_Toc211952441</vt:lpwstr>
      </vt:variant>
      <vt:variant>
        <vt:i4>1638450</vt:i4>
      </vt:variant>
      <vt:variant>
        <vt:i4>122</vt:i4>
      </vt:variant>
      <vt:variant>
        <vt:i4>0</vt:i4>
      </vt:variant>
      <vt:variant>
        <vt:i4>5</vt:i4>
      </vt:variant>
      <vt:variant>
        <vt:lpwstr/>
      </vt:variant>
      <vt:variant>
        <vt:lpwstr>_Toc211952440</vt:lpwstr>
      </vt:variant>
      <vt:variant>
        <vt:i4>1966130</vt:i4>
      </vt:variant>
      <vt:variant>
        <vt:i4>116</vt:i4>
      </vt:variant>
      <vt:variant>
        <vt:i4>0</vt:i4>
      </vt:variant>
      <vt:variant>
        <vt:i4>5</vt:i4>
      </vt:variant>
      <vt:variant>
        <vt:lpwstr/>
      </vt:variant>
      <vt:variant>
        <vt:lpwstr>_Toc211952439</vt:lpwstr>
      </vt:variant>
      <vt:variant>
        <vt:i4>1966130</vt:i4>
      </vt:variant>
      <vt:variant>
        <vt:i4>110</vt:i4>
      </vt:variant>
      <vt:variant>
        <vt:i4>0</vt:i4>
      </vt:variant>
      <vt:variant>
        <vt:i4>5</vt:i4>
      </vt:variant>
      <vt:variant>
        <vt:lpwstr/>
      </vt:variant>
      <vt:variant>
        <vt:lpwstr>_Toc211952438</vt:lpwstr>
      </vt:variant>
      <vt:variant>
        <vt:i4>1966130</vt:i4>
      </vt:variant>
      <vt:variant>
        <vt:i4>104</vt:i4>
      </vt:variant>
      <vt:variant>
        <vt:i4>0</vt:i4>
      </vt:variant>
      <vt:variant>
        <vt:i4>5</vt:i4>
      </vt:variant>
      <vt:variant>
        <vt:lpwstr/>
      </vt:variant>
      <vt:variant>
        <vt:lpwstr>_Toc211952437</vt:lpwstr>
      </vt:variant>
      <vt:variant>
        <vt:i4>1966130</vt:i4>
      </vt:variant>
      <vt:variant>
        <vt:i4>98</vt:i4>
      </vt:variant>
      <vt:variant>
        <vt:i4>0</vt:i4>
      </vt:variant>
      <vt:variant>
        <vt:i4>5</vt:i4>
      </vt:variant>
      <vt:variant>
        <vt:lpwstr/>
      </vt:variant>
      <vt:variant>
        <vt:lpwstr>_Toc211952436</vt:lpwstr>
      </vt:variant>
      <vt:variant>
        <vt:i4>1966130</vt:i4>
      </vt:variant>
      <vt:variant>
        <vt:i4>92</vt:i4>
      </vt:variant>
      <vt:variant>
        <vt:i4>0</vt:i4>
      </vt:variant>
      <vt:variant>
        <vt:i4>5</vt:i4>
      </vt:variant>
      <vt:variant>
        <vt:lpwstr/>
      </vt:variant>
      <vt:variant>
        <vt:lpwstr>_Toc211952435</vt:lpwstr>
      </vt:variant>
      <vt:variant>
        <vt:i4>1966130</vt:i4>
      </vt:variant>
      <vt:variant>
        <vt:i4>86</vt:i4>
      </vt:variant>
      <vt:variant>
        <vt:i4>0</vt:i4>
      </vt:variant>
      <vt:variant>
        <vt:i4>5</vt:i4>
      </vt:variant>
      <vt:variant>
        <vt:lpwstr/>
      </vt:variant>
      <vt:variant>
        <vt:lpwstr>_Toc211952434</vt:lpwstr>
      </vt:variant>
      <vt:variant>
        <vt:i4>1966130</vt:i4>
      </vt:variant>
      <vt:variant>
        <vt:i4>80</vt:i4>
      </vt:variant>
      <vt:variant>
        <vt:i4>0</vt:i4>
      </vt:variant>
      <vt:variant>
        <vt:i4>5</vt:i4>
      </vt:variant>
      <vt:variant>
        <vt:lpwstr/>
      </vt:variant>
      <vt:variant>
        <vt:lpwstr>_Toc211952433</vt:lpwstr>
      </vt:variant>
      <vt:variant>
        <vt:i4>1966130</vt:i4>
      </vt:variant>
      <vt:variant>
        <vt:i4>74</vt:i4>
      </vt:variant>
      <vt:variant>
        <vt:i4>0</vt:i4>
      </vt:variant>
      <vt:variant>
        <vt:i4>5</vt:i4>
      </vt:variant>
      <vt:variant>
        <vt:lpwstr/>
      </vt:variant>
      <vt:variant>
        <vt:lpwstr>_Toc211952432</vt:lpwstr>
      </vt:variant>
      <vt:variant>
        <vt:i4>1966130</vt:i4>
      </vt:variant>
      <vt:variant>
        <vt:i4>68</vt:i4>
      </vt:variant>
      <vt:variant>
        <vt:i4>0</vt:i4>
      </vt:variant>
      <vt:variant>
        <vt:i4>5</vt:i4>
      </vt:variant>
      <vt:variant>
        <vt:lpwstr/>
      </vt:variant>
      <vt:variant>
        <vt:lpwstr>_Toc211952431</vt:lpwstr>
      </vt:variant>
      <vt:variant>
        <vt:i4>1966130</vt:i4>
      </vt:variant>
      <vt:variant>
        <vt:i4>62</vt:i4>
      </vt:variant>
      <vt:variant>
        <vt:i4>0</vt:i4>
      </vt:variant>
      <vt:variant>
        <vt:i4>5</vt:i4>
      </vt:variant>
      <vt:variant>
        <vt:lpwstr/>
      </vt:variant>
      <vt:variant>
        <vt:lpwstr>_Toc211952430</vt:lpwstr>
      </vt:variant>
      <vt:variant>
        <vt:i4>2031666</vt:i4>
      </vt:variant>
      <vt:variant>
        <vt:i4>56</vt:i4>
      </vt:variant>
      <vt:variant>
        <vt:i4>0</vt:i4>
      </vt:variant>
      <vt:variant>
        <vt:i4>5</vt:i4>
      </vt:variant>
      <vt:variant>
        <vt:lpwstr/>
      </vt:variant>
      <vt:variant>
        <vt:lpwstr>_Toc211952429</vt:lpwstr>
      </vt:variant>
      <vt:variant>
        <vt:i4>2031666</vt:i4>
      </vt:variant>
      <vt:variant>
        <vt:i4>50</vt:i4>
      </vt:variant>
      <vt:variant>
        <vt:i4>0</vt:i4>
      </vt:variant>
      <vt:variant>
        <vt:i4>5</vt:i4>
      </vt:variant>
      <vt:variant>
        <vt:lpwstr/>
      </vt:variant>
      <vt:variant>
        <vt:lpwstr>_Toc211952428</vt:lpwstr>
      </vt:variant>
      <vt:variant>
        <vt:i4>2031666</vt:i4>
      </vt:variant>
      <vt:variant>
        <vt:i4>44</vt:i4>
      </vt:variant>
      <vt:variant>
        <vt:i4>0</vt:i4>
      </vt:variant>
      <vt:variant>
        <vt:i4>5</vt:i4>
      </vt:variant>
      <vt:variant>
        <vt:lpwstr/>
      </vt:variant>
      <vt:variant>
        <vt:lpwstr>_Toc211952427</vt:lpwstr>
      </vt:variant>
      <vt:variant>
        <vt:i4>2031666</vt:i4>
      </vt:variant>
      <vt:variant>
        <vt:i4>38</vt:i4>
      </vt:variant>
      <vt:variant>
        <vt:i4>0</vt:i4>
      </vt:variant>
      <vt:variant>
        <vt:i4>5</vt:i4>
      </vt:variant>
      <vt:variant>
        <vt:lpwstr/>
      </vt:variant>
      <vt:variant>
        <vt:lpwstr>_Toc211952426</vt:lpwstr>
      </vt:variant>
      <vt:variant>
        <vt:i4>2031666</vt:i4>
      </vt:variant>
      <vt:variant>
        <vt:i4>32</vt:i4>
      </vt:variant>
      <vt:variant>
        <vt:i4>0</vt:i4>
      </vt:variant>
      <vt:variant>
        <vt:i4>5</vt:i4>
      </vt:variant>
      <vt:variant>
        <vt:lpwstr/>
      </vt:variant>
      <vt:variant>
        <vt:lpwstr>_Toc211952425</vt:lpwstr>
      </vt:variant>
      <vt:variant>
        <vt:i4>2031666</vt:i4>
      </vt:variant>
      <vt:variant>
        <vt:i4>26</vt:i4>
      </vt:variant>
      <vt:variant>
        <vt:i4>0</vt:i4>
      </vt:variant>
      <vt:variant>
        <vt:i4>5</vt:i4>
      </vt:variant>
      <vt:variant>
        <vt:lpwstr/>
      </vt:variant>
      <vt:variant>
        <vt:lpwstr>_Toc211952424</vt:lpwstr>
      </vt:variant>
      <vt:variant>
        <vt:i4>2031666</vt:i4>
      </vt:variant>
      <vt:variant>
        <vt:i4>20</vt:i4>
      </vt:variant>
      <vt:variant>
        <vt:i4>0</vt:i4>
      </vt:variant>
      <vt:variant>
        <vt:i4>5</vt:i4>
      </vt:variant>
      <vt:variant>
        <vt:lpwstr/>
      </vt:variant>
      <vt:variant>
        <vt:lpwstr>_Toc211952423</vt:lpwstr>
      </vt:variant>
      <vt:variant>
        <vt:i4>4915212</vt:i4>
      </vt:variant>
      <vt:variant>
        <vt:i4>15</vt:i4>
      </vt:variant>
      <vt:variant>
        <vt:i4>0</vt:i4>
      </vt:variant>
      <vt:variant>
        <vt:i4>5</vt:i4>
      </vt:variant>
      <vt:variant>
        <vt:lpwstr>C:\Users\corrine-rose\AppData\Local\Microsoft\Windows\INetCache\Content.Outlook\2Z3XW8LL\pmc.gov.au\ government\commonwealth-coat-arms</vt:lpwstr>
      </vt:variant>
      <vt:variant>
        <vt:lpwstr/>
      </vt:variant>
      <vt:variant>
        <vt:i4>4259898</vt:i4>
      </vt:variant>
      <vt:variant>
        <vt:i4>12</vt:i4>
      </vt:variant>
      <vt:variant>
        <vt:i4>0</vt:i4>
      </vt:variant>
      <vt:variant>
        <vt:i4>5</vt:i4>
      </vt:variant>
      <vt:variant>
        <vt:lpwstr>mailto:advisory@austrade.gov.au</vt:lpwstr>
      </vt:variant>
      <vt:variant>
        <vt:lpwstr/>
      </vt:variant>
      <vt:variant>
        <vt:i4>4980853</vt:i4>
      </vt:variant>
      <vt:variant>
        <vt:i4>9</vt:i4>
      </vt:variant>
      <vt:variant>
        <vt:i4>0</vt:i4>
      </vt:variant>
      <vt:variant>
        <vt:i4>5</vt:i4>
      </vt:variant>
      <vt:variant>
        <vt:lpwstr>mailto:tourism.research@tra.gov.au</vt:lpwstr>
      </vt:variant>
      <vt:variant>
        <vt:lpwstr/>
      </vt:variant>
      <vt:variant>
        <vt:i4>2097189</vt:i4>
      </vt:variant>
      <vt:variant>
        <vt:i4>6</vt:i4>
      </vt:variant>
      <vt:variant>
        <vt:i4>0</vt:i4>
      </vt:variant>
      <vt:variant>
        <vt:i4>5</vt:i4>
      </vt:variant>
      <vt:variant>
        <vt:lpwstr>https://www.tra.gov.au/</vt:lpwstr>
      </vt:variant>
      <vt:variant>
        <vt:lpwstr/>
      </vt:variant>
      <vt:variant>
        <vt:i4>6357048</vt:i4>
      </vt:variant>
      <vt:variant>
        <vt:i4>3</vt:i4>
      </vt:variant>
      <vt:variant>
        <vt:i4>0</vt:i4>
      </vt:variant>
      <vt:variant>
        <vt:i4>5</vt:i4>
      </vt:variant>
      <vt:variant>
        <vt:lpwstr>http://www.tra.gov.au/</vt:lpwstr>
      </vt:variant>
      <vt:variant>
        <vt:lpwstr/>
      </vt:variant>
      <vt:variant>
        <vt:i4>4980853</vt:i4>
      </vt:variant>
      <vt:variant>
        <vt:i4>0</vt:i4>
      </vt:variant>
      <vt:variant>
        <vt:i4>0</vt:i4>
      </vt:variant>
      <vt:variant>
        <vt:i4>5</vt:i4>
      </vt:variant>
      <vt:variant>
        <vt:lpwstr>mailto:tourism.research@tra.gov.au</vt:lpwstr>
      </vt:variant>
      <vt:variant>
        <vt:lpwstr/>
      </vt:variant>
      <vt:variant>
        <vt:i4>4128826</vt:i4>
      </vt:variant>
      <vt:variant>
        <vt:i4>0</vt:i4>
      </vt:variant>
      <vt:variant>
        <vt:i4>0</vt:i4>
      </vt:variant>
      <vt:variant>
        <vt:i4>5</vt:i4>
      </vt:variant>
      <vt:variant>
        <vt:lpwstr>https://www.tra.gov.au/en/economic-analysis/annual-benchmark-report</vt:lpwstr>
      </vt:variant>
      <vt:variant>
        <vt:lpwstr/>
      </vt:variant>
      <vt:variant>
        <vt:i4>3997707</vt:i4>
      </vt:variant>
      <vt:variant>
        <vt:i4>3</vt:i4>
      </vt:variant>
      <vt:variant>
        <vt:i4>0</vt:i4>
      </vt:variant>
      <vt:variant>
        <vt:i4>5</vt:i4>
      </vt:variant>
      <vt:variant>
        <vt:lpwstr>mailto:Justin.Marshall@austrade.gov.au</vt:lpwstr>
      </vt:variant>
      <vt:variant>
        <vt:lpwstr/>
      </vt:variant>
      <vt:variant>
        <vt:i4>3997707</vt:i4>
      </vt:variant>
      <vt:variant>
        <vt:i4>0</vt:i4>
      </vt:variant>
      <vt:variant>
        <vt:i4>0</vt:i4>
      </vt:variant>
      <vt:variant>
        <vt:i4>5</vt:i4>
      </vt:variant>
      <vt:variant>
        <vt:lpwstr>mailto:Justin.Marshall@austrade.gov.au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Tourism forecasts for Australia 2025 to 2030</dc:title>
  <dc:subject>Tourism forecasts</dc:subject>
  <dc:creator>Rachel-Sirr [Canberra]</dc:creator>
  <cp:keywords/>
  <dc:description/>
  <cp:lastModifiedBy>Silas-Irvine [Canberra]</cp:lastModifiedBy>
  <cp:revision>2</cp:revision>
  <dcterms:created xsi:type="dcterms:W3CDTF">2025-12-11T01:17:00Z</dcterms:created>
  <dcterms:modified xsi:type="dcterms:W3CDTF">2025-12-11T01:17:00Z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