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SimSun" w:cs="Times New Roman"/>
          <w:b/>
          <w:bCs/>
          <w:color w:val="441D4A" w:themeColor="accent1" w:themeShade="80"/>
          <w:sz w:val="32"/>
          <w:szCs w:val="26"/>
          <w:lang w:eastAsia="zh-CN"/>
        </w:rPr>
        <w:id w:val="-1649280474"/>
        <w:docPartObj>
          <w:docPartGallery w:val="Cover Pages"/>
          <w:docPartUnique/>
        </w:docPartObj>
      </w:sdtPr>
      <w:sdtEndPr>
        <w:rPr>
          <w:b w:val="0"/>
        </w:rPr>
      </w:sdtEndPr>
      <w:sdtContent>
        <w:p w14:paraId="7E2854BD" w14:textId="77777777" w:rsidR="003A58AB" w:rsidRPr="009919F5" w:rsidRDefault="00F427E4" w:rsidP="009E6DB3">
          <w:r w:rsidRPr="009919F5">
            <w:rPr>
              <w:noProof/>
            </w:rPr>
            <w:drawing>
              <wp:anchor distT="0" distB="0" distL="114300" distR="114300" simplePos="0" relativeHeight="251658241" behindDoc="0" locked="1" layoutInCell="1" allowOverlap="1" wp14:anchorId="4DBBB7AD" wp14:editId="26117820">
                <wp:simplePos x="0" y="0"/>
                <wp:positionH relativeFrom="column">
                  <wp:posOffset>-49530</wp:posOffset>
                </wp:positionH>
                <wp:positionV relativeFrom="page">
                  <wp:posOffset>376555</wp:posOffset>
                </wp:positionV>
                <wp:extent cx="3340800" cy="1105200"/>
                <wp:effectExtent l="0" t="0" r="0" b="0"/>
                <wp:wrapNone/>
                <wp:docPr id="1592260426" name="Picture 1" descr="Tourism Research Australia crest. &#10;Australian Government&#10;Australian Trade and Investment Commission&#10;Tourism Researc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60426" name="Picture 1" descr="Tourism Research Australia crest. &#10;Australian Government&#10;Australian Trade and Investment Commission&#10;Tourism Research Australia"/>
                        <pic:cNvPicPr/>
                      </pic:nvPicPr>
                      <pic:blipFill>
                        <a:blip r:embed="rId11"/>
                        <a:stretch>
                          <a:fillRect/>
                        </a:stretch>
                      </pic:blipFill>
                      <pic:spPr>
                        <a:xfrm>
                          <a:off x="0" y="0"/>
                          <a:ext cx="3340800" cy="1105200"/>
                        </a:xfrm>
                        <a:prstGeom prst="rect">
                          <a:avLst/>
                        </a:prstGeom>
                      </pic:spPr>
                    </pic:pic>
                  </a:graphicData>
                </a:graphic>
                <wp14:sizeRelH relativeFrom="margin">
                  <wp14:pctWidth>0</wp14:pctWidth>
                </wp14:sizeRelH>
                <wp14:sizeRelV relativeFrom="margin">
                  <wp14:pctHeight>0</wp14:pctHeight>
                </wp14:sizeRelV>
              </wp:anchor>
            </w:drawing>
          </w:r>
          <w:r w:rsidR="00DC23E6" w:rsidRPr="009919F5">
            <w:rPr>
              <w:noProof/>
            </w:rPr>
            <w:drawing>
              <wp:anchor distT="0" distB="0" distL="114300" distR="114300" simplePos="0" relativeHeight="251658240" behindDoc="0" locked="0" layoutInCell="1" allowOverlap="1" wp14:anchorId="64B6A539" wp14:editId="4DED6D13">
                <wp:simplePos x="0" y="0"/>
                <wp:positionH relativeFrom="column">
                  <wp:posOffset>-521373</wp:posOffset>
                </wp:positionH>
                <wp:positionV relativeFrom="paragraph">
                  <wp:posOffset>-1088750</wp:posOffset>
                </wp:positionV>
                <wp:extent cx="7110095" cy="1569492"/>
                <wp:effectExtent l="0" t="0" r="0" b="0"/>
                <wp:wrapNone/>
                <wp:docPr id="63394149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941493" name="Picture 1">
                          <a:extLst>
                            <a:ext uri="{C183D7F6-B498-43B3-948B-1728B52AA6E4}">
                              <adec:decorative xmlns:adec="http://schemas.microsoft.com/office/drawing/2017/decorative" val="1"/>
                            </a:ext>
                          </a:extLst>
                        </pic:cNvPr>
                        <pic:cNvPicPr>
                          <a:picLocks noChangeAspect="1"/>
                        </pic:cNvPicPr>
                      </pic:nvPicPr>
                      <pic:blipFill rotWithShape="1">
                        <a:blip r:embed="rId12"/>
                        <a:srcRect r="5264"/>
                        <a:stretch/>
                      </pic:blipFill>
                      <pic:spPr bwMode="auto">
                        <a:xfrm>
                          <a:off x="0" y="0"/>
                          <a:ext cx="7110095" cy="15694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700CF1" w14:textId="13D98359" w:rsidR="003E38E3" w:rsidRPr="009919F5" w:rsidRDefault="00D50ABE" w:rsidP="00F87EE4">
          <w:pPr>
            <w:pStyle w:val="Heading1"/>
            <w:spacing w:before="720"/>
            <w:rPr>
              <w:rStyle w:val="Heading1Char"/>
              <w:bCs/>
            </w:rPr>
          </w:pPr>
          <w:r w:rsidRPr="009919F5">
            <w:t xml:space="preserve">Quarterly </w:t>
          </w:r>
          <w:r w:rsidR="00957378">
            <w:t>t</w:t>
          </w:r>
          <w:r w:rsidRPr="009919F5">
            <w:t xml:space="preserve">ourism </w:t>
          </w:r>
          <w:r w:rsidR="00957378">
            <w:t>l</w:t>
          </w:r>
          <w:r w:rsidRPr="009919F5">
            <w:t xml:space="preserve">abour </w:t>
          </w:r>
          <w:r w:rsidR="00957378">
            <w:t>s</w:t>
          </w:r>
          <w:r w:rsidRPr="009919F5">
            <w:t xml:space="preserve">tatistics </w:t>
          </w:r>
        </w:p>
        <w:p w14:paraId="595B4EA7" w14:textId="263E6635" w:rsidR="00E55893" w:rsidRPr="009919F5" w:rsidRDefault="00D50ABE" w:rsidP="00AE3BB1">
          <w:pPr>
            <w:pStyle w:val="Heading2"/>
            <w:spacing w:after="480"/>
          </w:pPr>
          <w:r w:rsidRPr="009919F5">
            <w:t xml:space="preserve">TRA summary – </w:t>
          </w:r>
          <w:r w:rsidR="003D0A67">
            <w:t>June</w:t>
          </w:r>
          <w:r w:rsidRPr="009919F5">
            <w:t xml:space="preserve"> quarter 202</w:t>
          </w:r>
          <w:r w:rsidR="00C123D7">
            <w:t>6</w:t>
          </w:r>
        </w:p>
      </w:sdtContent>
    </w:sdt>
    <w:p w14:paraId="0132ADC8" w14:textId="061D5047" w:rsidR="00E55893" w:rsidRPr="009919F5" w:rsidRDefault="009940B1" w:rsidP="004A0008">
      <w:pPr>
        <w:pStyle w:val="Heading2"/>
        <w:pBdr>
          <w:top w:val="double" w:sz="4" w:space="1" w:color="300050" w:themeColor="text2"/>
        </w:pBdr>
        <w:spacing w:before="720"/>
        <w:ind w:left="1418" w:right="471" w:hanging="709"/>
      </w:pPr>
      <w:r>
        <w:t>Key f</w:t>
      </w:r>
      <w:r w:rsidR="00AB7392">
        <w:t>act</w:t>
      </w:r>
      <w:r>
        <w:t>s</w:t>
      </w:r>
    </w:p>
    <w:p w14:paraId="10418C07" w14:textId="72EA464C" w:rsidR="00E55893" w:rsidRPr="008F5BCE" w:rsidRDefault="00E55893" w:rsidP="009940B1">
      <w:pPr>
        <w:ind w:left="1418" w:right="470" w:hanging="709"/>
        <w:rPr>
          <w:sz w:val="24"/>
          <w:szCs w:val="24"/>
        </w:rPr>
      </w:pPr>
      <w:r w:rsidRPr="008F5BCE">
        <w:rPr>
          <w:sz w:val="24"/>
          <w:szCs w:val="24"/>
        </w:rPr>
        <w:t xml:space="preserve">The number of filled jobs in the </w:t>
      </w:r>
      <w:r w:rsidR="001F00E4" w:rsidRPr="008F5BCE">
        <w:rPr>
          <w:sz w:val="24"/>
          <w:szCs w:val="24"/>
        </w:rPr>
        <w:t>tourism sector</w:t>
      </w:r>
      <w:r w:rsidRPr="008F5BCE">
        <w:rPr>
          <w:sz w:val="24"/>
          <w:szCs w:val="24"/>
        </w:rPr>
        <w:t>:</w:t>
      </w:r>
    </w:p>
    <w:p w14:paraId="3DA5AF21" w14:textId="69BA5FFD" w:rsidR="00E55893" w:rsidRPr="008F5BCE" w:rsidRDefault="00E55893" w:rsidP="009940B1">
      <w:pPr>
        <w:pStyle w:val="BulletList"/>
        <w:ind w:left="1418" w:right="470" w:hanging="709"/>
        <w:contextualSpacing w:val="0"/>
        <w:rPr>
          <w:sz w:val="24"/>
          <w:szCs w:val="24"/>
        </w:rPr>
      </w:pPr>
      <w:r w:rsidRPr="008F5BCE">
        <w:rPr>
          <w:sz w:val="24"/>
          <w:szCs w:val="24"/>
        </w:rPr>
        <w:t xml:space="preserve">was </w:t>
      </w:r>
      <w:r w:rsidR="00FE699E">
        <w:rPr>
          <w:sz w:val="24"/>
          <w:szCs w:val="24"/>
        </w:rPr>
        <w:t>726</w:t>
      </w:r>
      <w:r w:rsidR="0044296C" w:rsidRPr="008F5BCE">
        <w:rPr>
          <w:sz w:val="24"/>
          <w:szCs w:val="24"/>
        </w:rPr>
        <w:t>,</w:t>
      </w:r>
      <w:r w:rsidR="00FE699E">
        <w:rPr>
          <w:sz w:val="24"/>
          <w:szCs w:val="24"/>
        </w:rPr>
        <w:t>3</w:t>
      </w:r>
      <w:r w:rsidR="0044296C" w:rsidRPr="008F5BCE">
        <w:rPr>
          <w:sz w:val="24"/>
          <w:szCs w:val="24"/>
        </w:rPr>
        <w:t>00</w:t>
      </w:r>
      <w:r w:rsidRPr="008F5BCE">
        <w:rPr>
          <w:sz w:val="24"/>
          <w:szCs w:val="24"/>
        </w:rPr>
        <w:t xml:space="preserve"> in the </w:t>
      </w:r>
      <w:r w:rsidR="00DA1BDA">
        <w:rPr>
          <w:sz w:val="24"/>
          <w:szCs w:val="24"/>
        </w:rPr>
        <w:t>June</w:t>
      </w:r>
      <w:r w:rsidRPr="008F5BCE">
        <w:rPr>
          <w:sz w:val="24"/>
          <w:szCs w:val="24"/>
        </w:rPr>
        <w:t xml:space="preserve"> quarter 202</w:t>
      </w:r>
      <w:r w:rsidR="00C123D7">
        <w:rPr>
          <w:sz w:val="24"/>
          <w:szCs w:val="24"/>
        </w:rPr>
        <w:t>6</w:t>
      </w:r>
    </w:p>
    <w:p w14:paraId="7340C431" w14:textId="77777777" w:rsidR="007E29AF" w:rsidRPr="001E7FBA" w:rsidRDefault="007E29AF" w:rsidP="007E29AF">
      <w:pPr>
        <w:pStyle w:val="BulletList"/>
        <w:ind w:left="1418" w:right="470" w:hanging="709"/>
        <w:contextualSpacing w:val="0"/>
        <w:rPr>
          <w:sz w:val="24"/>
          <w:szCs w:val="24"/>
        </w:rPr>
      </w:pPr>
      <w:r w:rsidRPr="001E7FBA">
        <w:rPr>
          <w:sz w:val="24"/>
          <w:szCs w:val="24"/>
        </w:rPr>
        <w:t xml:space="preserve">was </w:t>
      </w:r>
      <w:r>
        <w:rPr>
          <w:sz w:val="24"/>
          <w:szCs w:val="24"/>
        </w:rPr>
        <w:t>28,300</w:t>
      </w:r>
      <w:r w:rsidRPr="001E7FBA">
        <w:rPr>
          <w:sz w:val="24"/>
          <w:szCs w:val="24"/>
        </w:rPr>
        <w:t xml:space="preserve"> (</w:t>
      </w:r>
      <w:r>
        <w:rPr>
          <w:sz w:val="24"/>
          <w:szCs w:val="24"/>
        </w:rPr>
        <w:t>4.1</w:t>
      </w:r>
      <w:r w:rsidRPr="001E7FBA">
        <w:rPr>
          <w:sz w:val="24"/>
          <w:szCs w:val="24"/>
        </w:rPr>
        <w:t>%) higher than the number of jobs a year ago (</w:t>
      </w:r>
      <w:r>
        <w:rPr>
          <w:sz w:val="24"/>
          <w:szCs w:val="24"/>
        </w:rPr>
        <w:t>June</w:t>
      </w:r>
      <w:r w:rsidRPr="001E7FBA">
        <w:rPr>
          <w:sz w:val="24"/>
          <w:szCs w:val="24"/>
        </w:rPr>
        <w:t xml:space="preserve"> quarter 202</w:t>
      </w:r>
      <w:r>
        <w:rPr>
          <w:sz w:val="24"/>
          <w:szCs w:val="24"/>
        </w:rPr>
        <w:t>5</w:t>
      </w:r>
      <w:r w:rsidRPr="001E7FBA">
        <w:rPr>
          <w:sz w:val="24"/>
          <w:szCs w:val="24"/>
        </w:rPr>
        <w:t xml:space="preserve">) </w:t>
      </w:r>
    </w:p>
    <w:p w14:paraId="183C4804" w14:textId="14095603" w:rsidR="00E55893" w:rsidRPr="008F5BCE" w:rsidRDefault="00FE699E" w:rsidP="009940B1">
      <w:pPr>
        <w:pStyle w:val="BulletList"/>
        <w:ind w:left="1418" w:right="470" w:hanging="709"/>
        <w:contextualSpacing w:val="0"/>
        <w:rPr>
          <w:sz w:val="24"/>
          <w:szCs w:val="24"/>
        </w:rPr>
      </w:pPr>
      <w:r>
        <w:rPr>
          <w:sz w:val="24"/>
          <w:szCs w:val="24"/>
        </w:rPr>
        <w:t>de</w:t>
      </w:r>
      <w:r w:rsidR="00E55893" w:rsidRPr="008F5BCE">
        <w:rPr>
          <w:sz w:val="24"/>
          <w:szCs w:val="24"/>
        </w:rPr>
        <w:t xml:space="preserve">creased by </w:t>
      </w:r>
      <w:r>
        <w:rPr>
          <w:sz w:val="24"/>
          <w:szCs w:val="24"/>
        </w:rPr>
        <w:t>1,200</w:t>
      </w:r>
      <w:r w:rsidR="00E55893" w:rsidRPr="008F5BCE">
        <w:rPr>
          <w:sz w:val="24"/>
          <w:szCs w:val="24"/>
        </w:rPr>
        <w:t xml:space="preserve"> jobs (</w:t>
      </w:r>
      <w:r w:rsidR="00BB0995" w:rsidRPr="008F5BCE">
        <w:rPr>
          <w:sz w:val="24"/>
          <w:szCs w:val="24"/>
        </w:rPr>
        <w:t>-</w:t>
      </w:r>
      <w:r>
        <w:rPr>
          <w:sz w:val="24"/>
          <w:szCs w:val="24"/>
        </w:rPr>
        <w:t>0.2</w:t>
      </w:r>
      <w:r w:rsidR="00E55893" w:rsidRPr="008F5BCE">
        <w:rPr>
          <w:sz w:val="24"/>
          <w:szCs w:val="24"/>
        </w:rPr>
        <w:t xml:space="preserve">%) from </w:t>
      </w:r>
      <w:r w:rsidR="00C4292F">
        <w:rPr>
          <w:sz w:val="24"/>
          <w:szCs w:val="24"/>
        </w:rPr>
        <w:t xml:space="preserve">the </w:t>
      </w:r>
      <w:r w:rsidR="00DA1BDA">
        <w:rPr>
          <w:sz w:val="24"/>
          <w:szCs w:val="24"/>
        </w:rPr>
        <w:t>March</w:t>
      </w:r>
      <w:r w:rsidR="00E55893" w:rsidRPr="008F5BCE">
        <w:rPr>
          <w:sz w:val="24"/>
          <w:szCs w:val="24"/>
        </w:rPr>
        <w:t xml:space="preserve"> quarter 20</w:t>
      </w:r>
      <w:r w:rsidR="00DA1BDA">
        <w:rPr>
          <w:sz w:val="24"/>
          <w:szCs w:val="24"/>
        </w:rPr>
        <w:t>26</w:t>
      </w:r>
    </w:p>
    <w:p w14:paraId="13DA6708" w14:textId="2E08C6BA" w:rsidR="001F00E4" w:rsidRPr="001E7FBA" w:rsidRDefault="0072474A" w:rsidP="009940B1">
      <w:pPr>
        <w:pStyle w:val="BulletList"/>
        <w:ind w:left="1418" w:right="470" w:hanging="709"/>
        <w:contextualSpacing w:val="0"/>
        <w:rPr>
          <w:sz w:val="24"/>
          <w:szCs w:val="24"/>
        </w:rPr>
      </w:pPr>
      <w:r w:rsidRPr="001E7FBA">
        <w:rPr>
          <w:sz w:val="24"/>
          <w:szCs w:val="24"/>
        </w:rPr>
        <w:t xml:space="preserve">was </w:t>
      </w:r>
      <w:r w:rsidR="002D7309">
        <w:rPr>
          <w:sz w:val="24"/>
          <w:szCs w:val="24"/>
        </w:rPr>
        <w:t>93,600</w:t>
      </w:r>
      <w:r w:rsidRPr="001E7FBA">
        <w:rPr>
          <w:sz w:val="24"/>
          <w:szCs w:val="24"/>
        </w:rPr>
        <w:t xml:space="preserve"> (</w:t>
      </w:r>
      <w:r w:rsidR="002D7309">
        <w:rPr>
          <w:sz w:val="24"/>
          <w:szCs w:val="24"/>
        </w:rPr>
        <w:t>15</w:t>
      </w:r>
      <w:r w:rsidRPr="001E7FBA">
        <w:rPr>
          <w:sz w:val="24"/>
          <w:szCs w:val="24"/>
        </w:rPr>
        <w:t xml:space="preserve">%) higher than the pre-pandemic peak (tourism jobs peaked at </w:t>
      </w:r>
      <w:r w:rsidR="00CE7B75">
        <w:rPr>
          <w:sz w:val="24"/>
          <w:szCs w:val="24"/>
        </w:rPr>
        <w:t>632,700</w:t>
      </w:r>
      <w:r w:rsidRPr="001E7FBA">
        <w:rPr>
          <w:sz w:val="24"/>
          <w:szCs w:val="24"/>
        </w:rPr>
        <w:t xml:space="preserve"> in the December quarter 2019)</w:t>
      </w:r>
      <w:r w:rsidR="00463A27" w:rsidRPr="001E7FBA">
        <w:rPr>
          <w:sz w:val="24"/>
          <w:szCs w:val="24"/>
        </w:rPr>
        <w:t xml:space="preserve"> </w:t>
      </w:r>
    </w:p>
    <w:p w14:paraId="07BE1434" w14:textId="77777777" w:rsidR="00AB7392" w:rsidRDefault="00E55893" w:rsidP="009940B1">
      <w:pPr>
        <w:pStyle w:val="BulletList"/>
        <w:pBdr>
          <w:bottom w:val="double" w:sz="4" w:space="1" w:color="300050" w:themeColor="text2"/>
        </w:pBdr>
        <w:ind w:left="1418" w:right="470" w:hanging="709"/>
        <w:contextualSpacing w:val="0"/>
        <w:rPr>
          <w:sz w:val="24"/>
          <w:szCs w:val="24"/>
        </w:rPr>
      </w:pPr>
      <w:r w:rsidRPr="001E7FBA">
        <w:rPr>
          <w:sz w:val="24"/>
          <w:szCs w:val="24"/>
        </w:rPr>
        <w:t>represents 1 in 2</w:t>
      </w:r>
      <w:r w:rsidR="00611A8B">
        <w:rPr>
          <w:sz w:val="24"/>
          <w:szCs w:val="24"/>
        </w:rPr>
        <w:t>2</w:t>
      </w:r>
      <w:r w:rsidRPr="001E7FBA">
        <w:rPr>
          <w:sz w:val="24"/>
          <w:szCs w:val="24"/>
        </w:rPr>
        <w:t xml:space="preserve"> filled jobs in the economy (or 4.</w:t>
      </w:r>
      <w:r w:rsidR="00611A8B">
        <w:rPr>
          <w:sz w:val="24"/>
          <w:szCs w:val="24"/>
        </w:rPr>
        <w:t>5</w:t>
      </w:r>
      <w:r w:rsidRPr="001E7FBA">
        <w:rPr>
          <w:sz w:val="24"/>
          <w:szCs w:val="24"/>
        </w:rPr>
        <w:t>%)</w:t>
      </w:r>
    </w:p>
    <w:p w14:paraId="1D0A84F2" w14:textId="2C9D0BE1" w:rsidR="00E55893" w:rsidRPr="001E7FBA" w:rsidRDefault="00901564" w:rsidP="00901564">
      <w:pPr>
        <w:pStyle w:val="BulletList"/>
        <w:numPr>
          <w:ilvl w:val="0"/>
          <w:numId w:val="0"/>
        </w:numPr>
        <w:pBdr>
          <w:bottom w:val="double" w:sz="4" w:space="1" w:color="300050" w:themeColor="text2"/>
        </w:pBdr>
        <w:ind w:left="709" w:right="470"/>
        <w:contextualSpacing w:val="0"/>
        <w:rPr>
          <w:sz w:val="24"/>
          <w:szCs w:val="24"/>
        </w:rPr>
      </w:pPr>
      <w:r>
        <w:rPr>
          <w:sz w:val="24"/>
          <w:szCs w:val="24"/>
        </w:rPr>
        <w:t>The June quarter is typically a seasonal low period for tourism jobs, while the December quarter is typically the seasonal peak.</w:t>
      </w:r>
    </w:p>
    <w:p w14:paraId="53830A24" w14:textId="4482B0C5" w:rsidR="004635F5" w:rsidRDefault="004635F5" w:rsidP="00CE7B75">
      <w:pPr>
        <w:spacing w:before="480" w:after="360" w:line="259" w:lineRule="auto"/>
        <w:jc w:val="center"/>
      </w:pPr>
      <w:r w:rsidRPr="004635F5">
        <w:rPr>
          <w:noProof/>
        </w:rPr>
        <w:drawing>
          <wp:inline distT="0" distB="0" distL="0" distR="0" wp14:anchorId="485DC799" wp14:editId="323770CC">
            <wp:extent cx="6329680" cy="1971675"/>
            <wp:effectExtent l="0" t="0" r="0" b="9525"/>
            <wp:docPr id="1515758352" name="Picture 7" descr="Infographic of summary figures stating: &#10;726,300 filled jobs;&#10;up 93,600 jobs vs. pre-pandemic (+15%);&#10;up 28,300 jobs vs 1 year ago (+4.1%);&#10;down 1,200 jobs vs last quarter (-0.2%);&#10;1 in 22 filled jobs in the Australian econom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58352" name="Picture 7" descr="Infographic of summary figures stating: &#10;726,300 filled jobs;&#10;up 93,600 jobs vs. pre-pandemic (+15%);&#10;up 28,300 jobs vs 1 year ago (+4.1%);&#10;down 1,200 jobs vs last quarter (-0.2%);&#10;1 in 22 filled jobs in the Australian economy.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29680" cy="1971675"/>
                    </a:xfrm>
                    <a:prstGeom prst="rect">
                      <a:avLst/>
                    </a:prstGeom>
                    <a:noFill/>
                    <a:ln>
                      <a:noFill/>
                    </a:ln>
                  </pic:spPr>
                </pic:pic>
              </a:graphicData>
            </a:graphic>
          </wp:inline>
        </w:drawing>
      </w:r>
    </w:p>
    <w:p w14:paraId="423B2771" w14:textId="19CECF9B" w:rsidR="00D87A63" w:rsidRPr="009919F5" w:rsidRDefault="00D87A63" w:rsidP="00B141D5">
      <w:pPr>
        <w:spacing w:line="240" w:lineRule="atLeast"/>
      </w:pPr>
      <w:r w:rsidRPr="009919F5">
        <w:t xml:space="preserve">Data provided by the Australian Bureau of Statistics (ABS) – </w:t>
      </w:r>
      <w:hyperlink r:id="rId14" w:history="1">
        <w:r w:rsidR="00C6769C" w:rsidRPr="00B5265D">
          <w:rPr>
            <w:rStyle w:val="Hyperlink"/>
          </w:rPr>
          <w:t>Tourism Satellite Accounts: quarterly tourism labour statistics, Australia | Australian Bureau of Statistics</w:t>
        </w:r>
      </w:hyperlink>
      <w:r w:rsidRPr="009919F5">
        <w:t xml:space="preserve"> </w:t>
      </w:r>
    </w:p>
    <w:p w14:paraId="4F1BF468" w14:textId="31B20C8C" w:rsidR="00321E47" w:rsidRPr="009919F5" w:rsidRDefault="00D50ABE" w:rsidP="00C27BF9">
      <w:pPr>
        <w:pStyle w:val="Heading2"/>
      </w:pPr>
      <w:r w:rsidRPr="009919F5">
        <w:lastRenderedPageBreak/>
        <w:t>Overview</w:t>
      </w:r>
    </w:p>
    <w:p w14:paraId="2263200B" w14:textId="201E44CD" w:rsidR="00BC3564" w:rsidRDefault="007F10DF" w:rsidP="00BC3564">
      <w:r w:rsidRPr="009919F5">
        <w:t>As at 3</w:t>
      </w:r>
      <w:r>
        <w:t>0</w:t>
      </w:r>
      <w:r w:rsidRPr="009919F5">
        <w:t xml:space="preserve"> </w:t>
      </w:r>
      <w:r>
        <w:t xml:space="preserve">June </w:t>
      </w:r>
      <w:r w:rsidRPr="009919F5">
        <w:t>202</w:t>
      </w:r>
      <w:r>
        <w:t>6</w:t>
      </w:r>
      <w:r w:rsidRPr="009919F5">
        <w:t xml:space="preserve">, the tourism sector had </w:t>
      </w:r>
      <w:r>
        <w:t>726</w:t>
      </w:r>
      <w:r w:rsidRPr="009919F5">
        <w:t>,</w:t>
      </w:r>
      <w:r w:rsidR="00CE7B75">
        <w:t>3</w:t>
      </w:r>
      <w:r w:rsidRPr="009919F5">
        <w:t>00 filled jobs (Figure 1). This represents a</w:t>
      </w:r>
      <w:r>
        <w:t xml:space="preserve"> small </w:t>
      </w:r>
      <w:r w:rsidR="00CE7B75">
        <w:t>de</w:t>
      </w:r>
      <w:r>
        <w:t>crease</w:t>
      </w:r>
      <w:r w:rsidRPr="009919F5">
        <w:t xml:space="preserve"> </w:t>
      </w:r>
      <w:r>
        <w:t xml:space="preserve">of </w:t>
      </w:r>
      <w:r w:rsidR="00CE7B75">
        <w:t>0.2</w:t>
      </w:r>
      <w:r>
        <w:t xml:space="preserve">% </w:t>
      </w:r>
      <w:r w:rsidRPr="009919F5">
        <w:t xml:space="preserve">from the </w:t>
      </w:r>
      <w:r>
        <w:t>previous</w:t>
      </w:r>
      <w:r w:rsidRPr="009919F5">
        <w:t xml:space="preserve"> quarter</w:t>
      </w:r>
      <w:r>
        <w:t xml:space="preserve"> (March quarter 2026)</w:t>
      </w:r>
      <w:r w:rsidRPr="009919F5">
        <w:t xml:space="preserve">, </w:t>
      </w:r>
      <w:r>
        <w:t>in line with the typical seasonal pattern of tourism jobs.</w:t>
      </w:r>
      <w:r w:rsidRPr="009919F5">
        <w:t xml:space="preserve"> </w:t>
      </w:r>
      <w:r w:rsidR="00BC3564">
        <w:t xml:space="preserve">The decline in tourism jobs in the June quarter was </w:t>
      </w:r>
      <w:r w:rsidR="007A5675">
        <w:t>driven entirely</w:t>
      </w:r>
      <w:r w:rsidR="00BC3564">
        <w:t xml:space="preserve"> by full-time jobs, while part-time jobs increased in the quarter. </w:t>
      </w:r>
    </w:p>
    <w:p w14:paraId="2A34FF1D" w14:textId="10F8BBBB" w:rsidR="007F10DF" w:rsidRDefault="007F10DF" w:rsidP="007F10DF">
      <w:r>
        <w:t>C</w:t>
      </w:r>
      <w:r w:rsidRPr="009919F5">
        <w:t xml:space="preserve">ompared with the </w:t>
      </w:r>
      <w:r>
        <w:t>same period last year (June</w:t>
      </w:r>
      <w:r w:rsidRPr="009919F5">
        <w:t xml:space="preserve"> quarter 202</w:t>
      </w:r>
      <w:r>
        <w:t>5)</w:t>
      </w:r>
      <w:r w:rsidRPr="009919F5">
        <w:t xml:space="preserve">, tourism jobs have increased </w:t>
      </w:r>
      <w:r w:rsidRPr="00C97AA2">
        <w:rPr>
          <w:color w:val="auto"/>
        </w:rPr>
        <w:t xml:space="preserve">by </w:t>
      </w:r>
      <w:r w:rsidR="00861B14">
        <w:rPr>
          <w:color w:val="auto"/>
        </w:rPr>
        <w:t>28,300</w:t>
      </w:r>
      <w:r w:rsidRPr="00C97AA2">
        <w:rPr>
          <w:color w:val="auto"/>
        </w:rPr>
        <w:t xml:space="preserve"> (</w:t>
      </w:r>
      <w:r w:rsidR="00861B14">
        <w:rPr>
          <w:color w:val="auto"/>
        </w:rPr>
        <w:t>4.1</w:t>
      </w:r>
      <w:r w:rsidRPr="00C97AA2">
        <w:rPr>
          <w:color w:val="auto"/>
        </w:rPr>
        <w:t xml:space="preserve">%). </w:t>
      </w:r>
      <w:r>
        <w:t xml:space="preserve">The number of tourism filled jobs has now seen continued </w:t>
      </w:r>
      <w:r w:rsidRPr="009919F5">
        <w:t>year-on-year growth</w:t>
      </w:r>
      <w:r>
        <w:t xml:space="preserve"> for the past </w:t>
      </w:r>
      <w:r w:rsidR="00861B14" w:rsidRPr="00861B14">
        <w:rPr>
          <w:color w:val="auto"/>
        </w:rPr>
        <w:t>7</w:t>
      </w:r>
      <w:r>
        <w:t xml:space="preserve"> quarters</w:t>
      </w:r>
      <w:r w:rsidRPr="009919F5">
        <w:t>,</w:t>
      </w:r>
      <w:r w:rsidRPr="009919F5">
        <w:rPr>
          <w:rFonts w:ascii="Segoe UI" w:hAnsi="Segoe UI" w:cs="Segoe UI"/>
          <w:sz w:val="18"/>
          <w:szCs w:val="18"/>
        </w:rPr>
        <w:t xml:space="preserve"> </w:t>
      </w:r>
      <w:r w:rsidRPr="009919F5">
        <w:t>which is a positive sign for the secto</w:t>
      </w:r>
      <w:r>
        <w:t>r</w:t>
      </w:r>
      <w:r w:rsidRPr="009919F5">
        <w:t>.</w:t>
      </w:r>
      <w:r w:rsidRPr="002C3769">
        <w:t xml:space="preserve"> </w:t>
      </w:r>
      <w:bookmarkStart w:id="0" w:name="_Hlk200625845"/>
    </w:p>
    <w:p w14:paraId="4E2BC3EA" w14:textId="5076A548" w:rsidR="007F10DF" w:rsidRDefault="007F10DF" w:rsidP="007F10DF">
      <w:r>
        <w:t>T</w:t>
      </w:r>
      <w:r w:rsidRPr="002C3769">
        <w:t xml:space="preserve">he number of tourism filled jobs in </w:t>
      </w:r>
      <w:r>
        <w:t>the June</w:t>
      </w:r>
      <w:r w:rsidRPr="002C3769">
        <w:t xml:space="preserve"> quarter 202</w:t>
      </w:r>
      <w:r>
        <w:t>6</w:t>
      </w:r>
      <w:r w:rsidRPr="002C3769">
        <w:t xml:space="preserve"> </w:t>
      </w:r>
      <w:r w:rsidRPr="00C12B2D">
        <w:rPr>
          <w:color w:val="auto"/>
        </w:rPr>
        <w:t xml:space="preserve">was </w:t>
      </w:r>
      <w:r w:rsidR="00861B14">
        <w:rPr>
          <w:color w:val="auto"/>
        </w:rPr>
        <w:t>15</w:t>
      </w:r>
      <w:r w:rsidRPr="00C12B2D">
        <w:rPr>
          <w:color w:val="auto"/>
        </w:rPr>
        <w:t xml:space="preserve">% higher </w:t>
      </w:r>
      <w:r w:rsidRPr="002C3769">
        <w:t>than the</w:t>
      </w:r>
      <w:r>
        <w:t xml:space="preserve"> pre-pandemic peak level </w:t>
      </w:r>
      <w:r w:rsidR="00374D4D">
        <w:t>in the December</w:t>
      </w:r>
      <w:r w:rsidR="00AD1187">
        <w:t xml:space="preserve"> quarter</w:t>
      </w:r>
      <w:r w:rsidR="00374D4D">
        <w:t xml:space="preserve"> 2019</w:t>
      </w:r>
      <w:r w:rsidR="00AD1187">
        <w:t>.</w:t>
      </w:r>
      <w:r w:rsidR="00F319FD">
        <w:tab/>
      </w:r>
    </w:p>
    <w:bookmarkEnd w:id="0"/>
    <w:p w14:paraId="358386ED" w14:textId="2B107C0B" w:rsidR="00D50ABE" w:rsidRDefault="00D50ABE" w:rsidP="00663A9C">
      <w:pPr>
        <w:pStyle w:val="BodyText"/>
        <w:widowControl/>
        <w:autoSpaceDE/>
        <w:autoSpaceDN/>
        <w:spacing w:after="160" w:line="300" w:lineRule="exact"/>
        <w:rPr>
          <w:color w:val="2D1A46"/>
          <w:spacing w:val="-2"/>
          <w:lang w:val="en-AU"/>
        </w:rPr>
      </w:pPr>
      <w:r w:rsidRPr="009919F5">
        <w:rPr>
          <w:b/>
          <w:color w:val="2D1A46"/>
          <w:lang w:val="en-AU"/>
        </w:rPr>
        <w:t>Figure</w:t>
      </w:r>
      <w:r w:rsidRPr="009919F5">
        <w:rPr>
          <w:b/>
          <w:color w:val="2D1A46"/>
          <w:spacing w:val="-6"/>
          <w:lang w:val="en-AU"/>
        </w:rPr>
        <w:t xml:space="preserve"> </w:t>
      </w:r>
      <w:r w:rsidRPr="009919F5">
        <w:rPr>
          <w:b/>
          <w:color w:val="2D1A46"/>
          <w:lang w:val="en-AU"/>
        </w:rPr>
        <w:t>1.</w:t>
      </w:r>
      <w:r w:rsidRPr="009919F5">
        <w:rPr>
          <w:b/>
          <w:color w:val="2D1A46"/>
          <w:spacing w:val="-6"/>
          <w:lang w:val="en-AU"/>
        </w:rPr>
        <w:t xml:space="preserve"> </w:t>
      </w:r>
      <w:r w:rsidR="00277A81" w:rsidRPr="009919F5">
        <w:rPr>
          <w:bCs/>
          <w:color w:val="2D1A46"/>
          <w:spacing w:val="-6"/>
          <w:lang w:val="en-AU"/>
        </w:rPr>
        <w:t>Number of t</w:t>
      </w:r>
      <w:r w:rsidRPr="009919F5">
        <w:rPr>
          <w:bCs/>
          <w:color w:val="2D1A46"/>
          <w:lang w:val="en-AU"/>
        </w:rPr>
        <w:t>ourism</w:t>
      </w:r>
      <w:r w:rsidRPr="009919F5">
        <w:rPr>
          <w:color w:val="2D1A46"/>
          <w:spacing w:val="-4"/>
          <w:lang w:val="en-AU"/>
        </w:rPr>
        <w:t xml:space="preserve"> </w:t>
      </w:r>
      <w:r w:rsidRPr="009919F5">
        <w:rPr>
          <w:color w:val="2D1A46"/>
          <w:lang w:val="en-AU"/>
        </w:rPr>
        <w:t>filled</w:t>
      </w:r>
      <w:r w:rsidRPr="009919F5">
        <w:rPr>
          <w:color w:val="2D1A46"/>
          <w:spacing w:val="-4"/>
          <w:lang w:val="en-AU"/>
        </w:rPr>
        <w:t xml:space="preserve"> </w:t>
      </w:r>
      <w:r w:rsidRPr="009919F5">
        <w:rPr>
          <w:color w:val="2D1A46"/>
          <w:lang w:val="en-AU"/>
        </w:rPr>
        <w:t>jobs</w:t>
      </w:r>
      <w:r w:rsidR="00277A81" w:rsidRPr="009919F5">
        <w:rPr>
          <w:color w:val="2D1A46"/>
          <w:lang w:val="en-AU"/>
        </w:rPr>
        <w:t xml:space="preserve"> (top panel)</w:t>
      </w:r>
      <w:r w:rsidR="00277A81" w:rsidRPr="009919F5">
        <w:rPr>
          <w:color w:val="2D1A46"/>
          <w:spacing w:val="-6"/>
          <w:lang w:val="en-AU"/>
        </w:rPr>
        <w:t xml:space="preserve"> </w:t>
      </w:r>
      <w:r w:rsidRPr="009919F5">
        <w:rPr>
          <w:color w:val="2D1A46"/>
          <w:lang w:val="en-AU"/>
        </w:rPr>
        <w:t>and</w:t>
      </w:r>
      <w:r w:rsidRPr="009919F5">
        <w:rPr>
          <w:color w:val="2D1A46"/>
          <w:spacing w:val="-7"/>
          <w:lang w:val="en-AU"/>
        </w:rPr>
        <w:t xml:space="preserve"> </w:t>
      </w:r>
      <w:r w:rsidRPr="009919F5">
        <w:rPr>
          <w:color w:val="2D1A46"/>
          <w:lang w:val="en-AU"/>
        </w:rPr>
        <w:t>quarterly</w:t>
      </w:r>
      <w:r w:rsidRPr="009919F5">
        <w:rPr>
          <w:color w:val="2D1A46"/>
          <w:spacing w:val="-5"/>
          <w:lang w:val="en-AU"/>
        </w:rPr>
        <w:t xml:space="preserve"> </w:t>
      </w:r>
      <w:r w:rsidRPr="009919F5">
        <w:rPr>
          <w:color w:val="2D1A46"/>
          <w:lang w:val="en-AU"/>
        </w:rPr>
        <w:t>change</w:t>
      </w:r>
      <w:r w:rsidR="00277A81" w:rsidRPr="009919F5">
        <w:rPr>
          <w:color w:val="2D1A46"/>
          <w:lang w:val="en-AU"/>
        </w:rPr>
        <w:t xml:space="preserve"> (bottom panel)</w:t>
      </w:r>
      <w:r w:rsidRPr="009919F5">
        <w:rPr>
          <w:color w:val="2D1A46"/>
          <w:lang w:val="en-AU"/>
        </w:rPr>
        <w:t>,</w:t>
      </w:r>
      <w:r w:rsidRPr="009919F5">
        <w:rPr>
          <w:color w:val="2D1A46"/>
          <w:spacing w:val="-8"/>
          <w:lang w:val="en-AU"/>
        </w:rPr>
        <w:t xml:space="preserve"> </w:t>
      </w:r>
      <w:r w:rsidR="000C37AF" w:rsidRPr="009919F5">
        <w:rPr>
          <w:color w:val="2D1A46"/>
          <w:lang w:val="en-AU"/>
        </w:rPr>
        <w:t>March quarter 2017</w:t>
      </w:r>
      <w:r w:rsidR="000C37AF" w:rsidRPr="009919F5">
        <w:rPr>
          <w:color w:val="2D1A46"/>
          <w:spacing w:val="-6"/>
          <w:lang w:val="en-AU"/>
        </w:rPr>
        <w:t xml:space="preserve"> </w:t>
      </w:r>
      <w:r w:rsidR="000C37AF" w:rsidRPr="009919F5">
        <w:rPr>
          <w:color w:val="2D1A46"/>
          <w:lang w:val="en-AU"/>
        </w:rPr>
        <w:t>to</w:t>
      </w:r>
      <w:r w:rsidR="000C37AF" w:rsidRPr="009919F5">
        <w:rPr>
          <w:color w:val="2D1A46"/>
          <w:spacing w:val="-6"/>
          <w:lang w:val="en-AU"/>
        </w:rPr>
        <w:t xml:space="preserve"> </w:t>
      </w:r>
      <w:r w:rsidR="003D0A67">
        <w:rPr>
          <w:color w:val="2D1A46"/>
          <w:lang w:val="en-AU"/>
        </w:rPr>
        <w:t>June</w:t>
      </w:r>
      <w:r w:rsidR="000C37AF" w:rsidRPr="009919F5">
        <w:rPr>
          <w:color w:val="2D1A46"/>
          <w:spacing w:val="-8"/>
          <w:lang w:val="en-AU"/>
        </w:rPr>
        <w:t xml:space="preserve"> quarter </w:t>
      </w:r>
      <w:r w:rsidR="000C37AF" w:rsidRPr="009919F5">
        <w:rPr>
          <w:color w:val="2D1A46"/>
          <w:spacing w:val="-2"/>
          <w:lang w:val="en-AU"/>
        </w:rPr>
        <w:t>202</w:t>
      </w:r>
      <w:r w:rsidR="00C268F3">
        <w:rPr>
          <w:color w:val="2D1A46"/>
          <w:spacing w:val="-2"/>
          <w:lang w:val="en-AU"/>
        </w:rPr>
        <w:t>6</w:t>
      </w:r>
      <w:r w:rsidR="000C37AF" w:rsidRPr="009919F5">
        <w:rPr>
          <w:color w:val="2D1A46"/>
          <w:spacing w:val="-2"/>
          <w:lang w:val="en-AU"/>
        </w:rPr>
        <w:t>.</w:t>
      </w:r>
    </w:p>
    <w:p w14:paraId="40423EDB" w14:textId="3373A0F9" w:rsidR="001F5E81" w:rsidRDefault="001A62AD">
      <w:pPr>
        <w:spacing w:before="0" w:after="160" w:line="259" w:lineRule="auto"/>
      </w:pPr>
      <w:r w:rsidRPr="001A62AD">
        <w:rPr>
          <w:noProof/>
        </w:rPr>
        <w:drawing>
          <wp:inline distT="0" distB="0" distL="0" distR="0" wp14:anchorId="474EFAAB" wp14:editId="1512C835">
            <wp:extent cx="6467475" cy="4686300"/>
            <wp:effectExtent l="0" t="0" r="9525" b="0"/>
            <wp:docPr id="1158745924" name="Picture 10" descr="Chart shows the number of tourism filled jobs from March quarter 2017 to June 2026 in the top panel. It shows a sharp decline during the pandemic period but the number of tourism jobs has since recovered and now exceeds pre-pandemic levels. The bottom panel of the chart shows bars with the quarterly change in the number of filled jobs over the same period. Data sourced from the Australian Bureau of Statistics (ABS) Tourism Satellite Account: quarterly tourism labour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45924" name="Picture 10" descr="Chart shows the number of tourism filled jobs from March quarter 2017 to June 2026 in the top panel. It shows a sharp decline during the pandemic period but the number of tourism jobs has since recovered and now exceeds pre-pandemic levels. The bottom panel of the chart shows bars with the quarterly change in the number of filled jobs over the same period. Data sourced from the Australian Bureau of Statistics (ABS) Tourism Satellite Account: quarterly tourism labour statistics."/>
                    <pic:cNvPicPr>
                      <a:picLocks noChangeAspect="1" noChangeArrowheads="1"/>
                    </pic:cNvPicPr>
                  </pic:nvPicPr>
                  <pic:blipFill rotWithShape="1">
                    <a:blip r:embed="rId15">
                      <a:extLst>
                        <a:ext uri="{28A0092B-C50C-407E-A947-70E740481C1C}">
                          <a14:useLocalDpi xmlns:a14="http://schemas.microsoft.com/office/drawing/2010/main" val="0"/>
                        </a:ext>
                      </a:extLst>
                    </a:blip>
                    <a:srcRect l="3428" r="2295"/>
                    <a:stretch>
                      <a:fillRect/>
                    </a:stretch>
                  </pic:blipFill>
                  <pic:spPr bwMode="auto">
                    <a:xfrm>
                      <a:off x="0" y="0"/>
                      <a:ext cx="6471123" cy="4688943"/>
                    </a:xfrm>
                    <a:prstGeom prst="rect">
                      <a:avLst/>
                    </a:prstGeom>
                    <a:noFill/>
                    <a:ln>
                      <a:noFill/>
                    </a:ln>
                    <a:extLst>
                      <a:ext uri="{53640926-AAD7-44D8-BBD7-CCE9431645EC}">
                        <a14:shadowObscured xmlns:a14="http://schemas.microsoft.com/office/drawing/2010/main"/>
                      </a:ext>
                    </a:extLst>
                  </pic:spPr>
                </pic:pic>
              </a:graphicData>
            </a:graphic>
          </wp:inline>
        </w:drawing>
      </w:r>
    </w:p>
    <w:p w14:paraId="3E731269" w14:textId="67BC5CD5" w:rsidR="00D50ABE" w:rsidRPr="00A85902" w:rsidRDefault="00D50ABE" w:rsidP="00A85902">
      <w:pPr>
        <w:pStyle w:val="Heading2"/>
      </w:pPr>
      <w:r w:rsidRPr="00A85902">
        <w:t>Key insights</w:t>
      </w:r>
      <w:r w:rsidR="00A21215" w:rsidRPr="00A85902">
        <w:t xml:space="preserve"> and outlook</w:t>
      </w:r>
    </w:p>
    <w:p w14:paraId="1277416B" w14:textId="34E1DAB8" w:rsidR="005D00C9" w:rsidRDefault="005A6FFB" w:rsidP="005D00C9">
      <w:r w:rsidRPr="009919F5">
        <w:t xml:space="preserve">Tourism </w:t>
      </w:r>
      <w:r w:rsidR="00511D49">
        <w:t xml:space="preserve">continued to </w:t>
      </w:r>
      <w:r w:rsidRPr="009919F5">
        <w:t xml:space="preserve">account for </w:t>
      </w:r>
      <w:r w:rsidRPr="00DD2294">
        <w:rPr>
          <w:color w:val="auto"/>
        </w:rPr>
        <w:t>4</w:t>
      </w:r>
      <w:r w:rsidR="00651500" w:rsidRPr="00DD2294">
        <w:rPr>
          <w:color w:val="auto"/>
        </w:rPr>
        <w:t>.</w:t>
      </w:r>
      <w:r w:rsidR="00A2236C" w:rsidRPr="00DD2294">
        <w:rPr>
          <w:color w:val="auto"/>
        </w:rPr>
        <w:t>5</w:t>
      </w:r>
      <w:r w:rsidRPr="00DD2294">
        <w:rPr>
          <w:color w:val="auto"/>
        </w:rPr>
        <w:t xml:space="preserve">% </w:t>
      </w:r>
      <w:r w:rsidRPr="009919F5">
        <w:t>of total filled jobs in the economy</w:t>
      </w:r>
      <w:r w:rsidR="00B57773" w:rsidRPr="009919F5">
        <w:t xml:space="preserve"> in the </w:t>
      </w:r>
      <w:r w:rsidR="003D0A67">
        <w:t>June</w:t>
      </w:r>
      <w:r w:rsidR="00B57773" w:rsidRPr="009919F5">
        <w:t xml:space="preserve"> quarter 202</w:t>
      </w:r>
      <w:r w:rsidR="00C268F3">
        <w:t>6</w:t>
      </w:r>
      <w:r w:rsidRPr="009919F5">
        <w:t xml:space="preserve">, </w:t>
      </w:r>
      <w:r w:rsidR="00C74A3B" w:rsidRPr="009919F5">
        <w:t>unchanged from recent quarters</w:t>
      </w:r>
      <w:r w:rsidR="00830005">
        <w:t xml:space="preserve"> and </w:t>
      </w:r>
      <w:r w:rsidR="00511D49">
        <w:t>in line with historical</w:t>
      </w:r>
      <w:r w:rsidR="00496F4C">
        <w:t xml:space="preserve"> peaks</w:t>
      </w:r>
      <w:r w:rsidR="005D00C9">
        <w:t>.</w:t>
      </w:r>
      <w:r w:rsidR="00A21215">
        <w:t xml:space="preserve"> </w:t>
      </w:r>
    </w:p>
    <w:p w14:paraId="5E10BD42" w14:textId="5554C47D" w:rsidR="007A3BAC" w:rsidRDefault="007A3BAC" w:rsidP="007A3BAC">
      <w:r>
        <w:lastRenderedPageBreak/>
        <w:t xml:space="preserve">Tourism jobs </w:t>
      </w:r>
      <w:r w:rsidR="00BA15A9">
        <w:t xml:space="preserve">have continued to post faster </w:t>
      </w:r>
      <w:r w:rsidR="007767AD">
        <w:t xml:space="preserve">year-on-year growth rates than total economy-wide jobs (see inset on Figure 2 below). </w:t>
      </w:r>
      <w:r w:rsidR="00CA5C27">
        <w:t xml:space="preserve">Tourism </w:t>
      </w:r>
      <w:r w:rsidR="00CA5C27" w:rsidRPr="00971A07">
        <w:rPr>
          <w:color w:val="auto"/>
        </w:rPr>
        <w:t>jobs increased by 4.</w:t>
      </w:r>
      <w:r w:rsidR="00CA5C27">
        <w:rPr>
          <w:color w:val="auto"/>
        </w:rPr>
        <w:t>1</w:t>
      </w:r>
      <w:r w:rsidR="00CA5C27" w:rsidRPr="00971A07">
        <w:rPr>
          <w:color w:val="auto"/>
        </w:rPr>
        <w:t>% over the past year, while total economy</w:t>
      </w:r>
      <w:r w:rsidR="00CD2A4F">
        <w:rPr>
          <w:color w:val="auto"/>
        </w:rPr>
        <w:t>-</w:t>
      </w:r>
      <w:r w:rsidR="00CA5C27" w:rsidRPr="00971A07">
        <w:rPr>
          <w:color w:val="auto"/>
        </w:rPr>
        <w:t xml:space="preserve">wide filled jobs increased by </w:t>
      </w:r>
      <w:r w:rsidR="00CA5C27">
        <w:rPr>
          <w:color w:val="auto"/>
        </w:rPr>
        <w:t>2.6</w:t>
      </w:r>
      <w:r w:rsidR="00CA5C27" w:rsidRPr="00971A07">
        <w:rPr>
          <w:color w:val="auto"/>
        </w:rPr>
        <w:t xml:space="preserve">% </w:t>
      </w:r>
      <w:r w:rsidR="00CA5C27">
        <w:t xml:space="preserve">over the same period (Figure 2). </w:t>
      </w:r>
      <w:r w:rsidR="007767AD">
        <w:t xml:space="preserve">However, </w:t>
      </w:r>
      <w:r w:rsidR="001C0ED1">
        <w:t xml:space="preserve">the pace of growth in economy-wide jobs </w:t>
      </w:r>
      <w:r w:rsidR="00CA5C27">
        <w:t xml:space="preserve">has been increasing since September 2025, while the pace of growth in tourism jobs has been moderating </w:t>
      </w:r>
      <w:r w:rsidR="007767AD">
        <w:t xml:space="preserve">over </w:t>
      </w:r>
      <w:r w:rsidR="00CA5C27">
        <w:t xml:space="preserve">that same period. </w:t>
      </w:r>
    </w:p>
    <w:p w14:paraId="094B7923" w14:textId="1F55BE0F" w:rsidR="00E72F0B" w:rsidRDefault="00E72F0B" w:rsidP="00426432">
      <w:r>
        <w:t xml:space="preserve">An interesting </w:t>
      </w:r>
      <w:r w:rsidR="00B760D0">
        <w:t xml:space="preserve">detail this quarter is the </w:t>
      </w:r>
      <w:r>
        <w:t>large divergence between growth in part-time jobs (up by 7.6% in the quarter) compared with a decline in full-time jobs (down by 9% in the quarter).</w:t>
      </w:r>
      <w:r w:rsidR="00B760D0">
        <w:t xml:space="preserve"> There was also a s</w:t>
      </w:r>
      <w:r>
        <w:t xml:space="preserve">imilar divergence </w:t>
      </w:r>
      <w:r w:rsidR="0079002A">
        <w:t>between growth in secondary tourism jobs (up by 7.6%)</w:t>
      </w:r>
      <w:r w:rsidR="00271E5D">
        <w:t xml:space="preserve"> in the quarter, while the number of </w:t>
      </w:r>
      <w:r>
        <w:t xml:space="preserve">main jobs </w:t>
      </w:r>
      <w:r w:rsidR="00271E5D">
        <w:t xml:space="preserve">declined </w:t>
      </w:r>
      <w:r>
        <w:t>(down by 0.9%)</w:t>
      </w:r>
      <w:r w:rsidR="00271E5D">
        <w:t xml:space="preserve">. </w:t>
      </w:r>
      <w:r w:rsidR="00DA2B56">
        <w:t>While</w:t>
      </w:r>
      <w:r w:rsidR="00271E5D">
        <w:t xml:space="preserve"> quarter</w:t>
      </w:r>
      <w:r w:rsidR="00DA2B56">
        <w:t xml:space="preserve">ly </w:t>
      </w:r>
      <w:r w:rsidR="00271E5D">
        <w:t xml:space="preserve">data </w:t>
      </w:r>
      <w:r w:rsidR="009116AF">
        <w:t>can</w:t>
      </w:r>
      <w:r w:rsidR="00DA2B56">
        <w:t xml:space="preserve"> be volatile</w:t>
      </w:r>
      <w:r>
        <w:t>,</w:t>
      </w:r>
      <w:r w:rsidR="00560F11">
        <w:t xml:space="preserve"> it is possible these divergences are indicative of </w:t>
      </w:r>
      <w:r w:rsidR="00426432">
        <w:t xml:space="preserve">reduced work hours in the tourism sector. </w:t>
      </w:r>
    </w:p>
    <w:p w14:paraId="2BD1E2F0" w14:textId="2304398C" w:rsidR="00562FE2" w:rsidRDefault="00B57773" w:rsidP="009A25EF">
      <w:pPr>
        <w:spacing w:before="360" w:line="240" w:lineRule="atLeast"/>
        <w:rPr>
          <w:color w:val="2D1A46"/>
          <w:spacing w:val="-2"/>
        </w:rPr>
      </w:pPr>
      <w:r w:rsidRPr="009919F5">
        <w:rPr>
          <w:b/>
          <w:color w:val="2D1A46"/>
        </w:rPr>
        <w:t>Figure</w:t>
      </w:r>
      <w:r w:rsidRPr="009919F5">
        <w:rPr>
          <w:b/>
          <w:color w:val="2D1A46"/>
          <w:spacing w:val="-5"/>
        </w:rPr>
        <w:t xml:space="preserve"> </w:t>
      </w:r>
      <w:r w:rsidRPr="009919F5">
        <w:rPr>
          <w:b/>
          <w:color w:val="2D1A46"/>
        </w:rPr>
        <w:t>2.</w:t>
      </w:r>
      <w:r w:rsidRPr="009919F5">
        <w:rPr>
          <w:b/>
          <w:color w:val="2D1A46"/>
          <w:spacing w:val="-5"/>
        </w:rPr>
        <w:t xml:space="preserve"> </w:t>
      </w:r>
      <w:r w:rsidRPr="009919F5">
        <w:rPr>
          <w:color w:val="2D1A46"/>
        </w:rPr>
        <w:t>Economy</w:t>
      </w:r>
      <w:r w:rsidRPr="009919F5">
        <w:rPr>
          <w:color w:val="2D1A46"/>
          <w:spacing w:val="-6"/>
        </w:rPr>
        <w:t xml:space="preserve"> </w:t>
      </w:r>
      <w:r w:rsidRPr="009919F5">
        <w:rPr>
          <w:color w:val="2D1A46"/>
        </w:rPr>
        <w:t>wide</w:t>
      </w:r>
      <w:r w:rsidRPr="009919F5">
        <w:rPr>
          <w:color w:val="2D1A46"/>
          <w:spacing w:val="-7"/>
        </w:rPr>
        <w:t xml:space="preserve"> </w:t>
      </w:r>
      <w:r w:rsidRPr="009919F5">
        <w:rPr>
          <w:color w:val="2D1A46"/>
        </w:rPr>
        <w:t>jobs</w:t>
      </w:r>
      <w:r w:rsidRPr="009919F5">
        <w:rPr>
          <w:color w:val="2D1A46"/>
          <w:spacing w:val="-6"/>
        </w:rPr>
        <w:t xml:space="preserve"> </w:t>
      </w:r>
      <w:r w:rsidRPr="009919F5">
        <w:rPr>
          <w:color w:val="2D1A46"/>
        </w:rPr>
        <w:t>and</w:t>
      </w:r>
      <w:r w:rsidRPr="009919F5">
        <w:rPr>
          <w:color w:val="2D1A46"/>
          <w:spacing w:val="-5"/>
        </w:rPr>
        <w:t xml:space="preserve"> </w:t>
      </w:r>
      <w:r w:rsidRPr="009919F5">
        <w:rPr>
          <w:color w:val="2D1A46"/>
        </w:rPr>
        <w:t>tourism</w:t>
      </w:r>
      <w:r w:rsidRPr="009919F5">
        <w:rPr>
          <w:color w:val="2D1A46"/>
          <w:spacing w:val="-3"/>
        </w:rPr>
        <w:t xml:space="preserve"> </w:t>
      </w:r>
      <w:r w:rsidRPr="009919F5">
        <w:rPr>
          <w:color w:val="2D1A46"/>
        </w:rPr>
        <w:t>filled</w:t>
      </w:r>
      <w:r w:rsidRPr="009919F5">
        <w:rPr>
          <w:color w:val="2D1A46"/>
          <w:spacing w:val="-2"/>
        </w:rPr>
        <w:t xml:space="preserve"> </w:t>
      </w:r>
      <w:r w:rsidRPr="009919F5">
        <w:rPr>
          <w:color w:val="2D1A46"/>
        </w:rPr>
        <w:t>jobs,</w:t>
      </w:r>
      <w:r w:rsidRPr="009919F5">
        <w:rPr>
          <w:color w:val="2D1A46"/>
          <w:spacing w:val="-5"/>
        </w:rPr>
        <w:t xml:space="preserve"> </w:t>
      </w:r>
      <w:r w:rsidRPr="009919F5">
        <w:rPr>
          <w:color w:val="2D1A46"/>
        </w:rPr>
        <w:t>March 2017</w:t>
      </w:r>
      <w:r w:rsidRPr="009919F5">
        <w:rPr>
          <w:color w:val="2D1A46"/>
          <w:spacing w:val="-5"/>
        </w:rPr>
        <w:t xml:space="preserve"> </w:t>
      </w:r>
      <w:r w:rsidRPr="009919F5">
        <w:rPr>
          <w:color w:val="2D1A46"/>
        </w:rPr>
        <w:t>to</w:t>
      </w:r>
      <w:r w:rsidRPr="009919F5">
        <w:rPr>
          <w:color w:val="2D1A46"/>
          <w:spacing w:val="-5"/>
        </w:rPr>
        <w:t xml:space="preserve"> </w:t>
      </w:r>
      <w:r w:rsidR="00780644">
        <w:rPr>
          <w:color w:val="2D1A46"/>
        </w:rPr>
        <w:t>June</w:t>
      </w:r>
      <w:r w:rsidRPr="009919F5">
        <w:rPr>
          <w:color w:val="2D1A46"/>
          <w:spacing w:val="-6"/>
        </w:rPr>
        <w:t xml:space="preserve"> quarter </w:t>
      </w:r>
      <w:r w:rsidRPr="009919F5">
        <w:rPr>
          <w:color w:val="2D1A46"/>
          <w:spacing w:val="-2"/>
        </w:rPr>
        <w:t>202</w:t>
      </w:r>
      <w:r w:rsidR="00CD00C0">
        <w:rPr>
          <w:color w:val="2D1A46"/>
          <w:spacing w:val="-2"/>
        </w:rPr>
        <w:t>6</w:t>
      </w:r>
      <w:r w:rsidRPr="009919F5">
        <w:rPr>
          <w:color w:val="2D1A46"/>
          <w:spacing w:val="-2"/>
        </w:rPr>
        <w:t>.</w:t>
      </w:r>
    </w:p>
    <w:p w14:paraId="1EA4BC61" w14:textId="33A08407" w:rsidR="009A25EF" w:rsidRDefault="002F4483" w:rsidP="009A25EF">
      <w:pPr>
        <w:spacing w:before="360" w:line="240" w:lineRule="atLeast"/>
        <w:rPr>
          <w:color w:val="2D1A46"/>
          <w:spacing w:val="-2"/>
        </w:rPr>
      </w:pPr>
      <w:r w:rsidRPr="002F4483">
        <w:rPr>
          <w:noProof/>
        </w:rPr>
        <w:drawing>
          <wp:inline distT="0" distB="0" distL="0" distR="0" wp14:anchorId="74A461C0" wp14:editId="5AF1A0A2">
            <wp:extent cx="6286500" cy="4517110"/>
            <wp:effectExtent l="0" t="0" r="0" b="0"/>
            <wp:docPr id="1455447153" name="Picture 11" descr="Chart shows the number of jobs in the entire Australian economy (values on the left axis) and the number of jobs in tourism (values on the right axis) from March 2017 to June 2026 . There are also dotted lines showing the peak number of jobs in 2019 for each of the two series for comparison. &#10;There is an inset on the chart that shows the annual growth rates of tourism jobs and economy-wide jobs over the recent past. Data sourced from the Australian Bureau of Statistics (ABS) Tourism Satellite Account: quarterly tourism labour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47153" name="Picture 11" descr="Chart shows the number of jobs in the entire Australian economy (values on the left axis) and the number of jobs in tourism (values on the right axis) from March 2017 to June 2026 . There are also dotted lines showing the peak number of jobs in 2019 for each of the two series for comparison. &#10;There is an inset on the chart that shows the annual growth rates of tourism jobs and economy-wide jobs over the recent past. Data sourced from the Australian Bureau of Statistics (ABS) Tourism Satellite Account: quarterly tourism labour statistics."/>
                    <pic:cNvPicPr>
                      <a:picLocks noChangeAspect="1" noChangeArrowheads="1"/>
                    </pic:cNvPicPr>
                  </pic:nvPicPr>
                  <pic:blipFill rotWithShape="1">
                    <a:blip r:embed="rId16">
                      <a:extLst>
                        <a:ext uri="{28A0092B-C50C-407E-A947-70E740481C1C}">
                          <a14:useLocalDpi xmlns:a14="http://schemas.microsoft.com/office/drawing/2010/main" val="0"/>
                        </a:ext>
                      </a:extLst>
                    </a:blip>
                    <a:srcRect l="1355" r="983"/>
                    <a:stretch>
                      <a:fillRect/>
                    </a:stretch>
                  </pic:blipFill>
                  <pic:spPr bwMode="auto">
                    <a:xfrm>
                      <a:off x="0" y="0"/>
                      <a:ext cx="6288085" cy="4518249"/>
                    </a:xfrm>
                    <a:prstGeom prst="rect">
                      <a:avLst/>
                    </a:prstGeom>
                    <a:noFill/>
                    <a:ln>
                      <a:noFill/>
                    </a:ln>
                    <a:extLst>
                      <a:ext uri="{53640926-AAD7-44D8-BBD7-CCE9431645EC}">
                        <a14:shadowObscured xmlns:a14="http://schemas.microsoft.com/office/drawing/2010/main"/>
                      </a:ext>
                    </a:extLst>
                  </pic:spPr>
                </pic:pic>
              </a:graphicData>
            </a:graphic>
          </wp:inline>
        </w:drawing>
      </w:r>
    </w:p>
    <w:p w14:paraId="712425A2" w14:textId="77777777" w:rsidR="009A25EF" w:rsidRDefault="009A25EF" w:rsidP="009A25EF">
      <w:pPr>
        <w:spacing w:before="360" w:line="240" w:lineRule="atLeast"/>
        <w:rPr>
          <w:color w:val="2D1A46"/>
          <w:spacing w:val="-2"/>
        </w:rPr>
      </w:pPr>
    </w:p>
    <w:p w14:paraId="2094B90F" w14:textId="2DFBCA0F" w:rsidR="00D50ABE" w:rsidRPr="009919F5" w:rsidRDefault="00AF24BF" w:rsidP="00A85902">
      <w:pPr>
        <w:pStyle w:val="Heading2"/>
      </w:pPr>
      <w:r w:rsidRPr="009919F5">
        <w:t>Tourism jobs by s</w:t>
      </w:r>
      <w:r w:rsidR="00D50ABE" w:rsidRPr="009919F5">
        <w:t>ector</w:t>
      </w:r>
    </w:p>
    <w:p w14:paraId="5B5C1EAA" w14:textId="77777777" w:rsidR="009D045A" w:rsidRDefault="00F33263" w:rsidP="00ED4B97">
      <w:r>
        <w:t xml:space="preserve">Across the various tourism-related sectors, there were </w:t>
      </w:r>
      <w:r w:rsidR="009A6BC3">
        <w:t xml:space="preserve">generally only </w:t>
      </w:r>
      <w:r w:rsidR="00E65A15">
        <w:t xml:space="preserve">small </w:t>
      </w:r>
      <w:r>
        <w:t xml:space="preserve">changes in </w:t>
      </w:r>
      <w:r w:rsidR="009A6BC3">
        <w:t xml:space="preserve">the number of filled </w:t>
      </w:r>
      <w:r>
        <w:t xml:space="preserve">jobs </w:t>
      </w:r>
      <w:r w:rsidR="00050F60" w:rsidRPr="005D3A15">
        <w:rPr>
          <w:b/>
          <w:bCs/>
        </w:rPr>
        <w:t xml:space="preserve">in the </w:t>
      </w:r>
      <w:r w:rsidR="00050F60">
        <w:rPr>
          <w:b/>
          <w:bCs/>
        </w:rPr>
        <w:t>June</w:t>
      </w:r>
      <w:r w:rsidR="00050F60" w:rsidRPr="005D3A15">
        <w:rPr>
          <w:b/>
          <w:bCs/>
        </w:rPr>
        <w:t xml:space="preserve"> quarter 2026</w:t>
      </w:r>
      <w:r w:rsidR="00050F60">
        <w:t xml:space="preserve"> compared with the March quarter 2026</w:t>
      </w:r>
      <w:r w:rsidR="009A6BC3">
        <w:t xml:space="preserve">. </w:t>
      </w:r>
    </w:p>
    <w:p w14:paraId="1750662D" w14:textId="29822BDE" w:rsidR="009D045A" w:rsidRDefault="00FC1AF6" w:rsidP="009D045A">
      <w:pPr>
        <w:pStyle w:val="BulletList"/>
      </w:pPr>
      <w:r>
        <w:lastRenderedPageBreak/>
        <w:t>Half</w:t>
      </w:r>
      <w:r w:rsidR="001D4556">
        <w:t xml:space="preserve"> of the tourism</w:t>
      </w:r>
      <w:r w:rsidR="003D0585">
        <w:t>-</w:t>
      </w:r>
      <w:r w:rsidR="001D4556">
        <w:t>related industries saw increase</w:t>
      </w:r>
      <w:r w:rsidR="003D0585">
        <w:t>d filled jobs</w:t>
      </w:r>
      <w:r w:rsidR="001D4556">
        <w:t xml:space="preserve"> in the quarter, including </w:t>
      </w:r>
      <w:r w:rsidR="00A27808">
        <w:t xml:space="preserve">most notably </w:t>
      </w:r>
      <w:r w:rsidR="001D4556">
        <w:t xml:space="preserve">the </w:t>
      </w:r>
      <w:r w:rsidR="00CA6296" w:rsidRPr="00F83E6C">
        <w:t>cafes, restaurants and takeaway food services</w:t>
      </w:r>
      <w:r w:rsidR="00CA6296">
        <w:t xml:space="preserve"> </w:t>
      </w:r>
      <w:r w:rsidR="00B247AE" w:rsidRPr="00A27808">
        <w:t xml:space="preserve">industry (up </w:t>
      </w:r>
      <w:r w:rsidR="00A27808" w:rsidRPr="00A27808">
        <w:t>1,</w:t>
      </w:r>
      <w:r w:rsidR="00B247AE" w:rsidRPr="00A27808">
        <w:t>300 jobs, +</w:t>
      </w:r>
      <w:r w:rsidR="00A27808" w:rsidRPr="00A27808">
        <w:t>0.6</w:t>
      </w:r>
      <w:r w:rsidR="00B247AE" w:rsidRPr="00A27808">
        <w:t xml:space="preserve">%) </w:t>
      </w:r>
      <w:r w:rsidR="00CA6296" w:rsidRPr="00A27808">
        <w:t>and</w:t>
      </w:r>
      <w:r w:rsidR="00B247AE" w:rsidRPr="00A27808">
        <w:t xml:space="preserve"> the</w:t>
      </w:r>
      <w:r w:rsidR="00CA6296" w:rsidRPr="00A27808">
        <w:t xml:space="preserve"> </w:t>
      </w:r>
      <w:r w:rsidR="00B247AE" w:rsidRPr="00A27808">
        <w:t>cultural services industry (up 400 jobs, +</w:t>
      </w:r>
      <w:r w:rsidR="00A27808" w:rsidRPr="00A27808">
        <w:t>2.3</w:t>
      </w:r>
      <w:r w:rsidR="00B247AE" w:rsidRPr="00A27808">
        <w:t>%)</w:t>
      </w:r>
      <w:r w:rsidR="00A27808">
        <w:t xml:space="preserve">. </w:t>
      </w:r>
    </w:p>
    <w:p w14:paraId="32B0D69D" w14:textId="2508CA7A" w:rsidR="00ED4B97" w:rsidRDefault="00FC1AF6" w:rsidP="009D045A">
      <w:pPr>
        <w:pStyle w:val="BulletList"/>
      </w:pPr>
      <w:r>
        <w:t>On the other hand, 5 of the 12 tourism</w:t>
      </w:r>
      <w:r w:rsidR="007176BC">
        <w:t>-</w:t>
      </w:r>
      <w:r>
        <w:t>related industries saw decreases in the quarter, most notably</w:t>
      </w:r>
      <w:r w:rsidR="00ED4B97">
        <w:t xml:space="preserve"> the </w:t>
      </w:r>
      <w:r w:rsidR="00ED4B97" w:rsidRPr="00C618B9">
        <w:t>accommodation (</w:t>
      </w:r>
      <w:r w:rsidR="00ED4B97">
        <w:t>down</w:t>
      </w:r>
      <w:r w:rsidR="00ED4B97" w:rsidRPr="00C618B9">
        <w:t xml:space="preserve"> </w:t>
      </w:r>
      <w:r w:rsidR="00ED4B97">
        <w:t>7</w:t>
      </w:r>
      <w:r w:rsidR="00ED4B97" w:rsidRPr="00C618B9">
        <w:t xml:space="preserve">00 jobs, </w:t>
      </w:r>
      <w:r w:rsidR="00ED4B97">
        <w:t>-0.5</w:t>
      </w:r>
      <w:r w:rsidR="00ED4B97" w:rsidRPr="00C618B9">
        <w:t>%)</w:t>
      </w:r>
      <w:r w:rsidR="009D045A">
        <w:t>, c</w:t>
      </w:r>
      <w:r w:rsidR="009D045A" w:rsidRPr="00F83E6C">
        <w:t>lubs, pubs, taverns &amp; bars</w:t>
      </w:r>
      <w:r w:rsidR="009D045A">
        <w:t xml:space="preserve"> (down 500 jobs, -1.1%), </w:t>
      </w:r>
      <w:r w:rsidR="00ED4B97" w:rsidRPr="00F83E6C">
        <w:t>sports and recreation services</w:t>
      </w:r>
      <w:r w:rsidR="00ED4B97">
        <w:t xml:space="preserve"> (down </w:t>
      </w:r>
      <w:r w:rsidR="009D045A">
        <w:t>9</w:t>
      </w:r>
      <w:r w:rsidR="00ED4B97">
        <w:t>00 jobs, -</w:t>
      </w:r>
      <w:r w:rsidR="009D045A">
        <w:t>2.5</w:t>
      </w:r>
      <w:r w:rsidR="00ED4B97">
        <w:t>%)</w:t>
      </w:r>
      <w:r w:rsidR="009D045A">
        <w:t xml:space="preserve">, and </w:t>
      </w:r>
      <w:r w:rsidR="00ED4B97" w:rsidRPr="00ED4B97">
        <w:t xml:space="preserve">retail trade (down </w:t>
      </w:r>
      <w:r w:rsidR="009D045A">
        <w:t>9</w:t>
      </w:r>
      <w:r w:rsidR="00ED4B97" w:rsidRPr="00ED4B97">
        <w:t>00 jobs, -</w:t>
      </w:r>
      <w:r w:rsidR="009D045A">
        <w:t>0.7</w:t>
      </w:r>
      <w:r w:rsidR="00ED4B97" w:rsidRPr="00ED4B97">
        <w:t xml:space="preserve">%) </w:t>
      </w:r>
      <w:r w:rsidR="009D045A">
        <w:t>industries.</w:t>
      </w:r>
      <w:r w:rsidR="00ED4B97" w:rsidRPr="00ED4B97">
        <w:t xml:space="preserve"> </w:t>
      </w:r>
    </w:p>
    <w:p w14:paraId="07F91B0E" w14:textId="3AE5810D" w:rsidR="007C0231" w:rsidRPr="00ED4B97" w:rsidRDefault="007C0231" w:rsidP="009D045A">
      <w:pPr>
        <w:pStyle w:val="BulletList"/>
      </w:pPr>
      <w:r>
        <w:t xml:space="preserve">There was one industry, the </w:t>
      </w:r>
      <w:r w:rsidR="00D751F8">
        <w:t>casinos and other gambling services industry, that recorded no change in filled jobs over the quarter.</w:t>
      </w:r>
    </w:p>
    <w:p w14:paraId="3C2FBE81" w14:textId="77777777" w:rsidR="002226A3" w:rsidRDefault="00494CAF" w:rsidP="00050F60">
      <w:pPr>
        <w:spacing w:before="0" w:after="160"/>
        <w:rPr>
          <w:color w:val="auto"/>
        </w:rPr>
      </w:pPr>
      <w:r>
        <w:rPr>
          <w:b/>
          <w:bCs/>
        </w:rPr>
        <w:t>O</w:t>
      </w:r>
      <w:r w:rsidR="00050F60" w:rsidRPr="005D3A15">
        <w:rPr>
          <w:b/>
          <w:bCs/>
        </w:rPr>
        <w:t>ver the past year</w:t>
      </w:r>
      <w:r w:rsidR="00050F60">
        <w:t xml:space="preserve">, all tourism-related industries except for ‘casinos and other gambling services' </w:t>
      </w:r>
      <w:r w:rsidR="006923EC">
        <w:t xml:space="preserve">and </w:t>
      </w:r>
      <w:r w:rsidR="00596FCE">
        <w:t xml:space="preserve">‘education and training’ </w:t>
      </w:r>
      <w:r w:rsidR="00050F60">
        <w:t xml:space="preserve">recorded increased job numbers (Figure 3). </w:t>
      </w:r>
      <w:r w:rsidR="002226A3">
        <w:rPr>
          <w:color w:val="auto"/>
        </w:rPr>
        <w:t xml:space="preserve">It is notable that the two industries that had fewer tourism filled jobs compared with the previous year, are two of the industries where there are still fewer tourism filled jobs than there were prior to the pandemic. </w:t>
      </w:r>
    </w:p>
    <w:p w14:paraId="730658D3" w14:textId="46A30F10" w:rsidR="00050F60" w:rsidRDefault="00050F60" w:rsidP="00050F60">
      <w:pPr>
        <w:spacing w:before="0" w:after="160"/>
        <w:rPr>
          <w:color w:val="auto"/>
        </w:rPr>
      </w:pPr>
      <w:r w:rsidRPr="009940B1">
        <w:t>Over the past year</w:t>
      </w:r>
      <w:r w:rsidRPr="009919F5">
        <w:t xml:space="preserve">, the increase in tourism filled </w:t>
      </w:r>
      <w:r w:rsidRPr="00C618B9">
        <w:rPr>
          <w:color w:val="auto"/>
        </w:rPr>
        <w:t xml:space="preserve">jobs was led strongly by increases in the accommodation </w:t>
      </w:r>
      <w:r w:rsidR="001C57C5" w:rsidRPr="00C618B9">
        <w:rPr>
          <w:color w:val="auto"/>
        </w:rPr>
        <w:t xml:space="preserve">industry </w:t>
      </w:r>
      <w:r w:rsidRPr="00C618B9">
        <w:rPr>
          <w:color w:val="auto"/>
        </w:rPr>
        <w:t>(up 20,</w:t>
      </w:r>
      <w:r w:rsidR="00596FCE">
        <w:rPr>
          <w:color w:val="auto"/>
        </w:rPr>
        <w:t>5</w:t>
      </w:r>
      <w:r w:rsidRPr="00C618B9">
        <w:rPr>
          <w:color w:val="auto"/>
        </w:rPr>
        <w:t>00 jobs, 1</w:t>
      </w:r>
      <w:r w:rsidR="00596FCE">
        <w:rPr>
          <w:color w:val="auto"/>
        </w:rPr>
        <w:t>8</w:t>
      </w:r>
      <w:r w:rsidRPr="00C618B9">
        <w:rPr>
          <w:color w:val="auto"/>
        </w:rPr>
        <w:t>%)</w:t>
      </w:r>
      <w:r w:rsidRPr="00426C8F">
        <w:rPr>
          <w:color w:val="auto"/>
        </w:rPr>
        <w:t>. Th</w:t>
      </w:r>
      <w:r w:rsidR="00167D32">
        <w:rPr>
          <w:color w:val="auto"/>
        </w:rPr>
        <w:t xml:space="preserve">e accommodation </w:t>
      </w:r>
      <w:r w:rsidRPr="00426C8F">
        <w:rPr>
          <w:color w:val="auto"/>
        </w:rPr>
        <w:t xml:space="preserve">industry alone accounted for </w:t>
      </w:r>
      <w:r w:rsidR="006347D8">
        <w:rPr>
          <w:color w:val="auto"/>
        </w:rPr>
        <w:t>72</w:t>
      </w:r>
      <w:r w:rsidRPr="00426C8F">
        <w:rPr>
          <w:color w:val="auto"/>
        </w:rPr>
        <w:t xml:space="preserve">% of the increase in </w:t>
      </w:r>
      <w:r>
        <w:rPr>
          <w:color w:val="auto"/>
        </w:rPr>
        <w:t xml:space="preserve">tourism </w:t>
      </w:r>
      <w:r w:rsidRPr="00426C8F">
        <w:rPr>
          <w:color w:val="auto"/>
        </w:rPr>
        <w:t xml:space="preserve">jobs between </w:t>
      </w:r>
      <w:r w:rsidR="00596FCE">
        <w:rPr>
          <w:color w:val="auto"/>
        </w:rPr>
        <w:t>June</w:t>
      </w:r>
      <w:r w:rsidRPr="00426C8F">
        <w:rPr>
          <w:color w:val="auto"/>
        </w:rPr>
        <w:t xml:space="preserve"> 2025 and </w:t>
      </w:r>
      <w:r w:rsidR="00596FCE">
        <w:rPr>
          <w:color w:val="auto"/>
        </w:rPr>
        <w:t xml:space="preserve">June </w:t>
      </w:r>
      <w:r w:rsidRPr="00426C8F">
        <w:rPr>
          <w:color w:val="auto"/>
        </w:rPr>
        <w:t xml:space="preserve">2026. </w:t>
      </w:r>
      <w:r w:rsidR="00CD447F">
        <w:rPr>
          <w:color w:val="auto"/>
        </w:rPr>
        <w:t>Accommodation is one of the three largest tourism-related industries</w:t>
      </w:r>
      <w:r w:rsidR="007D002E">
        <w:rPr>
          <w:color w:val="auto"/>
        </w:rPr>
        <w:t xml:space="preserve"> in terms of filled jobs</w:t>
      </w:r>
      <w:r w:rsidR="00CD447F">
        <w:rPr>
          <w:color w:val="auto"/>
        </w:rPr>
        <w:t>, along with retail trade and</w:t>
      </w:r>
      <w:r w:rsidR="00CD447F" w:rsidRPr="007D0AC4">
        <w:t xml:space="preserve"> </w:t>
      </w:r>
      <w:r w:rsidR="00CD447F">
        <w:t xml:space="preserve">the </w:t>
      </w:r>
      <w:r w:rsidR="00CD447F" w:rsidRPr="00F83E6C">
        <w:t>cafes, restaurants and takeaway food services</w:t>
      </w:r>
      <w:r w:rsidR="00CD447F">
        <w:t xml:space="preserve"> industry</w:t>
      </w:r>
      <w:r w:rsidR="00CD447F">
        <w:rPr>
          <w:color w:val="auto"/>
        </w:rPr>
        <w:t>.</w:t>
      </w:r>
    </w:p>
    <w:p w14:paraId="4C7347D5" w14:textId="68F9E081" w:rsidR="00802F3E" w:rsidRPr="00450315" w:rsidRDefault="005F18A8" w:rsidP="005C686B">
      <w:pPr>
        <w:spacing w:before="0" w:after="160"/>
        <w:rPr>
          <w:color w:val="auto"/>
        </w:rPr>
      </w:pPr>
      <w:r w:rsidRPr="00450315">
        <w:rPr>
          <w:color w:val="auto"/>
        </w:rPr>
        <w:t xml:space="preserve">Conversely, </w:t>
      </w:r>
      <w:r w:rsidR="006E3319" w:rsidRPr="00450315">
        <w:rPr>
          <w:color w:val="auto"/>
        </w:rPr>
        <w:t>the relatively small ‘</w:t>
      </w:r>
      <w:r w:rsidR="00450315" w:rsidRPr="00450315">
        <w:rPr>
          <w:color w:val="auto"/>
        </w:rPr>
        <w:t>c</w:t>
      </w:r>
      <w:r w:rsidR="006E3319" w:rsidRPr="00450315">
        <w:rPr>
          <w:color w:val="auto"/>
        </w:rPr>
        <w:t xml:space="preserve">asinos and other gambling services’ industry has seen continued </w:t>
      </w:r>
      <w:r w:rsidR="00802F3E" w:rsidRPr="00450315">
        <w:rPr>
          <w:color w:val="auto"/>
        </w:rPr>
        <w:t xml:space="preserve">declines in filled jobs on a year-on-year basis since the December 2023 quarter. </w:t>
      </w:r>
    </w:p>
    <w:p w14:paraId="564924E7" w14:textId="631215F3" w:rsidR="000D6251" w:rsidRDefault="00AC4023" w:rsidP="00DA07A7">
      <w:pPr>
        <w:spacing w:before="0" w:after="160"/>
        <w:rPr>
          <w:color w:val="2D1A46"/>
          <w:spacing w:val="-5"/>
        </w:rPr>
      </w:pPr>
      <w:r w:rsidRPr="009919F5">
        <w:rPr>
          <w:b/>
          <w:color w:val="2D1A46"/>
        </w:rPr>
        <w:t>Figure</w:t>
      </w:r>
      <w:r w:rsidRPr="009919F5">
        <w:rPr>
          <w:b/>
          <w:color w:val="2D1A46"/>
          <w:spacing w:val="-5"/>
        </w:rPr>
        <w:t xml:space="preserve"> 3</w:t>
      </w:r>
      <w:r w:rsidRPr="009919F5">
        <w:rPr>
          <w:b/>
          <w:color w:val="2D1A46"/>
        </w:rPr>
        <w:t>.</w:t>
      </w:r>
      <w:r w:rsidRPr="009919F5">
        <w:rPr>
          <w:b/>
          <w:color w:val="2D1A46"/>
          <w:spacing w:val="-5"/>
        </w:rPr>
        <w:t xml:space="preserve"> </w:t>
      </w:r>
      <w:r w:rsidRPr="009919F5">
        <w:rPr>
          <w:color w:val="2D1A46"/>
        </w:rPr>
        <w:t>Change in</w:t>
      </w:r>
      <w:r w:rsidRPr="009919F5">
        <w:rPr>
          <w:color w:val="2D1A46"/>
          <w:spacing w:val="-5"/>
        </w:rPr>
        <w:t xml:space="preserve"> </w:t>
      </w:r>
      <w:r w:rsidRPr="009919F5">
        <w:rPr>
          <w:color w:val="2D1A46"/>
        </w:rPr>
        <w:t>tourism</w:t>
      </w:r>
      <w:r w:rsidRPr="009919F5">
        <w:rPr>
          <w:color w:val="2D1A46"/>
          <w:spacing w:val="-3"/>
        </w:rPr>
        <w:t xml:space="preserve"> </w:t>
      </w:r>
      <w:r w:rsidRPr="009919F5">
        <w:rPr>
          <w:color w:val="2D1A46"/>
        </w:rPr>
        <w:t>filled</w:t>
      </w:r>
      <w:r w:rsidRPr="009919F5">
        <w:rPr>
          <w:color w:val="2D1A46"/>
          <w:spacing w:val="-2"/>
        </w:rPr>
        <w:t xml:space="preserve"> </w:t>
      </w:r>
      <w:r w:rsidRPr="009919F5">
        <w:rPr>
          <w:color w:val="2D1A46"/>
        </w:rPr>
        <w:t>jobs, by tourism-related industry, over the period from</w:t>
      </w:r>
      <w:r w:rsidRPr="009919F5">
        <w:rPr>
          <w:color w:val="2D1A46"/>
          <w:spacing w:val="-5"/>
        </w:rPr>
        <w:t xml:space="preserve"> </w:t>
      </w:r>
      <w:r w:rsidR="00B83474">
        <w:rPr>
          <w:color w:val="2D1A46"/>
          <w:spacing w:val="-5"/>
        </w:rPr>
        <w:t>June</w:t>
      </w:r>
      <w:r w:rsidR="00CD4545" w:rsidRPr="009919F5">
        <w:rPr>
          <w:color w:val="2D1A46"/>
          <w:spacing w:val="-5"/>
        </w:rPr>
        <w:t xml:space="preserve"> </w:t>
      </w:r>
      <w:r w:rsidR="000D6251" w:rsidRPr="009919F5">
        <w:rPr>
          <w:color w:val="2D1A46"/>
          <w:spacing w:val="-5"/>
        </w:rPr>
        <w:t>quarter 202</w:t>
      </w:r>
      <w:r w:rsidR="00162A5B">
        <w:rPr>
          <w:color w:val="2D1A46"/>
          <w:spacing w:val="-5"/>
        </w:rPr>
        <w:t xml:space="preserve">5 </w:t>
      </w:r>
      <w:r w:rsidR="000D6251" w:rsidRPr="009919F5">
        <w:rPr>
          <w:color w:val="2D1A46"/>
        </w:rPr>
        <w:t>to</w:t>
      </w:r>
      <w:r w:rsidR="000D6251" w:rsidRPr="009919F5">
        <w:rPr>
          <w:color w:val="2D1A46"/>
          <w:spacing w:val="-5"/>
        </w:rPr>
        <w:t xml:space="preserve"> </w:t>
      </w:r>
      <w:r w:rsidR="00AF0572">
        <w:rPr>
          <w:color w:val="2D1A46"/>
        </w:rPr>
        <w:t>June</w:t>
      </w:r>
      <w:r w:rsidR="00162A5B">
        <w:rPr>
          <w:color w:val="2D1A46"/>
        </w:rPr>
        <w:t xml:space="preserve"> </w:t>
      </w:r>
      <w:r w:rsidR="000D6251" w:rsidRPr="009919F5">
        <w:rPr>
          <w:color w:val="2D1A46"/>
          <w:spacing w:val="-6"/>
        </w:rPr>
        <w:t xml:space="preserve">quarter </w:t>
      </w:r>
      <w:r w:rsidR="000D6251" w:rsidRPr="009919F5">
        <w:rPr>
          <w:color w:val="2D1A46"/>
          <w:spacing w:val="-2"/>
        </w:rPr>
        <w:t>202</w:t>
      </w:r>
      <w:r w:rsidR="00162A5B">
        <w:rPr>
          <w:color w:val="2D1A46"/>
          <w:spacing w:val="-2"/>
        </w:rPr>
        <w:t>6</w:t>
      </w:r>
      <w:r w:rsidR="000D6251" w:rsidRPr="009919F5">
        <w:rPr>
          <w:color w:val="2D1A46"/>
          <w:spacing w:val="-2"/>
        </w:rPr>
        <w:t xml:space="preserve"> (i.e. change over the year).</w:t>
      </w:r>
    </w:p>
    <w:p w14:paraId="735E2F8D" w14:textId="5E0D2077" w:rsidR="00E85854" w:rsidRDefault="00BE54BB" w:rsidP="00153296">
      <w:pPr>
        <w:spacing w:before="0" w:after="160" w:line="240" w:lineRule="atLeast"/>
      </w:pPr>
      <w:r w:rsidRPr="00BE54BB">
        <w:rPr>
          <w:noProof/>
        </w:rPr>
        <w:drawing>
          <wp:inline distT="0" distB="0" distL="0" distR="0" wp14:anchorId="4D339B6A" wp14:editId="0E767EC2">
            <wp:extent cx="6267450" cy="3676650"/>
            <wp:effectExtent l="0" t="0" r="0" b="0"/>
            <wp:docPr id="1650991298" name="Picture 19" descr="Chart shows the change in the number of tourism filled jobs from June quarter 2025 to June quarter 2026 by tourism-related industry. It also shows the change over this period, by tourism-related industry, as a percentage. Data sourced from the Australian Bureau of Statistics (ABS) Tourism Satellite Account: quarterly tourism labour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991298" name="Picture 19" descr="Chart shows the change in the number of tourism filled jobs from June quarter 2025 to June quarter 2026 by tourism-related industry. It also shows the change over this period, by tourism-related industry, as a percentage. Data sourced from the Australian Bureau of Statistics (ABS) Tourism Satellite Account: quarterly tourism labour statistics."/>
                    <pic:cNvPicPr>
                      <a:picLocks noChangeAspect="1" noChangeArrowheads="1"/>
                    </pic:cNvPicPr>
                  </pic:nvPicPr>
                  <pic:blipFill rotWithShape="1">
                    <a:blip r:embed="rId17">
                      <a:extLst>
                        <a:ext uri="{28A0092B-C50C-407E-A947-70E740481C1C}">
                          <a14:useLocalDpi xmlns:a14="http://schemas.microsoft.com/office/drawing/2010/main" val="0"/>
                        </a:ext>
                      </a:extLst>
                    </a:blip>
                    <a:srcRect r="983"/>
                    <a:stretch>
                      <a:fillRect/>
                    </a:stretch>
                  </pic:blipFill>
                  <pic:spPr bwMode="auto">
                    <a:xfrm>
                      <a:off x="0" y="0"/>
                      <a:ext cx="6267450" cy="3676650"/>
                    </a:xfrm>
                    <a:prstGeom prst="rect">
                      <a:avLst/>
                    </a:prstGeom>
                    <a:noFill/>
                    <a:ln>
                      <a:noFill/>
                    </a:ln>
                    <a:extLst>
                      <a:ext uri="{53640926-AAD7-44D8-BBD7-CCE9431645EC}">
                        <a14:shadowObscured xmlns:a14="http://schemas.microsoft.com/office/drawing/2010/main"/>
                      </a:ext>
                    </a:extLst>
                  </pic:spPr>
                </pic:pic>
              </a:graphicData>
            </a:graphic>
          </wp:inline>
        </w:drawing>
      </w:r>
    </w:p>
    <w:p w14:paraId="00310CFF" w14:textId="3D27BA19" w:rsidR="00D50ABE" w:rsidRPr="009919F5" w:rsidRDefault="00FD1A08" w:rsidP="00A85902">
      <w:pPr>
        <w:pStyle w:val="Heading2"/>
      </w:pPr>
      <w:r w:rsidRPr="009919F5">
        <w:lastRenderedPageBreak/>
        <w:t>Tourism j</w:t>
      </w:r>
      <w:r w:rsidR="00D50ABE" w:rsidRPr="009919F5">
        <w:t>ob characteristics</w:t>
      </w:r>
    </w:p>
    <w:p w14:paraId="1365A2E0" w14:textId="77777777" w:rsidR="008A5877" w:rsidRDefault="008A5877" w:rsidP="00A85902">
      <w:pPr>
        <w:pStyle w:val="Heading3"/>
      </w:pPr>
      <w:r>
        <w:t>Full-time jobs and part-time jobs</w:t>
      </w:r>
    </w:p>
    <w:p w14:paraId="3CA33FB2" w14:textId="74E22C60" w:rsidR="004228C6" w:rsidRDefault="006C12C5" w:rsidP="00175BDC">
      <w:pPr>
        <w:rPr>
          <w:color w:val="auto"/>
        </w:rPr>
      </w:pPr>
      <w:r w:rsidRPr="00111A1B">
        <w:rPr>
          <w:color w:val="auto"/>
        </w:rPr>
        <w:t xml:space="preserve">The </w:t>
      </w:r>
      <w:r w:rsidR="00153296" w:rsidRPr="00111A1B">
        <w:rPr>
          <w:color w:val="auto"/>
        </w:rPr>
        <w:t>decline in tourism jobs in the June quarter 202</w:t>
      </w:r>
      <w:r w:rsidR="00FA001C" w:rsidRPr="00111A1B">
        <w:rPr>
          <w:color w:val="auto"/>
        </w:rPr>
        <w:t>6</w:t>
      </w:r>
      <w:r w:rsidR="00153296" w:rsidRPr="00111A1B">
        <w:rPr>
          <w:color w:val="auto"/>
        </w:rPr>
        <w:t xml:space="preserve"> </w:t>
      </w:r>
      <w:r w:rsidR="00374FCC" w:rsidRPr="00111A1B">
        <w:rPr>
          <w:color w:val="auto"/>
        </w:rPr>
        <w:t xml:space="preserve">relative to the previous quarter </w:t>
      </w:r>
      <w:r w:rsidR="00153296" w:rsidRPr="00111A1B">
        <w:rPr>
          <w:color w:val="auto"/>
        </w:rPr>
        <w:t xml:space="preserve">was </w:t>
      </w:r>
      <w:r w:rsidR="001B1E94">
        <w:rPr>
          <w:color w:val="auto"/>
        </w:rPr>
        <w:t>due entire</w:t>
      </w:r>
      <w:r w:rsidR="00C24445">
        <w:rPr>
          <w:color w:val="auto"/>
        </w:rPr>
        <w:t>ly to</w:t>
      </w:r>
      <w:r w:rsidR="00153296" w:rsidRPr="00111A1B">
        <w:rPr>
          <w:color w:val="auto"/>
        </w:rPr>
        <w:t xml:space="preserve"> a fall in the </w:t>
      </w:r>
      <w:r w:rsidRPr="00111A1B">
        <w:rPr>
          <w:color w:val="auto"/>
        </w:rPr>
        <w:t xml:space="preserve">number of </w:t>
      </w:r>
      <w:r w:rsidR="009940B1" w:rsidRPr="00111A1B">
        <w:rPr>
          <w:color w:val="auto"/>
        </w:rPr>
        <w:t>full-time</w:t>
      </w:r>
      <w:r w:rsidR="00864F5E" w:rsidRPr="00111A1B">
        <w:rPr>
          <w:color w:val="auto"/>
        </w:rPr>
        <w:t xml:space="preserve"> </w:t>
      </w:r>
      <w:r w:rsidR="00B91556" w:rsidRPr="00111A1B">
        <w:rPr>
          <w:color w:val="auto"/>
        </w:rPr>
        <w:t xml:space="preserve">tourism </w:t>
      </w:r>
      <w:r w:rsidR="00864F5E" w:rsidRPr="00111A1B">
        <w:rPr>
          <w:color w:val="auto"/>
        </w:rPr>
        <w:t>jobs</w:t>
      </w:r>
      <w:r w:rsidR="001B414E">
        <w:rPr>
          <w:color w:val="auto"/>
        </w:rPr>
        <w:t xml:space="preserve"> (Figure </w:t>
      </w:r>
      <w:r w:rsidR="007156B1">
        <w:rPr>
          <w:color w:val="auto"/>
        </w:rPr>
        <w:t>4</w:t>
      </w:r>
      <w:r w:rsidR="001B414E">
        <w:rPr>
          <w:color w:val="auto"/>
        </w:rPr>
        <w:t xml:space="preserve">). The number of tourism full-time jobs </w:t>
      </w:r>
      <w:r w:rsidR="000115B2">
        <w:rPr>
          <w:color w:val="auto"/>
        </w:rPr>
        <w:t>declined by</w:t>
      </w:r>
      <w:r w:rsidRPr="00111A1B">
        <w:rPr>
          <w:color w:val="auto"/>
        </w:rPr>
        <w:t xml:space="preserve"> </w:t>
      </w:r>
      <w:r w:rsidR="00EA173C" w:rsidRPr="00111A1B">
        <w:rPr>
          <w:color w:val="auto"/>
        </w:rPr>
        <w:t>30</w:t>
      </w:r>
      <w:r w:rsidR="00FF32CF" w:rsidRPr="00111A1B">
        <w:rPr>
          <w:color w:val="auto"/>
        </w:rPr>
        <w:t>,500</w:t>
      </w:r>
      <w:r w:rsidR="00F13519" w:rsidRPr="00111A1B">
        <w:rPr>
          <w:color w:val="auto"/>
        </w:rPr>
        <w:t xml:space="preserve"> </w:t>
      </w:r>
      <w:r w:rsidR="000115B2">
        <w:rPr>
          <w:color w:val="auto"/>
        </w:rPr>
        <w:t>in the June quarter</w:t>
      </w:r>
      <w:r w:rsidR="00F13519" w:rsidRPr="00111A1B">
        <w:rPr>
          <w:color w:val="auto"/>
        </w:rPr>
        <w:t xml:space="preserve"> </w:t>
      </w:r>
      <w:r w:rsidR="000115B2">
        <w:rPr>
          <w:color w:val="auto"/>
        </w:rPr>
        <w:t>(</w:t>
      </w:r>
      <w:r w:rsidR="00FF32CF" w:rsidRPr="00111A1B">
        <w:rPr>
          <w:color w:val="auto"/>
        </w:rPr>
        <w:t>-</w:t>
      </w:r>
      <w:r w:rsidR="00A47407" w:rsidRPr="00111A1B">
        <w:rPr>
          <w:color w:val="auto"/>
        </w:rPr>
        <w:t>9.0</w:t>
      </w:r>
      <w:r w:rsidR="00F13519" w:rsidRPr="00111A1B">
        <w:rPr>
          <w:color w:val="auto"/>
        </w:rPr>
        <w:t>%)</w:t>
      </w:r>
      <w:r w:rsidRPr="00111A1B">
        <w:rPr>
          <w:color w:val="auto"/>
        </w:rPr>
        <w:t xml:space="preserve">, </w:t>
      </w:r>
      <w:r w:rsidR="004228C6">
        <w:rPr>
          <w:color w:val="auto"/>
        </w:rPr>
        <w:t xml:space="preserve">while the number </w:t>
      </w:r>
      <w:r w:rsidR="00351F29" w:rsidRPr="00111A1B">
        <w:rPr>
          <w:color w:val="auto"/>
        </w:rPr>
        <w:t xml:space="preserve">of </w:t>
      </w:r>
      <w:r w:rsidR="00D40F50" w:rsidRPr="00111A1B">
        <w:rPr>
          <w:color w:val="auto"/>
        </w:rPr>
        <w:t>part-time</w:t>
      </w:r>
      <w:r w:rsidR="00351F29" w:rsidRPr="00111A1B">
        <w:rPr>
          <w:color w:val="auto"/>
        </w:rPr>
        <w:t xml:space="preserve"> jobs</w:t>
      </w:r>
      <w:r w:rsidR="005713DE" w:rsidRPr="00111A1B">
        <w:rPr>
          <w:color w:val="auto"/>
        </w:rPr>
        <w:t xml:space="preserve"> </w:t>
      </w:r>
      <w:r w:rsidR="004228C6">
        <w:rPr>
          <w:color w:val="auto"/>
        </w:rPr>
        <w:t xml:space="preserve">increased by </w:t>
      </w:r>
      <w:r w:rsidR="001A40F3" w:rsidRPr="00111A1B">
        <w:rPr>
          <w:color w:val="auto"/>
        </w:rPr>
        <w:t>29</w:t>
      </w:r>
      <w:r w:rsidR="00FF32CF" w:rsidRPr="00111A1B">
        <w:rPr>
          <w:color w:val="auto"/>
        </w:rPr>
        <w:t>,</w:t>
      </w:r>
      <w:r w:rsidR="001A40F3" w:rsidRPr="00111A1B">
        <w:rPr>
          <w:color w:val="auto"/>
        </w:rPr>
        <w:t>3</w:t>
      </w:r>
      <w:r w:rsidR="00FF32CF" w:rsidRPr="00111A1B">
        <w:rPr>
          <w:color w:val="auto"/>
        </w:rPr>
        <w:t>00</w:t>
      </w:r>
      <w:r w:rsidR="00F13519" w:rsidRPr="00111A1B">
        <w:rPr>
          <w:color w:val="auto"/>
        </w:rPr>
        <w:t xml:space="preserve"> </w:t>
      </w:r>
      <w:r w:rsidR="004228C6">
        <w:rPr>
          <w:color w:val="auto"/>
        </w:rPr>
        <w:t>(</w:t>
      </w:r>
      <w:r w:rsidR="00FF32CF" w:rsidRPr="00111A1B">
        <w:rPr>
          <w:color w:val="auto"/>
        </w:rPr>
        <w:t>+</w:t>
      </w:r>
      <w:r w:rsidR="001A40F3" w:rsidRPr="00111A1B">
        <w:rPr>
          <w:color w:val="auto"/>
        </w:rPr>
        <w:t>7</w:t>
      </w:r>
      <w:r w:rsidR="00FF32CF" w:rsidRPr="00111A1B">
        <w:rPr>
          <w:color w:val="auto"/>
        </w:rPr>
        <w:t>.6</w:t>
      </w:r>
      <w:r w:rsidR="00F13519" w:rsidRPr="00111A1B">
        <w:rPr>
          <w:color w:val="auto"/>
        </w:rPr>
        <w:t>%)</w:t>
      </w:r>
      <w:r w:rsidR="00F0525D" w:rsidRPr="00111A1B">
        <w:rPr>
          <w:color w:val="auto"/>
        </w:rPr>
        <w:t>.</w:t>
      </w:r>
      <w:r w:rsidR="00435FD2" w:rsidRPr="00111A1B">
        <w:rPr>
          <w:color w:val="auto"/>
        </w:rPr>
        <w:t xml:space="preserve"> </w:t>
      </w:r>
    </w:p>
    <w:p w14:paraId="29F8A7E9" w14:textId="21E3D65C" w:rsidR="00C96160" w:rsidRDefault="00435FD2" w:rsidP="00175BDC">
      <w:pPr>
        <w:rPr>
          <w:color w:val="auto"/>
        </w:rPr>
      </w:pPr>
      <w:r w:rsidRPr="00111A1B">
        <w:rPr>
          <w:color w:val="auto"/>
        </w:rPr>
        <w:t xml:space="preserve">Over the past year, </w:t>
      </w:r>
      <w:r w:rsidR="00D40F50" w:rsidRPr="00111A1B">
        <w:rPr>
          <w:color w:val="auto"/>
        </w:rPr>
        <w:t>full-time</w:t>
      </w:r>
      <w:r w:rsidRPr="00111A1B">
        <w:rPr>
          <w:color w:val="auto"/>
        </w:rPr>
        <w:t xml:space="preserve"> jobs increased by just 1,100 jobs (up 0.4%), while part-time jobs increased by </w:t>
      </w:r>
      <w:r w:rsidR="003544D6" w:rsidRPr="00111A1B">
        <w:rPr>
          <w:color w:val="auto"/>
        </w:rPr>
        <w:t xml:space="preserve">27,300 jobs (up 7%). </w:t>
      </w:r>
      <w:r w:rsidR="00F0525D" w:rsidRPr="00111A1B">
        <w:rPr>
          <w:color w:val="auto"/>
        </w:rPr>
        <w:t xml:space="preserve">Full-time jobs are now up by </w:t>
      </w:r>
      <w:r w:rsidR="003544D6" w:rsidRPr="00111A1B">
        <w:rPr>
          <w:color w:val="auto"/>
        </w:rPr>
        <w:t>18,0</w:t>
      </w:r>
      <w:r w:rsidR="000813C4" w:rsidRPr="00111A1B">
        <w:rPr>
          <w:color w:val="auto"/>
        </w:rPr>
        <w:t>00</w:t>
      </w:r>
      <w:r w:rsidR="00F0525D" w:rsidRPr="00111A1B">
        <w:rPr>
          <w:color w:val="auto"/>
        </w:rPr>
        <w:t xml:space="preserve"> (</w:t>
      </w:r>
      <w:r w:rsidR="003544D6" w:rsidRPr="00111A1B">
        <w:rPr>
          <w:color w:val="auto"/>
        </w:rPr>
        <w:t>6</w:t>
      </w:r>
      <w:r w:rsidR="000813C4" w:rsidRPr="00111A1B">
        <w:rPr>
          <w:color w:val="auto"/>
        </w:rPr>
        <w:t>.2</w:t>
      </w:r>
      <w:r w:rsidR="00F0525D" w:rsidRPr="00111A1B">
        <w:rPr>
          <w:color w:val="auto"/>
        </w:rPr>
        <w:t>%)</w:t>
      </w:r>
      <w:r w:rsidR="003446E0" w:rsidRPr="00111A1B">
        <w:rPr>
          <w:color w:val="auto"/>
        </w:rPr>
        <w:t xml:space="preserve"> compared with the pre-pandemic peak, while part-time jobs are up by </w:t>
      </w:r>
      <w:r w:rsidR="00153296" w:rsidRPr="00111A1B">
        <w:rPr>
          <w:color w:val="auto"/>
        </w:rPr>
        <w:t xml:space="preserve">considerably more (up </w:t>
      </w:r>
      <w:r w:rsidR="003544D6" w:rsidRPr="00111A1B">
        <w:rPr>
          <w:color w:val="auto"/>
        </w:rPr>
        <w:t>75</w:t>
      </w:r>
      <w:r w:rsidR="003446E0" w:rsidRPr="00111A1B">
        <w:rPr>
          <w:color w:val="auto"/>
        </w:rPr>
        <w:t>,</w:t>
      </w:r>
      <w:r w:rsidR="003544D6" w:rsidRPr="00111A1B">
        <w:rPr>
          <w:color w:val="auto"/>
        </w:rPr>
        <w:t>7</w:t>
      </w:r>
      <w:r w:rsidR="003446E0" w:rsidRPr="00111A1B">
        <w:rPr>
          <w:color w:val="auto"/>
        </w:rPr>
        <w:t xml:space="preserve">00 </w:t>
      </w:r>
      <w:r w:rsidR="00153296" w:rsidRPr="00111A1B">
        <w:rPr>
          <w:color w:val="auto"/>
        </w:rPr>
        <w:t xml:space="preserve">jobs, </w:t>
      </w:r>
      <w:r w:rsidR="00111A1B" w:rsidRPr="00111A1B">
        <w:rPr>
          <w:color w:val="auto"/>
        </w:rPr>
        <w:t>22</w:t>
      </w:r>
      <w:r w:rsidR="003446E0" w:rsidRPr="00111A1B">
        <w:rPr>
          <w:color w:val="auto"/>
        </w:rPr>
        <w:t>%).</w:t>
      </w:r>
    </w:p>
    <w:p w14:paraId="6B6C0F03" w14:textId="6E7D2662" w:rsidR="005C532D" w:rsidRPr="001627CA" w:rsidRDefault="005C532D" w:rsidP="00175BDC">
      <w:r>
        <w:t xml:space="preserve">As highlighted earlier, this large divergence between growth in part-time jobs compared with a marked decline in full-time jobs, is </w:t>
      </w:r>
      <w:r w:rsidR="00F751B3">
        <w:t xml:space="preserve">noteworthy despite the volatility in </w:t>
      </w:r>
      <w:r>
        <w:t>quarterly data</w:t>
      </w:r>
      <w:r w:rsidR="00F751B3">
        <w:t xml:space="preserve">. </w:t>
      </w:r>
      <w:r w:rsidR="00245758">
        <w:t xml:space="preserve">This quarterly divergence has accentuated a </w:t>
      </w:r>
      <w:r w:rsidR="00006FE4">
        <w:t xml:space="preserve">longer-term, </w:t>
      </w:r>
      <w:r w:rsidR="00245758">
        <w:t>more gradual trend</w:t>
      </w:r>
      <w:r w:rsidR="00006FE4">
        <w:t xml:space="preserve">, of stronger growth in part-time jobs relative to full-time jobs in tourism. </w:t>
      </w:r>
    </w:p>
    <w:p w14:paraId="2E6A581F" w14:textId="5C318C43" w:rsidR="00977204" w:rsidRPr="00C96160" w:rsidRDefault="00C96160" w:rsidP="00C96160">
      <w:pPr>
        <w:keepNext/>
        <w:spacing w:before="0" w:after="0"/>
        <w:rPr>
          <w:color w:val="2D1A46"/>
          <w:spacing w:val="-5"/>
        </w:rPr>
      </w:pPr>
      <w:r w:rsidRPr="009919F5">
        <w:rPr>
          <w:b/>
          <w:color w:val="2D1A46"/>
        </w:rPr>
        <w:t>Figure</w:t>
      </w:r>
      <w:r w:rsidRPr="009919F5">
        <w:rPr>
          <w:b/>
          <w:color w:val="2D1A46"/>
          <w:spacing w:val="-5"/>
        </w:rPr>
        <w:t xml:space="preserve"> </w:t>
      </w:r>
      <w:r w:rsidR="007156B1">
        <w:rPr>
          <w:b/>
          <w:color w:val="2D1A46"/>
          <w:spacing w:val="-5"/>
        </w:rPr>
        <w:t>4</w:t>
      </w:r>
      <w:r w:rsidRPr="009919F5">
        <w:rPr>
          <w:b/>
          <w:color w:val="2D1A46"/>
        </w:rPr>
        <w:t>.</w:t>
      </w:r>
      <w:r w:rsidRPr="009919F5">
        <w:rPr>
          <w:b/>
          <w:color w:val="2D1A46"/>
          <w:spacing w:val="-5"/>
        </w:rPr>
        <w:t xml:space="preserve"> </w:t>
      </w:r>
      <w:r>
        <w:rPr>
          <w:bCs/>
          <w:color w:val="2D1A46"/>
          <w:spacing w:val="-5"/>
        </w:rPr>
        <w:t>Number of full-time and part-time</w:t>
      </w:r>
      <w:r w:rsidRPr="009919F5">
        <w:rPr>
          <w:color w:val="2D1A46"/>
        </w:rPr>
        <w:t xml:space="preserve"> </w:t>
      </w:r>
      <w:r w:rsidR="00B04F75">
        <w:rPr>
          <w:color w:val="2D1A46"/>
        </w:rPr>
        <w:t xml:space="preserve">filled </w:t>
      </w:r>
      <w:r w:rsidRPr="009919F5">
        <w:rPr>
          <w:color w:val="2D1A46"/>
        </w:rPr>
        <w:t>jobs in tourism.</w:t>
      </w:r>
      <w:r w:rsidRPr="009919F5">
        <w:rPr>
          <w:color w:val="2D1A46"/>
          <w:spacing w:val="-5"/>
        </w:rPr>
        <w:t xml:space="preserve"> March quarter 2017 to </w:t>
      </w:r>
      <w:r>
        <w:rPr>
          <w:color w:val="2D1A46"/>
          <w:spacing w:val="-5"/>
        </w:rPr>
        <w:t>June</w:t>
      </w:r>
      <w:r w:rsidRPr="009919F5">
        <w:rPr>
          <w:color w:val="2D1A46"/>
          <w:spacing w:val="-5"/>
        </w:rPr>
        <w:t xml:space="preserve"> quarter 202</w:t>
      </w:r>
      <w:r>
        <w:rPr>
          <w:color w:val="2D1A46"/>
          <w:spacing w:val="-5"/>
        </w:rPr>
        <w:t>6</w:t>
      </w:r>
      <w:r w:rsidRPr="009919F5">
        <w:rPr>
          <w:color w:val="2D1A46"/>
          <w:spacing w:val="-5"/>
        </w:rPr>
        <w:t>.</w:t>
      </w:r>
      <w:r w:rsidR="00E5595B" w:rsidRPr="00111A1B">
        <w:rPr>
          <w:color w:val="auto"/>
        </w:rPr>
        <w:t xml:space="preserve"> </w:t>
      </w:r>
    </w:p>
    <w:p w14:paraId="25FDE8A1" w14:textId="3292C9E1" w:rsidR="00B04F75" w:rsidRDefault="00193D74" w:rsidP="00193D74">
      <w:pPr>
        <w:spacing w:line="240" w:lineRule="atLeast"/>
        <w:rPr>
          <w:color w:val="auto"/>
        </w:rPr>
      </w:pPr>
      <w:r w:rsidRPr="00193D74">
        <w:rPr>
          <w:noProof/>
        </w:rPr>
        <w:drawing>
          <wp:inline distT="0" distB="0" distL="0" distR="0" wp14:anchorId="415A58BB" wp14:editId="0673FDF5">
            <wp:extent cx="6329680" cy="3755390"/>
            <wp:effectExtent l="0" t="0" r="0" b="0"/>
            <wp:docPr id="1157723191" name="Picture 12" descr="Chart shows the number of full-time and part-time tourism filled jobs from March 2017 to June 2026 . Data sourced from the Australian Bureau of Statistics (ABS) Tourism Satellite Account: quarterly tourism labour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23191" name="Picture 12" descr="Chart shows the number of full-time and part-time tourism filled jobs from March 2017 to June 2026 . Data sourced from the Australian Bureau of Statistics (ABS) Tourism Satellite Account: quarterly tourism labour statistic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29680" cy="3755390"/>
                    </a:xfrm>
                    <a:prstGeom prst="rect">
                      <a:avLst/>
                    </a:prstGeom>
                    <a:noFill/>
                    <a:ln>
                      <a:noFill/>
                    </a:ln>
                  </pic:spPr>
                </pic:pic>
              </a:graphicData>
            </a:graphic>
          </wp:inline>
        </w:drawing>
      </w:r>
    </w:p>
    <w:p w14:paraId="44578C76" w14:textId="77777777" w:rsidR="00B04F75" w:rsidRDefault="00B04F75">
      <w:pPr>
        <w:spacing w:before="0" w:after="160" w:line="259" w:lineRule="auto"/>
        <w:rPr>
          <w:color w:val="auto"/>
        </w:rPr>
      </w:pPr>
      <w:r>
        <w:rPr>
          <w:color w:val="auto"/>
        </w:rPr>
        <w:br w:type="page"/>
      </w:r>
    </w:p>
    <w:p w14:paraId="2977CCA2" w14:textId="77777777" w:rsidR="00AD6567" w:rsidRPr="00125FCF" w:rsidRDefault="00AD6567" w:rsidP="00A85902">
      <w:pPr>
        <w:pStyle w:val="Heading3"/>
        <w:rPr>
          <w:color w:val="auto"/>
        </w:rPr>
      </w:pPr>
      <w:r>
        <w:lastRenderedPageBreak/>
        <w:t>Main jobs and secondary jobs</w:t>
      </w:r>
    </w:p>
    <w:p w14:paraId="3987CAB1" w14:textId="591C1688" w:rsidR="00AD6567" w:rsidRPr="00111A1B" w:rsidRDefault="00AD6567" w:rsidP="00AD6567">
      <w:pPr>
        <w:spacing w:after="120"/>
        <w:rPr>
          <w:color w:val="auto"/>
        </w:rPr>
      </w:pPr>
      <w:r>
        <w:rPr>
          <w:color w:val="auto"/>
        </w:rPr>
        <w:t>While t</w:t>
      </w:r>
      <w:r w:rsidRPr="00125FCF">
        <w:rPr>
          <w:color w:val="auto"/>
        </w:rPr>
        <w:t xml:space="preserve">ourism </w:t>
      </w:r>
      <w:r>
        <w:rPr>
          <w:color w:val="auto"/>
        </w:rPr>
        <w:t xml:space="preserve">main </w:t>
      </w:r>
      <w:r w:rsidRPr="00125FCF">
        <w:rPr>
          <w:color w:val="auto"/>
        </w:rPr>
        <w:t xml:space="preserve">jobs decreased by </w:t>
      </w:r>
      <w:r>
        <w:rPr>
          <w:color w:val="auto"/>
        </w:rPr>
        <w:t>5</w:t>
      </w:r>
      <w:r w:rsidRPr="00125FCF">
        <w:rPr>
          <w:color w:val="auto"/>
        </w:rPr>
        <w:t>,700 jobs (-</w:t>
      </w:r>
      <w:r>
        <w:rPr>
          <w:color w:val="auto"/>
        </w:rPr>
        <w:t>0.9</w:t>
      </w:r>
      <w:r w:rsidRPr="00125FCF">
        <w:rPr>
          <w:color w:val="auto"/>
        </w:rPr>
        <w:t xml:space="preserve">%) in the </w:t>
      </w:r>
      <w:r>
        <w:rPr>
          <w:color w:val="auto"/>
        </w:rPr>
        <w:t>June</w:t>
      </w:r>
      <w:r w:rsidRPr="00125FCF">
        <w:rPr>
          <w:color w:val="auto"/>
        </w:rPr>
        <w:t xml:space="preserve"> quarter 2026, </w:t>
      </w:r>
      <w:r>
        <w:rPr>
          <w:color w:val="auto"/>
        </w:rPr>
        <w:t>tourism secondary jobs increased by 4,500 jobs (+7.6%). This meant that the secondary job share of all tourism jobs increased in the quarter</w:t>
      </w:r>
      <w:r w:rsidR="0019030B">
        <w:rPr>
          <w:color w:val="auto"/>
        </w:rPr>
        <w:t xml:space="preserve"> (Figure </w:t>
      </w:r>
      <w:r w:rsidR="00B04F75">
        <w:rPr>
          <w:color w:val="auto"/>
        </w:rPr>
        <w:t>5</w:t>
      </w:r>
      <w:r w:rsidR="0019030B">
        <w:rPr>
          <w:color w:val="auto"/>
        </w:rPr>
        <w:t>)</w:t>
      </w:r>
      <w:r w:rsidR="00D95E08">
        <w:rPr>
          <w:color w:val="auto"/>
        </w:rPr>
        <w:t>. The secondary job share in tourism</w:t>
      </w:r>
      <w:r>
        <w:rPr>
          <w:color w:val="auto"/>
        </w:rPr>
        <w:t xml:space="preserve"> r</w:t>
      </w:r>
      <w:r w:rsidR="006703C0">
        <w:rPr>
          <w:color w:val="auto"/>
        </w:rPr>
        <w:t>o</w:t>
      </w:r>
      <w:r>
        <w:rPr>
          <w:color w:val="auto"/>
        </w:rPr>
        <w:t xml:space="preserve">se to 8.8% </w:t>
      </w:r>
      <w:r w:rsidR="006703C0">
        <w:rPr>
          <w:color w:val="auto"/>
        </w:rPr>
        <w:t xml:space="preserve">in the June quarter 2026, </w:t>
      </w:r>
      <w:r>
        <w:rPr>
          <w:color w:val="auto"/>
        </w:rPr>
        <w:t>from 8.0% a year ago. The secondary job share for the economy overall also increased in the June quarter</w:t>
      </w:r>
      <w:r w:rsidR="006703C0">
        <w:rPr>
          <w:color w:val="auto"/>
        </w:rPr>
        <w:t xml:space="preserve"> – it </w:t>
      </w:r>
      <w:r>
        <w:rPr>
          <w:color w:val="auto"/>
        </w:rPr>
        <w:t>sat at 7.1% in June 2026</w:t>
      </w:r>
      <w:r w:rsidR="00703F4E">
        <w:rPr>
          <w:color w:val="auto"/>
        </w:rPr>
        <w:t>,</w:t>
      </w:r>
      <w:r>
        <w:rPr>
          <w:color w:val="auto"/>
        </w:rPr>
        <w:t xml:space="preserve"> up from 6.5% a year ago. The </w:t>
      </w:r>
      <w:r w:rsidR="00BE6C20">
        <w:rPr>
          <w:color w:val="auto"/>
        </w:rPr>
        <w:t xml:space="preserve">increases in the </w:t>
      </w:r>
      <w:r>
        <w:rPr>
          <w:color w:val="auto"/>
        </w:rPr>
        <w:t>secondary job shares in tourism and in the economy overall</w:t>
      </w:r>
      <w:r w:rsidR="00250E16">
        <w:rPr>
          <w:color w:val="auto"/>
        </w:rPr>
        <w:t xml:space="preserve"> are in contrast to a period through 2024 and 2025 when both </w:t>
      </w:r>
      <w:r w:rsidR="00F93C46">
        <w:rPr>
          <w:color w:val="auto"/>
        </w:rPr>
        <w:t xml:space="preserve">were stable or trending slightly lower </w:t>
      </w:r>
      <w:r w:rsidR="00827C64">
        <w:rPr>
          <w:color w:val="auto"/>
        </w:rPr>
        <w:t xml:space="preserve">(after having </w:t>
      </w:r>
      <w:r w:rsidR="00BE6C20">
        <w:rPr>
          <w:color w:val="auto"/>
        </w:rPr>
        <w:t>ris</w:t>
      </w:r>
      <w:r w:rsidR="00827C64">
        <w:rPr>
          <w:color w:val="auto"/>
        </w:rPr>
        <w:t>e</w:t>
      </w:r>
      <w:r w:rsidR="00BE6C20">
        <w:rPr>
          <w:color w:val="auto"/>
        </w:rPr>
        <w:t>n in the</w:t>
      </w:r>
      <w:r w:rsidR="00966610">
        <w:rPr>
          <w:color w:val="auto"/>
        </w:rPr>
        <w:t xml:space="preserve"> immediate</w:t>
      </w:r>
      <w:r w:rsidR="00BE6C20">
        <w:rPr>
          <w:color w:val="auto"/>
        </w:rPr>
        <w:t xml:space="preserve"> post-</w:t>
      </w:r>
      <w:r>
        <w:rPr>
          <w:color w:val="auto"/>
        </w:rPr>
        <w:t xml:space="preserve">pandemic </w:t>
      </w:r>
      <w:r w:rsidR="00BE6C20">
        <w:rPr>
          <w:color w:val="auto"/>
        </w:rPr>
        <w:t>years</w:t>
      </w:r>
      <w:r w:rsidR="00827C64">
        <w:rPr>
          <w:color w:val="auto"/>
        </w:rPr>
        <w:t>)</w:t>
      </w:r>
      <w:r w:rsidR="00BE6C20">
        <w:rPr>
          <w:color w:val="auto"/>
        </w:rPr>
        <w:t xml:space="preserve">. </w:t>
      </w:r>
    </w:p>
    <w:p w14:paraId="259FACA9" w14:textId="4D70AE9C" w:rsidR="005F2EB4" w:rsidRDefault="00C61E06" w:rsidP="00562FE2">
      <w:pPr>
        <w:keepNext/>
        <w:spacing w:before="0" w:after="0"/>
        <w:rPr>
          <w:color w:val="2D1A46"/>
          <w:spacing w:val="-5"/>
        </w:rPr>
      </w:pPr>
      <w:r w:rsidRPr="009919F5">
        <w:rPr>
          <w:b/>
          <w:color w:val="2D1A46"/>
        </w:rPr>
        <w:t>Figure</w:t>
      </w:r>
      <w:r w:rsidRPr="009919F5">
        <w:rPr>
          <w:b/>
          <w:color w:val="2D1A46"/>
          <w:spacing w:val="-5"/>
        </w:rPr>
        <w:t xml:space="preserve"> </w:t>
      </w:r>
      <w:r w:rsidR="00B04F75">
        <w:rPr>
          <w:b/>
          <w:color w:val="2D1A46"/>
          <w:spacing w:val="-5"/>
        </w:rPr>
        <w:t>5</w:t>
      </w:r>
      <w:r w:rsidRPr="009919F5">
        <w:rPr>
          <w:b/>
          <w:color w:val="2D1A46"/>
        </w:rPr>
        <w:t>.</w:t>
      </w:r>
      <w:r w:rsidRPr="009919F5">
        <w:rPr>
          <w:color w:val="2D1A46"/>
          <w:spacing w:val="-2"/>
        </w:rPr>
        <w:t xml:space="preserve"> </w:t>
      </w:r>
      <w:r w:rsidR="00CF6D06">
        <w:rPr>
          <w:color w:val="2D1A46"/>
          <w:spacing w:val="-2"/>
        </w:rPr>
        <w:t xml:space="preserve">Number of tourism main jobs and secondary jobs (top panel), and the shares of </w:t>
      </w:r>
      <w:r w:rsidRPr="009919F5">
        <w:rPr>
          <w:color w:val="2D1A46"/>
        </w:rPr>
        <w:t>secondary jobs in tourism and in the whole economy</w:t>
      </w:r>
      <w:r w:rsidR="004C1511">
        <w:rPr>
          <w:color w:val="2D1A46"/>
        </w:rPr>
        <w:t xml:space="preserve"> (bottom panel)</w:t>
      </w:r>
      <w:r w:rsidRPr="009919F5">
        <w:rPr>
          <w:color w:val="2D1A46"/>
        </w:rPr>
        <w:t>.</w:t>
      </w:r>
      <w:r w:rsidRPr="009919F5">
        <w:rPr>
          <w:color w:val="2D1A46"/>
          <w:spacing w:val="-5"/>
        </w:rPr>
        <w:t xml:space="preserve"> March quarter 2017 to </w:t>
      </w:r>
      <w:r w:rsidR="00F25BD3">
        <w:rPr>
          <w:color w:val="2D1A46"/>
          <w:spacing w:val="-5"/>
        </w:rPr>
        <w:t>June</w:t>
      </w:r>
      <w:r w:rsidRPr="009919F5">
        <w:rPr>
          <w:color w:val="2D1A46"/>
          <w:spacing w:val="-5"/>
        </w:rPr>
        <w:t xml:space="preserve"> quarter 202</w:t>
      </w:r>
      <w:r w:rsidR="000B27A2">
        <w:rPr>
          <w:color w:val="2D1A46"/>
          <w:spacing w:val="-5"/>
        </w:rPr>
        <w:t>6</w:t>
      </w:r>
      <w:r w:rsidRPr="009919F5">
        <w:rPr>
          <w:color w:val="2D1A46"/>
          <w:spacing w:val="-5"/>
        </w:rPr>
        <w:t>.</w:t>
      </w:r>
    </w:p>
    <w:p w14:paraId="1CD3F273" w14:textId="5F44109D" w:rsidR="00562FE2" w:rsidRDefault="00562FE2" w:rsidP="00562FE2">
      <w:pPr>
        <w:keepNext/>
        <w:spacing w:before="0" w:after="0" w:line="240" w:lineRule="atLeast"/>
        <w:jc w:val="center"/>
      </w:pPr>
    </w:p>
    <w:p w14:paraId="77910009" w14:textId="16677F1B" w:rsidR="007127E2" w:rsidRDefault="007127E2" w:rsidP="00562FE2">
      <w:pPr>
        <w:keepNext/>
        <w:spacing w:before="0" w:after="0" w:line="240" w:lineRule="atLeast"/>
        <w:jc w:val="center"/>
      </w:pPr>
      <w:r w:rsidRPr="007127E2">
        <w:rPr>
          <w:noProof/>
        </w:rPr>
        <w:drawing>
          <wp:inline distT="0" distB="0" distL="0" distR="0" wp14:anchorId="6D2C9A12" wp14:editId="03BE8B6D">
            <wp:extent cx="6329680" cy="4362450"/>
            <wp:effectExtent l="0" t="0" r="0" b="0"/>
            <wp:docPr id="2044163343" name="Picture 13" descr="Chart shows the number of tourism jobs classified as main jobs or secondary jobs from March 2017 to June 2026. The number of main jobs is significantly higher than the number of secondary jobs. On the lower panel, the secondary job share of total filled jobs in tourism and for the economy as a whole are shown. The tourism secondary job share is higher than the economy-wide secondary job share . Data sourced from the Australian Bureau of Statistics (ABS) Tourism Satellite Account: quarterly tourism labour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63343" name="Picture 13" descr="Chart shows the number of tourism jobs classified as main jobs or secondary jobs from March 2017 to June 2026. The number of main jobs is significantly higher than the number of secondary jobs. On the lower panel, the secondary job share of total filled jobs in tourism and for the economy as a whole are shown. The tourism secondary job share is higher than the economy-wide secondary job share . Data sourced from the Australian Bureau of Statistics (ABS) Tourism Satellite Account: quarterly tourism labour statistic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29680" cy="4362450"/>
                    </a:xfrm>
                    <a:prstGeom prst="rect">
                      <a:avLst/>
                    </a:prstGeom>
                    <a:noFill/>
                    <a:ln>
                      <a:noFill/>
                    </a:ln>
                  </pic:spPr>
                </pic:pic>
              </a:graphicData>
            </a:graphic>
          </wp:inline>
        </w:drawing>
      </w:r>
    </w:p>
    <w:p w14:paraId="57E77251" w14:textId="77777777" w:rsidR="00AD0000" w:rsidRPr="00125FCF" w:rsidRDefault="00AD0000" w:rsidP="00A85902">
      <w:pPr>
        <w:pStyle w:val="Heading3"/>
        <w:rPr>
          <w:color w:val="auto"/>
        </w:rPr>
      </w:pPr>
      <w:r>
        <w:t>Female jobs and male jobs</w:t>
      </w:r>
    </w:p>
    <w:p w14:paraId="6519605F" w14:textId="644A4690" w:rsidR="00AD0000" w:rsidRDefault="00AD0000" w:rsidP="00AD0000">
      <w:pPr>
        <w:rPr>
          <w:color w:val="auto"/>
        </w:rPr>
      </w:pPr>
      <w:r>
        <w:rPr>
          <w:color w:val="auto"/>
        </w:rPr>
        <w:t xml:space="preserve">In tourism, there are typically more jobs held by females than held by males, according to the ABS statistical definitions. </w:t>
      </w:r>
      <w:r w:rsidR="001B10A3">
        <w:rPr>
          <w:color w:val="auto"/>
        </w:rPr>
        <w:t xml:space="preserve">The female share of tourism jobs </w:t>
      </w:r>
      <w:r w:rsidR="00236B4F">
        <w:rPr>
          <w:color w:val="auto"/>
        </w:rPr>
        <w:t xml:space="preserve">rose to </w:t>
      </w:r>
      <w:r>
        <w:rPr>
          <w:color w:val="auto"/>
        </w:rPr>
        <w:t>5</w:t>
      </w:r>
      <w:r w:rsidR="00041AF5">
        <w:rPr>
          <w:color w:val="auto"/>
        </w:rPr>
        <w:t>5.5</w:t>
      </w:r>
      <w:r>
        <w:rPr>
          <w:color w:val="auto"/>
        </w:rPr>
        <w:t xml:space="preserve">% in the </w:t>
      </w:r>
      <w:r w:rsidR="00041AF5">
        <w:rPr>
          <w:color w:val="auto"/>
        </w:rPr>
        <w:t>June</w:t>
      </w:r>
      <w:r>
        <w:rPr>
          <w:color w:val="auto"/>
        </w:rPr>
        <w:t xml:space="preserve"> quarter 2026, down slightly from 5</w:t>
      </w:r>
      <w:r w:rsidR="00CE44CF">
        <w:rPr>
          <w:color w:val="auto"/>
        </w:rPr>
        <w:t>7</w:t>
      </w:r>
      <w:r>
        <w:rPr>
          <w:color w:val="auto"/>
        </w:rPr>
        <w:t>% in the December quarter 2019 before the pandemic (Figure </w:t>
      </w:r>
      <w:r w:rsidR="008148BF">
        <w:rPr>
          <w:color w:val="auto"/>
        </w:rPr>
        <w:t>6</w:t>
      </w:r>
      <w:r>
        <w:rPr>
          <w:color w:val="auto"/>
        </w:rPr>
        <w:t xml:space="preserve">). </w:t>
      </w:r>
      <w:r w:rsidR="00236B4F">
        <w:rPr>
          <w:color w:val="auto"/>
        </w:rPr>
        <w:t>This implies that a</w:t>
      </w:r>
      <w:r w:rsidR="001B10A3">
        <w:rPr>
          <w:color w:val="auto"/>
        </w:rPr>
        <w:t>fter losing a larger share of the workforce during the pandemic, the female share of tourism jobs has almost returned to its pre-pandemic level.</w:t>
      </w:r>
    </w:p>
    <w:p w14:paraId="60B45973" w14:textId="564CD875" w:rsidR="0075353E" w:rsidRDefault="00AD0000" w:rsidP="00AD0000">
      <w:pPr>
        <w:rPr>
          <w:color w:val="auto"/>
        </w:rPr>
      </w:pPr>
      <w:r w:rsidRPr="00125FCF">
        <w:rPr>
          <w:color w:val="auto"/>
        </w:rPr>
        <w:lastRenderedPageBreak/>
        <w:t xml:space="preserve">Tourism jobs </w:t>
      </w:r>
      <w:r>
        <w:rPr>
          <w:color w:val="auto"/>
        </w:rPr>
        <w:t xml:space="preserve">held by females </w:t>
      </w:r>
      <w:r w:rsidR="0075353E">
        <w:rPr>
          <w:color w:val="auto"/>
        </w:rPr>
        <w:t>in</w:t>
      </w:r>
      <w:r w:rsidRPr="00125FCF">
        <w:rPr>
          <w:color w:val="auto"/>
        </w:rPr>
        <w:t xml:space="preserve">creased by </w:t>
      </w:r>
      <w:r w:rsidR="001533D3">
        <w:rPr>
          <w:color w:val="auto"/>
        </w:rPr>
        <w:t>2</w:t>
      </w:r>
      <w:r w:rsidR="0075353E">
        <w:rPr>
          <w:color w:val="auto"/>
        </w:rPr>
        <w:t>,</w:t>
      </w:r>
      <w:r w:rsidR="001533D3">
        <w:rPr>
          <w:color w:val="auto"/>
        </w:rPr>
        <w:t>6</w:t>
      </w:r>
      <w:r w:rsidR="0075353E">
        <w:rPr>
          <w:color w:val="auto"/>
        </w:rPr>
        <w:t>00 jobs (</w:t>
      </w:r>
      <w:r w:rsidR="001533D3">
        <w:rPr>
          <w:color w:val="auto"/>
        </w:rPr>
        <w:t>+0.6</w:t>
      </w:r>
      <w:r w:rsidR="0075353E">
        <w:rPr>
          <w:color w:val="auto"/>
        </w:rPr>
        <w:t xml:space="preserve">%) in the </w:t>
      </w:r>
      <w:r w:rsidR="001533D3">
        <w:rPr>
          <w:color w:val="auto"/>
        </w:rPr>
        <w:t xml:space="preserve">June quarter 2026 compared with the March quarter, </w:t>
      </w:r>
      <w:r w:rsidR="0075353E">
        <w:rPr>
          <w:color w:val="auto"/>
        </w:rPr>
        <w:t>while male jobs declined by 3,</w:t>
      </w:r>
      <w:r w:rsidR="00E20AAA">
        <w:rPr>
          <w:color w:val="auto"/>
        </w:rPr>
        <w:t>9</w:t>
      </w:r>
      <w:r w:rsidR="0075353E" w:rsidRPr="00125FCF">
        <w:rPr>
          <w:color w:val="auto"/>
        </w:rPr>
        <w:t>00 jobs (-</w:t>
      </w:r>
      <w:r w:rsidR="00E20AAA">
        <w:rPr>
          <w:color w:val="auto"/>
        </w:rPr>
        <w:t>1.2</w:t>
      </w:r>
      <w:r w:rsidR="0075353E" w:rsidRPr="00125FCF">
        <w:rPr>
          <w:color w:val="auto"/>
        </w:rPr>
        <w:t>%)</w:t>
      </w:r>
      <w:r w:rsidR="0075353E">
        <w:rPr>
          <w:color w:val="auto"/>
        </w:rPr>
        <w:t>.</w:t>
      </w:r>
      <w:r w:rsidR="00E20AAA">
        <w:rPr>
          <w:color w:val="auto"/>
        </w:rPr>
        <w:t xml:space="preserve"> Similarly, compared with a year ago,</w:t>
      </w:r>
      <w:r w:rsidR="000D33A9">
        <w:rPr>
          <w:color w:val="auto"/>
        </w:rPr>
        <w:t xml:space="preserve"> female jobs increased by 2</w:t>
      </w:r>
      <w:r w:rsidR="00D65A72">
        <w:rPr>
          <w:color w:val="auto"/>
        </w:rPr>
        <w:t>9</w:t>
      </w:r>
      <w:r w:rsidR="000D33A9">
        <w:rPr>
          <w:color w:val="auto"/>
        </w:rPr>
        <w:t>,</w:t>
      </w:r>
      <w:r w:rsidR="00D65A72">
        <w:rPr>
          <w:color w:val="auto"/>
        </w:rPr>
        <w:t>1</w:t>
      </w:r>
      <w:r w:rsidR="000D33A9">
        <w:rPr>
          <w:color w:val="auto"/>
        </w:rPr>
        <w:t xml:space="preserve">00 </w:t>
      </w:r>
      <w:r w:rsidR="00222F4B">
        <w:rPr>
          <w:color w:val="auto"/>
        </w:rPr>
        <w:t xml:space="preserve">jobs </w:t>
      </w:r>
      <w:r w:rsidR="000D33A9">
        <w:rPr>
          <w:color w:val="auto"/>
        </w:rPr>
        <w:t>(+7</w:t>
      </w:r>
      <w:r w:rsidR="00D30F67">
        <w:rPr>
          <w:color w:val="auto"/>
        </w:rPr>
        <w:t>.8</w:t>
      </w:r>
      <w:r w:rsidR="000D33A9">
        <w:rPr>
          <w:color w:val="auto"/>
        </w:rPr>
        <w:t xml:space="preserve">%) while male jobs have </w:t>
      </w:r>
      <w:r w:rsidR="00D30F67">
        <w:rPr>
          <w:color w:val="auto"/>
        </w:rPr>
        <w:t>de</w:t>
      </w:r>
      <w:r w:rsidR="000D33A9">
        <w:rPr>
          <w:color w:val="auto"/>
        </w:rPr>
        <w:t>creased by 8</w:t>
      </w:r>
      <w:r w:rsidR="000D33A9" w:rsidRPr="00125FCF">
        <w:rPr>
          <w:color w:val="auto"/>
        </w:rPr>
        <w:t xml:space="preserve">00 </w:t>
      </w:r>
      <w:r w:rsidR="00222F4B">
        <w:rPr>
          <w:color w:val="auto"/>
        </w:rPr>
        <w:t xml:space="preserve">jobs </w:t>
      </w:r>
      <w:r w:rsidR="000D33A9" w:rsidRPr="00125FCF">
        <w:rPr>
          <w:color w:val="auto"/>
        </w:rPr>
        <w:t>(</w:t>
      </w:r>
      <w:r w:rsidR="00D30F67">
        <w:rPr>
          <w:color w:val="auto"/>
        </w:rPr>
        <w:t>-0.</w:t>
      </w:r>
      <w:r w:rsidR="000D33A9">
        <w:rPr>
          <w:color w:val="auto"/>
        </w:rPr>
        <w:t>2</w:t>
      </w:r>
      <w:r w:rsidR="000D33A9" w:rsidRPr="00125FCF">
        <w:rPr>
          <w:color w:val="auto"/>
        </w:rPr>
        <w:t>%)</w:t>
      </w:r>
      <w:r w:rsidR="0029134B">
        <w:rPr>
          <w:color w:val="auto"/>
        </w:rPr>
        <w:t>.</w:t>
      </w:r>
    </w:p>
    <w:p w14:paraId="45F88D46" w14:textId="638DF751" w:rsidR="00AD0000" w:rsidRDefault="00AD0000" w:rsidP="00AD0000">
      <w:pPr>
        <w:keepNext/>
        <w:spacing w:before="0" w:after="0"/>
        <w:rPr>
          <w:color w:val="2D1A46"/>
          <w:spacing w:val="-5"/>
        </w:rPr>
      </w:pPr>
      <w:r w:rsidRPr="009919F5">
        <w:rPr>
          <w:b/>
          <w:color w:val="2D1A46"/>
        </w:rPr>
        <w:t>Figure</w:t>
      </w:r>
      <w:r w:rsidRPr="009919F5">
        <w:rPr>
          <w:b/>
          <w:color w:val="2D1A46"/>
          <w:spacing w:val="-5"/>
        </w:rPr>
        <w:t xml:space="preserve"> </w:t>
      </w:r>
      <w:r w:rsidR="008148BF">
        <w:rPr>
          <w:b/>
          <w:color w:val="2D1A46"/>
          <w:spacing w:val="-5"/>
        </w:rPr>
        <w:t>6</w:t>
      </w:r>
      <w:r w:rsidRPr="009919F5">
        <w:rPr>
          <w:b/>
          <w:color w:val="2D1A46"/>
        </w:rPr>
        <w:t>.</w:t>
      </w:r>
      <w:r w:rsidRPr="009919F5">
        <w:rPr>
          <w:b/>
          <w:color w:val="2D1A46"/>
          <w:spacing w:val="-5"/>
        </w:rPr>
        <w:t xml:space="preserve"> </w:t>
      </w:r>
      <w:r>
        <w:rPr>
          <w:bCs/>
          <w:color w:val="2D1A46"/>
          <w:spacing w:val="-5"/>
        </w:rPr>
        <w:t>Female and male</w:t>
      </w:r>
      <w:r w:rsidRPr="009919F5">
        <w:rPr>
          <w:color w:val="2D1A46"/>
        </w:rPr>
        <w:t xml:space="preserve"> jobs in tourism.</w:t>
      </w:r>
      <w:r w:rsidRPr="009919F5">
        <w:rPr>
          <w:color w:val="2D1A46"/>
          <w:spacing w:val="-5"/>
        </w:rPr>
        <w:t xml:space="preserve"> March quarter 2017 to </w:t>
      </w:r>
      <w:r w:rsidR="00DE54E2">
        <w:rPr>
          <w:color w:val="2D1A46"/>
          <w:spacing w:val="-5"/>
        </w:rPr>
        <w:t>June</w:t>
      </w:r>
      <w:r w:rsidRPr="009919F5">
        <w:rPr>
          <w:color w:val="2D1A46"/>
          <w:spacing w:val="-5"/>
        </w:rPr>
        <w:t xml:space="preserve"> quarter 202</w:t>
      </w:r>
      <w:r>
        <w:rPr>
          <w:color w:val="2D1A46"/>
          <w:spacing w:val="-5"/>
        </w:rPr>
        <w:t>6</w:t>
      </w:r>
      <w:r w:rsidRPr="009919F5">
        <w:rPr>
          <w:color w:val="2D1A46"/>
          <w:spacing w:val="-5"/>
        </w:rPr>
        <w:t>.</w:t>
      </w:r>
    </w:p>
    <w:p w14:paraId="0D2E7392" w14:textId="7E20D66F" w:rsidR="00AD0000" w:rsidRDefault="00AD0000" w:rsidP="00707B61">
      <w:pPr>
        <w:keepNext/>
        <w:spacing w:before="0" w:after="0" w:line="240" w:lineRule="atLeast"/>
      </w:pPr>
    </w:p>
    <w:p w14:paraId="59EADAF4" w14:textId="508DED47" w:rsidR="00707B61" w:rsidRDefault="00707B61" w:rsidP="00AD0000">
      <w:pPr>
        <w:keepNext/>
        <w:spacing w:before="0" w:after="0" w:line="240" w:lineRule="atLeast"/>
        <w:jc w:val="center"/>
      </w:pPr>
      <w:r w:rsidRPr="00707B61">
        <w:rPr>
          <w:noProof/>
        </w:rPr>
        <w:drawing>
          <wp:inline distT="0" distB="0" distL="0" distR="0" wp14:anchorId="3255F9BF" wp14:editId="5C3BD32A">
            <wp:extent cx="6329680" cy="3743325"/>
            <wp:effectExtent l="0" t="0" r="0" b="9525"/>
            <wp:docPr id="422867396" name="Picture 14" descr="Chart shows the number of tourism filled jobs held by males and females from March 2017 to June 2026 . Data sourced from the Australian Bureau of Statistics (ABS) Tourism Satellite Account: quarterly tourism labour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67396" name="Picture 14" descr="Chart shows the number of tourism filled jobs held by males and females from March 2017 to June 2026 . Data sourced from the Australian Bureau of Statistics (ABS) Tourism Satellite Account: quarterly tourism labour statistic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29680" cy="3743325"/>
                    </a:xfrm>
                    <a:prstGeom prst="rect">
                      <a:avLst/>
                    </a:prstGeom>
                    <a:noFill/>
                    <a:ln>
                      <a:noFill/>
                    </a:ln>
                  </pic:spPr>
                </pic:pic>
              </a:graphicData>
            </a:graphic>
          </wp:inline>
        </w:drawing>
      </w:r>
    </w:p>
    <w:sectPr w:rsidR="00707B61" w:rsidSect="00D50ABE">
      <w:headerReference w:type="even" r:id="rId21"/>
      <w:headerReference w:type="default" r:id="rId22"/>
      <w:footerReference w:type="even" r:id="rId23"/>
      <w:footerReference w:type="default" r:id="rId24"/>
      <w:headerReference w:type="first" r:id="rId25"/>
      <w:footerReference w:type="first" r:id="rId26"/>
      <w:pgSz w:w="11906" w:h="16838"/>
      <w:pgMar w:top="851" w:right="945" w:bottom="993" w:left="993" w:header="708"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6FD45" w14:textId="77777777" w:rsidR="00DF52FA" w:rsidRPr="009919F5" w:rsidRDefault="00DF52FA" w:rsidP="007B0021">
      <w:r w:rsidRPr="009919F5">
        <w:separator/>
      </w:r>
    </w:p>
    <w:p w14:paraId="5BFF1209" w14:textId="77777777" w:rsidR="00DF52FA" w:rsidRPr="009919F5" w:rsidRDefault="00DF52FA" w:rsidP="007B0021"/>
  </w:endnote>
  <w:endnote w:type="continuationSeparator" w:id="0">
    <w:p w14:paraId="0876BD84" w14:textId="77777777" w:rsidR="00DF52FA" w:rsidRPr="009919F5" w:rsidRDefault="00DF52FA" w:rsidP="007B0021">
      <w:r w:rsidRPr="009919F5">
        <w:continuationSeparator/>
      </w:r>
    </w:p>
    <w:p w14:paraId="4E5117D7" w14:textId="77777777" w:rsidR="00DF52FA" w:rsidRPr="009919F5" w:rsidRDefault="00DF52FA" w:rsidP="007B0021"/>
  </w:endnote>
  <w:endnote w:type="continuationNotice" w:id="1">
    <w:p w14:paraId="314BDF9C" w14:textId="77777777" w:rsidR="00DF52FA" w:rsidRPr="009919F5" w:rsidRDefault="00DF52F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A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
    <w:altName w:val="細明體"/>
    <w:panose1 w:val="02020509000000000000"/>
    <w:charset w:val="88"/>
    <w:family w:val="modern"/>
    <w:pitch w:val="fixed"/>
    <w:sig w:usb0="A00002FF" w:usb1="2A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A8F5" w14:textId="2108D4C7" w:rsidR="00710296" w:rsidRPr="009919F5" w:rsidRDefault="002445DE">
    <w:pPr>
      <w:pStyle w:val="Footer"/>
    </w:pPr>
    <w:r w:rsidRPr="009919F5">
      <w:rPr>
        <w:noProof/>
      </w:rPr>
      <mc:AlternateContent>
        <mc:Choice Requires="wps">
          <w:drawing>
            <wp:anchor distT="0" distB="0" distL="0" distR="0" simplePos="0" relativeHeight="251669507" behindDoc="0" locked="0" layoutInCell="1" allowOverlap="1" wp14:anchorId="6AD7ABB5" wp14:editId="36B7810B">
              <wp:simplePos x="635" y="635"/>
              <wp:positionH relativeFrom="page">
                <wp:align>center</wp:align>
              </wp:positionH>
              <wp:positionV relativeFrom="page">
                <wp:align>bottom</wp:align>
              </wp:positionV>
              <wp:extent cx="551815" cy="508000"/>
              <wp:effectExtent l="0" t="0" r="635" b="0"/>
              <wp:wrapNone/>
              <wp:docPr id="68099839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08000"/>
                      </a:xfrm>
                      <a:prstGeom prst="rect">
                        <a:avLst/>
                      </a:prstGeom>
                      <a:noFill/>
                      <a:ln>
                        <a:noFill/>
                      </a:ln>
                    </wps:spPr>
                    <wps:txbx>
                      <w:txbxContent>
                        <w:p w14:paraId="1F5A8A19" w14:textId="6F70A03E" w:rsidR="002445DE" w:rsidRPr="009919F5" w:rsidRDefault="002445DE" w:rsidP="002445DE">
                          <w:pPr>
                            <w:spacing w:after="0"/>
                            <w:rPr>
                              <w:rFonts w:ascii="Calibri" w:eastAsia="Calibri" w:hAnsi="Calibri" w:cs="Calibri"/>
                              <w:color w:val="FF0000"/>
                              <w:sz w:val="24"/>
                              <w:szCs w:val="24"/>
                            </w:rPr>
                          </w:pPr>
                          <w:r w:rsidRPr="009919F5">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D7ABB5" id="_x0000_t202" coordsize="21600,21600" o:spt="202" path="m,l,21600r21600,l21600,xe">
              <v:stroke joinstyle="miter"/>
              <v:path gradientshapeok="t" o:connecttype="rect"/>
            </v:shapetype>
            <v:shape id="Text Box 6" o:spid="_x0000_s1028" type="#_x0000_t202" alt="OFFICIAL" style="position:absolute;margin-left:0;margin-top:0;width:43.45pt;height:40pt;z-index:25166950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" filled="f" stroked="f">
              <v:textbox style="mso-fit-shape-to-text:t" inset="0,0,0,15pt">
                <w:txbxContent>
                  <w:p w14:paraId="1F5A8A19" w14:textId="6F70A03E" w:rsidR="002445DE" w:rsidRPr="009919F5" w:rsidRDefault="002445DE" w:rsidP="002445DE">
                    <w:pPr>
                      <w:spacing w:after="0"/>
                      <w:rPr>
                        <w:rFonts w:ascii="Calibri" w:eastAsia="Calibri" w:hAnsi="Calibri" w:cs="Calibri"/>
                        <w:color w:val="FF0000"/>
                        <w:sz w:val="24"/>
                        <w:szCs w:val="24"/>
                      </w:rPr>
                    </w:pPr>
                    <w:r w:rsidRPr="009919F5">
                      <w:rPr>
                        <w:rFonts w:ascii="Calibri" w:eastAsia="Calibri" w:hAnsi="Calibri" w:cs="Calibri"/>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6677A" w14:textId="52B41682" w:rsidR="00B06B46" w:rsidRPr="009919F5" w:rsidRDefault="002445DE" w:rsidP="00486BFB">
    <w:pPr>
      <w:pStyle w:val="Footer"/>
      <w:pBdr>
        <w:top w:val="single" w:sz="4" w:space="8" w:color="893B94" w:themeColor="accent1"/>
      </w:pBdr>
      <w:tabs>
        <w:tab w:val="right" w:pos="9968"/>
      </w:tabs>
      <w:spacing w:before="360"/>
      <w:contextualSpacing/>
      <w:rPr>
        <w:color w:val="404040" w:themeColor="text1" w:themeTint="BF"/>
      </w:rPr>
    </w:pPr>
    <w:r w:rsidRPr="00E80C78">
      <w:rPr>
        <w:noProof/>
        <w:color w:val="0D0D0D" w:themeColor="text1" w:themeTint="F2"/>
      </w:rPr>
      <mc:AlternateContent>
        <mc:Choice Requires="wps">
          <w:drawing>
            <wp:anchor distT="0" distB="0" distL="0" distR="0" simplePos="0" relativeHeight="251670531" behindDoc="0" locked="0" layoutInCell="1" allowOverlap="1" wp14:anchorId="04C0BA84" wp14:editId="0FE32DBC">
              <wp:simplePos x="631190" y="9618345"/>
              <wp:positionH relativeFrom="page">
                <wp:align>center</wp:align>
              </wp:positionH>
              <wp:positionV relativeFrom="page">
                <wp:align>bottom</wp:align>
              </wp:positionV>
              <wp:extent cx="551815" cy="508000"/>
              <wp:effectExtent l="0" t="0" r="635" b="0"/>
              <wp:wrapNone/>
              <wp:docPr id="200215120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08000"/>
                      </a:xfrm>
                      <a:prstGeom prst="rect">
                        <a:avLst/>
                      </a:prstGeom>
                      <a:noFill/>
                      <a:ln>
                        <a:noFill/>
                      </a:ln>
                    </wps:spPr>
                    <wps:txbx>
                      <w:txbxContent>
                        <w:p w14:paraId="10A81F77" w14:textId="1CCBE363" w:rsidR="002445DE" w:rsidRPr="009919F5" w:rsidRDefault="002445DE" w:rsidP="002445DE">
                          <w:pPr>
                            <w:spacing w:after="0"/>
                            <w:rPr>
                              <w:rFonts w:ascii="Calibri" w:eastAsia="Calibri" w:hAnsi="Calibri" w:cs="Calibri"/>
                              <w:color w:val="FF0000"/>
                              <w:sz w:val="24"/>
                              <w:szCs w:val="24"/>
                            </w:rPr>
                          </w:pPr>
                          <w:r w:rsidRPr="009919F5">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C0BA84" id="_x0000_t202" coordsize="21600,21600" o:spt="202" path="m,l,21600r21600,l21600,xe">
              <v:stroke joinstyle="miter"/>
              <v:path gradientshapeok="t" o:connecttype="rect"/>
            </v:shapetype>
            <v:shape id="Text Box 7" o:spid="_x0000_s1029" type="#_x0000_t202" alt="OFFICIAL" style="position:absolute;margin-left:0;margin-top:0;width:43.45pt;height:40pt;z-index:25167053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" filled="f" stroked="f">
              <v:textbox style="mso-fit-shape-to-text:t" inset="0,0,0,15pt">
                <w:txbxContent>
                  <w:p w14:paraId="10A81F77" w14:textId="1CCBE363" w:rsidR="002445DE" w:rsidRPr="009919F5" w:rsidRDefault="002445DE" w:rsidP="002445DE">
                    <w:pPr>
                      <w:spacing w:after="0"/>
                      <w:rPr>
                        <w:rFonts w:ascii="Calibri" w:eastAsia="Calibri" w:hAnsi="Calibri" w:cs="Calibri"/>
                        <w:color w:val="FF0000"/>
                        <w:sz w:val="24"/>
                        <w:szCs w:val="24"/>
                      </w:rPr>
                    </w:pPr>
                    <w:r w:rsidRPr="009919F5">
                      <w:rPr>
                        <w:rFonts w:ascii="Calibri" w:eastAsia="Calibri" w:hAnsi="Calibri" w:cs="Calibri"/>
                        <w:color w:val="FF0000"/>
                        <w:sz w:val="24"/>
                        <w:szCs w:val="24"/>
                      </w:rPr>
                      <w:t>OFFICIAL</w:t>
                    </w:r>
                  </w:p>
                </w:txbxContent>
              </v:textbox>
              <w10:wrap anchorx="page" anchory="page"/>
            </v:shape>
          </w:pict>
        </mc:Fallback>
      </mc:AlternateContent>
    </w:r>
    <w:r w:rsidR="00486BFB" w:rsidRPr="00E80C78">
      <w:rPr>
        <w:color w:val="0D0D0D" w:themeColor="text1" w:themeTint="F2"/>
      </w:rPr>
      <w:t>TRA Summary</w:t>
    </w:r>
    <w:r w:rsidR="00AF1648" w:rsidRPr="00E80C78">
      <w:rPr>
        <w:color w:val="0D0D0D" w:themeColor="text1" w:themeTint="F2"/>
      </w:rPr>
      <w:t xml:space="preserve"> – Quarterly tourism labour statistics – </w:t>
    </w:r>
    <w:r w:rsidR="003D0A67">
      <w:rPr>
        <w:color w:val="0D0D0D" w:themeColor="text1" w:themeTint="F2"/>
      </w:rPr>
      <w:t>June</w:t>
    </w:r>
    <w:r w:rsidR="00AF1648" w:rsidRPr="00E80C78">
      <w:rPr>
        <w:color w:val="0D0D0D" w:themeColor="text1" w:themeTint="F2"/>
      </w:rPr>
      <w:t xml:space="preserve"> </w:t>
    </w:r>
    <w:r w:rsidR="00F55A3E" w:rsidRPr="00E80C78">
      <w:rPr>
        <w:color w:val="0D0D0D" w:themeColor="text1" w:themeTint="F2"/>
      </w:rPr>
      <w:t>q</w:t>
    </w:r>
    <w:r w:rsidR="00AF1648" w:rsidRPr="00E80C78">
      <w:rPr>
        <w:color w:val="0D0D0D" w:themeColor="text1" w:themeTint="F2"/>
      </w:rPr>
      <w:t>uarter 202</w:t>
    </w:r>
    <w:r w:rsidR="000B27A2">
      <w:rPr>
        <w:color w:val="0D0D0D" w:themeColor="text1" w:themeTint="F2"/>
      </w:rPr>
      <w:t>6</w:t>
    </w:r>
    <w:r w:rsidR="00486BFB" w:rsidRPr="009919F5">
      <w:rPr>
        <w:color w:val="262626" w:themeColor="text1" w:themeTint="D9"/>
      </w:rPr>
      <w:tab/>
    </w:r>
    <w:r w:rsidR="00486BFB" w:rsidRPr="009919F5">
      <w:rPr>
        <w:color w:val="404040" w:themeColor="text1" w:themeTint="BF"/>
      </w:rPr>
      <w:tab/>
    </w:r>
    <w:r w:rsidR="00B06B46" w:rsidRPr="009919F5">
      <w:rPr>
        <w:color w:val="404040" w:themeColor="text1" w:themeTint="BF"/>
      </w:rPr>
      <w:fldChar w:fldCharType="begin"/>
    </w:r>
    <w:r w:rsidR="00B06B46" w:rsidRPr="009919F5">
      <w:rPr>
        <w:color w:val="404040" w:themeColor="text1" w:themeTint="BF"/>
      </w:rPr>
      <w:instrText xml:space="preserve"> PAGE   \* MERGEFORMAT </w:instrText>
    </w:r>
    <w:r w:rsidR="00B06B46" w:rsidRPr="009919F5">
      <w:rPr>
        <w:color w:val="404040" w:themeColor="text1" w:themeTint="BF"/>
      </w:rPr>
      <w:fldChar w:fldCharType="separate"/>
    </w:r>
    <w:r w:rsidR="00B06B46" w:rsidRPr="009919F5">
      <w:rPr>
        <w:color w:val="404040" w:themeColor="text1" w:themeTint="BF"/>
      </w:rPr>
      <w:t>2</w:t>
    </w:r>
    <w:r w:rsidR="00B06B46" w:rsidRPr="009919F5">
      <w:rPr>
        <w:color w:val="404040" w:themeColor="text1" w:themeTint="BF"/>
      </w:rPr>
      <w:fldChar w:fldCharType="end"/>
    </w:r>
  </w:p>
  <w:p w14:paraId="5EB109EB" w14:textId="71F94EBC" w:rsidR="00710296" w:rsidRPr="009919F5" w:rsidRDefault="0071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A471" w14:textId="61D6D910" w:rsidR="00D50ABE" w:rsidRPr="009919F5" w:rsidRDefault="002445DE">
    <w:pPr>
      <w:pStyle w:val="Footer"/>
      <w:pBdr>
        <w:top w:val="single" w:sz="4" w:space="8" w:color="893B94" w:themeColor="accent1"/>
      </w:pBdr>
      <w:spacing w:before="360"/>
      <w:contextualSpacing/>
      <w:jc w:val="right"/>
      <w:rPr>
        <w:color w:val="404040" w:themeColor="text1" w:themeTint="BF"/>
      </w:rPr>
    </w:pPr>
    <w:r w:rsidRPr="009919F5">
      <w:rPr>
        <w:noProof/>
        <w:color w:val="404040" w:themeColor="text1" w:themeTint="BF"/>
      </w:rPr>
      <mc:AlternateContent>
        <mc:Choice Requires="wps">
          <w:drawing>
            <wp:anchor distT="0" distB="0" distL="0" distR="0" simplePos="0" relativeHeight="251668483" behindDoc="0" locked="0" layoutInCell="1" allowOverlap="1" wp14:anchorId="0A521D32" wp14:editId="026757BC">
              <wp:simplePos x="628650" y="9620250"/>
              <wp:positionH relativeFrom="page">
                <wp:align>center</wp:align>
              </wp:positionH>
              <wp:positionV relativeFrom="page">
                <wp:align>bottom</wp:align>
              </wp:positionV>
              <wp:extent cx="551815" cy="508000"/>
              <wp:effectExtent l="0" t="0" r="635" b="0"/>
              <wp:wrapNone/>
              <wp:docPr id="9335652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08000"/>
                      </a:xfrm>
                      <a:prstGeom prst="rect">
                        <a:avLst/>
                      </a:prstGeom>
                      <a:noFill/>
                      <a:ln>
                        <a:noFill/>
                      </a:ln>
                    </wps:spPr>
                    <wps:txbx>
                      <w:txbxContent>
                        <w:p w14:paraId="507A3688" w14:textId="7B8AD1F9" w:rsidR="002445DE" w:rsidRPr="009919F5" w:rsidRDefault="002445DE" w:rsidP="002445DE">
                          <w:pPr>
                            <w:spacing w:after="0"/>
                            <w:rPr>
                              <w:rFonts w:ascii="Calibri" w:eastAsia="Calibri" w:hAnsi="Calibri" w:cs="Calibri"/>
                              <w:color w:val="FF0000"/>
                              <w:sz w:val="24"/>
                              <w:szCs w:val="24"/>
                            </w:rPr>
                          </w:pPr>
                          <w:r w:rsidRPr="009919F5">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521D32" id="_x0000_t202" coordsize="21600,21600" o:spt="202" path="m,l,21600r21600,l21600,xe">
              <v:stroke joinstyle="miter"/>
              <v:path gradientshapeok="t" o:connecttype="rect"/>
            </v:shapetype>
            <v:shape id="Text Box 5" o:spid="_x0000_s1031" type="#_x0000_t202" alt="OFFICIAL" style="position:absolute;left:0;text-align:left;margin-left:0;margin-top:0;width:43.45pt;height:40pt;z-index:25166848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" filled="f" stroked="f">
              <v:textbox style="mso-fit-shape-to-text:t" inset="0,0,0,15pt">
                <w:txbxContent>
                  <w:p w14:paraId="507A3688" w14:textId="7B8AD1F9" w:rsidR="002445DE" w:rsidRPr="009919F5" w:rsidRDefault="002445DE" w:rsidP="002445DE">
                    <w:pPr>
                      <w:spacing w:after="0"/>
                      <w:rPr>
                        <w:rFonts w:ascii="Calibri" w:eastAsia="Calibri" w:hAnsi="Calibri" w:cs="Calibri"/>
                        <w:color w:val="FF0000"/>
                        <w:sz w:val="24"/>
                        <w:szCs w:val="24"/>
                      </w:rPr>
                    </w:pPr>
                    <w:r w:rsidRPr="009919F5">
                      <w:rPr>
                        <w:rFonts w:ascii="Calibri" w:eastAsia="Calibri" w:hAnsi="Calibri" w:cs="Calibri"/>
                        <w:color w:val="FF0000"/>
                        <w:sz w:val="24"/>
                        <w:szCs w:val="24"/>
                      </w:rPr>
                      <w:t>OFFICIAL</w:t>
                    </w:r>
                  </w:p>
                </w:txbxContent>
              </v:textbox>
              <w10:wrap anchorx="page" anchory="page"/>
            </v:shape>
          </w:pict>
        </mc:Fallback>
      </mc:AlternateContent>
    </w:r>
    <w:r w:rsidR="00D50ABE" w:rsidRPr="009919F5">
      <w:rPr>
        <w:color w:val="404040" w:themeColor="text1" w:themeTint="BF"/>
      </w:rPr>
      <w:fldChar w:fldCharType="begin"/>
    </w:r>
    <w:r w:rsidR="00D50ABE" w:rsidRPr="009919F5">
      <w:rPr>
        <w:color w:val="404040" w:themeColor="text1" w:themeTint="BF"/>
      </w:rPr>
      <w:instrText xml:space="preserve"> PAGE   \* MERGEFORMAT </w:instrText>
    </w:r>
    <w:r w:rsidR="00D50ABE" w:rsidRPr="009919F5">
      <w:rPr>
        <w:color w:val="404040" w:themeColor="text1" w:themeTint="BF"/>
      </w:rPr>
      <w:fldChar w:fldCharType="separate"/>
    </w:r>
    <w:r w:rsidR="00D50ABE" w:rsidRPr="009919F5">
      <w:rPr>
        <w:color w:val="404040" w:themeColor="text1" w:themeTint="BF"/>
      </w:rPr>
      <w:t>2</w:t>
    </w:r>
    <w:r w:rsidR="00D50ABE" w:rsidRPr="009919F5">
      <w:rPr>
        <w:color w:val="404040" w:themeColor="text1" w:themeTint="BF"/>
      </w:rPr>
      <w:fldChar w:fldCharType="end"/>
    </w:r>
  </w:p>
  <w:p w14:paraId="609E9DDE" w14:textId="59FBE568" w:rsidR="00710296" w:rsidRPr="009919F5" w:rsidRDefault="0071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A6FED" w14:textId="77777777" w:rsidR="00DF52FA" w:rsidRPr="009919F5" w:rsidRDefault="00DF52FA" w:rsidP="007B0021">
      <w:r w:rsidRPr="009919F5">
        <w:separator/>
      </w:r>
    </w:p>
    <w:p w14:paraId="7EA49F06" w14:textId="77777777" w:rsidR="00DF52FA" w:rsidRPr="009919F5" w:rsidRDefault="00DF52FA" w:rsidP="007B0021"/>
  </w:footnote>
  <w:footnote w:type="continuationSeparator" w:id="0">
    <w:p w14:paraId="1B17CD85" w14:textId="77777777" w:rsidR="00DF52FA" w:rsidRPr="009919F5" w:rsidRDefault="00DF52FA" w:rsidP="007B0021">
      <w:r w:rsidRPr="009919F5">
        <w:continuationSeparator/>
      </w:r>
    </w:p>
    <w:p w14:paraId="7B342FB2" w14:textId="77777777" w:rsidR="00DF52FA" w:rsidRPr="009919F5" w:rsidRDefault="00DF52FA" w:rsidP="007B0021"/>
  </w:footnote>
  <w:footnote w:type="continuationNotice" w:id="1">
    <w:p w14:paraId="2CB7DCD5" w14:textId="77777777" w:rsidR="00DF52FA" w:rsidRPr="009919F5" w:rsidRDefault="00DF52F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6730" w14:textId="03B843E3" w:rsidR="00710296" w:rsidRPr="009919F5" w:rsidRDefault="002445DE">
    <w:pPr>
      <w:pStyle w:val="Header"/>
    </w:pPr>
    <w:r w:rsidRPr="009919F5">
      <w:rPr>
        <w:noProof/>
      </w:rPr>
      <mc:AlternateContent>
        <mc:Choice Requires="wps">
          <w:drawing>
            <wp:anchor distT="0" distB="0" distL="0" distR="0" simplePos="0" relativeHeight="251666435" behindDoc="0" locked="0" layoutInCell="1" allowOverlap="1" wp14:anchorId="4F110D5E" wp14:editId="23A0C879">
              <wp:simplePos x="635" y="635"/>
              <wp:positionH relativeFrom="page">
                <wp:align>center</wp:align>
              </wp:positionH>
              <wp:positionV relativeFrom="page">
                <wp:align>top</wp:align>
              </wp:positionV>
              <wp:extent cx="551815" cy="508000"/>
              <wp:effectExtent l="0" t="0" r="635" b="6350"/>
              <wp:wrapNone/>
              <wp:docPr id="36647482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08000"/>
                      </a:xfrm>
                      <a:prstGeom prst="rect">
                        <a:avLst/>
                      </a:prstGeom>
                      <a:noFill/>
                      <a:ln>
                        <a:noFill/>
                      </a:ln>
                    </wps:spPr>
                    <wps:txbx>
                      <w:txbxContent>
                        <w:p w14:paraId="54BBA1AD" w14:textId="3D36554C" w:rsidR="002445DE" w:rsidRPr="009919F5" w:rsidRDefault="002445DE" w:rsidP="002445DE">
                          <w:pPr>
                            <w:spacing w:after="0"/>
                            <w:rPr>
                              <w:rFonts w:ascii="Calibri" w:eastAsia="Calibri" w:hAnsi="Calibri" w:cs="Calibri"/>
                              <w:color w:val="FF0000"/>
                              <w:sz w:val="24"/>
                              <w:szCs w:val="24"/>
                            </w:rPr>
                          </w:pPr>
                          <w:r w:rsidRPr="009919F5">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110D5E" id="_x0000_t202" coordsize="21600,21600" o:spt="202" path="m,l,21600r21600,l21600,xe">
              <v:stroke joinstyle="miter"/>
              <v:path gradientshapeok="t" o:connecttype="rect"/>
            </v:shapetype>
            <v:shape id="Text Box 3" o:spid="_x0000_s1026" type="#_x0000_t202" alt="OFFICIAL" style="position:absolute;margin-left:0;margin-top:0;width:43.45pt;height:40pt;z-index:25166643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" filled="f" stroked="f">
              <v:textbox style="mso-fit-shape-to-text:t" inset="0,15pt,0,0">
                <w:txbxContent>
                  <w:p w14:paraId="54BBA1AD" w14:textId="3D36554C" w:rsidR="002445DE" w:rsidRPr="009919F5" w:rsidRDefault="002445DE" w:rsidP="002445DE">
                    <w:pPr>
                      <w:spacing w:after="0"/>
                      <w:rPr>
                        <w:rFonts w:ascii="Calibri" w:eastAsia="Calibri" w:hAnsi="Calibri" w:cs="Calibri"/>
                        <w:color w:val="FF0000"/>
                        <w:sz w:val="24"/>
                        <w:szCs w:val="24"/>
                      </w:rPr>
                    </w:pPr>
                    <w:r w:rsidRPr="009919F5">
                      <w:rPr>
                        <w:rFonts w:ascii="Calibri" w:eastAsia="Calibri" w:hAnsi="Calibri" w:cs="Calibri"/>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0D81E" w14:textId="72576901" w:rsidR="00710296" w:rsidRPr="009919F5" w:rsidRDefault="002445DE">
    <w:pPr>
      <w:pStyle w:val="Header"/>
    </w:pPr>
    <w:r w:rsidRPr="009919F5">
      <w:rPr>
        <w:noProof/>
      </w:rPr>
      <mc:AlternateContent>
        <mc:Choice Requires="wps">
          <w:drawing>
            <wp:anchor distT="0" distB="0" distL="0" distR="0" simplePos="0" relativeHeight="251667459" behindDoc="0" locked="0" layoutInCell="1" allowOverlap="1" wp14:anchorId="1E644413" wp14:editId="0F54CA3C">
              <wp:simplePos x="631190" y="450215"/>
              <wp:positionH relativeFrom="page">
                <wp:align>center</wp:align>
              </wp:positionH>
              <wp:positionV relativeFrom="page">
                <wp:align>top</wp:align>
              </wp:positionV>
              <wp:extent cx="551815" cy="508000"/>
              <wp:effectExtent l="0" t="0" r="635" b="6350"/>
              <wp:wrapNone/>
              <wp:docPr id="40095834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08000"/>
                      </a:xfrm>
                      <a:prstGeom prst="rect">
                        <a:avLst/>
                      </a:prstGeom>
                      <a:noFill/>
                      <a:ln>
                        <a:noFill/>
                      </a:ln>
                    </wps:spPr>
                    <wps:txbx>
                      <w:txbxContent>
                        <w:p w14:paraId="610E7186" w14:textId="0226130D" w:rsidR="002445DE" w:rsidRPr="009919F5" w:rsidRDefault="002445DE" w:rsidP="002445DE">
                          <w:pPr>
                            <w:spacing w:after="0"/>
                            <w:rPr>
                              <w:rFonts w:ascii="Calibri" w:eastAsia="Calibri" w:hAnsi="Calibri" w:cs="Calibri"/>
                              <w:color w:val="FF0000"/>
                              <w:sz w:val="24"/>
                              <w:szCs w:val="24"/>
                            </w:rPr>
                          </w:pPr>
                          <w:r w:rsidRPr="009919F5">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644413" id="_x0000_t202" coordsize="21600,21600" o:spt="202" path="m,l,21600r21600,l21600,xe">
              <v:stroke joinstyle="miter"/>
              <v:path gradientshapeok="t" o:connecttype="rect"/>
            </v:shapetype>
            <v:shape id="Text Box 4" o:spid="_x0000_s1027" type="#_x0000_t202" alt="OFFICIAL" style="position:absolute;margin-left:0;margin-top:0;width:43.45pt;height:40pt;z-index:25166745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" filled="f" stroked="f">
              <v:textbox style="mso-fit-shape-to-text:t" inset="0,15pt,0,0">
                <w:txbxContent>
                  <w:p w14:paraId="610E7186" w14:textId="0226130D" w:rsidR="002445DE" w:rsidRPr="009919F5" w:rsidRDefault="002445DE" w:rsidP="002445DE">
                    <w:pPr>
                      <w:spacing w:after="0"/>
                      <w:rPr>
                        <w:rFonts w:ascii="Calibri" w:eastAsia="Calibri" w:hAnsi="Calibri" w:cs="Calibri"/>
                        <w:color w:val="FF0000"/>
                        <w:sz w:val="24"/>
                        <w:szCs w:val="24"/>
                      </w:rPr>
                    </w:pPr>
                    <w:r w:rsidRPr="009919F5">
                      <w:rPr>
                        <w:rFonts w:ascii="Calibri" w:eastAsia="Calibri" w:hAnsi="Calibri" w:cs="Calibri"/>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E7B89" w14:textId="27255487" w:rsidR="003A58AB" w:rsidRPr="009919F5" w:rsidRDefault="002445DE" w:rsidP="007B0021">
    <w:pPr>
      <w:pStyle w:val="Header"/>
    </w:pPr>
    <w:r w:rsidRPr="009919F5">
      <w:rPr>
        <w:noProof/>
      </w:rPr>
      <mc:AlternateContent>
        <mc:Choice Requires="wps">
          <w:drawing>
            <wp:anchor distT="0" distB="0" distL="0" distR="0" simplePos="0" relativeHeight="251665411" behindDoc="0" locked="0" layoutInCell="1" allowOverlap="1" wp14:anchorId="5E287ECE" wp14:editId="05A763D6">
              <wp:simplePos x="628650" y="447675"/>
              <wp:positionH relativeFrom="page">
                <wp:align>center</wp:align>
              </wp:positionH>
              <wp:positionV relativeFrom="page">
                <wp:align>top</wp:align>
              </wp:positionV>
              <wp:extent cx="551815" cy="508000"/>
              <wp:effectExtent l="0" t="0" r="635" b="6350"/>
              <wp:wrapNone/>
              <wp:docPr id="154441215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08000"/>
                      </a:xfrm>
                      <a:prstGeom prst="rect">
                        <a:avLst/>
                      </a:prstGeom>
                      <a:noFill/>
                      <a:ln>
                        <a:noFill/>
                      </a:ln>
                    </wps:spPr>
                    <wps:txbx>
                      <w:txbxContent>
                        <w:p w14:paraId="4F797E5E" w14:textId="02F1C175" w:rsidR="002445DE" w:rsidRPr="009919F5" w:rsidRDefault="002445DE" w:rsidP="002445DE">
                          <w:pPr>
                            <w:spacing w:after="0"/>
                            <w:rPr>
                              <w:rFonts w:ascii="Calibri" w:eastAsia="Calibri" w:hAnsi="Calibri" w:cs="Calibri"/>
                              <w:color w:val="FF0000"/>
                              <w:sz w:val="24"/>
                              <w:szCs w:val="24"/>
                            </w:rPr>
                          </w:pPr>
                          <w:r w:rsidRPr="009919F5">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287ECE" id="_x0000_t202" coordsize="21600,21600" o:spt="202" path="m,l,21600r21600,l21600,xe">
              <v:stroke joinstyle="miter"/>
              <v:path gradientshapeok="t" o:connecttype="rect"/>
            </v:shapetype>
            <v:shape id="Text Box 2" o:spid="_x0000_s1030" type="#_x0000_t202" alt="OFFICIAL" style="position:absolute;margin-left:0;margin-top:0;width:43.45pt;height:40pt;z-index:25166541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" filled="f" stroked="f">
              <v:textbox style="mso-fit-shape-to-text:t" inset="0,15pt,0,0">
                <w:txbxContent>
                  <w:p w14:paraId="4F797E5E" w14:textId="02F1C175" w:rsidR="002445DE" w:rsidRPr="009919F5" w:rsidRDefault="002445DE" w:rsidP="002445DE">
                    <w:pPr>
                      <w:spacing w:after="0"/>
                      <w:rPr>
                        <w:rFonts w:ascii="Calibri" w:eastAsia="Calibri" w:hAnsi="Calibri" w:cs="Calibri"/>
                        <w:color w:val="FF0000"/>
                        <w:sz w:val="24"/>
                        <w:szCs w:val="24"/>
                      </w:rPr>
                    </w:pPr>
                    <w:r w:rsidRPr="009919F5">
                      <w:rPr>
                        <w:rFonts w:ascii="Calibri" w:eastAsia="Calibri" w:hAnsi="Calibri" w:cs="Calibri"/>
                        <w:color w:val="FF0000"/>
                        <w:sz w:val="24"/>
                        <w:szCs w:val="24"/>
                      </w:rPr>
                      <w:t>OFFICIAL</w:t>
                    </w:r>
                  </w:p>
                </w:txbxContent>
              </v:textbox>
              <w10:wrap anchorx="page" anchory="page"/>
            </v:shape>
          </w:pict>
        </mc:Fallback>
      </mc:AlternateContent>
    </w:r>
  </w:p>
  <w:p w14:paraId="42260FC9" w14:textId="77777777" w:rsidR="003A58AB" w:rsidRPr="009919F5" w:rsidRDefault="003A58AB" w:rsidP="007B00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0D68"/>
    <w:multiLevelType w:val="multilevel"/>
    <w:tmpl w:val="2444A6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D412BC"/>
    <w:multiLevelType w:val="hybridMultilevel"/>
    <w:tmpl w:val="812012FC"/>
    <w:lvl w:ilvl="0" w:tplc="8F509C8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0D903CA"/>
    <w:multiLevelType w:val="hybridMultilevel"/>
    <w:tmpl w:val="0E58C170"/>
    <w:lvl w:ilvl="0" w:tplc="16200BEE">
      <w:start w:val="1"/>
      <w:numFmt w:val="bullet"/>
      <w:pStyle w:val="BulletList"/>
      <w:lvlText w:val=""/>
      <w:lvlJc w:val="left"/>
      <w:pPr>
        <w:ind w:left="1080" w:hanging="360"/>
      </w:pPr>
      <w:rPr>
        <w:rFonts w:ascii="Symbol" w:hAnsi="Symbol" w:cs="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cs="Wingdings" w:hint="default"/>
      </w:rPr>
    </w:lvl>
    <w:lvl w:ilvl="3" w:tplc="0C090001" w:tentative="1">
      <w:start w:val="1"/>
      <w:numFmt w:val="bullet"/>
      <w:lvlText w:val=""/>
      <w:lvlJc w:val="left"/>
      <w:pPr>
        <w:ind w:left="3240" w:hanging="360"/>
      </w:pPr>
      <w:rPr>
        <w:rFonts w:ascii="Symbol" w:hAnsi="Symbol" w:cs="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cs="Wingdings" w:hint="default"/>
      </w:rPr>
    </w:lvl>
    <w:lvl w:ilvl="6" w:tplc="0C090001" w:tentative="1">
      <w:start w:val="1"/>
      <w:numFmt w:val="bullet"/>
      <w:lvlText w:val=""/>
      <w:lvlJc w:val="left"/>
      <w:pPr>
        <w:ind w:left="5400" w:hanging="360"/>
      </w:pPr>
      <w:rPr>
        <w:rFonts w:ascii="Symbol" w:hAnsi="Symbol" w:cs="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cs="Wingdings" w:hint="default"/>
      </w:rPr>
    </w:lvl>
  </w:abstractNum>
  <w:abstractNum w:abstractNumId="3" w15:restartNumberingAfterBreak="0">
    <w:nsid w:val="4D643664"/>
    <w:multiLevelType w:val="hybridMultilevel"/>
    <w:tmpl w:val="26FCED0E"/>
    <w:lvl w:ilvl="0" w:tplc="D74C2B72">
      <w:start w:val="1"/>
      <w:numFmt w:val="decimal"/>
      <w:pStyle w:val="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4DF7EA1"/>
    <w:multiLevelType w:val="hybridMultilevel"/>
    <w:tmpl w:val="91EC8A92"/>
    <w:lvl w:ilvl="0" w:tplc="0C090003">
      <w:start w:val="1"/>
      <w:numFmt w:val="bullet"/>
      <w:lvlText w:val="o"/>
      <w:lvlJc w:val="left"/>
      <w:pPr>
        <w:ind w:left="2520" w:hanging="360"/>
      </w:pPr>
      <w:rPr>
        <w:rFonts w:ascii="Courier New" w:hAnsi="Courier New" w:cs="Courier New"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5" w15:restartNumberingAfterBreak="0">
    <w:nsid w:val="67B55E77"/>
    <w:multiLevelType w:val="hybridMultilevel"/>
    <w:tmpl w:val="A9B89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1D84D97"/>
    <w:multiLevelType w:val="hybridMultilevel"/>
    <w:tmpl w:val="904AE76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2185339"/>
    <w:multiLevelType w:val="hybridMultilevel"/>
    <w:tmpl w:val="20E2D7BA"/>
    <w:lvl w:ilvl="0" w:tplc="803A9232">
      <w:numFmt w:val="bullet"/>
      <w:lvlText w:val="-"/>
      <w:lvlJc w:val="left"/>
      <w:pPr>
        <w:ind w:left="1494" w:hanging="360"/>
      </w:pPr>
      <w:rPr>
        <w:rFonts w:ascii="Verdana" w:eastAsiaTheme="minorHAnsi" w:hAnsi="Verdana" w:cstheme="minorBidi"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8" w15:restartNumberingAfterBreak="0">
    <w:nsid w:val="72492E46"/>
    <w:multiLevelType w:val="multilevel"/>
    <w:tmpl w:val="CEF0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093F89"/>
    <w:multiLevelType w:val="hybridMultilevel"/>
    <w:tmpl w:val="34A89796"/>
    <w:lvl w:ilvl="0" w:tplc="CB1441D8">
      <w:numFmt w:val="bullet"/>
      <w:lvlText w:val=""/>
      <w:lvlJc w:val="left"/>
      <w:pPr>
        <w:ind w:left="1136" w:hanging="284"/>
      </w:pPr>
      <w:rPr>
        <w:rFonts w:ascii="Symbol" w:eastAsia="Symbol" w:hAnsi="Symbol" w:cs="Symbol" w:hint="default"/>
        <w:b w:val="0"/>
        <w:bCs w:val="0"/>
        <w:i w:val="0"/>
        <w:iCs w:val="0"/>
        <w:spacing w:val="0"/>
        <w:w w:val="99"/>
        <w:sz w:val="20"/>
        <w:szCs w:val="20"/>
        <w:lang w:val="en-US" w:eastAsia="en-US" w:bidi="ar-SA"/>
      </w:rPr>
    </w:lvl>
    <w:lvl w:ilvl="1" w:tplc="65E44122">
      <w:numFmt w:val="bullet"/>
      <w:lvlText w:val="•"/>
      <w:lvlJc w:val="left"/>
      <w:pPr>
        <w:ind w:left="2116" w:hanging="284"/>
      </w:pPr>
      <w:rPr>
        <w:lang w:val="en-US" w:eastAsia="en-US" w:bidi="ar-SA"/>
      </w:rPr>
    </w:lvl>
    <w:lvl w:ilvl="2" w:tplc="16703AB6">
      <w:numFmt w:val="bullet"/>
      <w:lvlText w:val="•"/>
      <w:lvlJc w:val="left"/>
      <w:pPr>
        <w:ind w:left="3093" w:hanging="284"/>
      </w:pPr>
      <w:rPr>
        <w:lang w:val="en-US" w:eastAsia="en-US" w:bidi="ar-SA"/>
      </w:rPr>
    </w:lvl>
    <w:lvl w:ilvl="3" w:tplc="B7EC4D0A">
      <w:numFmt w:val="bullet"/>
      <w:lvlText w:val="•"/>
      <w:lvlJc w:val="left"/>
      <w:pPr>
        <w:ind w:left="4069" w:hanging="284"/>
      </w:pPr>
      <w:rPr>
        <w:lang w:val="en-US" w:eastAsia="en-US" w:bidi="ar-SA"/>
      </w:rPr>
    </w:lvl>
    <w:lvl w:ilvl="4" w:tplc="C99E6F64">
      <w:numFmt w:val="bullet"/>
      <w:lvlText w:val="•"/>
      <w:lvlJc w:val="left"/>
      <w:pPr>
        <w:ind w:left="5046" w:hanging="284"/>
      </w:pPr>
      <w:rPr>
        <w:lang w:val="en-US" w:eastAsia="en-US" w:bidi="ar-SA"/>
      </w:rPr>
    </w:lvl>
    <w:lvl w:ilvl="5" w:tplc="B97A15C2">
      <w:numFmt w:val="bullet"/>
      <w:lvlText w:val="•"/>
      <w:lvlJc w:val="left"/>
      <w:pPr>
        <w:ind w:left="6023" w:hanging="284"/>
      </w:pPr>
      <w:rPr>
        <w:lang w:val="en-US" w:eastAsia="en-US" w:bidi="ar-SA"/>
      </w:rPr>
    </w:lvl>
    <w:lvl w:ilvl="6" w:tplc="287A3DA4">
      <w:numFmt w:val="bullet"/>
      <w:lvlText w:val="•"/>
      <w:lvlJc w:val="left"/>
      <w:pPr>
        <w:ind w:left="6999" w:hanging="284"/>
      </w:pPr>
      <w:rPr>
        <w:lang w:val="en-US" w:eastAsia="en-US" w:bidi="ar-SA"/>
      </w:rPr>
    </w:lvl>
    <w:lvl w:ilvl="7" w:tplc="498CEB90">
      <w:numFmt w:val="bullet"/>
      <w:lvlText w:val="•"/>
      <w:lvlJc w:val="left"/>
      <w:pPr>
        <w:ind w:left="7976" w:hanging="284"/>
      </w:pPr>
      <w:rPr>
        <w:lang w:val="en-US" w:eastAsia="en-US" w:bidi="ar-SA"/>
      </w:rPr>
    </w:lvl>
    <w:lvl w:ilvl="8" w:tplc="A17A46D6">
      <w:numFmt w:val="bullet"/>
      <w:lvlText w:val="•"/>
      <w:lvlJc w:val="left"/>
      <w:pPr>
        <w:ind w:left="8953" w:hanging="284"/>
      </w:pPr>
      <w:rPr>
        <w:lang w:val="en-US" w:eastAsia="en-US" w:bidi="ar-SA"/>
      </w:rPr>
    </w:lvl>
  </w:abstractNum>
  <w:num w:numId="1" w16cid:durableId="1149639102">
    <w:abstractNumId w:val="2"/>
  </w:num>
  <w:num w:numId="2" w16cid:durableId="784662544">
    <w:abstractNumId w:val="3"/>
  </w:num>
  <w:num w:numId="3" w16cid:durableId="1442451738">
    <w:abstractNumId w:val="3"/>
    <w:lvlOverride w:ilvl="0">
      <w:startOverride w:val="1"/>
    </w:lvlOverride>
  </w:num>
  <w:num w:numId="4" w16cid:durableId="1562522304">
    <w:abstractNumId w:val="3"/>
    <w:lvlOverride w:ilvl="0">
      <w:startOverride w:val="1"/>
    </w:lvlOverride>
  </w:num>
  <w:num w:numId="5" w16cid:durableId="1125929345">
    <w:abstractNumId w:val="3"/>
    <w:lvlOverride w:ilvl="0">
      <w:startOverride w:val="1"/>
    </w:lvlOverride>
  </w:num>
  <w:num w:numId="6" w16cid:durableId="641621793">
    <w:abstractNumId w:val="1"/>
  </w:num>
  <w:num w:numId="7" w16cid:durableId="2117015349">
    <w:abstractNumId w:val="7"/>
  </w:num>
  <w:num w:numId="8" w16cid:durableId="116532335">
    <w:abstractNumId w:val="4"/>
  </w:num>
  <w:num w:numId="9" w16cid:durableId="411657187">
    <w:abstractNumId w:val="6"/>
  </w:num>
  <w:num w:numId="10" w16cid:durableId="1617758654">
    <w:abstractNumId w:val="8"/>
  </w:num>
  <w:num w:numId="11" w16cid:durableId="1498813107">
    <w:abstractNumId w:val="0"/>
    <w:lvlOverride w:ilvl="1">
      <w:lvl w:ilvl="1">
        <w:numFmt w:val="bullet"/>
        <w:lvlText w:val=""/>
        <w:lvlJc w:val="left"/>
        <w:pPr>
          <w:tabs>
            <w:tab w:val="num" w:pos="1440"/>
          </w:tabs>
          <w:ind w:left="1440" w:hanging="360"/>
        </w:pPr>
        <w:rPr>
          <w:rFonts w:ascii="Symbol" w:hAnsi="Symbol" w:hint="default"/>
          <w:sz w:val="20"/>
        </w:rPr>
      </w:lvl>
    </w:lvlOverride>
  </w:num>
  <w:num w:numId="12" w16cid:durableId="1158838892">
    <w:abstractNumId w:val="0"/>
    <w:lvlOverride w:ilvl="1">
      <w:lvl w:ilvl="1">
        <w:numFmt w:val="bullet"/>
        <w:lvlText w:val=""/>
        <w:lvlJc w:val="left"/>
        <w:pPr>
          <w:tabs>
            <w:tab w:val="num" w:pos="1440"/>
          </w:tabs>
          <w:ind w:left="1440" w:hanging="360"/>
        </w:pPr>
        <w:rPr>
          <w:rFonts w:ascii="Symbol" w:hAnsi="Symbol" w:hint="default"/>
          <w:sz w:val="20"/>
        </w:rPr>
      </w:lvl>
    </w:lvlOverride>
  </w:num>
  <w:num w:numId="13" w16cid:durableId="1719009630">
    <w:abstractNumId w:val="9"/>
  </w:num>
  <w:num w:numId="14" w16cid:durableId="18133326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D79"/>
    <w:rsid w:val="00000200"/>
    <w:rsid w:val="000003F7"/>
    <w:rsid w:val="0000058E"/>
    <w:rsid w:val="00004BAD"/>
    <w:rsid w:val="00006FE4"/>
    <w:rsid w:val="000115B2"/>
    <w:rsid w:val="000169AF"/>
    <w:rsid w:val="00024B8B"/>
    <w:rsid w:val="00024C14"/>
    <w:rsid w:val="00032781"/>
    <w:rsid w:val="0003320D"/>
    <w:rsid w:val="00037A83"/>
    <w:rsid w:val="00041578"/>
    <w:rsid w:val="00041AF5"/>
    <w:rsid w:val="00044523"/>
    <w:rsid w:val="00050F60"/>
    <w:rsid w:val="00051B0B"/>
    <w:rsid w:val="00052820"/>
    <w:rsid w:val="000620FC"/>
    <w:rsid w:val="0006578F"/>
    <w:rsid w:val="00066815"/>
    <w:rsid w:val="00070D3C"/>
    <w:rsid w:val="0007264B"/>
    <w:rsid w:val="00073CBF"/>
    <w:rsid w:val="00074211"/>
    <w:rsid w:val="000754DE"/>
    <w:rsid w:val="00075AC4"/>
    <w:rsid w:val="0007770C"/>
    <w:rsid w:val="00080541"/>
    <w:rsid w:val="000813C4"/>
    <w:rsid w:val="000857F2"/>
    <w:rsid w:val="00085FD1"/>
    <w:rsid w:val="00092380"/>
    <w:rsid w:val="00093FC3"/>
    <w:rsid w:val="00095965"/>
    <w:rsid w:val="0009770E"/>
    <w:rsid w:val="00097C7D"/>
    <w:rsid w:val="000A0F47"/>
    <w:rsid w:val="000A597D"/>
    <w:rsid w:val="000B0EA7"/>
    <w:rsid w:val="000B27A2"/>
    <w:rsid w:val="000B37CB"/>
    <w:rsid w:val="000C264A"/>
    <w:rsid w:val="000C37AF"/>
    <w:rsid w:val="000C37FD"/>
    <w:rsid w:val="000C3943"/>
    <w:rsid w:val="000C643F"/>
    <w:rsid w:val="000C6BE9"/>
    <w:rsid w:val="000D101E"/>
    <w:rsid w:val="000D33A9"/>
    <w:rsid w:val="000D3BDA"/>
    <w:rsid w:val="000D4A03"/>
    <w:rsid w:val="000D5C1B"/>
    <w:rsid w:val="000D6251"/>
    <w:rsid w:val="000E30AF"/>
    <w:rsid w:val="000E55D9"/>
    <w:rsid w:val="000E62C7"/>
    <w:rsid w:val="000E65E0"/>
    <w:rsid w:val="000E7E86"/>
    <w:rsid w:val="001036A0"/>
    <w:rsid w:val="00111A1B"/>
    <w:rsid w:val="0011224D"/>
    <w:rsid w:val="00116991"/>
    <w:rsid w:val="00117092"/>
    <w:rsid w:val="00117843"/>
    <w:rsid w:val="001207D7"/>
    <w:rsid w:val="00120B33"/>
    <w:rsid w:val="001211D2"/>
    <w:rsid w:val="00122DBA"/>
    <w:rsid w:val="0012425F"/>
    <w:rsid w:val="00124356"/>
    <w:rsid w:val="00124A68"/>
    <w:rsid w:val="0012540D"/>
    <w:rsid w:val="0012571B"/>
    <w:rsid w:val="00130E63"/>
    <w:rsid w:val="00130F29"/>
    <w:rsid w:val="0013282F"/>
    <w:rsid w:val="0013400C"/>
    <w:rsid w:val="00137827"/>
    <w:rsid w:val="001441B9"/>
    <w:rsid w:val="00145EDD"/>
    <w:rsid w:val="0014639B"/>
    <w:rsid w:val="00147D40"/>
    <w:rsid w:val="00153296"/>
    <w:rsid w:val="001533D3"/>
    <w:rsid w:val="001539C1"/>
    <w:rsid w:val="0015714A"/>
    <w:rsid w:val="00157FDF"/>
    <w:rsid w:val="001627CA"/>
    <w:rsid w:val="00162A5B"/>
    <w:rsid w:val="00163FAB"/>
    <w:rsid w:val="00164394"/>
    <w:rsid w:val="00164B77"/>
    <w:rsid w:val="00167D32"/>
    <w:rsid w:val="00175BDC"/>
    <w:rsid w:val="00177633"/>
    <w:rsid w:val="0018637C"/>
    <w:rsid w:val="0019030B"/>
    <w:rsid w:val="00193D74"/>
    <w:rsid w:val="001A40F3"/>
    <w:rsid w:val="001A42BC"/>
    <w:rsid w:val="001A5FA5"/>
    <w:rsid w:val="001A62AD"/>
    <w:rsid w:val="001B0BDD"/>
    <w:rsid w:val="001B0D3A"/>
    <w:rsid w:val="001B10A3"/>
    <w:rsid w:val="001B1BA8"/>
    <w:rsid w:val="001B1E94"/>
    <w:rsid w:val="001B3C49"/>
    <w:rsid w:val="001B414E"/>
    <w:rsid w:val="001C0ED1"/>
    <w:rsid w:val="001C3CC3"/>
    <w:rsid w:val="001C3EED"/>
    <w:rsid w:val="001C57C5"/>
    <w:rsid w:val="001D4556"/>
    <w:rsid w:val="001E186F"/>
    <w:rsid w:val="001E577A"/>
    <w:rsid w:val="001E5FD4"/>
    <w:rsid w:val="001E6485"/>
    <w:rsid w:val="001E725F"/>
    <w:rsid w:val="001E7FBA"/>
    <w:rsid w:val="001F00E4"/>
    <w:rsid w:val="001F1876"/>
    <w:rsid w:val="001F5511"/>
    <w:rsid w:val="001F5A5A"/>
    <w:rsid w:val="001F5E81"/>
    <w:rsid w:val="001F603E"/>
    <w:rsid w:val="001F659C"/>
    <w:rsid w:val="001F6B08"/>
    <w:rsid w:val="001F7B62"/>
    <w:rsid w:val="00200153"/>
    <w:rsid w:val="00201A9A"/>
    <w:rsid w:val="002034DD"/>
    <w:rsid w:val="0020430E"/>
    <w:rsid w:val="00213C16"/>
    <w:rsid w:val="00214F40"/>
    <w:rsid w:val="002169F1"/>
    <w:rsid w:val="0022133B"/>
    <w:rsid w:val="00221406"/>
    <w:rsid w:val="002226A3"/>
    <w:rsid w:val="00222F4B"/>
    <w:rsid w:val="00224A3B"/>
    <w:rsid w:val="0023237C"/>
    <w:rsid w:val="00236B4F"/>
    <w:rsid w:val="00240752"/>
    <w:rsid w:val="00243F5F"/>
    <w:rsid w:val="002445DE"/>
    <w:rsid w:val="00245758"/>
    <w:rsid w:val="00245E86"/>
    <w:rsid w:val="00250E16"/>
    <w:rsid w:val="00253226"/>
    <w:rsid w:val="002535CA"/>
    <w:rsid w:val="00260C01"/>
    <w:rsid w:val="00261F28"/>
    <w:rsid w:val="00262D2F"/>
    <w:rsid w:val="002639BD"/>
    <w:rsid w:val="00266087"/>
    <w:rsid w:val="00271E5D"/>
    <w:rsid w:val="00271F0E"/>
    <w:rsid w:val="0027200E"/>
    <w:rsid w:val="002749C0"/>
    <w:rsid w:val="00277201"/>
    <w:rsid w:val="00277A81"/>
    <w:rsid w:val="0028112D"/>
    <w:rsid w:val="00282C92"/>
    <w:rsid w:val="0028696F"/>
    <w:rsid w:val="00287EB0"/>
    <w:rsid w:val="0029071D"/>
    <w:rsid w:val="0029134B"/>
    <w:rsid w:val="002A6488"/>
    <w:rsid w:val="002B4979"/>
    <w:rsid w:val="002B4BC3"/>
    <w:rsid w:val="002C0700"/>
    <w:rsid w:val="002C1F51"/>
    <w:rsid w:val="002C276C"/>
    <w:rsid w:val="002C3769"/>
    <w:rsid w:val="002C4554"/>
    <w:rsid w:val="002C701D"/>
    <w:rsid w:val="002C76EC"/>
    <w:rsid w:val="002D17B8"/>
    <w:rsid w:val="002D7309"/>
    <w:rsid w:val="002E1BC7"/>
    <w:rsid w:val="002E309C"/>
    <w:rsid w:val="002E40BC"/>
    <w:rsid w:val="002E7D8B"/>
    <w:rsid w:val="002E7F63"/>
    <w:rsid w:val="002F385B"/>
    <w:rsid w:val="002F4483"/>
    <w:rsid w:val="002F5626"/>
    <w:rsid w:val="002F65C5"/>
    <w:rsid w:val="00302779"/>
    <w:rsid w:val="00303B06"/>
    <w:rsid w:val="00304A90"/>
    <w:rsid w:val="00306798"/>
    <w:rsid w:val="00311B98"/>
    <w:rsid w:val="00317256"/>
    <w:rsid w:val="003218FA"/>
    <w:rsid w:val="00321E47"/>
    <w:rsid w:val="00326B31"/>
    <w:rsid w:val="00342694"/>
    <w:rsid w:val="003446E0"/>
    <w:rsid w:val="0034649D"/>
    <w:rsid w:val="00351F29"/>
    <w:rsid w:val="003544D6"/>
    <w:rsid w:val="003570B2"/>
    <w:rsid w:val="003600EB"/>
    <w:rsid w:val="0036150E"/>
    <w:rsid w:val="00363698"/>
    <w:rsid w:val="00370972"/>
    <w:rsid w:val="003730A5"/>
    <w:rsid w:val="0037458C"/>
    <w:rsid w:val="00374D4D"/>
    <w:rsid w:val="00374FCC"/>
    <w:rsid w:val="00377481"/>
    <w:rsid w:val="00386476"/>
    <w:rsid w:val="00390F9A"/>
    <w:rsid w:val="0039107C"/>
    <w:rsid w:val="003A1417"/>
    <w:rsid w:val="003A58AB"/>
    <w:rsid w:val="003B6424"/>
    <w:rsid w:val="003C1769"/>
    <w:rsid w:val="003C2908"/>
    <w:rsid w:val="003C3B0A"/>
    <w:rsid w:val="003C4121"/>
    <w:rsid w:val="003C6177"/>
    <w:rsid w:val="003C6935"/>
    <w:rsid w:val="003C6B5F"/>
    <w:rsid w:val="003C7316"/>
    <w:rsid w:val="003D0585"/>
    <w:rsid w:val="003D0704"/>
    <w:rsid w:val="003D0882"/>
    <w:rsid w:val="003D0A67"/>
    <w:rsid w:val="003D25CD"/>
    <w:rsid w:val="003D65E7"/>
    <w:rsid w:val="003D6BBC"/>
    <w:rsid w:val="003E1187"/>
    <w:rsid w:val="003E38E3"/>
    <w:rsid w:val="003E3911"/>
    <w:rsid w:val="003E445F"/>
    <w:rsid w:val="003E5497"/>
    <w:rsid w:val="003E56A6"/>
    <w:rsid w:val="003F69D6"/>
    <w:rsid w:val="004022EF"/>
    <w:rsid w:val="00404F34"/>
    <w:rsid w:val="00406EA3"/>
    <w:rsid w:val="00410684"/>
    <w:rsid w:val="004122E0"/>
    <w:rsid w:val="004138E3"/>
    <w:rsid w:val="00413B8C"/>
    <w:rsid w:val="00414084"/>
    <w:rsid w:val="00414959"/>
    <w:rsid w:val="00417D46"/>
    <w:rsid w:val="004228C6"/>
    <w:rsid w:val="00424275"/>
    <w:rsid w:val="00426057"/>
    <w:rsid w:val="00426432"/>
    <w:rsid w:val="0043062E"/>
    <w:rsid w:val="004315C6"/>
    <w:rsid w:val="00435FD2"/>
    <w:rsid w:val="00436A12"/>
    <w:rsid w:val="0044296C"/>
    <w:rsid w:val="00442AE3"/>
    <w:rsid w:val="00442C3F"/>
    <w:rsid w:val="00444396"/>
    <w:rsid w:val="00444909"/>
    <w:rsid w:val="00450315"/>
    <w:rsid w:val="0045192E"/>
    <w:rsid w:val="00451F35"/>
    <w:rsid w:val="004543CC"/>
    <w:rsid w:val="00454526"/>
    <w:rsid w:val="00454E93"/>
    <w:rsid w:val="00460A41"/>
    <w:rsid w:val="004635F5"/>
    <w:rsid w:val="00463A27"/>
    <w:rsid w:val="004642B8"/>
    <w:rsid w:val="00466577"/>
    <w:rsid w:val="004701C0"/>
    <w:rsid w:val="004767E6"/>
    <w:rsid w:val="004857FB"/>
    <w:rsid w:val="00485C94"/>
    <w:rsid w:val="00486BFB"/>
    <w:rsid w:val="00487B6A"/>
    <w:rsid w:val="00491D79"/>
    <w:rsid w:val="00493C98"/>
    <w:rsid w:val="00494CAF"/>
    <w:rsid w:val="00496F4C"/>
    <w:rsid w:val="004A0008"/>
    <w:rsid w:val="004A19E7"/>
    <w:rsid w:val="004A2E06"/>
    <w:rsid w:val="004A3691"/>
    <w:rsid w:val="004A702B"/>
    <w:rsid w:val="004B1035"/>
    <w:rsid w:val="004B15D9"/>
    <w:rsid w:val="004B29F9"/>
    <w:rsid w:val="004C0086"/>
    <w:rsid w:val="004C1511"/>
    <w:rsid w:val="004C2CB2"/>
    <w:rsid w:val="004C6441"/>
    <w:rsid w:val="004D06AF"/>
    <w:rsid w:val="004D4735"/>
    <w:rsid w:val="004D6F59"/>
    <w:rsid w:val="004E160C"/>
    <w:rsid w:val="004E4420"/>
    <w:rsid w:val="004F0DC1"/>
    <w:rsid w:val="004F414C"/>
    <w:rsid w:val="004F4CC1"/>
    <w:rsid w:val="00501469"/>
    <w:rsid w:val="00504B0F"/>
    <w:rsid w:val="00505BCD"/>
    <w:rsid w:val="0050733C"/>
    <w:rsid w:val="00511BCA"/>
    <w:rsid w:val="00511D49"/>
    <w:rsid w:val="005133EE"/>
    <w:rsid w:val="00515422"/>
    <w:rsid w:val="005202C7"/>
    <w:rsid w:val="0052382A"/>
    <w:rsid w:val="00527753"/>
    <w:rsid w:val="00530E80"/>
    <w:rsid w:val="00531645"/>
    <w:rsid w:val="00533CB8"/>
    <w:rsid w:val="00535DE7"/>
    <w:rsid w:val="005403CF"/>
    <w:rsid w:val="005441C6"/>
    <w:rsid w:val="00544894"/>
    <w:rsid w:val="00547674"/>
    <w:rsid w:val="005513CA"/>
    <w:rsid w:val="00551639"/>
    <w:rsid w:val="0055333E"/>
    <w:rsid w:val="005573BA"/>
    <w:rsid w:val="00560373"/>
    <w:rsid w:val="00560F11"/>
    <w:rsid w:val="00561542"/>
    <w:rsid w:val="005627A1"/>
    <w:rsid w:val="00562FE2"/>
    <w:rsid w:val="00563265"/>
    <w:rsid w:val="00564F9F"/>
    <w:rsid w:val="00566608"/>
    <w:rsid w:val="005713DE"/>
    <w:rsid w:val="00571BDC"/>
    <w:rsid w:val="00572636"/>
    <w:rsid w:val="005819B6"/>
    <w:rsid w:val="00584F84"/>
    <w:rsid w:val="00592B40"/>
    <w:rsid w:val="00596FCE"/>
    <w:rsid w:val="005A5ECD"/>
    <w:rsid w:val="005A6F23"/>
    <w:rsid w:val="005A6FFB"/>
    <w:rsid w:val="005B08CA"/>
    <w:rsid w:val="005B2D29"/>
    <w:rsid w:val="005B43AD"/>
    <w:rsid w:val="005B7C3C"/>
    <w:rsid w:val="005C223D"/>
    <w:rsid w:val="005C3601"/>
    <w:rsid w:val="005C532D"/>
    <w:rsid w:val="005C686B"/>
    <w:rsid w:val="005D00C9"/>
    <w:rsid w:val="005D0CCC"/>
    <w:rsid w:val="005D1F2B"/>
    <w:rsid w:val="005D2F30"/>
    <w:rsid w:val="005D3E5E"/>
    <w:rsid w:val="005D656D"/>
    <w:rsid w:val="005E61FA"/>
    <w:rsid w:val="005E6949"/>
    <w:rsid w:val="005F0327"/>
    <w:rsid w:val="005F06FD"/>
    <w:rsid w:val="005F18A8"/>
    <w:rsid w:val="005F19BD"/>
    <w:rsid w:val="005F2EB4"/>
    <w:rsid w:val="005F3166"/>
    <w:rsid w:val="005F6A2B"/>
    <w:rsid w:val="00606F87"/>
    <w:rsid w:val="00607377"/>
    <w:rsid w:val="00607A11"/>
    <w:rsid w:val="00611A8B"/>
    <w:rsid w:val="006211DC"/>
    <w:rsid w:val="0062414E"/>
    <w:rsid w:val="00625C98"/>
    <w:rsid w:val="006347D8"/>
    <w:rsid w:val="00643386"/>
    <w:rsid w:val="00643F79"/>
    <w:rsid w:val="0065148D"/>
    <w:rsid w:val="00651500"/>
    <w:rsid w:val="00651BD8"/>
    <w:rsid w:val="00660ADE"/>
    <w:rsid w:val="0066372A"/>
    <w:rsid w:val="00663A9C"/>
    <w:rsid w:val="00664280"/>
    <w:rsid w:val="00664683"/>
    <w:rsid w:val="006663EB"/>
    <w:rsid w:val="00666AA9"/>
    <w:rsid w:val="006703C0"/>
    <w:rsid w:val="006709FC"/>
    <w:rsid w:val="00671EFB"/>
    <w:rsid w:val="006733AD"/>
    <w:rsid w:val="0067428C"/>
    <w:rsid w:val="00682EF0"/>
    <w:rsid w:val="006859EA"/>
    <w:rsid w:val="006872F0"/>
    <w:rsid w:val="0069008C"/>
    <w:rsid w:val="006918E3"/>
    <w:rsid w:val="006921B0"/>
    <w:rsid w:val="006923EC"/>
    <w:rsid w:val="00694AAD"/>
    <w:rsid w:val="00696ABA"/>
    <w:rsid w:val="00696F7D"/>
    <w:rsid w:val="00696F9E"/>
    <w:rsid w:val="00697306"/>
    <w:rsid w:val="006B3450"/>
    <w:rsid w:val="006B4A9E"/>
    <w:rsid w:val="006B6F58"/>
    <w:rsid w:val="006C12C5"/>
    <w:rsid w:val="006C19D3"/>
    <w:rsid w:val="006C2C90"/>
    <w:rsid w:val="006C35D7"/>
    <w:rsid w:val="006D0C73"/>
    <w:rsid w:val="006D0CB4"/>
    <w:rsid w:val="006D0FD3"/>
    <w:rsid w:val="006D181E"/>
    <w:rsid w:val="006D4430"/>
    <w:rsid w:val="006D4C12"/>
    <w:rsid w:val="006E19B9"/>
    <w:rsid w:val="006E3319"/>
    <w:rsid w:val="006E5730"/>
    <w:rsid w:val="006E6436"/>
    <w:rsid w:val="006E6F61"/>
    <w:rsid w:val="006F6D13"/>
    <w:rsid w:val="006F7525"/>
    <w:rsid w:val="00701E1D"/>
    <w:rsid w:val="00703F4E"/>
    <w:rsid w:val="007048D9"/>
    <w:rsid w:val="00704FA1"/>
    <w:rsid w:val="00706026"/>
    <w:rsid w:val="00707B61"/>
    <w:rsid w:val="00710296"/>
    <w:rsid w:val="007127E2"/>
    <w:rsid w:val="007156B1"/>
    <w:rsid w:val="007176BC"/>
    <w:rsid w:val="00720EFD"/>
    <w:rsid w:val="0072474A"/>
    <w:rsid w:val="007263FC"/>
    <w:rsid w:val="00727780"/>
    <w:rsid w:val="00727AA9"/>
    <w:rsid w:val="007317C8"/>
    <w:rsid w:val="00736028"/>
    <w:rsid w:val="00741836"/>
    <w:rsid w:val="00741C17"/>
    <w:rsid w:val="00741C3F"/>
    <w:rsid w:val="00742DDA"/>
    <w:rsid w:val="0075353E"/>
    <w:rsid w:val="00756D80"/>
    <w:rsid w:val="00760A81"/>
    <w:rsid w:val="0077295F"/>
    <w:rsid w:val="007736F6"/>
    <w:rsid w:val="00774485"/>
    <w:rsid w:val="00775431"/>
    <w:rsid w:val="007767AD"/>
    <w:rsid w:val="00776A9A"/>
    <w:rsid w:val="00780644"/>
    <w:rsid w:val="0078106D"/>
    <w:rsid w:val="0078435A"/>
    <w:rsid w:val="00787C6D"/>
    <w:rsid w:val="0079002A"/>
    <w:rsid w:val="0079071A"/>
    <w:rsid w:val="007A0FC3"/>
    <w:rsid w:val="007A1808"/>
    <w:rsid w:val="007A3BAC"/>
    <w:rsid w:val="007A5373"/>
    <w:rsid w:val="007A5675"/>
    <w:rsid w:val="007B0021"/>
    <w:rsid w:val="007B33EC"/>
    <w:rsid w:val="007C0231"/>
    <w:rsid w:val="007C1A6E"/>
    <w:rsid w:val="007C20C4"/>
    <w:rsid w:val="007C2D3F"/>
    <w:rsid w:val="007C3FCB"/>
    <w:rsid w:val="007C68B9"/>
    <w:rsid w:val="007C6C37"/>
    <w:rsid w:val="007D002E"/>
    <w:rsid w:val="007D016F"/>
    <w:rsid w:val="007D0AC4"/>
    <w:rsid w:val="007D2F18"/>
    <w:rsid w:val="007D7345"/>
    <w:rsid w:val="007E005D"/>
    <w:rsid w:val="007E274E"/>
    <w:rsid w:val="007E29AF"/>
    <w:rsid w:val="007E4E93"/>
    <w:rsid w:val="007F01A9"/>
    <w:rsid w:val="007F10DF"/>
    <w:rsid w:val="007F1D40"/>
    <w:rsid w:val="007F4C8D"/>
    <w:rsid w:val="007F4E2A"/>
    <w:rsid w:val="007F6B29"/>
    <w:rsid w:val="00800186"/>
    <w:rsid w:val="00802F3E"/>
    <w:rsid w:val="008070A1"/>
    <w:rsid w:val="008076E7"/>
    <w:rsid w:val="00807EED"/>
    <w:rsid w:val="00814161"/>
    <w:rsid w:val="00814613"/>
    <w:rsid w:val="008148BF"/>
    <w:rsid w:val="00816F8F"/>
    <w:rsid w:val="008241C4"/>
    <w:rsid w:val="0082473C"/>
    <w:rsid w:val="00827C64"/>
    <w:rsid w:val="00830005"/>
    <w:rsid w:val="00830C27"/>
    <w:rsid w:val="0083746E"/>
    <w:rsid w:val="008407EC"/>
    <w:rsid w:val="00842F3E"/>
    <w:rsid w:val="00845558"/>
    <w:rsid w:val="00847511"/>
    <w:rsid w:val="008508DA"/>
    <w:rsid w:val="008514EC"/>
    <w:rsid w:val="00853B8C"/>
    <w:rsid w:val="00857A0A"/>
    <w:rsid w:val="008613FE"/>
    <w:rsid w:val="00861B14"/>
    <w:rsid w:val="00862E61"/>
    <w:rsid w:val="00863A20"/>
    <w:rsid w:val="00864F5E"/>
    <w:rsid w:val="00865233"/>
    <w:rsid w:val="00865BE2"/>
    <w:rsid w:val="00877A1C"/>
    <w:rsid w:val="00877D9B"/>
    <w:rsid w:val="00877EF1"/>
    <w:rsid w:val="00881A6C"/>
    <w:rsid w:val="00883CF3"/>
    <w:rsid w:val="008866FB"/>
    <w:rsid w:val="00895F00"/>
    <w:rsid w:val="00897F82"/>
    <w:rsid w:val="008A5877"/>
    <w:rsid w:val="008A7827"/>
    <w:rsid w:val="008B1442"/>
    <w:rsid w:val="008B4F26"/>
    <w:rsid w:val="008B6033"/>
    <w:rsid w:val="008B6758"/>
    <w:rsid w:val="008B74F6"/>
    <w:rsid w:val="008C0209"/>
    <w:rsid w:val="008C7730"/>
    <w:rsid w:val="008D47E1"/>
    <w:rsid w:val="008D4F6D"/>
    <w:rsid w:val="008D5E6F"/>
    <w:rsid w:val="008E3953"/>
    <w:rsid w:val="008E7A64"/>
    <w:rsid w:val="008F4FD7"/>
    <w:rsid w:val="008F5BCE"/>
    <w:rsid w:val="008F5F70"/>
    <w:rsid w:val="008F7DDA"/>
    <w:rsid w:val="00901564"/>
    <w:rsid w:val="00903678"/>
    <w:rsid w:val="009038F3"/>
    <w:rsid w:val="00904581"/>
    <w:rsid w:val="0090791C"/>
    <w:rsid w:val="00910B4B"/>
    <w:rsid w:val="009116AF"/>
    <w:rsid w:val="00912726"/>
    <w:rsid w:val="00912A3B"/>
    <w:rsid w:val="009142C6"/>
    <w:rsid w:val="009151B8"/>
    <w:rsid w:val="009178B6"/>
    <w:rsid w:val="00921435"/>
    <w:rsid w:val="0092648B"/>
    <w:rsid w:val="009269F0"/>
    <w:rsid w:val="00927987"/>
    <w:rsid w:val="00936E7E"/>
    <w:rsid w:val="0094463A"/>
    <w:rsid w:val="00944A72"/>
    <w:rsid w:val="009451C8"/>
    <w:rsid w:val="00945D44"/>
    <w:rsid w:val="00950FD0"/>
    <w:rsid w:val="00951286"/>
    <w:rsid w:val="00952AED"/>
    <w:rsid w:val="009545CA"/>
    <w:rsid w:val="00957378"/>
    <w:rsid w:val="00957767"/>
    <w:rsid w:val="009640CE"/>
    <w:rsid w:val="0096640D"/>
    <w:rsid w:val="00966610"/>
    <w:rsid w:val="00972855"/>
    <w:rsid w:val="00975AA2"/>
    <w:rsid w:val="00977204"/>
    <w:rsid w:val="0098379B"/>
    <w:rsid w:val="00986394"/>
    <w:rsid w:val="009873AB"/>
    <w:rsid w:val="009909F9"/>
    <w:rsid w:val="009915BC"/>
    <w:rsid w:val="009919F5"/>
    <w:rsid w:val="009940B1"/>
    <w:rsid w:val="00996B27"/>
    <w:rsid w:val="009A235B"/>
    <w:rsid w:val="009A25EF"/>
    <w:rsid w:val="009A6BC3"/>
    <w:rsid w:val="009A7FAA"/>
    <w:rsid w:val="009B2EE1"/>
    <w:rsid w:val="009C0373"/>
    <w:rsid w:val="009C2FE9"/>
    <w:rsid w:val="009C4064"/>
    <w:rsid w:val="009D045A"/>
    <w:rsid w:val="009D1B1E"/>
    <w:rsid w:val="009D2155"/>
    <w:rsid w:val="009D3E4D"/>
    <w:rsid w:val="009D6B24"/>
    <w:rsid w:val="009D6E9D"/>
    <w:rsid w:val="009D70B3"/>
    <w:rsid w:val="009E1D4B"/>
    <w:rsid w:val="009E6DB3"/>
    <w:rsid w:val="009F4FCC"/>
    <w:rsid w:val="00A00806"/>
    <w:rsid w:val="00A00908"/>
    <w:rsid w:val="00A01476"/>
    <w:rsid w:val="00A01C07"/>
    <w:rsid w:val="00A04CA9"/>
    <w:rsid w:val="00A07FF2"/>
    <w:rsid w:val="00A1336C"/>
    <w:rsid w:val="00A176D2"/>
    <w:rsid w:val="00A21215"/>
    <w:rsid w:val="00A2236C"/>
    <w:rsid w:val="00A261A0"/>
    <w:rsid w:val="00A27220"/>
    <w:rsid w:val="00A27808"/>
    <w:rsid w:val="00A27D2D"/>
    <w:rsid w:val="00A35C27"/>
    <w:rsid w:val="00A43089"/>
    <w:rsid w:val="00A46D3B"/>
    <w:rsid w:val="00A47407"/>
    <w:rsid w:val="00A63323"/>
    <w:rsid w:val="00A66A74"/>
    <w:rsid w:val="00A706D5"/>
    <w:rsid w:val="00A75601"/>
    <w:rsid w:val="00A75926"/>
    <w:rsid w:val="00A76358"/>
    <w:rsid w:val="00A76FA8"/>
    <w:rsid w:val="00A80680"/>
    <w:rsid w:val="00A80AC8"/>
    <w:rsid w:val="00A84E3C"/>
    <w:rsid w:val="00A85902"/>
    <w:rsid w:val="00A90B2C"/>
    <w:rsid w:val="00A9254B"/>
    <w:rsid w:val="00AA20FB"/>
    <w:rsid w:val="00AB2DC9"/>
    <w:rsid w:val="00AB40D4"/>
    <w:rsid w:val="00AB5AD7"/>
    <w:rsid w:val="00AB7392"/>
    <w:rsid w:val="00AB757D"/>
    <w:rsid w:val="00AC060D"/>
    <w:rsid w:val="00AC0F96"/>
    <w:rsid w:val="00AC4023"/>
    <w:rsid w:val="00AC40CD"/>
    <w:rsid w:val="00AD0000"/>
    <w:rsid w:val="00AD1187"/>
    <w:rsid w:val="00AD2054"/>
    <w:rsid w:val="00AD3371"/>
    <w:rsid w:val="00AD6567"/>
    <w:rsid w:val="00AD6A63"/>
    <w:rsid w:val="00AD7D37"/>
    <w:rsid w:val="00AE2E81"/>
    <w:rsid w:val="00AE3BB1"/>
    <w:rsid w:val="00AE3D08"/>
    <w:rsid w:val="00AE461E"/>
    <w:rsid w:val="00AE49C0"/>
    <w:rsid w:val="00AE531C"/>
    <w:rsid w:val="00AE6AE9"/>
    <w:rsid w:val="00AF0572"/>
    <w:rsid w:val="00AF1648"/>
    <w:rsid w:val="00AF24BF"/>
    <w:rsid w:val="00AF3AE7"/>
    <w:rsid w:val="00AF68FC"/>
    <w:rsid w:val="00AF697D"/>
    <w:rsid w:val="00B01F46"/>
    <w:rsid w:val="00B04F75"/>
    <w:rsid w:val="00B06B46"/>
    <w:rsid w:val="00B121AC"/>
    <w:rsid w:val="00B12923"/>
    <w:rsid w:val="00B141D5"/>
    <w:rsid w:val="00B247AE"/>
    <w:rsid w:val="00B30F41"/>
    <w:rsid w:val="00B31E24"/>
    <w:rsid w:val="00B345F2"/>
    <w:rsid w:val="00B37DF6"/>
    <w:rsid w:val="00B41DFC"/>
    <w:rsid w:val="00B434DF"/>
    <w:rsid w:val="00B45EFE"/>
    <w:rsid w:val="00B5265D"/>
    <w:rsid w:val="00B52708"/>
    <w:rsid w:val="00B535D1"/>
    <w:rsid w:val="00B54801"/>
    <w:rsid w:val="00B55852"/>
    <w:rsid w:val="00B57773"/>
    <w:rsid w:val="00B639F6"/>
    <w:rsid w:val="00B64E62"/>
    <w:rsid w:val="00B67A0C"/>
    <w:rsid w:val="00B7060C"/>
    <w:rsid w:val="00B7194C"/>
    <w:rsid w:val="00B72FCB"/>
    <w:rsid w:val="00B760D0"/>
    <w:rsid w:val="00B7655F"/>
    <w:rsid w:val="00B81EDF"/>
    <w:rsid w:val="00B83474"/>
    <w:rsid w:val="00B8358D"/>
    <w:rsid w:val="00B84D7E"/>
    <w:rsid w:val="00B85F3A"/>
    <w:rsid w:val="00B87D20"/>
    <w:rsid w:val="00B908B7"/>
    <w:rsid w:val="00B91556"/>
    <w:rsid w:val="00B91A5D"/>
    <w:rsid w:val="00B9250F"/>
    <w:rsid w:val="00B96CEF"/>
    <w:rsid w:val="00BA15A9"/>
    <w:rsid w:val="00BA164D"/>
    <w:rsid w:val="00BA48E9"/>
    <w:rsid w:val="00BA4E03"/>
    <w:rsid w:val="00BA5567"/>
    <w:rsid w:val="00BA79EE"/>
    <w:rsid w:val="00BB0941"/>
    <w:rsid w:val="00BB0995"/>
    <w:rsid w:val="00BB281D"/>
    <w:rsid w:val="00BC16D5"/>
    <w:rsid w:val="00BC3564"/>
    <w:rsid w:val="00BC3A47"/>
    <w:rsid w:val="00BC4CEF"/>
    <w:rsid w:val="00BC5C77"/>
    <w:rsid w:val="00BC65FF"/>
    <w:rsid w:val="00BC73FE"/>
    <w:rsid w:val="00BD492A"/>
    <w:rsid w:val="00BD6A8A"/>
    <w:rsid w:val="00BD6FB6"/>
    <w:rsid w:val="00BE005F"/>
    <w:rsid w:val="00BE1C64"/>
    <w:rsid w:val="00BE4C65"/>
    <w:rsid w:val="00BE54BB"/>
    <w:rsid w:val="00BE56C4"/>
    <w:rsid w:val="00BE6C20"/>
    <w:rsid w:val="00BF1152"/>
    <w:rsid w:val="00BF355B"/>
    <w:rsid w:val="00BF7B39"/>
    <w:rsid w:val="00C01279"/>
    <w:rsid w:val="00C0447C"/>
    <w:rsid w:val="00C06C20"/>
    <w:rsid w:val="00C109BE"/>
    <w:rsid w:val="00C123D7"/>
    <w:rsid w:val="00C1425A"/>
    <w:rsid w:val="00C24445"/>
    <w:rsid w:val="00C268F3"/>
    <w:rsid w:val="00C2755D"/>
    <w:rsid w:val="00C279D9"/>
    <w:rsid w:val="00C27BF9"/>
    <w:rsid w:val="00C3141D"/>
    <w:rsid w:val="00C34C4D"/>
    <w:rsid w:val="00C35BA6"/>
    <w:rsid w:val="00C4292F"/>
    <w:rsid w:val="00C44557"/>
    <w:rsid w:val="00C455DA"/>
    <w:rsid w:val="00C45C34"/>
    <w:rsid w:val="00C534DA"/>
    <w:rsid w:val="00C56743"/>
    <w:rsid w:val="00C60492"/>
    <w:rsid w:val="00C61E06"/>
    <w:rsid w:val="00C6769C"/>
    <w:rsid w:val="00C7426B"/>
    <w:rsid w:val="00C74A3B"/>
    <w:rsid w:val="00C7711F"/>
    <w:rsid w:val="00C77EE3"/>
    <w:rsid w:val="00C8135C"/>
    <w:rsid w:val="00C82C6A"/>
    <w:rsid w:val="00C84049"/>
    <w:rsid w:val="00C85448"/>
    <w:rsid w:val="00C96160"/>
    <w:rsid w:val="00C97112"/>
    <w:rsid w:val="00CA5C27"/>
    <w:rsid w:val="00CA6296"/>
    <w:rsid w:val="00CB0CF4"/>
    <w:rsid w:val="00CB45AC"/>
    <w:rsid w:val="00CB6A6F"/>
    <w:rsid w:val="00CC3A2B"/>
    <w:rsid w:val="00CC4406"/>
    <w:rsid w:val="00CC56AB"/>
    <w:rsid w:val="00CC5750"/>
    <w:rsid w:val="00CD00C0"/>
    <w:rsid w:val="00CD0CE5"/>
    <w:rsid w:val="00CD1BE3"/>
    <w:rsid w:val="00CD24E6"/>
    <w:rsid w:val="00CD2745"/>
    <w:rsid w:val="00CD2A4F"/>
    <w:rsid w:val="00CD2E73"/>
    <w:rsid w:val="00CD447F"/>
    <w:rsid w:val="00CD4545"/>
    <w:rsid w:val="00CD598A"/>
    <w:rsid w:val="00CE28D7"/>
    <w:rsid w:val="00CE44CF"/>
    <w:rsid w:val="00CE5EC0"/>
    <w:rsid w:val="00CE7B75"/>
    <w:rsid w:val="00CF0D38"/>
    <w:rsid w:val="00CF4F9D"/>
    <w:rsid w:val="00CF6D06"/>
    <w:rsid w:val="00D007CB"/>
    <w:rsid w:val="00D0506C"/>
    <w:rsid w:val="00D062DA"/>
    <w:rsid w:val="00D24D6E"/>
    <w:rsid w:val="00D30F67"/>
    <w:rsid w:val="00D3585D"/>
    <w:rsid w:val="00D36BCE"/>
    <w:rsid w:val="00D4040F"/>
    <w:rsid w:val="00D40F50"/>
    <w:rsid w:val="00D46D10"/>
    <w:rsid w:val="00D50ABE"/>
    <w:rsid w:val="00D534A7"/>
    <w:rsid w:val="00D547A1"/>
    <w:rsid w:val="00D54CBD"/>
    <w:rsid w:val="00D551DB"/>
    <w:rsid w:val="00D55431"/>
    <w:rsid w:val="00D65A72"/>
    <w:rsid w:val="00D73245"/>
    <w:rsid w:val="00D751F8"/>
    <w:rsid w:val="00D76AE4"/>
    <w:rsid w:val="00D76CE7"/>
    <w:rsid w:val="00D83142"/>
    <w:rsid w:val="00D84091"/>
    <w:rsid w:val="00D871C3"/>
    <w:rsid w:val="00D87A63"/>
    <w:rsid w:val="00D93830"/>
    <w:rsid w:val="00D93FF9"/>
    <w:rsid w:val="00D95E08"/>
    <w:rsid w:val="00DA07A7"/>
    <w:rsid w:val="00DA1BDA"/>
    <w:rsid w:val="00DA2B56"/>
    <w:rsid w:val="00DA3C13"/>
    <w:rsid w:val="00DA5DAC"/>
    <w:rsid w:val="00DB21A7"/>
    <w:rsid w:val="00DB3F7B"/>
    <w:rsid w:val="00DB55A0"/>
    <w:rsid w:val="00DC23E6"/>
    <w:rsid w:val="00DC766B"/>
    <w:rsid w:val="00DD0AEC"/>
    <w:rsid w:val="00DD2294"/>
    <w:rsid w:val="00DD7FD7"/>
    <w:rsid w:val="00DE31B4"/>
    <w:rsid w:val="00DE54E2"/>
    <w:rsid w:val="00DF52FA"/>
    <w:rsid w:val="00DF6156"/>
    <w:rsid w:val="00DF65F6"/>
    <w:rsid w:val="00E066CF"/>
    <w:rsid w:val="00E069A6"/>
    <w:rsid w:val="00E07BDB"/>
    <w:rsid w:val="00E138A9"/>
    <w:rsid w:val="00E17C3C"/>
    <w:rsid w:val="00E2058F"/>
    <w:rsid w:val="00E20AAA"/>
    <w:rsid w:val="00E22624"/>
    <w:rsid w:val="00E24539"/>
    <w:rsid w:val="00E249B6"/>
    <w:rsid w:val="00E24D12"/>
    <w:rsid w:val="00E26422"/>
    <w:rsid w:val="00E367E9"/>
    <w:rsid w:val="00E427BC"/>
    <w:rsid w:val="00E435EA"/>
    <w:rsid w:val="00E47D16"/>
    <w:rsid w:val="00E53613"/>
    <w:rsid w:val="00E55893"/>
    <w:rsid w:val="00E5595B"/>
    <w:rsid w:val="00E56E36"/>
    <w:rsid w:val="00E618C3"/>
    <w:rsid w:val="00E65A15"/>
    <w:rsid w:val="00E66EF6"/>
    <w:rsid w:val="00E72F0B"/>
    <w:rsid w:val="00E754CB"/>
    <w:rsid w:val="00E76858"/>
    <w:rsid w:val="00E80C78"/>
    <w:rsid w:val="00E828D6"/>
    <w:rsid w:val="00E85854"/>
    <w:rsid w:val="00E85AAA"/>
    <w:rsid w:val="00E902C6"/>
    <w:rsid w:val="00EA173C"/>
    <w:rsid w:val="00EA4240"/>
    <w:rsid w:val="00EA5ABE"/>
    <w:rsid w:val="00EB46B2"/>
    <w:rsid w:val="00EB5095"/>
    <w:rsid w:val="00EB5307"/>
    <w:rsid w:val="00EC0225"/>
    <w:rsid w:val="00EC306F"/>
    <w:rsid w:val="00EC6302"/>
    <w:rsid w:val="00EC655D"/>
    <w:rsid w:val="00ED0C8D"/>
    <w:rsid w:val="00ED15AC"/>
    <w:rsid w:val="00ED2EAC"/>
    <w:rsid w:val="00ED483D"/>
    <w:rsid w:val="00ED4B97"/>
    <w:rsid w:val="00ED5626"/>
    <w:rsid w:val="00ED6B50"/>
    <w:rsid w:val="00ED7411"/>
    <w:rsid w:val="00EE022C"/>
    <w:rsid w:val="00EE05FC"/>
    <w:rsid w:val="00EE4027"/>
    <w:rsid w:val="00EE629A"/>
    <w:rsid w:val="00EF29F3"/>
    <w:rsid w:val="00EF7583"/>
    <w:rsid w:val="00F007D8"/>
    <w:rsid w:val="00F02612"/>
    <w:rsid w:val="00F02D9C"/>
    <w:rsid w:val="00F0525D"/>
    <w:rsid w:val="00F13519"/>
    <w:rsid w:val="00F20138"/>
    <w:rsid w:val="00F22F13"/>
    <w:rsid w:val="00F23FEC"/>
    <w:rsid w:val="00F2596F"/>
    <w:rsid w:val="00F25BD3"/>
    <w:rsid w:val="00F319FD"/>
    <w:rsid w:val="00F33263"/>
    <w:rsid w:val="00F33F04"/>
    <w:rsid w:val="00F34796"/>
    <w:rsid w:val="00F34AAC"/>
    <w:rsid w:val="00F427E4"/>
    <w:rsid w:val="00F43CB1"/>
    <w:rsid w:val="00F43E2B"/>
    <w:rsid w:val="00F45A2B"/>
    <w:rsid w:val="00F52D92"/>
    <w:rsid w:val="00F54183"/>
    <w:rsid w:val="00F55A3E"/>
    <w:rsid w:val="00F57F70"/>
    <w:rsid w:val="00F67183"/>
    <w:rsid w:val="00F67EAD"/>
    <w:rsid w:val="00F751B3"/>
    <w:rsid w:val="00F75C83"/>
    <w:rsid w:val="00F83217"/>
    <w:rsid w:val="00F85A20"/>
    <w:rsid w:val="00F87EE4"/>
    <w:rsid w:val="00F908D0"/>
    <w:rsid w:val="00F91D66"/>
    <w:rsid w:val="00F92ADC"/>
    <w:rsid w:val="00F9396C"/>
    <w:rsid w:val="00F93C46"/>
    <w:rsid w:val="00F957F0"/>
    <w:rsid w:val="00F97961"/>
    <w:rsid w:val="00FA001C"/>
    <w:rsid w:val="00FA69ED"/>
    <w:rsid w:val="00FA72E6"/>
    <w:rsid w:val="00FA7D99"/>
    <w:rsid w:val="00FB59F8"/>
    <w:rsid w:val="00FB606A"/>
    <w:rsid w:val="00FB7076"/>
    <w:rsid w:val="00FC1ABB"/>
    <w:rsid w:val="00FC1AF6"/>
    <w:rsid w:val="00FC2C7B"/>
    <w:rsid w:val="00FC3F3F"/>
    <w:rsid w:val="00FC4D36"/>
    <w:rsid w:val="00FC500B"/>
    <w:rsid w:val="00FC6247"/>
    <w:rsid w:val="00FD1932"/>
    <w:rsid w:val="00FD1A08"/>
    <w:rsid w:val="00FD2672"/>
    <w:rsid w:val="00FD6F93"/>
    <w:rsid w:val="00FD72DC"/>
    <w:rsid w:val="00FD74DA"/>
    <w:rsid w:val="00FE1230"/>
    <w:rsid w:val="00FE2930"/>
    <w:rsid w:val="00FE341F"/>
    <w:rsid w:val="00FE699E"/>
    <w:rsid w:val="00FE6D7B"/>
    <w:rsid w:val="00FF32CF"/>
    <w:rsid w:val="00FF3B02"/>
    <w:rsid w:val="00FF6ADA"/>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AD6100"/>
  <w15:docId w15:val="{4FB65444-D611-4F3D-B824-DDC18B489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5D1"/>
    <w:pPr>
      <w:spacing w:before="200" w:after="200" w:line="300" w:lineRule="exact"/>
    </w:pPr>
    <w:rPr>
      <w:rFonts w:ascii="Verdana" w:hAnsi="Verdana"/>
      <w:color w:val="000000" w:themeColor="text1"/>
      <w:sz w:val="20"/>
      <w:szCs w:val="20"/>
    </w:rPr>
  </w:style>
  <w:style w:type="paragraph" w:styleId="Heading1">
    <w:name w:val="heading 1"/>
    <w:basedOn w:val="CoverPageHeader"/>
    <w:next w:val="Normal"/>
    <w:link w:val="Heading1Char"/>
    <w:uiPriority w:val="9"/>
    <w:qFormat/>
    <w:rsid w:val="00AD6A63"/>
    <w:pPr>
      <w:outlineLvl w:val="0"/>
    </w:pPr>
    <w:rPr>
      <w:rFonts w:eastAsia="SimSun" w:cs="Times New Roman"/>
      <w:b w:val="0"/>
      <w:color w:val="2E1A47"/>
      <w:sz w:val="44"/>
      <w:szCs w:val="44"/>
      <w:lang w:eastAsia="zh-CN"/>
    </w:rPr>
  </w:style>
  <w:style w:type="paragraph" w:styleId="Heading2">
    <w:name w:val="heading 2"/>
    <w:basedOn w:val="Normal"/>
    <w:next w:val="Normal"/>
    <w:link w:val="Heading2Char"/>
    <w:uiPriority w:val="9"/>
    <w:unhideWhenUsed/>
    <w:qFormat/>
    <w:rsid w:val="00243F5F"/>
    <w:pPr>
      <w:keepNext/>
      <w:keepLines/>
      <w:spacing w:before="360" w:after="160" w:line="252" w:lineRule="auto"/>
      <w:outlineLvl w:val="1"/>
    </w:pPr>
    <w:rPr>
      <w:rFonts w:eastAsia="SimSun" w:cs="Times New Roman"/>
      <w:bCs/>
      <w:color w:val="441D4A" w:themeColor="accent1" w:themeShade="80"/>
      <w:sz w:val="32"/>
      <w:szCs w:val="26"/>
      <w:lang w:eastAsia="zh-CN"/>
    </w:rPr>
  </w:style>
  <w:style w:type="paragraph" w:styleId="Heading3">
    <w:name w:val="heading 3"/>
    <w:basedOn w:val="Title"/>
    <w:next w:val="Normal"/>
    <w:link w:val="Heading3Char"/>
    <w:uiPriority w:val="9"/>
    <w:unhideWhenUsed/>
    <w:qFormat/>
    <w:rsid w:val="00243F5F"/>
    <w:pPr>
      <w:outlineLvl w:val="2"/>
    </w:pPr>
    <w:rPr>
      <w:b w:val="0"/>
      <w:color w:val="300050" w:themeColor="text2"/>
      <w:sz w:val="28"/>
    </w:rPr>
  </w:style>
  <w:style w:type="paragraph" w:styleId="Heading4">
    <w:name w:val="heading 4"/>
    <w:basedOn w:val="Normal"/>
    <w:next w:val="Normal"/>
    <w:link w:val="Heading4Char"/>
    <w:uiPriority w:val="9"/>
    <w:unhideWhenUsed/>
    <w:qFormat/>
    <w:rsid w:val="002C1F51"/>
    <w:pPr>
      <w:outlineLvl w:val="3"/>
    </w:pPr>
    <w:rPr>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3C3B0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C3B0A"/>
    <w:rPr>
      <w:rFonts w:eastAsiaTheme="minorEastAsia"/>
      <w:lang w:val="en-US"/>
    </w:rPr>
  </w:style>
  <w:style w:type="paragraph" w:styleId="Header">
    <w:name w:val="header"/>
    <w:basedOn w:val="Normal"/>
    <w:link w:val="HeaderChar"/>
    <w:uiPriority w:val="99"/>
    <w:unhideWhenUsed/>
    <w:rsid w:val="003C3B0A"/>
    <w:pPr>
      <w:tabs>
        <w:tab w:val="center" w:pos="4513"/>
        <w:tab w:val="right" w:pos="9026"/>
      </w:tabs>
      <w:spacing w:after="0"/>
    </w:pPr>
  </w:style>
  <w:style w:type="character" w:customStyle="1" w:styleId="HeaderChar">
    <w:name w:val="Header Char"/>
    <w:basedOn w:val="DefaultParagraphFont"/>
    <w:link w:val="Header"/>
    <w:uiPriority w:val="99"/>
    <w:rsid w:val="003C3B0A"/>
  </w:style>
  <w:style w:type="paragraph" w:styleId="Footer">
    <w:name w:val="footer"/>
    <w:basedOn w:val="Normal"/>
    <w:link w:val="FooterChar"/>
    <w:uiPriority w:val="99"/>
    <w:unhideWhenUsed/>
    <w:qFormat/>
    <w:rsid w:val="003C3B0A"/>
    <w:pPr>
      <w:tabs>
        <w:tab w:val="center" w:pos="4513"/>
        <w:tab w:val="right" w:pos="9026"/>
      </w:tabs>
      <w:spacing w:after="0"/>
    </w:pPr>
  </w:style>
  <w:style w:type="character" w:customStyle="1" w:styleId="FooterChar">
    <w:name w:val="Footer Char"/>
    <w:basedOn w:val="DefaultParagraphFont"/>
    <w:link w:val="Footer"/>
    <w:uiPriority w:val="99"/>
    <w:rsid w:val="003C3B0A"/>
  </w:style>
  <w:style w:type="character" w:customStyle="1" w:styleId="Heading1Char">
    <w:name w:val="Heading 1 Char"/>
    <w:basedOn w:val="DefaultParagraphFont"/>
    <w:link w:val="Heading1"/>
    <w:uiPriority w:val="9"/>
    <w:rsid w:val="00AD6A63"/>
    <w:rPr>
      <w:rFonts w:ascii="Verdana" w:eastAsia="SimSun" w:hAnsi="Verdana" w:cs="Times New Roman"/>
      <w:bCs/>
      <w:color w:val="2E1A47"/>
      <w:sz w:val="44"/>
      <w:szCs w:val="44"/>
      <w:lang w:eastAsia="zh-CN"/>
    </w:rPr>
  </w:style>
  <w:style w:type="character" w:styleId="Strong">
    <w:name w:val="Strong"/>
    <w:aliases w:val="IntroCopy"/>
    <w:uiPriority w:val="22"/>
    <w:rsid w:val="00571BDC"/>
    <w:rPr>
      <w:color w:val="893B94" w:themeColor="accent1"/>
      <w:sz w:val="32"/>
      <w:szCs w:val="32"/>
      <w:lang w:val="pt-PT"/>
    </w:rPr>
  </w:style>
  <w:style w:type="paragraph" w:styleId="Title">
    <w:name w:val="Title"/>
    <w:aliases w:val="SubHeader1"/>
    <w:basedOn w:val="Normal"/>
    <w:next w:val="Normal"/>
    <w:link w:val="TitleChar"/>
    <w:uiPriority w:val="10"/>
    <w:rsid w:val="00921435"/>
    <w:pPr>
      <w:spacing w:before="600" w:line="420" w:lineRule="exact"/>
    </w:pPr>
    <w:rPr>
      <w:b/>
      <w:bCs/>
      <w:sz w:val="32"/>
      <w:szCs w:val="32"/>
    </w:rPr>
  </w:style>
  <w:style w:type="character" w:customStyle="1" w:styleId="TitleChar">
    <w:name w:val="Title Char"/>
    <w:aliases w:val="SubHeader1 Char"/>
    <w:basedOn w:val="DefaultParagraphFont"/>
    <w:link w:val="Title"/>
    <w:uiPriority w:val="10"/>
    <w:rsid w:val="00921435"/>
    <w:rPr>
      <w:rFonts w:ascii="Verdana" w:hAnsi="Verdana"/>
      <w:b/>
      <w:bCs/>
      <w:color w:val="000000" w:themeColor="text1"/>
      <w:sz w:val="32"/>
      <w:szCs w:val="32"/>
    </w:rPr>
  </w:style>
  <w:style w:type="character" w:customStyle="1" w:styleId="Heading2Char">
    <w:name w:val="Heading 2 Char"/>
    <w:basedOn w:val="DefaultParagraphFont"/>
    <w:link w:val="Heading2"/>
    <w:uiPriority w:val="9"/>
    <w:rsid w:val="00243F5F"/>
    <w:rPr>
      <w:rFonts w:ascii="Verdana" w:eastAsia="SimSun" w:hAnsi="Verdana" w:cs="Times New Roman"/>
      <w:bCs/>
      <w:color w:val="441D4A" w:themeColor="accent1" w:themeShade="80"/>
      <w:sz w:val="32"/>
      <w:szCs w:val="26"/>
      <w:lang w:eastAsia="zh-CN"/>
    </w:rPr>
  </w:style>
  <w:style w:type="paragraph" w:styleId="ListParagraph">
    <w:name w:val="List Paragraph"/>
    <w:basedOn w:val="Normal"/>
    <w:uiPriority w:val="34"/>
    <w:rsid w:val="00460A41"/>
    <w:pPr>
      <w:ind w:left="720"/>
      <w:contextualSpacing/>
    </w:pPr>
  </w:style>
  <w:style w:type="paragraph" w:customStyle="1" w:styleId="BulletList">
    <w:name w:val="BulletList"/>
    <w:basedOn w:val="ListParagraph"/>
    <w:link w:val="BulletListChar"/>
    <w:qFormat/>
    <w:rsid w:val="00D93830"/>
    <w:pPr>
      <w:numPr>
        <w:numId w:val="1"/>
      </w:numPr>
      <w:spacing w:before="0"/>
    </w:pPr>
  </w:style>
  <w:style w:type="paragraph" w:customStyle="1" w:styleId="NumberedList">
    <w:name w:val="NumberedList"/>
    <w:basedOn w:val="ListParagraph"/>
    <w:qFormat/>
    <w:rsid w:val="00F23FEC"/>
    <w:pPr>
      <w:numPr>
        <w:numId w:val="2"/>
      </w:numPr>
      <w:spacing w:before="0"/>
      <w:ind w:left="993" w:hanging="426"/>
    </w:pPr>
  </w:style>
  <w:style w:type="paragraph" w:styleId="Quote">
    <w:name w:val="Quote"/>
    <w:basedOn w:val="Normal"/>
    <w:next w:val="Normal"/>
    <w:link w:val="QuoteChar"/>
    <w:uiPriority w:val="29"/>
    <w:qFormat/>
    <w:rsid w:val="00FC1ABB"/>
    <w:pPr>
      <w:spacing w:after="240" w:line="380" w:lineRule="atLeast"/>
    </w:pPr>
    <w:rPr>
      <w:color w:val="893B94" w:themeColor="accent1"/>
      <w:sz w:val="28"/>
      <w:szCs w:val="28"/>
    </w:rPr>
  </w:style>
  <w:style w:type="character" w:customStyle="1" w:styleId="QuoteChar">
    <w:name w:val="Quote Char"/>
    <w:basedOn w:val="DefaultParagraphFont"/>
    <w:link w:val="Quote"/>
    <w:uiPriority w:val="29"/>
    <w:rsid w:val="00FC1ABB"/>
    <w:rPr>
      <w:rFonts w:ascii="Verdana" w:hAnsi="Verdana"/>
      <w:color w:val="893B94" w:themeColor="accent1"/>
      <w:sz w:val="28"/>
      <w:szCs w:val="28"/>
    </w:rPr>
  </w:style>
  <w:style w:type="paragraph" w:customStyle="1" w:styleId="QuoteSource">
    <w:name w:val="QuoteSource"/>
    <w:basedOn w:val="Normal"/>
    <w:rsid w:val="003D0704"/>
    <w:pPr>
      <w:spacing w:before="60" w:after="60" w:line="240" w:lineRule="auto"/>
    </w:pPr>
    <w:rPr>
      <w:sz w:val="16"/>
      <w:szCs w:val="16"/>
    </w:rPr>
  </w:style>
  <w:style w:type="table" w:styleId="TableGrid">
    <w:name w:val="Table Grid"/>
    <w:basedOn w:val="TableNormal"/>
    <w:uiPriority w:val="39"/>
    <w:rsid w:val="00321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Quote">
    <w:name w:val="SmallQuote"/>
    <w:basedOn w:val="QuoteSource"/>
    <w:rsid w:val="00FC1ABB"/>
    <w:pPr>
      <w:spacing w:before="200" w:after="240" w:line="320" w:lineRule="atLeast"/>
    </w:pPr>
    <w:rPr>
      <w:b/>
      <w:bCs/>
      <w:color w:val="893B94" w:themeColor="accent1"/>
      <w:sz w:val="22"/>
      <w:szCs w:val="22"/>
    </w:rPr>
  </w:style>
  <w:style w:type="paragraph" w:customStyle="1" w:styleId="LargeBox">
    <w:name w:val="LargeBox"/>
    <w:basedOn w:val="Normal"/>
    <w:rsid w:val="00DB21A7"/>
    <w:pPr>
      <w:framePr w:w="10206" w:hSpace="284" w:vSpace="284" w:wrap="around" w:vAnchor="text" w:hAnchor="text" w:y="1"/>
      <w:shd w:val="clear" w:color="auto" w:fill="893B94" w:themeFill="accent1"/>
      <w:spacing w:before="240"/>
      <w:ind w:left="284" w:hanging="284"/>
    </w:pPr>
    <w:rPr>
      <w:color w:val="FFFFFF" w:themeColor="background1"/>
      <w:sz w:val="28"/>
    </w:rPr>
  </w:style>
  <w:style w:type="paragraph" w:customStyle="1" w:styleId="SmallBox">
    <w:name w:val="SmallBox"/>
    <w:basedOn w:val="LargeBox"/>
    <w:rsid w:val="00147D40"/>
    <w:pPr>
      <w:framePr w:w="5103" w:wrap="around"/>
      <w:shd w:val="clear" w:color="auto" w:fill="C78570" w:themeFill="accent4"/>
    </w:pPr>
    <w:rPr>
      <w:b/>
      <w:sz w:val="22"/>
    </w:rPr>
  </w:style>
  <w:style w:type="paragraph" w:customStyle="1" w:styleId="IntroCopy">
    <w:name w:val="Intro Copy"/>
    <w:basedOn w:val="Normal"/>
    <w:link w:val="IntroCopyChar"/>
    <w:rsid w:val="00571BDC"/>
    <w:pPr>
      <w:spacing w:line="420" w:lineRule="exact"/>
    </w:pPr>
    <w:rPr>
      <w:color w:val="893B94" w:themeColor="accent1"/>
      <w:sz w:val="32"/>
      <w:szCs w:val="32"/>
    </w:rPr>
  </w:style>
  <w:style w:type="character" w:customStyle="1" w:styleId="IntroCopyChar">
    <w:name w:val="Intro Copy Char"/>
    <w:basedOn w:val="DefaultParagraphFont"/>
    <w:link w:val="IntroCopy"/>
    <w:rsid w:val="00571BDC"/>
    <w:rPr>
      <w:rFonts w:ascii="Verdana" w:hAnsi="Verdana"/>
      <w:color w:val="893B94" w:themeColor="accent1"/>
      <w:sz w:val="32"/>
      <w:szCs w:val="32"/>
    </w:rPr>
  </w:style>
  <w:style w:type="paragraph" w:customStyle="1" w:styleId="CoverPageHeader">
    <w:name w:val="CoverPage Header"/>
    <w:basedOn w:val="Title"/>
    <w:rsid w:val="00F45A2B"/>
    <w:pPr>
      <w:spacing w:after="480" w:line="240" w:lineRule="auto"/>
    </w:pPr>
    <w:rPr>
      <w:color w:val="893B94" w:themeColor="accent1"/>
      <w:sz w:val="68"/>
      <w:szCs w:val="68"/>
    </w:rPr>
  </w:style>
  <w:style w:type="paragraph" w:customStyle="1" w:styleId="CoverPageSub1">
    <w:name w:val="CoverPage Sub1"/>
    <w:basedOn w:val="Heading1"/>
    <w:rsid w:val="00390F9A"/>
  </w:style>
  <w:style w:type="character" w:customStyle="1" w:styleId="Heading3Char">
    <w:name w:val="Heading 3 Char"/>
    <w:basedOn w:val="DefaultParagraphFont"/>
    <w:link w:val="Heading3"/>
    <w:uiPriority w:val="9"/>
    <w:rsid w:val="00243F5F"/>
    <w:rPr>
      <w:rFonts w:ascii="Verdana" w:hAnsi="Verdana"/>
      <w:bCs/>
      <w:color w:val="300050" w:themeColor="text2"/>
      <w:sz w:val="28"/>
      <w:szCs w:val="32"/>
    </w:rPr>
  </w:style>
  <w:style w:type="character" w:customStyle="1" w:styleId="Heading4Char">
    <w:name w:val="Heading 4 Char"/>
    <w:basedOn w:val="DefaultParagraphFont"/>
    <w:link w:val="Heading4"/>
    <w:uiPriority w:val="9"/>
    <w:rsid w:val="002C1F51"/>
    <w:rPr>
      <w:rFonts w:ascii="Verdana" w:hAnsi="Verdana"/>
      <w:bCs/>
      <w:color w:val="000000" w:themeColor="text1"/>
      <w:sz w:val="26"/>
      <w:szCs w:val="24"/>
    </w:rPr>
  </w:style>
  <w:style w:type="character" w:styleId="Hyperlink">
    <w:name w:val="Hyperlink"/>
    <w:basedOn w:val="DefaultParagraphFont"/>
    <w:uiPriority w:val="99"/>
    <w:unhideWhenUsed/>
    <w:rsid w:val="0092648B"/>
    <w:rPr>
      <w:color w:val="0563C1"/>
      <w:u w:val="single"/>
    </w:rPr>
  </w:style>
  <w:style w:type="character" w:styleId="CommentReference">
    <w:name w:val="annotation reference"/>
    <w:basedOn w:val="DefaultParagraphFont"/>
    <w:uiPriority w:val="99"/>
    <w:semiHidden/>
    <w:unhideWhenUsed/>
    <w:rsid w:val="00C279D9"/>
    <w:rPr>
      <w:sz w:val="16"/>
      <w:szCs w:val="16"/>
    </w:rPr>
  </w:style>
  <w:style w:type="paragraph" w:styleId="CommentText">
    <w:name w:val="annotation text"/>
    <w:basedOn w:val="Normal"/>
    <w:link w:val="CommentTextChar"/>
    <w:uiPriority w:val="99"/>
    <w:unhideWhenUsed/>
    <w:rsid w:val="00C279D9"/>
    <w:pPr>
      <w:spacing w:line="240" w:lineRule="auto"/>
    </w:pPr>
  </w:style>
  <w:style w:type="character" w:customStyle="1" w:styleId="CommentTextChar">
    <w:name w:val="Comment Text Char"/>
    <w:basedOn w:val="DefaultParagraphFont"/>
    <w:link w:val="CommentText"/>
    <w:uiPriority w:val="99"/>
    <w:rsid w:val="00C279D9"/>
    <w:rPr>
      <w:rFonts w:ascii="Verdana" w:hAnsi="Verdana"/>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C279D9"/>
    <w:rPr>
      <w:b/>
      <w:bCs/>
    </w:rPr>
  </w:style>
  <w:style w:type="character" w:customStyle="1" w:styleId="CommentSubjectChar">
    <w:name w:val="Comment Subject Char"/>
    <w:basedOn w:val="CommentTextChar"/>
    <w:link w:val="CommentSubject"/>
    <w:uiPriority w:val="99"/>
    <w:semiHidden/>
    <w:rsid w:val="00C279D9"/>
    <w:rPr>
      <w:rFonts w:ascii="Verdana" w:hAnsi="Verdana"/>
      <w:b/>
      <w:bCs/>
      <w:color w:val="000000" w:themeColor="text1"/>
      <w:sz w:val="20"/>
      <w:szCs w:val="20"/>
    </w:rPr>
  </w:style>
  <w:style w:type="paragraph" w:styleId="BalloonText">
    <w:name w:val="Balloon Text"/>
    <w:basedOn w:val="Normal"/>
    <w:link w:val="BalloonTextChar"/>
    <w:uiPriority w:val="99"/>
    <w:semiHidden/>
    <w:unhideWhenUsed/>
    <w:rsid w:val="00C279D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9D9"/>
    <w:rPr>
      <w:rFonts w:ascii="Segoe UI" w:hAnsi="Segoe UI" w:cs="Segoe UI"/>
      <w:color w:val="000000" w:themeColor="text1"/>
      <w:sz w:val="18"/>
      <w:szCs w:val="18"/>
    </w:rPr>
  </w:style>
  <w:style w:type="character" w:customStyle="1" w:styleId="BulletListChar">
    <w:name w:val="BulletList Char"/>
    <w:basedOn w:val="DefaultParagraphFont"/>
    <w:link w:val="BulletList"/>
    <w:rsid w:val="00D93830"/>
    <w:rPr>
      <w:rFonts w:ascii="Verdana" w:hAnsi="Verdana"/>
      <w:color w:val="000000" w:themeColor="text1"/>
      <w:sz w:val="20"/>
      <w:szCs w:val="20"/>
    </w:rPr>
  </w:style>
  <w:style w:type="paragraph" w:customStyle="1" w:styleId="Heading2White">
    <w:name w:val="Heading 2 White"/>
    <w:basedOn w:val="Heading1"/>
    <w:rsid w:val="00C27BF9"/>
    <w:rPr>
      <w:noProof/>
      <w:color w:val="FFFFFF" w:themeColor="background1"/>
      <w:lang w:eastAsia="en-AU"/>
    </w:rPr>
  </w:style>
  <w:style w:type="character" w:styleId="FollowedHyperlink">
    <w:name w:val="FollowedHyperlink"/>
    <w:basedOn w:val="DefaultParagraphFont"/>
    <w:uiPriority w:val="99"/>
    <w:semiHidden/>
    <w:unhideWhenUsed/>
    <w:rsid w:val="00776A9A"/>
    <w:rPr>
      <w:color w:val="000000" w:themeColor="followedHyperlink"/>
      <w:u w:val="single"/>
    </w:rPr>
  </w:style>
  <w:style w:type="paragraph" w:styleId="BodyText">
    <w:name w:val="Body Text"/>
    <w:basedOn w:val="Normal"/>
    <w:link w:val="BodyTextChar"/>
    <w:uiPriority w:val="1"/>
    <w:qFormat/>
    <w:rsid w:val="00D50ABE"/>
    <w:pPr>
      <w:widowControl w:val="0"/>
      <w:autoSpaceDE w:val="0"/>
      <w:autoSpaceDN w:val="0"/>
      <w:spacing w:before="0" w:after="0" w:line="240" w:lineRule="auto"/>
    </w:pPr>
    <w:rPr>
      <w:rFonts w:eastAsia="Verdana" w:cs="Verdana"/>
      <w:color w:val="auto"/>
      <w:lang w:val="en-US"/>
    </w:rPr>
  </w:style>
  <w:style w:type="character" w:customStyle="1" w:styleId="BodyTextChar">
    <w:name w:val="Body Text Char"/>
    <w:basedOn w:val="DefaultParagraphFont"/>
    <w:link w:val="BodyText"/>
    <w:uiPriority w:val="1"/>
    <w:rsid w:val="00D50ABE"/>
    <w:rPr>
      <w:rFonts w:ascii="Verdana" w:eastAsia="Verdana" w:hAnsi="Verdana" w:cs="Verdana"/>
      <w:sz w:val="20"/>
      <w:szCs w:val="20"/>
      <w:lang w:val="en-US"/>
    </w:rPr>
  </w:style>
  <w:style w:type="character" w:styleId="UnresolvedMention">
    <w:name w:val="Unresolved Mention"/>
    <w:basedOn w:val="DefaultParagraphFont"/>
    <w:uiPriority w:val="99"/>
    <w:semiHidden/>
    <w:unhideWhenUsed/>
    <w:rsid w:val="0069008C"/>
    <w:rPr>
      <w:color w:val="605E5C"/>
      <w:shd w:val="clear" w:color="auto" w:fill="E1DFDD"/>
    </w:rPr>
  </w:style>
  <w:style w:type="paragraph" w:styleId="Revision">
    <w:name w:val="Revision"/>
    <w:hidden/>
    <w:uiPriority w:val="99"/>
    <w:semiHidden/>
    <w:rsid w:val="008D5E6F"/>
    <w:pPr>
      <w:spacing w:after="0" w:line="240" w:lineRule="auto"/>
    </w:pPr>
    <w:rPr>
      <w:rFonts w:ascii="Verdana" w:hAnsi="Verdana"/>
      <w:color w:val="000000" w:themeColor="text1"/>
      <w:sz w:val="20"/>
      <w:szCs w:val="20"/>
    </w:rPr>
  </w:style>
  <w:style w:type="paragraph" w:styleId="FootnoteText">
    <w:name w:val="footnote text"/>
    <w:basedOn w:val="Normal"/>
    <w:link w:val="FootnoteTextChar"/>
    <w:uiPriority w:val="99"/>
    <w:semiHidden/>
    <w:unhideWhenUsed/>
    <w:rsid w:val="000169AF"/>
    <w:pPr>
      <w:spacing w:before="0" w:after="0" w:line="240" w:lineRule="auto"/>
    </w:pPr>
  </w:style>
  <w:style w:type="character" w:customStyle="1" w:styleId="FootnoteTextChar">
    <w:name w:val="Footnote Text Char"/>
    <w:basedOn w:val="DefaultParagraphFont"/>
    <w:link w:val="FootnoteText"/>
    <w:uiPriority w:val="99"/>
    <w:semiHidden/>
    <w:rsid w:val="000169AF"/>
    <w:rPr>
      <w:rFonts w:ascii="Verdana" w:hAnsi="Verdana"/>
      <w:color w:val="000000" w:themeColor="text1"/>
      <w:sz w:val="20"/>
      <w:szCs w:val="20"/>
    </w:rPr>
  </w:style>
  <w:style w:type="character" w:styleId="FootnoteReference">
    <w:name w:val="footnote reference"/>
    <w:basedOn w:val="DefaultParagraphFont"/>
    <w:uiPriority w:val="99"/>
    <w:semiHidden/>
    <w:unhideWhenUsed/>
    <w:rsid w:val="000169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45660">
      <w:bodyDiv w:val="1"/>
      <w:marLeft w:val="0"/>
      <w:marRight w:val="0"/>
      <w:marTop w:val="0"/>
      <w:marBottom w:val="0"/>
      <w:divBdr>
        <w:top w:val="none" w:sz="0" w:space="0" w:color="auto"/>
        <w:left w:val="none" w:sz="0" w:space="0" w:color="auto"/>
        <w:bottom w:val="none" w:sz="0" w:space="0" w:color="auto"/>
        <w:right w:val="none" w:sz="0" w:space="0" w:color="auto"/>
      </w:divBdr>
    </w:div>
    <w:div w:id="744645175">
      <w:bodyDiv w:val="1"/>
      <w:marLeft w:val="0"/>
      <w:marRight w:val="0"/>
      <w:marTop w:val="0"/>
      <w:marBottom w:val="0"/>
      <w:divBdr>
        <w:top w:val="none" w:sz="0" w:space="0" w:color="auto"/>
        <w:left w:val="none" w:sz="0" w:space="0" w:color="auto"/>
        <w:bottom w:val="none" w:sz="0" w:space="0" w:color="auto"/>
        <w:right w:val="none" w:sz="0" w:space="0" w:color="auto"/>
      </w:divBdr>
    </w:div>
    <w:div w:id="1012683217">
      <w:bodyDiv w:val="1"/>
      <w:marLeft w:val="0"/>
      <w:marRight w:val="0"/>
      <w:marTop w:val="0"/>
      <w:marBottom w:val="0"/>
      <w:divBdr>
        <w:top w:val="none" w:sz="0" w:space="0" w:color="auto"/>
        <w:left w:val="none" w:sz="0" w:space="0" w:color="auto"/>
        <w:bottom w:val="none" w:sz="0" w:space="0" w:color="auto"/>
        <w:right w:val="none" w:sz="0" w:space="0" w:color="auto"/>
      </w:divBdr>
      <w:divsChild>
        <w:div w:id="344017643">
          <w:marLeft w:val="0"/>
          <w:marRight w:val="0"/>
          <w:marTop w:val="0"/>
          <w:marBottom w:val="0"/>
          <w:divBdr>
            <w:top w:val="none" w:sz="0" w:space="0" w:color="auto"/>
            <w:left w:val="none" w:sz="0" w:space="0" w:color="auto"/>
            <w:bottom w:val="none" w:sz="0" w:space="0" w:color="auto"/>
            <w:right w:val="none" w:sz="0" w:space="0" w:color="auto"/>
          </w:divBdr>
        </w:div>
      </w:divsChild>
    </w:div>
    <w:div w:id="1347295130">
      <w:bodyDiv w:val="1"/>
      <w:marLeft w:val="0"/>
      <w:marRight w:val="0"/>
      <w:marTop w:val="0"/>
      <w:marBottom w:val="0"/>
      <w:divBdr>
        <w:top w:val="none" w:sz="0" w:space="0" w:color="auto"/>
        <w:left w:val="none" w:sz="0" w:space="0" w:color="auto"/>
        <w:bottom w:val="none" w:sz="0" w:space="0" w:color="auto"/>
        <w:right w:val="none" w:sz="0" w:space="0" w:color="auto"/>
      </w:divBdr>
      <w:divsChild>
        <w:div w:id="891111424">
          <w:marLeft w:val="0"/>
          <w:marRight w:val="0"/>
          <w:marTop w:val="0"/>
          <w:marBottom w:val="0"/>
          <w:divBdr>
            <w:top w:val="none" w:sz="0" w:space="0" w:color="auto"/>
            <w:left w:val="none" w:sz="0" w:space="0" w:color="auto"/>
            <w:bottom w:val="none" w:sz="0" w:space="0" w:color="auto"/>
            <w:right w:val="none" w:sz="0" w:space="0" w:color="auto"/>
          </w:divBdr>
        </w:div>
      </w:divsChild>
    </w:div>
    <w:div w:id="2086606311">
      <w:bodyDiv w:val="1"/>
      <w:marLeft w:val="0"/>
      <w:marRight w:val="0"/>
      <w:marTop w:val="0"/>
      <w:marBottom w:val="0"/>
      <w:divBdr>
        <w:top w:val="none" w:sz="0" w:space="0" w:color="auto"/>
        <w:left w:val="none" w:sz="0" w:space="0" w:color="auto"/>
        <w:bottom w:val="none" w:sz="0" w:space="0" w:color="auto"/>
        <w:right w:val="none" w:sz="0" w:space="0" w:color="auto"/>
      </w:divBdr>
      <w:divsChild>
        <w:div w:id="709039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e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6.e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s.gov.au/statistics/economy/national-accounts/quarterly-tourism-labour-statistics/latest-release"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Austrade\Corporate%20Templates\Website\Austrade%20Brand\TRA%20Website%20Publications.dotx" TargetMode="External"/></Relationships>
</file>

<file path=word/theme/theme1.xml><?xml version="1.0" encoding="utf-8"?>
<a:theme xmlns:a="http://schemas.openxmlformats.org/drawingml/2006/main" name="Austrade Brand Theme">
  <a:themeElements>
    <a:clrScheme name="Austrade Brand theme">
      <a:dk1>
        <a:srgbClr val="000000"/>
      </a:dk1>
      <a:lt1>
        <a:srgbClr val="FFFFFF"/>
      </a:lt1>
      <a:dk2>
        <a:srgbClr val="300050"/>
      </a:dk2>
      <a:lt2>
        <a:srgbClr val="893B94"/>
      </a:lt2>
      <a:accent1>
        <a:srgbClr val="893B94"/>
      </a:accent1>
      <a:accent2>
        <a:srgbClr val="300050"/>
      </a:accent2>
      <a:accent3>
        <a:srgbClr val="E3E1DB"/>
      </a:accent3>
      <a:accent4>
        <a:srgbClr val="C78570"/>
      </a:accent4>
      <a:accent5>
        <a:srgbClr val="D2C3BE"/>
      </a:accent5>
      <a:accent6>
        <a:srgbClr val="C7A5FF"/>
      </a:accent6>
      <a:hlink>
        <a:srgbClr val="000000"/>
      </a:hlink>
      <a:folHlink>
        <a:srgbClr val="000000"/>
      </a:folHlink>
    </a:clrScheme>
    <a:fontScheme name="Verdana">
      <a:majorFont>
        <a:latin typeface="Verdana"/>
        <a:ea typeface=""/>
        <a:cs typeface=""/>
      </a:majorFont>
      <a:minorFont>
        <a:latin typeface="Verdana"/>
        <a:ea typeface=""/>
        <a:cs typeface=""/>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ustrade Brand Theme" id="{B7B3077C-12EC-4E43-A7AB-503D32ACE655}" vid="{FE9A3E5A-5EFE-412F-BA99-1D3D9BDE5E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193d32-96af-42bb-9a8d-e389b6b013dc">
      <Terms xmlns="http://schemas.microsoft.com/office/infopath/2007/PartnerControls"/>
    </lcf76f155ced4ddcb4097134ff3c332f>
    <TaxCatchAll xmlns="932d29ee-28c9-41bc-b9e4-7f2eba331d2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E59075CB8AAE4281923CD804FF4F41" ma:contentTypeVersion="18" ma:contentTypeDescription="Create a new document." ma:contentTypeScope="" ma:versionID="74ac255ebdf98dd18e0defef90c4f37d">
  <xsd:schema xmlns:xsd="http://www.w3.org/2001/XMLSchema" xmlns:xs="http://www.w3.org/2001/XMLSchema" xmlns:p="http://schemas.microsoft.com/office/2006/metadata/properties" xmlns:ns2="84193d32-96af-42bb-9a8d-e389b6b013dc" xmlns:ns3="932d29ee-28c9-41bc-b9e4-7f2eba331d28" targetNamespace="http://schemas.microsoft.com/office/2006/metadata/properties" ma:root="true" ma:fieldsID="6d8391908d57f7553de21f7aa4a9b0ec" ns2:_="" ns3:_="">
    <xsd:import namespace="84193d32-96af-42bb-9a8d-e389b6b013dc"/>
    <xsd:import namespace="932d29ee-28c9-41bc-b9e4-7f2eba331d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93d32-96af-42bb-9a8d-e389b6b013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5d107-6f3a-4882-a73a-9dce38ae0c6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2d29ee-28c9-41bc-b9e4-7f2eba331d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0bbb1a7-ebd1-464a-bd5b-b0b856b08cda}" ma:internalName="TaxCatchAll" ma:showField="CatchAllData" ma:web="932d29ee-28c9-41bc-b9e4-7f2eba331d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E75B8-1135-4512-93FA-FCDD832F13E7}">
  <ds:schemaRefs>
    <ds:schemaRef ds:uri="http://schemas.microsoft.com/office/2006/metadata/properties"/>
    <ds:schemaRef ds:uri="http://schemas.microsoft.com/office/infopath/2007/PartnerControls"/>
    <ds:schemaRef ds:uri="84193d32-96af-42bb-9a8d-e389b6b013dc"/>
    <ds:schemaRef ds:uri="932d29ee-28c9-41bc-b9e4-7f2eba331d28"/>
  </ds:schemaRefs>
</ds:datastoreItem>
</file>

<file path=customXml/itemProps2.xml><?xml version="1.0" encoding="utf-8"?>
<ds:datastoreItem xmlns:ds="http://schemas.openxmlformats.org/officeDocument/2006/customXml" ds:itemID="{B564A235-7DF5-42EC-9500-19C589BC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93d32-96af-42bb-9a8d-e389b6b013dc"/>
    <ds:schemaRef ds:uri="932d29ee-28c9-41bc-b9e4-7f2eba331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FDA419-6733-483D-ABCC-A84EEDE3704E}">
  <ds:schemaRefs>
    <ds:schemaRef ds:uri="http://schemas.microsoft.com/sharepoint/v3/contenttype/forms"/>
  </ds:schemaRefs>
</ds:datastoreItem>
</file>

<file path=customXml/itemProps4.xml><?xml version="1.0" encoding="utf-8"?>
<ds:datastoreItem xmlns:ds="http://schemas.openxmlformats.org/officeDocument/2006/customXml" ds:itemID="{5CABF944-022C-4692-9B43-06A2CEB68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 Website Publications.dotx</Template>
  <TotalTime>566</TotalTime>
  <Pages>7</Pages>
  <Words>1305</Words>
  <Characters>6658</Characters>
  <Application>Microsoft Office Word</Application>
  <DocSecurity>0</DocSecurity>
  <Lines>121</Lines>
  <Paragraphs>52</Paragraphs>
  <ScaleCrop>false</ScaleCrop>
  <HeadingPairs>
    <vt:vector size="2" baseType="variant">
      <vt:variant>
        <vt:lpstr>Title</vt:lpstr>
      </vt:variant>
      <vt:variant>
        <vt:i4>1</vt:i4>
      </vt:variant>
    </vt:vector>
  </HeadingPairs>
  <TitlesOfParts>
    <vt:vector size="1" baseType="lpstr">
      <vt:lpstr>TRA Quarterly Tourism Labour Statistics - June quarter 2026</vt:lpstr>
    </vt:vector>
  </TitlesOfParts>
  <Company/>
  <LinksUpToDate>false</LinksUpToDate>
  <CharactersWithSpaces>7911</CharactersWithSpaces>
  <SharedDoc>false</SharedDoc>
  <HLinks>
    <vt:vector size="6" baseType="variant">
      <vt:variant>
        <vt:i4>262163</vt:i4>
      </vt:variant>
      <vt:variant>
        <vt:i4>0</vt:i4>
      </vt:variant>
      <vt:variant>
        <vt:i4>0</vt:i4>
      </vt:variant>
      <vt:variant>
        <vt:i4>5</vt:i4>
      </vt:variant>
      <vt:variant>
        <vt:lpwstr>https://www.abs.gov.au/statistics/economy/national-accounts/tourism-satellite-accounts-quarterly-tourism-labour-statistics-australia-experimental-estimates/jun-2024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 Quarterly Tourism Labour Statistics - June quarter 2026</dc:title>
  <dc:subject/>
  <dc:creator>Australian Trade and Investment Commission - Austrade</dc:creator>
  <cp:keywords/>
  <dc:description/>
  <cp:lastModifiedBy>Corrine-Rose [Brisbane]</cp:lastModifiedBy>
  <cp:revision>202</cp:revision>
  <dcterms:created xsi:type="dcterms:W3CDTF">2026-09-13T23:49:00Z</dcterms:created>
  <dcterms:modified xsi:type="dcterms:W3CDTF">2026-09-16T01:11:00Z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0x010100BCE59075CB8AAE4281923CD804FF4F41</vt:lpwstr>
  </property>
  <property fmtid="{D5CDD505-2E9C-101B-9397-08002B2CF9AE}" pid="3" name="_dlc_DocIdItemGuid">
    <vt:lpwstr>4acab650-90ea-4c96-82d3-d25f388868f0</vt:lpwstr>
  </property>
  <property fmtid="{D5CDD505-2E9C-101B-9397-08002B2CF9AE}" pid="4" name="Protective Markings">
    <vt:lpwstr/>
  </property>
  <property fmtid="{D5CDD505-2E9C-101B-9397-08002B2CF9AE}" pid="5" name="xd_Signature">
    <vt:bool>false</vt:bool>
  </property>
  <property fmtid="{D5CDD505-2E9C-101B-9397-08002B2CF9AE}" pid="6" name="Record ID">
    <vt:lpwstr/>
  </property>
  <property fmtid="{D5CDD505-2E9C-101B-9397-08002B2CF9AE}" pid="7" name="xd_ProgID">
    <vt:lpwstr/>
  </property>
  <property fmtid="{D5CDD505-2E9C-101B-9397-08002B2CF9AE}" pid="8" name="TemplateUrl">
    <vt:lpwstr/>
  </property>
  <property fmtid="{D5CDD505-2E9C-101B-9397-08002B2CF9AE}" pid="9" name="GUID">
    <vt:lpwstr>8f577bd8-767e-41f9-a258-256104b23156</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Tradestart-Access">
    <vt:bool>false</vt:bool>
  </property>
  <property fmtid="{D5CDD505-2E9C-101B-9397-08002B2CF9AE}" pid="14" name="PublishingStartDate">
    <vt:lpwstr/>
  </property>
  <property fmtid="{D5CDD505-2E9C-101B-9397-08002B2CF9AE}" pid="15" name="TaxCatchAll">
    <vt:lpwstr/>
  </property>
  <property fmtid="{D5CDD505-2E9C-101B-9397-08002B2CF9AE}" pid="16" name="Operational-Site-Doc-URL">
    <vt:lpwstr/>
  </property>
  <property fmtid="{D5CDD505-2E9C-101B-9397-08002B2CF9AE}" pid="17" name="PublishingExpirationDate">
    <vt:lpwstr/>
  </property>
  <property fmtid="{D5CDD505-2E9C-101B-9397-08002B2CF9AE}" pid="18" name="Operational-Doc-Desc">
    <vt:lpwstr/>
  </property>
  <property fmtid="{D5CDD505-2E9C-101B-9397-08002B2CF9AE}" pid="19" name="nf7721a2bf6741678a34670e75d66499">
    <vt:lpwstr/>
  </property>
  <property fmtid="{D5CDD505-2E9C-101B-9397-08002B2CF9AE}" pid="20" name="MediaServiceImageTags">
    <vt:lpwstr/>
  </property>
  <property fmtid="{D5CDD505-2E9C-101B-9397-08002B2CF9AE}" pid="21" name="ClassificationContentMarkingHeaderShapeIds">
    <vt:lpwstr>1a1a6581,41aad987,1ce2a4d6,5c0ddbfc,15d7f646,17e62387</vt:lpwstr>
  </property>
  <property fmtid="{D5CDD505-2E9C-101B-9397-08002B2CF9AE}" pid="22" name="ClassificationContentMarkingHeaderFontProps">
    <vt:lpwstr>#ff0000,12,Calibri</vt:lpwstr>
  </property>
  <property fmtid="{D5CDD505-2E9C-101B-9397-08002B2CF9AE}" pid="23" name="ClassificationContentMarkingHeaderText">
    <vt:lpwstr>OFFICIAL</vt:lpwstr>
  </property>
  <property fmtid="{D5CDD505-2E9C-101B-9397-08002B2CF9AE}" pid="24" name="ClassificationContentMarkingFooterShapeIds">
    <vt:lpwstr>6d417f4a,632e275c,393106e3,2b4f1f14,7a93c59e,59081f0,289735fd,77566725</vt:lpwstr>
  </property>
  <property fmtid="{D5CDD505-2E9C-101B-9397-08002B2CF9AE}" pid="25" name="ClassificationContentMarkingFooterFontProps">
    <vt:lpwstr>#ff0000,12,Calibri</vt:lpwstr>
  </property>
  <property fmtid="{D5CDD505-2E9C-101B-9397-08002B2CF9AE}" pid="26" name="ClassificationContentMarkingFooterText">
    <vt:lpwstr>OFFICIAL</vt:lpwstr>
  </property>
  <property fmtid="{D5CDD505-2E9C-101B-9397-08002B2CF9AE}" pid="27" name="MSIP_Label_72160a83-df68-4146-9dd5-ccaae79426db_Enabled">
    <vt:lpwstr>true</vt:lpwstr>
  </property>
  <property fmtid="{D5CDD505-2E9C-101B-9397-08002B2CF9AE}" pid="28" name="MSIP_Label_72160a83-df68-4146-9dd5-ccaae79426db_SetDate">
    <vt:lpwstr>2025-03-19T23:53:15Z</vt:lpwstr>
  </property>
  <property fmtid="{D5CDD505-2E9C-101B-9397-08002B2CF9AE}" pid="29" name="MSIP_Label_72160a83-df68-4146-9dd5-ccaae79426db_Method">
    <vt:lpwstr>Privileged</vt:lpwstr>
  </property>
  <property fmtid="{D5CDD505-2E9C-101B-9397-08002B2CF9AE}" pid="30" name="MSIP_Label_72160a83-df68-4146-9dd5-ccaae79426db_Name">
    <vt:lpwstr>OFFICIAL</vt:lpwstr>
  </property>
  <property fmtid="{D5CDD505-2E9C-101B-9397-08002B2CF9AE}" pid="31" name="MSIP_Label_72160a83-df68-4146-9dd5-ccaae79426db_SiteId">
    <vt:lpwstr>c6ba7d27-a97a-40a4-82e4-4d23131de9f4</vt:lpwstr>
  </property>
  <property fmtid="{D5CDD505-2E9C-101B-9397-08002B2CF9AE}" pid="32" name="MSIP_Label_72160a83-df68-4146-9dd5-ccaae79426db_ActionId">
    <vt:lpwstr>79183756-3454-4010-8b37-19cf59706f1d</vt:lpwstr>
  </property>
  <property fmtid="{D5CDD505-2E9C-101B-9397-08002B2CF9AE}" pid="33" name="MSIP_Label_72160a83-df68-4146-9dd5-ccaae79426db_ContentBits">
    <vt:lpwstr>3</vt:lpwstr>
  </property>
  <property fmtid="{D5CDD505-2E9C-101B-9397-08002B2CF9AE}" pid="34" name="MSIP_Label_72160a83-df68-4146-9dd5-ccaae79426db_Tag">
    <vt:lpwstr>10, 0, 1, 1</vt:lpwstr>
  </property>
</Properties>
</file>