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4.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5.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rawings/drawing6.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drawings/drawing7.xml" ContentType="application/vnd.openxmlformats-officedocument.drawingml.chartshapes+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drawings/drawing8.xml" ContentType="application/vnd.openxmlformats-officedocument.drawingml.chartshapes+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drawings/drawing9.xml" ContentType="application/vnd.openxmlformats-officedocument.drawingml.chartshapes+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drawings/drawing10.xml" ContentType="application/vnd.openxmlformats-officedocument.drawingml.chartshapes+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drawings/drawing11.xml" ContentType="application/vnd.openxmlformats-officedocument.drawingml.chartshapes+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drawings/drawing12.xml" ContentType="application/vnd.openxmlformats-officedocument.drawingml.chartshapes+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drawings/drawing13.xml" ContentType="application/vnd.openxmlformats-officedocument.drawingml.chartshapes+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drawings/drawing14.xml" ContentType="application/vnd.openxmlformats-officedocument.drawingml.chartshapes+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drawings/drawing15.xml" ContentType="application/vnd.openxmlformats-officedocument.drawingml.chartshapes+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drawings/drawing16.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87876456" w:displacedByCustomXml="next"/>
    <w:bookmarkEnd w:id="0" w:displacedByCustomXml="next"/>
    <w:sdt>
      <w:sdtPr>
        <w:rPr>
          <w:b/>
          <w:bCs/>
        </w:rPr>
        <w:id w:val="-1649280474"/>
        <w:docPartObj>
          <w:docPartGallery w:val="Cover Pages"/>
          <w:docPartUnique/>
        </w:docPartObj>
      </w:sdtPr>
      <w:sdtEndPr>
        <w:rPr>
          <w:b w:val="0"/>
          <w:bCs w:val="0"/>
        </w:rPr>
      </w:sdtEndPr>
      <w:sdtContent>
        <w:p w14:paraId="7ED399CD" w14:textId="73970528" w:rsidR="00501469" w:rsidRDefault="00AE07FF">
          <w:r>
            <w:rPr>
              <w:noProof/>
              <w:lang w:eastAsia="en-AU"/>
            </w:rPr>
            <w:drawing>
              <wp:anchor distT="0" distB="0" distL="114300" distR="114300" simplePos="0" relativeHeight="251659264" behindDoc="1" locked="0" layoutInCell="1" allowOverlap="1" wp14:anchorId="2BDC2148" wp14:editId="09E221C4">
                <wp:simplePos x="0" y="0"/>
                <wp:positionH relativeFrom="column">
                  <wp:posOffset>-344805</wp:posOffset>
                </wp:positionH>
                <wp:positionV relativeFrom="paragraph">
                  <wp:posOffset>-868680</wp:posOffset>
                </wp:positionV>
                <wp:extent cx="6983730" cy="1492250"/>
                <wp:effectExtent l="0" t="0" r="7620" b="0"/>
                <wp:wrapNone/>
                <wp:docPr id="5"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6">
                          <a:extLst>
                            <a:ext uri="{C183D7F6-B498-43B3-948B-1728B52AA6E4}">
                              <adec:decorative xmlns:adec="http://schemas.microsoft.com/office/drawing/2017/decorative" val="1"/>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b="33125"/>
                        <a:stretch/>
                      </pic:blipFill>
                      <pic:spPr>
                        <a:xfrm>
                          <a:off x="0" y="0"/>
                          <a:ext cx="6983730" cy="1492250"/>
                        </a:xfrm>
                        <a:prstGeom prst="rect">
                          <a:avLst/>
                        </a:prstGeom>
                      </pic:spPr>
                    </pic:pic>
                  </a:graphicData>
                </a:graphic>
              </wp:anchor>
            </w:drawing>
          </w:r>
          <w:r>
            <w:rPr>
              <w:noProof/>
              <w:lang w:eastAsia="en-AU"/>
            </w:rPr>
            <w:drawing>
              <wp:anchor distT="0" distB="0" distL="114300" distR="114300" simplePos="0" relativeHeight="251740160" behindDoc="1" locked="1" layoutInCell="1" allowOverlap="1" wp14:anchorId="309E3723" wp14:editId="43361E11">
                <wp:simplePos x="0" y="0"/>
                <wp:positionH relativeFrom="margin">
                  <wp:posOffset>0</wp:posOffset>
                </wp:positionH>
                <wp:positionV relativeFrom="margin">
                  <wp:posOffset>-857250</wp:posOffset>
                </wp:positionV>
                <wp:extent cx="3230245" cy="1068705"/>
                <wp:effectExtent l="0" t="0" r="0" b="0"/>
                <wp:wrapNone/>
                <wp:docPr id="9"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extLst>
                            <a:ext uri="{C183D7F6-B498-43B3-948B-1728B52AA6E4}">
                              <adec:decorative xmlns:adec="http://schemas.microsoft.com/office/drawing/2017/decorative" val="1"/>
                            </a:ext>
                          </a:extLst>
                        </pic:cNvPr>
                        <pic:cNvPicPr/>
                      </pic:nvPicPr>
                      <pic:blipFill>
                        <a:blip r:embed="rId14"/>
                        <a:stretch>
                          <a:fillRect/>
                        </a:stretch>
                      </pic:blipFill>
                      <pic:spPr>
                        <a:xfrm>
                          <a:off x="0" y="0"/>
                          <a:ext cx="3230245" cy="1068705"/>
                        </a:xfrm>
                        <a:prstGeom prst="rect">
                          <a:avLst/>
                        </a:prstGeom>
                      </pic:spPr>
                    </pic:pic>
                  </a:graphicData>
                </a:graphic>
                <wp14:sizeRelH relativeFrom="margin">
                  <wp14:pctWidth>0</wp14:pctWidth>
                </wp14:sizeRelH>
                <wp14:sizeRelV relativeFrom="margin">
                  <wp14:pctHeight>0</wp14:pctHeight>
                </wp14:sizeRelV>
              </wp:anchor>
            </w:drawing>
          </w:r>
        </w:p>
        <w:p w14:paraId="16C03806" w14:textId="77777777" w:rsidR="00501469" w:rsidRDefault="00501469"/>
        <w:p w14:paraId="6731FD0B" w14:textId="77777777" w:rsidR="00501469" w:rsidRDefault="00501469"/>
        <w:p w14:paraId="03C5780D" w14:textId="77777777" w:rsidR="00501469" w:rsidRDefault="00501469"/>
        <w:p w14:paraId="499B3129" w14:textId="77777777" w:rsidR="00501469" w:rsidRDefault="00501469"/>
        <w:p w14:paraId="61B9D2B3" w14:textId="77777777" w:rsidR="00501469" w:rsidRDefault="00501469"/>
        <w:p w14:paraId="30D510F1" w14:textId="0255C363" w:rsidR="003E38E3" w:rsidRPr="00C279D9" w:rsidRDefault="00497DDC" w:rsidP="00C27BF9">
          <w:pPr>
            <w:pStyle w:val="Heading1"/>
            <w:rPr>
              <w:rStyle w:val="Heading1Char"/>
              <w:bCs/>
            </w:rPr>
          </w:pPr>
          <w:bookmarkStart w:id="1" w:name="_Toc88043451"/>
          <w:bookmarkStart w:id="2" w:name="_Toc88059399"/>
          <w:bookmarkStart w:id="3" w:name="_Toc88574151"/>
          <w:bookmarkStart w:id="4" w:name="_Toc88574382"/>
          <w:bookmarkStart w:id="5" w:name="_Toc88656265"/>
          <w:bookmarkStart w:id="6" w:name="_Toc89671610"/>
          <w:r>
            <w:t>Domestic tourism forecasts</w:t>
          </w:r>
          <w:bookmarkEnd w:id="1"/>
          <w:bookmarkEnd w:id="2"/>
          <w:bookmarkEnd w:id="3"/>
          <w:bookmarkEnd w:id="4"/>
          <w:bookmarkEnd w:id="5"/>
          <w:bookmarkEnd w:id="6"/>
        </w:p>
        <w:p w14:paraId="78F7C750" w14:textId="643FD778" w:rsidR="00C27BF9" w:rsidRPr="00AA50DF" w:rsidRDefault="00497DDC" w:rsidP="00C212D4">
          <w:pPr>
            <w:pStyle w:val="Heading2"/>
            <w:rPr>
              <w:color w:val="7A4282" w:themeColor="accent1"/>
            </w:rPr>
          </w:pPr>
          <w:bookmarkStart w:id="7" w:name="_Toc88043452"/>
          <w:bookmarkStart w:id="8" w:name="_Toc88059400"/>
          <w:bookmarkStart w:id="9" w:name="_Toc88574152"/>
          <w:bookmarkStart w:id="10" w:name="_Toc88574383"/>
          <w:bookmarkStart w:id="11" w:name="_Toc88656266"/>
          <w:bookmarkStart w:id="12" w:name="_Toc89671611"/>
          <w:r w:rsidRPr="00AA50DF">
            <w:rPr>
              <w:color w:val="7A4282" w:themeColor="accent1"/>
            </w:rPr>
            <w:t>2021</w:t>
          </w:r>
          <w:r w:rsidR="00CA2085" w:rsidRPr="00AA50DF">
            <w:rPr>
              <w:color w:val="7A4282" w:themeColor="accent1"/>
            </w:rPr>
            <w:t>-22 to 2025-26</w:t>
          </w:r>
          <w:bookmarkEnd w:id="7"/>
          <w:bookmarkEnd w:id="8"/>
          <w:bookmarkEnd w:id="9"/>
          <w:bookmarkEnd w:id="10"/>
          <w:bookmarkEnd w:id="11"/>
          <w:bookmarkEnd w:id="12"/>
        </w:p>
        <w:p w14:paraId="54A63921" w14:textId="77777777" w:rsidR="00C212D4" w:rsidRPr="00C212D4" w:rsidRDefault="00C212D4" w:rsidP="00C212D4">
          <w:pPr>
            <w:rPr>
              <w:lang w:eastAsia="zh-CN"/>
            </w:rPr>
          </w:pPr>
        </w:p>
        <w:p w14:paraId="02AC3EA3" w14:textId="77777777" w:rsidR="00AE07FF" w:rsidRDefault="00AE07FF" w:rsidP="00AE07FF"/>
        <w:p w14:paraId="24EBA665" w14:textId="77777777" w:rsidR="00AE07FF" w:rsidRDefault="00AE07FF" w:rsidP="00AE07FF">
          <w:pPr>
            <w:rPr>
              <w:b/>
              <w:bCs/>
            </w:rPr>
          </w:pPr>
        </w:p>
        <w:p w14:paraId="2EE7B64A" w14:textId="7ABE7430" w:rsidR="00AE07FF" w:rsidRDefault="00AE07FF" w:rsidP="00AE07FF"/>
        <w:p w14:paraId="777C3EA2" w14:textId="747BCDF3" w:rsidR="000F5E9A" w:rsidRDefault="000F5E9A" w:rsidP="00AE07FF"/>
        <w:p w14:paraId="4C98E248" w14:textId="202DB980" w:rsidR="000F5E9A" w:rsidRDefault="000F5E9A" w:rsidP="00AE07FF"/>
        <w:p w14:paraId="15323912" w14:textId="42C42BA6" w:rsidR="000F5E9A" w:rsidRDefault="000F5E9A" w:rsidP="00AE07FF"/>
        <w:p w14:paraId="7ACB5D69" w14:textId="77777777" w:rsidR="000F5E9A" w:rsidRDefault="000F5E9A" w:rsidP="00AE07FF"/>
        <w:p w14:paraId="0A490F40" w14:textId="77777777" w:rsidR="00AE07FF" w:rsidRDefault="00AE07FF" w:rsidP="00AE07FF">
          <w:pPr>
            <w:rPr>
              <w:b/>
              <w:bCs/>
            </w:rPr>
          </w:pPr>
        </w:p>
        <w:p w14:paraId="458A6794" w14:textId="77777777" w:rsidR="000F5E9A" w:rsidRDefault="000F5E9A" w:rsidP="000F5E9A">
          <w:r>
            <w:t xml:space="preserve">Tourism Research Australia </w:t>
          </w:r>
        </w:p>
        <w:p w14:paraId="69B47D2B" w14:textId="77777777" w:rsidR="000F5E9A" w:rsidRDefault="000F5E9A" w:rsidP="000F5E9A">
          <w:r>
            <w:t xml:space="preserve">Australian Trade and Investment Commission (Austrade) </w:t>
          </w:r>
        </w:p>
        <w:p w14:paraId="4C32C3BF" w14:textId="77777777" w:rsidR="000F5E9A" w:rsidRDefault="000F5E9A" w:rsidP="000F5E9A">
          <w:r>
            <w:t xml:space="preserve">Email: </w:t>
          </w:r>
          <w:hyperlink r:id="rId15" w:history="1">
            <w:r w:rsidRPr="003E4536">
              <w:rPr>
                <w:rStyle w:val="Hyperlink"/>
              </w:rPr>
              <w:t>tourism.research@tra.gov.au</w:t>
            </w:r>
          </w:hyperlink>
          <w:r>
            <w:t xml:space="preserve"> </w:t>
          </w:r>
        </w:p>
        <w:p w14:paraId="528C4A28" w14:textId="77777777" w:rsidR="000F5E9A" w:rsidRDefault="000F5E9A" w:rsidP="000F5E9A">
          <w:r>
            <w:t xml:space="preserve">Web: </w:t>
          </w:r>
          <w:hyperlink r:id="rId16" w:history="1">
            <w:r w:rsidRPr="003E4536">
              <w:rPr>
                <w:rStyle w:val="Hyperlink"/>
              </w:rPr>
              <w:t>www.tra.gov.au</w:t>
            </w:r>
          </w:hyperlink>
          <w:r>
            <w:t xml:space="preserve"> </w:t>
          </w:r>
        </w:p>
        <w:p w14:paraId="6B05BD37" w14:textId="77777777" w:rsidR="000F5E9A" w:rsidRDefault="000F5E9A" w:rsidP="000F5E9A">
          <w:r>
            <w:t xml:space="preserve">Publication date: December 2021 </w:t>
          </w:r>
        </w:p>
        <w:p w14:paraId="4CA7D598" w14:textId="77777777" w:rsidR="000F5E9A" w:rsidRDefault="000F5E9A">
          <w:pPr>
            <w:spacing w:before="0" w:after="160" w:line="259" w:lineRule="auto"/>
            <w:rPr>
              <w:bCs/>
              <w:color w:val="2E1A47" w:themeColor="text2"/>
              <w:sz w:val="32"/>
              <w:szCs w:val="32"/>
            </w:rPr>
          </w:pPr>
          <w:r>
            <w:br w:type="page"/>
          </w:r>
        </w:p>
        <w:p w14:paraId="700928B0" w14:textId="77777777" w:rsidR="000F5E9A" w:rsidRDefault="000F5E9A" w:rsidP="000F5E9A"/>
        <w:p w14:paraId="2A6AD782" w14:textId="77777777" w:rsidR="000F5E9A" w:rsidRDefault="000F5E9A" w:rsidP="000F5E9A">
          <w:pPr>
            <w:rPr>
              <w:b/>
              <w:bCs/>
            </w:rPr>
          </w:pPr>
        </w:p>
        <w:p w14:paraId="5FDA5B89" w14:textId="77777777" w:rsidR="000F5E9A" w:rsidRDefault="000F5E9A" w:rsidP="000F5E9A"/>
        <w:p w14:paraId="080EABF9" w14:textId="77777777" w:rsidR="000F5E9A" w:rsidRPr="00AA50DF" w:rsidRDefault="000F5E9A" w:rsidP="000F5E9A">
          <w:pPr>
            <w:pStyle w:val="Heading2"/>
            <w:rPr>
              <w:color w:val="7A4282" w:themeColor="accent1"/>
            </w:rPr>
          </w:pPr>
          <w:bookmarkStart w:id="13" w:name="_Toc89671612"/>
          <w:r w:rsidRPr="00AA50DF">
            <w:rPr>
              <w:color w:val="7A4282" w:themeColor="accent1"/>
            </w:rPr>
            <w:t>Acknowledgements</w:t>
          </w:r>
          <w:bookmarkEnd w:id="13"/>
        </w:p>
        <w:p w14:paraId="4AF865CB" w14:textId="641B4867" w:rsidR="000F5E9A" w:rsidRDefault="000F5E9A" w:rsidP="000F5E9A">
          <w:r>
            <w:t>As part of the forecasting process, Tourism Research Australia (TRA) established the Tourism Forecasting Reference Panel (the Panel) comprising experts from industry and government. TRA acknowledge</w:t>
          </w:r>
          <w:r w:rsidR="00590AA4">
            <w:t>s</w:t>
          </w:r>
          <w:r>
            <w:t xml:space="preserve"> the contribution of the Panel members.</w:t>
          </w:r>
        </w:p>
        <w:p w14:paraId="05FE0FDE" w14:textId="28DA2FCE" w:rsidR="000F5E9A" w:rsidRDefault="000F5E9A" w:rsidP="000F5E9A"/>
        <w:p w14:paraId="5568CC20" w14:textId="6E87BD06" w:rsidR="00EB16F6" w:rsidRDefault="00EB16F6" w:rsidP="000F5E9A"/>
        <w:p w14:paraId="686B8736" w14:textId="5C07FB8F" w:rsidR="00EB16F6" w:rsidRDefault="00EB16F6" w:rsidP="000F5E9A"/>
        <w:p w14:paraId="394A94FC" w14:textId="77777777" w:rsidR="00444B84" w:rsidRDefault="00444B84" w:rsidP="000F5E9A"/>
        <w:p w14:paraId="3034AC0D" w14:textId="77777777" w:rsidR="00EB16F6" w:rsidRDefault="00EB16F6" w:rsidP="000F5E9A"/>
        <w:p w14:paraId="41E855E7" w14:textId="0CCBCC67" w:rsidR="000F5E9A" w:rsidRDefault="00EB16F6" w:rsidP="00EB16F6">
          <w:pPr>
            <w:pStyle w:val="Default"/>
          </w:pPr>
          <w:r>
            <w:rPr>
              <w:b/>
              <w:bCs/>
              <w:sz w:val="16"/>
              <w:szCs w:val="16"/>
            </w:rPr>
            <w:t>Copyright</w:t>
          </w:r>
        </w:p>
        <w:p w14:paraId="1DCCC6BD" w14:textId="77777777" w:rsidR="00EB16F6" w:rsidRPr="00EB16F6" w:rsidRDefault="00EB16F6" w:rsidP="00EB16F6">
          <w:pPr>
            <w:pStyle w:val="Pa2"/>
            <w:spacing w:after="40"/>
            <w:rPr>
              <w:rFonts w:ascii="Verdana" w:hAnsi="Verdana" w:cs="Verdana"/>
              <w:color w:val="000000"/>
              <w:sz w:val="16"/>
              <w:szCs w:val="16"/>
            </w:rPr>
          </w:pPr>
          <w:r w:rsidRPr="00EB16F6">
            <w:rPr>
              <w:rFonts w:ascii="Verdana" w:hAnsi="Verdana" w:cs="Verdana"/>
              <w:color w:val="000000"/>
              <w:sz w:val="16"/>
              <w:szCs w:val="16"/>
            </w:rPr>
            <w:t>Copyright © Commonwealth of Australia 2021</w:t>
          </w:r>
        </w:p>
        <w:p w14:paraId="53F0FFD3" w14:textId="77777777" w:rsidR="00EB16F6" w:rsidRPr="00EB16F6" w:rsidRDefault="00EB16F6" w:rsidP="00EB16F6">
          <w:pPr>
            <w:pStyle w:val="Pa2"/>
            <w:spacing w:after="40"/>
            <w:rPr>
              <w:rFonts w:ascii="Verdana" w:hAnsi="Verdana" w:cs="Verdana"/>
              <w:color w:val="000000"/>
              <w:sz w:val="16"/>
              <w:szCs w:val="16"/>
            </w:rPr>
          </w:pPr>
          <w:r w:rsidRPr="00EB16F6">
            <w:rPr>
              <w:rFonts w:ascii="Verdana" w:hAnsi="Verdana" w:cs="Verdana"/>
              <w:color w:val="000000"/>
              <w:sz w:val="16"/>
              <w:szCs w:val="16"/>
            </w:rPr>
            <w:t xml:space="preserve">The material in this document is licensed under a Creative Commons Attribution – 4.0 International licence, with the exception of: </w:t>
          </w:r>
        </w:p>
        <w:p w14:paraId="5F932036" w14:textId="77777777" w:rsidR="00EB16F6" w:rsidRPr="00EB16F6" w:rsidRDefault="00EB16F6" w:rsidP="00EB16F6">
          <w:pPr>
            <w:pStyle w:val="Default"/>
            <w:numPr>
              <w:ilvl w:val="0"/>
              <w:numId w:val="27"/>
            </w:numPr>
            <w:spacing w:after="5"/>
            <w:ind w:left="1080" w:hanging="360"/>
            <w:rPr>
              <w:sz w:val="16"/>
              <w:szCs w:val="16"/>
            </w:rPr>
          </w:pPr>
          <w:r w:rsidRPr="00EB16F6">
            <w:rPr>
              <w:sz w:val="16"/>
              <w:szCs w:val="16"/>
            </w:rPr>
            <w:t xml:space="preserve">the Commonwealth Coat of Arms </w:t>
          </w:r>
        </w:p>
        <w:p w14:paraId="2A479A4D" w14:textId="77777777" w:rsidR="00EB16F6" w:rsidRPr="00EB16F6" w:rsidRDefault="00EB16F6" w:rsidP="00EB16F6">
          <w:pPr>
            <w:pStyle w:val="Default"/>
            <w:numPr>
              <w:ilvl w:val="0"/>
              <w:numId w:val="27"/>
            </w:numPr>
            <w:spacing w:after="5"/>
            <w:ind w:left="1080" w:hanging="360"/>
            <w:rPr>
              <w:sz w:val="16"/>
              <w:szCs w:val="16"/>
            </w:rPr>
          </w:pPr>
          <w:r w:rsidRPr="00EB16F6">
            <w:rPr>
              <w:sz w:val="16"/>
              <w:szCs w:val="16"/>
            </w:rPr>
            <w:t xml:space="preserve">the Australian Trade and Investment Commission’s logo </w:t>
          </w:r>
        </w:p>
        <w:p w14:paraId="17F737EB" w14:textId="3662B6F4" w:rsidR="00EB16F6" w:rsidRPr="00EB16F6" w:rsidRDefault="00EB16F6" w:rsidP="00EB16F6">
          <w:pPr>
            <w:pStyle w:val="Default"/>
            <w:numPr>
              <w:ilvl w:val="0"/>
              <w:numId w:val="27"/>
            </w:numPr>
            <w:spacing w:after="5"/>
            <w:ind w:left="1080" w:hanging="360"/>
            <w:rPr>
              <w:sz w:val="16"/>
              <w:szCs w:val="16"/>
            </w:rPr>
          </w:pPr>
          <w:r w:rsidRPr="00EB16F6">
            <w:rPr>
              <w:sz w:val="16"/>
              <w:szCs w:val="16"/>
            </w:rPr>
            <w:t xml:space="preserve">any </w:t>
          </w:r>
          <w:r w:rsidR="00444B84" w:rsidRPr="00EB16F6">
            <w:rPr>
              <w:sz w:val="16"/>
              <w:szCs w:val="16"/>
            </w:rPr>
            <w:t>third-party</w:t>
          </w:r>
          <w:r w:rsidRPr="00EB16F6">
            <w:rPr>
              <w:sz w:val="16"/>
              <w:szCs w:val="16"/>
            </w:rPr>
            <w:t xml:space="preserve"> material </w:t>
          </w:r>
        </w:p>
        <w:p w14:paraId="0228F1D7" w14:textId="2B9D172C" w:rsidR="00EB16F6" w:rsidRPr="00EB16F6" w:rsidRDefault="00EB16F6" w:rsidP="00EB16F6">
          <w:pPr>
            <w:pStyle w:val="Default"/>
            <w:numPr>
              <w:ilvl w:val="0"/>
              <w:numId w:val="27"/>
            </w:numPr>
            <w:spacing w:after="5"/>
            <w:ind w:left="1080" w:hanging="360"/>
            <w:rPr>
              <w:sz w:val="16"/>
              <w:szCs w:val="16"/>
            </w:rPr>
          </w:pPr>
          <w:r w:rsidRPr="00EB16F6">
            <w:rPr>
              <w:sz w:val="16"/>
              <w:szCs w:val="16"/>
            </w:rPr>
            <w:t xml:space="preserve">any material protected by a </w:t>
          </w:r>
          <w:r w:rsidR="00444B84" w:rsidRPr="00EB16F6">
            <w:rPr>
              <w:sz w:val="16"/>
              <w:szCs w:val="16"/>
            </w:rPr>
            <w:t>trademark</w:t>
          </w:r>
          <w:r w:rsidRPr="00EB16F6">
            <w:rPr>
              <w:sz w:val="16"/>
              <w:szCs w:val="16"/>
            </w:rPr>
            <w:t xml:space="preserve"> </w:t>
          </w:r>
        </w:p>
        <w:p w14:paraId="77D272CF" w14:textId="77777777" w:rsidR="00EB16F6" w:rsidRPr="00EB16F6" w:rsidRDefault="00EB16F6" w:rsidP="00EB16F6">
          <w:pPr>
            <w:pStyle w:val="Default"/>
            <w:numPr>
              <w:ilvl w:val="0"/>
              <w:numId w:val="27"/>
            </w:numPr>
            <w:ind w:left="1080" w:hanging="360"/>
            <w:rPr>
              <w:sz w:val="16"/>
              <w:szCs w:val="16"/>
            </w:rPr>
          </w:pPr>
          <w:r w:rsidRPr="00EB16F6">
            <w:rPr>
              <w:sz w:val="16"/>
              <w:szCs w:val="16"/>
            </w:rPr>
            <w:t>any images and photographs.</w:t>
          </w:r>
        </w:p>
        <w:p w14:paraId="4C36F846" w14:textId="72367AC7" w:rsidR="000F5E9A" w:rsidRPr="00EB16F6" w:rsidRDefault="00EB16F6" w:rsidP="00444B84">
          <w:pPr>
            <w:pStyle w:val="Heading2"/>
            <w:spacing w:before="160"/>
            <w:rPr>
              <w:rFonts w:eastAsiaTheme="minorHAnsi" w:cs="Verdana"/>
              <w:b w:val="0"/>
              <w:color w:val="000000"/>
              <w:sz w:val="16"/>
              <w:szCs w:val="16"/>
              <w:lang w:eastAsia="en-US"/>
            </w:rPr>
          </w:pPr>
          <w:bookmarkStart w:id="14" w:name="_Toc89671613"/>
          <w:r w:rsidRPr="00EB16F6">
            <w:rPr>
              <w:rFonts w:eastAsiaTheme="minorHAnsi" w:cs="Verdana"/>
              <w:b w:val="0"/>
              <w:color w:val="000000"/>
              <w:sz w:val="16"/>
              <w:szCs w:val="16"/>
              <w:lang w:eastAsia="en-US"/>
            </w:rPr>
            <w:t>More information on this CC BY licence is set out at the creative commons website: https://creativecommons.org/licenses/by/4.0/legalcode.</w:t>
          </w:r>
          <w:bookmarkEnd w:id="14"/>
        </w:p>
        <w:p w14:paraId="5687B81C" w14:textId="77777777" w:rsidR="00EB16F6" w:rsidRPr="00EB16F6" w:rsidRDefault="00EB16F6" w:rsidP="000F5E9A">
          <w:pPr>
            <w:pStyle w:val="Default"/>
            <w:rPr>
              <w:b/>
              <w:bCs/>
              <w:sz w:val="16"/>
              <w:szCs w:val="16"/>
            </w:rPr>
          </w:pPr>
          <w:r w:rsidRPr="00EB16F6">
            <w:rPr>
              <w:b/>
              <w:bCs/>
              <w:sz w:val="16"/>
              <w:szCs w:val="16"/>
            </w:rPr>
            <w:t>Attribution</w:t>
          </w:r>
        </w:p>
        <w:p w14:paraId="257C39B1" w14:textId="11F747BC" w:rsidR="00EB16F6" w:rsidRPr="00EB16F6" w:rsidRDefault="00EB16F6" w:rsidP="000F5E9A">
          <w:pPr>
            <w:pStyle w:val="Default"/>
            <w:rPr>
              <w:rFonts w:asciiTheme="minorHAnsi" w:hAnsiTheme="minorHAnsi" w:cs="AU Sans BETA Text Light"/>
              <w:sz w:val="16"/>
              <w:szCs w:val="16"/>
            </w:rPr>
          </w:pPr>
          <w:r w:rsidRPr="00EB16F6">
            <w:rPr>
              <w:sz w:val="16"/>
              <w:szCs w:val="16"/>
            </w:rPr>
            <w:t>Before reusing any part of this document, including reproduction, public display, public performance, distribution, dissemination, communication, or importation, you must comply with the Attribution requirements under the CC BY licence. Enquiries about this licence and any use of this document can be sent to</w:t>
          </w:r>
          <w:r w:rsidRPr="00EB16F6">
            <w:rPr>
              <w:rFonts w:asciiTheme="minorHAnsi" w:hAnsiTheme="minorHAnsi"/>
              <w:sz w:val="16"/>
              <w:szCs w:val="16"/>
            </w:rPr>
            <w:t>:</w:t>
          </w:r>
          <w:r w:rsidRPr="00EB16F6">
            <w:rPr>
              <w:rFonts w:asciiTheme="minorHAnsi" w:hAnsiTheme="minorHAnsi" w:cs="AU Sans BETA Text Light"/>
              <w:sz w:val="16"/>
              <w:szCs w:val="16"/>
            </w:rPr>
            <w:t xml:space="preserve"> </w:t>
          </w:r>
          <w:hyperlink r:id="rId17" w:history="1">
            <w:r w:rsidRPr="00EB16F6">
              <w:rPr>
                <w:rStyle w:val="Hyperlink"/>
                <w:rFonts w:asciiTheme="minorHAnsi" w:hAnsiTheme="minorHAnsi" w:cs="AU Sans BETA Text Light"/>
                <w:sz w:val="16"/>
                <w:szCs w:val="16"/>
              </w:rPr>
              <w:t>advisory@austrade.gov.au</w:t>
            </w:r>
          </w:hyperlink>
          <w:r w:rsidRPr="00EB16F6">
            <w:rPr>
              <w:rFonts w:asciiTheme="minorHAnsi" w:hAnsiTheme="minorHAnsi" w:cs="AU Sans BETA Text Light"/>
              <w:sz w:val="16"/>
              <w:szCs w:val="16"/>
            </w:rPr>
            <w:t>.</w:t>
          </w:r>
        </w:p>
        <w:p w14:paraId="33AC39D1" w14:textId="77777777" w:rsidR="00EB16F6" w:rsidRPr="00EB16F6" w:rsidRDefault="00EB16F6" w:rsidP="000F5E9A">
          <w:pPr>
            <w:pStyle w:val="Default"/>
            <w:rPr>
              <w:rFonts w:asciiTheme="minorHAnsi" w:hAnsiTheme="minorHAnsi"/>
              <w:b/>
              <w:bCs/>
              <w:sz w:val="16"/>
              <w:szCs w:val="16"/>
            </w:rPr>
          </w:pPr>
        </w:p>
        <w:p w14:paraId="73DF702A" w14:textId="77777777" w:rsidR="000F5E9A" w:rsidRPr="00EB16F6" w:rsidRDefault="000F5E9A" w:rsidP="000F5E9A">
          <w:pPr>
            <w:pStyle w:val="Default"/>
            <w:rPr>
              <w:sz w:val="16"/>
              <w:szCs w:val="16"/>
            </w:rPr>
          </w:pPr>
          <w:r w:rsidRPr="00EB16F6">
            <w:rPr>
              <w:b/>
              <w:bCs/>
              <w:sz w:val="16"/>
              <w:szCs w:val="16"/>
            </w:rPr>
            <w:t xml:space="preserve">Use of the Coat of Arms </w:t>
          </w:r>
          <w:r w:rsidRPr="00EB16F6">
            <w:rPr>
              <w:sz w:val="16"/>
              <w:szCs w:val="16"/>
            </w:rPr>
            <w:t xml:space="preserve">The terms under which the Coat of Arms can be used are detailed on the Department of the Prime Minister and Cabinet website at pmc.gov.au/ government/commonwealth-coat-arms. </w:t>
          </w:r>
        </w:p>
        <w:p w14:paraId="5DDEFA2F" w14:textId="77777777" w:rsidR="000F5E9A" w:rsidRDefault="000F5E9A" w:rsidP="000F5E9A">
          <w:pPr>
            <w:pStyle w:val="Default"/>
            <w:rPr>
              <w:sz w:val="20"/>
              <w:szCs w:val="20"/>
            </w:rPr>
          </w:pPr>
        </w:p>
        <w:p w14:paraId="1217743B" w14:textId="77777777" w:rsidR="00EB16F6" w:rsidRPr="00EB16F6" w:rsidRDefault="00EB16F6" w:rsidP="00EB16F6">
          <w:pPr>
            <w:pStyle w:val="Pa2"/>
            <w:spacing w:after="40"/>
            <w:rPr>
              <w:rFonts w:ascii="Verdana" w:hAnsi="Verdana" w:cs="Verdana"/>
              <w:b/>
              <w:bCs/>
              <w:color w:val="000000"/>
              <w:sz w:val="16"/>
              <w:szCs w:val="16"/>
            </w:rPr>
          </w:pPr>
          <w:r w:rsidRPr="00EB16F6">
            <w:rPr>
              <w:rFonts w:ascii="Verdana" w:hAnsi="Verdana" w:cs="Verdana"/>
              <w:b/>
              <w:bCs/>
              <w:color w:val="000000"/>
              <w:sz w:val="16"/>
              <w:szCs w:val="16"/>
            </w:rPr>
            <w:t>Disclaimer</w:t>
          </w:r>
        </w:p>
        <w:p w14:paraId="224A9E27" w14:textId="326970C1" w:rsidR="00EB16F6" w:rsidRPr="00EB16F6" w:rsidRDefault="00EB16F6" w:rsidP="00EB16F6">
          <w:pPr>
            <w:pStyle w:val="Pa2"/>
            <w:spacing w:after="40"/>
            <w:rPr>
              <w:rFonts w:ascii="Verdana" w:hAnsi="Verdana" w:cs="Verdana"/>
              <w:color w:val="000000"/>
              <w:sz w:val="16"/>
              <w:szCs w:val="16"/>
            </w:rPr>
          </w:pPr>
          <w:r w:rsidRPr="00EB16F6">
            <w:rPr>
              <w:rFonts w:ascii="Verdana" w:hAnsi="Verdana" w:cs="Verdana"/>
              <w:color w:val="000000"/>
              <w:sz w:val="16"/>
              <w:szCs w:val="16"/>
            </w:rPr>
            <w:t>This report has been prepared by the Commonwealth of Australia represented by the Australian Trade and Investment Commission (Austrade). The report is a general overview and is not intended to provide exhaustive coverage of the topic. The information is made available on the understanding that the Commonwealth of Australia is not providing professional advice.</w:t>
          </w:r>
        </w:p>
        <w:p w14:paraId="23A21251" w14:textId="77777777" w:rsidR="00EB16F6" w:rsidRPr="00EB16F6" w:rsidRDefault="00EB16F6" w:rsidP="00EB16F6">
          <w:pPr>
            <w:pStyle w:val="Pa2"/>
            <w:spacing w:after="40"/>
            <w:rPr>
              <w:rFonts w:ascii="Verdana" w:hAnsi="Verdana" w:cs="Verdana"/>
              <w:color w:val="000000"/>
              <w:sz w:val="16"/>
              <w:szCs w:val="16"/>
            </w:rPr>
          </w:pPr>
          <w:r w:rsidRPr="00EB16F6">
            <w:rPr>
              <w:rFonts w:ascii="Verdana" w:hAnsi="Verdana" w:cs="Verdana"/>
              <w:color w:val="000000"/>
              <w:sz w:val="16"/>
              <w:szCs w:val="16"/>
            </w:rPr>
            <w:t>While care has been taken to ensure the information in this report is accurate, the Commonwealth does not accept any liability for any loss arising from reliance on the information, or from any error or omission, in the report.</w:t>
          </w:r>
        </w:p>
        <w:p w14:paraId="41D11D3B" w14:textId="1BA5603B" w:rsidR="000F5E9A" w:rsidRPr="00EB16F6" w:rsidRDefault="00EB16F6" w:rsidP="00EB16F6">
          <w:pPr>
            <w:pStyle w:val="Default"/>
            <w:rPr>
              <w:bCs/>
              <w:sz w:val="16"/>
              <w:szCs w:val="16"/>
            </w:rPr>
          </w:pPr>
          <w:r w:rsidRPr="00EB16F6">
            <w:rPr>
              <w:bCs/>
              <w:sz w:val="16"/>
              <w:szCs w:val="16"/>
            </w:rPr>
            <w:t>Any person relying on this information does so at their own risk. The Commonwealth recommends the person exercise their own skill and care, including obtaining professional advice, in relation to their use of the information for their purposes. The Commonwealth does not endorse any company or activity referred to in the report, and does not accept responsibility for any losses suffered in connection with any company or its activities.</w:t>
          </w:r>
        </w:p>
        <w:p w14:paraId="73EF21AD" w14:textId="77777777" w:rsidR="00EB16F6" w:rsidRDefault="00EB16F6" w:rsidP="00EB16F6"/>
        <w:p w14:paraId="37C4879C" w14:textId="30BA3E27" w:rsidR="002A3C60" w:rsidRPr="00EB16F6" w:rsidRDefault="000F5E9A" w:rsidP="00444B84">
          <w:pPr>
            <w:spacing w:line="240" w:lineRule="auto"/>
            <w:rPr>
              <w:sz w:val="16"/>
              <w:szCs w:val="16"/>
            </w:rPr>
          </w:pPr>
          <w:r w:rsidRPr="00EB16F6">
            <w:rPr>
              <w:sz w:val="16"/>
              <w:szCs w:val="16"/>
            </w:rPr>
            <w:t xml:space="preserve">This work should be attributed as </w:t>
          </w:r>
          <w:r w:rsidRPr="00EB16F6">
            <w:rPr>
              <w:i/>
              <w:iCs/>
              <w:sz w:val="16"/>
              <w:szCs w:val="16"/>
            </w:rPr>
            <w:t>Domestic Tourism Forecasts 2021-22 to 2025-26</w:t>
          </w:r>
          <w:r w:rsidRPr="00EB16F6">
            <w:rPr>
              <w:sz w:val="16"/>
              <w:szCs w:val="16"/>
            </w:rPr>
            <w:t xml:space="preserve">, Tourism Research Australia, </w:t>
          </w:r>
          <w:r w:rsidR="00EB16F6" w:rsidRPr="00EB16F6">
            <w:rPr>
              <w:sz w:val="16"/>
              <w:szCs w:val="16"/>
            </w:rPr>
            <w:t xml:space="preserve">Austrade, </w:t>
          </w:r>
          <w:r w:rsidRPr="00EB16F6">
            <w:rPr>
              <w:sz w:val="16"/>
              <w:szCs w:val="16"/>
            </w:rPr>
            <w:t xml:space="preserve">Canberra. </w:t>
          </w:r>
        </w:p>
        <w:p w14:paraId="41F0D21F" w14:textId="37EBDCF0" w:rsidR="000F5E9A" w:rsidRPr="00EB16F6" w:rsidRDefault="000F5E9A" w:rsidP="000F5E9A">
          <w:pPr>
            <w:pStyle w:val="Default"/>
            <w:rPr>
              <w:sz w:val="16"/>
              <w:szCs w:val="16"/>
            </w:rPr>
          </w:pPr>
          <w:r w:rsidRPr="00EB16F6">
            <w:rPr>
              <w:sz w:val="16"/>
              <w:szCs w:val="16"/>
            </w:rPr>
            <w:t>This report is available at tra.gov.au/domestic/domestic-tourism-forecasts</w:t>
          </w:r>
        </w:p>
        <w:p w14:paraId="39D3D958" w14:textId="46AA3DD6" w:rsidR="000F5E9A" w:rsidRPr="00EB16F6" w:rsidRDefault="00C67005" w:rsidP="00444B84">
          <w:pPr>
            <w:spacing w:line="240" w:lineRule="auto"/>
            <w:rPr>
              <w:sz w:val="16"/>
              <w:szCs w:val="16"/>
            </w:rPr>
          </w:pPr>
          <w:r>
            <w:rPr>
              <w:sz w:val="16"/>
              <w:szCs w:val="16"/>
            </w:rPr>
            <w:t>Further e</w:t>
          </w:r>
          <w:r w:rsidR="000F5E9A" w:rsidRPr="00EB16F6">
            <w:rPr>
              <w:sz w:val="16"/>
              <w:szCs w:val="16"/>
            </w:rPr>
            <w:t xml:space="preserve">nquiries are welcome at </w:t>
          </w:r>
          <w:hyperlink r:id="rId18" w:history="1">
            <w:r w:rsidR="000F5E9A" w:rsidRPr="00EB16F6">
              <w:rPr>
                <w:rStyle w:val="Hyperlink"/>
                <w:sz w:val="16"/>
                <w:szCs w:val="16"/>
              </w:rPr>
              <w:t>tourism.research@tra.gov.au</w:t>
            </w:r>
          </w:hyperlink>
          <w:r w:rsidR="000F5E9A" w:rsidRPr="00EB16F6">
            <w:rPr>
              <w:sz w:val="16"/>
              <w:szCs w:val="16"/>
            </w:rPr>
            <w:t xml:space="preserve"> </w:t>
          </w:r>
        </w:p>
        <w:p w14:paraId="3A7914C1" w14:textId="7CFA1D7F" w:rsidR="00A87669" w:rsidRPr="00EB16F6" w:rsidRDefault="00A87669" w:rsidP="00EB16F6">
          <w:pPr>
            <w:pStyle w:val="Heading2"/>
            <w:rPr>
              <w:rFonts w:eastAsiaTheme="minorHAnsi" w:cs="Verdana"/>
              <w:b w:val="0"/>
              <w:color w:val="000000"/>
              <w:sz w:val="20"/>
              <w:szCs w:val="20"/>
              <w:lang w:eastAsia="en-US"/>
            </w:rPr>
          </w:pPr>
          <w:r w:rsidRPr="00EB16F6">
            <w:rPr>
              <w:rFonts w:eastAsiaTheme="minorHAnsi" w:cs="Verdana"/>
              <w:b w:val="0"/>
              <w:color w:val="000000"/>
              <w:sz w:val="20"/>
              <w:szCs w:val="20"/>
              <w:lang w:eastAsia="en-US"/>
            </w:rPr>
            <w:br w:type="page"/>
          </w:r>
        </w:p>
        <w:sdt>
          <w:sdtPr>
            <w:rPr>
              <w:rFonts w:ascii="Verdana" w:eastAsiaTheme="minorHAnsi" w:hAnsi="Verdana" w:cstheme="minorBidi"/>
              <w:color w:val="000000" w:themeColor="text1"/>
              <w:sz w:val="20"/>
              <w:szCs w:val="20"/>
              <w:lang w:val="en-AU"/>
            </w:rPr>
            <w:id w:val="573863566"/>
            <w:docPartObj>
              <w:docPartGallery w:val="Table of Contents"/>
              <w:docPartUnique/>
            </w:docPartObj>
          </w:sdtPr>
          <w:sdtEndPr>
            <w:rPr>
              <w:b/>
              <w:bCs/>
              <w:noProof/>
            </w:rPr>
          </w:sdtEndPr>
          <w:sdtContent>
            <w:p w14:paraId="5A36EFB6" w14:textId="77777777" w:rsidR="00EB16F6" w:rsidRDefault="00E81AAF" w:rsidP="00821B7A">
              <w:pPr>
                <w:pStyle w:val="TOCHeading"/>
                <w:rPr>
                  <w:noProof/>
                </w:rPr>
              </w:pPr>
              <w:r>
                <w:t>Contents</w:t>
              </w:r>
              <w:r>
                <w:fldChar w:fldCharType="begin"/>
              </w:r>
              <w:r>
                <w:instrText xml:space="preserve"> TOC \o "1-3" \h \z \u </w:instrText>
              </w:r>
              <w:r>
                <w:fldChar w:fldCharType="separate"/>
              </w:r>
            </w:p>
            <w:p w14:paraId="15A8D8B1" w14:textId="5A649A38" w:rsidR="00EB16F6" w:rsidRDefault="00F9620D" w:rsidP="00EB16F6">
              <w:pPr>
                <w:pStyle w:val="TOC2"/>
                <w:tabs>
                  <w:tab w:val="right" w:leader="dot" w:pos="9958"/>
                </w:tabs>
                <w:rPr>
                  <w:rFonts w:asciiTheme="minorHAnsi" w:eastAsiaTheme="minorEastAsia" w:hAnsiTheme="minorHAnsi"/>
                  <w:noProof/>
                  <w:color w:val="auto"/>
                  <w:sz w:val="22"/>
                  <w:szCs w:val="22"/>
                  <w:lang w:eastAsia="en-AU"/>
                </w:rPr>
              </w:pPr>
              <w:hyperlink w:anchor="_Toc89671612" w:history="1">
                <w:r w:rsidR="00EB16F6" w:rsidRPr="00B90151">
                  <w:rPr>
                    <w:rStyle w:val="Hyperlink"/>
                    <w:noProof/>
                  </w:rPr>
                  <w:t>Acknowledgements</w:t>
                </w:r>
                <w:r w:rsidR="00EB16F6">
                  <w:rPr>
                    <w:noProof/>
                    <w:webHidden/>
                  </w:rPr>
                  <w:tab/>
                </w:r>
                <w:r w:rsidR="00EB16F6">
                  <w:rPr>
                    <w:noProof/>
                    <w:webHidden/>
                  </w:rPr>
                  <w:fldChar w:fldCharType="begin"/>
                </w:r>
                <w:r w:rsidR="00EB16F6">
                  <w:rPr>
                    <w:noProof/>
                    <w:webHidden/>
                  </w:rPr>
                  <w:instrText xml:space="preserve"> PAGEREF _Toc89671612 \h </w:instrText>
                </w:r>
                <w:r w:rsidR="00EB16F6">
                  <w:rPr>
                    <w:noProof/>
                    <w:webHidden/>
                  </w:rPr>
                </w:r>
                <w:r w:rsidR="00EB16F6">
                  <w:rPr>
                    <w:noProof/>
                    <w:webHidden/>
                  </w:rPr>
                  <w:fldChar w:fldCharType="separate"/>
                </w:r>
                <w:r w:rsidR="00EB16F6">
                  <w:rPr>
                    <w:noProof/>
                    <w:webHidden/>
                  </w:rPr>
                  <w:t>1</w:t>
                </w:r>
                <w:r w:rsidR="00EB16F6">
                  <w:rPr>
                    <w:noProof/>
                    <w:webHidden/>
                  </w:rPr>
                  <w:fldChar w:fldCharType="end"/>
                </w:r>
              </w:hyperlink>
            </w:p>
            <w:p w14:paraId="098DC676" w14:textId="038E72A8" w:rsidR="00EB16F6" w:rsidRDefault="00F9620D">
              <w:pPr>
                <w:pStyle w:val="TOC2"/>
                <w:tabs>
                  <w:tab w:val="right" w:leader="dot" w:pos="9958"/>
                </w:tabs>
                <w:rPr>
                  <w:rFonts w:asciiTheme="minorHAnsi" w:eastAsiaTheme="minorEastAsia" w:hAnsiTheme="minorHAnsi"/>
                  <w:noProof/>
                  <w:color w:val="auto"/>
                  <w:sz w:val="22"/>
                  <w:szCs w:val="22"/>
                  <w:lang w:eastAsia="en-AU"/>
                </w:rPr>
              </w:pPr>
              <w:hyperlink w:anchor="_Toc89671614" w:history="1">
                <w:r w:rsidR="00EB16F6" w:rsidRPr="00B90151">
                  <w:rPr>
                    <w:rStyle w:val="Hyperlink"/>
                    <w:noProof/>
                  </w:rPr>
                  <w:t>Overview</w:t>
                </w:r>
                <w:r w:rsidR="00EB16F6">
                  <w:rPr>
                    <w:noProof/>
                    <w:webHidden/>
                  </w:rPr>
                  <w:tab/>
                </w:r>
                <w:r w:rsidR="00EB16F6">
                  <w:rPr>
                    <w:noProof/>
                    <w:webHidden/>
                  </w:rPr>
                  <w:fldChar w:fldCharType="begin"/>
                </w:r>
                <w:r w:rsidR="00EB16F6">
                  <w:rPr>
                    <w:noProof/>
                    <w:webHidden/>
                  </w:rPr>
                  <w:instrText xml:space="preserve"> PAGEREF _Toc89671614 \h </w:instrText>
                </w:r>
                <w:r w:rsidR="00EB16F6">
                  <w:rPr>
                    <w:noProof/>
                    <w:webHidden/>
                  </w:rPr>
                </w:r>
                <w:r w:rsidR="00EB16F6">
                  <w:rPr>
                    <w:noProof/>
                    <w:webHidden/>
                  </w:rPr>
                  <w:fldChar w:fldCharType="separate"/>
                </w:r>
                <w:r w:rsidR="00EB16F6">
                  <w:rPr>
                    <w:noProof/>
                    <w:webHidden/>
                  </w:rPr>
                  <w:t>3</w:t>
                </w:r>
                <w:r w:rsidR="00EB16F6">
                  <w:rPr>
                    <w:noProof/>
                    <w:webHidden/>
                  </w:rPr>
                  <w:fldChar w:fldCharType="end"/>
                </w:r>
              </w:hyperlink>
            </w:p>
            <w:p w14:paraId="1F034D46" w14:textId="15FF22D2" w:rsidR="00EB16F6" w:rsidRDefault="00F9620D">
              <w:pPr>
                <w:pStyle w:val="TOC3"/>
                <w:tabs>
                  <w:tab w:val="right" w:leader="dot" w:pos="9958"/>
                </w:tabs>
                <w:rPr>
                  <w:rFonts w:asciiTheme="minorHAnsi" w:eastAsiaTheme="minorEastAsia" w:hAnsiTheme="minorHAnsi"/>
                  <w:noProof/>
                  <w:color w:val="auto"/>
                  <w:sz w:val="22"/>
                  <w:szCs w:val="22"/>
                  <w:lang w:eastAsia="en-AU"/>
                </w:rPr>
              </w:pPr>
              <w:hyperlink w:anchor="_Toc89671615" w:history="1">
                <w:r w:rsidR="00EB16F6" w:rsidRPr="00B90151">
                  <w:rPr>
                    <w:rStyle w:val="Hyperlink"/>
                    <w:noProof/>
                  </w:rPr>
                  <w:t>Comments on methodology</w:t>
                </w:r>
                <w:r w:rsidR="00EB16F6">
                  <w:rPr>
                    <w:noProof/>
                    <w:webHidden/>
                  </w:rPr>
                  <w:tab/>
                </w:r>
                <w:r w:rsidR="00EB16F6">
                  <w:rPr>
                    <w:noProof/>
                    <w:webHidden/>
                  </w:rPr>
                  <w:fldChar w:fldCharType="begin"/>
                </w:r>
                <w:r w:rsidR="00EB16F6">
                  <w:rPr>
                    <w:noProof/>
                    <w:webHidden/>
                  </w:rPr>
                  <w:instrText xml:space="preserve"> PAGEREF _Toc89671615 \h </w:instrText>
                </w:r>
                <w:r w:rsidR="00EB16F6">
                  <w:rPr>
                    <w:noProof/>
                    <w:webHidden/>
                  </w:rPr>
                </w:r>
                <w:r w:rsidR="00EB16F6">
                  <w:rPr>
                    <w:noProof/>
                    <w:webHidden/>
                  </w:rPr>
                  <w:fldChar w:fldCharType="separate"/>
                </w:r>
                <w:r w:rsidR="00EB16F6">
                  <w:rPr>
                    <w:noProof/>
                    <w:webHidden/>
                  </w:rPr>
                  <w:t>3</w:t>
                </w:r>
                <w:r w:rsidR="00EB16F6">
                  <w:rPr>
                    <w:noProof/>
                    <w:webHidden/>
                  </w:rPr>
                  <w:fldChar w:fldCharType="end"/>
                </w:r>
              </w:hyperlink>
            </w:p>
            <w:p w14:paraId="5CB836F1" w14:textId="550AC642" w:rsidR="00EB16F6" w:rsidRDefault="00F9620D">
              <w:pPr>
                <w:pStyle w:val="TOC3"/>
                <w:tabs>
                  <w:tab w:val="right" w:leader="dot" w:pos="9958"/>
                </w:tabs>
                <w:rPr>
                  <w:rFonts w:asciiTheme="minorHAnsi" w:eastAsiaTheme="minorEastAsia" w:hAnsiTheme="minorHAnsi"/>
                  <w:noProof/>
                  <w:color w:val="auto"/>
                  <w:sz w:val="22"/>
                  <w:szCs w:val="22"/>
                  <w:lang w:eastAsia="en-AU"/>
                </w:rPr>
              </w:pPr>
              <w:hyperlink w:anchor="_Toc89671616" w:history="1">
                <w:r w:rsidR="00EB16F6" w:rsidRPr="00B90151">
                  <w:rPr>
                    <w:rStyle w:val="Hyperlink"/>
                    <w:noProof/>
                  </w:rPr>
                  <w:t>Summary of findings</w:t>
                </w:r>
                <w:r w:rsidR="00EB16F6">
                  <w:rPr>
                    <w:noProof/>
                    <w:webHidden/>
                  </w:rPr>
                  <w:tab/>
                </w:r>
                <w:r w:rsidR="00EB16F6">
                  <w:rPr>
                    <w:noProof/>
                    <w:webHidden/>
                  </w:rPr>
                  <w:fldChar w:fldCharType="begin"/>
                </w:r>
                <w:r w:rsidR="00EB16F6">
                  <w:rPr>
                    <w:noProof/>
                    <w:webHidden/>
                  </w:rPr>
                  <w:instrText xml:space="preserve"> PAGEREF _Toc89671616 \h </w:instrText>
                </w:r>
                <w:r w:rsidR="00EB16F6">
                  <w:rPr>
                    <w:noProof/>
                    <w:webHidden/>
                  </w:rPr>
                </w:r>
                <w:r w:rsidR="00EB16F6">
                  <w:rPr>
                    <w:noProof/>
                    <w:webHidden/>
                  </w:rPr>
                  <w:fldChar w:fldCharType="separate"/>
                </w:r>
                <w:r w:rsidR="00EB16F6">
                  <w:rPr>
                    <w:noProof/>
                    <w:webHidden/>
                  </w:rPr>
                  <w:t>4</w:t>
                </w:r>
                <w:r w:rsidR="00EB16F6">
                  <w:rPr>
                    <w:noProof/>
                    <w:webHidden/>
                  </w:rPr>
                  <w:fldChar w:fldCharType="end"/>
                </w:r>
              </w:hyperlink>
            </w:p>
            <w:p w14:paraId="2220A474" w14:textId="135E090D" w:rsidR="00EB16F6" w:rsidRDefault="00F9620D">
              <w:pPr>
                <w:pStyle w:val="TOC2"/>
                <w:tabs>
                  <w:tab w:val="right" w:leader="dot" w:pos="9958"/>
                </w:tabs>
                <w:rPr>
                  <w:rFonts w:asciiTheme="minorHAnsi" w:eastAsiaTheme="minorEastAsia" w:hAnsiTheme="minorHAnsi"/>
                  <w:noProof/>
                  <w:color w:val="auto"/>
                  <w:sz w:val="22"/>
                  <w:szCs w:val="22"/>
                  <w:lang w:eastAsia="en-AU"/>
                </w:rPr>
              </w:pPr>
              <w:hyperlink w:anchor="_Toc89671617" w:history="1">
                <w:r w:rsidR="00EB16F6" w:rsidRPr="00B90151">
                  <w:rPr>
                    <w:rStyle w:val="Hyperlink"/>
                    <w:noProof/>
                  </w:rPr>
                  <w:t>National forecasts</w:t>
                </w:r>
                <w:r w:rsidR="00EB16F6">
                  <w:rPr>
                    <w:noProof/>
                    <w:webHidden/>
                  </w:rPr>
                  <w:tab/>
                </w:r>
                <w:r w:rsidR="00EB16F6">
                  <w:rPr>
                    <w:noProof/>
                    <w:webHidden/>
                  </w:rPr>
                  <w:fldChar w:fldCharType="begin"/>
                </w:r>
                <w:r w:rsidR="00EB16F6">
                  <w:rPr>
                    <w:noProof/>
                    <w:webHidden/>
                  </w:rPr>
                  <w:instrText xml:space="preserve"> PAGEREF _Toc89671617 \h </w:instrText>
                </w:r>
                <w:r w:rsidR="00EB16F6">
                  <w:rPr>
                    <w:noProof/>
                    <w:webHidden/>
                  </w:rPr>
                </w:r>
                <w:r w:rsidR="00EB16F6">
                  <w:rPr>
                    <w:noProof/>
                    <w:webHidden/>
                  </w:rPr>
                  <w:fldChar w:fldCharType="separate"/>
                </w:r>
                <w:r w:rsidR="00EB16F6">
                  <w:rPr>
                    <w:noProof/>
                    <w:webHidden/>
                  </w:rPr>
                  <w:t>5</w:t>
                </w:r>
                <w:r w:rsidR="00EB16F6">
                  <w:rPr>
                    <w:noProof/>
                    <w:webHidden/>
                  </w:rPr>
                  <w:fldChar w:fldCharType="end"/>
                </w:r>
              </w:hyperlink>
            </w:p>
            <w:p w14:paraId="5951B501" w14:textId="048EB574" w:rsidR="00EB16F6" w:rsidRDefault="00F9620D">
              <w:pPr>
                <w:pStyle w:val="TOC3"/>
                <w:tabs>
                  <w:tab w:val="right" w:leader="dot" w:pos="9958"/>
                </w:tabs>
                <w:rPr>
                  <w:rFonts w:asciiTheme="minorHAnsi" w:eastAsiaTheme="minorEastAsia" w:hAnsiTheme="minorHAnsi"/>
                  <w:noProof/>
                  <w:color w:val="auto"/>
                  <w:sz w:val="22"/>
                  <w:szCs w:val="22"/>
                  <w:lang w:eastAsia="en-AU"/>
                </w:rPr>
              </w:pPr>
              <w:hyperlink w:anchor="_Toc89671618" w:history="1">
                <w:r w:rsidR="00EB16F6" w:rsidRPr="00B90151">
                  <w:rPr>
                    <w:rStyle w:val="Hyperlink"/>
                    <w:noProof/>
                  </w:rPr>
                  <w:t>The national outlook</w:t>
                </w:r>
                <w:r w:rsidR="00EB16F6">
                  <w:rPr>
                    <w:noProof/>
                    <w:webHidden/>
                  </w:rPr>
                  <w:tab/>
                </w:r>
                <w:r w:rsidR="00EB16F6">
                  <w:rPr>
                    <w:noProof/>
                    <w:webHidden/>
                  </w:rPr>
                  <w:fldChar w:fldCharType="begin"/>
                </w:r>
                <w:r w:rsidR="00EB16F6">
                  <w:rPr>
                    <w:noProof/>
                    <w:webHidden/>
                  </w:rPr>
                  <w:instrText xml:space="preserve"> PAGEREF _Toc89671618 \h </w:instrText>
                </w:r>
                <w:r w:rsidR="00EB16F6">
                  <w:rPr>
                    <w:noProof/>
                    <w:webHidden/>
                  </w:rPr>
                </w:r>
                <w:r w:rsidR="00EB16F6">
                  <w:rPr>
                    <w:noProof/>
                    <w:webHidden/>
                  </w:rPr>
                  <w:fldChar w:fldCharType="separate"/>
                </w:r>
                <w:r w:rsidR="00EB16F6">
                  <w:rPr>
                    <w:noProof/>
                    <w:webHidden/>
                  </w:rPr>
                  <w:t>5</w:t>
                </w:r>
                <w:r w:rsidR="00EB16F6">
                  <w:rPr>
                    <w:noProof/>
                    <w:webHidden/>
                  </w:rPr>
                  <w:fldChar w:fldCharType="end"/>
                </w:r>
              </w:hyperlink>
            </w:p>
            <w:p w14:paraId="2E99D06A" w14:textId="0C5AFBAC" w:rsidR="00EB16F6" w:rsidRDefault="00F9620D">
              <w:pPr>
                <w:pStyle w:val="TOC3"/>
                <w:tabs>
                  <w:tab w:val="right" w:leader="dot" w:pos="9958"/>
                </w:tabs>
                <w:rPr>
                  <w:rFonts w:asciiTheme="minorHAnsi" w:eastAsiaTheme="minorEastAsia" w:hAnsiTheme="minorHAnsi"/>
                  <w:noProof/>
                  <w:color w:val="auto"/>
                  <w:sz w:val="22"/>
                  <w:szCs w:val="22"/>
                  <w:lang w:eastAsia="en-AU"/>
                </w:rPr>
              </w:pPr>
              <w:hyperlink w:anchor="_Toc89671619" w:history="1">
                <w:r w:rsidR="00EB16F6" w:rsidRPr="00B90151">
                  <w:rPr>
                    <w:rStyle w:val="Hyperlink"/>
                    <w:noProof/>
                  </w:rPr>
                  <w:t>Forecasts by purpose of travel</w:t>
                </w:r>
                <w:r w:rsidR="00EB16F6">
                  <w:rPr>
                    <w:noProof/>
                    <w:webHidden/>
                  </w:rPr>
                  <w:tab/>
                </w:r>
                <w:r w:rsidR="00EB16F6">
                  <w:rPr>
                    <w:noProof/>
                    <w:webHidden/>
                  </w:rPr>
                  <w:fldChar w:fldCharType="begin"/>
                </w:r>
                <w:r w:rsidR="00EB16F6">
                  <w:rPr>
                    <w:noProof/>
                    <w:webHidden/>
                  </w:rPr>
                  <w:instrText xml:space="preserve"> PAGEREF _Toc89671619 \h </w:instrText>
                </w:r>
                <w:r w:rsidR="00EB16F6">
                  <w:rPr>
                    <w:noProof/>
                    <w:webHidden/>
                  </w:rPr>
                </w:r>
                <w:r w:rsidR="00EB16F6">
                  <w:rPr>
                    <w:noProof/>
                    <w:webHidden/>
                  </w:rPr>
                  <w:fldChar w:fldCharType="separate"/>
                </w:r>
                <w:r w:rsidR="00EB16F6">
                  <w:rPr>
                    <w:noProof/>
                    <w:webHidden/>
                  </w:rPr>
                  <w:t>7</w:t>
                </w:r>
                <w:r w:rsidR="00EB16F6">
                  <w:rPr>
                    <w:noProof/>
                    <w:webHidden/>
                  </w:rPr>
                  <w:fldChar w:fldCharType="end"/>
                </w:r>
              </w:hyperlink>
            </w:p>
            <w:p w14:paraId="5DDD3F4F" w14:textId="462C5EEA" w:rsidR="00EB16F6" w:rsidRDefault="00F9620D">
              <w:pPr>
                <w:pStyle w:val="TOC3"/>
                <w:tabs>
                  <w:tab w:val="right" w:leader="dot" w:pos="9958"/>
                </w:tabs>
                <w:rPr>
                  <w:rFonts w:asciiTheme="minorHAnsi" w:eastAsiaTheme="minorEastAsia" w:hAnsiTheme="minorHAnsi"/>
                  <w:noProof/>
                  <w:color w:val="auto"/>
                  <w:sz w:val="22"/>
                  <w:szCs w:val="22"/>
                  <w:lang w:eastAsia="en-AU"/>
                </w:rPr>
              </w:pPr>
              <w:hyperlink w:anchor="_Toc89671620" w:history="1">
                <w:r w:rsidR="00EB16F6" w:rsidRPr="00B90151">
                  <w:rPr>
                    <w:rStyle w:val="Hyperlink"/>
                    <w:noProof/>
                  </w:rPr>
                  <w:t>Economic factors affecting the national forecasts</w:t>
                </w:r>
                <w:r w:rsidR="00EB16F6">
                  <w:rPr>
                    <w:noProof/>
                    <w:webHidden/>
                  </w:rPr>
                  <w:tab/>
                </w:r>
                <w:r w:rsidR="00EB16F6">
                  <w:rPr>
                    <w:noProof/>
                    <w:webHidden/>
                  </w:rPr>
                  <w:fldChar w:fldCharType="begin"/>
                </w:r>
                <w:r w:rsidR="00EB16F6">
                  <w:rPr>
                    <w:noProof/>
                    <w:webHidden/>
                  </w:rPr>
                  <w:instrText xml:space="preserve"> PAGEREF _Toc89671620 \h </w:instrText>
                </w:r>
                <w:r w:rsidR="00EB16F6">
                  <w:rPr>
                    <w:noProof/>
                    <w:webHidden/>
                  </w:rPr>
                </w:r>
                <w:r w:rsidR="00EB16F6">
                  <w:rPr>
                    <w:noProof/>
                    <w:webHidden/>
                  </w:rPr>
                  <w:fldChar w:fldCharType="separate"/>
                </w:r>
                <w:r w:rsidR="00EB16F6">
                  <w:rPr>
                    <w:noProof/>
                    <w:webHidden/>
                  </w:rPr>
                  <w:t>9</w:t>
                </w:r>
                <w:r w:rsidR="00EB16F6">
                  <w:rPr>
                    <w:noProof/>
                    <w:webHidden/>
                  </w:rPr>
                  <w:fldChar w:fldCharType="end"/>
                </w:r>
              </w:hyperlink>
            </w:p>
            <w:p w14:paraId="0BD29A83" w14:textId="38B03B34" w:rsidR="00EB16F6" w:rsidRDefault="00F9620D">
              <w:pPr>
                <w:pStyle w:val="TOC2"/>
                <w:tabs>
                  <w:tab w:val="right" w:leader="dot" w:pos="9958"/>
                </w:tabs>
                <w:rPr>
                  <w:rFonts w:asciiTheme="minorHAnsi" w:eastAsiaTheme="minorEastAsia" w:hAnsiTheme="minorHAnsi"/>
                  <w:noProof/>
                  <w:color w:val="auto"/>
                  <w:sz w:val="22"/>
                  <w:szCs w:val="22"/>
                  <w:lang w:eastAsia="en-AU"/>
                </w:rPr>
              </w:pPr>
              <w:hyperlink w:anchor="_Toc89671621" w:history="1">
                <w:r w:rsidR="00EB16F6" w:rsidRPr="00B90151">
                  <w:rPr>
                    <w:rStyle w:val="Hyperlink"/>
                    <w:noProof/>
                  </w:rPr>
                  <w:t>State and territory forecasts</w:t>
                </w:r>
                <w:r w:rsidR="00EB16F6">
                  <w:rPr>
                    <w:noProof/>
                    <w:webHidden/>
                  </w:rPr>
                  <w:tab/>
                </w:r>
                <w:r w:rsidR="00EB16F6">
                  <w:rPr>
                    <w:noProof/>
                    <w:webHidden/>
                  </w:rPr>
                  <w:fldChar w:fldCharType="begin"/>
                </w:r>
                <w:r w:rsidR="00EB16F6">
                  <w:rPr>
                    <w:noProof/>
                    <w:webHidden/>
                  </w:rPr>
                  <w:instrText xml:space="preserve"> PAGEREF _Toc89671621 \h </w:instrText>
                </w:r>
                <w:r w:rsidR="00EB16F6">
                  <w:rPr>
                    <w:noProof/>
                    <w:webHidden/>
                  </w:rPr>
                </w:r>
                <w:r w:rsidR="00EB16F6">
                  <w:rPr>
                    <w:noProof/>
                    <w:webHidden/>
                  </w:rPr>
                  <w:fldChar w:fldCharType="separate"/>
                </w:r>
                <w:r w:rsidR="00EB16F6">
                  <w:rPr>
                    <w:noProof/>
                    <w:webHidden/>
                  </w:rPr>
                  <w:t>11</w:t>
                </w:r>
                <w:r w:rsidR="00EB16F6">
                  <w:rPr>
                    <w:noProof/>
                    <w:webHidden/>
                  </w:rPr>
                  <w:fldChar w:fldCharType="end"/>
                </w:r>
              </w:hyperlink>
            </w:p>
            <w:p w14:paraId="297E3AC7" w14:textId="75FE253F" w:rsidR="00EB16F6" w:rsidRDefault="00F9620D">
              <w:pPr>
                <w:pStyle w:val="TOC3"/>
                <w:tabs>
                  <w:tab w:val="right" w:leader="dot" w:pos="9958"/>
                </w:tabs>
                <w:rPr>
                  <w:rFonts w:asciiTheme="minorHAnsi" w:eastAsiaTheme="minorEastAsia" w:hAnsiTheme="minorHAnsi"/>
                  <w:noProof/>
                  <w:color w:val="auto"/>
                  <w:sz w:val="22"/>
                  <w:szCs w:val="22"/>
                  <w:lang w:eastAsia="en-AU"/>
                </w:rPr>
              </w:pPr>
              <w:hyperlink w:anchor="_Toc89671622" w:history="1">
                <w:r w:rsidR="00EB16F6" w:rsidRPr="00B90151">
                  <w:rPr>
                    <w:rStyle w:val="Hyperlink"/>
                    <w:noProof/>
                  </w:rPr>
                  <w:t>The outlook for domestic tourism</w:t>
                </w:r>
                <w:r w:rsidR="00EB16F6">
                  <w:rPr>
                    <w:noProof/>
                    <w:webHidden/>
                  </w:rPr>
                  <w:tab/>
                </w:r>
                <w:r w:rsidR="00EB16F6">
                  <w:rPr>
                    <w:noProof/>
                    <w:webHidden/>
                  </w:rPr>
                  <w:fldChar w:fldCharType="begin"/>
                </w:r>
                <w:r w:rsidR="00EB16F6">
                  <w:rPr>
                    <w:noProof/>
                    <w:webHidden/>
                  </w:rPr>
                  <w:instrText xml:space="preserve"> PAGEREF _Toc89671622 \h </w:instrText>
                </w:r>
                <w:r w:rsidR="00EB16F6">
                  <w:rPr>
                    <w:noProof/>
                    <w:webHidden/>
                  </w:rPr>
                </w:r>
                <w:r w:rsidR="00EB16F6">
                  <w:rPr>
                    <w:noProof/>
                    <w:webHidden/>
                  </w:rPr>
                  <w:fldChar w:fldCharType="separate"/>
                </w:r>
                <w:r w:rsidR="00EB16F6">
                  <w:rPr>
                    <w:noProof/>
                    <w:webHidden/>
                  </w:rPr>
                  <w:t>11</w:t>
                </w:r>
                <w:r w:rsidR="00EB16F6">
                  <w:rPr>
                    <w:noProof/>
                    <w:webHidden/>
                  </w:rPr>
                  <w:fldChar w:fldCharType="end"/>
                </w:r>
              </w:hyperlink>
            </w:p>
            <w:p w14:paraId="6AA1BE0E" w14:textId="67B06C86" w:rsidR="00EB16F6" w:rsidRDefault="00F9620D">
              <w:pPr>
                <w:pStyle w:val="TOC3"/>
                <w:tabs>
                  <w:tab w:val="right" w:leader="dot" w:pos="9958"/>
                </w:tabs>
                <w:rPr>
                  <w:rFonts w:asciiTheme="minorHAnsi" w:eastAsiaTheme="minorEastAsia" w:hAnsiTheme="minorHAnsi"/>
                  <w:noProof/>
                  <w:color w:val="auto"/>
                  <w:sz w:val="22"/>
                  <w:szCs w:val="22"/>
                  <w:lang w:eastAsia="en-AU"/>
                </w:rPr>
              </w:pPr>
              <w:hyperlink w:anchor="_Toc89671623" w:history="1">
                <w:r w:rsidR="00EB16F6" w:rsidRPr="00B90151">
                  <w:rPr>
                    <w:rStyle w:val="Hyperlink"/>
                    <w:noProof/>
                  </w:rPr>
                  <w:t>Factors driving variations in the pace of recovery</w:t>
                </w:r>
                <w:r w:rsidR="00EB16F6">
                  <w:rPr>
                    <w:noProof/>
                    <w:webHidden/>
                  </w:rPr>
                  <w:tab/>
                </w:r>
                <w:r w:rsidR="00EB16F6">
                  <w:rPr>
                    <w:noProof/>
                    <w:webHidden/>
                  </w:rPr>
                  <w:fldChar w:fldCharType="begin"/>
                </w:r>
                <w:r w:rsidR="00EB16F6">
                  <w:rPr>
                    <w:noProof/>
                    <w:webHidden/>
                  </w:rPr>
                  <w:instrText xml:space="preserve"> PAGEREF _Toc89671623 \h </w:instrText>
                </w:r>
                <w:r w:rsidR="00EB16F6">
                  <w:rPr>
                    <w:noProof/>
                    <w:webHidden/>
                  </w:rPr>
                </w:r>
                <w:r w:rsidR="00EB16F6">
                  <w:rPr>
                    <w:noProof/>
                    <w:webHidden/>
                  </w:rPr>
                  <w:fldChar w:fldCharType="separate"/>
                </w:r>
                <w:r w:rsidR="00EB16F6">
                  <w:rPr>
                    <w:noProof/>
                    <w:webHidden/>
                  </w:rPr>
                  <w:t>12</w:t>
                </w:r>
                <w:r w:rsidR="00EB16F6">
                  <w:rPr>
                    <w:noProof/>
                    <w:webHidden/>
                  </w:rPr>
                  <w:fldChar w:fldCharType="end"/>
                </w:r>
              </w:hyperlink>
            </w:p>
            <w:p w14:paraId="5A051027" w14:textId="69D35D32" w:rsidR="00EB16F6" w:rsidRDefault="00F9620D">
              <w:pPr>
                <w:pStyle w:val="TOC2"/>
                <w:tabs>
                  <w:tab w:val="right" w:leader="dot" w:pos="9958"/>
                </w:tabs>
                <w:rPr>
                  <w:rFonts w:asciiTheme="minorHAnsi" w:eastAsiaTheme="minorEastAsia" w:hAnsiTheme="minorHAnsi"/>
                  <w:noProof/>
                  <w:color w:val="auto"/>
                  <w:sz w:val="22"/>
                  <w:szCs w:val="22"/>
                  <w:lang w:eastAsia="en-AU"/>
                </w:rPr>
              </w:pPr>
              <w:hyperlink w:anchor="_Toc89671624" w:history="1">
                <w:r w:rsidR="00EB16F6" w:rsidRPr="00B90151">
                  <w:rPr>
                    <w:rStyle w:val="Hyperlink"/>
                    <w:noProof/>
                  </w:rPr>
                  <w:t>Risks</w:t>
                </w:r>
                <w:r w:rsidR="00EB16F6">
                  <w:rPr>
                    <w:noProof/>
                    <w:webHidden/>
                  </w:rPr>
                  <w:tab/>
                </w:r>
                <w:r w:rsidR="00EB16F6">
                  <w:rPr>
                    <w:noProof/>
                    <w:webHidden/>
                  </w:rPr>
                  <w:fldChar w:fldCharType="begin"/>
                </w:r>
                <w:r w:rsidR="00EB16F6">
                  <w:rPr>
                    <w:noProof/>
                    <w:webHidden/>
                  </w:rPr>
                  <w:instrText xml:space="preserve"> PAGEREF _Toc89671624 \h </w:instrText>
                </w:r>
                <w:r w:rsidR="00EB16F6">
                  <w:rPr>
                    <w:noProof/>
                    <w:webHidden/>
                  </w:rPr>
                </w:r>
                <w:r w:rsidR="00EB16F6">
                  <w:rPr>
                    <w:noProof/>
                    <w:webHidden/>
                  </w:rPr>
                  <w:fldChar w:fldCharType="separate"/>
                </w:r>
                <w:r w:rsidR="00EB16F6">
                  <w:rPr>
                    <w:noProof/>
                    <w:webHidden/>
                  </w:rPr>
                  <w:t>12</w:t>
                </w:r>
                <w:r w:rsidR="00EB16F6">
                  <w:rPr>
                    <w:noProof/>
                    <w:webHidden/>
                  </w:rPr>
                  <w:fldChar w:fldCharType="end"/>
                </w:r>
              </w:hyperlink>
            </w:p>
            <w:p w14:paraId="0F4985AF" w14:textId="3ABB80D7" w:rsidR="00EB16F6" w:rsidRDefault="00F9620D">
              <w:pPr>
                <w:pStyle w:val="TOC2"/>
                <w:tabs>
                  <w:tab w:val="right" w:leader="dot" w:pos="9958"/>
                </w:tabs>
                <w:rPr>
                  <w:rFonts w:asciiTheme="minorHAnsi" w:eastAsiaTheme="minorEastAsia" w:hAnsiTheme="minorHAnsi"/>
                  <w:noProof/>
                  <w:color w:val="auto"/>
                  <w:sz w:val="22"/>
                  <w:szCs w:val="22"/>
                  <w:lang w:eastAsia="en-AU"/>
                </w:rPr>
              </w:pPr>
              <w:hyperlink w:anchor="_Toc89671625" w:history="1">
                <w:r w:rsidR="00EB16F6" w:rsidRPr="00B90151">
                  <w:rPr>
                    <w:rStyle w:val="Hyperlink"/>
                    <w:noProof/>
                  </w:rPr>
                  <w:t>Forecast methodology</w:t>
                </w:r>
                <w:r w:rsidR="00EB16F6">
                  <w:rPr>
                    <w:noProof/>
                    <w:webHidden/>
                  </w:rPr>
                  <w:tab/>
                </w:r>
                <w:r w:rsidR="00EB16F6">
                  <w:rPr>
                    <w:noProof/>
                    <w:webHidden/>
                  </w:rPr>
                  <w:fldChar w:fldCharType="begin"/>
                </w:r>
                <w:r w:rsidR="00EB16F6">
                  <w:rPr>
                    <w:noProof/>
                    <w:webHidden/>
                  </w:rPr>
                  <w:instrText xml:space="preserve"> PAGEREF _Toc89671625 \h </w:instrText>
                </w:r>
                <w:r w:rsidR="00EB16F6">
                  <w:rPr>
                    <w:noProof/>
                    <w:webHidden/>
                  </w:rPr>
                </w:r>
                <w:r w:rsidR="00EB16F6">
                  <w:rPr>
                    <w:noProof/>
                    <w:webHidden/>
                  </w:rPr>
                  <w:fldChar w:fldCharType="separate"/>
                </w:r>
                <w:r w:rsidR="00EB16F6">
                  <w:rPr>
                    <w:noProof/>
                    <w:webHidden/>
                  </w:rPr>
                  <w:t>13</w:t>
                </w:r>
                <w:r w:rsidR="00EB16F6">
                  <w:rPr>
                    <w:noProof/>
                    <w:webHidden/>
                  </w:rPr>
                  <w:fldChar w:fldCharType="end"/>
                </w:r>
              </w:hyperlink>
            </w:p>
            <w:p w14:paraId="129A3211" w14:textId="0FB46E50" w:rsidR="00EB16F6" w:rsidRDefault="00F9620D">
              <w:pPr>
                <w:pStyle w:val="TOC2"/>
                <w:tabs>
                  <w:tab w:val="right" w:leader="dot" w:pos="9958"/>
                </w:tabs>
                <w:rPr>
                  <w:rFonts w:asciiTheme="minorHAnsi" w:eastAsiaTheme="minorEastAsia" w:hAnsiTheme="minorHAnsi"/>
                  <w:noProof/>
                  <w:color w:val="auto"/>
                  <w:sz w:val="22"/>
                  <w:szCs w:val="22"/>
                  <w:lang w:eastAsia="en-AU"/>
                </w:rPr>
              </w:pPr>
              <w:hyperlink w:anchor="_Toc89671626" w:history="1">
                <w:r w:rsidR="00EB16F6" w:rsidRPr="00B90151">
                  <w:rPr>
                    <w:rStyle w:val="Hyperlink"/>
                    <w:noProof/>
                  </w:rPr>
                  <w:t>Data sources and references</w:t>
                </w:r>
                <w:r w:rsidR="00EB16F6">
                  <w:rPr>
                    <w:noProof/>
                    <w:webHidden/>
                  </w:rPr>
                  <w:tab/>
                </w:r>
                <w:r w:rsidR="00EB16F6">
                  <w:rPr>
                    <w:noProof/>
                    <w:webHidden/>
                  </w:rPr>
                  <w:fldChar w:fldCharType="begin"/>
                </w:r>
                <w:r w:rsidR="00EB16F6">
                  <w:rPr>
                    <w:noProof/>
                    <w:webHidden/>
                  </w:rPr>
                  <w:instrText xml:space="preserve"> PAGEREF _Toc89671626 \h </w:instrText>
                </w:r>
                <w:r w:rsidR="00EB16F6">
                  <w:rPr>
                    <w:noProof/>
                    <w:webHidden/>
                  </w:rPr>
                </w:r>
                <w:r w:rsidR="00EB16F6">
                  <w:rPr>
                    <w:noProof/>
                    <w:webHidden/>
                  </w:rPr>
                  <w:fldChar w:fldCharType="separate"/>
                </w:r>
                <w:r w:rsidR="00EB16F6">
                  <w:rPr>
                    <w:noProof/>
                    <w:webHidden/>
                  </w:rPr>
                  <w:t>16</w:t>
                </w:r>
                <w:r w:rsidR="00EB16F6">
                  <w:rPr>
                    <w:noProof/>
                    <w:webHidden/>
                  </w:rPr>
                  <w:fldChar w:fldCharType="end"/>
                </w:r>
              </w:hyperlink>
            </w:p>
            <w:p w14:paraId="407F5F16" w14:textId="4D7513E8" w:rsidR="00EB16F6" w:rsidRDefault="00F9620D">
              <w:pPr>
                <w:pStyle w:val="TOC2"/>
                <w:tabs>
                  <w:tab w:val="right" w:leader="dot" w:pos="9958"/>
                </w:tabs>
                <w:rPr>
                  <w:rFonts w:asciiTheme="minorHAnsi" w:eastAsiaTheme="minorEastAsia" w:hAnsiTheme="minorHAnsi"/>
                  <w:noProof/>
                  <w:color w:val="auto"/>
                  <w:sz w:val="22"/>
                  <w:szCs w:val="22"/>
                  <w:lang w:eastAsia="en-AU"/>
                </w:rPr>
              </w:pPr>
              <w:hyperlink w:anchor="_Toc89671627" w:history="1">
                <w:r w:rsidR="00EB16F6" w:rsidRPr="00B90151">
                  <w:rPr>
                    <w:rStyle w:val="Hyperlink"/>
                    <w:noProof/>
                  </w:rPr>
                  <w:t>Appendix A – State and territory graphs</w:t>
                </w:r>
                <w:r w:rsidR="00EB16F6">
                  <w:rPr>
                    <w:noProof/>
                    <w:webHidden/>
                  </w:rPr>
                  <w:tab/>
                </w:r>
                <w:r w:rsidR="00EB16F6">
                  <w:rPr>
                    <w:noProof/>
                    <w:webHidden/>
                  </w:rPr>
                  <w:fldChar w:fldCharType="begin"/>
                </w:r>
                <w:r w:rsidR="00EB16F6">
                  <w:rPr>
                    <w:noProof/>
                    <w:webHidden/>
                  </w:rPr>
                  <w:instrText xml:space="preserve"> PAGEREF _Toc89671627 \h </w:instrText>
                </w:r>
                <w:r w:rsidR="00EB16F6">
                  <w:rPr>
                    <w:noProof/>
                    <w:webHidden/>
                  </w:rPr>
                </w:r>
                <w:r w:rsidR="00EB16F6">
                  <w:rPr>
                    <w:noProof/>
                    <w:webHidden/>
                  </w:rPr>
                  <w:fldChar w:fldCharType="separate"/>
                </w:r>
                <w:r w:rsidR="00EB16F6">
                  <w:rPr>
                    <w:noProof/>
                    <w:webHidden/>
                  </w:rPr>
                  <w:t>17</w:t>
                </w:r>
                <w:r w:rsidR="00EB16F6">
                  <w:rPr>
                    <w:noProof/>
                    <w:webHidden/>
                  </w:rPr>
                  <w:fldChar w:fldCharType="end"/>
                </w:r>
              </w:hyperlink>
            </w:p>
            <w:p w14:paraId="11718785" w14:textId="202A15DD" w:rsidR="00E81AAF" w:rsidRPr="00B806AA" w:rsidRDefault="00E81AAF" w:rsidP="00B806AA">
              <w:pPr>
                <w:pStyle w:val="TOC2"/>
                <w:tabs>
                  <w:tab w:val="right" w:leader="dot" w:pos="9958"/>
                </w:tabs>
                <w:rPr>
                  <w:rFonts w:asciiTheme="minorHAnsi" w:eastAsiaTheme="minorEastAsia" w:hAnsiTheme="minorHAnsi"/>
                  <w:noProof/>
                  <w:color w:val="auto"/>
                  <w:sz w:val="22"/>
                  <w:szCs w:val="22"/>
                  <w:lang w:eastAsia="en-AU"/>
                </w:rPr>
              </w:pPr>
              <w:r>
                <w:rPr>
                  <w:b/>
                  <w:bCs/>
                  <w:noProof/>
                </w:rPr>
                <w:fldChar w:fldCharType="end"/>
              </w:r>
            </w:p>
          </w:sdtContent>
        </w:sdt>
        <w:p w14:paraId="6750B1B7" w14:textId="77777777" w:rsidR="00A87669" w:rsidRDefault="00A87669">
          <w:pPr>
            <w:spacing w:before="0" w:after="160" w:line="259" w:lineRule="auto"/>
            <w:rPr>
              <w:b/>
              <w:bCs/>
            </w:rPr>
          </w:pPr>
        </w:p>
        <w:p w14:paraId="336E5F3B" w14:textId="77777777" w:rsidR="00A87669" w:rsidRDefault="00A87669">
          <w:pPr>
            <w:spacing w:before="0" w:after="160" w:line="259" w:lineRule="auto"/>
            <w:rPr>
              <w:b/>
              <w:bCs/>
            </w:rPr>
          </w:pPr>
          <w:r>
            <w:rPr>
              <w:b/>
              <w:bCs/>
            </w:rPr>
            <w:br w:type="page"/>
          </w:r>
        </w:p>
        <w:p w14:paraId="2742CE56" w14:textId="77777777" w:rsidR="00707133" w:rsidRDefault="00F9620D" w:rsidP="00707133">
          <w:pPr>
            <w:spacing w:before="0" w:after="160" w:line="259" w:lineRule="auto"/>
          </w:pPr>
        </w:p>
      </w:sdtContent>
    </w:sdt>
    <w:p w14:paraId="79FCE5DB" w14:textId="31410AA9" w:rsidR="00321E47" w:rsidRPr="00AA50DF" w:rsidRDefault="0082277D" w:rsidP="00707133">
      <w:pPr>
        <w:pStyle w:val="Heading2"/>
        <w:rPr>
          <w:color w:val="7A4282" w:themeColor="accent1"/>
          <w:sz w:val="32"/>
          <w:szCs w:val="28"/>
        </w:rPr>
      </w:pPr>
      <w:bookmarkStart w:id="15" w:name="_Toc89671614"/>
      <w:r w:rsidRPr="00AA50DF">
        <w:rPr>
          <w:color w:val="7A4282" w:themeColor="accent1"/>
          <w:sz w:val="32"/>
          <w:szCs w:val="28"/>
        </w:rPr>
        <w:t>Overview</w:t>
      </w:r>
      <w:bookmarkEnd w:id="15"/>
    </w:p>
    <w:p w14:paraId="70759C22" w14:textId="77777777" w:rsidR="00D74346" w:rsidRDefault="00497DDC" w:rsidP="00497DDC">
      <w:r>
        <w:t>The COVID-19 pandemic has had a devastating effect on Australia’s visitor economy. Overall, tourism losses since the start of the pandemic (March 2020 to June 2021) have totalled $101.7 billion.</w:t>
      </w:r>
      <w:r>
        <w:rPr>
          <w:rStyle w:val="FootnoteReference"/>
        </w:rPr>
        <w:footnoteReference w:id="1"/>
      </w:r>
      <w:r>
        <w:t xml:space="preserve"> </w:t>
      </w:r>
    </w:p>
    <w:p w14:paraId="20C33BA2" w14:textId="2C47A4A5" w:rsidR="00D74346" w:rsidRDefault="00497DDC" w:rsidP="00497DDC">
      <w:r>
        <w:t>I</w:t>
      </w:r>
      <w:r w:rsidRPr="002B7C0F">
        <w:t>n</w:t>
      </w:r>
      <w:r>
        <w:t>ternational</w:t>
      </w:r>
      <w:r w:rsidRPr="002B7C0F">
        <w:t xml:space="preserve"> travel </w:t>
      </w:r>
      <w:r>
        <w:t xml:space="preserve">has remained at record lows </w:t>
      </w:r>
      <w:r w:rsidRPr="002B7C0F">
        <w:t>since March 2020</w:t>
      </w:r>
      <w:r w:rsidR="008A6394">
        <w:t>.</w:t>
      </w:r>
      <w:r w:rsidRPr="002B7C0F">
        <w:t xml:space="preserve"> </w:t>
      </w:r>
      <w:r w:rsidR="008A6394">
        <w:t>A</w:t>
      </w:r>
      <w:r w:rsidR="00D74346">
        <w:t xml:space="preserve">ny recovery in international tourism remains dependent on </w:t>
      </w:r>
      <w:r w:rsidR="00590AA4">
        <w:t xml:space="preserve">the </w:t>
      </w:r>
      <w:r w:rsidR="008A6394">
        <w:t xml:space="preserve">further opening up of </w:t>
      </w:r>
      <w:r w:rsidR="00D74346">
        <w:t>Australia’s international border and changes to restrictions on international travel</w:t>
      </w:r>
      <w:r w:rsidR="008A6394">
        <w:t xml:space="preserve"> in source markets</w:t>
      </w:r>
      <w:r w:rsidR="00D74346">
        <w:t>.</w:t>
      </w:r>
      <w:r w:rsidRPr="002B7C0F">
        <w:t xml:space="preserve"> </w:t>
      </w:r>
    </w:p>
    <w:p w14:paraId="66740C75" w14:textId="2E61D462" w:rsidR="00497DDC" w:rsidRDefault="00497DDC" w:rsidP="00497DDC">
      <w:r>
        <w:t xml:space="preserve">Domestic tourism, which accounts for </w:t>
      </w:r>
      <w:r w:rsidR="008A6394">
        <w:t xml:space="preserve">a large majority </w:t>
      </w:r>
      <w:r>
        <w:t>of the total visitor economy, has also been severely affected by the pandemic.</w:t>
      </w:r>
      <w:r w:rsidR="008A6394">
        <w:rPr>
          <w:rStyle w:val="FootnoteReference"/>
        </w:rPr>
        <w:footnoteReference w:id="2"/>
      </w:r>
      <w:r>
        <w:t xml:space="preserve"> However, the recovery is already underway in th</w:t>
      </w:r>
      <w:r w:rsidR="00D74346">
        <w:t>e domestic</w:t>
      </w:r>
      <w:r>
        <w:t xml:space="preserve"> sector and is expected to continue in 2022. </w:t>
      </w:r>
    </w:p>
    <w:p w14:paraId="7A1D7084" w14:textId="031260CE" w:rsidR="00897C41" w:rsidRDefault="00897C41" w:rsidP="00497DDC">
      <w:r>
        <w:t xml:space="preserve">This report documents how the </w:t>
      </w:r>
      <w:r w:rsidRPr="00897C41">
        <w:rPr>
          <w:b/>
          <w:bCs/>
        </w:rPr>
        <w:t>domestic</w:t>
      </w:r>
      <w:r>
        <w:t xml:space="preserve"> tourism industry is expected to recover from the pandemic-induced downturn.</w:t>
      </w:r>
      <w:r w:rsidRPr="004628A1">
        <w:rPr>
          <w:rFonts w:ascii="Arial" w:hAnsi="Arial" w:cs="Arial"/>
          <w:color w:val="000000"/>
        </w:rPr>
        <w:t xml:space="preserve"> </w:t>
      </w:r>
      <w:r>
        <w:t>Forecasts</w:t>
      </w:r>
      <w:r w:rsidRPr="00A55A64">
        <w:t xml:space="preserve"> are made over a five-year future timeframe and are provided for individual states and territories as well as nationally.</w:t>
      </w:r>
    </w:p>
    <w:p w14:paraId="41D96550" w14:textId="57B2A83E" w:rsidR="009E22A4" w:rsidRPr="00AA50DF" w:rsidRDefault="009E22A4" w:rsidP="00A87669">
      <w:pPr>
        <w:pStyle w:val="Heading3"/>
        <w:rPr>
          <w:sz w:val="28"/>
          <w:szCs w:val="28"/>
        </w:rPr>
      </w:pPr>
      <w:bookmarkStart w:id="16" w:name="_Toc89671615"/>
      <w:r w:rsidRPr="00AA50DF">
        <w:rPr>
          <w:sz w:val="28"/>
          <w:szCs w:val="28"/>
        </w:rPr>
        <w:t>Comment</w:t>
      </w:r>
      <w:r w:rsidR="00597668" w:rsidRPr="00AA50DF">
        <w:rPr>
          <w:sz w:val="28"/>
          <w:szCs w:val="28"/>
        </w:rPr>
        <w:t>s</w:t>
      </w:r>
      <w:r w:rsidRPr="00AA50DF">
        <w:rPr>
          <w:sz w:val="28"/>
          <w:szCs w:val="28"/>
        </w:rPr>
        <w:t xml:space="preserve"> on methodology</w:t>
      </w:r>
      <w:bookmarkEnd w:id="16"/>
    </w:p>
    <w:p w14:paraId="6C401E54" w14:textId="40E288BB" w:rsidR="009E22A4" w:rsidRDefault="009E22A4" w:rsidP="009E22A4">
      <w:pPr>
        <w:rPr>
          <w:rFonts w:cstheme="minorHAnsi"/>
        </w:rPr>
      </w:pPr>
      <w:r>
        <w:rPr>
          <w:rFonts w:cstheme="minorHAnsi"/>
        </w:rPr>
        <w:t>T</w:t>
      </w:r>
      <w:r>
        <w:rPr>
          <w:rFonts w:cstheme="minorHAnsi"/>
          <w:bCs/>
        </w:rPr>
        <w:t xml:space="preserve">he forecasts in this report combine evidence-based models with </w:t>
      </w:r>
      <w:r w:rsidRPr="009F1207">
        <w:rPr>
          <w:rFonts w:cstheme="minorHAnsi"/>
          <w:bCs/>
        </w:rPr>
        <w:t>market intelligence</w:t>
      </w:r>
      <w:r>
        <w:rPr>
          <w:rFonts w:cstheme="minorHAnsi"/>
          <w:bCs/>
        </w:rPr>
        <w:t xml:space="preserve">, relevant research, and the best available data. This was also the case in previous years. However, this year’s </w:t>
      </w:r>
      <w:r>
        <w:rPr>
          <w:rFonts w:cstheme="minorHAnsi"/>
        </w:rPr>
        <w:t>approach for short-term forecasts incorporates additional judgments, g</w:t>
      </w:r>
      <w:r>
        <w:rPr>
          <w:rFonts w:cstheme="minorHAnsi"/>
          <w:bCs/>
        </w:rPr>
        <w:t>iven the importance of factors such as policies on state border controls</w:t>
      </w:r>
      <w:r>
        <w:rPr>
          <w:rFonts w:cstheme="minorHAnsi"/>
        </w:rPr>
        <w:t xml:space="preserve">. These judgments are based on public policy announcements, likely behavioural responses to travel, </w:t>
      </w:r>
      <w:r w:rsidRPr="009F1207">
        <w:rPr>
          <w:rFonts w:cstheme="minorHAnsi"/>
        </w:rPr>
        <w:t xml:space="preserve">and </w:t>
      </w:r>
      <w:r>
        <w:rPr>
          <w:rFonts w:cstheme="minorHAnsi"/>
        </w:rPr>
        <w:t xml:space="preserve">factors such as aviation capacity and </w:t>
      </w:r>
      <w:r w:rsidRPr="009F1207">
        <w:rPr>
          <w:rFonts w:cstheme="minorHAnsi"/>
        </w:rPr>
        <w:t>the accommodation outlook</w:t>
      </w:r>
      <w:r>
        <w:rPr>
          <w:rFonts w:cstheme="minorHAnsi"/>
        </w:rPr>
        <w:t xml:space="preserve">. </w:t>
      </w:r>
    </w:p>
    <w:p w14:paraId="72D87EAA" w14:textId="71EFFFEB" w:rsidR="009E22A4" w:rsidRDefault="009E22A4" w:rsidP="009E22A4">
      <w:pPr>
        <w:rPr>
          <w:rFonts w:cstheme="minorHAnsi"/>
        </w:rPr>
      </w:pPr>
      <w:r>
        <w:rPr>
          <w:rFonts w:cstheme="minorHAnsi"/>
        </w:rPr>
        <w:t>Insights from TRA’s Tourism Forecasting Reference Panel are also very important. This panel has supported TRA over many years and is made up of industry and government experts. Steps in the forecasting process and the adjustments made to our approach this year are detailed in the</w:t>
      </w:r>
      <w:r w:rsidRPr="00912BA9">
        <w:rPr>
          <w:rFonts w:cstheme="minorHAnsi"/>
        </w:rPr>
        <w:t xml:space="preserve"> </w:t>
      </w:r>
      <w:r w:rsidR="00484156">
        <w:rPr>
          <w:rFonts w:cstheme="minorHAnsi"/>
        </w:rPr>
        <w:fldChar w:fldCharType="begin"/>
      </w:r>
      <w:r w:rsidR="00484156">
        <w:rPr>
          <w:rFonts w:cstheme="minorHAnsi"/>
        </w:rPr>
        <w:instrText xml:space="preserve"> REF _Ref89267917 \h </w:instrText>
      </w:r>
      <w:r w:rsidR="00484156">
        <w:rPr>
          <w:rFonts w:cstheme="minorHAnsi"/>
        </w:rPr>
      </w:r>
      <w:r w:rsidR="00484156">
        <w:rPr>
          <w:rFonts w:cstheme="minorHAnsi"/>
        </w:rPr>
        <w:fldChar w:fldCharType="separate"/>
      </w:r>
      <w:r w:rsidR="00484156">
        <w:t>Forecast methodology</w:t>
      </w:r>
      <w:r w:rsidR="00484156">
        <w:rPr>
          <w:rFonts w:cstheme="minorHAnsi"/>
        </w:rPr>
        <w:fldChar w:fldCharType="end"/>
      </w:r>
      <w:r w:rsidR="00484156">
        <w:rPr>
          <w:rFonts w:cstheme="minorHAnsi"/>
        </w:rPr>
        <w:t xml:space="preserve"> </w:t>
      </w:r>
      <w:r>
        <w:rPr>
          <w:rFonts w:cstheme="minorHAnsi"/>
        </w:rPr>
        <w:t>s</w:t>
      </w:r>
      <w:r w:rsidRPr="009F1207">
        <w:rPr>
          <w:rFonts w:cstheme="minorHAnsi"/>
        </w:rPr>
        <w:t>ection</w:t>
      </w:r>
      <w:r>
        <w:rPr>
          <w:rFonts w:cstheme="minorHAnsi"/>
        </w:rPr>
        <w:t xml:space="preserve"> of this report</w:t>
      </w:r>
      <w:r w:rsidRPr="009F1207">
        <w:rPr>
          <w:rFonts w:cstheme="minorHAnsi"/>
        </w:rPr>
        <w:t xml:space="preserve">. </w:t>
      </w:r>
    </w:p>
    <w:p w14:paraId="3EF3CD32" w14:textId="77777777" w:rsidR="00590AA4" w:rsidRDefault="009E22A4" w:rsidP="009E22A4">
      <w:pPr>
        <w:rPr>
          <w:rFonts w:cstheme="minorHAnsi"/>
        </w:rPr>
      </w:pPr>
      <w:r>
        <w:rPr>
          <w:rFonts w:cstheme="minorHAnsi"/>
        </w:rPr>
        <w:t>There are no f</w:t>
      </w:r>
      <w:r w:rsidRPr="009F1207">
        <w:rPr>
          <w:rFonts w:cstheme="minorHAnsi"/>
        </w:rPr>
        <w:t xml:space="preserve">orecasts for international tourism </w:t>
      </w:r>
      <w:r>
        <w:rPr>
          <w:rFonts w:cstheme="minorHAnsi"/>
        </w:rPr>
        <w:t xml:space="preserve">in this report as </w:t>
      </w:r>
      <w:r w:rsidRPr="009F1207">
        <w:rPr>
          <w:rFonts w:cstheme="minorHAnsi"/>
        </w:rPr>
        <w:t xml:space="preserve">the outlook for international tourism </w:t>
      </w:r>
      <w:r>
        <w:rPr>
          <w:rFonts w:cstheme="minorHAnsi"/>
        </w:rPr>
        <w:t>remains highly uncertain and is reliant</w:t>
      </w:r>
      <w:r w:rsidRPr="009F1207">
        <w:rPr>
          <w:rFonts w:cstheme="minorHAnsi"/>
        </w:rPr>
        <w:t xml:space="preserve"> on</w:t>
      </w:r>
      <w:r>
        <w:rPr>
          <w:rFonts w:cstheme="minorHAnsi"/>
        </w:rPr>
        <w:t xml:space="preserve"> government decisions </w:t>
      </w:r>
      <w:r w:rsidR="00590AA4">
        <w:rPr>
          <w:rFonts w:cstheme="minorHAnsi"/>
        </w:rPr>
        <w:t xml:space="preserve">both in Australia and abroad </w:t>
      </w:r>
      <w:r>
        <w:rPr>
          <w:rFonts w:cstheme="minorHAnsi"/>
        </w:rPr>
        <w:t>regarding</w:t>
      </w:r>
      <w:r w:rsidRPr="009F1207">
        <w:rPr>
          <w:rFonts w:cstheme="minorHAnsi"/>
        </w:rPr>
        <w:t xml:space="preserve"> </w:t>
      </w:r>
      <w:r>
        <w:rPr>
          <w:rFonts w:cstheme="minorHAnsi"/>
        </w:rPr>
        <w:t>i</w:t>
      </w:r>
      <w:r w:rsidRPr="009F1207">
        <w:rPr>
          <w:rFonts w:cstheme="minorHAnsi"/>
        </w:rPr>
        <w:t>nternational border policies</w:t>
      </w:r>
      <w:r>
        <w:rPr>
          <w:rFonts w:cstheme="minorHAnsi"/>
        </w:rPr>
        <w:t>.</w:t>
      </w:r>
      <w:r w:rsidR="006A5C9A">
        <w:rPr>
          <w:rFonts w:cstheme="minorHAnsi"/>
        </w:rPr>
        <w:t xml:space="preserve"> TRA intends to resume production of annual international tourism forecasts (and its detailed components) next year. </w:t>
      </w:r>
    </w:p>
    <w:p w14:paraId="0BF8AA8C" w14:textId="2694D0F3" w:rsidR="00165B56" w:rsidRPr="009E22A4" w:rsidRDefault="007870B1" w:rsidP="009E22A4">
      <w:pPr>
        <w:rPr>
          <w:rFonts w:cstheme="minorHAnsi"/>
        </w:rPr>
      </w:pPr>
      <w:r>
        <w:rPr>
          <w:rFonts w:cstheme="minorHAnsi"/>
        </w:rPr>
        <w:lastRenderedPageBreak/>
        <w:t>R</w:t>
      </w:r>
      <w:r w:rsidR="00165B56">
        <w:rPr>
          <w:rFonts w:cstheme="minorHAnsi"/>
        </w:rPr>
        <w:t>eporting is on a financial year basis unless otherwise specified.</w:t>
      </w:r>
      <w:r w:rsidR="00165B56">
        <w:rPr>
          <w:rStyle w:val="FootnoteReference"/>
          <w:rFonts w:cstheme="minorHAnsi"/>
        </w:rPr>
        <w:footnoteReference w:id="3"/>
      </w:r>
      <w:r w:rsidR="00165B56">
        <w:rPr>
          <w:rFonts w:cstheme="minorHAnsi"/>
        </w:rPr>
        <w:t xml:space="preserve"> To assist users, forecast data are available to download on both a financial year and calendar year basis. </w:t>
      </w:r>
      <w:r w:rsidR="00B6286D">
        <w:rPr>
          <w:rFonts w:cstheme="minorHAnsi"/>
        </w:rPr>
        <w:t xml:space="preserve">Data can be found in the spreadsheets that accompany this report on the </w:t>
      </w:r>
      <w:hyperlink r:id="rId19" w:history="1">
        <w:r w:rsidR="00B6286D" w:rsidRPr="00B6286D">
          <w:rPr>
            <w:rStyle w:val="Hyperlink"/>
            <w:rFonts w:cstheme="minorHAnsi"/>
          </w:rPr>
          <w:t>TRA website</w:t>
        </w:r>
      </w:hyperlink>
      <w:r w:rsidR="00B6286D">
        <w:rPr>
          <w:rFonts w:cstheme="minorHAnsi"/>
        </w:rPr>
        <w:t>.</w:t>
      </w:r>
    </w:p>
    <w:p w14:paraId="0732A79F" w14:textId="4BC3EBD2" w:rsidR="00A87669" w:rsidRPr="00AA50DF" w:rsidRDefault="002A3C60" w:rsidP="00A87669">
      <w:pPr>
        <w:pStyle w:val="Heading3"/>
        <w:rPr>
          <w:sz w:val="28"/>
          <w:szCs w:val="28"/>
        </w:rPr>
      </w:pPr>
      <w:bookmarkStart w:id="17" w:name="_Toc89671616"/>
      <w:r w:rsidRPr="00AA50DF">
        <w:rPr>
          <w:sz w:val="28"/>
          <w:szCs w:val="28"/>
        </w:rPr>
        <w:t>Summary</w:t>
      </w:r>
      <w:r w:rsidR="00EB16F6" w:rsidRPr="00AA50DF">
        <w:rPr>
          <w:sz w:val="28"/>
          <w:szCs w:val="28"/>
        </w:rPr>
        <w:t xml:space="preserve"> of findings</w:t>
      </w:r>
      <w:bookmarkEnd w:id="17"/>
    </w:p>
    <w:p w14:paraId="24EB587A" w14:textId="71FD0678" w:rsidR="00BB04FA" w:rsidRDefault="00C61007" w:rsidP="00497DDC">
      <w:r>
        <w:t>D</w:t>
      </w:r>
      <w:r w:rsidR="009E22A4">
        <w:t xml:space="preserve">omestic </w:t>
      </w:r>
      <w:r w:rsidR="00BB04FA">
        <w:t>visitor nights declined sharply in early 2020 as a result of the nationwide</w:t>
      </w:r>
      <w:r w:rsidR="00BB04FA" w:rsidRPr="00BB04FA">
        <w:t xml:space="preserve"> </w:t>
      </w:r>
      <w:r w:rsidR="00BB04FA">
        <w:t xml:space="preserve">pandemic-induced lockdown (Figure 1). As those restrictions eased, domestic tourism </w:t>
      </w:r>
      <w:r>
        <w:t>demand started returning to 2019 levels</w:t>
      </w:r>
      <w:r w:rsidR="00597668">
        <w:t xml:space="preserve"> (pre-pandemic level)</w:t>
      </w:r>
      <w:r w:rsidR="00BB04FA">
        <w:t>.</w:t>
      </w:r>
      <w:r>
        <w:t xml:space="preserve"> </w:t>
      </w:r>
      <w:r w:rsidR="00466C42">
        <w:t>D</w:t>
      </w:r>
      <w:r w:rsidR="00204D92">
        <w:t>omestic visitor nights</w:t>
      </w:r>
      <w:r w:rsidR="00204D92" w:rsidRPr="0016291E">
        <w:t xml:space="preserve"> </w:t>
      </w:r>
      <w:r w:rsidR="00204D92">
        <w:t>i</w:t>
      </w:r>
      <w:r w:rsidR="00CB0E53">
        <w:t>n</w:t>
      </w:r>
      <w:r w:rsidR="00466C42">
        <w:t xml:space="preserve"> </w:t>
      </w:r>
      <w:r w:rsidR="009E22A4">
        <w:t>January to April</w:t>
      </w:r>
      <w:r w:rsidR="00204D92">
        <w:t xml:space="preserve"> </w:t>
      </w:r>
      <w:r w:rsidR="00CB0E53">
        <w:t>of 2021</w:t>
      </w:r>
      <w:r w:rsidR="00204D92">
        <w:t xml:space="preserve"> were </w:t>
      </w:r>
      <w:r w:rsidR="00BB04FA">
        <w:t xml:space="preserve">only 6 per cent down on the first four months of 2019, and </w:t>
      </w:r>
      <w:r w:rsidR="00466C42">
        <w:t>35 per cent</w:t>
      </w:r>
      <w:r w:rsidR="00204D92">
        <w:t xml:space="preserve"> above the same period in 2020</w:t>
      </w:r>
      <w:r w:rsidR="00CB0E53">
        <w:t>.</w:t>
      </w:r>
      <w:r w:rsidR="009E22A4">
        <w:t xml:space="preserve"> </w:t>
      </w:r>
    </w:p>
    <w:p w14:paraId="2E06E5FD" w14:textId="3385912C" w:rsidR="000D4180" w:rsidRDefault="000D4180" w:rsidP="000D4180">
      <w:pPr>
        <w:pStyle w:val="Caption"/>
        <w:keepNext/>
        <w:spacing w:before="200"/>
      </w:pPr>
      <w:r w:rsidRPr="000D4180">
        <w:rPr>
          <w:sz w:val="20"/>
          <w:szCs w:val="20"/>
        </w:rPr>
        <w:t xml:space="preserve">Figure </w:t>
      </w:r>
      <w:r w:rsidR="00E81AAF">
        <w:rPr>
          <w:sz w:val="20"/>
          <w:szCs w:val="20"/>
        </w:rPr>
        <w:fldChar w:fldCharType="begin"/>
      </w:r>
      <w:r w:rsidR="00E81AAF">
        <w:rPr>
          <w:sz w:val="20"/>
          <w:szCs w:val="20"/>
        </w:rPr>
        <w:instrText xml:space="preserve"> SEQ Figure \* ARABIC </w:instrText>
      </w:r>
      <w:r w:rsidR="00E81AAF">
        <w:rPr>
          <w:sz w:val="20"/>
          <w:szCs w:val="20"/>
        </w:rPr>
        <w:fldChar w:fldCharType="separate"/>
      </w:r>
      <w:r w:rsidR="00821B7A">
        <w:rPr>
          <w:noProof/>
          <w:sz w:val="20"/>
          <w:szCs w:val="20"/>
        </w:rPr>
        <w:t>1</w:t>
      </w:r>
      <w:r w:rsidR="00E81AAF">
        <w:rPr>
          <w:sz w:val="20"/>
          <w:szCs w:val="20"/>
        </w:rPr>
        <w:fldChar w:fldCharType="end"/>
      </w:r>
      <w:r w:rsidRPr="000D4180">
        <w:rPr>
          <w:sz w:val="20"/>
          <w:szCs w:val="20"/>
        </w:rPr>
        <w:t xml:space="preserve"> - Recent</w:t>
      </w:r>
      <w:r w:rsidRPr="001D5121">
        <w:rPr>
          <w:sz w:val="20"/>
          <w:szCs w:val="20"/>
        </w:rPr>
        <w:t xml:space="preserve"> performance of domestic tourism</w:t>
      </w:r>
      <w:r w:rsidR="00BE3600">
        <w:rPr>
          <w:sz w:val="20"/>
          <w:szCs w:val="20"/>
        </w:rPr>
        <w:t>: visitor nights</w:t>
      </w:r>
    </w:p>
    <w:p w14:paraId="3CF749D6" w14:textId="140D95C0" w:rsidR="00CB0E53" w:rsidRDefault="00BE3600" w:rsidP="004767E6">
      <w:pPr>
        <w:pStyle w:val="Quote"/>
      </w:pPr>
      <w:r>
        <w:rPr>
          <w:noProof/>
        </w:rPr>
        <w:drawing>
          <wp:inline distT="0" distB="0" distL="0" distR="0" wp14:anchorId="6836A8D6" wp14:editId="7D0053DA">
            <wp:extent cx="6381750" cy="3609975"/>
            <wp:effectExtent l="0" t="0" r="0" b="0"/>
            <wp:docPr id="1" name="Chart 1" descr="This chart shows the number of domestic visitor nights in each month between January 2019 and September 2021. &#10;It also shows the average number of nights in 2019 was 34.8 million visitor nights.&#10;">
              <a:extLst xmlns:a="http://schemas.openxmlformats.org/drawingml/2006/main">
                <a:ext uri="{FF2B5EF4-FFF2-40B4-BE49-F238E27FC236}">
                  <a16:creationId xmlns:a16="http://schemas.microsoft.com/office/drawing/2014/main" id="{288A87E7-51CD-4519-9F15-C96DA362C8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1AF3671" w14:textId="05E10DC9" w:rsidR="00597668" w:rsidRDefault="00597668" w:rsidP="00597668">
      <w:r>
        <w:t xml:space="preserve">Domestic visitor nights declined again in mid-2021 as several states experienced </w:t>
      </w:r>
      <w:r w:rsidR="00590AA4">
        <w:t xml:space="preserve">widespread </w:t>
      </w:r>
      <w:r>
        <w:t xml:space="preserve">lockdowns in response to Delta variant outbreaks. Domestic tourism is forecast to rebound at a similarly rapid pace from these lockdowns. Domestic visitation is forecast to return to around its pre-pandemic level in 2022-23, then surpass that previous peak in 2023-24. </w:t>
      </w:r>
    </w:p>
    <w:p w14:paraId="3ADDA4C1" w14:textId="77777777" w:rsidR="00597668" w:rsidRDefault="00597668" w:rsidP="00597668">
      <w:r>
        <w:t>Factors supporting domestic growth over this period include:</w:t>
      </w:r>
    </w:p>
    <w:p w14:paraId="640647D1" w14:textId="1C70EC9D" w:rsidR="00597668" w:rsidRDefault="00597668" w:rsidP="00597668">
      <w:pPr>
        <w:pStyle w:val="ListParagraph"/>
        <w:numPr>
          <w:ilvl w:val="0"/>
          <w:numId w:val="8"/>
        </w:numPr>
      </w:pPr>
      <w:r>
        <w:t xml:space="preserve">the reopening of state borders </w:t>
      </w:r>
    </w:p>
    <w:p w14:paraId="5FFE169C" w14:textId="33320978" w:rsidR="00597668" w:rsidRDefault="00597668" w:rsidP="00597668">
      <w:pPr>
        <w:pStyle w:val="ListParagraph"/>
        <w:numPr>
          <w:ilvl w:val="0"/>
          <w:numId w:val="8"/>
        </w:numPr>
      </w:pPr>
      <w:r>
        <w:t xml:space="preserve">declining risk of lockdowns </w:t>
      </w:r>
    </w:p>
    <w:p w14:paraId="31B637EA" w14:textId="21A2108B" w:rsidR="00597668" w:rsidRDefault="00597668" w:rsidP="00597668">
      <w:pPr>
        <w:pStyle w:val="ListParagraph"/>
        <w:numPr>
          <w:ilvl w:val="0"/>
          <w:numId w:val="8"/>
        </w:numPr>
      </w:pPr>
      <w:r>
        <w:t xml:space="preserve">pent-up demand for travel </w:t>
      </w:r>
    </w:p>
    <w:p w14:paraId="368BCC4C" w14:textId="61617711" w:rsidR="00597668" w:rsidRPr="00CB0E53" w:rsidRDefault="00597668" w:rsidP="00597668">
      <w:pPr>
        <w:pStyle w:val="ListParagraph"/>
        <w:numPr>
          <w:ilvl w:val="0"/>
          <w:numId w:val="8"/>
        </w:numPr>
      </w:pPr>
      <w:r w:rsidRPr="00CB0E53">
        <w:rPr>
          <w:rFonts w:cstheme="minorHAnsi"/>
        </w:rPr>
        <w:t xml:space="preserve">accrued leave and disposable income during lockdowns </w:t>
      </w:r>
    </w:p>
    <w:p w14:paraId="2C29539B" w14:textId="7321A775" w:rsidR="00597668" w:rsidRPr="00C61007" w:rsidRDefault="00597668" w:rsidP="00597668">
      <w:pPr>
        <w:pStyle w:val="ListParagraph"/>
        <w:numPr>
          <w:ilvl w:val="0"/>
          <w:numId w:val="8"/>
        </w:numPr>
      </w:pPr>
      <w:r w:rsidRPr="00CB0E53">
        <w:rPr>
          <w:rFonts w:cstheme="minorHAnsi"/>
        </w:rPr>
        <w:lastRenderedPageBreak/>
        <w:t>incentivisation from government travel subsidies and support payments</w:t>
      </w:r>
    </w:p>
    <w:p w14:paraId="48792C89" w14:textId="6D221D00" w:rsidR="00597668" w:rsidRDefault="00597668" w:rsidP="00597668">
      <w:pPr>
        <w:pStyle w:val="ListParagraph"/>
        <w:numPr>
          <w:ilvl w:val="0"/>
          <w:numId w:val="8"/>
        </w:numPr>
      </w:pPr>
      <w:r>
        <w:rPr>
          <w:rFonts w:cstheme="minorHAnsi"/>
        </w:rPr>
        <w:t>marketing by the tourism industry</w:t>
      </w:r>
      <w:r>
        <w:t xml:space="preserve">  </w:t>
      </w:r>
    </w:p>
    <w:p w14:paraId="6BAE6BB1" w14:textId="0C78BE27" w:rsidR="00597668" w:rsidRDefault="00597668" w:rsidP="00597668">
      <w:pPr>
        <w:pStyle w:val="ListParagraph"/>
        <w:numPr>
          <w:ilvl w:val="0"/>
          <w:numId w:val="8"/>
        </w:numPr>
      </w:pPr>
      <w:r>
        <w:t xml:space="preserve">increasing traveller confidence </w:t>
      </w:r>
      <w:r w:rsidR="00590AA4">
        <w:t>about</w:t>
      </w:r>
      <w:r>
        <w:t xml:space="preserve"> domestic</w:t>
      </w:r>
      <w:r w:rsidR="00590AA4">
        <w:t xml:space="preserve"> travel</w:t>
      </w:r>
      <w:r>
        <w:t>, and</w:t>
      </w:r>
    </w:p>
    <w:p w14:paraId="1D666308" w14:textId="4EABA7EA" w:rsidR="00597668" w:rsidRDefault="00590AA4" w:rsidP="00597668">
      <w:pPr>
        <w:pStyle w:val="ListParagraph"/>
        <w:numPr>
          <w:ilvl w:val="0"/>
          <w:numId w:val="8"/>
        </w:numPr>
      </w:pPr>
      <w:r>
        <w:t xml:space="preserve">ongoing </w:t>
      </w:r>
      <w:r w:rsidR="00597668">
        <w:t xml:space="preserve">barriers to international travel (cost, complexity and hesitancy).  </w:t>
      </w:r>
    </w:p>
    <w:p w14:paraId="3BCB67EB" w14:textId="7EED2F5B" w:rsidR="005F3C06" w:rsidRDefault="00590AA4" w:rsidP="00C06506">
      <w:r>
        <w:t xml:space="preserve">Together with this projected </w:t>
      </w:r>
      <w:r w:rsidR="00E32E94">
        <w:t xml:space="preserve">national recovery, the </w:t>
      </w:r>
      <w:r w:rsidR="005F3C06">
        <w:t>domestic visitor economy of each of the states and territories is forecast to return to its pre-pandemic level by the end of 2023-24.</w:t>
      </w:r>
    </w:p>
    <w:p w14:paraId="566C6925" w14:textId="5C355A5F" w:rsidR="007870B1" w:rsidRDefault="007870B1" w:rsidP="007870B1">
      <w:r>
        <w:t xml:space="preserve">The three key risks to the forecasts presented </w:t>
      </w:r>
      <w:r w:rsidR="00E32E94">
        <w:t>in this report</w:t>
      </w:r>
      <w:r>
        <w:t xml:space="preserve"> are:</w:t>
      </w:r>
    </w:p>
    <w:p w14:paraId="0038030E" w14:textId="45DB283D" w:rsidR="007870B1" w:rsidRDefault="007870B1" w:rsidP="00597668">
      <w:pPr>
        <w:pStyle w:val="NumberedList"/>
      </w:pPr>
      <w:r>
        <w:t>greater-than-expected substitution from domestic to outbound travel,</w:t>
      </w:r>
    </w:p>
    <w:p w14:paraId="03A373F2" w14:textId="7924A3EE" w:rsidR="007870B1" w:rsidRDefault="007870B1" w:rsidP="00597668">
      <w:pPr>
        <w:pStyle w:val="NumberedList"/>
      </w:pPr>
      <w:r>
        <w:t>a departure from the current government guidelines</w:t>
      </w:r>
      <w:r w:rsidR="00E32E94">
        <w:t xml:space="preserve"> (i.e. the </w:t>
      </w:r>
      <w:hyperlink r:id="rId21" w:history="1">
        <w:r w:rsidR="00337EC7">
          <w:rPr>
            <w:rStyle w:val="Hyperlink"/>
          </w:rPr>
          <w:t>National Plan to transition Australia’s National COVID-19 Response</w:t>
        </w:r>
      </w:hyperlink>
      <w:r w:rsidR="00E32E94">
        <w:t>)</w:t>
      </w:r>
      <w:r>
        <w:t>, and</w:t>
      </w:r>
    </w:p>
    <w:p w14:paraId="0F3CC4C3" w14:textId="3BED5893" w:rsidR="007870B1" w:rsidRDefault="007870B1" w:rsidP="007870B1">
      <w:pPr>
        <w:pStyle w:val="NumberedList"/>
      </w:pPr>
      <w:r>
        <w:t xml:space="preserve">future major, uncontained outbreaks that drastically reduce the desire </w:t>
      </w:r>
      <w:r w:rsidR="00BE3600">
        <w:t xml:space="preserve">or ability </w:t>
      </w:r>
      <w:r>
        <w:t>to travel.</w:t>
      </w:r>
    </w:p>
    <w:p w14:paraId="6326B4CC" w14:textId="77777777" w:rsidR="00590AA4" w:rsidRDefault="00590AA4" w:rsidP="00590AA4">
      <w:pPr>
        <w:pStyle w:val="NumberedList"/>
        <w:numPr>
          <w:ilvl w:val="0"/>
          <w:numId w:val="0"/>
        </w:numPr>
      </w:pPr>
    </w:p>
    <w:p w14:paraId="6D756E69" w14:textId="363AA644" w:rsidR="00475840" w:rsidRPr="00AA50DF" w:rsidRDefault="00551F2A" w:rsidP="00475840">
      <w:pPr>
        <w:pStyle w:val="Heading2"/>
        <w:rPr>
          <w:color w:val="7A4282" w:themeColor="accent1"/>
          <w:sz w:val="32"/>
          <w:szCs w:val="28"/>
        </w:rPr>
      </w:pPr>
      <w:bookmarkStart w:id="18" w:name="_Toc89671617"/>
      <w:r w:rsidRPr="00AA50DF">
        <w:rPr>
          <w:color w:val="7A4282" w:themeColor="accent1"/>
          <w:sz w:val="32"/>
          <w:szCs w:val="28"/>
        </w:rPr>
        <w:t>National forecasts</w:t>
      </w:r>
      <w:bookmarkEnd w:id="18"/>
      <w:r w:rsidR="00475840" w:rsidRPr="00AA50DF">
        <w:rPr>
          <w:color w:val="7A4282" w:themeColor="accent1"/>
          <w:sz w:val="32"/>
          <w:szCs w:val="28"/>
        </w:rPr>
        <w:t xml:space="preserve"> </w:t>
      </w:r>
    </w:p>
    <w:p w14:paraId="6182D911" w14:textId="4A7D1894" w:rsidR="00CD7016" w:rsidRPr="00AA50DF" w:rsidRDefault="00551F2A" w:rsidP="00CD7016">
      <w:pPr>
        <w:pStyle w:val="Heading3"/>
        <w:rPr>
          <w:sz w:val="28"/>
          <w:szCs w:val="28"/>
        </w:rPr>
      </w:pPr>
      <w:bookmarkStart w:id="19" w:name="_Toc89671618"/>
      <w:r w:rsidRPr="00AA50DF">
        <w:rPr>
          <w:sz w:val="28"/>
          <w:szCs w:val="28"/>
        </w:rPr>
        <w:t xml:space="preserve">The </w:t>
      </w:r>
      <w:r w:rsidR="00AD1EC2" w:rsidRPr="00AA50DF">
        <w:rPr>
          <w:sz w:val="28"/>
          <w:szCs w:val="28"/>
        </w:rPr>
        <w:t xml:space="preserve">national </w:t>
      </w:r>
      <w:r w:rsidRPr="00AA50DF">
        <w:rPr>
          <w:sz w:val="28"/>
          <w:szCs w:val="28"/>
        </w:rPr>
        <w:t>outlook</w:t>
      </w:r>
      <w:bookmarkEnd w:id="19"/>
      <w:r w:rsidRPr="00AA50DF">
        <w:rPr>
          <w:sz w:val="28"/>
          <w:szCs w:val="28"/>
        </w:rPr>
        <w:t xml:space="preserve"> </w:t>
      </w:r>
    </w:p>
    <w:p w14:paraId="5B1A8645" w14:textId="369781E2" w:rsidR="00EB7758" w:rsidRDefault="002F46FC" w:rsidP="00475840">
      <w:r>
        <w:t xml:space="preserve">TRA data show that the lockdowns and travel restrictions in place at various times over the past two years </w:t>
      </w:r>
      <w:r w:rsidR="00EB7758">
        <w:t xml:space="preserve">have been detrimental to </w:t>
      </w:r>
      <w:r w:rsidR="002A3C60">
        <w:t>tourism activity</w:t>
      </w:r>
      <w:r>
        <w:t xml:space="preserve">. Fortunately, </w:t>
      </w:r>
      <w:r w:rsidR="00F806F4">
        <w:t xml:space="preserve">lockdowns in Australia are likely to be much more isolated and infrequent in the future </w:t>
      </w:r>
      <w:r w:rsidR="00EB7758">
        <w:t>according to</w:t>
      </w:r>
      <w:r w:rsidR="00F806F4">
        <w:t xml:space="preserve"> the</w:t>
      </w:r>
      <w:r w:rsidR="00EB7758">
        <w:t xml:space="preserve"> </w:t>
      </w:r>
      <w:hyperlink r:id="rId22" w:history="1">
        <w:r w:rsidR="00E32E94">
          <w:rPr>
            <w:rStyle w:val="Hyperlink"/>
          </w:rPr>
          <w:t>National Plan to transition Australia’s National COVID-19 Response</w:t>
        </w:r>
      </w:hyperlink>
      <w:r w:rsidR="00337EC7">
        <w:t xml:space="preserve"> (‘National Plan’).</w:t>
      </w:r>
      <w:r>
        <w:t xml:space="preserve"> This is very positive for the domestic visitor economy. </w:t>
      </w:r>
    </w:p>
    <w:p w14:paraId="61F2D196" w14:textId="2FD4ED04" w:rsidR="00EB7758" w:rsidRDefault="00475840" w:rsidP="00475840">
      <w:r>
        <w:t xml:space="preserve">The forecasts indicate that domestic tourism </w:t>
      </w:r>
      <w:r w:rsidR="00F806F4">
        <w:t xml:space="preserve">has </w:t>
      </w:r>
      <w:r>
        <w:t>resume</w:t>
      </w:r>
      <w:r w:rsidR="00F806F4">
        <w:t>d</w:t>
      </w:r>
      <w:r>
        <w:t xml:space="preserve"> its recovery </w:t>
      </w:r>
      <w:r w:rsidR="00EB7758">
        <w:t>from October 2021, following the easing of restrictions in parts of Australia</w:t>
      </w:r>
      <w:r w:rsidR="003E7DE4">
        <w:t xml:space="preserve">. </w:t>
      </w:r>
      <w:r w:rsidR="00B6286D">
        <w:t>G</w:t>
      </w:r>
      <w:r>
        <w:t xml:space="preserve">rowth </w:t>
      </w:r>
      <w:r w:rsidR="003E7DE4">
        <w:t xml:space="preserve">in visitation </w:t>
      </w:r>
      <w:r>
        <w:t>is expected</w:t>
      </w:r>
      <w:r w:rsidRPr="00B041B4">
        <w:t xml:space="preserve"> </w:t>
      </w:r>
      <w:r w:rsidR="00435103">
        <w:t xml:space="preserve">for the rest of 2021-22 and is forecast to continue </w:t>
      </w:r>
      <w:r>
        <w:t>through</w:t>
      </w:r>
      <w:r w:rsidRPr="00B041B4">
        <w:t xml:space="preserve"> 2022</w:t>
      </w:r>
      <w:r w:rsidR="00435103">
        <w:t>-23</w:t>
      </w:r>
      <w:r>
        <w:t>. D</w:t>
      </w:r>
      <w:r w:rsidRPr="00B041B4">
        <w:t xml:space="preserve">omestic tourism </w:t>
      </w:r>
      <w:r>
        <w:t>is forecast to return</w:t>
      </w:r>
      <w:r w:rsidRPr="00B041B4">
        <w:t xml:space="preserve"> to </w:t>
      </w:r>
      <w:r>
        <w:t xml:space="preserve">an average </w:t>
      </w:r>
      <w:r w:rsidRPr="00B041B4">
        <w:t>pre-pandemic level in 2022-23</w:t>
      </w:r>
      <w:r>
        <w:t>, and to surpass its 2018-19 peak the following year</w:t>
      </w:r>
      <w:r w:rsidRPr="00B041B4">
        <w:t>.</w:t>
      </w:r>
      <w:r>
        <w:t xml:space="preserve"> A more moderate growth trajectory is forecast for the period between 2023-24 and 2025-26. </w:t>
      </w:r>
    </w:p>
    <w:p w14:paraId="27DA11C2" w14:textId="128103B8" w:rsidR="00475840" w:rsidRDefault="00475840" w:rsidP="00475840">
      <w:r w:rsidRPr="00B041B4">
        <w:t>The</w:t>
      </w:r>
      <w:r w:rsidR="006D3038">
        <w:t xml:space="preserve">re are a number of temporary factors </w:t>
      </w:r>
      <w:r w:rsidRPr="00B041B4">
        <w:t>driv</w:t>
      </w:r>
      <w:r w:rsidR="006D3038">
        <w:t>ing</w:t>
      </w:r>
      <w:r w:rsidRPr="00B041B4">
        <w:t xml:space="preserve"> growth</w:t>
      </w:r>
      <w:r>
        <w:t xml:space="preserve"> in the near-term</w:t>
      </w:r>
      <w:r w:rsidR="006D3038">
        <w:t xml:space="preserve">. These are discussed in the </w:t>
      </w:r>
      <w:r w:rsidR="00197EB1">
        <w:fldChar w:fldCharType="begin"/>
      </w:r>
      <w:r w:rsidR="00197EB1">
        <w:instrText xml:space="preserve"> REF _Ref89332726 \h </w:instrText>
      </w:r>
      <w:r w:rsidR="00197EB1">
        <w:fldChar w:fldCharType="separate"/>
      </w:r>
      <w:r w:rsidR="00197EB1">
        <w:t>Economic factors affecting the national forecasts</w:t>
      </w:r>
      <w:r w:rsidR="00197EB1">
        <w:fldChar w:fldCharType="end"/>
      </w:r>
      <w:r w:rsidR="00197EB1">
        <w:t xml:space="preserve"> </w:t>
      </w:r>
      <w:r w:rsidR="006D3038">
        <w:t xml:space="preserve">section of this report. </w:t>
      </w:r>
      <w:r w:rsidR="00F806F4">
        <w:t>The main downside r</w:t>
      </w:r>
      <w:r w:rsidRPr="00B041B4">
        <w:t xml:space="preserve">isks to the forecasts, including </w:t>
      </w:r>
      <w:r w:rsidR="00F806F4">
        <w:t>future virus outbreaks</w:t>
      </w:r>
      <w:r w:rsidRPr="00B041B4">
        <w:t xml:space="preserve">, are discussed in the </w:t>
      </w:r>
      <w:r w:rsidR="00ED2508">
        <w:fldChar w:fldCharType="begin"/>
      </w:r>
      <w:r w:rsidR="00ED2508">
        <w:instrText xml:space="preserve"> REF _Ref89267408 \h </w:instrText>
      </w:r>
      <w:r w:rsidR="00ED2508">
        <w:fldChar w:fldCharType="separate"/>
      </w:r>
      <w:r w:rsidR="00ED2508">
        <w:t>Risks</w:t>
      </w:r>
      <w:r w:rsidR="00ED2508">
        <w:fldChar w:fldCharType="end"/>
      </w:r>
      <w:r w:rsidR="00ED2508">
        <w:t xml:space="preserve"> </w:t>
      </w:r>
      <w:r w:rsidR="00630F11">
        <w:t>s</w:t>
      </w:r>
      <w:r>
        <w:t>ection</w:t>
      </w:r>
      <w:r w:rsidR="00630F11">
        <w:t xml:space="preserve"> of this report</w:t>
      </w:r>
      <w:r>
        <w:t>.</w:t>
      </w:r>
    </w:p>
    <w:p w14:paraId="63F39684" w14:textId="1A38F5A0" w:rsidR="00CD7016" w:rsidRPr="00657AD3" w:rsidRDefault="00CD7016" w:rsidP="00551F2A">
      <w:pPr>
        <w:pStyle w:val="Heading4"/>
        <w:rPr>
          <w:color w:val="7A4282" w:themeColor="accent1"/>
        </w:rPr>
      </w:pPr>
      <w:r w:rsidRPr="00657AD3">
        <w:rPr>
          <w:color w:val="7A4282" w:themeColor="accent1"/>
        </w:rPr>
        <w:t>Visitor nights</w:t>
      </w:r>
    </w:p>
    <w:p w14:paraId="5C5E2E32" w14:textId="3EAF48DF" w:rsidR="00CD7016" w:rsidRDefault="00CD7016" w:rsidP="00CD7016">
      <w:r>
        <w:t xml:space="preserve">As a result of extended lockdowns in various states and territories between July and October 2021, domestic visitor nights </w:t>
      </w:r>
      <w:r w:rsidR="00435103">
        <w:t xml:space="preserve">in 2021-22 </w:t>
      </w:r>
      <w:r>
        <w:t xml:space="preserve">are expected to remain around 17 per cent lower than the 2018-19 peak. </w:t>
      </w:r>
      <w:r w:rsidRPr="008B1FA9">
        <w:rPr>
          <w:rFonts w:cstheme="minorHAnsi"/>
        </w:rPr>
        <w:t xml:space="preserve">The number of visitor nights is </w:t>
      </w:r>
      <w:r>
        <w:rPr>
          <w:rFonts w:cstheme="minorHAnsi"/>
        </w:rPr>
        <w:t xml:space="preserve">then forecast </w:t>
      </w:r>
      <w:r w:rsidRPr="008B1FA9">
        <w:rPr>
          <w:rFonts w:cstheme="minorHAnsi"/>
        </w:rPr>
        <w:t xml:space="preserve">to increase </w:t>
      </w:r>
      <w:r>
        <w:rPr>
          <w:rFonts w:cstheme="minorHAnsi"/>
        </w:rPr>
        <w:t>by</w:t>
      </w:r>
      <w:r w:rsidRPr="008B1FA9">
        <w:rPr>
          <w:rFonts w:cstheme="minorHAnsi"/>
        </w:rPr>
        <w:t xml:space="preserve"> </w:t>
      </w:r>
      <w:r w:rsidR="00B67E67">
        <w:rPr>
          <w:rFonts w:cstheme="minorHAnsi"/>
        </w:rPr>
        <w:t>20</w:t>
      </w:r>
      <w:r w:rsidRPr="008B1FA9">
        <w:rPr>
          <w:rFonts w:cstheme="minorHAnsi"/>
        </w:rPr>
        <w:t xml:space="preserve"> per cent in 2022-23 to </w:t>
      </w:r>
      <w:r>
        <w:rPr>
          <w:rFonts w:cstheme="minorHAnsi"/>
        </w:rPr>
        <w:t>return to</w:t>
      </w:r>
      <w:r>
        <w:t xml:space="preserve"> around pre-pandemic levels. Growth moderates over subsequent years as temporary and one-off factors, such as pent-up demand and reconnecting with family, subside. In this more normal environment, domestic tourism is forecast to increase roughly in line with population growth. </w:t>
      </w:r>
    </w:p>
    <w:p w14:paraId="3955C5A8" w14:textId="43D5D6CB" w:rsidR="00CD7016" w:rsidRPr="00657AD3" w:rsidRDefault="00CD7016" w:rsidP="00590AA4">
      <w:pPr>
        <w:pStyle w:val="Heading4"/>
        <w:keepNext/>
        <w:rPr>
          <w:color w:val="7A4282" w:themeColor="accent1"/>
        </w:rPr>
      </w:pPr>
      <w:r w:rsidRPr="00657AD3">
        <w:rPr>
          <w:color w:val="7A4282" w:themeColor="accent1"/>
        </w:rPr>
        <w:lastRenderedPageBreak/>
        <w:t>Trips</w:t>
      </w:r>
    </w:p>
    <w:p w14:paraId="0F593B75" w14:textId="35313691" w:rsidR="00CD7016" w:rsidRDefault="00CD7016" w:rsidP="00CD7016">
      <w:r>
        <w:t>The number of domestic trips is estimated to have already troughed in 2020-21 and is forecast to rise strongly in both 2021-22 and 2022-23</w:t>
      </w:r>
      <w:r w:rsidR="00FC178E">
        <w:t xml:space="preserve"> (Figure 2)</w:t>
      </w:r>
      <w:r>
        <w:t xml:space="preserve">. </w:t>
      </w:r>
      <w:r w:rsidR="00A60657">
        <w:t xml:space="preserve">The number of trips includes both overnight trips and day trips. </w:t>
      </w:r>
    </w:p>
    <w:p w14:paraId="6D4AB026" w14:textId="32BB6F08" w:rsidR="00CD7016" w:rsidRPr="00FC178E" w:rsidRDefault="00CD7016" w:rsidP="008014C7">
      <w:pPr>
        <w:pStyle w:val="BulletList"/>
        <w:numPr>
          <w:ilvl w:val="0"/>
          <w:numId w:val="0"/>
        </w:numPr>
        <w:contextualSpacing w:val="0"/>
        <w:rPr>
          <w:rFonts w:ascii="Times New Roman" w:hAnsi="Times New Roman" w:cs="Times New Roman"/>
          <w:sz w:val="24"/>
          <w:szCs w:val="24"/>
        </w:rPr>
      </w:pPr>
      <w:r w:rsidRPr="009F1207">
        <w:t xml:space="preserve">The number of </w:t>
      </w:r>
      <w:r w:rsidRPr="008014C7">
        <w:rPr>
          <w:b/>
          <w:bCs/>
        </w:rPr>
        <w:t>day trips</w:t>
      </w:r>
      <w:r w:rsidRPr="009F1207">
        <w:t xml:space="preserve"> is forecast to increase by </w:t>
      </w:r>
      <w:r>
        <w:t>14 per cent</w:t>
      </w:r>
      <w:r w:rsidRPr="009F1207">
        <w:t xml:space="preserve"> in 2021-22 and by </w:t>
      </w:r>
      <w:r>
        <w:t>15 per cent</w:t>
      </w:r>
      <w:r w:rsidRPr="009F1207">
        <w:t xml:space="preserve"> in 2022-23. The recovery in domestic day trips is stronger than overnight trips in </w:t>
      </w:r>
      <w:r w:rsidR="00EB7758">
        <w:t>the current year (</w:t>
      </w:r>
      <w:r w:rsidRPr="009F1207">
        <w:t>2021-22</w:t>
      </w:r>
      <w:r w:rsidR="00EB7758">
        <w:t>)</w:t>
      </w:r>
      <w:r>
        <w:t>. The</w:t>
      </w:r>
      <w:r w:rsidRPr="009F1207">
        <w:t xml:space="preserve"> </w:t>
      </w:r>
      <w:r>
        <w:t xml:space="preserve">risk of </w:t>
      </w:r>
      <w:r w:rsidRPr="009F1207">
        <w:t>lockdowns</w:t>
      </w:r>
      <w:r>
        <w:t xml:space="preserve"> and </w:t>
      </w:r>
      <w:r w:rsidRPr="009F1207">
        <w:t>state border closures</w:t>
      </w:r>
      <w:r>
        <w:t xml:space="preserve"> during part of this period imposes a larger negative impact on overnight trips than on day</w:t>
      </w:r>
      <w:r w:rsidR="00A60657">
        <w:t xml:space="preserve"> </w:t>
      </w:r>
      <w:r>
        <w:t xml:space="preserve">trips. Day trips generally require less pre-planning than overnight trips and can be </w:t>
      </w:r>
      <w:r w:rsidR="006D3038">
        <w:t>undertaken</w:t>
      </w:r>
      <w:r>
        <w:t xml:space="preserve"> closer to home. Day trips are expected to see continued growth in 2022-23, returning to pre-pandemic levels, as Australians take advantage of opportunities to reconnect with family and friends, attend events, and explore their surroundings</w:t>
      </w:r>
      <w:r w:rsidRPr="009F1207">
        <w:t>.</w:t>
      </w:r>
      <w:r w:rsidRPr="00FC178E">
        <w:rPr>
          <w:rFonts w:ascii="Times New Roman" w:hAnsi="Times New Roman" w:cs="Times New Roman"/>
          <w:sz w:val="24"/>
          <w:szCs w:val="24"/>
        </w:rPr>
        <w:t xml:space="preserve"> </w:t>
      </w:r>
    </w:p>
    <w:p w14:paraId="1BCD06EF" w14:textId="5A5B7F49" w:rsidR="005223C6" w:rsidRDefault="00CD7016" w:rsidP="008014C7">
      <w:pPr>
        <w:pStyle w:val="BulletList"/>
        <w:numPr>
          <w:ilvl w:val="0"/>
          <w:numId w:val="0"/>
        </w:numPr>
        <w:contextualSpacing w:val="0"/>
      </w:pPr>
      <w:r w:rsidRPr="009F1207">
        <w:t xml:space="preserve">The number of domestic </w:t>
      </w:r>
      <w:r w:rsidRPr="008014C7">
        <w:rPr>
          <w:b/>
          <w:bCs/>
        </w:rPr>
        <w:t>overnight trips</w:t>
      </w:r>
      <w:r w:rsidRPr="009F1207">
        <w:t xml:space="preserve"> is expected to increase by </w:t>
      </w:r>
      <w:r>
        <w:t>4</w:t>
      </w:r>
      <w:r w:rsidRPr="009F1207">
        <w:t xml:space="preserve"> </w:t>
      </w:r>
      <w:r>
        <w:t>per cent</w:t>
      </w:r>
      <w:r w:rsidRPr="009F1207">
        <w:t xml:space="preserve"> in 2021-22 and by </w:t>
      </w:r>
      <w:r>
        <w:t>21 per cent</w:t>
      </w:r>
      <w:r w:rsidRPr="009F1207">
        <w:t xml:space="preserve"> in 2022-23 to reach</w:t>
      </w:r>
      <w:r>
        <w:t xml:space="preserve"> over</w:t>
      </w:r>
      <w:r w:rsidRPr="009F1207">
        <w:t xml:space="preserve"> 111 million overnight trips. The forecast visitation </w:t>
      </w:r>
      <w:r>
        <w:t>in 2022</w:t>
      </w:r>
      <w:r w:rsidR="00743E9B">
        <w:noBreakHyphen/>
      </w:r>
      <w:r w:rsidRPr="00AC6349">
        <w:t xml:space="preserve">23 represents an average of 5 overnight trips per year for each person aged 15 years or older. This is </w:t>
      </w:r>
      <w:r w:rsidR="00F806F4">
        <w:t>a</w:t>
      </w:r>
      <w:r w:rsidRPr="00AC6349">
        <w:t xml:space="preserve"> s</w:t>
      </w:r>
      <w:r w:rsidR="00F806F4">
        <w:t>imilar</w:t>
      </w:r>
      <w:r w:rsidRPr="00AC6349">
        <w:t xml:space="preserve"> </w:t>
      </w:r>
      <w:r>
        <w:t xml:space="preserve">rate of travel </w:t>
      </w:r>
      <w:r w:rsidR="00F806F4">
        <w:t xml:space="preserve">per person </w:t>
      </w:r>
      <w:r>
        <w:t xml:space="preserve">as in </w:t>
      </w:r>
      <w:r w:rsidRPr="00AC6349">
        <w:t>pre-pandemic years.</w:t>
      </w:r>
      <w:r w:rsidR="005223C6">
        <w:t xml:space="preserve"> </w:t>
      </w:r>
    </w:p>
    <w:p w14:paraId="364F9731" w14:textId="6C3EC3D2" w:rsidR="00F3109D" w:rsidRDefault="005223C6" w:rsidP="008014C7">
      <w:pPr>
        <w:pStyle w:val="BulletList"/>
        <w:numPr>
          <w:ilvl w:val="0"/>
          <w:numId w:val="0"/>
        </w:numPr>
        <w:contextualSpacing w:val="0"/>
      </w:pPr>
      <w:r>
        <w:t>O</w:t>
      </w:r>
      <w:r w:rsidR="00CD7016">
        <w:t>ver the two years from 2023-24 to 2025-26, domestic overnight trips are forecast to increase at an annual average growth rate of 2.7 per cent to reach over 12</w:t>
      </w:r>
      <w:r w:rsidR="00B67E67">
        <w:t>3</w:t>
      </w:r>
      <w:r w:rsidR="00CD7016">
        <w:t xml:space="preserve"> million. A similar rate of growth is expected for </w:t>
      </w:r>
      <w:r w:rsidR="00CD7016" w:rsidRPr="00B041B4">
        <w:t>domestic day trips (</w:t>
      </w:r>
      <w:r w:rsidR="00CD7016">
        <w:t xml:space="preserve">3.3 per cent </w:t>
      </w:r>
      <w:r w:rsidR="00CD7016" w:rsidRPr="00B041B4">
        <w:t xml:space="preserve">average annual growth) to reach </w:t>
      </w:r>
      <w:r w:rsidR="00B67E67">
        <w:t xml:space="preserve">over </w:t>
      </w:r>
      <w:r w:rsidR="00CD7016" w:rsidRPr="00B041B4">
        <w:t>2</w:t>
      </w:r>
      <w:r w:rsidR="00CD7016">
        <w:t>5</w:t>
      </w:r>
      <w:r w:rsidR="00B67E67">
        <w:t>5</w:t>
      </w:r>
      <w:r w:rsidR="00CD7016" w:rsidRPr="00B041B4">
        <w:t xml:space="preserve"> million in 2025-26. </w:t>
      </w:r>
    </w:p>
    <w:p w14:paraId="3EEB429B" w14:textId="77777777" w:rsidR="00B6286D" w:rsidRDefault="00B6286D" w:rsidP="008014C7">
      <w:pPr>
        <w:pStyle w:val="BulletList"/>
        <w:numPr>
          <w:ilvl w:val="0"/>
          <w:numId w:val="0"/>
        </w:numPr>
        <w:contextualSpacing w:val="0"/>
      </w:pPr>
    </w:p>
    <w:p w14:paraId="62CDA90D" w14:textId="0199EEE1" w:rsidR="00A60657" w:rsidRDefault="00BE3600" w:rsidP="00245E86">
      <w:r>
        <w:rPr>
          <w:noProof/>
        </w:rPr>
        <w:drawing>
          <wp:anchor distT="0" distB="0" distL="114300" distR="114300" simplePos="0" relativeHeight="251759616" behindDoc="0" locked="0" layoutInCell="1" allowOverlap="1" wp14:anchorId="31F27198" wp14:editId="13A0CE3F">
            <wp:simplePos x="0" y="0"/>
            <wp:positionH relativeFrom="margin">
              <wp:align>right</wp:align>
            </wp:positionH>
            <wp:positionV relativeFrom="paragraph">
              <wp:posOffset>297815</wp:posOffset>
            </wp:positionV>
            <wp:extent cx="6334125" cy="3973195"/>
            <wp:effectExtent l="0" t="0" r="0" b="8255"/>
            <wp:wrapNone/>
            <wp:docPr id="24" name="Chart 24" descr="This chart shows the number of overnight trips and day trips taken each year from 2016-17 to 2020-21 and then the forecast number of overnight trips and day trips for each year from 2021-22 to 2025-26.&#10;There is also a line showing the annual growth rate over this period for the total number of trips.&#10;">
              <a:extLst xmlns:a="http://schemas.openxmlformats.org/drawingml/2006/main">
                <a:ext uri="{FF2B5EF4-FFF2-40B4-BE49-F238E27FC236}">
                  <a16:creationId xmlns:a16="http://schemas.microsoft.com/office/drawing/2014/main" id="{F5150934-3C35-4997-94A8-C6B81BE9C3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p>
    <w:p w14:paraId="7A2E4A0B" w14:textId="73A869DA" w:rsidR="00826874" w:rsidRDefault="000D4180" w:rsidP="00245E86">
      <w:r>
        <w:rPr>
          <w:noProof/>
        </w:rPr>
        <mc:AlternateContent>
          <mc:Choice Requires="wps">
            <w:drawing>
              <wp:anchor distT="0" distB="0" distL="114300" distR="114300" simplePos="0" relativeHeight="251675648" behindDoc="0" locked="0" layoutInCell="1" allowOverlap="1" wp14:anchorId="75CEC240" wp14:editId="12D3D6D6">
                <wp:simplePos x="0" y="0"/>
                <wp:positionH relativeFrom="column">
                  <wp:posOffset>64770</wp:posOffset>
                </wp:positionH>
                <wp:positionV relativeFrom="paragraph">
                  <wp:posOffset>-451485</wp:posOffset>
                </wp:positionV>
                <wp:extent cx="6334125" cy="457200"/>
                <wp:effectExtent l="0" t="0" r="9525" b="0"/>
                <wp:wrapNone/>
                <wp:docPr id="17" name="Text Box 17"/>
                <wp:cNvGraphicFramePr/>
                <a:graphic xmlns:a="http://schemas.openxmlformats.org/drawingml/2006/main">
                  <a:graphicData uri="http://schemas.microsoft.com/office/word/2010/wordprocessingShape">
                    <wps:wsp>
                      <wps:cNvSpPr txBox="1"/>
                      <wps:spPr>
                        <a:xfrm>
                          <a:off x="0" y="0"/>
                          <a:ext cx="6334125" cy="457200"/>
                        </a:xfrm>
                        <a:prstGeom prst="rect">
                          <a:avLst/>
                        </a:prstGeom>
                        <a:solidFill>
                          <a:prstClr val="white"/>
                        </a:solidFill>
                        <a:ln>
                          <a:noFill/>
                        </a:ln>
                      </wps:spPr>
                      <wps:txbx>
                        <w:txbxContent>
                          <w:p w14:paraId="507D33DC" w14:textId="562E30E2" w:rsidR="00444B84" w:rsidRPr="007C549E" w:rsidRDefault="00444B84" w:rsidP="000D4180">
                            <w:pPr>
                              <w:pStyle w:val="Caption"/>
                              <w:spacing w:before="200"/>
                              <w:rPr>
                                <w:noProof/>
                                <w:color w:val="000000" w:themeColor="text1"/>
                                <w:sz w:val="20"/>
                                <w:szCs w:val="20"/>
                              </w:rPr>
                            </w:pPr>
                            <w:r w:rsidRPr="000D4180">
                              <w:rPr>
                                <w:sz w:val="20"/>
                                <w:szCs w:val="20"/>
                              </w:rPr>
                              <w:t xml:space="preserve">Figure </w:t>
                            </w:r>
                            <w:r>
                              <w:rPr>
                                <w:sz w:val="20"/>
                                <w:szCs w:val="20"/>
                              </w:rPr>
                              <w:fldChar w:fldCharType="begin"/>
                            </w:r>
                            <w:r>
                              <w:rPr>
                                <w:sz w:val="20"/>
                                <w:szCs w:val="20"/>
                              </w:rPr>
                              <w:instrText xml:space="preserve"> SEQ Figure \* ARABIC </w:instrText>
                            </w:r>
                            <w:r>
                              <w:rPr>
                                <w:sz w:val="20"/>
                                <w:szCs w:val="20"/>
                              </w:rPr>
                              <w:fldChar w:fldCharType="separate"/>
                            </w:r>
                            <w:r>
                              <w:rPr>
                                <w:noProof/>
                                <w:sz w:val="20"/>
                                <w:szCs w:val="20"/>
                              </w:rPr>
                              <w:t>2</w:t>
                            </w:r>
                            <w:r>
                              <w:rPr>
                                <w:sz w:val="20"/>
                                <w:szCs w:val="20"/>
                              </w:rPr>
                              <w:fldChar w:fldCharType="end"/>
                            </w:r>
                            <w:r w:rsidRPr="000D4180">
                              <w:rPr>
                                <w:sz w:val="20"/>
                                <w:szCs w:val="20"/>
                              </w:rPr>
                              <w:t xml:space="preserve"> - </w:t>
                            </w:r>
                            <w:r w:rsidRPr="00AF4CF9">
                              <w:rPr>
                                <w:sz w:val="20"/>
                                <w:szCs w:val="20"/>
                              </w:rPr>
                              <w:t>Domestic overnight and day trips taken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75CEC240" id="_x0000_t202" coordsize="21600,21600" o:spt="202" path="m,l,21600r21600,l21600,xe">
                <v:stroke joinstyle="miter"/>
                <v:path gradientshapeok="t" o:connecttype="rect"/>
              </v:shapetype>
              <v:shape id="Text Box 17" o:spid="_x0000_s1026" type="#_x0000_t202" style="position:absolute;margin-left:5.1pt;margin-top:-35.55pt;width:498.75pt;height:36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" stroked="f">
                <v:textbox inset="0,0,0,0">
                  <w:txbxContent>
                    <w:p w14:paraId="507D33DC" w14:textId="562E30E2" w:rsidR="00444B84" w:rsidRPr="007C549E" w:rsidRDefault="00444B84" w:rsidP="000D4180">
                      <w:pPr>
                        <w:pStyle w:val="Caption"/>
                        <w:spacing w:before="200"/>
                        <w:rPr>
                          <w:noProof/>
                          <w:color w:val="000000" w:themeColor="text1"/>
                          <w:sz w:val="20"/>
                          <w:szCs w:val="20"/>
                        </w:rPr>
                      </w:pPr>
                      <w:r w:rsidRPr="000D4180">
                        <w:rPr>
                          <w:sz w:val="20"/>
                          <w:szCs w:val="20"/>
                        </w:rPr>
                        <w:t xml:space="preserve">Figure </w:t>
                      </w:r>
                      <w:r>
                        <w:rPr>
                          <w:sz w:val="20"/>
                          <w:szCs w:val="20"/>
                        </w:rPr>
                        <w:fldChar w:fldCharType="begin"/>
                      </w:r>
                      <w:r>
                        <w:rPr>
                          <w:sz w:val="20"/>
                          <w:szCs w:val="20"/>
                        </w:rPr>
                        <w:instrText xml:space="preserve"> SEQ Figure \* ARABIC </w:instrText>
                      </w:r>
                      <w:r>
                        <w:rPr>
                          <w:sz w:val="20"/>
                          <w:szCs w:val="20"/>
                        </w:rPr>
                        <w:fldChar w:fldCharType="separate"/>
                      </w:r>
                      <w:r>
                        <w:rPr>
                          <w:noProof/>
                          <w:sz w:val="20"/>
                          <w:szCs w:val="20"/>
                        </w:rPr>
                        <w:t>2</w:t>
                      </w:r>
                      <w:r>
                        <w:rPr>
                          <w:sz w:val="20"/>
                          <w:szCs w:val="20"/>
                        </w:rPr>
                        <w:fldChar w:fldCharType="end"/>
                      </w:r>
                      <w:r w:rsidRPr="000D4180">
                        <w:rPr>
                          <w:sz w:val="20"/>
                          <w:szCs w:val="20"/>
                        </w:rPr>
                        <w:t xml:space="preserve"> - </w:t>
                      </w:r>
                      <w:r w:rsidRPr="00AF4CF9">
                        <w:rPr>
                          <w:sz w:val="20"/>
                          <w:szCs w:val="20"/>
                        </w:rPr>
                        <w:t>Domestic overnight and day trips taken</w:t>
                      </w:r>
                    </w:p>
                  </w:txbxContent>
                </v:textbox>
              </v:shape>
            </w:pict>
          </mc:Fallback>
        </mc:AlternateContent>
      </w:r>
    </w:p>
    <w:p w14:paraId="6C91E372" w14:textId="50AE135D" w:rsidR="00826874" w:rsidRDefault="00826874" w:rsidP="00245E86"/>
    <w:p w14:paraId="39419E87" w14:textId="0EC9D662" w:rsidR="00826874" w:rsidRDefault="00826874" w:rsidP="00245E86"/>
    <w:p w14:paraId="7127E43E" w14:textId="1AA258AA" w:rsidR="00826874" w:rsidRDefault="00826874" w:rsidP="00245E86"/>
    <w:p w14:paraId="2537A189" w14:textId="623CBCAA" w:rsidR="00826874" w:rsidRDefault="00826874" w:rsidP="00245E86"/>
    <w:p w14:paraId="4F1EB2EE" w14:textId="67C320E3" w:rsidR="00826874" w:rsidRDefault="00826874" w:rsidP="00245E86"/>
    <w:p w14:paraId="43D188CB" w14:textId="5879B5E7" w:rsidR="00826874" w:rsidRDefault="00826874" w:rsidP="00245E86"/>
    <w:p w14:paraId="504436CF" w14:textId="63F77F82" w:rsidR="00826874" w:rsidRDefault="00826874" w:rsidP="00245E86"/>
    <w:p w14:paraId="28E3960A" w14:textId="3DFFC21E" w:rsidR="00826874" w:rsidRDefault="00826874" w:rsidP="00245E86"/>
    <w:p w14:paraId="17C6D37D" w14:textId="41AC2D0A" w:rsidR="00826874" w:rsidRDefault="00826874" w:rsidP="00245E86"/>
    <w:p w14:paraId="0548AF2E" w14:textId="206379F3" w:rsidR="00826874" w:rsidRDefault="00826874" w:rsidP="00245E86"/>
    <w:p w14:paraId="38D8CFB0" w14:textId="74C908AF" w:rsidR="00826874" w:rsidRDefault="00826874" w:rsidP="00245E86"/>
    <w:p w14:paraId="72C76BD2" w14:textId="1A13B881" w:rsidR="00DD1FB3" w:rsidRDefault="00DD1FB3" w:rsidP="00245E86"/>
    <w:p w14:paraId="573C1498" w14:textId="77777777" w:rsidR="00597668" w:rsidRDefault="00597668" w:rsidP="00245E86"/>
    <w:p w14:paraId="735FE957" w14:textId="77777777" w:rsidR="00590AA4" w:rsidRPr="00657AD3" w:rsidRDefault="00590AA4" w:rsidP="00590AA4">
      <w:pPr>
        <w:pStyle w:val="Heading4"/>
        <w:rPr>
          <w:color w:val="7A4282" w:themeColor="accent1"/>
        </w:rPr>
      </w:pPr>
      <w:r w:rsidRPr="00657AD3">
        <w:rPr>
          <w:color w:val="7A4282" w:themeColor="accent1"/>
        </w:rPr>
        <w:lastRenderedPageBreak/>
        <w:t>Expenditure</w:t>
      </w:r>
    </w:p>
    <w:p w14:paraId="4187B2DB" w14:textId="3175181B" w:rsidR="00590AA4" w:rsidRDefault="00590AA4" w:rsidP="00590AA4">
      <w:r>
        <w:t>Modelling suggests that in 2022-23,</w:t>
      </w:r>
      <w:r w:rsidRPr="007A1E0E">
        <w:t xml:space="preserve"> </w:t>
      </w:r>
      <w:r>
        <w:t>overnight visitor expenditure will reach $</w:t>
      </w:r>
      <w:r w:rsidR="00B67E67">
        <w:t>80.2</w:t>
      </w:r>
      <w:r>
        <w:t xml:space="preserve"> billion, and day trip expenditure $25.</w:t>
      </w:r>
      <w:r w:rsidR="00B67E67">
        <w:t>5</w:t>
      </w:r>
      <w:r>
        <w:t xml:space="preserve"> billion in nominal terms (Figure 3). These figures are in line with the pre-pandemic level in 2018-19</w:t>
      </w:r>
      <w:r w:rsidR="00ED2508">
        <w:t>,</w:t>
      </w:r>
      <w:r>
        <w:t xml:space="preserve"> indicating that tourism expenditure is forecast to recover sooner than the number of trips or visitor nights. </w:t>
      </w:r>
    </w:p>
    <w:p w14:paraId="0DE545F7" w14:textId="3262D3D5" w:rsidR="00590AA4" w:rsidRDefault="00590AA4" w:rsidP="00590AA4">
      <w:r>
        <w:t>Total domestic visitor expenditure is expected to grow by 5.</w:t>
      </w:r>
      <w:r w:rsidR="00B67E67">
        <w:t>9</w:t>
      </w:r>
      <w:r>
        <w:t xml:space="preserve"> per cent on average in each of the two years from 2023-24, to reach $12</w:t>
      </w:r>
      <w:r w:rsidR="00B67E67">
        <w:t>7</w:t>
      </w:r>
      <w:r>
        <w:t>.</w:t>
      </w:r>
      <w:r w:rsidR="00B67E67">
        <w:t>7</w:t>
      </w:r>
      <w:r>
        <w:t xml:space="preserve"> billion in 2025-26 in nominal terms. Despite the higher number of day trips taken each year, overnight visitor trips account for three-quarters of total annual domestic tourism expenditure. This reflects the higher average spend of overnight trips compared with day trips (for example, in 2019, the average spend was $687 per overnight trip and $106 per day trip). </w:t>
      </w:r>
    </w:p>
    <w:p w14:paraId="1F7EEC51" w14:textId="66E49C72" w:rsidR="00AF4CF9" w:rsidRDefault="00BD6F1E" w:rsidP="00CD7016">
      <w:r>
        <w:rPr>
          <w:noProof/>
        </w:rPr>
        <mc:AlternateContent>
          <mc:Choice Requires="wps">
            <w:drawing>
              <wp:anchor distT="0" distB="0" distL="114300" distR="114300" simplePos="0" relativeHeight="251673600" behindDoc="0" locked="0" layoutInCell="1" allowOverlap="1" wp14:anchorId="2F0E47D3" wp14:editId="726BF0B3">
                <wp:simplePos x="0" y="0"/>
                <wp:positionH relativeFrom="column">
                  <wp:posOffset>168910</wp:posOffset>
                </wp:positionH>
                <wp:positionV relativeFrom="paragraph">
                  <wp:posOffset>8890</wp:posOffset>
                </wp:positionV>
                <wp:extent cx="6696075" cy="457200"/>
                <wp:effectExtent l="0" t="0" r="9525" b="0"/>
                <wp:wrapNone/>
                <wp:docPr id="16" name="Text Box 16"/>
                <wp:cNvGraphicFramePr/>
                <a:graphic xmlns:a="http://schemas.openxmlformats.org/drawingml/2006/main">
                  <a:graphicData uri="http://schemas.microsoft.com/office/word/2010/wordprocessingShape">
                    <wps:wsp>
                      <wps:cNvSpPr txBox="1"/>
                      <wps:spPr>
                        <a:xfrm>
                          <a:off x="0" y="0"/>
                          <a:ext cx="6696075" cy="457200"/>
                        </a:xfrm>
                        <a:prstGeom prst="rect">
                          <a:avLst/>
                        </a:prstGeom>
                        <a:solidFill>
                          <a:prstClr val="white"/>
                        </a:solidFill>
                        <a:ln>
                          <a:noFill/>
                        </a:ln>
                      </wps:spPr>
                      <wps:txbx>
                        <w:txbxContent>
                          <w:p w14:paraId="5216A4D6" w14:textId="6514AD64" w:rsidR="00444B84" w:rsidRPr="000D4180" w:rsidRDefault="00444B84" w:rsidP="000D4180">
                            <w:pPr>
                              <w:pStyle w:val="Caption"/>
                              <w:spacing w:before="200"/>
                              <w:rPr>
                                <w:noProof/>
                                <w:color w:val="000000" w:themeColor="text1"/>
                                <w:sz w:val="20"/>
                                <w:szCs w:val="20"/>
                              </w:rPr>
                            </w:pPr>
                            <w:r w:rsidRPr="000D4180">
                              <w:rPr>
                                <w:sz w:val="20"/>
                                <w:szCs w:val="20"/>
                              </w:rPr>
                              <w:t xml:space="preserve">Figure </w:t>
                            </w:r>
                            <w:r>
                              <w:rPr>
                                <w:sz w:val="20"/>
                                <w:szCs w:val="20"/>
                              </w:rPr>
                              <w:fldChar w:fldCharType="begin"/>
                            </w:r>
                            <w:r>
                              <w:rPr>
                                <w:sz w:val="20"/>
                                <w:szCs w:val="20"/>
                              </w:rPr>
                              <w:instrText xml:space="preserve"> SEQ Figure \* ARABIC </w:instrText>
                            </w:r>
                            <w:r>
                              <w:rPr>
                                <w:sz w:val="20"/>
                                <w:szCs w:val="20"/>
                              </w:rPr>
                              <w:fldChar w:fldCharType="separate"/>
                            </w:r>
                            <w:r>
                              <w:rPr>
                                <w:noProof/>
                                <w:sz w:val="20"/>
                                <w:szCs w:val="20"/>
                              </w:rPr>
                              <w:t>3</w:t>
                            </w:r>
                            <w:r>
                              <w:rPr>
                                <w:sz w:val="20"/>
                                <w:szCs w:val="20"/>
                              </w:rPr>
                              <w:fldChar w:fldCharType="end"/>
                            </w:r>
                            <w:r w:rsidRPr="000D4180">
                              <w:rPr>
                                <w:sz w:val="20"/>
                                <w:szCs w:val="20"/>
                              </w:rPr>
                              <w:t xml:space="preserve"> - Domestic visitor expenditure on overnight and day trips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2F0E47D3" id="Text Box 16" o:spid="_x0000_s1027" type="#_x0000_t202" style="position:absolute;margin-left:13.3pt;margin-top:.7pt;width:527.25pt;height:36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" stroked="f">
                <v:textbox inset="0,0,0,0">
                  <w:txbxContent>
                    <w:p w14:paraId="5216A4D6" w14:textId="6514AD64" w:rsidR="00444B84" w:rsidRPr="000D4180" w:rsidRDefault="00444B84" w:rsidP="000D4180">
                      <w:pPr>
                        <w:pStyle w:val="Caption"/>
                        <w:spacing w:before="200"/>
                        <w:rPr>
                          <w:noProof/>
                          <w:color w:val="000000" w:themeColor="text1"/>
                          <w:sz w:val="20"/>
                          <w:szCs w:val="20"/>
                        </w:rPr>
                      </w:pPr>
                      <w:r w:rsidRPr="000D4180">
                        <w:rPr>
                          <w:sz w:val="20"/>
                          <w:szCs w:val="20"/>
                        </w:rPr>
                        <w:t xml:space="preserve">Figure </w:t>
                      </w:r>
                      <w:r>
                        <w:rPr>
                          <w:sz w:val="20"/>
                          <w:szCs w:val="20"/>
                        </w:rPr>
                        <w:fldChar w:fldCharType="begin"/>
                      </w:r>
                      <w:r>
                        <w:rPr>
                          <w:sz w:val="20"/>
                          <w:szCs w:val="20"/>
                        </w:rPr>
                        <w:instrText xml:space="preserve"> SEQ Figure \* ARABIC </w:instrText>
                      </w:r>
                      <w:r>
                        <w:rPr>
                          <w:sz w:val="20"/>
                          <w:szCs w:val="20"/>
                        </w:rPr>
                        <w:fldChar w:fldCharType="separate"/>
                      </w:r>
                      <w:r>
                        <w:rPr>
                          <w:noProof/>
                          <w:sz w:val="20"/>
                          <w:szCs w:val="20"/>
                        </w:rPr>
                        <w:t>3</w:t>
                      </w:r>
                      <w:r>
                        <w:rPr>
                          <w:sz w:val="20"/>
                          <w:szCs w:val="20"/>
                        </w:rPr>
                        <w:fldChar w:fldCharType="end"/>
                      </w:r>
                      <w:r w:rsidRPr="000D4180">
                        <w:rPr>
                          <w:sz w:val="20"/>
                          <w:szCs w:val="20"/>
                        </w:rPr>
                        <w:t xml:space="preserve"> - Domestic visitor expenditure on overnight and day trips</w:t>
                      </w:r>
                    </w:p>
                  </w:txbxContent>
                </v:textbox>
              </v:shape>
            </w:pict>
          </mc:Fallback>
        </mc:AlternateContent>
      </w:r>
    </w:p>
    <w:p w14:paraId="70FC2DF1" w14:textId="0A77401C" w:rsidR="00AF4CF9" w:rsidRDefault="00BE3600" w:rsidP="00245E86">
      <w:pPr>
        <w:tabs>
          <w:tab w:val="left" w:pos="6244"/>
        </w:tabs>
      </w:pPr>
      <w:r>
        <w:rPr>
          <w:noProof/>
        </w:rPr>
        <w:drawing>
          <wp:anchor distT="0" distB="0" distL="114300" distR="114300" simplePos="0" relativeHeight="251760640" behindDoc="0" locked="0" layoutInCell="1" allowOverlap="1" wp14:anchorId="10CBDB33" wp14:editId="7A07EE11">
            <wp:simplePos x="0" y="0"/>
            <wp:positionH relativeFrom="margin">
              <wp:align>right</wp:align>
            </wp:positionH>
            <wp:positionV relativeFrom="paragraph">
              <wp:posOffset>132716</wp:posOffset>
            </wp:positionV>
            <wp:extent cx="6334125" cy="4145280"/>
            <wp:effectExtent l="0" t="0" r="0" b="7620"/>
            <wp:wrapNone/>
            <wp:docPr id="26" name="Chart 26" descr="This chart shows the amount of expenditure associated with overnight trips and day trips for each year from 2016-17 to 2020-21 and then the forecast expenditure of overnight trips and day trips for each year from 2021-22 to 2025-26.&#10;There is also a line showing the annual growth rate over this period for the total domestic expenditure.&#10;">
              <a:extLst xmlns:a="http://schemas.openxmlformats.org/drawingml/2006/main">
                <a:ext uri="{FF2B5EF4-FFF2-40B4-BE49-F238E27FC236}">
                  <a16:creationId xmlns:a16="http://schemas.microsoft.com/office/drawing/2014/main" id="{45F1D164-76C3-47C0-B1EC-4259EFA3DA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p>
    <w:p w14:paraId="5199132B" w14:textId="2E390B60" w:rsidR="004767E6" w:rsidRDefault="00245E86" w:rsidP="00245E86">
      <w:pPr>
        <w:tabs>
          <w:tab w:val="left" w:pos="6244"/>
        </w:tabs>
      </w:pPr>
      <w:r>
        <w:tab/>
      </w:r>
    </w:p>
    <w:p w14:paraId="3BAB5527" w14:textId="36EE93AF" w:rsidR="007A30A6" w:rsidRDefault="007A30A6" w:rsidP="00245E86">
      <w:pPr>
        <w:tabs>
          <w:tab w:val="left" w:pos="6244"/>
        </w:tabs>
      </w:pPr>
    </w:p>
    <w:p w14:paraId="79A4643B" w14:textId="32A62C76" w:rsidR="007A30A6" w:rsidRDefault="007A30A6" w:rsidP="00245E86">
      <w:pPr>
        <w:tabs>
          <w:tab w:val="left" w:pos="6244"/>
        </w:tabs>
      </w:pPr>
    </w:p>
    <w:p w14:paraId="2C047C9E" w14:textId="432D7365" w:rsidR="007A30A6" w:rsidRDefault="007A30A6" w:rsidP="00245E86">
      <w:pPr>
        <w:tabs>
          <w:tab w:val="left" w:pos="6244"/>
        </w:tabs>
      </w:pPr>
    </w:p>
    <w:p w14:paraId="41B0B3CC" w14:textId="32EE653D" w:rsidR="007A30A6" w:rsidRDefault="007A30A6" w:rsidP="00245E86">
      <w:pPr>
        <w:tabs>
          <w:tab w:val="left" w:pos="6244"/>
        </w:tabs>
      </w:pPr>
    </w:p>
    <w:p w14:paraId="7EAE9D9D" w14:textId="0BE182AE" w:rsidR="007A30A6" w:rsidRDefault="007A30A6" w:rsidP="00245E86">
      <w:pPr>
        <w:tabs>
          <w:tab w:val="left" w:pos="6244"/>
        </w:tabs>
      </w:pPr>
    </w:p>
    <w:p w14:paraId="655EFD63" w14:textId="082BB74E" w:rsidR="007A30A6" w:rsidRDefault="007A30A6" w:rsidP="00245E86">
      <w:pPr>
        <w:tabs>
          <w:tab w:val="left" w:pos="6244"/>
        </w:tabs>
      </w:pPr>
    </w:p>
    <w:p w14:paraId="1023D3E0" w14:textId="4983F61E" w:rsidR="007A30A6" w:rsidRDefault="007A30A6" w:rsidP="00245E86">
      <w:pPr>
        <w:tabs>
          <w:tab w:val="left" w:pos="6244"/>
        </w:tabs>
      </w:pPr>
    </w:p>
    <w:p w14:paraId="6685AA26" w14:textId="30DD580F" w:rsidR="007A30A6" w:rsidRDefault="007A30A6" w:rsidP="00245E86">
      <w:pPr>
        <w:tabs>
          <w:tab w:val="left" w:pos="6244"/>
        </w:tabs>
      </w:pPr>
    </w:p>
    <w:p w14:paraId="368812A3" w14:textId="1D3FD33B" w:rsidR="007A30A6" w:rsidRDefault="007A30A6" w:rsidP="00245E86">
      <w:pPr>
        <w:tabs>
          <w:tab w:val="left" w:pos="6244"/>
        </w:tabs>
      </w:pPr>
    </w:p>
    <w:p w14:paraId="34973402" w14:textId="2667FD82" w:rsidR="007A30A6" w:rsidRDefault="007A30A6" w:rsidP="00245E86">
      <w:pPr>
        <w:tabs>
          <w:tab w:val="left" w:pos="6244"/>
        </w:tabs>
      </w:pPr>
    </w:p>
    <w:p w14:paraId="7E751B5F" w14:textId="77777777" w:rsidR="00F3109D" w:rsidRDefault="00F3109D" w:rsidP="00245E86">
      <w:pPr>
        <w:tabs>
          <w:tab w:val="left" w:pos="6244"/>
        </w:tabs>
      </w:pPr>
    </w:p>
    <w:p w14:paraId="19EE56C2" w14:textId="2513FA54" w:rsidR="007A30A6" w:rsidRDefault="007A30A6" w:rsidP="00245E86">
      <w:pPr>
        <w:tabs>
          <w:tab w:val="left" w:pos="6244"/>
        </w:tabs>
      </w:pPr>
    </w:p>
    <w:p w14:paraId="026168C3" w14:textId="5C191F7E" w:rsidR="007A30A6" w:rsidRPr="00657AD3" w:rsidRDefault="007A30A6" w:rsidP="007A30A6">
      <w:pPr>
        <w:pStyle w:val="Heading3"/>
        <w:rPr>
          <w:sz w:val="28"/>
          <w:szCs w:val="28"/>
        </w:rPr>
      </w:pPr>
      <w:bookmarkStart w:id="20" w:name="_Toc89671619"/>
      <w:r w:rsidRPr="00657AD3">
        <w:rPr>
          <w:sz w:val="28"/>
          <w:szCs w:val="28"/>
        </w:rPr>
        <w:t>Forecast</w:t>
      </w:r>
      <w:r w:rsidR="00707133" w:rsidRPr="00657AD3">
        <w:rPr>
          <w:sz w:val="28"/>
          <w:szCs w:val="28"/>
        </w:rPr>
        <w:t>s</w:t>
      </w:r>
      <w:r w:rsidRPr="00657AD3">
        <w:rPr>
          <w:sz w:val="28"/>
          <w:szCs w:val="28"/>
        </w:rPr>
        <w:t xml:space="preserve"> by </w:t>
      </w:r>
      <w:r w:rsidR="00707133" w:rsidRPr="00657AD3">
        <w:rPr>
          <w:sz w:val="28"/>
          <w:szCs w:val="28"/>
        </w:rPr>
        <w:t>purpose</w:t>
      </w:r>
      <w:r w:rsidRPr="00657AD3">
        <w:rPr>
          <w:sz w:val="28"/>
          <w:szCs w:val="28"/>
        </w:rPr>
        <w:t xml:space="preserve"> </w:t>
      </w:r>
      <w:r w:rsidR="00707133" w:rsidRPr="00657AD3">
        <w:rPr>
          <w:sz w:val="28"/>
          <w:szCs w:val="28"/>
        </w:rPr>
        <w:t>of</w:t>
      </w:r>
      <w:r w:rsidRPr="00657AD3">
        <w:rPr>
          <w:sz w:val="28"/>
          <w:szCs w:val="28"/>
        </w:rPr>
        <w:t xml:space="preserve"> travel</w:t>
      </w:r>
      <w:bookmarkEnd w:id="20"/>
    </w:p>
    <w:p w14:paraId="6CD34459" w14:textId="7B459C26" w:rsidR="007A30A6" w:rsidRDefault="007A30A6" w:rsidP="007A30A6">
      <w:r w:rsidRPr="008B1FA9">
        <w:rPr>
          <w:rFonts w:cstheme="minorHAnsi"/>
        </w:rPr>
        <w:t>All three major travel segments</w:t>
      </w:r>
      <w:r>
        <w:rPr>
          <w:rFonts w:cstheme="minorHAnsi"/>
        </w:rPr>
        <w:t>,</w:t>
      </w:r>
      <w:r w:rsidRPr="008B1FA9">
        <w:rPr>
          <w:rFonts w:cstheme="minorHAnsi"/>
        </w:rPr>
        <w:t xml:space="preserve"> holiday, </w:t>
      </w:r>
      <w:r>
        <w:rPr>
          <w:rFonts w:cstheme="minorHAnsi"/>
        </w:rPr>
        <w:t>visiting friends and relatives (</w:t>
      </w:r>
      <w:r w:rsidRPr="008B1FA9">
        <w:rPr>
          <w:rFonts w:cstheme="minorHAnsi"/>
        </w:rPr>
        <w:t>VFR</w:t>
      </w:r>
      <w:r>
        <w:rPr>
          <w:rFonts w:cstheme="minorHAnsi"/>
        </w:rPr>
        <w:t>),</w:t>
      </w:r>
      <w:r w:rsidRPr="008B1FA9">
        <w:rPr>
          <w:rFonts w:cstheme="minorHAnsi"/>
        </w:rPr>
        <w:t xml:space="preserve"> and business travel</w:t>
      </w:r>
      <w:r>
        <w:rPr>
          <w:rFonts w:cstheme="minorHAnsi"/>
        </w:rPr>
        <w:t>,</w:t>
      </w:r>
      <w:r w:rsidRPr="008B1FA9">
        <w:rPr>
          <w:rFonts w:cstheme="minorHAnsi"/>
        </w:rPr>
        <w:t xml:space="preserve"> are forecast to rebound. </w:t>
      </w:r>
      <w:r w:rsidRPr="00B041B4">
        <w:t>By travel purpose</w:t>
      </w:r>
      <w:r>
        <w:t>,</w:t>
      </w:r>
      <w:r w:rsidRPr="00B041B4">
        <w:t xml:space="preserve"> leisure </w:t>
      </w:r>
      <w:r w:rsidR="000F795C">
        <w:t xml:space="preserve">travel </w:t>
      </w:r>
      <w:r w:rsidRPr="00B041B4">
        <w:t xml:space="preserve">(holiday and VFR) </w:t>
      </w:r>
      <w:r w:rsidR="000F795C">
        <w:t>is</w:t>
      </w:r>
      <w:r w:rsidRPr="00B041B4">
        <w:t xml:space="preserve"> expected to </w:t>
      </w:r>
      <w:r>
        <w:t>recover</w:t>
      </w:r>
      <w:r w:rsidRPr="00B041B4">
        <w:t xml:space="preserve"> </w:t>
      </w:r>
      <w:r>
        <w:t>faster</w:t>
      </w:r>
      <w:r w:rsidRPr="00B041B4">
        <w:t xml:space="preserve"> </w:t>
      </w:r>
      <w:r>
        <w:t xml:space="preserve">in coming years </w:t>
      </w:r>
      <w:r w:rsidRPr="00B041B4">
        <w:t>than business travel</w:t>
      </w:r>
      <w:r w:rsidR="00A60657">
        <w:t xml:space="preserve"> (Figure 4)</w:t>
      </w:r>
      <w:r w:rsidRPr="00B041B4">
        <w:t xml:space="preserve">. </w:t>
      </w:r>
    </w:p>
    <w:p w14:paraId="7FF1F5C7" w14:textId="77777777" w:rsidR="007A30A6" w:rsidRDefault="007A30A6" w:rsidP="007A30A6">
      <w:pPr>
        <w:rPr>
          <w:rFonts w:cstheme="minorHAnsi"/>
        </w:rPr>
      </w:pPr>
      <w:r>
        <w:rPr>
          <w:rFonts w:cstheme="minorHAnsi"/>
        </w:rPr>
        <w:t>The forecasts suggest that:</w:t>
      </w:r>
    </w:p>
    <w:p w14:paraId="2FA2FD74" w14:textId="3FE0FE6B" w:rsidR="007A30A6" w:rsidRPr="007A30A6" w:rsidRDefault="007A30A6" w:rsidP="00A60657">
      <w:pPr>
        <w:pStyle w:val="ListParagraph"/>
        <w:numPr>
          <w:ilvl w:val="0"/>
          <w:numId w:val="8"/>
        </w:numPr>
        <w:ind w:left="714" w:hanging="357"/>
        <w:contextualSpacing w:val="0"/>
      </w:pPr>
      <w:r w:rsidRPr="007A30A6">
        <w:t xml:space="preserve">Travel for VFR is the first segment to fully recover as Australians seek to reconnect with family and friends after an extended period of separation during the pandemic. </w:t>
      </w:r>
    </w:p>
    <w:p w14:paraId="1AE20ECE" w14:textId="4F49E886" w:rsidR="007A30A6" w:rsidRPr="007A30A6" w:rsidRDefault="007A30A6" w:rsidP="00A60657">
      <w:pPr>
        <w:pStyle w:val="ListParagraph"/>
        <w:numPr>
          <w:ilvl w:val="0"/>
          <w:numId w:val="8"/>
        </w:numPr>
        <w:ind w:left="714" w:hanging="357"/>
        <w:contextualSpacing w:val="0"/>
      </w:pPr>
      <w:r w:rsidRPr="007A30A6">
        <w:lastRenderedPageBreak/>
        <w:t xml:space="preserve">Travel for holiday purposes, the largest category, contributes most to growth over the next two years. Holiday travel declined by more than the other categories </w:t>
      </w:r>
      <w:r w:rsidR="00B6286D">
        <w:t>relative to the 2018-19 level</w:t>
      </w:r>
      <w:r w:rsidRPr="007A30A6">
        <w:t xml:space="preserve">, reflecting its discretionary nature and restrictions in place for this type of travel. </w:t>
      </w:r>
    </w:p>
    <w:p w14:paraId="620E365F" w14:textId="2841EBC1" w:rsidR="00B72483" w:rsidRPr="00B72483" w:rsidRDefault="007A30A6" w:rsidP="00A60657">
      <w:pPr>
        <w:pStyle w:val="ListParagraph"/>
        <w:numPr>
          <w:ilvl w:val="0"/>
          <w:numId w:val="8"/>
        </w:numPr>
        <w:ind w:left="714" w:hanging="357"/>
        <w:contextualSpacing w:val="0"/>
        <w:rPr>
          <w:rFonts w:cstheme="minorHAnsi"/>
        </w:rPr>
      </w:pPr>
      <w:r w:rsidRPr="007A30A6">
        <w:t xml:space="preserve">Travel for business purposes is slower to recover than leisure travel. </w:t>
      </w:r>
      <w:r w:rsidR="00B72483">
        <w:t xml:space="preserve">Nevertheless, business travel </w:t>
      </w:r>
      <w:r w:rsidR="00B72483" w:rsidRPr="00B041B4">
        <w:t>is forecast to</w:t>
      </w:r>
      <w:r w:rsidR="00515F5A">
        <w:t xml:space="preserve"> eventually</w:t>
      </w:r>
      <w:r w:rsidR="00B72483" w:rsidRPr="00B041B4">
        <w:t xml:space="preserve"> </w:t>
      </w:r>
      <w:r w:rsidR="00B72483">
        <w:t xml:space="preserve">return to pre-pandemic levels. This reflects a growing desire for organisations to reunite, the enduring value of face-to-face meetings for decision-making and the role of the events sector in building business relationships. </w:t>
      </w:r>
    </w:p>
    <w:p w14:paraId="3F6C64A9" w14:textId="7766E820" w:rsidR="00B72483" w:rsidRPr="00B72483" w:rsidRDefault="00B72483" w:rsidP="00A60657">
      <w:pPr>
        <w:pStyle w:val="ListParagraph"/>
        <w:numPr>
          <w:ilvl w:val="0"/>
          <w:numId w:val="8"/>
        </w:numPr>
        <w:ind w:left="714" w:hanging="357"/>
        <w:contextualSpacing w:val="0"/>
      </w:pPr>
      <w:r>
        <w:t xml:space="preserve">Travel for ‘other reasons’, the smallest category (around 5 per cent of total domestic visitation), has been more stable than the three main categories over the pandemic period. This category encompasses mainly education-related, employment and health-related travel. These reasons for travel were often subject to exemptions from travel bans. </w:t>
      </w:r>
    </w:p>
    <w:p w14:paraId="15DFC3EA" w14:textId="446BB08A" w:rsidR="00A60657" w:rsidRDefault="00A60657" w:rsidP="00F3109D">
      <w:pPr>
        <w:pStyle w:val="NumberedList"/>
        <w:numPr>
          <w:ilvl w:val="0"/>
          <w:numId w:val="0"/>
        </w:numPr>
        <w:rPr>
          <w:rFonts w:cstheme="minorHAnsi"/>
        </w:rPr>
      </w:pPr>
    </w:p>
    <w:p w14:paraId="4E67E24C" w14:textId="140B9330" w:rsidR="007A30A6" w:rsidRDefault="007A30A6" w:rsidP="00245E86">
      <w:pPr>
        <w:tabs>
          <w:tab w:val="left" w:pos="6244"/>
        </w:tabs>
      </w:pPr>
    </w:p>
    <w:p w14:paraId="6A29BD71" w14:textId="5339F76D" w:rsidR="00A81F7A" w:rsidRDefault="00781384" w:rsidP="00245E86">
      <w:pPr>
        <w:tabs>
          <w:tab w:val="left" w:pos="6244"/>
        </w:tabs>
      </w:pPr>
      <w:r>
        <w:rPr>
          <w:noProof/>
        </w:rPr>
        <w:drawing>
          <wp:anchor distT="0" distB="0" distL="114300" distR="114300" simplePos="0" relativeHeight="251761664" behindDoc="0" locked="0" layoutInCell="1" allowOverlap="1" wp14:anchorId="554CC317" wp14:editId="512BF381">
            <wp:simplePos x="0" y="0"/>
            <wp:positionH relativeFrom="margin">
              <wp:align>right</wp:align>
            </wp:positionH>
            <wp:positionV relativeFrom="paragraph">
              <wp:posOffset>5715</wp:posOffset>
            </wp:positionV>
            <wp:extent cx="6334125" cy="3625850"/>
            <wp:effectExtent l="0" t="0" r="0" b="0"/>
            <wp:wrapNone/>
            <wp:docPr id="29" name="Chart 29" descr="The graph shows stacked bars for each year summing the number of domestic visitor nights for the four main reasons to travel: holiday, visiting friends and relatives, business, and other. Actual data and forecast data cover the period from 2015-16 to 2025-26.">
              <a:extLst xmlns:a="http://schemas.openxmlformats.org/drawingml/2006/main">
                <a:ext uri="{FF2B5EF4-FFF2-40B4-BE49-F238E27FC236}">
                  <a16:creationId xmlns:a16="http://schemas.microsoft.com/office/drawing/2014/main" id="{F4A662A1-9286-4950-9BA6-19364BFD5B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page">
              <wp14:pctWidth>0</wp14:pctWidth>
            </wp14:sizeRelH>
            <wp14:sizeRelV relativeFrom="page">
              <wp14:pctHeight>0</wp14:pctHeight>
            </wp14:sizeRelV>
          </wp:anchor>
        </w:drawing>
      </w:r>
      <w:r w:rsidR="000D4180">
        <w:rPr>
          <w:noProof/>
        </w:rPr>
        <mc:AlternateContent>
          <mc:Choice Requires="wps">
            <w:drawing>
              <wp:anchor distT="0" distB="0" distL="114300" distR="114300" simplePos="0" relativeHeight="251671552" behindDoc="0" locked="0" layoutInCell="1" allowOverlap="1" wp14:anchorId="7D420C79" wp14:editId="6D0B9D42">
                <wp:simplePos x="0" y="0"/>
                <wp:positionH relativeFrom="column">
                  <wp:posOffset>140335</wp:posOffset>
                </wp:positionH>
                <wp:positionV relativeFrom="paragraph">
                  <wp:posOffset>-457200</wp:posOffset>
                </wp:positionV>
                <wp:extent cx="6029960" cy="457200"/>
                <wp:effectExtent l="0" t="0" r="8890" b="0"/>
                <wp:wrapNone/>
                <wp:docPr id="14" name="Text Box 14"/>
                <wp:cNvGraphicFramePr/>
                <a:graphic xmlns:a="http://schemas.openxmlformats.org/drawingml/2006/main">
                  <a:graphicData uri="http://schemas.microsoft.com/office/word/2010/wordprocessingShape">
                    <wps:wsp>
                      <wps:cNvSpPr txBox="1"/>
                      <wps:spPr>
                        <a:xfrm>
                          <a:off x="0" y="0"/>
                          <a:ext cx="6029960" cy="457200"/>
                        </a:xfrm>
                        <a:prstGeom prst="rect">
                          <a:avLst/>
                        </a:prstGeom>
                        <a:solidFill>
                          <a:prstClr val="white"/>
                        </a:solidFill>
                        <a:ln>
                          <a:noFill/>
                        </a:ln>
                      </wps:spPr>
                      <wps:txbx>
                        <w:txbxContent>
                          <w:p w14:paraId="0A5C2B12" w14:textId="51509A34" w:rsidR="00444B84" w:rsidRPr="000D4180" w:rsidRDefault="00444B84" w:rsidP="000D4180">
                            <w:pPr>
                              <w:pStyle w:val="Caption"/>
                              <w:spacing w:before="200"/>
                              <w:rPr>
                                <w:noProof/>
                                <w:color w:val="000000" w:themeColor="text1"/>
                                <w:sz w:val="22"/>
                                <w:szCs w:val="22"/>
                              </w:rPr>
                            </w:pPr>
                            <w:r w:rsidRPr="000D4180">
                              <w:rPr>
                                <w:sz w:val="20"/>
                                <w:szCs w:val="20"/>
                              </w:rPr>
                              <w:t xml:space="preserve">Figure </w:t>
                            </w:r>
                            <w:r>
                              <w:rPr>
                                <w:sz w:val="20"/>
                                <w:szCs w:val="20"/>
                              </w:rPr>
                              <w:fldChar w:fldCharType="begin"/>
                            </w:r>
                            <w:r>
                              <w:rPr>
                                <w:sz w:val="20"/>
                                <w:szCs w:val="20"/>
                              </w:rPr>
                              <w:instrText xml:space="preserve"> SEQ Figure \* ARABIC </w:instrText>
                            </w:r>
                            <w:r>
                              <w:rPr>
                                <w:sz w:val="20"/>
                                <w:szCs w:val="20"/>
                              </w:rPr>
                              <w:fldChar w:fldCharType="separate"/>
                            </w:r>
                            <w:r>
                              <w:rPr>
                                <w:noProof/>
                                <w:sz w:val="20"/>
                                <w:szCs w:val="20"/>
                              </w:rPr>
                              <w:t>4</w:t>
                            </w:r>
                            <w:r>
                              <w:rPr>
                                <w:sz w:val="20"/>
                                <w:szCs w:val="20"/>
                              </w:rPr>
                              <w:fldChar w:fldCharType="end"/>
                            </w:r>
                            <w:r w:rsidRPr="000D4180">
                              <w:rPr>
                                <w:sz w:val="20"/>
                                <w:szCs w:val="20"/>
                              </w:rPr>
                              <w:t xml:space="preserve"> – Domestic visitor nights by purpose of travel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7D420C79" id="Text Box 14" o:spid="_x0000_s1028" type="#_x0000_t202" style="position:absolute;margin-left:11.05pt;margin-top:-36pt;width:474.8pt;height:36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" stroked="f">
                <v:textbox inset="0,0,0,0">
                  <w:txbxContent>
                    <w:p w14:paraId="0A5C2B12" w14:textId="51509A34" w:rsidR="00444B84" w:rsidRPr="000D4180" w:rsidRDefault="00444B84" w:rsidP="000D4180">
                      <w:pPr>
                        <w:pStyle w:val="Caption"/>
                        <w:spacing w:before="200"/>
                        <w:rPr>
                          <w:noProof/>
                          <w:color w:val="000000" w:themeColor="text1"/>
                          <w:sz w:val="22"/>
                          <w:szCs w:val="22"/>
                        </w:rPr>
                      </w:pPr>
                      <w:r w:rsidRPr="000D4180">
                        <w:rPr>
                          <w:sz w:val="20"/>
                          <w:szCs w:val="20"/>
                        </w:rPr>
                        <w:t xml:space="preserve">Figure </w:t>
                      </w:r>
                      <w:r>
                        <w:rPr>
                          <w:sz w:val="20"/>
                          <w:szCs w:val="20"/>
                        </w:rPr>
                        <w:fldChar w:fldCharType="begin"/>
                      </w:r>
                      <w:r>
                        <w:rPr>
                          <w:sz w:val="20"/>
                          <w:szCs w:val="20"/>
                        </w:rPr>
                        <w:instrText xml:space="preserve"> SEQ Figure \* ARABIC </w:instrText>
                      </w:r>
                      <w:r>
                        <w:rPr>
                          <w:sz w:val="20"/>
                          <w:szCs w:val="20"/>
                        </w:rPr>
                        <w:fldChar w:fldCharType="separate"/>
                      </w:r>
                      <w:r>
                        <w:rPr>
                          <w:noProof/>
                          <w:sz w:val="20"/>
                          <w:szCs w:val="20"/>
                        </w:rPr>
                        <w:t>4</w:t>
                      </w:r>
                      <w:r>
                        <w:rPr>
                          <w:sz w:val="20"/>
                          <w:szCs w:val="20"/>
                        </w:rPr>
                        <w:fldChar w:fldCharType="end"/>
                      </w:r>
                      <w:r w:rsidRPr="000D4180">
                        <w:rPr>
                          <w:sz w:val="20"/>
                          <w:szCs w:val="20"/>
                        </w:rPr>
                        <w:t xml:space="preserve"> – Domestic visitor nights by purpose of travel</w:t>
                      </w:r>
                    </w:p>
                  </w:txbxContent>
                </v:textbox>
              </v:shape>
            </w:pict>
          </mc:Fallback>
        </mc:AlternateContent>
      </w:r>
    </w:p>
    <w:p w14:paraId="1503C42F" w14:textId="1B01AAD4" w:rsidR="00A81F7A" w:rsidRDefault="00A81F7A" w:rsidP="00245E86">
      <w:pPr>
        <w:tabs>
          <w:tab w:val="left" w:pos="6244"/>
        </w:tabs>
      </w:pPr>
    </w:p>
    <w:p w14:paraId="658681BC" w14:textId="5BBCA3FF" w:rsidR="00A81F7A" w:rsidRDefault="00A81F7A" w:rsidP="00245E86">
      <w:pPr>
        <w:tabs>
          <w:tab w:val="left" w:pos="6244"/>
        </w:tabs>
      </w:pPr>
    </w:p>
    <w:p w14:paraId="552DEAEF" w14:textId="5D9ABA73" w:rsidR="00A81F7A" w:rsidRDefault="00A81F7A" w:rsidP="00245E86">
      <w:pPr>
        <w:tabs>
          <w:tab w:val="left" w:pos="6244"/>
        </w:tabs>
      </w:pPr>
    </w:p>
    <w:p w14:paraId="13EFAFA3" w14:textId="6D31BC3B" w:rsidR="00A81F7A" w:rsidRDefault="00A81F7A" w:rsidP="00245E86">
      <w:pPr>
        <w:tabs>
          <w:tab w:val="left" w:pos="6244"/>
        </w:tabs>
      </w:pPr>
    </w:p>
    <w:p w14:paraId="280F103B" w14:textId="64EE7761" w:rsidR="00A81F7A" w:rsidRDefault="00A81F7A" w:rsidP="00245E86">
      <w:pPr>
        <w:tabs>
          <w:tab w:val="left" w:pos="6244"/>
        </w:tabs>
      </w:pPr>
    </w:p>
    <w:p w14:paraId="2B66BD2D" w14:textId="1E91D72D" w:rsidR="00A81F7A" w:rsidRDefault="00A81F7A" w:rsidP="00245E86">
      <w:pPr>
        <w:tabs>
          <w:tab w:val="left" w:pos="6244"/>
        </w:tabs>
      </w:pPr>
    </w:p>
    <w:p w14:paraId="5BF8A4CD" w14:textId="6A58D3C6" w:rsidR="009957B5" w:rsidRDefault="009957B5" w:rsidP="00245E86">
      <w:pPr>
        <w:tabs>
          <w:tab w:val="left" w:pos="6244"/>
        </w:tabs>
      </w:pPr>
    </w:p>
    <w:p w14:paraId="6CC1530E" w14:textId="4F9C3127" w:rsidR="00F3109D" w:rsidRDefault="00F3109D" w:rsidP="00245E86">
      <w:pPr>
        <w:tabs>
          <w:tab w:val="left" w:pos="6244"/>
        </w:tabs>
      </w:pPr>
    </w:p>
    <w:p w14:paraId="361682C1" w14:textId="18A2FAEF" w:rsidR="00F3109D" w:rsidRDefault="00F3109D" w:rsidP="00245E86">
      <w:pPr>
        <w:tabs>
          <w:tab w:val="left" w:pos="6244"/>
        </w:tabs>
      </w:pPr>
    </w:p>
    <w:p w14:paraId="3F816DFA" w14:textId="77777777" w:rsidR="00F3109D" w:rsidRDefault="00F3109D" w:rsidP="00245E86">
      <w:pPr>
        <w:tabs>
          <w:tab w:val="left" w:pos="6244"/>
        </w:tabs>
      </w:pPr>
    </w:p>
    <w:p w14:paraId="1464428F" w14:textId="1A5BEA58" w:rsidR="009957B5" w:rsidRDefault="009957B5" w:rsidP="00245E86">
      <w:pPr>
        <w:tabs>
          <w:tab w:val="left" w:pos="6244"/>
        </w:tabs>
      </w:pPr>
    </w:p>
    <w:p w14:paraId="4BD841E9" w14:textId="26A684B0" w:rsidR="009957B5" w:rsidRDefault="009957B5" w:rsidP="00245E86">
      <w:pPr>
        <w:tabs>
          <w:tab w:val="left" w:pos="6244"/>
        </w:tabs>
      </w:pPr>
    </w:p>
    <w:p w14:paraId="3D2670E1" w14:textId="68B7F5D8" w:rsidR="00590AA4" w:rsidRPr="00B72483" w:rsidRDefault="00590AA4" w:rsidP="00590AA4">
      <w:pPr>
        <w:rPr>
          <w:rFonts w:cstheme="minorHAnsi"/>
        </w:rPr>
      </w:pPr>
      <w:r w:rsidRPr="007A30A6">
        <w:t>Businesses may be more</w:t>
      </w:r>
      <w:r w:rsidRPr="00B72483">
        <w:rPr>
          <w:rFonts w:cstheme="minorHAnsi"/>
        </w:rPr>
        <w:t xml:space="preserve"> constrained than individuals when reinstating travel plans, and slower growth </w:t>
      </w:r>
      <w:r w:rsidR="00B1076C">
        <w:rPr>
          <w:rFonts w:cstheme="minorHAnsi"/>
        </w:rPr>
        <w:t xml:space="preserve">in business travel in the near-term </w:t>
      </w:r>
      <w:r w:rsidRPr="00B72483">
        <w:rPr>
          <w:rFonts w:cstheme="minorHAnsi"/>
        </w:rPr>
        <w:t xml:space="preserve">reflects the following three factors: </w:t>
      </w:r>
    </w:p>
    <w:p w14:paraId="06C541E1" w14:textId="77777777" w:rsidR="00590AA4" w:rsidRPr="00F3109D" w:rsidRDefault="00590AA4" w:rsidP="00590AA4">
      <w:pPr>
        <w:pStyle w:val="NumberedList"/>
        <w:numPr>
          <w:ilvl w:val="0"/>
          <w:numId w:val="3"/>
        </w:numPr>
        <w:ind w:left="992" w:hanging="425"/>
        <w:contextualSpacing w:val="0"/>
        <w:rPr>
          <w:rFonts w:cstheme="minorHAnsi"/>
        </w:rPr>
      </w:pPr>
      <w:r>
        <w:t xml:space="preserve">The availability of efficient alternative communication methods allows business meetings to be conducted both online and in-person. </w:t>
      </w:r>
      <w:r w:rsidRPr="00F3109D">
        <w:rPr>
          <w:rFonts w:cstheme="minorHAnsi"/>
        </w:rPr>
        <w:t xml:space="preserve">Businesses are expected to permanently adopt some changes to business communication methods that were implemented during the pandemic, such as virtual meetings instead of face-to-face meetings for more routine matters. </w:t>
      </w:r>
    </w:p>
    <w:p w14:paraId="587D1BEB" w14:textId="77777777" w:rsidR="00590AA4" w:rsidRDefault="00590AA4" w:rsidP="00590AA4">
      <w:pPr>
        <w:pStyle w:val="NumberedList"/>
        <w:ind w:left="992" w:hanging="425"/>
        <w:contextualSpacing w:val="0"/>
        <w:rPr>
          <w:rFonts w:cstheme="minorHAnsi"/>
        </w:rPr>
      </w:pPr>
      <w:r>
        <w:rPr>
          <w:rFonts w:cstheme="minorHAnsi"/>
        </w:rPr>
        <w:t xml:space="preserve">There is less pent-up demand in this sector because essential </w:t>
      </w:r>
      <w:r w:rsidRPr="004C2328">
        <w:rPr>
          <w:rFonts w:cstheme="minorHAnsi"/>
        </w:rPr>
        <w:t xml:space="preserve">business travel </w:t>
      </w:r>
      <w:r>
        <w:rPr>
          <w:rFonts w:cstheme="minorHAnsi"/>
        </w:rPr>
        <w:t xml:space="preserve">was permitted </w:t>
      </w:r>
      <w:r w:rsidRPr="004C2328">
        <w:rPr>
          <w:rFonts w:cstheme="minorHAnsi"/>
        </w:rPr>
        <w:t>during travel restrictions</w:t>
      </w:r>
      <w:r>
        <w:rPr>
          <w:rFonts w:cstheme="minorHAnsi"/>
        </w:rPr>
        <w:t>, whereas leisure travel was severely restricted</w:t>
      </w:r>
      <w:r w:rsidRPr="004C2328">
        <w:rPr>
          <w:rFonts w:cstheme="minorHAnsi"/>
        </w:rPr>
        <w:t xml:space="preserve">. </w:t>
      </w:r>
    </w:p>
    <w:p w14:paraId="52A4F5A4" w14:textId="7A529D77" w:rsidR="00590AA4" w:rsidRDefault="00590AA4" w:rsidP="00590AA4">
      <w:pPr>
        <w:pStyle w:val="NumberedList"/>
        <w:ind w:left="992" w:hanging="425"/>
        <w:contextualSpacing w:val="0"/>
        <w:rPr>
          <w:rFonts w:cstheme="minorHAnsi"/>
        </w:rPr>
      </w:pPr>
      <w:r>
        <w:rPr>
          <w:rFonts w:cstheme="minorHAnsi"/>
        </w:rPr>
        <w:lastRenderedPageBreak/>
        <w:t>Business travellers tend to have shorter stays and undertake date-dependent travel. The risk of changes to travel schedules may deter business travellers more than travellers planning longer visits that are not tied to a particular date. This is not expected to present a significant constraint to business travel beyond the near-term, as the risk of lockdowns/quarantine requirements and border closures diminishes.</w:t>
      </w:r>
    </w:p>
    <w:p w14:paraId="4E6FC8A1" w14:textId="3A111911" w:rsidR="00B1076C" w:rsidRDefault="00B1076C" w:rsidP="00B1076C">
      <w:pPr>
        <w:pStyle w:val="NumberedList"/>
        <w:numPr>
          <w:ilvl w:val="0"/>
          <w:numId w:val="0"/>
        </w:numPr>
        <w:contextualSpacing w:val="0"/>
        <w:rPr>
          <w:rFonts w:cstheme="minorHAnsi"/>
        </w:rPr>
      </w:pPr>
      <w:r>
        <w:t xml:space="preserve">Critical to the recovery of business travel will be overcoming </w:t>
      </w:r>
      <w:r>
        <w:rPr>
          <w:rFonts w:cstheme="minorHAnsi"/>
        </w:rPr>
        <w:t>community concerns regarding travel safety</w:t>
      </w:r>
      <w:r>
        <w:t>.</w:t>
      </w:r>
    </w:p>
    <w:p w14:paraId="5E16322B" w14:textId="6C22774E" w:rsidR="009957B5" w:rsidRPr="00657AD3" w:rsidRDefault="009957B5" w:rsidP="009957B5">
      <w:pPr>
        <w:pStyle w:val="Heading3"/>
        <w:rPr>
          <w:sz w:val="28"/>
          <w:szCs w:val="28"/>
        </w:rPr>
      </w:pPr>
      <w:bookmarkStart w:id="21" w:name="_Ref89332726"/>
      <w:bookmarkStart w:id="22" w:name="_Toc89671620"/>
      <w:r w:rsidRPr="00657AD3">
        <w:rPr>
          <w:sz w:val="28"/>
          <w:szCs w:val="28"/>
        </w:rPr>
        <w:t xml:space="preserve">Economic factors affecting the </w:t>
      </w:r>
      <w:r w:rsidR="001376E3" w:rsidRPr="00657AD3">
        <w:rPr>
          <w:sz w:val="28"/>
          <w:szCs w:val="28"/>
        </w:rPr>
        <w:t xml:space="preserve">national </w:t>
      </w:r>
      <w:r w:rsidRPr="00657AD3">
        <w:rPr>
          <w:sz w:val="28"/>
          <w:szCs w:val="28"/>
        </w:rPr>
        <w:t>forecasts</w:t>
      </w:r>
      <w:bookmarkEnd w:id="21"/>
      <w:bookmarkEnd w:id="22"/>
    </w:p>
    <w:p w14:paraId="1BAF927A" w14:textId="28AEDF43" w:rsidR="008A133F" w:rsidRDefault="009957B5" w:rsidP="009957B5">
      <w:r w:rsidRPr="00B041B4">
        <w:t>The</w:t>
      </w:r>
      <w:r>
        <w:t xml:space="preserve"> strength of the </w:t>
      </w:r>
      <w:r w:rsidR="00590AA4">
        <w:t>projected</w:t>
      </w:r>
      <w:r w:rsidR="008A133F">
        <w:t xml:space="preserve"> </w:t>
      </w:r>
      <w:r w:rsidRPr="00B041B4">
        <w:t>recovery</w:t>
      </w:r>
      <w:r w:rsidR="008A133F">
        <w:t xml:space="preserve"> in domestic tourism, particularly</w:t>
      </w:r>
      <w:r w:rsidRPr="00B041B4">
        <w:t xml:space="preserve"> </w:t>
      </w:r>
      <w:r>
        <w:t>i</w:t>
      </w:r>
      <w:r w:rsidR="008A133F">
        <w:t>n the near-term, i</w:t>
      </w:r>
      <w:r>
        <w:t xml:space="preserve">s </w:t>
      </w:r>
      <w:r w:rsidRPr="00B041B4">
        <w:t xml:space="preserve">underpinned by </w:t>
      </w:r>
      <w:r w:rsidR="008A133F">
        <w:t xml:space="preserve">a number of factors. These </w:t>
      </w:r>
      <w:r w:rsidR="00B1076C">
        <w:t xml:space="preserve">factors </w:t>
      </w:r>
      <w:r w:rsidR="008A133F">
        <w:t>are discussed below and include:</w:t>
      </w:r>
    </w:p>
    <w:p w14:paraId="328ED2AE" w14:textId="5101CDD2" w:rsidR="008A133F" w:rsidRDefault="008A133F" w:rsidP="008A133F">
      <w:pPr>
        <w:pStyle w:val="ListParagraph"/>
        <w:numPr>
          <w:ilvl w:val="0"/>
          <w:numId w:val="8"/>
        </w:numPr>
      </w:pPr>
      <w:r>
        <w:t xml:space="preserve">reopening of state borders </w:t>
      </w:r>
    </w:p>
    <w:p w14:paraId="2C3530D5" w14:textId="4D41C881" w:rsidR="008A133F" w:rsidRDefault="008A133F" w:rsidP="008A133F">
      <w:pPr>
        <w:pStyle w:val="ListParagraph"/>
        <w:numPr>
          <w:ilvl w:val="0"/>
          <w:numId w:val="8"/>
        </w:numPr>
      </w:pPr>
      <w:r>
        <w:t xml:space="preserve">declining risk of lockdowns </w:t>
      </w:r>
    </w:p>
    <w:p w14:paraId="0F9F2A22" w14:textId="6FB5E72F" w:rsidR="008A133F" w:rsidRDefault="008A133F" w:rsidP="008A133F">
      <w:pPr>
        <w:pStyle w:val="ListParagraph"/>
        <w:numPr>
          <w:ilvl w:val="0"/>
          <w:numId w:val="8"/>
        </w:numPr>
      </w:pPr>
      <w:r>
        <w:t xml:space="preserve">pent-up demand for travel </w:t>
      </w:r>
    </w:p>
    <w:p w14:paraId="68200A27" w14:textId="3072EC9D" w:rsidR="008A133F" w:rsidRPr="00CB0E53" w:rsidRDefault="008A133F" w:rsidP="008A133F">
      <w:pPr>
        <w:pStyle w:val="ListParagraph"/>
        <w:numPr>
          <w:ilvl w:val="0"/>
          <w:numId w:val="8"/>
        </w:numPr>
      </w:pPr>
      <w:r w:rsidRPr="00CB0E53">
        <w:rPr>
          <w:rFonts w:cstheme="minorHAnsi"/>
        </w:rPr>
        <w:t xml:space="preserve">accrued leave and disposable income during lockdowns </w:t>
      </w:r>
    </w:p>
    <w:p w14:paraId="30327607" w14:textId="43EC044C" w:rsidR="008A133F" w:rsidRPr="00C61007" w:rsidRDefault="008A133F" w:rsidP="008A133F">
      <w:pPr>
        <w:pStyle w:val="ListParagraph"/>
        <w:numPr>
          <w:ilvl w:val="0"/>
          <w:numId w:val="8"/>
        </w:numPr>
      </w:pPr>
      <w:r w:rsidRPr="00CB0E53">
        <w:rPr>
          <w:rFonts w:cstheme="minorHAnsi"/>
        </w:rPr>
        <w:t>incentivisation from government travel subsidies and support payments</w:t>
      </w:r>
    </w:p>
    <w:p w14:paraId="1AE6A7B0" w14:textId="506DB977" w:rsidR="008A133F" w:rsidRDefault="008A133F" w:rsidP="008A133F">
      <w:pPr>
        <w:pStyle w:val="ListParagraph"/>
        <w:numPr>
          <w:ilvl w:val="0"/>
          <w:numId w:val="8"/>
        </w:numPr>
      </w:pPr>
      <w:r>
        <w:rPr>
          <w:rFonts w:cstheme="minorHAnsi"/>
        </w:rPr>
        <w:t>marketing by the tourism industry</w:t>
      </w:r>
      <w:r>
        <w:t xml:space="preserve">  </w:t>
      </w:r>
    </w:p>
    <w:p w14:paraId="1DBBC6CF" w14:textId="77777777" w:rsidR="008A133F" w:rsidRDefault="008A133F" w:rsidP="008A133F">
      <w:pPr>
        <w:pStyle w:val="ListParagraph"/>
        <w:numPr>
          <w:ilvl w:val="0"/>
          <w:numId w:val="8"/>
        </w:numPr>
      </w:pPr>
      <w:r>
        <w:t>increasing traveller confidence to travel domestically, and</w:t>
      </w:r>
    </w:p>
    <w:p w14:paraId="47C6ABB2" w14:textId="77777777" w:rsidR="008A133F" w:rsidRDefault="008A133F" w:rsidP="008A133F">
      <w:pPr>
        <w:pStyle w:val="ListParagraph"/>
        <w:numPr>
          <w:ilvl w:val="0"/>
          <w:numId w:val="8"/>
        </w:numPr>
      </w:pPr>
      <w:r>
        <w:t xml:space="preserve">barriers to international travel (cost, complexity and hesitancy).  </w:t>
      </w:r>
    </w:p>
    <w:p w14:paraId="0701B78B" w14:textId="693B8F32" w:rsidR="009957B5" w:rsidRDefault="009957B5" w:rsidP="009957B5">
      <w:r>
        <w:t xml:space="preserve">Forecasts are conditioned on the </w:t>
      </w:r>
      <w:hyperlink r:id="rId26" w:history="1">
        <w:r w:rsidRPr="00F73CC9">
          <w:rPr>
            <w:rStyle w:val="Hyperlink"/>
          </w:rPr>
          <w:t>National Plan</w:t>
        </w:r>
      </w:hyperlink>
      <w:r>
        <w:t xml:space="preserve"> suggesting that lockdowns are now less likely </w:t>
      </w:r>
      <w:r w:rsidR="00590AA4">
        <w:t>as a result of</w:t>
      </w:r>
      <w:r>
        <w:t xml:space="preserve"> high double-dose vaccination rates. As travel restrictions ease, Australians are expected to return to </w:t>
      </w:r>
      <w:r w:rsidR="006579E5">
        <w:t>their previous</w:t>
      </w:r>
      <w:r>
        <w:t xml:space="preserve"> travel habits, seek opportunities to reconnect with family and friends, and participate in events that support the visitor economy. </w:t>
      </w:r>
    </w:p>
    <w:p w14:paraId="6CF09D9E" w14:textId="437D59A7" w:rsidR="009957B5" w:rsidRDefault="009957B5" w:rsidP="00A60657">
      <w:pPr>
        <w:pStyle w:val="ListParagraph"/>
        <w:numPr>
          <w:ilvl w:val="0"/>
          <w:numId w:val="10"/>
        </w:numPr>
        <w:ind w:left="714" w:hanging="357"/>
      </w:pPr>
      <w:r>
        <w:t xml:space="preserve">Sentiment indicators suggest that Australians are keen to travel once </w:t>
      </w:r>
      <w:r w:rsidR="00F806F4">
        <w:t xml:space="preserve">internal </w:t>
      </w:r>
      <w:r>
        <w:t xml:space="preserve">borders reopen, and many are actively planning their next getaway. </w:t>
      </w:r>
    </w:p>
    <w:p w14:paraId="36AE9E13" w14:textId="6E43B2D9" w:rsidR="009957B5" w:rsidRDefault="00A60657" w:rsidP="00A60657">
      <w:pPr>
        <w:pStyle w:val="ListParagraph"/>
        <w:numPr>
          <w:ilvl w:val="0"/>
          <w:numId w:val="10"/>
        </w:numPr>
        <w:ind w:left="714" w:hanging="357"/>
      </w:pPr>
      <w:r>
        <w:t>D</w:t>
      </w:r>
      <w:r w:rsidR="009957B5">
        <w:t>ata available for October</w:t>
      </w:r>
      <w:r>
        <w:t xml:space="preserve"> 2021</w:t>
      </w:r>
      <w:r w:rsidR="009957B5">
        <w:t xml:space="preserve"> suggest that </w:t>
      </w:r>
      <w:r w:rsidR="003C64B0">
        <w:t>some</w:t>
      </w:r>
      <w:r>
        <w:t xml:space="preserve"> </w:t>
      </w:r>
      <w:r w:rsidR="009957B5">
        <w:t xml:space="preserve">activity resumed immediately after lockdown measures were eased. </w:t>
      </w:r>
    </w:p>
    <w:p w14:paraId="00849D23" w14:textId="31B0E940" w:rsidR="009957B5" w:rsidRDefault="009957B5" w:rsidP="00A60657">
      <w:pPr>
        <w:pStyle w:val="ListParagraph"/>
        <w:numPr>
          <w:ilvl w:val="0"/>
          <w:numId w:val="10"/>
        </w:numPr>
        <w:ind w:left="714" w:hanging="357"/>
      </w:pPr>
      <w:r>
        <w:t>TRA’s Trip Rate</w:t>
      </w:r>
      <w:r w:rsidR="006D2C07">
        <w:rPr>
          <w:rStyle w:val="FootnoteReference"/>
        </w:rPr>
        <w:footnoteReference w:id="4"/>
      </w:r>
      <w:r>
        <w:t xml:space="preserve"> measure increased in </w:t>
      </w:r>
      <w:r w:rsidR="00117DB3">
        <w:t>both</w:t>
      </w:r>
      <w:r>
        <w:t xml:space="preserve"> October and November 2021</w:t>
      </w:r>
      <w:r w:rsidR="00117DB3">
        <w:t>, following the easing of travel restrictions in parts of Australia (Figure 5). The trip rate had earlier</w:t>
      </w:r>
      <w:r>
        <w:t xml:space="preserve"> declin</w:t>
      </w:r>
      <w:r w:rsidR="00117DB3">
        <w:t>ed</w:t>
      </w:r>
      <w:r>
        <w:t xml:space="preserve"> from </w:t>
      </w:r>
      <w:r w:rsidR="00117DB3">
        <w:t xml:space="preserve">around </w:t>
      </w:r>
      <w:r>
        <w:t xml:space="preserve">the time of </w:t>
      </w:r>
      <w:r w:rsidR="00117DB3">
        <w:t xml:space="preserve">the </w:t>
      </w:r>
      <w:r w:rsidR="00590AA4">
        <w:t xml:space="preserve">mid-2021 </w:t>
      </w:r>
      <w:r>
        <w:t xml:space="preserve">Delta </w:t>
      </w:r>
      <w:r w:rsidR="00117DB3">
        <w:t xml:space="preserve">variant </w:t>
      </w:r>
      <w:r>
        <w:t xml:space="preserve">outbreaks </w:t>
      </w:r>
      <w:r w:rsidR="00117DB3">
        <w:t>and consequent lockdowns</w:t>
      </w:r>
      <w:r>
        <w:t xml:space="preserve">. </w:t>
      </w:r>
    </w:p>
    <w:p w14:paraId="11B8DD77" w14:textId="3D9BA585" w:rsidR="006579E5" w:rsidRDefault="009957B5" w:rsidP="006579E5">
      <w:pPr>
        <w:pStyle w:val="ListParagraph"/>
        <w:numPr>
          <w:ilvl w:val="0"/>
          <w:numId w:val="10"/>
        </w:numPr>
        <w:ind w:left="714" w:hanging="357"/>
      </w:pPr>
      <w:r>
        <w:t xml:space="preserve">TRA data similarly show that domestic tourism rebounded rapidly from lockdowns </w:t>
      </w:r>
      <w:r w:rsidR="00630F11">
        <w:t>in 2020</w:t>
      </w:r>
      <w:r>
        <w:t xml:space="preserve">. A similar trajectory is envisaged in the near-term forecasts. </w:t>
      </w:r>
    </w:p>
    <w:p w14:paraId="7A949480" w14:textId="31A192B9" w:rsidR="00590AA4" w:rsidRDefault="007F101F" w:rsidP="00590AA4">
      <w:r>
        <w:t>T</w:t>
      </w:r>
      <w:r w:rsidR="00590AA4">
        <w:t>he household saving rate increased substantially over the pandemic period</w:t>
      </w:r>
      <w:r>
        <w:t>, and household</w:t>
      </w:r>
      <w:r w:rsidRPr="007F101F">
        <w:t xml:space="preserve"> </w:t>
      </w:r>
      <w:r>
        <w:t>disposable income has been high</w:t>
      </w:r>
      <w:r w:rsidR="00590AA4">
        <w:t xml:space="preserve">. Households are now expected to spend some of those accumulated savings as opportunities for spending open up. Leave balances may have also accumulated over the pandemic period and may enable Australians to undertake additional travel. </w:t>
      </w:r>
    </w:p>
    <w:p w14:paraId="1729B4F6" w14:textId="77777777" w:rsidR="00590AA4" w:rsidRDefault="00590AA4" w:rsidP="00590AA4"/>
    <w:p w14:paraId="62FDE5AA" w14:textId="1E297F98" w:rsidR="009957B5" w:rsidRDefault="00630F11" w:rsidP="00245E86">
      <w:pPr>
        <w:tabs>
          <w:tab w:val="left" w:pos="6244"/>
        </w:tabs>
      </w:pPr>
      <w:r>
        <w:rPr>
          <w:noProof/>
        </w:rPr>
        <mc:AlternateContent>
          <mc:Choice Requires="wps">
            <w:drawing>
              <wp:anchor distT="0" distB="0" distL="114300" distR="114300" simplePos="0" relativeHeight="251678720" behindDoc="0" locked="0" layoutInCell="1" allowOverlap="1" wp14:anchorId="014C1390" wp14:editId="3910BAFE">
                <wp:simplePos x="0" y="0"/>
                <wp:positionH relativeFrom="column">
                  <wp:posOffset>19050</wp:posOffset>
                </wp:positionH>
                <wp:positionV relativeFrom="paragraph">
                  <wp:posOffset>-160020</wp:posOffset>
                </wp:positionV>
                <wp:extent cx="6363335" cy="4572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6363335" cy="457200"/>
                        </a:xfrm>
                        <a:prstGeom prst="rect">
                          <a:avLst/>
                        </a:prstGeom>
                        <a:solidFill>
                          <a:prstClr val="white"/>
                        </a:solidFill>
                        <a:ln>
                          <a:noFill/>
                        </a:ln>
                      </wps:spPr>
                      <wps:txbx>
                        <w:txbxContent>
                          <w:p w14:paraId="3CCD2C13" w14:textId="7FDDFAC7" w:rsidR="00444B84" w:rsidRPr="00630F11" w:rsidRDefault="00444B84" w:rsidP="00630F11">
                            <w:pPr>
                              <w:pStyle w:val="Caption"/>
                              <w:spacing w:before="200"/>
                              <w:rPr>
                                <w:noProof/>
                                <w:color w:val="000000" w:themeColor="text1"/>
                                <w:sz w:val="22"/>
                                <w:szCs w:val="22"/>
                              </w:rPr>
                            </w:pPr>
                            <w:r w:rsidRPr="00630F11">
                              <w:rPr>
                                <w:sz w:val="20"/>
                                <w:szCs w:val="20"/>
                              </w:rPr>
                              <w:t xml:space="preserve">Figure </w:t>
                            </w:r>
                            <w:r>
                              <w:rPr>
                                <w:sz w:val="20"/>
                                <w:szCs w:val="20"/>
                              </w:rPr>
                              <w:fldChar w:fldCharType="begin"/>
                            </w:r>
                            <w:r>
                              <w:rPr>
                                <w:sz w:val="20"/>
                                <w:szCs w:val="20"/>
                              </w:rPr>
                              <w:instrText xml:space="preserve"> SEQ Figure \* ARABIC </w:instrText>
                            </w:r>
                            <w:r>
                              <w:rPr>
                                <w:sz w:val="20"/>
                                <w:szCs w:val="20"/>
                              </w:rPr>
                              <w:fldChar w:fldCharType="separate"/>
                            </w:r>
                            <w:r>
                              <w:rPr>
                                <w:noProof/>
                                <w:sz w:val="20"/>
                                <w:szCs w:val="20"/>
                              </w:rPr>
                              <w:t>5</w:t>
                            </w:r>
                            <w:r>
                              <w:rPr>
                                <w:sz w:val="20"/>
                                <w:szCs w:val="20"/>
                              </w:rPr>
                              <w:fldChar w:fldCharType="end"/>
                            </w:r>
                            <w:r>
                              <w:t xml:space="preserve"> </w:t>
                            </w:r>
                            <w:r w:rsidRPr="00630F11">
                              <w:rPr>
                                <w:sz w:val="20"/>
                                <w:szCs w:val="20"/>
                              </w:rPr>
                              <w:t>– Domestic overnight trips and trip rate</w:t>
                            </w:r>
                          </w:p>
                          <w:p w14:paraId="2EFC5B9F" w14:textId="2620B81C" w:rsidR="00444B84" w:rsidRPr="00754F2E" w:rsidRDefault="00444B84" w:rsidP="00630F11">
                            <w:pPr>
                              <w:pStyle w:val="Caption"/>
                              <w:rPr>
                                <w:noProof/>
                                <w:color w:val="000000" w:themeColor="text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014C1390" id="Text Box 19" o:spid="_x0000_s1029" type="#_x0000_t202" style="position:absolute;margin-left:1.5pt;margin-top:-12.6pt;width:501.05pt;height:36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" stroked="f">
                <v:textbox inset="0,0,0,0">
                  <w:txbxContent>
                    <w:p w14:paraId="3CCD2C13" w14:textId="7FDDFAC7" w:rsidR="00444B84" w:rsidRPr="00630F11" w:rsidRDefault="00444B84" w:rsidP="00630F11">
                      <w:pPr>
                        <w:pStyle w:val="Caption"/>
                        <w:spacing w:before="200"/>
                        <w:rPr>
                          <w:noProof/>
                          <w:color w:val="000000" w:themeColor="text1"/>
                          <w:sz w:val="22"/>
                          <w:szCs w:val="22"/>
                        </w:rPr>
                      </w:pPr>
                      <w:r w:rsidRPr="00630F11">
                        <w:rPr>
                          <w:sz w:val="20"/>
                          <w:szCs w:val="20"/>
                        </w:rPr>
                        <w:t xml:space="preserve">Figure </w:t>
                      </w:r>
                      <w:r>
                        <w:rPr>
                          <w:sz w:val="20"/>
                          <w:szCs w:val="20"/>
                        </w:rPr>
                        <w:fldChar w:fldCharType="begin"/>
                      </w:r>
                      <w:r>
                        <w:rPr>
                          <w:sz w:val="20"/>
                          <w:szCs w:val="20"/>
                        </w:rPr>
                        <w:instrText xml:space="preserve"> SEQ Figure \* ARABIC </w:instrText>
                      </w:r>
                      <w:r>
                        <w:rPr>
                          <w:sz w:val="20"/>
                          <w:szCs w:val="20"/>
                        </w:rPr>
                        <w:fldChar w:fldCharType="separate"/>
                      </w:r>
                      <w:r>
                        <w:rPr>
                          <w:noProof/>
                          <w:sz w:val="20"/>
                          <w:szCs w:val="20"/>
                        </w:rPr>
                        <w:t>5</w:t>
                      </w:r>
                      <w:r>
                        <w:rPr>
                          <w:sz w:val="20"/>
                          <w:szCs w:val="20"/>
                        </w:rPr>
                        <w:fldChar w:fldCharType="end"/>
                      </w:r>
                      <w:r>
                        <w:t xml:space="preserve"> </w:t>
                      </w:r>
                      <w:r w:rsidRPr="00630F11">
                        <w:rPr>
                          <w:sz w:val="20"/>
                          <w:szCs w:val="20"/>
                        </w:rPr>
                        <w:t>– Domestic overnight trips and trip rate</w:t>
                      </w:r>
                    </w:p>
                    <w:p w14:paraId="2EFC5B9F" w14:textId="2620B81C" w:rsidR="00444B84" w:rsidRPr="00754F2E" w:rsidRDefault="00444B84" w:rsidP="00630F11">
                      <w:pPr>
                        <w:pStyle w:val="Caption"/>
                        <w:rPr>
                          <w:noProof/>
                          <w:color w:val="000000" w:themeColor="text1"/>
                          <w:sz w:val="20"/>
                          <w:szCs w:val="20"/>
                        </w:rPr>
                      </w:pPr>
                    </w:p>
                  </w:txbxContent>
                </v:textbox>
              </v:shape>
            </w:pict>
          </mc:Fallback>
        </mc:AlternateContent>
      </w:r>
    </w:p>
    <w:p w14:paraId="343AF4A9" w14:textId="68BE00B7" w:rsidR="009957B5" w:rsidRDefault="00781384" w:rsidP="00245E86">
      <w:pPr>
        <w:tabs>
          <w:tab w:val="left" w:pos="6244"/>
        </w:tabs>
      </w:pPr>
      <w:r>
        <w:rPr>
          <w:noProof/>
        </w:rPr>
        <w:drawing>
          <wp:anchor distT="0" distB="0" distL="114300" distR="114300" simplePos="0" relativeHeight="251762688" behindDoc="0" locked="0" layoutInCell="1" allowOverlap="1" wp14:anchorId="2CCB7D0B" wp14:editId="49101C1B">
            <wp:simplePos x="0" y="0"/>
            <wp:positionH relativeFrom="margin">
              <wp:align>right</wp:align>
            </wp:positionH>
            <wp:positionV relativeFrom="paragraph">
              <wp:posOffset>5715</wp:posOffset>
            </wp:positionV>
            <wp:extent cx="6334125" cy="3295650"/>
            <wp:effectExtent l="0" t="0" r="0" b="0"/>
            <wp:wrapNone/>
            <wp:docPr id="30" name="Chart 30" descr="This graph shows the number of overnight trips taken each month from January 2020 to September 2021. &#10;This chart also shows the monthly overnight trip rate, which is available to November 2021.&#10;">
              <a:extLst xmlns:a="http://schemas.openxmlformats.org/drawingml/2006/main">
                <a:ext uri="{FF2B5EF4-FFF2-40B4-BE49-F238E27FC236}">
                  <a16:creationId xmlns:a16="http://schemas.microsoft.com/office/drawing/2014/main" id="{FEE6F128-67E3-4571-8DB7-3DB3E1C3C3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page">
              <wp14:pctWidth>0</wp14:pctWidth>
            </wp14:sizeRelH>
            <wp14:sizeRelV relativeFrom="page">
              <wp14:pctHeight>0</wp14:pctHeight>
            </wp14:sizeRelV>
          </wp:anchor>
        </w:drawing>
      </w:r>
    </w:p>
    <w:p w14:paraId="3709FCBA" w14:textId="15314D34" w:rsidR="009957B5" w:rsidRDefault="009957B5" w:rsidP="00245E86">
      <w:pPr>
        <w:tabs>
          <w:tab w:val="left" w:pos="6244"/>
        </w:tabs>
      </w:pPr>
    </w:p>
    <w:p w14:paraId="1F6B915E" w14:textId="7CB495F1" w:rsidR="009957B5" w:rsidRDefault="009957B5" w:rsidP="00245E86">
      <w:pPr>
        <w:tabs>
          <w:tab w:val="left" w:pos="6244"/>
        </w:tabs>
      </w:pPr>
    </w:p>
    <w:p w14:paraId="36E933BD" w14:textId="2B72B6CC" w:rsidR="009957B5" w:rsidRDefault="009957B5" w:rsidP="00245E86">
      <w:pPr>
        <w:tabs>
          <w:tab w:val="left" w:pos="6244"/>
        </w:tabs>
      </w:pPr>
    </w:p>
    <w:p w14:paraId="6ADB817B" w14:textId="54C731BF" w:rsidR="009957B5" w:rsidRDefault="009957B5" w:rsidP="00245E86">
      <w:pPr>
        <w:tabs>
          <w:tab w:val="left" w:pos="6244"/>
        </w:tabs>
      </w:pPr>
    </w:p>
    <w:p w14:paraId="78CC3F2E" w14:textId="74A70F3A" w:rsidR="00AD1EC2" w:rsidRDefault="00AD1EC2" w:rsidP="00245E86">
      <w:pPr>
        <w:tabs>
          <w:tab w:val="left" w:pos="6244"/>
        </w:tabs>
      </w:pPr>
    </w:p>
    <w:p w14:paraId="48001330" w14:textId="77777777" w:rsidR="00590AA4" w:rsidRDefault="00590AA4" w:rsidP="00245E86">
      <w:pPr>
        <w:tabs>
          <w:tab w:val="left" w:pos="6244"/>
        </w:tabs>
      </w:pPr>
    </w:p>
    <w:p w14:paraId="4F448619" w14:textId="12D93E4F" w:rsidR="009957B5" w:rsidRDefault="009957B5" w:rsidP="00245E86">
      <w:pPr>
        <w:tabs>
          <w:tab w:val="left" w:pos="6244"/>
        </w:tabs>
      </w:pPr>
    </w:p>
    <w:p w14:paraId="33382348" w14:textId="4D18D25B" w:rsidR="009957B5" w:rsidRDefault="009957B5" w:rsidP="00245E86">
      <w:pPr>
        <w:tabs>
          <w:tab w:val="left" w:pos="6244"/>
        </w:tabs>
      </w:pPr>
    </w:p>
    <w:p w14:paraId="10B53B50" w14:textId="36DD7428" w:rsidR="00630F11" w:rsidRDefault="00630F11" w:rsidP="009957B5"/>
    <w:p w14:paraId="4FE61B4F" w14:textId="77777777" w:rsidR="00781384" w:rsidRDefault="00781384" w:rsidP="009957B5"/>
    <w:p w14:paraId="3F9C9B77" w14:textId="53005C69" w:rsidR="00E55824" w:rsidRDefault="009957B5" w:rsidP="009957B5">
      <w:r>
        <w:t xml:space="preserve">In the near term, it is also expected that domestic tourism will continue to benefit from a </w:t>
      </w:r>
      <w:r w:rsidR="008A133F">
        <w:t xml:space="preserve">slower rebound in </w:t>
      </w:r>
      <w:r>
        <w:t>outbound travel</w:t>
      </w:r>
      <w:r w:rsidR="008A133F">
        <w:t xml:space="preserve"> than in domestic travel</w:t>
      </w:r>
      <w:r>
        <w:t xml:space="preserve">. </w:t>
      </w:r>
      <w:r w:rsidR="00A60657">
        <w:t>Any</w:t>
      </w:r>
      <w:r>
        <w:t xml:space="preserve"> recovery in outbound travel is likely to be rapid, </w:t>
      </w:r>
      <w:r w:rsidR="00117DB3">
        <w:t xml:space="preserve">as it rises from an extremely low base. Some </w:t>
      </w:r>
      <w:r w:rsidR="00A60657">
        <w:t xml:space="preserve">of the </w:t>
      </w:r>
      <w:r w:rsidR="00117DB3">
        <w:t xml:space="preserve">factors </w:t>
      </w:r>
      <w:r>
        <w:t>support</w:t>
      </w:r>
      <w:r w:rsidR="00117DB3">
        <w:t xml:space="preserve">ing </w:t>
      </w:r>
      <w:r w:rsidR="00A60657">
        <w:t>a</w:t>
      </w:r>
      <w:r w:rsidR="00117DB3">
        <w:t xml:space="preserve"> rebound in outbound travel are similar to those affecting demand for domestic travel such as increasing airline capacity, </w:t>
      </w:r>
      <w:r>
        <w:t xml:space="preserve">pent-up </w:t>
      </w:r>
      <w:r w:rsidR="00805837">
        <w:t>demand,</w:t>
      </w:r>
      <w:r w:rsidR="00630F11">
        <w:t xml:space="preserve"> </w:t>
      </w:r>
      <w:r w:rsidR="00117DB3">
        <w:t>and desire to reconnect with family</w:t>
      </w:r>
      <w:r>
        <w:t xml:space="preserve">. However, the recovery in outbound travel </w:t>
      </w:r>
      <w:r w:rsidR="00630F11">
        <w:t>is forecast to</w:t>
      </w:r>
      <w:r>
        <w:t xml:space="preserve"> lag the recovery in domestic travel due to additional hurdles and risks </w:t>
      </w:r>
      <w:r w:rsidR="00E55824">
        <w:t xml:space="preserve">overseas </w:t>
      </w:r>
      <w:r>
        <w:t xml:space="preserve">travellers face. </w:t>
      </w:r>
      <w:r w:rsidR="006D2C07">
        <w:t>E</w:t>
      </w:r>
      <w:r w:rsidR="00E55824">
        <w:t>xample</w:t>
      </w:r>
      <w:r w:rsidR="006D2C07">
        <w:t xml:space="preserve">s of additional risks and hurdles </w:t>
      </w:r>
      <w:r w:rsidR="00A60657">
        <w:t xml:space="preserve">that outbound travellers from Australia may encounter </w:t>
      </w:r>
      <w:r w:rsidR="006D2C07">
        <w:t>include</w:t>
      </w:r>
      <w:r w:rsidR="00E55824">
        <w:t>:</w:t>
      </w:r>
    </w:p>
    <w:p w14:paraId="332910ED" w14:textId="39422B81" w:rsidR="00E55824" w:rsidRPr="00E55824" w:rsidRDefault="006D2C07" w:rsidP="00A60657">
      <w:pPr>
        <w:pStyle w:val="ListParagraph"/>
        <w:numPr>
          <w:ilvl w:val="0"/>
          <w:numId w:val="17"/>
        </w:numPr>
        <w:ind w:left="714" w:hanging="357"/>
        <w:contextualSpacing w:val="0"/>
      </w:pPr>
      <w:r>
        <w:rPr>
          <w:rFonts w:cstheme="minorHAnsi"/>
        </w:rPr>
        <w:t xml:space="preserve">International travel </w:t>
      </w:r>
      <w:r w:rsidR="009957B5" w:rsidRPr="00E55824">
        <w:rPr>
          <w:rFonts w:cstheme="minorHAnsi"/>
        </w:rPr>
        <w:t xml:space="preserve">may be subject to disruptions associated with quarantine requirements at the destination as well as other measures such as virus testing. </w:t>
      </w:r>
    </w:p>
    <w:p w14:paraId="09623E3F" w14:textId="77777777" w:rsidR="00E55824" w:rsidRPr="00E55824" w:rsidRDefault="00E55824" w:rsidP="00A60657">
      <w:pPr>
        <w:pStyle w:val="ListParagraph"/>
        <w:numPr>
          <w:ilvl w:val="0"/>
          <w:numId w:val="17"/>
        </w:numPr>
        <w:ind w:left="714" w:hanging="357"/>
        <w:contextualSpacing w:val="0"/>
      </w:pPr>
      <w:r>
        <w:rPr>
          <w:rFonts w:cstheme="minorHAnsi"/>
        </w:rPr>
        <w:t>T</w:t>
      </w:r>
      <w:r w:rsidR="009957B5" w:rsidRPr="00E55824">
        <w:rPr>
          <w:rFonts w:cstheme="minorHAnsi"/>
        </w:rPr>
        <w:t xml:space="preserve">he prolonged pandemic and ongoing focus on health and safety may make Australians hesitant to visit </w:t>
      </w:r>
      <w:r w:rsidR="00630F11" w:rsidRPr="00E55824">
        <w:rPr>
          <w:rFonts w:cstheme="minorHAnsi"/>
        </w:rPr>
        <w:t xml:space="preserve">certain </w:t>
      </w:r>
      <w:r w:rsidR="009957B5" w:rsidRPr="00E55824">
        <w:rPr>
          <w:rFonts w:cstheme="minorHAnsi"/>
        </w:rPr>
        <w:t xml:space="preserve">countries. </w:t>
      </w:r>
    </w:p>
    <w:p w14:paraId="15085D70" w14:textId="77777777" w:rsidR="00AF3A83" w:rsidRDefault="009957B5" w:rsidP="00A60657">
      <w:pPr>
        <w:pStyle w:val="ListParagraph"/>
        <w:numPr>
          <w:ilvl w:val="0"/>
          <w:numId w:val="17"/>
        </w:numPr>
        <w:ind w:left="714" w:hanging="357"/>
        <w:contextualSpacing w:val="0"/>
      </w:pPr>
      <w:r w:rsidRPr="00E55824">
        <w:rPr>
          <w:rFonts w:cstheme="minorHAnsi"/>
        </w:rPr>
        <w:t xml:space="preserve">Australians concerned about acquiring or passing on the virus to vulnerable individuals </w:t>
      </w:r>
      <w:r w:rsidR="00AF3A83" w:rsidRPr="00E55824">
        <w:rPr>
          <w:rFonts w:cstheme="minorHAnsi"/>
        </w:rPr>
        <w:t>may also hold off travelling internationally initially.</w:t>
      </w:r>
      <w:r w:rsidR="00AF3A83" w:rsidRPr="006E587E">
        <w:t xml:space="preserve"> </w:t>
      </w:r>
    </w:p>
    <w:p w14:paraId="5AD5D5E4" w14:textId="124DF728" w:rsidR="00AF3A83" w:rsidRPr="006D2C07" w:rsidRDefault="00AF3A83" w:rsidP="00A60657">
      <w:pPr>
        <w:pStyle w:val="ListParagraph"/>
        <w:numPr>
          <w:ilvl w:val="0"/>
          <w:numId w:val="17"/>
        </w:numPr>
        <w:ind w:left="714" w:hanging="357"/>
        <w:contextualSpacing w:val="0"/>
      </w:pPr>
      <w:r>
        <w:rPr>
          <w:rFonts w:cstheme="minorHAnsi"/>
        </w:rPr>
        <w:t>I</w:t>
      </w:r>
      <w:r w:rsidRPr="00E55824">
        <w:rPr>
          <w:rFonts w:cstheme="minorHAnsi"/>
        </w:rPr>
        <w:t xml:space="preserve">nternational travel </w:t>
      </w:r>
      <w:r>
        <w:rPr>
          <w:rFonts w:cstheme="minorHAnsi"/>
        </w:rPr>
        <w:t>is often a larger expense, requires additional time (leave balances), and is more complex to organise than a domestic trip.</w:t>
      </w:r>
    </w:p>
    <w:p w14:paraId="0D5B608D" w14:textId="3889B02D" w:rsidR="009957B5" w:rsidRDefault="009957B5" w:rsidP="009957B5">
      <w:r>
        <w:t xml:space="preserve">In contrast, domestic travel is expected to benefit from a </w:t>
      </w:r>
      <w:r w:rsidRPr="00E55824">
        <w:rPr>
          <w:rFonts w:cstheme="minorHAnsi"/>
        </w:rPr>
        <w:t>continuation of recent travel habits, marketing and incentives schemes directed at domestic travel, and lower perceived and actual barriers to travel.</w:t>
      </w:r>
      <w:r w:rsidR="00E55824">
        <w:rPr>
          <w:rFonts w:cstheme="minorHAnsi"/>
        </w:rPr>
        <w:t xml:space="preserve"> </w:t>
      </w:r>
      <w:r w:rsidR="00630F11">
        <w:t>However, a g</w:t>
      </w:r>
      <w:r>
        <w:t>reater-than-expected substitution from domestic to outbound travel is a risk to the</w:t>
      </w:r>
      <w:r w:rsidR="00630F11">
        <w:t>se</w:t>
      </w:r>
      <w:r>
        <w:t xml:space="preserve"> forecasts </w:t>
      </w:r>
      <w:r w:rsidR="00630F11">
        <w:t xml:space="preserve">and is </w:t>
      </w:r>
      <w:r>
        <w:t xml:space="preserve">discussed in the </w:t>
      </w:r>
      <w:r w:rsidR="00484156">
        <w:fldChar w:fldCharType="begin"/>
      </w:r>
      <w:r w:rsidR="00484156">
        <w:instrText xml:space="preserve"> REF _Ref89267808 \h </w:instrText>
      </w:r>
      <w:r w:rsidR="00484156">
        <w:fldChar w:fldCharType="separate"/>
      </w:r>
      <w:r w:rsidR="00484156">
        <w:t>Risks</w:t>
      </w:r>
      <w:r w:rsidR="00484156">
        <w:fldChar w:fldCharType="end"/>
      </w:r>
      <w:r>
        <w:t xml:space="preserve"> </w:t>
      </w:r>
      <w:r w:rsidR="00630F11">
        <w:t>s</w:t>
      </w:r>
      <w:r>
        <w:t>ection</w:t>
      </w:r>
      <w:r w:rsidR="00630F11">
        <w:t xml:space="preserve"> of this report</w:t>
      </w:r>
      <w:r>
        <w:t xml:space="preserve">.  </w:t>
      </w:r>
    </w:p>
    <w:p w14:paraId="1C8FD9EF" w14:textId="7542B394" w:rsidR="008D40A7" w:rsidRPr="00743A30" w:rsidRDefault="008D40A7" w:rsidP="009957B5">
      <w:pPr>
        <w:rPr>
          <w:rFonts w:cstheme="minorHAnsi"/>
        </w:rPr>
      </w:pPr>
      <w:r>
        <w:t xml:space="preserve">When assessing the likely path of recovery, TRA has considered the expected impact of changes to travel habits resulting from the recent pandemic experience. These include the consequences of </w:t>
      </w:r>
      <w:r w:rsidR="00B73208">
        <w:t>increased remote working</w:t>
      </w:r>
      <w:r>
        <w:t xml:space="preserve">, </w:t>
      </w:r>
      <w:r w:rsidR="00B73208">
        <w:t>barriers to</w:t>
      </w:r>
      <w:r>
        <w:t xml:space="preserve"> travel for unvaccinated </w:t>
      </w:r>
      <w:r w:rsidR="00B73208">
        <w:t>and</w:t>
      </w:r>
      <w:r>
        <w:t xml:space="preserve"> vulnerable individuals,</w:t>
      </w:r>
      <w:r w:rsidR="00B73208">
        <w:t xml:space="preserve"> various ongoing public health measures and supply side adjustments in the tourism industry.</w:t>
      </w:r>
      <w:r>
        <w:t xml:space="preserve">    </w:t>
      </w:r>
    </w:p>
    <w:p w14:paraId="162B5AC3" w14:textId="754D275B" w:rsidR="00551F2A" w:rsidRPr="00657AD3" w:rsidRDefault="00551F2A" w:rsidP="00551F2A">
      <w:pPr>
        <w:pStyle w:val="Heading2"/>
        <w:rPr>
          <w:color w:val="7A4282" w:themeColor="accent1"/>
          <w:sz w:val="32"/>
          <w:szCs w:val="28"/>
        </w:rPr>
      </w:pPr>
      <w:bookmarkStart w:id="23" w:name="_Toc89671621"/>
      <w:r w:rsidRPr="00657AD3">
        <w:rPr>
          <w:color w:val="7A4282" w:themeColor="accent1"/>
          <w:sz w:val="32"/>
          <w:szCs w:val="28"/>
        </w:rPr>
        <w:lastRenderedPageBreak/>
        <w:t xml:space="preserve">State and territory </w:t>
      </w:r>
      <w:r w:rsidR="001376E3" w:rsidRPr="00657AD3">
        <w:rPr>
          <w:color w:val="7A4282" w:themeColor="accent1"/>
          <w:sz w:val="32"/>
          <w:szCs w:val="28"/>
        </w:rPr>
        <w:t>forecasts</w:t>
      </w:r>
      <w:bookmarkEnd w:id="23"/>
    </w:p>
    <w:p w14:paraId="0E88C6C8" w14:textId="156C02A4" w:rsidR="001376E3" w:rsidRPr="00657AD3" w:rsidRDefault="001376E3" w:rsidP="001376E3">
      <w:pPr>
        <w:pStyle w:val="Heading3"/>
        <w:rPr>
          <w:sz w:val="28"/>
          <w:szCs w:val="28"/>
        </w:rPr>
      </w:pPr>
      <w:bookmarkStart w:id="24" w:name="_Toc89671622"/>
      <w:r w:rsidRPr="00657AD3">
        <w:rPr>
          <w:sz w:val="28"/>
          <w:szCs w:val="28"/>
        </w:rPr>
        <w:t>The outlook for domestic tourism</w:t>
      </w:r>
      <w:bookmarkEnd w:id="24"/>
    </w:p>
    <w:p w14:paraId="4C37E5D8" w14:textId="4652349B" w:rsidR="001376E3" w:rsidRDefault="001376E3" w:rsidP="001376E3">
      <w:r>
        <w:t>The domestic visitor economy of each of the states and territories is forecast to return to its pre-pandemic level by the end of 2023-24. While s</w:t>
      </w:r>
      <w:r w:rsidRPr="004527DC">
        <w:t>tates</w:t>
      </w:r>
      <w:r>
        <w:t xml:space="preserve"> and territories have had different experiences so far in the pandemic, visitation in every state and territory is expected to return to 2018-19 levels within a couple of years</w:t>
      </w:r>
      <w:r w:rsidR="00A60657">
        <w:t xml:space="preserve"> (Figure 6)</w:t>
      </w:r>
      <w:r>
        <w:t xml:space="preserve">. Growth is then expected to continue in the following years for all states and territories. </w:t>
      </w:r>
    </w:p>
    <w:p w14:paraId="6DC09016" w14:textId="2A179506" w:rsidR="00B73208" w:rsidRDefault="00B73208" w:rsidP="00B73208">
      <w:r>
        <w:t xml:space="preserve">The main point of difference in the recovery paths of the various states and territories is that domestic tourism in Victoria is forecast to take longer than other states to return to pre-pandemic levels. This reflects prolonged lockdowns over the past two years. New South Wales and the </w:t>
      </w:r>
      <w:r w:rsidR="00B6286D">
        <w:t>territories</w:t>
      </w:r>
      <w:r>
        <w:t xml:space="preserve"> also follow a slightly slower path in the near-term because of recent lockdowns. The other states largely recover their pre-pandemic level in 2022-23 (one year earlier than Victoria</w:t>
      </w:r>
      <w:r w:rsidR="00B6286D">
        <w:t xml:space="preserve"> and</w:t>
      </w:r>
      <w:r w:rsidR="0050183D">
        <w:t xml:space="preserve"> New South Wales)</w:t>
      </w:r>
      <w:r>
        <w:t>.</w:t>
      </w:r>
      <w:r w:rsidR="0050183D">
        <w:t xml:space="preserve"> Other factors affecting the rate of recovery across the states are discussed in the next section of this report. </w:t>
      </w:r>
    </w:p>
    <w:p w14:paraId="1FC8C4E1" w14:textId="3712577D" w:rsidR="005F3C06" w:rsidRDefault="005F3C06" w:rsidP="005F3C06">
      <w:r>
        <w:t xml:space="preserve">In line with the </w:t>
      </w:r>
      <w:hyperlink r:id="rId28" w:history="1">
        <w:r w:rsidRPr="00F73CC9">
          <w:rPr>
            <w:rStyle w:val="Hyperlink"/>
          </w:rPr>
          <w:t>National Plan</w:t>
        </w:r>
      </w:hyperlink>
      <w:r>
        <w:t xml:space="preserve">, the risk of lockdowns eases once all jurisdictions have achieved the 70 per cent double dose vaccination rate – likely by the end of December 2021. As double-dose vaccination rates increase further, internal state borders are generally expected to remain open. The forecasts are subject to change if, for example, there are prolonged unexpected state borders closures – see </w:t>
      </w:r>
      <w:r w:rsidR="00484156">
        <w:fldChar w:fldCharType="begin"/>
      </w:r>
      <w:r w:rsidR="00484156">
        <w:instrText xml:space="preserve"> REF _Ref89267826 \h </w:instrText>
      </w:r>
      <w:r w:rsidR="00484156">
        <w:fldChar w:fldCharType="separate"/>
      </w:r>
      <w:r w:rsidR="00484156">
        <w:t>Risks</w:t>
      </w:r>
      <w:r w:rsidR="00484156">
        <w:fldChar w:fldCharType="end"/>
      </w:r>
      <w:r>
        <w:t xml:space="preserve"> section. </w:t>
      </w:r>
    </w:p>
    <w:p w14:paraId="7EC2F425" w14:textId="45A7FE85" w:rsidR="001F0CB9" w:rsidRDefault="001F0CB9" w:rsidP="001376E3"/>
    <w:p w14:paraId="33495839" w14:textId="7320FEFB" w:rsidR="001F0CB9" w:rsidRDefault="00781384" w:rsidP="001376E3">
      <w:r>
        <w:rPr>
          <w:noProof/>
        </w:rPr>
        <w:drawing>
          <wp:anchor distT="0" distB="0" distL="114300" distR="114300" simplePos="0" relativeHeight="251763712" behindDoc="0" locked="0" layoutInCell="1" allowOverlap="1" wp14:anchorId="4106E96F" wp14:editId="0FF64A55">
            <wp:simplePos x="0" y="0"/>
            <wp:positionH relativeFrom="margin">
              <wp:align>right</wp:align>
            </wp:positionH>
            <wp:positionV relativeFrom="paragraph">
              <wp:posOffset>112396</wp:posOffset>
            </wp:positionV>
            <wp:extent cx="6334125" cy="3733800"/>
            <wp:effectExtent l="0" t="0" r="0" b="0"/>
            <wp:wrapNone/>
            <wp:docPr id="32" name="Chart 32" descr="This graph shows three bars for each state and territory representing the forecast level of domestic tourism in the state for that year (2021-22, 2022-23 and 2023-24) as a proportion of the 2018-19 level (pre-pandemic level). It shows that all states and territories return to 100 per cent of their previous level in either 2022-23 or 2023-24.">
              <a:extLst xmlns:a="http://schemas.openxmlformats.org/drawingml/2006/main">
                <a:ext uri="{FF2B5EF4-FFF2-40B4-BE49-F238E27FC236}">
                  <a16:creationId xmlns:a16="http://schemas.microsoft.com/office/drawing/2014/main" id="{4C9168A5-3529-443E-A945-26C4C853D7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page">
              <wp14:pctWidth>0</wp14:pctWidth>
            </wp14:sizeRelH>
            <wp14:sizeRelV relativeFrom="page">
              <wp14:pctHeight>0</wp14:pctHeight>
            </wp14:sizeRelV>
          </wp:anchor>
        </w:drawing>
      </w:r>
      <w:r w:rsidR="001F0CB9">
        <w:rPr>
          <w:noProof/>
        </w:rPr>
        <mc:AlternateContent>
          <mc:Choice Requires="wps">
            <w:drawing>
              <wp:anchor distT="0" distB="0" distL="114300" distR="114300" simplePos="0" relativeHeight="251681792" behindDoc="0" locked="0" layoutInCell="1" allowOverlap="1" wp14:anchorId="7761F06E" wp14:editId="1700B158">
                <wp:simplePos x="0" y="0"/>
                <wp:positionH relativeFrom="column">
                  <wp:posOffset>-4445</wp:posOffset>
                </wp:positionH>
                <wp:positionV relativeFrom="paragraph">
                  <wp:posOffset>-328930</wp:posOffset>
                </wp:positionV>
                <wp:extent cx="6334125" cy="457200"/>
                <wp:effectExtent l="0" t="0" r="9525" b="0"/>
                <wp:wrapNone/>
                <wp:docPr id="21" name="Text Box 21"/>
                <wp:cNvGraphicFramePr/>
                <a:graphic xmlns:a="http://schemas.openxmlformats.org/drawingml/2006/main">
                  <a:graphicData uri="http://schemas.microsoft.com/office/word/2010/wordprocessingShape">
                    <wps:wsp>
                      <wps:cNvSpPr txBox="1"/>
                      <wps:spPr>
                        <a:xfrm>
                          <a:off x="0" y="0"/>
                          <a:ext cx="6334125" cy="457200"/>
                        </a:xfrm>
                        <a:prstGeom prst="rect">
                          <a:avLst/>
                        </a:prstGeom>
                        <a:solidFill>
                          <a:prstClr val="white"/>
                        </a:solidFill>
                        <a:ln>
                          <a:noFill/>
                        </a:ln>
                      </wps:spPr>
                      <wps:txbx>
                        <w:txbxContent>
                          <w:p w14:paraId="3B4979A2" w14:textId="3D3E9CFB" w:rsidR="00444B84" w:rsidRPr="001F0CB9" w:rsidRDefault="00444B84" w:rsidP="001F0CB9">
                            <w:pPr>
                              <w:pStyle w:val="Caption"/>
                              <w:spacing w:before="200"/>
                              <w:rPr>
                                <w:noProof/>
                                <w:color w:val="000000" w:themeColor="text1"/>
                                <w:sz w:val="22"/>
                                <w:szCs w:val="22"/>
                              </w:rPr>
                            </w:pPr>
                            <w:r w:rsidRPr="001F0CB9">
                              <w:rPr>
                                <w:sz w:val="20"/>
                                <w:szCs w:val="20"/>
                              </w:rPr>
                              <w:t xml:space="preserve">Figure </w:t>
                            </w:r>
                            <w:r>
                              <w:rPr>
                                <w:sz w:val="20"/>
                                <w:szCs w:val="20"/>
                              </w:rPr>
                              <w:fldChar w:fldCharType="begin"/>
                            </w:r>
                            <w:r>
                              <w:rPr>
                                <w:sz w:val="20"/>
                                <w:szCs w:val="20"/>
                              </w:rPr>
                              <w:instrText xml:space="preserve"> SEQ Figure \* ARABIC </w:instrText>
                            </w:r>
                            <w:r>
                              <w:rPr>
                                <w:sz w:val="20"/>
                                <w:szCs w:val="20"/>
                              </w:rPr>
                              <w:fldChar w:fldCharType="separate"/>
                            </w:r>
                            <w:r>
                              <w:rPr>
                                <w:noProof/>
                                <w:sz w:val="20"/>
                                <w:szCs w:val="20"/>
                              </w:rPr>
                              <w:t>6</w:t>
                            </w:r>
                            <w:r>
                              <w:rPr>
                                <w:sz w:val="20"/>
                                <w:szCs w:val="20"/>
                              </w:rPr>
                              <w:fldChar w:fldCharType="end"/>
                            </w:r>
                            <w:r w:rsidRPr="001F0CB9">
                              <w:rPr>
                                <w:sz w:val="20"/>
                                <w:szCs w:val="20"/>
                              </w:rPr>
                              <w:t xml:space="preserve"> – Forecast return to previous peak by state/territory</w:t>
                            </w:r>
                            <w:r w:rsidR="00781384">
                              <w:rPr>
                                <w:sz w:val="20"/>
                                <w:szCs w:val="20"/>
                              </w:rPr>
                              <w:t>: Domestic visitor nights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7761F06E" id="Text Box 21" o:spid="_x0000_s1030" type="#_x0000_t202" style="position:absolute;margin-left:-.35pt;margin-top:-25.9pt;width:498.75pt;height:36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" stroked="f">
                <v:textbox inset="0,0,0,0">
                  <w:txbxContent>
                    <w:p w14:paraId="3B4979A2" w14:textId="3D3E9CFB" w:rsidR="00444B84" w:rsidRPr="001F0CB9" w:rsidRDefault="00444B84" w:rsidP="001F0CB9">
                      <w:pPr>
                        <w:pStyle w:val="Caption"/>
                        <w:spacing w:before="200"/>
                        <w:rPr>
                          <w:noProof/>
                          <w:color w:val="000000" w:themeColor="text1"/>
                          <w:sz w:val="22"/>
                          <w:szCs w:val="22"/>
                        </w:rPr>
                      </w:pPr>
                      <w:r w:rsidRPr="001F0CB9">
                        <w:rPr>
                          <w:sz w:val="20"/>
                          <w:szCs w:val="20"/>
                        </w:rPr>
                        <w:t xml:space="preserve">Figure </w:t>
                      </w:r>
                      <w:r>
                        <w:rPr>
                          <w:sz w:val="20"/>
                          <w:szCs w:val="20"/>
                        </w:rPr>
                        <w:fldChar w:fldCharType="begin"/>
                      </w:r>
                      <w:r>
                        <w:rPr>
                          <w:sz w:val="20"/>
                          <w:szCs w:val="20"/>
                        </w:rPr>
                        <w:instrText xml:space="preserve"> SEQ Figure \* ARABIC </w:instrText>
                      </w:r>
                      <w:r>
                        <w:rPr>
                          <w:sz w:val="20"/>
                          <w:szCs w:val="20"/>
                        </w:rPr>
                        <w:fldChar w:fldCharType="separate"/>
                      </w:r>
                      <w:r>
                        <w:rPr>
                          <w:noProof/>
                          <w:sz w:val="20"/>
                          <w:szCs w:val="20"/>
                        </w:rPr>
                        <w:t>6</w:t>
                      </w:r>
                      <w:r>
                        <w:rPr>
                          <w:sz w:val="20"/>
                          <w:szCs w:val="20"/>
                        </w:rPr>
                        <w:fldChar w:fldCharType="end"/>
                      </w:r>
                      <w:r w:rsidRPr="001F0CB9">
                        <w:rPr>
                          <w:sz w:val="20"/>
                          <w:szCs w:val="20"/>
                        </w:rPr>
                        <w:t xml:space="preserve"> – Forecast return to previous peak by state/territory</w:t>
                      </w:r>
                      <w:r w:rsidR="00781384">
                        <w:rPr>
                          <w:sz w:val="20"/>
                          <w:szCs w:val="20"/>
                        </w:rPr>
                        <w:t>: Domestic visitor nights</w:t>
                      </w:r>
                    </w:p>
                  </w:txbxContent>
                </v:textbox>
              </v:shape>
            </w:pict>
          </mc:Fallback>
        </mc:AlternateContent>
      </w:r>
    </w:p>
    <w:p w14:paraId="302525DA" w14:textId="2DE63236" w:rsidR="001F0CB9" w:rsidRDefault="001F0CB9" w:rsidP="001376E3"/>
    <w:p w14:paraId="111E2574" w14:textId="44CEFD27" w:rsidR="001F0CB9" w:rsidRDefault="001F0CB9" w:rsidP="001376E3"/>
    <w:p w14:paraId="6ECB072E" w14:textId="7DDF61C0" w:rsidR="008C4E58" w:rsidRDefault="008C4E58" w:rsidP="001376E3"/>
    <w:p w14:paraId="7DB5EE45" w14:textId="605C5838" w:rsidR="008C4E58" w:rsidRDefault="008C4E58" w:rsidP="001376E3"/>
    <w:p w14:paraId="7E0FB892" w14:textId="3C28BC2A" w:rsidR="008C4E58" w:rsidRDefault="008C4E58" w:rsidP="001376E3"/>
    <w:p w14:paraId="01C76C4E" w14:textId="33F50372" w:rsidR="008C4E58" w:rsidRDefault="008C4E58" w:rsidP="001376E3"/>
    <w:p w14:paraId="46F85581" w14:textId="3FF5031D" w:rsidR="008C4E58" w:rsidRDefault="008C4E58" w:rsidP="001376E3"/>
    <w:p w14:paraId="358553CA" w14:textId="56EC4792" w:rsidR="008C4E58" w:rsidRDefault="008C4E58" w:rsidP="001376E3"/>
    <w:p w14:paraId="4182880D" w14:textId="1FBA73F1" w:rsidR="008C4E58" w:rsidRDefault="008C4E58" w:rsidP="001376E3"/>
    <w:p w14:paraId="67FFC65C" w14:textId="50D12744" w:rsidR="008C4E58" w:rsidRDefault="008C4E58" w:rsidP="001376E3"/>
    <w:p w14:paraId="02DC48CE" w14:textId="1B9AF770" w:rsidR="00F3109D" w:rsidRDefault="00F3109D" w:rsidP="001376E3"/>
    <w:p w14:paraId="6BA5D9D9" w14:textId="33E48C8C" w:rsidR="001376E3" w:rsidRPr="00657AD3" w:rsidRDefault="008C4E58" w:rsidP="00484156">
      <w:pPr>
        <w:pStyle w:val="Heading3"/>
        <w:keepNext/>
        <w:rPr>
          <w:sz w:val="28"/>
          <w:szCs w:val="28"/>
        </w:rPr>
      </w:pPr>
      <w:bookmarkStart w:id="25" w:name="_Toc89671623"/>
      <w:r w:rsidRPr="00657AD3">
        <w:rPr>
          <w:sz w:val="28"/>
          <w:szCs w:val="28"/>
        </w:rPr>
        <w:lastRenderedPageBreak/>
        <w:t>Factors driving variations in the pace of recovery</w:t>
      </w:r>
      <w:bookmarkEnd w:id="25"/>
      <w:r w:rsidRPr="00657AD3">
        <w:rPr>
          <w:sz w:val="28"/>
          <w:szCs w:val="28"/>
        </w:rPr>
        <w:t xml:space="preserve"> </w:t>
      </w:r>
    </w:p>
    <w:p w14:paraId="1491DC57" w14:textId="448B7AF9" w:rsidR="008C4E58" w:rsidRDefault="008C4E58" w:rsidP="008C4E58">
      <w:r>
        <w:t>Differences in the speed of recovery across the states and territories reflect variation</w:t>
      </w:r>
      <w:r w:rsidR="00AA50DF">
        <w:t>s</w:t>
      </w:r>
      <w:r>
        <w:t xml:space="preserve"> in the decline in domestic tourism to-date, policy changes and the composition of domestic travel in the region. The forecasts account for some of these variations in the following ways:</w:t>
      </w:r>
    </w:p>
    <w:p w14:paraId="3ABEBB70" w14:textId="3CF1E058" w:rsidR="008C4E58" w:rsidRDefault="008C4E58" w:rsidP="00A60657">
      <w:pPr>
        <w:pStyle w:val="ListParagraph"/>
        <w:numPr>
          <w:ilvl w:val="0"/>
          <w:numId w:val="11"/>
        </w:numPr>
        <w:ind w:left="714" w:hanging="357"/>
        <w:contextualSpacing w:val="0"/>
      </w:pPr>
      <w:r>
        <w:t>States that experienced additional lockdowns are more likely to have seen larger declines in domestic tourism. A</w:t>
      </w:r>
      <w:r w:rsidR="00CE2FEE">
        <w:t>fter</w:t>
      </w:r>
      <w:r>
        <w:t xml:space="preserve"> lockdowns end, these states are more likely to experience the </w:t>
      </w:r>
      <w:r w:rsidR="00CE2FEE">
        <w:t>sharp</w:t>
      </w:r>
      <w:r>
        <w:t xml:space="preserve"> rebound in domestic tourism associated with </w:t>
      </w:r>
      <w:r w:rsidR="00CE2FEE">
        <w:t>removing barriers to</w:t>
      </w:r>
      <w:r>
        <w:t xml:space="preserve"> travel and pent-up demand. Longer lockdowns are </w:t>
      </w:r>
      <w:r w:rsidR="008F2B89">
        <w:t xml:space="preserve">forecast to be </w:t>
      </w:r>
      <w:r>
        <w:t>more likely to result in new travel habits rather than quick reversions to pre-crisis behaviours.</w:t>
      </w:r>
    </w:p>
    <w:p w14:paraId="42299C9E" w14:textId="77777777" w:rsidR="008C4E58" w:rsidRDefault="008C4E58" w:rsidP="00A60657">
      <w:pPr>
        <w:pStyle w:val="ListParagraph"/>
        <w:numPr>
          <w:ilvl w:val="0"/>
          <w:numId w:val="11"/>
        </w:numPr>
        <w:ind w:left="714" w:hanging="357"/>
        <w:contextualSpacing w:val="0"/>
      </w:pPr>
      <w:r>
        <w:t xml:space="preserve">States with ongoing internal border controls are expected to have less growth in interstate travel. The share of interstate travel relative to intrastate travel in a region varies. Therefore, the impact of prolonged border closures varies across the states. </w:t>
      </w:r>
    </w:p>
    <w:p w14:paraId="516A2693" w14:textId="612BB083" w:rsidR="008C4E58" w:rsidRDefault="008C4E58" w:rsidP="00A60657">
      <w:pPr>
        <w:pStyle w:val="ListParagraph"/>
        <w:numPr>
          <w:ilvl w:val="0"/>
          <w:numId w:val="11"/>
        </w:numPr>
        <w:ind w:left="714" w:hanging="357"/>
        <w:contextualSpacing w:val="0"/>
      </w:pPr>
      <w:r>
        <w:t xml:space="preserve">The forecasts also account for differences in the composition of domestic travel nights in each tourism region. As mentioned </w:t>
      </w:r>
      <w:r w:rsidR="00E55824">
        <w:t>previously</w:t>
      </w:r>
      <w:r>
        <w:t xml:space="preserve">, travel for leisure purposes is expected to recover </w:t>
      </w:r>
      <w:r w:rsidR="00B6286D">
        <w:t>more quickly</w:t>
      </w:r>
      <w:r>
        <w:t xml:space="preserve"> than travel for business purposes. </w:t>
      </w:r>
      <w:r w:rsidR="00E55824">
        <w:t>Moreover</w:t>
      </w:r>
      <w:r>
        <w:t>, across the states, the</w:t>
      </w:r>
      <w:r w:rsidR="00CE2FEE">
        <w:t>re are differences in the composition and reason for travel within these groups that may affect the expected growth rate</w:t>
      </w:r>
      <w:r>
        <w:t xml:space="preserve">. For example, while virtual meetings </w:t>
      </w:r>
      <w:r w:rsidR="00CE2FEE">
        <w:t>are expected to</w:t>
      </w:r>
      <w:r>
        <w:t xml:space="preserve"> remain a practical alternative for consulting and finance projects, they are less able to replace site visits in the construction and mining industry.</w:t>
      </w:r>
      <w:r w:rsidDel="000B3D26">
        <w:t xml:space="preserve"> </w:t>
      </w:r>
      <w:r w:rsidR="00CE2FEE">
        <w:t xml:space="preserve">Therefore, the industry composition in a state may affect the forecast rate of growth of business travel. </w:t>
      </w:r>
    </w:p>
    <w:p w14:paraId="7056B2AF" w14:textId="77777777" w:rsidR="008C4E58" w:rsidRDefault="008C4E58" w:rsidP="00A60657">
      <w:pPr>
        <w:pStyle w:val="ListParagraph"/>
        <w:numPr>
          <w:ilvl w:val="0"/>
          <w:numId w:val="11"/>
        </w:numPr>
        <w:ind w:left="714" w:hanging="357"/>
        <w:contextualSpacing w:val="0"/>
      </w:pPr>
      <w:r>
        <w:t>The share of regional versus city-based travel is accounted for in the forecasts. Travel to regional areas, particularly those within a few hours of capital cities, experienced smaller reductions than travel to capital cities over the pandemic period.</w:t>
      </w:r>
    </w:p>
    <w:p w14:paraId="4911E93F" w14:textId="5E1207EB" w:rsidR="008C4E58" w:rsidRDefault="008C4E58" w:rsidP="00A60657">
      <w:pPr>
        <w:pStyle w:val="ListParagraph"/>
        <w:numPr>
          <w:ilvl w:val="0"/>
          <w:numId w:val="11"/>
        </w:numPr>
        <w:ind w:left="714" w:hanging="357"/>
        <w:contextualSpacing w:val="0"/>
      </w:pPr>
      <w:r>
        <w:t>Other state-specific factors considered include region-specific travel incentives and upcoming major events.</w:t>
      </w:r>
    </w:p>
    <w:p w14:paraId="74C6B981" w14:textId="02745C5E" w:rsidR="005F3C06" w:rsidRDefault="005F3C06" w:rsidP="005F3C06">
      <w:r>
        <w:t xml:space="preserve">Appendix A contains graphs showing the forecast growth in domestic travel </w:t>
      </w:r>
      <w:r w:rsidR="00B6286D">
        <w:t>by purpose</w:t>
      </w:r>
      <w:r>
        <w:t xml:space="preserve"> for each of the states and territories. </w:t>
      </w:r>
    </w:p>
    <w:p w14:paraId="39D6679A" w14:textId="50B8A681" w:rsidR="008F2B89" w:rsidRPr="00657AD3" w:rsidRDefault="008F2B89" w:rsidP="008F2B89">
      <w:pPr>
        <w:pStyle w:val="Heading2"/>
        <w:rPr>
          <w:color w:val="7A4282" w:themeColor="accent1"/>
          <w:sz w:val="32"/>
          <w:szCs w:val="28"/>
        </w:rPr>
      </w:pPr>
      <w:bookmarkStart w:id="26" w:name="_Ref89267408"/>
      <w:bookmarkStart w:id="27" w:name="_Ref89267808"/>
      <w:bookmarkStart w:id="28" w:name="_Ref89267826"/>
      <w:bookmarkStart w:id="29" w:name="_Toc89671624"/>
      <w:r w:rsidRPr="00657AD3">
        <w:rPr>
          <w:color w:val="7A4282" w:themeColor="accent1"/>
          <w:sz w:val="32"/>
          <w:szCs w:val="28"/>
        </w:rPr>
        <w:t>Risks</w:t>
      </w:r>
      <w:bookmarkEnd w:id="26"/>
      <w:bookmarkEnd w:id="27"/>
      <w:bookmarkEnd w:id="28"/>
      <w:bookmarkEnd w:id="29"/>
    </w:p>
    <w:p w14:paraId="192CFD16" w14:textId="17486E90" w:rsidR="008F2B89" w:rsidRDefault="008F2B89" w:rsidP="008F2B89">
      <w:pPr>
        <w:rPr>
          <w:rFonts w:cstheme="minorHAnsi"/>
        </w:rPr>
      </w:pPr>
      <w:r w:rsidRPr="003A3262">
        <w:rPr>
          <w:rFonts w:cstheme="minorHAnsi"/>
        </w:rPr>
        <w:t xml:space="preserve">Forecasts </w:t>
      </w:r>
      <w:r w:rsidRPr="009F1207">
        <w:rPr>
          <w:rFonts w:cstheme="minorHAnsi"/>
        </w:rPr>
        <w:t xml:space="preserve">presented above are </w:t>
      </w:r>
      <w:r w:rsidRPr="003A3262">
        <w:rPr>
          <w:rFonts w:cstheme="minorHAnsi"/>
        </w:rPr>
        <w:t>based on the latest available data</w:t>
      </w:r>
      <w:r>
        <w:rPr>
          <w:rFonts w:cstheme="minorHAnsi"/>
        </w:rPr>
        <w:t xml:space="preserve"> and information. </w:t>
      </w:r>
      <w:r w:rsidRPr="009F1207">
        <w:rPr>
          <w:rFonts w:cstheme="minorHAnsi"/>
        </w:rPr>
        <w:t>The</w:t>
      </w:r>
      <w:r>
        <w:rPr>
          <w:rFonts w:cstheme="minorHAnsi"/>
        </w:rPr>
        <w:t>y</w:t>
      </w:r>
      <w:r w:rsidRPr="009F1207">
        <w:rPr>
          <w:rFonts w:cstheme="minorHAnsi"/>
        </w:rPr>
        <w:t xml:space="preserve"> use data available to October 2021</w:t>
      </w:r>
      <w:r>
        <w:rPr>
          <w:rFonts w:cstheme="minorHAnsi"/>
        </w:rPr>
        <w:t xml:space="preserve"> and input from the expert panel collected </w:t>
      </w:r>
      <w:r w:rsidRPr="009F1207">
        <w:rPr>
          <w:rFonts w:cstheme="minorHAnsi"/>
        </w:rPr>
        <w:t>in September 2021</w:t>
      </w:r>
      <w:r>
        <w:rPr>
          <w:rFonts w:cstheme="minorHAnsi"/>
        </w:rPr>
        <w:t xml:space="preserve">. In the current, rapidly evolving environment, </w:t>
      </w:r>
      <w:r w:rsidRPr="009F1207">
        <w:rPr>
          <w:rFonts w:cstheme="minorHAnsi"/>
        </w:rPr>
        <w:t>there continue to be changes to health advice, border policies and economic forecasts that could impact the forecasts</w:t>
      </w:r>
      <w:r w:rsidR="00CF3E1B">
        <w:rPr>
          <w:rFonts w:cstheme="minorHAnsi"/>
        </w:rPr>
        <w:t xml:space="preserve"> for domestic tourism presented here</w:t>
      </w:r>
      <w:r w:rsidRPr="009F1207">
        <w:rPr>
          <w:rFonts w:cstheme="minorHAnsi"/>
        </w:rPr>
        <w:t xml:space="preserve">. </w:t>
      </w:r>
      <w:r>
        <w:rPr>
          <w:rFonts w:cstheme="minorHAnsi"/>
        </w:rPr>
        <w:t xml:space="preserve">Note that the </w:t>
      </w:r>
      <w:r w:rsidR="00590AA4">
        <w:rPr>
          <w:rFonts w:cstheme="minorHAnsi"/>
        </w:rPr>
        <w:t>official</w:t>
      </w:r>
      <w:r>
        <w:rPr>
          <w:rFonts w:cstheme="minorHAnsi"/>
        </w:rPr>
        <w:t xml:space="preserve"> TRA m</w:t>
      </w:r>
      <w:r w:rsidRPr="009F1207">
        <w:rPr>
          <w:rFonts w:cstheme="minorHAnsi"/>
        </w:rPr>
        <w:t>onthly tourism data for September were not available at the time of forecasting</w:t>
      </w:r>
      <w:r>
        <w:rPr>
          <w:rFonts w:cstheme="minorHAnsi"/>
        </w:rPr>
        <w:t xml:space="preserve">.  </w:t>
      </w:r>
    </w:p>
    <w:p w14:paraId="6DF5E372" w14:textId="07A697FF" w:rsidR="008F2B89" w:rsidRPr="009F1207" w:rsidRDefault="008F2B89" w:rsidP="008F2B89">
      <w:pPr>
        <w:rPr>
          <w:rFonts w:cstheme="minorHAnsi"/>
        </w:rPr>
      </w:pPr>
      <w:r>
        <w:rPr>
          <w:rFonts w:cstheme="minorHAnsi"/>
        </w:rPr>
        <w:t xml:space="preserve">The three </w:t>
      </w:r>
      <w:r w:rsidR="00CF3E1B">
        <w:rPr>
          <w:rFonts w:cstheme="minorHAnsi"/>
        </w:rPr>
        <w:t xml:space="preserve">main </w:t>
      </w:r>
      <w:r>
        <w:rPr>
          <w:rFonts w:cstheme="minorHAnsi"/>
        </w:rPr>
        <w:t xml:space="preserve">risks </w:t>
      </w:r>
      <w:r w:rsidR="00CF3E1B">
        <w:rPr>
          <w:rFonts w:cstheme="minorHAnsi"/>
        </w:rPr>
        <w:t>to</w:t>
      </w:r>
      <w:r>
        <w:rPr>
          <w:rFonts w:cstheme="minorHAnsi"/>
        </w:rPr>
        <w:t xml:space="preserve"> the f</w:t>
      </w:r>
      <w:r w:rsidRPr="009F1207">
        <w:rPr>
          <w:rFonts w:cstheme="minorHAnsi"/>
        </w:rPr>
        <w:t xml:space="preserve">orecasts </w:t>
      </w:r>
      <w:r>
        <w:rPr>
          <w:rFonts w:cstheme="minorHAnsi"/>
        </w:rPr>
        <w:t>are</w:t>
      </w:r>
      <w:r w:rsidR="00CF3E1B">
        <w:rPr>
          <w:rFonts w:cstheme="minorHAnsi"/>
        </w:rPr>
        <w:t>:</w:t>
      </w:r>
    </w:p>
    <w:p w14:paraId="14A2CEB3" w14:textId="6AE66546" w:rsidR="008F2B89" w:rsidRPr="008F2B89" w:rsidRDefault="008F2B89" w:rsidP="00AA50DF">
      <w:pPr>
        <w:pStyle w:val="ListParagraph"/>
        <w:numPr>
          <w:ilvl w:val="0"/>
          <w:numId w:val="12"/>
        </w:numPr>
        <w:spacing w:after="120"/>
        <w:ind w:left="714" w:hanging="357"/>
      </w:pPr>
      <w:r w:rsidRPr="008F2B89">
        <w:rPr>
          <w:b/>
          <w:bCs/>
          <w:i/>
          <w:iCs/>
        </w:rPr>
        <w:lastRenderedPageBreak/>
        <w:t xml:space="preserve">Forecasts are conditioned on </w:t>
      </w:r>
      <w:r w:rsidR="009514FE">
        <w:rPr>
          <w:b/>
          <w:bCs/>
          <w:i/>
          <w:iCs/>
        </w:rPr>
        <w:t>the National Plan</w:t>
      </w:r>
      <w:r w:rsidRPr="008F2B89">
        <w:t xml:space="preserve"> </w:t>
      </w:r>
      <w:r>
        <w:t xml:space="preserve">suggesting that lockdowns </w:t>
      </w:r>
      <w:r w:rsidRPr="008F2B89">
        <w:rPr>
          <w:rFonts w:cstheme="minorHAnsi"/>
        </w:rPr>
        <w:t>will be less frequent after double dose vaccination rates pass 70 per cent.</w:t>
      </w:r>
      <w:r w:rsidR="00BA578F">
        <w:rPr>
          <w:rStyle w:val="FootnoteReference"/>
          <w:rFonts w:cstheme="minorHAnsi"/>
        </w:rPr>
        <w:footnoteReference w:id="5"/>
      </w:r>
      <w:r w:rsidRPr="008F2B89">
        <w:rPr>
          <w:rFonts w:cstheme="minorHAnsi"/>
        </w:rPr>
        <w:t xml:space="preserve"> Forecasts have been prepared at a time when restrictions are easing, and many state borders are expected to open before the end of </w:t>
      </w:r>
      <w:r w:rsidR="00B67F4B">
        <w:rPr>
          <w:rFonts w:cstheme="minorHAnsi"/>
        </w:rPr>
        <w:t>2021</w:t>
      </w:r>
      <w:r w:rsidRPr="008F2B89">
        <w:rPr>
          <w:rFonts w:cstheme="minorHAnsi"/>
        </w:rPr>
        <w:t xml:space="preserve">. </w:t>
      </w:r>
    </w:p>
    <w:p w14:paraId="44E062DF" w14:textId="50C655EA" w:rsidR="008F2B89" w:rsidRDefault="00CF34DB" w:rsidP="00AA50DF">
      <w:pPr>
        <w:spacing w:before="120"/>
        <w:ind w:left="720"/>
        <w:rPr>
          <w:rFonts w:cstheme="minorHAnsi"/>
        </w:rPr>
      </w:pPr>
      <w:r>
        <w:rPr>
          <w:rFonts w:cstheme="minorHAnsi"/>
        </w:rPr>
        <w:t>Major d</w:t>
      </w:r>
      <w:r w:rsidR="008F2B89">
        <w:rPr>
          <w:rFonts w:cstheme="minorHAnsi"/>
        </w:rPr>
        <w:t>eviations from th</w:t>
      </w:r>
      <w:r>
        <w:rPr>
          <w:rFonts w:cstheme="minorHAnsi"/>
        </w:rPr>
        <w:t>is plan and messaging from state governments</w:t>
      </w:r>
      <w:r w:rsidR="008F2B89">
        <w:rPr>
          <w:rFonts w:cstheme="minorHAnsi"/>
        </w:rPr>
        <w:t xml:space="preserve">, such as prolonged, complete state border closures </w:t>
      </w:r>
      <w:r w:rsidR="008F2B89" w:rsidRPr="009F1207">
        <w:rPr>
          <w:rFonts w:cstheme="minorHAnsi"/>
        </w:rPr>
        <w:t>are a risk to the outlook</w:t>
      </w:r>
      <w:r w:rsidR="008F2B89">
        <w:rPr>
          <w:rFonts w:cstheme="minorHAnsi"/>
        </w:rPr>
        <w:t>.</w:t>
      </w:r>
      <w:r w:rsidR="008F2B89" w:rsidRPr="009F1207">
        <w:rPr>
          <w:rFonts w:cstheme="minorHAnsi"/>
        </w:rPr>
        <w:t xml:space="preserve"> </w:t>
      </w:r>
      <w:r w:rsidR="008F2B89">
        <w:rPr>
          <w:rFonts w:cstheme="minorHAnsi"/>
        </w:rPr>
        <w:t xml:space="preserve">This type of travel restriction has been shown to have a </w:t>
      </w:r>
      <w:r>
        <w:rPr>
          <w:rFonts w:cstheme="minorHAnsi"/>
        </w:rPr>
        <w:t xml:space="preserve">significant </w:t>
      </w:r>
      <w:r w:rsidR="008F2B89">
        <w:rPr>
          <w:rFonts w:cstheme="minorHAnsi"/>
        </w:rPr>
        <w:t xml:space="preserve">impact on the visitor economy. In contrast, the imposition of targeted, temporary lockdowns </w:t>
      </w:r>
      <w:r w:rsidR="00B67F4B">
        <w:rPr>
          <w:rFonts w:cstheme="minorHAnsi"/>
        </w:rPr>
        <w:t>is</w:t>
      </w:r>
      <w:r w:rsidR="008F2B89">
        <w:rPr>
          <w:rFonts w:cstheme="minorHAnsi"/>
        </w:rPr>
        <w:t xml:space="preserve"> unlikely to have a major effect on the forecasts. </w:t>
      </w:r>
      <w:r w:rsidR="008F2B89" w:rsidRPr="009F1207">
        <w:rPr>
          <w:rFonts w:cstheme="minorHAnsi"/>
        </w:rPr>
        <w:t>TRA data show tha</w:t>
      </w:r>
      <w:r w:rsidR="008F2B89">
        <w:rPr>
          <w:rFonts w:cstheme="minorHAnsi"/>
        </w:rPr>
        <w:t>t short, localised</w:t>
      </w:r>
      <w:r w:rsidR="008F2B89" w:rsidRPr="009F1207">
        <w:rPr>
          <w:rFonts w:cstheme="minorHAnsi"/>
        </w:rPr>
        <w:t xml:space="preserve"> lockdown</w:t>
      </w:r>
      <w:r w:rsidR="008F2B89">
        <w:rPr>
          <w:rFonts w:cstheme="minorHAnsi"/>
        </w:rPr>
        <w:t>s</w:t>
      </w:r>
      <w:r w:rsidR="008F2B89" w:rsidRPr="009F1207">
        <w:rPr>
          <w:rFonts w:cstheme="minorHAnsi"/>
        </w:rPr>
        <w:t xml:space="preserve"> </w:t>
      </w:r>
      <w:r w:rsidR="008F2B89">
        <w:rPr>
          <w:rFonts w:cstheme="minorHAnsi"/>
        </w:rPr>
        <w:t xml:space="preserve">generally </w:t>
      </w:r>
      <w:r w:rsidR="008F2B89" w:rsidRPr="009F1207">
        <w:rPr>
          <w:rFonts w:cstheme="minorHAnsi"/>
        </w:rPr>
        <w:t>ha</w:t>
      </w:r>
      <w:r w:rsidR="008F2B89">
        <w:rPr>
          <w:rFonts w:cstheme="minorHAnsi"/>
        </w:rPr>
        <w:t>ve</w:t>
      </w:r>
      <w:r w:rsidR="008F2B89" w:rsidRPr="009F1207">
        <w:rPr>
          <w:rFonts w:cstheme="minorHAnsi"/>
        </w:rPr>
        <w:t xml:space="preserve"> </w:t>
      </w:r>
      <w:r w:rsidR="008F2B89">
        <w:rPr>
          <w:rFonts w:cstheme="minorHAnsi"/>
        </w:rPr>
        <w:t xml:space="preserve">a </w:t>
      </w:r>
      <w:r w:rsidR="008F2B89" w:rsidRPr="009F1207">
        <w:rPr>
          <w:rFonts w:cstheme="minorHAnsi"/>
        </w:rPr>
        <w:t xml:space="preserve">temporary and </w:t>
      </w:r>
      <w:r w:rsidR="008F2B89">
        <w:rPr>
          <w:rFonts w:cstheme="minorHAnsi"/>
        </w:rPr>
        <w:t>narrow impact.</w:t>
      </w:r>
    </w:p>
    <w:p w14:paraId="157A3FB4" w14:textId="24FA16E9" w:rsidR="00B67F4B" w:rsidRPr="00B67F4B" w:rsidRDefault="00B67F4B" w:rsidP="00AA50DF">
      <w:pPr>
        <w:pStyle w:val="ListParagraph"/>
        <w:numPr>
          <w:ilvl w:val="0"/>
          <w:numId w:val="12"/>
        </w:numPr>
        <w:spacing w:after="120"/>
        <w:ind w:left="714" w:hanging="357"/>
        <w:rPr>
          <w:rFonts w:cstheme="minorHAnsi"/>
        </w:rPr>
      </w:pPr>
      <w:r w:rsidRPr="00B67F4B">
        <w:rPr>
          <w:rFonts w:cstheme="minorHAnsi"/>
          <w:b/>
          <w:bCs/>
          <w:i/>
          <w:iCs/>
        </w:rPr>
        <w:t>The ramp-up of outbound travel options is uncertain</w:t>
      </w:r>
      <w:r w:rsidRPr="00B67F4B">
        <w:rPr>
          <w:rFonts w:cstheme="minorHAnsi"/>
        </w:rPr>
        <w:t>. As discussed above, the recovery in outbound travel is initially expected to lag domestic travel. A greater-than-anticipated rate of growth in outbound travel would likely lower the projected growth rate of domestic tourism. This is because outbound travel is an obvious substitute for domestic travel</w:t>
      </w:r>
      <w:r w:rsidR="001374DB">
        <w:rPr>
          <w:rFonts w:cstheme="minorHAnsi"/>
        </w:rPr>
        <w:t>,</w:t>
      </w:r>
      <w:r w:rsidRPr="00B67F4B">
        <w:rPr>
          <w:rFonts w:cstheme="minorHAnsi"/>
        </w:rPr>
        <w:t xml:space="preserve"> and individual</w:t>
      </w:r>
      <w:r w:rsidR="001374DB">
        <w:rPr>
          <w:rFonts w:cstheme="minorHAnsi"/>
        </w:rPr>
        <w:t xml:space="preserve">s are likely to choose one or the other when they are </w:t>
      </w:r>
      <w:r w:rsidRPr="00B67F4B">
        <w:rPr>
          <w:rFonts w:cstheme="minorHAnsi"/>
        </w:rPr>
        <w:t xml:space="preserve">limited by financial and time constraints. </w:t>
      </w:r>
    </w:p>
    <w:p w14:paraId="0DEA8FF2" w14:textId="77777777" w:rsidR="00B67F4B" w:rsidRPr="00AD349D" w:rsidRDefault="00B67F4B" w:rsidP="00AA50DF">
      <w:pPr>
        <w:spacing w:before="120"/>
        <w:ind w:left="720"/>
        <w:rPr>
          <w:rFonts w:cstheme="minorHAnsi"/>
        </w:rPr>
      </w:pPr>
      <w:r w:rsidRPr="00AD349D">
        <w:rPr>
          <w:rFonts w:cstheme="minorHAnsi"/>
        </w:rPr>
        <w:t xml:space="preserve">The recovery in outbound travel may also be uneven across the states and territories as changes in international travel policies, such as quarantine requirements, may vary at the state level. </w:t>
      </w:r>
    </w:p>
    <w:p w14:paraId="7AA0E930" w14:textId="5768DE73" w:rsidR="00B67F4B" w:rsidRPr="00CF34DB" w:rsidRDefault="00B6286D" w:rsidP="00B67F4B">
      <w:pPr>
        <w:pStyle w:val="ListParagraph"/>
        <w:numPr>
          <w:ilvl w:val="0"/>
          <w:numId w:val="12"/>
        </w:numPr>
        <w:rPr>
          <w:rFonts w:cstheme="minorHAnsi"/>
          <w:b/>
          <w:bCs/>
          <w:i/>
          <w:iCs/>
        </w:rPr>
      </w:pPr>
      <w:r>
        <w:rPr>
          <w:rFonts w:cstheme="minorHAnsi"/>
          <w:b/>
          <w:bCs/>
          <w:i/>
          <w:iCs/>
        </w:rPr>
        <w:t>M</w:t>
      </w:r>
      <w:r w:rsidR="00B67F4B" w:rsidRPr="00B67F4B">
        <w:rPr>
          <w:rFonts w:cstheme="minorHAnsi"/>
          <w:b/>
          <w:bCs/>
          <w:i/>
          <w:iCs/>
        </w:rPr>
        <w:t xml:space="preserve">ajor, uncontrollable outbreaks of the virus </w:t>
      </w:r>
      <w:r w:rsidR="00B67F4B" w:rsidRPr="00B67F4B">
        <w:rPr>
          <w:rFonts w:cstheme="minorHAnsi"/>
        </w:rPr>
        <w:t>or other health cris</w:t>
      </w:r>
      <w:r w:rsidR="00590AA4">
        <w:rPr>
          <w:rFonts w:cstheme="minorHAnsi"/>
        </w:rPr>
        <w:t>e</w:t>
      </w:r>
      <w:r w:rsidR="00B67F4B" w:rsidRPr="00B67F4B">
        <w:rPr>
          <w:rFonts w:cstheme="minorHAnsi"/>
        </w:rPr>
        <w:t>s could drastically reduce traveller confidence and desire</w:t>
      </w:r>
      <w:r>
        <w:rPr>
          <w:rFonts w:cstheme="minorHAnsi"/>
        </w:rPr>
        <w:t>/ability</w:t>
      </w:r>
      <w:r w:rsidR="00B67F4B" w:rsidRPr="00B67F4B">
        <w:rPr>
          <w:rFonts w:cstheme="minorHAnsi"/>
        </w:rPr>
        <w:t xml:space="preserve"> to travel.</w:t>
      </w:r>
      <w:r w:rsidR="003C64B0">
        <w:rPr>
          <w:rFonts w:cstheme="minorHAnsi"/>
        </w:rPr>
        <w:t xml:space="preserve"> The path of the global pandemic has surprised in the past. Globally, there are signs of increasing case numbers and there remains a risk of future outbreaks, including of new strains of the virus, in Australia.</w:t>
      </w:r>
    </w:p>
    <w:p w14:paraId="6BF8F0E8" w14:textId="12680AA9" w:rsidR="00CF34DB" w:rsidRPr="00CF34DB" w:rsidRDefault="005F11E6" w:rsidP="00CF34DB">
      <w:r>
        <w:t xml:space="preserve">The forecasts presented in this report are a central scenario, based on the best available information. </w:t>
      </w:r>
      <w:r w:rsidR="00CF34DB">
        <w:t>There are many factors that could support a stronger recovery than outlined in the forecasts presented here. There are also plausible reasons why the recovery could be slower. Forecasts at the state level are subject to greater imprecision given the variety of influences on these estimates</w:t>
      </w:r>
      <w:r>
        <w:t>.</w:t>
      </w:r>
    </w:p>
    <w:p w14:paraId="44023E91" w14:textId="44AAF863" w:rsidR="00375F6E" w:rsidRPr="00657AD3" w:rsidRDefault="00375F6E" w:rsidP="00375F6E">
      <w:pPr>
        <w:pStyle w:val="Heading2"/>
        <w:rPr>
          <w:color w:val="7A4282" w:themeColor="accent1"/>
          <w:sz w:val="32"/>
          <w:szCs w:val="28"/>
        </w:rPr>
      </w:pPr>
      <w:bookmarkStart w:id="30" w:name="_Ref89267917"/>
      <w:bookmarkStart w:id="31" w:name="_Toc89671625"/>
      <w:r w:rsidRPr="00657AD3">
        <w:rPr>
          <w:color w:val="7A4282" w:themeColor="accent1"/>
          <w:sz w:val="32"/>
          <w:szCs w:val="28"/>
        </w:rPr>
        <w:t>Forecast methodology</w:t>
      </w:r>
      <w:bookmarkEnd w:id="30"/>
      <w:bookmarkEnd w:id="31"/>
    </w:p>
    <w:p w14:paraId="4E0D2FB7" w14:textId="12F5B726" w:rsidR="00375F6E" w:rsidRDefault="00375F6E" w:rsidP="00375F6E">
      <w:pPr>
        <w:rPr>
          <w:rFonts w:cstheme="minorHAnsi"/>
        </w:rPr>
      </w:pPr>
      <w:r w:rsidRPr="009F1207">
        <w:rPr>
          <w:rFonts w:cstheme="minorHAnsi"/>
          <w:bCs/>
        </w:rPr>
        <w:t xml:space="preserve">TRA </w:t>
      </w:r>
      <w:r>
        <w:rPr>
          <w:rFonts w:cstheme="minorHAnsi"/>
          <w:bCs/>
        </w:rPr>
        <w:t xml:space="preserve">forecasts are produced using a </w:t>
      </w:r>
      <w:r w:rsidRPr="009F1207">
        <w:rPr>
          <w:rFonts w:cstheme="minorHAnsi"/>
          <w:bCs/>
        </w:rPr>
        <w:t>hybrid</w:t>
      </w:r>
      <w:r>
        <w:rPr>
          <w:rFonts w:cstheme="minorHAnsi"/>
          <w:bCs/>
        </w:rPr>
        <w:t>,</w:t>
      </w:r>
      <w:r w:rsidRPr="009F1207">
        <w:rPr>
          <w:rFonts w:cstheme="minorHAnsi"/>
          <w:bCs/>
        </w:rPr>
        <w:t xml:space="preserve"> </w:t>
      </w:r>
      <w:r w:rsidRPr="009F1207">
        <w:rPr>
          <w:rFonts w:cstheme="minorHAnsi"/>
        </w:rPr>
        <w:t>evidence-based</w:t>
      </w:r>
      <w:r w:rsidRPr="00E96E8D">
        <w:rPr>
          <w:rFonts w:cstheme="minorHAnsi"/>
          <w:bCs/>
        </w:rPr>
        <w:t xml:space="preserve"> </w:t>
      </w:r>
      <w:r>
        <w:rPr>
          <w:rFonts w:cstheme="minorHAnsi"/>
          <w:bCs/>
        </w:rPr>
        <w:t xml:space="preserve">approach which combines </w:t>
      </w:r>
      <w:r w:rsidRPr="009F1207">
        <w:rPr>
          <w:rFonts w:cstheme="minorHAnsi"/>
          <w:bCs/>
        </w:rPr>
        <w:t xml:space="preserve">quantitative modelling and </w:t>
      </w:r>
      <w:r>
        <w:rPr>
          <w:rFonts w:cstheme="minorHAnsi"/>
          <w:bCs/>
        </w:rPr>
        <w:t xml:space="preserve">expert </w:t>
      </w:r>
      <w:r w:rsidRPr="009F1207">
        <w:rPr>
          <w:rFonts w:cstheme="minorHAnsi"/>
          <w:bCs/>
        </w:rPr>
        <w:t>judgement</w:t>
      </w:r>
      <w:r>
        <w:rPr>
          <w:rFonts w:cstheme="minorHAnsi"/>
          <w:bCs/>
        </w:rPr>
        <w:t xml:space="preserve">. This method utilises </w:t>
      </w:r>
      <w:r w:rsidRPr="009F1207">
        <w:rPr>
          <w:rFonts w:cstheme="minorHAnsi"/>
          <w:bCs/>
        </w:rPr>
        <w:t>market intelligence</w:t>
      </w:r>
      <w:r>
        <w:rPr>
          <w:rFonts w:cstheme="minorHAnsi"/>
          <w:bCs/>
        </w:rPr>
        <w:t xml:space="preserve">, the best available data and relevant research. Due to the current extraordinary pandemic situation involving significant travel restrictions </w:t>
      </w:r>
      <w:r>
        <w:rPr>
          <w:rFonts w:cstheme="minorHAnsi"/>
        </w:rPr>
        <w:t>and</w:t>
      </w:r>
      <w:r w:rsidRPr="009F1207">
        <w:rPr>
          <w:rFonts w:cstheme="minorHAnsi"/>
        </w:rPr>
        <w:t xml:space="preserve"> greater uncertainty, </w:t>
      </w:r>
      <w:r>
        <w:rPr>
          <w:rFonts w:cstheme="minorHAnsi"/>
        </w:rPr>
        <w:t xml:space="preserve">TRA’s approach has been adapted. Specifically, </w:t>
      </w:r>
      <w:bookmarkStart w:id="32" w:name="_Hlk78377236"/>
      <w:bookmarkStart w:id="33" w:name="_Hlk78379194"/>
      <w:r>
        <w:rPr>
          <w:rFonts w:cstheme="minorHAnsi"/>
        </w:rPr>
        <w:t>additional j</w:t>
      </w:r>
      <w:r w:rsidRPr="009F1207">
        <w:rPr>
          <w:rFonts w:cstheme="minorHAnsi"/>
        </w:rPr>
        <w:t xml:space="preserve">udgment </w:t>
      </w:r>
      <w:r>
        <w:rPr>
          <w:rFonts w:cstheme="minorHAnsi"/>
        </w:rPr>
        <w:t>ha</w:t>
      </w:r>
      <w:r w:rsidRPr="009F1207">
        <w:rPr>
          <w:rFonts w:cstheme="minorHAnsi"/>
        </w:rPr>
        <w:t>s</w:t>
      </w:r>
      <w:r>
        <w:rPr>
          <w:rFonts w:cstheme="minorHAnsi"/>
        </w:rPr>
        <w:t xml:space="preserve"> been</w:t>
      </w:r>
      <w:r w:rsidRPr="009F1207">
        <w:rPr>
          <w:rFonts w:cstheme="minorHAnsi"/>
        </w:rPr>
        <w:t xml:space="preserve"> applied to modelled short- and medium-term results</w:t>
      </w:r>
      <w:r>
        <w:rPr>
          <w:rFonts w:cstheme="minorHAnsi"/>
        </w:rPr>
        <w:t>, while longer</w:t>
      </w:r>
      <w:r w:rsidR="00BE3600">
        <w:rPr>
          <w:rFonts w:cstheme="minorHAnsi"/>
        </w:rPr>
        <w:t xml:space="preserve"> </w:t>
      </w:r>
      <w:r>
        <w:rPr>
          <w:rFonts w:cstheme="minorHAnsi"/>
        </w:rPr>
        <w:t xml:space="preserve">term forecasts rely more on structural parameters than on cyclical factors. </w:t>
      </w:r>
    </w:p>
    <w:p w14:paraId="0B4A9CC1" w14:textId="77777777" w:rsidR="000F5E9A" w:rsidRDefault="00375F6E" w:rsidP="00375F6E">
      <w:pPr>
        <w:rPr>
          <w:rFonts w:cstheme="minorHAnsi"/>
        </w:rPr>
      </w:pPr>
      <w:r>
        <w:rPr>
          <w:rFonts w:cstheme="minorHAnsi"/>
        </w:rPr>
        <w:t>Other f</w:t>
      </w:r>
      <w:r w:rsidRPr="009F1207">
        <w:rPr>
          <w:rFonts w:cstheme="minorHAnsi"/>
        </w:rPr>
        <w:t xml:space="preserve">actors such as </w:t>
      </w:r>
      <w:r>
        <w:rPr>
          <w:rFonts w:cstheme="minorHAnsi"/>
        </w:rPr>
        <w:t xml:space="preserve">changes in public policy including </w:t>
      </w:r>
      <w:r w:rsidRPr="009F1207">
        <w:rPr>
          <w:rFonts w:cstheme="minorHAnsi"/>
        </w:rPr>
        <w:t xml:space="preserve">travel restrictions, </w:t>
      </w:r>
      <w:r>
        <w:rPr>
          <w:rFonts w:cstheme="minorHAnsi"/>
        </w:rPr>
        <w:t>behavioural considerations related to pent-up demand and ability to travel versus the perceived risk of travel, are incorporated into the forecasts</w:t>
      </w:r>
      <w:r w:rsidRPr="009F1207">
        <w:rPr>
          <w:rFonts w:cstheme="minorHAnsi"/>
        </w:rPr>
        <w:t xml:space="preserve"> using </w:t>
      </w:r>
      <w:r>
        <w:rPr>
          <w:rFonts w:cstheme="minorHAnsi"/>
        </w:rPr>
        <w:t xml:space="preserve">a </w:t>
      </w:r>
      <w:r w:rsidRPr="009F1207">
        <w:rPr>
          <w:rFonts w:cstheme="minorHAnsi"/>
        </w:rPr>
        <w:t>judgement</w:t>
      </w:r>
      <w:r>
        <w:rPr>
          <w:rFonts w:cstheme="minorHAnsi"/>
        </w:rPr>
        <w:t>-based approach</w:t>
      </w:r>
      <w:r w:rsidRPr="009F1207">
        <w:rPr>
          <w:rFonts w:cstheme="minorHAnsi"/>
        </w:rPr>
        <w:t>.</w:t>
      </w:r>
      <w:r>
        <w:rPr>
          <w:rFonts w:cstheme="minorHAnsi"/>
        </w:rPr>
        <w:t xml:space="preserve"> Factors such as aviation </w:t>
      </w:r>
      <w:r>
        <w:rPr>
          <w:rFonts w:cstheme="minorHAnsi"/>
        </w:rPr>
        <w:lastRenderedPageBreak/>
        <w:t xml:space="preserve">capacity, </w:t>
      </w:r>
      <w:r w:rsidRPr="009F1207">
        <w:rPr>
          <w:rFonts w:cstheme="minorHAnsi"/>
        </w:rPr>
        <w:t xml:space="preserve">national disposable income growth and the accommodation outlook are also accounted for using </w:t>
      </w:r>
      <w:r>
        <w:rPr>
          <w:rFonts w:cstheme="minorHAnsi"/>
        </w:rPr>
        <w:t>this approach</w:t>
      </w:r>
      <w:r w:rsidRPr="009F1207">
        <w:rPr>
          <w:rFonts w:cstheme="minorHAnsi"/>
        </w:rPr>
        <w:t>.</w:t>
      </w:r>
      <w:r>
        <w:rPr>
          <w:rFonts w:cstheme="minorHAnsi"/>
        </w:rPr>
        <w:t xml:space="preserve"> </w:t>
      </w:r>
    </w:p>
    <w:p w14:paraId="6AEC605C" w14:textId="42FF02E5" w:rsidR="00375F6E" w:rsidRDefault="00375F6E" w:rsidP="00375F6E">
      <w:pPr>
        <w:rPr>
          <w:rFonts w:cstheme="minorHAnsi"/>
        </w:rPr>
      </w:pPr>
      <w:r>
        <w:rPr>
          <w:rFonts w:cstheme="minorHAnsi"/>
        </w:rPr>
        <w:t xml:space="preserve">Input from </w:t>
      </w:r>
      <w:r w:rsidRPr="009F1207">
        <w:rPr>
          <w:rFonts w:cstheme="minorHAnsi"/>
        </w:rPr>
        <w:t xml:space="preserve">an expert panel provides valuable </w:t>
      </w:r>
      <w:r>
        <w:rPr>
          <w:rFonts w:cstheme="minorHAnsi"/>
        </w:rPr>
        <w:t xml:space="preserve">further </w:t>
      </w:r>
      <w:r w:rsidRPr="009F1207">
        <w:rPr>
          <w:rFonts w:cstheme="minorHAnsi"/>
        </w:rPr>
        <w:t>refinement</w:t>
      </w:r>
      <w:r>
        <w:rPr>
          <w:rFonts w:cstheme="minorHAnsi"/>
        </w:rPr>
        <w:t xml:space="preserve"> to the short- and medium-term forecasts</w:t>
      </w:r>
      <w:r w:rsidRPr="009F1207">
        <w:rPr>
          <w:rFonts w:cstheme="minorHAnsi"/>
        </w:rPr>
        <w:t xml:space="preserve">. </w:t>
      </w:r>
      <w:r>
        <w:rPr>
          <w:rFonts w:cstheme="minorHAnsi"/>
        </w:rPr>
        <w:t>As in previous years,</w:t>
      </w:r>
      <w:r w:rsidR="000F5E9A">
        <w:rPr>
          <w:rFonts w:cstheme="minorHAnsi"/>
        </w:rPr>
        <w:t xml:space="preserve"> input from</w:t>
      </w:r>
      <w:r>
        <w:rPr>
          <w:rFonts w:cstheme="minorHAnsi"/>
        </w:rPr>
        <w:t xml:space="preserve"> the Tourism Forecasting Reference Panel (the expert panel), which is made up of industry and government experts, is incorporated before the results are finalised.</w:t>
      </w:r>
    </w:p>
    <w:p w14:paraId="0939A44F" w14:textId="3DD4BC89" w:rsidR="00375F6E" w:rsidRPr="009F1207" w:rsidRDefault="00375F6E" w:rsidP="00375F6E">
      <w:pPr>
        <w:rPr>
          <w:rFonts w:cstheme="minorHAnsi"/>
          <w:bCs/>
        </w:rPr>
      </w:pPr>
      <w:r w:rsidRPr="009F1207">
        <w:rPr>
          <w:rFonts w:cstheme="minorHAnsi"/>
          <w:bCs/>
        </w:rPr>
        <w:t xml:space="preserve">This year, the method of engagement with the expert panel and the survey of panel members </w:t>
      </w:r>
      <w:r w:rsidR="00B6286D">
        <w:rPr>
          <w:rFonts w:cstheme="minorHAnsi"/>
          <w:bCs/>
        </w:rPr>
        <w:t>were</w:t>
      </w:r>
      <w:r w:rsidRPr="009F1207">
        <w:rPr>
          <w:rFonts w:cstheme="minorHAnsi"/>
          <w:bCs/>
        </w:rPr>
        <w:t xml:space="preserve"> adapted. Instead of traditional discussions with the expert panel, a structured </w:t>
      </w:r>
      <w:r w:rsidR="00CE773A">
        <w:rPr>
          <w:rFonts w:cstheme="minorHAnsi"/>
          <w:bCs/>
        </w:rPr>
        <w:t xml:space="preserve">survey </w:t>
      </w:r>
      <w:r w:rsidRPr="009F1207">
        <w:rPr>
          <w:rFonts w:cstheme="minorHAnsi"/>
          <w:bCs/>
        </w:rPr>
        <w:t>approach was adopted.</w:t>
      </w:r>
      <w:r w:rsidR="00122031">
        <w:rPr>
          <w:rStyle w:val="FootnoteReference"/>
          <w:rFonts w:cstheme="minorHAnsi"/>
          <w:bCs/>
        </w:rPr>
        <w:footnoteReference w:id="6"/>
      </w:r>
      <w:r w:rsidRPr="009F1207">
        <w:rPr>
          <w:rFonts w:cstheme="minorHAnsi"/>
          <w:bCs/>
        </w:rPr>
        <w:t xml:space="preserve"> </w:t>
      </w:r>
      <w:bookmarkEnd w:id="32"/>
      <w:bookmarkEnd w:id="33"/>
      <w:r w:rsidR="00122031">
        <w:rPr>
          <w:rFonts w:cstheme="minorHAnsi"/>
          <w:bCs/>
        </w:rPr>
        <w:t>A</w:t>
      </w:r>
      <w:r w:rsidRPr="009F1207">
        <w:rPr>
          <w:rFonts w:cstheme="minorHAnsi"/>
          <w:bCs/>
        </w:rPr>
        <w:t xml:space="preserve"> panel </w:t>
      </w:r>
      <w:r w:rsidR="00122031">
        <w:rPr>
          <w:rFonts w:cstheme="minorHAnsi"/>
          <w:bCs/>
        </w:rPr>
        <w:t>of</w:t>
      </w:r>
      <w:r w:rsidRPr="009F1207">
        <w:rPr>
          <w:rFonts w:cstheme="minorHAnsi"/>
          <w:bCs/>
        </w:rPr>
        <w:t xml:space="preserve"> 17 tourism experts </w:t>
      </w:r>
      <w:r w:rsidR="00122031">
        <w:rPr>
          <w:rFonts w:cstheme="minorHAnsi"/>
          <w:bCs/>
        </w:rPr>
        <w:t xml:space="preserve">was asked </w:t>
      </w:r>
      <w:r w:rsidRPr="009F1207">
        <w:rPr>
          <w:rFonts w:cstheme="minorHAnsi"/>
          <w:bCs/>
        </w:rPr>
        <w:t xml:space="preserve">to predict the timing of the domestic tourism recovery and the most likely scenario for domestic tourism progression over the next five years. </w:t>
      </w:r>
      <w:bookmarkStart w:id="34" w:name="_Hlk78379270"/>
      <w:r w:rsidRPr="009F1207">
        <w:rPr>
          <w:rFonts w:cstheme="minorHAnsi"/>
          <w:bCs/>
        </w:rPr>
        <w:t xml:space="preserve">The </w:t>
      </w:r>
      <w:r>
        <w:rPr>
          <w:rFonts w:cstheme="minorHAnsi"/>
          <w:bCs/>
        </w:rPr>
        <w:t>steps to incorporate expert judgement</w:t>
      </w:r>
      <w:r w:rsidRPr="009F1207">
        <w:rPr>
          <w:rFonts w:cstheme="minorHAnsi"/>
          <w:bCs/>
        </w:rPr>
        <w:t xml:space="preserve"> </w:t>
      </w:r>
      <w:r w:rsidR="00122031">
        <w:rPr>
          <w:rFonts w:cstheme="minorHAnsi"/>
          <w:bCs/>
        </w:rPr>
        <w:t xml:space="preserve">into TRA’s forecasts </w:t>
      </w:r>
      <w:r w:rsidRPr="009F1207">
        <w:rPr>
          <w:rFonts w:cstheme="minorHAnsi"/>
          <w:bCs/>
        </w:rPr>
        <w:t>are as follows</w:t>
      </w:r>
      <w:r>
        <w:rPr>
          <w:rFonts w:cstheme="minorHAnsi"/>
          <w:bCs/>
        </w:rPr>
        <w:t>:</w:t>
      </w:r>
    </w:p>
    <w:p w14:paraId="01680CB5" w14:textId="77777777" w:rsidR="00375F6E" w:rsidRDefault="00375F6E" w:rsidP="00540319">
      <w:pPr>
        <w:pStyle w:val="ListParagraph"/>
        <w:keepNext/>
        <w:numPr>
          <w:ilvl w:val="0"/>
          <w:numId w:val="14"/>
        </w:numPr>
        <w:ind w:left="714" w:hanging="357"/>
        <w:contextualSpacing w:val="0"/>
        <w:rPr>
          <w:rFonts w:cstheme="minorHAnsi"/>
          <w:bCs/>
        </w:rPr>
      </w:pPr>
      <w:bookmarkStart w:id="35" w:name="_Hlk78379244"/>
      <w:r w:rsidRPr="00375F6E">
        <w:rPr>
          <w:rFonts w:cstheme="minorHAnsi"/>
          <w:bCs/>
        </w:rPr>
        <w:t>Modelling by TRA to produce initial forecasts</w:t>
      </w:r>
    </w:p>
    <w:p w14:paraId="20177C55" w14:textId="77777777" w:rsidR="00375F6E" w:rsidRDefault="00375F6E" w:rsidP="00A60657">
      <w:pPr>
        <w:pStyle w:val="ListParagraph"/>
        <w:numPr>
          <w:ilvl w:val="0"/>
          <w:numId w:val="14"/>
        </w:numPr>
        <w:contextualSpacing w:val="0"/>
        <w:rPr>
          <w:rFonts w:cstheme="minorHAnsi"/>
          <w:bCs/>
        </w:rPr>
      </w:pPr>
      <w:r w:rsidRPr="00375F6E">
        <w:rPr>
          <w:rFonts w:cstheme="minorHAnsi"/>
          <w:bCs/>
        </w:rPr>
        <w:t>Surveying panel members to collect views and forecasts</w:t>
      </w:r>
    </w:p>
    <w:p w14:paraId="2C3950C3" w14:textId="2F46D9BC" w:rsidR="00375F6E" w:rsidRDefault="00375F6E" w:rsidP="00A60657">
      <w:pPr>
        <w:pStyle w:val="ListParagraph"/>
        <w:numPr>
          <w:ilvl w:val="0"/>
          <w:numId w:val="14"/>
        </w:numPr>
        <w:contextualSpacing w:val="0"/>
        <w:rPr>
          <w:rFonts w:cstheme="minorHAnsi"/>
          <w:bCs/>
        </w:rPr>
      </w:pPr>
      <w:r w:rsidRPr="00375F6E">
        <w:rPr>
          <w:rFonts w:cstheme="minorHAnsi"/>
          <w:bCs/>
        </w:rPr>
        <w:t>Statistical analysis of the survey results to encompass all views and determine the most probable scenarios for domestic visitation in the short and m</w:t>
      </w:r>
      <w:r w:rsidR="00B30A85">
        <w:rPr>
          <w:rFonts w:cstheme="minorHAnsi"/>
          <w:bCs/>
        </w:rPr>
        <w:t>e</w:t>
      </w:r>
      <w:r w:rsidRPr="00375F6E">
        <w:rPr>
          <w:rFonts w:cstheme="minorHAnsi"/>
          <w:bCs/>
        </w:rPr>
        <w:t>d</w:t>
      </w:r>
      <w:r w:rsidR="00B30A85">
        <w:rPr>
          <w:rFonts w:cstheme="minorHAnsi"/>
          <w:bCs/>
        </w:rPr>
        <w:t>ium</w:t>
      </w:r>
      <w:r w:rsidR="009355B1">
        <w:rPr>
          <w:rFonts w:cstheme="minorHAnsi"/>
          <w:bCs/>
        </w:rPr>
        <w:t xml:space="preserve"> </w:t>
      </w:r>
      <w:r w:rsidRPr="00375F6E">
        <w:rPr>
          <w:rFonts w:cstheme="minorHAnsi"/>
          <w:bCs/>
        </w:rPr>
        <w:t>term.</w:t>
      </w:r>
    </w:p>
    <w:p w14:paraId="090B6F21" w14:textId="7539247A" w:rsidR="00375F6E" w:rsidRPr="00375F6E" w:rsidRDefault="00375F6E" w:rsidP="00A60657">
      <w:pPr>
        <w:pStyle w:val="ListParagraph"/>
        <w:numPr>
          <w:ilvl w:val="0"/>
          <w:numId w:val="14"/>
        </w:numPr>
        <w:contextualSpacing w:val="0"/>
        <w:rPr>
          <w:rFonts w:cstheme="minorHAnsi"/>
          <w:bCs/>
        </w:rPr>
      </w:pPr>
      <w:r w:rsidRPr="00375F6E">
        <w:rPr>
          <w:rFonts w:cstheme="minorHAnsi"/>
          <w:bCs/>
        </w:rPr>
        <w:t xml:space="preserve">Adjusting the model-based forecasts to incorporate survey results. </w:t>
      </w:r>
    </w:p>
    <w:bookmarkEnd w:id="34"/>
    <w:bookmarkEnd w:id="35"/>
    <w:p w14:paraId="16B2EFC6" w14:textId="35A4C035" w:rsidR="00375F6E" w:rsidRDefault="00375F6E" w:rsidP="00375F6E">
      <w:pPr>
        <w:rPr>
          <w:rFonts w:cstheme="minorHAnsi"/>
        </w:rPr>
      </w:pPr>
      <w:r>
        <w:rPr>
          <w:rFonts w:cstheme="minorHAnsi"/>
          <w:bCs/>
        </w:rPr>
        <w:t>From 2023-24, domestic tourism is expected to have recovered from the pandemic-related downturn. Future growth then reflects more normal, conventional factors. F</w:t>
      </w:r>
      <w:r w:rsidRPr="009F1207">
        <w:rPr>
          <w:rFonts w:cstheme="minorHAnsi"/>
          <w:bCs/>
        </w:rPr>
        <w:t xml:space="preserve">orecasts for domestic tourism at the national level </w:t>
      </w:r>
      <w:r>
        <w:rPr>
          <w:rFonts w:cstheme="minorHAnsi"/>
          <w:bCs/>
        </w:rPr>
        <w:t xml:space="preserve">over these years </w:t>
      </w:r>
      <w:r w:rsidRPr="009F1207">
        <w:rPr>
          <w:rFonts w:cstheme="minorHAnsi"/>
        </w:rPr>
        <w:t xml:space="preserve">are modelled from two parameters: </w:t>
      </w:r>
      <w:r w:rsidR="00CE773A">
        <w:rPr>
          <w:rFonts w:cstheme="minorHAnsi"/>
        </w:rPr>
        <w:t xml:space="preserve">Australian </w:t>
      </w:r>
      <w:r w:rsidRPr="009F1207">
        <w:rPr>
          <w:rFonts w:cstheme="minorHAnsi"/>
        </w:rPr>
        <w:t xml:space="preserve">population growth and travel propensities of age cohorts. </w:t>
      </w:r>
      <w:r w:rsidR="00250DC0">
        <w:rPr>
          <w:rFonts w:cstheme="minorHAnsi"/>
        </w:rPr>
        <w:t xml:space="preserve">Travel propensities are calculated from recent, pre-pandemic TRA data (Figure 7) and population growth projections are sourced from the </w:t>
      </w:r>
      <w:hyperlink r:id="rId30" w:history="1">
        <w:r w:rsidR="00250DC0" w:rsidRPr="00484156">
          <w:rPr>
            <w:rStyle w:val="Hyperlink"/>
            <w:rFonts w:cstheme="minorHAnsi"/>
          </w:rPr>
          <w:t>Economic Intelligence Unit</w:t>
        </w:r>
      </w:hyperlink>
      <w:r w:rsidR="00250DC0">
        <w:rPr>
          <w:rFonts w:cstheme="minorHAnsi"/>
        </w:rPr>
        <w:t xml:space="preserve"> (Figure 8).</w:t>
      </w:r>
    </w:p>
    <w:p w14:paraId="60044065" w14:textId="345B63E9" w:rsidR="00590AA4" w:rsidRDefault="00590AA4" w:rsidP="00590AA4"/>
    <w:p w14:paraId="1E275DCD" w14:textId="3B502FC8" w:rsidR="00590AA4" w:rsidRDefault="00781384" w:rsidP="00590AA4">
      <w:r>
        <w:rPr>
          <w:noProof/>
        </w:rPr>
        <w:drawing>
          <wp:anchor distT="0" distB="0" distL="114300" distR="114300" simplePos="0" relativeHeight="251764736" behindDoc="0" locked="0" layoutInCell="1" allowOverlap="1" wp14:anchorId="1D3C5039" wp14:editId="6F938DAE">
            <wp:simplePos x="0" y="0"/>
            <wp:positionH relativeFrom="margin">
              <wp:align>left</wp:align>
            </wp:positionH>
            <wp:positionV relativeFrom="paragraph">
              <wp:posOffset>12065</wp:posOffset>
            </wp:positionV>
            <wp:extent cx="6324600" cy="3171825"/>
            <wp:effectExtent l="0" t="0" r="0" b="9525"/>
            <wp:wrapNone/>
            <wp:docPr id="36" name="Chart 36" descr="This graph shows the propensity to travel for age cohorts for each of the four main reasons to travel - holiday, visiting friends and relatives, business, and other. The age cohorts are 15-19 years, 20-24 years, 25-29 years, 30-34 years, 35-39 years, 40-44 years, 45-49 years, 50-54 years and 55+ years. &#10;It shows that the propensity to travel, i.e. the number of overnight trips per year, varies by age cohort and by purpose of travel. Across the age cohorts, there are between 1.7 and 2.7 holiday trips per year, between 1.3 and 2.5 VFR trips, 0.3 to 2.2 business trips (this generally increases as age increases from 15-19 to 50-54 cohort), and 0.2-0.3 overnight trips per year for ‘other’ purposes.&#10;">
              <a:extLst xmlns:a="http://schemas.openxmlformats.org/drawingml/2006/main">
                <a:ext uri="{FF2B5EF4-FFF2-40B4-BE49-F238E27FC236}">
                  <a16:creationId xmlns:a16="http://schemas.microsoft.com/office/drawing/2014/main" id="{7C2FCB6B-C264-4042-A13F-A0445DA6E4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page">
              <wp14:pctWidth>0</wp14:pctWidth>
            </wp14:sizeRelH>
            <wp14:sizeRelV relativeFrom="page">
              <wp14:pctHeight>0</wp14:pctHeight>
            </wp14:sizeRelV>
          </wp:anchor>
        </w:drawing>
      </w:r>
      <w:r w:rsidR="00590AA4">
        <w:rPr>
          <w:noProof/>
        </w:rPr>
        <mc:AlternateContent>
          <mc:Choice Requires="wps">
            <w:drawing>
              <wp:anchor distT="0" distB="0" distL="114300" distR="114300" simplePos="0" relativeHeight="251742208" behindDoc="0" locked="0" layoutInCell="1" allowOverlap="1" wp14:anchorId="55EEE95F" wp14:editId="6A464CC4">
                <wp:simplePos x="0" y="0"/>
                <wp:positionH relativeFrom="column">
                  <wp:posOffset>-4445</wp:posOffset>
                </wp:positionH>
                <wp:positionV relativeFrom="paragraph">
                  <wp:posOffset>-375920</wp:posOffset>
                </wp:positionV>
                <wp:extent cx="6334125" cy="457200"/>
                <wp:effectExtent l="0" t="0" r="9525" b="0"/>
                <wp:wrapNone/>
                <wp:docPr id="25" name="Text Box 25" descr="This graph shows the propensity to travel for age cohorts for each of the four main reasons to travel - holiday, visiting friends and relatives, business, and other. The age cohorts are 15-19 years, 20-24 years, 25-29 years, 30-34 years, 35-39 years, 40-44 years, 45-49 years, 50-54 years and 55+ years. &#10;It shows that the propensity to travel, i.e. the number of overnight trips per year, varies by age cohort and by purpose of travel. Across the age cohorts, there are between 1.7 and 2.7 holiday trips per year, between 1.3 and 2.5 VFR trips, 0.3 to 2.2 business trips (this generally increases as age increases from 15-19 to 50-54 cohort), and 0.2-0.3 overnight trips per year for ‘other’ purposes.&#10;"/>
                <wp:cNvGraphicFramePr/>
                <a:graphic xmlns:a="http://schemas.openxmlformats.org/drawingml/2006/main">
                  <a:graphicData uri="http://schemas.microsoft.com/office/word/2010/wordprocessingShape">
                    <wps:wsp>
                      <wps:cNvSpPr txBox="1"/>
                      <wps:spPr>
                        <a:xfrm>
                          <a:off x="0" y="0"/>
                          <a:ext cx="6334125" cy="457200"/>
                        </a:xfrm>
                        <a:prstGeom prst="rect">
                          <a:avLst/>
                        </a:prstGeom>
                        <a:solidFill>
                          <a:prstClr val="white"/>
                        </a:solidFill>
                        <a:ln>
                          <a:noFill/>
                        </a:ln>
                      </wps:spPr>
                      <wps:txbx>
                        <w:txbxContent>
                          <w:p w14:paraId="70614E42" w14:textId="5BCD8A15" w:rsidR="00444B84" w:rsidRPr="00375F6E" w:rsidRDefault="00444B84" w:rsidP="00590AA4">
                            <w:pPr>
                              <w:pStyle w:val="Caption"/>
                              <w:spacing w:before="200"/>
                              <w:rPr>
                                <w:noProof/>
                                <w:color w:val="000000" w:themeColor="text1"/>
                                <w:sz w:val="22"/>
                                <w:szCs w:val="22"/>
                              </w:rPr>
                            </w:pPr>
                            <w:r w:rsidRPr="00375F6E">
                              <w:rPr>
                                <w:sz w:val="20"/>
                                <w:szCs w:val="20"/>
                              </w:rPr>
                              <w:t xml:space="preserve">Figure </w:t>
                            </w:r>
                            <w:r>
                              <w:rPr>
                                <w:sz w:val="20"/>
                                <w:szCs w:val="20"/>
                              </w:rPr>
                              <w:fldChar w:fldCharType="begin"/>
                            </w:r>
                            <w:r>
                              <w:rPr>
                                <w:sz w:val="20"/>
                                <w:szCs w:val="20"/>
                              </w:rPr>
                              <w:instrText xml:space="preserve"> SEQ Figure \* ARABIC </w:instrText>
                            </w:r>
                            <w:r>
                              <w:rPr>
                                <w:sz w:val="20"/>
                                <w:szCs w:val="20"/>
                              </w:rPr>
                              <w:fldChar w:fldCharType="separate"/>
                            </w:r>
                            <w:r>
                              <w:rPr>
                                <w:noProof/>
                                <w:sz w:val="20"/>
                                <w:szCs w:val="20"/>
                              </w:rPr>
                              <w:t>7</w:t>
                            </w:r>
                            <w:r>
                              <w:rPr>
                                <w:sz w:val="20"/>
                                <w:szCs w:val="20"/>
                              </w:rPr>
                              <w:fldChar w:fldCharType="end"/>
                            </w:r>
                            <w:r w:rsidRPr="00375F6E">
                              <w:rPr>
                                <w:sz w:val="20"/>
                                <w:szCs w:val="20"/>
                              </w:rPr>
                              <w:t xml:space="preserve"> – Propensity to travel by age cohort and purpose of travel</w:t>
                            </w:r>
                            <w:r w:rsidR="00781384">
                              <w:rPr>
                                <w:sz w:val="20"/>
                                <w:szCs w:val="20"/>
                              </w:rPr>
                              <w:t>: Pre-pandemic level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55EEE95F" id="Text Box 25" o:spid="_x0000_s1031" type="#_x0000_t202" alt="This graph shows the propensity to travel for age cohorts for each of the four main reasons to travel - holiday, visiting friends and relatives, business, and other. The age cohorts are 15-19 years, 20-24 years, 25-29 years, 30-34 years, 35-39 years, 40-44 years, 45-49 years, 50-54 years and 55+ years. &#10;It shows that the propensity to travel, i.e. the number of overnight trips per year, varies by age cohort and by purpose of travel. Across the age cohorts, there are between 1.7 and 2.7 holiday trips per year, between 1.3 and 2.5 VFR trips, 0.3 to 2.2 business trips (this generally increases as age increases from 15-19 to 50-54 cohort), and 0.2-0.3 overnight trips per year for ‘other’ purposes.&#10;" style="position:absolute;margin-left:-.35pt;margin-top:-29.6pt;width:498.75pt;height:36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" stroked="f">
                <v:textbox inset="0,0,0,0">
                  <w:txbxContent>
                    <w:p w14:paraId="70614E42" w14:textId="5BCD8A15" w:rsidR="00444B84" w:rsidRPr="00375F6E" w:rsidRDefault="00444B84" w:rsidP="00590AA4">
                      <w:pPr>
                        <w:pStyle w:val="Caption"/>
                        <w:spacing w:before="200"/>
                        <w:rPr>
                          <w:noProof/>
                          <w:color w:val="000000" w:themeColor="text1"/>
                          <w:sz w:val="22"/>
                          <w:szCs w:val="22"/>
                        </w:rPr>
                      </w:pPr>
                      <w:r w:rsidRPr="00375F6E">
                        <w:rPr>
                          <w:sz w:val="20"/>
                          <w:szCs w:val="20"/>
                        </w:rPr>
                        <w:t xml:space="preserve">Figure </w:t>
                      </w:r>
                      <w:r>
                        <w:rPr>
                          <w:sz w:val="20"/>
                          <w:szCs w:val="20"/>
                        </w:rPr>
                        <w:fldChar w:fldCharType="begin"/>
                      </w:r>
                      <w:r>
                        <w:rPr>
                          <w:sz w:val="20"/>
                          <w:szCs w:val="20"/>
                        </w:rPr>
                        <w:instrText xml:space="preserve"> SEQ Figure \* ARABIC </w:instrText>
                      </w:r>
                      <w:r>
                        <w:rPr>
                          <w:sz w:val="20"/>
                          <w:szCs w:val="20"/>
                        </w:rPr>
                        <w:fldChar w:fldCharType="separate"/>
                      </w:r>
                      <w:r>
                        <w:rPr>
                          <w:noProof/>
                          <w:sz w:val="20"/>
                          <w:szCs w:val="20"/>
                        </w:rPr>
                        <w:t>7</w:t>
                      </w:r>
                      <w:r>
                        <w:rPr>
                          <w:sz w:val="20"/>
                          <w:szCs w:val="20"/>
                        </w:rPr>
                        <w:fldChar w:fldCharType="end"/>
                      </w:r>
                      <w:r w:rsidRPr="00375F6E">
                        <w:rPr>
                          <w:sz w:val="20"/>
                          <w:szCs w:val="20"/>
                        </w:rPr>
                        <w:t xml:space="preserve"> – Propensity to travel by age cohort and purpose of travel</w:t>
                      </w:r>
                      <w:r w:rsidR="00781384">
                        <w:rPr>
                          <w:sz w:val="20"/>
                          <w:szCs w:val="20"/>
                        </w:rPr>
                        <w:t>: Pre-pandemic level</w:t>
                      </w:r>
                    </w:p>
                  </w:txbxContent>
                </v:textbox>
              </v:shape>
            </w:pict>
          </mc:Fallback>
        </mc:AlternateContent>
      </w:r>
    </w:p>
    <w:p w14:paraId="674645A8" w14:textId="77777777" w:rsidR="00590AA4" w:rsidRDefault="00590AA4" w:rsidP="00590AA4"/>
    <w:p w14:paraId="0DEB231D" w14:textId="77777777" w:rsidR="00590AA4" w:rsidRDefault="00590AA4" w:rsidP="00590AA4"/>
    <w:p w14:paraId="6C2EFF04" w14:textId="61FA299F" w:rsidR="00590AA4" w:rsidRDefault="00590AA4" w:rsidP="00375F6E">
      <w:pPr>
        <w:rPr>
          <w:rFonts w:cstheme="minorHAnsi"/>
        </w:rPr>
      </w:pPr>
    </w:p>
    <w:p w14:paraId="551BABA0" w14:textId="2194046D" w:rsidR="00590AA4" w:rsidRDefault="00590AA4" w:rsidP="00375F6E">
      <w:pPr>
        <w:rPr>
          <w:rFonts w:cstheme="minorHAnsi"/>
        </w:rPr>
      </w:pPr>
    </w:p>
    <w:p w14:paraId="467A8145" w14:textId="64BE0C54" w:rsidR="00590AA4" w:rsidRDefault="00590AA4" w:rsidP="00375F6E">
      <w:pPr>
        <w:rPr>
          <w:rFonts w:cstheme="minorHAnsi"/>
        </w:rPr>
      </w:pPr>
    </w:p>
    <w:p w14:paraId="69EBF1AB" w14:textId="474C7AC9" w:rsidR="00590AA4" w:rsidRDefault="00590AA4" w:rsidP="00375F6E">
      <w:pPr>
        <w:rPr>
          <w:rFonts w:cstheme="minorHAnsi"/>
        </w:rPr>
      </w:pPr>
    </w:p>
    <w:p w14:paraId="5C0F3A5F" w14:textId="42B4A54A" w:rsidR="00781384" w:rsidRDefault="00781384" w:rsidP="00375F6E">
      <w:pPr>
        <w:rPr>
          <w:rFonts w:cstheme="minorHAnsi"/>
        </w:rPr>
      </w:pPr>
    </w:p>
    <w:p w14:paraId="2735DB21" w14:textId="73AFD375" w:rsidR="00781384" w:rsidRDefault="00781384" w:rsidP="00375F6E">
      <w:pPr>
        <w:rPr>
          <w:rFonts w:cstheme="minorHAnsi"/>
        </w:rPr>
      </w:pPr>
    </w:p>
    <w:p w14:paraId="7A0CB8CD" w14:textId="63FD3583" w:rsidR="00AF3A83" w:rsidRDefault="00AF3A83" w:rsidP="00375F6E">
      <w:pPr>
        <w:rPr>
          <w:rFonts w:cstheme="minorHAnsi"/>
        </w:rPr>
      </w:pPr>
      <w:r>
        <w:rPr>
          <w:rFonts w:cstheme="minorHAnsi"/>
          <w:bCs/>
        </w:rPr>
        <w:lastRenderedPageBreak/>
        <w:t xml:space="preserve">Forecasts rely more on structural parameters this year than cyclical factors because, in the current atypical situation, </w:t>
      </w:r>
      <w:r w:rsidRPr="009F1207">
        <w:rPr>
          <w:rFonts w:cstheme="minorHAnsi"/>
          <w:bCs/>
        </w:rPr>
        <w:t xml:space="preserve">historical data </w:t>
      </w:r>
      <w:r>
        <w:rPr>
          <w:rFonts w:cstheme="minorHAnsi"/>
          <w:bCs/>
        </w:rPr>
        <w:t>does not</w:t>
      </w:r>
      <w:r w:rsidRPr="009F1207">
        <w:rPr>
          <w:rFonts w:cstheme="minorHAnsi"/>
          <w:bCs/>
        </w:rPr>
        <w:t xml:space="preserve"> generate </w:t>
      </w:r>
      <w:r w:rsidRPr="009F1207">
        <w:rPr>
          <w:rFonts w:cstheme="minorHAnsi"/>
        </w:rPr>
        <w:t>a reliable prediction of domestic travellers’ future behaviour</w:t>
      </w:r>
      <w:r>
        <w:rPr>
          <w:rFonts w:cstheme="minorHAnsi"/>
        </w:rPr>
        <w:t>. T</w:t>
      </w:r>
      <w:r w:rsidRPr="009F1207">
        <w:rPr>
          <w:rFonts w:cstheme="minorHAnsi"/>
        </w:rPr>
        <w:t>emporary barriers to travel and the impact of various policy measures</w:t>
      </w:r>
      <w:r>
        <w:rPr>
          <w:rFonts w:cstheme="minorHAnsi"/>
        </w:rPr>
        <w:t xml:space="preserve"> generate structural breaks in the series</w:t>
      </w:r>
      <w:r w:rsidRPr="009F1207">
        <w:rPr>
          <w:rFonts w:cstheme="minorHAnsi"/>
        </w:rPr>
        <w:t>.</w:t>
      </w:r>
      <w:r>
        <w:rPr>
          <w:rFonts w:cstheme="minorHAnsi"/>
          <w:bCs/>
        </w:rPr>
        <w:t xml:space="preserve"> Cyclical factors that have been used in previous years, such as </w:t>
      </w:r>
      <w:r w:rsidRPr="009F1207">
        <w:rPr>
          <w:rFonts w:cstheme="minorHAnsi"/>
        </w:rPr>
        <w:t>relative prices (substitute prices</w:t>
      </w:r>
      <w:r>
        <w:rPr>
          <w:rFonts w:cstheme="minorHAnsi"/>
        </w:rPr>
        <w:t>/travel costs</w:t>
      </w:r>
      <w:r w:rsidRPr="009F1207">
        <w:rPr>
          <w:rFonts w:cstheme="minorHAnsi"/>
        </w:rPr>
        <w:t>),</w:t>
      </w:r>
      <w:r>
        <w:rPr>
          <w:rFonts w:cstheme="minorHAnsi"/>
        </w:rPr>
        <w:t xml:space="preserve"> are not currently </w:t>
      </w:r>
      <w:r>
        <w:rPr>
          <w:rFonts w:cstheme="minorHAnsi"/>
          <w:bCs/>
        </w:rPr>
        <w:t xml:space="preserve">informative because </w:t>
      </w:r>
      <w:r w:rsidRPr="009F1207">
        <w:rPr>
          <w:rFonts w:cstheme="minorHAnsi"/>
        </w:rPr>
        <w:t xml:space="preserve">Australian residents cannot </w:t>
      </w:r>
      <w:r>
        <w:rPr>
          <w:rFonts w:cstheme="minorHAnsi"/>
        </w:rPr>
        <w:t xml:space="preserve">currently </w:t>
      </w:r>
      <w:r w:rsidRPr="009F1207">
        <w:rPr>
          <w:rFonts w:cstheme="minorHAnsi"/>
        </w:rPr>
        <w:t>choose between domestic and overseas travel</w:t>
      </w:r>
      <w:r>
        <w:rPr>
          <w:rFonts w:cstheme="minorHAnsi"/>
        </w:rPr>
        <w:t>.</w:t>
      </w:r>
      <w:r>
        <w:rPr>
          <w:rFonts w:cstheme="minorHAnsi"/>
          <w:bCs/>
        </w:rPr>
        <w:t xml:space="preserve"> </w:t>
      </w:r>
      <w:r w:rsidRPr="009F1207">
        <w:rPr>
          <w:rFonts w:cstheme="minorHAnsi"/>
        </w:rPr>
        <w:t xml:space="preserve">Moreover, </w:t>
      </w:r>
      <w:r>
        <w:rPr>
          <w:rFonts w:cstheme="minorHAnsi"/>
        </w:rPr>
        <w:t>sampling</w:t>
      </w:r>
      <w:r w:rsidRPr="009F1207">
        <w:rPr>
          <w:rFonts w:cstheme="minorHAnsi"/>
        </w:rPr>
        <w:t xml:space="preserve"> changes to the NVS data </w:t>
      </w:r>
      <w:r>
        <w:rPr>
          <w:rFonts w:cstheme="minorHAnsi"/>
        </w:rPr>
        <w:t>means that recent data are not</w:t>
      </w:r>
      <w:r w:rsidR="00590AA4">
        <w:rPr>
          <w:rFonts w:cstheme="minorHAnsi"/>
        </w:rPr>
        <w:t xml:space="preserve"> directly</w:t>
      </w:r>
      <w:r>
        <w:rPr>
          <w:rFonts w:cstheme="minorHAnsi"/>
        </w:rPr>
        <w:t xml:space="preserve"> comparable with data prior to </w:t>
      </w:r>
      <w:r w:rsidRPr="009F1207">
        <w:rPr>
          <w:rFonts w:cstheme="minorHAnsi"/>
        </w:rPr>
        <w:t>2019.</w:t>
      </w:r>
      <w:r w:rsidRPr="009F1207">
        <w:rPr>
          <w:rStyle w:val="FootnoteReference"/>
          <w:rFonts w:cstheme="minorHAnsi"/>
        </w:rPr>
        <w:footnoteReference w:id="7"/>
      </w:r>
      <w:r w:rsidRPr="009F1207">
        <w:rPr>
          <w:rFonts w:cstheme="minorHAnsi"/>
        </w:rPr>
        <w:t xml:space="preserve"> Consequently, the historical data series typically used in </w:t>
      </w:r>
      <w:r>
        <w:rPr>
          <w:rFonts w:cstheme="minorHAnsi"/>
        </w:rPr>
        <w:t xml:space="preserve">TRA’s </w:t>
      </w:r>
      <w:r w:rsidRPr="009F1207">
        <w:rPr>
          <w:rFonts w:cstheme="minorHAnsi"/>
        </w:rPr>
        <w:t>forecasting models are too short.</w:t>
      </w:r>
    </w:p>
    <w:p w14:paraId="074532C6" w14:textId="77777777" w:rsidR="00BA578F" w:rsidRPr="009F1207" w:rsidRDefault="00BA578F" w:rsidP="00BA578F">
      <w:pPr>
        <w:rPr>
          <w:rFonts w:cstheme="minorHAnsi"/>
          <w:bCs/>
        </w:rPr>
      </w:pPr>
      <w:r>
        <w:rPr>
          <w:rFonts w:cstheme="minorHAnsi"/>
          <w:bCs/>
        </w:rPr>
        <w:t>T</w:t>
      </w:r>
      <w:r w:rsidRPr="009F1207">
        <w:rPr>
          <w:rFonts w:cstheme="minorHAnsi"/>
          <w:bCs/>
        </w:rPr>
        <w:t xml:space="preserve">he state forecasts are produced using the following steps: </w:t>
      </w:r>
    </w:p>
    <w:p w14:paraId="04B97D1F" w14:textId="77777777" w:rsidR="00BA578F" w:rsidRDefault="00BA578F" w:rsidP="00A60657">
      <w:pPr>
        <w:pStyle w:val="ListParagraph"/>
        <w:numPr>
          <w:ilvl w:val="0"/>
          <w:numId w:val="15"/>
        </w:numPr>
        <w:ind w:left="714" w:hanging="357"/>
        <w:contextualSpacing w:val="0"/>
        <w:rPr>
          <w:rFonts w:cstheme="minorHAnsi"/>
          <w:bCs/>
        </w:rPr>
      </w:pPr>
      <w:r w:rsidRPr="00375F6E">
        <w:rPr>
          <w:rFonts w:cstheme="minorHAnsi"/>
          <w:bCs/>
        </w:rPr>
        <w:t>Australia is divided into thirteen metropolitan and regional locations.</w:t>
      </w:r>
      <w:r w:rsidRPr="009F1207">
        <w:rPr>
          <w:vertAlign w:val="superscript"/>
        </w:rPr>
        <w:footnoteReference w:id="8"/>
      </w:r>
    </w:p>
    <w:p w14:paraId="5B01C1A9" w14:textId="23450512" w:rsidR="00BA578F" w:rsidRDefault="00BA578F" w:rsidP="00A60657">
      <w:pPr>
        <w:pStyle w:val="ListParagraph"/>
        <w:numPr>
          <w:ilvl w:val="0"/>
          <w:numId w:val="15"/>
        </w:numPr>
        <w:ind w:left="714" w:hanging="357"/>
        <w:contextualSpacing w:val="0"/>
        <w:rPr>
          <w:rFonts w:cstheme="minorHAnsi"/>
          <w:bCs/>
        </w:rPr>
      </w:pPr>
      <w:r w:rsidRPr="00375F6E">
        <w:rPr>
          <w:rFonts w:cstheme="minorHAnsi"/>
          <w:bCs/>
        </w:rPr>
        <w:t xml:space="preserve">Historical visitor nights data for each location are adjusted for extreme peaks and troughs, and for structural breaks in the series. The most recent visitor nights data </w:t>
      </w:r>
      <w:r>
        <w:rPr>
          <w:rFonts w:cstheme="minorHAnsi"/>
          <w:bCs/>
        </w:rPr>
        <w:t>are</w:t>
      </w:r>
      <w:r w:rsidRPr="00375F6E">
        <w:rPr>
          <w:rFonts w:cstheme="minorHAnsi"/>
          <w:bCs/>
        </w:rPr>
        <w:t xml:space="preserve"> used to produce forward trend estimates. Seasonal projections are then produced for each location based on long-term growth patterns and these seasonal projections are combined with the forward trend estimates to produce forecasts for each location. These are then converted to state and territory forecasts. </w:t>
      </w:r>
    </w:p>
    <w:p w14:paraId="515170C8" w14:textId="60101DBE" w:rsidR="00BD6F1E" w:rsidRPr="00F3109D" w:rsidRDefault="00BA578F" w:rsidP="00BD6F1E">
      <w:pPr>
        <w:pStyle w:val="ListParagraph"/>
        <w:numPr>
          <w:ilvl w:val="0"/>
          <w:numId w:val="15"/>
        </w:numPr>
        <w:ind w:left="714" w:hanging="357"/>
        <w:contextualSpacing w:val="0"/>
        <w:rPr>
          <w:rFonts w:cstheme="minorHAnsi"/>
          <w:bCs/>
        </w:rPr>
      </w:pPr>
      <w:r w:rsidRPr="00375F6E">
        <w:rPr>
          <w:rFonts w:cstheme="minorHAnsi"/>
          <w:bCs/>
        </w:rPr>
        <w:t xml:space="preserve">Adjustments are made where projected series do not adequately incorporate policy changes and the list of judgement-based factors. Final checks are made to ensure that the state and territory forecasts aggregate to the national forecasts. </w:t>
      </w:r>
    </w:p>
    <w:p w14:paraId="1169AABB" w14:textId="2CDE554E" w:rsidR="00375F6E" w:rsidRDefault="00375F6E" w:rsidP="008F2B89"/>
    <w:p w14:paraId="09579700" w14:textId="323D5E7E" w:rsidR="00375F6E" w:rsidRDefault="00781384" w:rsidP="008F2B89">
      <w:r>
        <w:rPr>
          <w:noProof/>
        </w:rPr>
        <w:drawing>
          <wp:anchor distT="0" distB="0" distL="114300" distR="114300" simplePos="0" relativeHeight="251765760" behindDoc="0" locked="0" layoutInCell="1" allowOverlap="1" wp14:anchorId="50C1F569" wp14:editId="44E1275E">
            <wp:simplePos x="0" y="0"/>
            <wp:positionH relativeFrom="margin">
              <wp:align>right</wp:align>
            </wp:positionH>
            <wp:positionV relativeFrom="paragraph">
              <wp:posOffset>12065</wp:posOffset>
            </wp:positionV>
            <wp:extent cx="6324600" cy="3324225"/>
            <wp:effectExtent l="0" t="0" r="0" b="0"/>
            <wp:wrapNone/>
            <wp:docPr id="42" name="Chart 42" descr="This graph shows the projected population growth by age cohort. The age cohorts are the same as the previous chart. The projected growth rate for that age cohort in each of 2022, 2023, 2024, 2025 and 2026 is shown as a per cent. Data are sourced from the Economic Intelligence Unit.&#10;It shows that the projected population growth over the next 5 years varies by age cohort. It ranges from -0.5 per cent to 3.7 per cent. Across the whole period, the age cohorts 25-29 and 30-34 are projected to grow the least, while age cohorts 40-44 and 55 plus are the projected to growth the fastest.&#10;">
              <a:extLst xmlns:a="http://schemas.openxmlformats.org/drawingml/2006/main">
                <a:ext uri="{FF2B5EF4-FFF2-40B4-BE49-F238E27FC236}">
                  <a16:creationId xmlns:a16="http://schemas.microsoft.com/office/drawing/2014/main" id="{B504F02B-FEA1-4786-8373-1EE8AF382F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page">
              <wp14:pctWidth>0</wp14:pctWidth>
            </wp14:sizeRelH>
            <wp14:sizeRelV relativeFrom="page">
              <wp14:pctHeight>0</wp14:pctHeight>
            </wp14:sizeRelV>
          </wp:anchor>
        </w:drawing>
      </w:r>
      <w:r w:rsidR="00375F6E">
        <w:rPr>
          <w:noProof/>
        </w:rPr>
        <mc:AlternateContent>
          <mc:Choice Requires="wps">
            <w:drawing>
              <wp:anchor distT="0" distB="0" distL="114300" distR="114300" simplePos="0" relativeHeight="251691008" behindDoc="0" locked="0" layoutInCell="1" allowOverlap="1" wp14:anchorId="42F571A5" wp14:editId="53ED502D">
                <wp:simplePos x="0" y="0"/>
                <wp:positionH relativeFrom="column">
                  <wp:posOffset>-13970</wp:posOffset>
                </wp:positionH>
                <wp:positionV relativeFrom="paragraph">
                  <wp:posOffset>-375285</wp:posOffset>
                </wp:positionV>
                <wp:extent cx="6343650" cy="45720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6343650" cy="457200"/>
                        </a:xfrm>
                        <a:prstGeom prst="rect">
                          <a:avLst/>
                        </a:prstGeom>
                        <a:solidFill>
                          <a:prstClr val="white"/>
                        </a:solidFill>
                        <a:ln>
                          <a:noFill/>
                        </a:ln>
                      </wps:spPr>
                      <wps:txbx>
                        <w:txbxContent>
                          <w:p w14:paraId="32A08927" w14:textId="223A96C7" w:rsidR="00444B84" w:rsidRPr="00375F6E" w:rsidRDefault="00444B84" w:rsidP="00375F6E">
                            <w:pPr>
                              <w:pStyle w:val="Caption"/>
                              <w:spacing w:before="200"/>
                              <w:rPr>
                                <w:noProof/>
                                <w:color w:val="000000" w:themeColor="text1"/>
                                <w:sz w:val="22"/>
                                <w:szCs w:val="22"/>
                              </w:rPr>
                            </w:pPr>
                            <w:r w:rsidRPr="00375F6E">
                              <w:rPr>
                                <w:sz w:val="20"/>
                                <w:szCs w:val="20"/>
                              </w:rPr>
                              <w:t xml:space="preserve">Figure </w:t>
                            </w:r>
                            <w:r>
                              <w:rPr>
                                <w:sz w:val="20"/>
                                <w:szCs w:val="20"/>
                              </w:rPr>
                              <w:fldChar w:fldCharType="begin"/>
                            </w:r>
                            <w:r>
                              <w:rPr>
                                <w:sz w:val="20"/>
                                <w:szCs w:val="20"/>
                              </w:rPr>
                              <w:instrText xml:space="preserve"> SEQ Figure \* ARABIC </w:instrText>
                            </w:r>
                            <w:r>
                              <w:rPr>
                                <w:sz w:val="20"/>
                                <w:szCs w:val="20"/>
                              </w:rPr>
                              <w:fldChar w:fldCharType="separate"/>
                            </w:r>
                            <w:r>
                              <w:rPr>
                                <w:noProof/>
                                <w:sz w:val="20"/>
                                <w:szCs w:val="20"/>
                              </w:rPr>
                              <w:t>8</w:t>
                            </w:r>
                            <w:r>
                              <w:rPr>
                                <w:sz w:val="20"/>
                                <w:szCs w:val="20"/>
                              </w:rPr>
                              <w:fldChar w:fldCharType="end"/>
                            </w:r>
                            <w:r w:rsidRPr="00375F6E">
                              <w:rPr>
                                <w:sz w:val="20"/>
                                <w:szCs w:val="20"/>
                              </w:rPr>
                              <w:t xml:space="preserve"> – Projected population growth rate by age </w:t>
                            </w:r>
                            <w:r w:rsidR="00781384">
                              <w:rPr>
                                <w:sz w:val="20"/>
                                <w:szCs w:val="20"/>
                              </w:rPr>
                              <w:t>group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42F571A5" id="Text Box 27" o:spid="_x0000_s1032" type="#_x0000_t202" style="position:absolute;margin-left:-1.1pt;margin-top:-29.55pt;width:499.5pt;height:36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" stroked="f">
                <v:textbox inset="0,0,0,0">
                  <w:txbxContent>
                    <w:p w14:paraId="32A08927" w14:textId="223A96C7" w:rsidR="00444B84" w:rsidRPr="00375F6E" w:rsidRDefault="00444B84" w:rsidP="00375F6E">
                      <w:pPr>
                        <w:pStyle w:val="Caption"/>
                        <w:spacing w:before="200"/>
                        <w:rPr>
                          <w:noProof/>
                          <w:color w:val="000000" w:themeColor="text1"/>
                          <w:sz w:val="22"/>
                          <w:szCs w:val="22"/>
                        </w:rPr>
                      </w:pPr>
                      <w:r w:rsidRPr="00375F6E">
                        <w:rPr>
                          <w:sz w:val="20"/>
                          <w:szCs w:val="20"/>
                        </w:rPr>
                        <w:t xml:space="preserve">Figure </w:t>
                      </w:r>
                      <w:r>
                        <w:rPr>
                          <w:sz w:val="20"/>
                          <w:szCs w:val="20"/>
                        </w:rPr>
                        <w:fldChar w:fldCharType="begin"/>
                      </w:r>
                      <w:r>
                        <w:rPr>
                          <w:sz w:val="20"/>
                          <w:szCs w:val="20"/>
                        </w:rPr>
                        <w:instrText xml:space="preserve"> SEQ Figure \* ARABIC </w:instrText>
                      </w:r>
                      <w:r>
                        <w:rPr>
                          <w:sz w:val="20"/>
                          <w:szCs w:val="20"/>
                        </w:rPr>
                        <w:fldChar w:fldCharType="separate"/>
                      </w:r>
                      <w:r>
                        <w:rPr>
                          <w:noProof/>
                          <w:sz w:val="20"/>
                          <w:szCs w:val="20"/>
                        </w:rPr>
                        <w:t>8</w:t>
                      </w:r>
                      <w:r>
                        <w:rPr>
                          <w:sz w:val="20"/>
                          <w:szCs w:val="20"/>
                        </w:rPr>
                        <w:fldChar w:fldCharType="end"/>
                      </w:r>
                      <w:r w:rsidRPr="00375F6E">
                        <w:rPr>
                          <w:sz w:val="20"/>
                          <w:szCs w:val="20"/>
                        </w:rPr>
                        <w:t xml:space="preserve"> – Projected population growth rate by age </w:t>
                      </w:r>
                      <w:r w:rsidR="00781384">
                        <w:rPr>
                          <w:sz w:val="20"/>
                          <w:szCs w:val="20"/>
                        </w:rPr>
                        <w:t>group</w:t>
                      </w:r>
                    </w:p>
                  </w:txbxContent>
                </v:textbox>
              </v:shape>
            </w:pict>
          </mc:Fallback>
        </mc:AlternateContent>
      </w:r>
    </w:p>
    <w:p w14:paraId="7B71C5C6" w14:textId="732F4AF3" w:rsidR="00375F6E" w:rsidRDefault="00375F6E" w:rsidP="008F2B89"/>
    <w:p w14:paraId="6E2F33A7" w14:textId="23DD7E83" w:rsidR="00375F6E" w:rsidRDefault="00375F6E" w:rsidP="008F2B89"/>
    <w:p w14:paraId="034B3059" w14:textId="768A881E" w:rsidR="00375F6E" w:rsidRDefault="00375F6E" w:rsidP="008F2B89"/>
    <w:p w14:paraId="3B94D32C" w14:textId="57761B85" w:rsidR="00375F6E" w:rsidRDefault="00375F6E" w:rsidP="008F2B89"/>
    <w:p w14:paraId="690AA3AB" w14:textId="149BA609" w:rsidR="00375F6E" w:rsidRDefault="00375F6E" w:rsidP="008F2B89"/>
    <w:p w14:paraId="32022264" w14:textId="16EE139F" w:rsidR="00375F6E" w:rsidRDefault="00375F6E" w:rsidP="008F2B89"/>
    <w:p w14:paraId="46738491" w14:textId="58B1854B" w:rsidR="00375F6E" w:rsidRDefault="00375F6E" w:rsidP="008F2B89"/>
    <w:p w14:paraId="2D536730" w14:textId="62478D86" w:rsidR="00375F6E" w:rsidRDefault="00375F6E" w:rsidP="008F2B89"/>
    <w:p w14:paraId="32B414CE" w14:textId="64DC6FE7" w:rsidR="00B806AA" w:rsidRDefault="00B806AA">
      <w:pPr>
        <w:spacing w:before="0" w:after="160" w:line="259" w:lineRule="auto"/>
      </w:pPr>
      <w:r>
        <w:br w:type="page"/>
      </w:r>
    </w:p>
    <w:p w14:paraId="21449B47" w14:textId="6E042FCE" w:rsidR="00F3109D" w:rsidRPr="00657AD3" w:rsidRDefault="00F3109D" w:rsidP="00F3109D">
      <w:pPr>
        <w:pStyle w:val="Heading2"/>
        <w:rPr>
          <w:color w:val="7A4282" w:themeColor="accent1"/>
          <w:sz w:val="32"/>
          <w:szCs w:val="28"/>
        </w:rPr>
      </w:pPr>
      <w:bookmarkStart w:id="36" w:name="_Toc89671626"/>
      <w:r w:rsidRPr="00657AD3">
        <w:rPr>
          <w:color w:val="7A4282" w:themeColor="accent1"/>
          <w:sz w:val="32"/>
          <w:szCs w:val="28"/>
        </w:rPr>
        <w:lastRenderedPageBreak/>
        <w:t>Data sources and references</w:t>
      </w:r>
      <w:bookmarkEnd w:id="36"/>
    </w:p>
    <w:p w14:paraId="39A97930" w14:textId="77777777" w:rsidR="00F3109D" w:rsidRDefault="00F3109D" w:rsidP="00F3109D">
      <w:pPr>
        <w:pStyle w:val="Heading4"/>
      </w:pPr>
      <w:r>
        <w:t xml:space="preserve">Australian Bureau of Statistics </w:t>
      </w:r>
    </w:p>
    <w:p w14:paraId="5DBC4549" w14:textId="77777777" w:rsidR="00F3109D" w:rsidRDefault="00F3109D" w:rsidP="00F3109D">
      <w:pPr>
        <w:pStyle w:val="ListParagraph"/>
        <w:numPr>
          <w:ilvl w:val="0"/>
          <w:numId w:val="20"/>
        </w:numPr>
        <w:spacing w:before="0" w:after="160" w:line="259" w:lineRule="auto"/>
      </w:pPr>
      <w:r>
        <w:t>Consumer Price Index, Australia September Quarter 2021 (ABS Cat. No. 6401.01)</w:t>
      </w:r>
    </w:p>
    <w:p w14:paraId="359B072C" w14:textId="28258857" w:rsidR="00F3109D" w:rsidRDefault="00F3109D" w:rsidP="00F3109D">
      <w:pPr>
        <w:pStyle w:val="ListParagraph"/>
        <w:numPr>
          <w:ilvl w:val="0"/>
          <w:numId w:val="20"/>
        </w:numPr>
        <w:spacing w:before="0" w:after="160" w:line="259" w:lineRule="auto"/>
      </w:pPr>
      <w:r>
        <w:t xml:space="preserve">Household Impacts of COVID-19 Survey, June 2021 </w:t>
      </w:r>
    </w:p>
    <w:p w14:paraId="030611DD" w14:textId="77777777" w:rsidR="00F3109D" w:rsidRDefault="00F3109D" w:rsidP="00F3109D">
      <w:pPr>
        <w:pStyle w:val="Heading4"/>
      </w:pPr>
      <w:r>
        <w:t>Australian Trade and Investment Commission (Austrade)</w:t>
      </w:r>
    </w:p>
    <w:p w14:paraId="1AE80D60" w14:textId="50F570BA" w:rsidR="00F3109D" w:rsidRPr="00F854EA" w:rsidRDefault="00F9620D" w:rsidP="00F3109D">
      <w:pPr>
        <w:pStyle w:val="ListParagraph"/>
        <w:numPr>
          <w:ilvl w:val="0"/>
          <w:numId w:val="20"/>
        </w:numPr>
        <w:spacing w:before="0" w:after="160" w:line="259" w:lineRule="auto"/>
      </w:pPr>
      <w:hyperlink r:id="rId33" w:history="1">
        <w:r w:rsidR="00F3109D" w:rsidRPr="00F854EA">
          <w:rPr>
            <w:rStyle w:val="Hyperlink"/>
          </w:rPr>
          <w:t>Opportunities for the Visitor Economy: A modern, diversified and collaborative path to 2030</w:t>
        </w:r>
      </w:hyperlink>
      <w:r w:rsidR="00F3109D" w:rsidRPr="00F854EA">
        <w:t>, June 2021</w:t>
      </w:r>
    </w:p>
    <w:p w14:paraId="5355D74B" w14:textId="66156440" w:rsidR="00F3109D" w:rsidRPr="00F854EA" w:rsidRDefault="00F9620D" w:rsidP="00F3109D">
      <w:pPr>
        <w:pStyle w:val="ListParagraph"/>
        <w:numPr>
          <w:ilvl w:val="0"/>
          <w:numId w:val="20"/>
        </w:numPr>
        <w:spacing w:before="0" w:after="160" w:line="259" w:lineRule="auto"/>
      </w:pPr>
      <w:hyperlink r:id="rId34" w:history="1">
        <w:r w:rsidR="00BC1F80" w:rsidRPr="00F854EA">
          <w:rPr>
            <w:rStyle w:val="Hyperlink"/>
          </w:rPr>
          <w:t xml:space="preserve">Draft visitor economy strategy: </w:t>
        </w:r>
        <w:r w:rsidR="00F3109D" w:rsidRPr="00F854EA">
          <w:rPr>
            <w:rStyle w:val="Hyperlink"/>
          </w:rPr>
          <w:t xml:space="preserve">THRIVE 2030 </w:t>
        </w:r>
        <w:r w:rsidR="00BC1F80" w:rsidRPr="00F854EA">
          <w:rPr>
            <w:rStyle w:val="Hyperlink"/>
          </w:rPr>
          <w:t>(</w:t>
        </w:r>
        <w:r w:rsidR="00F3109D" w:rsidRPr="00F854EA">
          <w:rPr>
            <w:rStyle w:val="Hyperlink"/>
          </w:rPr>
          <w:t>T</w:t>
        </w:r>
        <w:r w:rsidR="002A3C60" w:rsidRPr="00F854EA">
          <w:rPr>
            <w:rStyle w:val="Hyperlink"/>
          </w:rPr>
          <w:t>H</w:t>
        </w:r>
        <w:r w:rsidR="00F3109D" w:rsidRPr="00F854EA">
          <w:rPr>
            <w:rStyle w:val="Hyperlink"/>
          </w:rPr>
          <w:t>e Re-Imagined Visitor Economy</w:t>
        </w:r>
        <w:r w:rsidR="00BC1F80" w:rsidRPr="00F854EA">
          <w:rPr>
            <w:rStyle w:val="Hyperlink"/>
          </w:rPr>
          <w:t>)</w:t>
        </w:r>
      </w:hyperlink>
      <w:r w:rsidR="00F3109D" w:rsidRPr="00F854EA">
        <w:t>,</w:t>
      </w:r>
      <w:r w:rsidR="00BC1F80" w:rsidRPr="00F854EA">
        <w:t xml:space="preserve"> </w:t>
      </w:r>
      <w:r w:rsidR="0088336E" w:rsidRPr="00F854EA">
        <w:t>November 2021</w:t>
      </w:r>
    </w:p>
    <w:p w14:paraId="2DE4A520" w14:textId="77777777" w:rsidR="00F3109D" w:rsidRDefault="00F3109D" w:rsidP="00F3109D">
      <w:pPr>
        <w:pStyle w:val="Heading4"/>
      </w:pPr>
      <w:r>
        <w:t>Deloitte Access Economics</w:t>
      </w:r>
    </w:p>
    <w:p w14:paraId="379F9185" w14:textId="0C3D8D4B" w:rsidR="00F3109D" w:rsidRDefault="00F3109D" w:rsidP="00F3109D">
      <w:pPr>
        <w:pStyle w:val="ListParagraph"/>
        <w:numPr>
          <w:ilvl w:val="0"/>
          <w:numId w:val="21"/>
        </w:numPr>
        <w:spacing w:before="0" w:after="160" w:line="259" w:lineRule="auto"/>
      </w:pPr>
      <w:r>
        <w:t>Tourism and hotel market outlook, Edition 1 2021</w:t>
      </w:r>
    </w:p>
    <w:p w14:paraId="30623483" w14:textId="2B1E9D72" w:rsidR="00F3109D" w:rsidRDefault="00F3109D" w:rsidP="00F3109D">
      <w:pPr>
        <w:pStyle w:val="ListParagraph"/>
        <w:numPr>
          <w:ilvl w:val="0"/>
          <w:numId w:val="21"/>
        </w:numPr>
        <w:spacing w:before="0" w:after="160" w:line="259" w:lineRule="auto"/>
      </w:pPr>
      <w:r>
        <w:t>Future of business travel post COVID-19, 2021</w:t>
      </w:r>
    </w:p>
    <w:p w14:paraId="708A25E0" w14:textId="28F3C535" w:rsidR="00484156" w:rsidRDefault="00484156" w:rsidP="00F3109D">
      <w:pPr>
        <w:pStyle w:val="Heading4"/>
      </w:pPr>
      <w:r>
        <w:t>Economist Intelligence Unit</w:t>
      </w:r>
    </w:p>
    <w:p w14:paraId="2AE144F1" w14:textId="7D9ABEAA" w:rsidR="00484156" w:rsidRPr="00484156" w:rsidRDefault="0088336E" w:rsidP="00484156">
      <w:pPr>
        <w:pStyle w:val="ListParagraph"/>
        <w:numPr>
          <w:ilvl w:val="0"/>
          <w:numId w:val="25"/>
        </w:numPr>
      </w:pPr>
      <w:r>
        <w:t>Australian population forecasts (via s</w:t>
      </w:r>
      <w:r w:rsidR="00484156">
        <w:t>ubscription</w:t>
      </w:r>
      <w:r>
        <w:t>)</w:t>
      </w:r>
    </w:p>
    <w:p w14:paraId="39794EFF" w14:textId="484A96DB" w:rsidR="00F3109D" w:rsidRDefault="00F3109D" w:rsidP="00F3109D">
      <w:pPr>
        <w:pStyle w:val="Heading4"/>
      </w:pPr>
      <w:r>
        <w:t>Reserve Bank of Australia</w:t>
      </w:r>
    </w:p>
    <w:p w14:paraId="7DD85563" w14:textId="77777777" w:rsidR="00F3109D" w:rsidRDefault="00F3109D" w:rsidP="00F3109D">
      <w:pPr>
        <w:pStyle w:val="ListParagraph"/>
        <w:numPr>
          <w:ilvl w:val="0"/>
          <w:numId w:val="22"/>
        </w:numPr>
        <w:spacing w:before="0" w:after="160" w:line="259" w:lineRule="auto"/>
      </w:pPr>
      <w:r>
        <w:t>Statement of Monetary Policy, November 2021</w:t>
      </w:r>
    </w:p>
    <w:p w14:paraId="6F50C57A" w14:textId="77777777" w:rsidR="00F3109D" w:rsidRDefault="00F3109D" w:rsidP="00F3109D">
      <w:pPr>
        <w:pStyle w:val="Heading4"/>
      </w:pPr>
      <w:r>
        <w:t xml:space="preserve">Tourism Research Australia (TRA) </w:t>
      </w:r>
    </w:p>
    <w:p w14:paraId="1762059B" w14:textId="5EB7DB84" w:rsidR="00F3109D" w:rsidRDefault="00F3109D" w:rsidP="00F3109D">
      <w:pPr>
        <w:pStyle w:val="ListParagraph"/>
        <w:numPr>
          <w:ilvl w:val="0"/>
          <w:numId w:val="23"/>
        </w:numPr>
        <w:spacing w:before="0" w:after="160" w:line="259" w:lineRule="auto"/>
      </w:pPr>
      <w:r>
        <w:t>Australian Tourism in 2020</w:t>
      </w:r>
      <w:r w:rsidR="0027327E">
        <w:t>,</w:t>
      </w:r>
      <w:r>
        <w:t xml:space="preserve"> August 2021</w:t>
      </w:r>
    </w:p>
    <w:p w14:paraId="0DDA3B6E" w14:textId="49AA4F95" w:rsidR="00F3109D" w:rsidRDefault="00F3109D" w:rsidP="00F3109D">
      <w:pPr>
        <w:pStyle w:val="ListParagraph"/>
        <w:numPr>
          <w:ilvl w:val="0"/>
          <w:numId w:val="23"/>
        </w:numPr>
        <w:spacing w:before="0" w:after="160" w:line="259" w:lineRule="auto"/>
      </w:pPr>
      <w:r>
        <w:t>National Visitor Survey (NVS) year ending June 2021</w:t>
      </w:r>
      <w:r w:rsidR="0027327E">
        <w:t>, September 2021</w:t>
      </w:r>
    </w:p>
    <w:p w14:paraId="508AE4D9" w14:textId="34917E17" w:rsidR="00F3109D" w:rsidRDefault="00F3109D" w:rsidP="00F3109D">
      <w:pPr>
        <w:pStyle w:val="ListParagraph"/>
        <w:numPr>
          <w:ilvl w:val="0"/>
          <w:numId w:val="23"/>
        </w:numPr>
        <w:spacing w:before="0" w:after="160" w:line="259" w:lineRule="auto"/>
      </w:pPr>
      <w:r>
        <w:t>National Visitor Survey monthly</w:t>
      </w:r>
      <w:r w:rsidR="0027327E">
        <w:t>, various editions</w:t>
      </w:r>
    </w:p>
    <w:p w14:paraId="3112DE5A" w14:textId="77777777" w:rsidR="00F3109D" w:rsidRDefault="00F3109D" w:rsidP="00F3109D">
      <w:pPr>
        <w:pStyle w:val="Heading4"/>
      </w:pPr>
      <w:r>
        <w:t>References</w:t>
      </w:r>
    </w:p>
    <w:p w14:paraId="5BC93D35" w14:textId="5904E749" w:rsidR="00CE773A" w:rsidRPr="00CE773A" w:rsidRDefault="00CE773A" w:rsidP="00CE773A">
      <w:pPr>
        <w:pStyle w:val="ListParagraph"/>
        <w:numPr>
          <w:ilvl w:val="0"/>
          <w:numId w:val="24"/>
        </w:numPr>
      </w:pPr>
      <w:r w:rsidRPr="00CE773A">
        <w:t xml:space="preserve">Athanasopoulos, G, R Hyndman, N Kourentzes and M O‘Hara-Wild (2021). Probabilistic forecasts using expert judgement: the road to recovery from COVID-19. </w:t>
      </w:r>
      <w:r>
        <w:t xml:space="preserve">Monash Business School, </w:t>
      </w:r>
      <w:r w:rsidRPr="00CE773A">
        <w:t>Department of Econometrics and Business Statistics Working Paper Series 01/2021</w:t>
      </w:r>
    </w:p>
    <w:p w14:paraId="132B2535" w14:textId="645F7F3E" w:rsidR="00CE773A" w:rsidRPr="00CE773A" w:rsidRDefault="00CE773A" w:rsidP="00CE773A">
      <w:pPr>
        <w:pStyle w:val="ListParagraph"/>
        <w:numPr>
          <w:ilvl w:val="0"/>
          <w:numId w:val="24"/>
        </w:numPr>
        <w:rPr>
          <w:i/>
          <w:iCs/>
        </w:rPr>
      </w:pPr>
      <w:r w:rsidRPr="00CE773A">
        <w:t>Zhang, H, H Song, L Wen &amp; C Liu (2021). Forecasting tourism recovery amid COVID-19. Annals of Tourism Research 87, 103149</w:t>
      </w:r>
      <w:r>
        <w:t>.</w:t>
      </w:r>
    </w:p>
    <w:p w14:paraId="509E0E40" w14:textId="21AB84DC" w:rsidR="00375F6E" w:rsidRDefault="00375F6E" w:rsidP="008F2B89"/>
    <w:p w14:paraId="2D551CE4" w14:textId="35421F23" w:rsidR="00F3109D" w:rsidRDefault="00E81AAF">
      <w:pPr>
        <w:spacing w:before="0" w:after="160" w:line="259" w:lineRule="auto"/>
      </w:pPr>
      <w:r>
        <w:br w:type="page"/>
      </w:r>
    </w:p>
    <w:p w14:paraId="14E4627D" w14:textId="4064AC11" w:rsidR="00E81AAF" w:rsidRPr="00657AD3" w:rsidRDefault="00E81AAF" w:rsidP="00E81AAF">
      <w:pPr>
        <w:pStyle w:val="Heading2"/>
        <w:rPr>
          <w:color w:val="7A4282" w:themeColor="accent1"/>
          <w:sz w:val="32"/>
          <w:szCs w:val="28"/>
        </w:rPr>
      </w:pPr>
      <w:bookmarkStart w:id="37" w:name="_Toc89671627"/>
      <w:r w:rsidRPr="00657AD3">
        <w:rPr>
          <w:color w:val="7A4282" w:themeColor="accent1"/>
          <w:sz w:val="32"/>
          <w:szCs w:val="28"/>
        </w:rPr>
        <w:lastRenderedPageBreak/>
        <w:t>Appendix A</w:t>
      </w:r>
      <w:r w:rsidR="00B806AA" w:rsidRPr="00657AD3">
        <w:rPr>
          <w:color w:val="7A4282" w:themeColor="accent1"/>
          <w:sz w:val="32"/>
          <w:szCs w:val="28"/>
        </w:rPr>
        <w:t xml:space="preserve"> – State and territory graphs</w:t>
      </w:r>
      <w:bookmarkEnd w:id="37"/>
    </w:p>
    <w:p w14:paraId="10CC624D" w14:textId="7D57B68E" w:rsidR="00E81AAF" w:rsidRDefault="00E81AAF" w:rsidP="00B806AA">
      <w:pPr>
        <w:pStyle w:val="Heading4"/>
        <w:rPr>
          <w:lang w:eastAsia="zh-CN"/>
        </w:rPr>
      </w:pPr>
      <w:bookmarkStart w:id="38" w:name="_Toc88574168"/>
      <w:r>
        <w:rPr>
          <w:lang w:eastAsia="zh-CN"/>
        </w:rPr>
        <w:t>New South Wales</w:t>
      </w:r>
      <w:bookmarkEnd w:id="38"/>
    </w:p>
    <w:p w14:paraId="4506175E" w14:textId="691A7D06" w:rsidR="00E81AAF" w:rsidRDefault="00383C99" w:rsidP="00E81AAF">
      <w:pPr>
        <w:rPr>
          <w:lang w:eastAsia="zh-CN"/>
        </w:rPr>
      </w:pPr>
      <w:r>
        <w:rPr>
          <w:noProof/>
        </w:rPr>
        <mc:AlternateContent>
          <mc:Choice Requires="wps">
            <w:drawing>
              <wp:anchor distT="0" distB="0" distL="114300" distR="114300" simplePos="0" relativeHeight="251701248" behindDoc="0" locked="0" layoutInCell="1" allowOverlap="1" wp14:anchorId="16516338" wp14:editId="0153B458">
                <wp:simplePos x="0" y="0"/>
                <wp:positionH relativeFrom="margin">
                  <wp:align>left</wp:align>
                </wp:positionH>
                <wp:positionV relativeFrom="paragraph">
                  <wp:posOffset>7620</wp:posOffset>
                </wp:positionV>
                <wp:extent cx="6334125" cy="457200"/>
                <wp:effectExtent l="0" t="0" r="9525" b="0"/>
                <wp:wrapNone/>
                <wp:docPr id="31" name="Text Box 31"/>
                <wp:cNvGraphicFramePr/>
                <a:graphic xmlns:a="http://schemas.openxmlformats.org/drawingml/2006/main">
                  <a:graphicData uri="http://schemas.microsoft.com/office/word/2010/wordprocessingShape">
                    <wps:wsp>
                      <wps:cNvSpPr txBox="1"/>
                      <wps:spPr>
                        <a:xfrm>
                          <a:off x="0" y="0"/>
                          <a:ext cx="6334125" cy="457200"/>
                        </a:xfrm>
                        <a:prstGeom prst="rect">
                          <a:avLst/>
                        </a:prstGeom>
                        <a:solidFill>
                          <a:prstClr val="white"/>
                        </a:solidFill>
                        <a:ln>
                          <a:noFill/>
                        </a:ln>
                      </wps:spPr>
                      <wps:txbx>
                        <w:txbxContent>
                          <w:p w14:paraId="7F7DE0B5" w14:textId="614C5784" w:rsidR="00444B84" w:rsidRPr="00E81AAF" w:rsidRDefault="00444B84" w:rsidP="00E81AAF">
                            <w:pPr>
                              <w:pStyle w:val="Caption"/>
                              <w:spacing w:before="200"/>
                              <w:rPr>
                                <w:noProof/>
                                <w:color w:val="000000" w:themeColor="text1"/>
                                <w:sz w:val="22"/>
                                <w:szCs w:val="22"/>
                              </w:rPr>
                            </w:pPr>
                            <w:r w:rsidRPr="00E81AAF">
                              <w:rPr>
                                <w:sz w:val="20"/>
                                <w:szCs w:val="20"/>
                              </w:rPr>
                              <w:t xml:space="preserve">Figure </w:t>
                            </w:r>
                            <w:r w:rsidRPr="00E81AAF">
                              <w:rPr>
                                <w:sz w:val="20"/>
                                <w:szCs w:val="20"/>
                              </w:rPr>
                              <w:fldChar w:fldCharType="begin"/>
                            </w:r>
                            <w:r w:rsidRPr="00E81AAF">
                              <w:rPr>
                                <w:sz w:val="20"/>
                                <w:szCs w:val="20"/>
                              </w:rPr>
                              <w:instrText xml:space="preserve"> SEQ Figure \* ARABIC </w:instrText>
                            </w:r>
                            <w:r w:rsidRPr="00E81AAF">
                              <w:rPr>
                                <w:sz w:val="20"/>
                                <w:szCs w:val="20"/>
                              </w:rPr>
                              <w:fldChar w:fldCharType="separate"/>
                            </w:r>
                            <w:r>
                              <w:rPr>
                                <w:noProof/>
                                <w:sz w:val="20"/>
                                <w:szCs w:val="20"/>
                              </w:rPr>
                              <w:t>9</w:t>
                            </w:r>
                            <w:r w:rsidRPr="00E81AAF">
                              <w:rPr>
                                <w:sz w:val="20"/>
                                <w:szCs w:val="20"/>
                              </w:rPr>
                              <w:fldChar w:fldCharType="end"/>
                            </w:r>
                            <w:r w:rsidRPr="00E81AAF">
                              <w:rPr>
                                <w:sz w:val="20"/>
                                <w:szCs w:val="20"/>
                              </w:rPr>
                              <w:t xml:space="preserve"> – Forecast for domestic tourism in New South Wales by purpose of travel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16516338" id="Text Box 31" o:spid="_x0000_s1033" type="#_x0000_t202" style="position:absolute;margin-left:0;margin-top:.6pt;width:498.75pt;height:36pt;z-index:25170124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" stroked="f">
                <v:textbox inset="0,0,0,0">
                  <w:txbxContent>
                    <w:p w14:paraId="7F7DE0B5" w14:textId="614C5784" w:rsidR="00444B84" w:rsidRPr="00E81AAF" w:rsidRDefault="00444B84" w:rsidP="00E81AAF">
                      <w:pPr>
                        <w:pStyle w:val="Caption"/>
                        <w:spacing w:before="200"/>
                        <w:rPr>
                          <w:noProof/>
                          <w:color w:val="000000" w:themeColor="text1"/>
                          <w:sz w:val="22"/>
                          <w:szCs w:val="22"/>
                        </w:rPr>
                      </w:pPr>
                      <w:r w:rsidRPr="00E81AAF">
                        <w:rPr>
                          <w:sz w:val="20"/>
                          <w:szCs w:val="20"/>
                        </w:rPr>
                        <w:t xml:space="preserve">Figure </w:t>
                      </w:r>
                      <w:r w:rsidRPr="00E81AAF">
                        <w:rPr>
                          <w:sz w:val="20"/>
                          <w:szCs w:val="20"/>
                        </w:rPr>
                        <w:fldChar w:fldCharType="begin"/>
                      </w:r>
                      <w:r w:rsidRPr="00E81AAF">
                        <w:rPr>
                          <w:sz w:val="20"/>
                          <w:szCs w:val="20"/>
                        </w:rPr>
                        <w:instrText xml:space="preserve"> SEQ Figure \* ARABIC </w:instrText>
                      </w:r>
                      <w:r w:rsidRPr="00E81AAF">
                        <w:rPr>
                          <w:sz w:val="20"/>
                          <w:szCs w:val="20"/>
                        </w:rPr>
                        <w:fldChar w:fldCharType="separate"/>
                      </w:r>
                      <w:r>
                        <w:rPr>
                          <w:noProof/>
                          <w:sz w:val="20"/>
                          <w:szCs w:val="20"/>
                        </w:rPr>
                        <w:t>9</w:t>
                      </w:r>
                      <w:r w:rsidRPr="00E81AAF">
                        <w:rPr>
                          <w:sz w:val="20"/>
                          <w:szCs w:val="20"/>
                        </w:rPr>
                        <w:fldChar w:fldCharType="end"/>
                      </w:r>
                      <w:r w:rsidRPr="00E81AAF">
                        <w:rPr>
                          <w:sz w:val="20"/>
                          <w:szCs w:val="20"/>
                        </w:rPr>
                        <w:t xml:space="preserve"> – Forecast for domestic tourism in New South Wales by purpose of travel </w:t>
                      </w:r>
                    </w:p>
                  </w:txbxContent>
                </v:textbox>
                <w10:wrap anchorx="margin"/>
              </v:shape>
            </w:pict>
          </mc:Fallback>
        </mc:AlternateContent>
      </w:r>
    </w:p>
    <w:p w14:paraId="4DC29760" w14:textId="18A1B4F2" w:rsidR="00E81AAF" w:rsidRDefault="00781384" w:rsidP="00E81AAF">
      <w:pPr>
        <w:rPr>
          <w:lang w:eastAsia="zh-CN"/>
        </w:rPr>
      </w:pPr>
      <w:r>
        <w:rPr>
          <w:noProof/>
        </w:rPr>
        <w:drawing>
          <wp:anchor distT="0" distB="0" distL="114300" distR="114300" simplePos="0" relativeHeight="251766784" behindDoc="0" locked="0" layoutInCell="1" allowOverlap="1" wp14:anchorId="6DC5D4C5" wp14:editId="276689EC">
            <wp:simplePos x="0" y="0"/>
            <wp:positionH relativeFrom="margin">
              <wp:align>right</wp:align>
            </wp:positionH>
            <wp:positionV relativeFrom="paragraph">
              <wp:posOffset>109220</wp:posOffset>
            </wp:positionV>
            <wp:extent cx="6334125" cy="3429000"/>
            <wp:effectExtent l="0" t="0" r="0" b="0"/>
            <wp:wrapNone/>
            <wp:docPr id="44" name="Chart 44" descr="This chart shows the forecast recovery of domestic tourism in New South Wales out to 2025-26. Actual data cover the period 2008-09 to 2020-21 and forecast data cover the period 2021-22 to 2025-26. There is a line for total visitor nights, in addition to lines for each of the four main categories of travel: holiday, visiting friends and relatives, business, and other.">
              <a:extLst xmlns:a="http://schemas.openxmlformats.org/drawingml/2006/main">
                <a:ext uri="{FF2B5EF4-FFF2-40B4-BE49-F238E27FC236}">
                  <a16:creationId xmlns:a16="http://schemas.microsoft.com/office/drawing/2014/main" id="{2294448B-3C64-465E-81AA-98C54E098D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page">
              <wp14:pctWidth>0</wp14:pctWidth>
            </wp14:sizeRelH>
            <wp14:sizeRelV relativeFrom="page">
              <wp14:pctHeight>0</wp14:pctHeight>
            </wp14:sizeRelV>
          </wp:anchor>
        </w:drawing>
      </w:r>
    </w:p>
    <w:p w14:paraId="5E416446" w14:textId="4412B457" w:rsidR="00E81AAF" w:rsidRDefault="00E81AAF" w:rsidP="00E81AAF">
      <w:pPr>
        <w:rPr>
          <w:lang w:eastAsia="zh-CN"/>
        </w:rPr>
      </w:pPr>
    </w:p>
    <w:p w14:paraId="4EF4B8BC" w14:textId="2F05FCFF" w:rsidR="00E81AAF" w:rsidRDefault="00E81AAF" w:rsidP="00E81AAF">
      <w:pPr>
        <w:rPr>
          <w:lang w:eastAsia="zh-CN"/>
        </w:rPr>
      </w:pPr>
    </w:p>
    <w:p w14:paraId="6BD26283" w14:textId="1D401ED6" w:rsidR="00B806AA" w:rsidRDefault="00B806AA" w:rsidP="00E81AAF">
      <w:pPr>
        <w:rPr>
          <w:lang w:eastAsia="zh-CN"/>
        </w:rPr>
      </w:pPr>
    </w:p>
    <w:p w14:paraId="04E1D379" w14:textId="667A7BD5" w:rsidR="00E81AAF" w:rsidRDefault="00E81AAF" w:rsidP="00E81AAF">
      <w:pPr>
        <w:rPr>
          <w:lang w:eastAsia="zh-CN"/>
        </w:rPr>
      </w:pPr>
    </w:p>
    <w:p w14:paraId="03ED8109" w14:textId="497BE3E7" w:rsidR="00E81AAF" w:rsidRDefault="00E81AAF" w:rsidP="00E81AAF">
      <w:pPr>
        <w:rPr>
          <w:lang w:eastAsia="zh-CN"/>
        </w:rPr>
      </w:pPr>
    </w:p>
    <w:p w14:paraId="30E2E026" w14:textId="0ABDD35F" w:rsidR="00E81AAF" w:rsidRDefault="00E81AAF" w:rsidP="00E81AAF">
      <w:pPr>
        <w:rPr>
          <w:lang w:eastAsia="zh-CN"/>
        </w:rPr>
      </w:pPr>
    </w:p>
    <w:p w14:paraId="2F629484" w14:textId="77777777" w:rsidR="00E81AAF" w:rsidRPr="00E81AAF" w:rsidRDefault="00E81AAF" w:rsidP="00E81AAF">
      <w:pPr>
        <w:rPr>
          <w:lang w:eastAsia="zh-CN"/>
        </w:rPr>
      </w:pPr>
    </w:p>
    <w:p w14:paraId="78F1E9A5" w14:textId="707AB380" w:rsidR="00E81AAF" w:rsidRDefault="00E81AAF" w:rsidP="00E81AAF">
      <w:pPr>
        <w:rPr>
          <w:lang w:eastAsia="zh-CN"/>
        </w:rPr>
      </w:pPr>
    </w:p>
    <w:p w14:paraId="2E451B67" w14:textId="336C4044" w:rsidR="00E81AAF" w:rsidRDefault="00E81AAF" w:rsidP="00E81AAF">
      <w:pPr>
        <w:rPr>
          <w:lang w:eastAsia="zh-CN"/>
        </w:rPr>
      </w:pPr>
    </w:p>
    <w:p w14:paraId="5AEA3916" w14:textId="77777777" w:rsidR="00781384" w:rsidRDefault="00781384" w:rsidP="00E81AAF">
      <w:pPr>
        <w:rPr>
          <w:lang w:eastAsia="zh-CN"/>
        </w:rPr>
      </w:pPr>
    </w:p>
    <w:p w14:paraId="2FB05EDE" w14:textId="54B40146" w:rsidR="00383C99" w:rsidRDefault="00383C99" w:rsidP="00E81AAF">
      <w:pPr>
        <w:rPr>
          <w:lang w:eastAsia="zh-CN"/>
        </w:rPr>
      </w:pPr>
    </w:p>
    <w:p w14:paraId="2F3CD46E" w14:textId="1400AA40" w:rsidR="00E81AAF" w:rsidRDefault="00E81AAF" w:rsidP="00B806AA">
      <w:pPr>
        <w:pStyle w:val="Heading4"/>
        <w:rPr>
          <w:lang w:eastAsia="zh-CN"/>
        </w:rPr>
      </w:pPr>
      <w:bookmarkStart w:id="39" w:name="_Toc88574169"/>
      <w:r>
        <w:rPr>
          <w:lang w:eastAsia="zh-CN"/>
        </w:rPr>
        <w:t>Victoria</w:t>
      </w:r>
      <w:bookmarkEnd w:id="39"/>
    </w:p>
    <w:p w14:paraId="79113360" w14:textId="1844C04D" w:rsidR="00E81AAF" w:rsidRDefault="00E81AAF" w:rsidP="00E81AAF">
      <w:pPr>
        <w:rPr>
          <w:lang w:eastAsia="zh-CN"/>
        </w:rPr>
      </w:pPr>
    </w:p>
    <w:p w14:paraId="51BA8026" w14:textId="6571E473" w:rsidR="00E81AAF" w:rsidRDefault="00781384" w:rsidP="00E81AAF">
      <w:pPr>
        <w:rPr>
          <w:lang w:eastAsia="zh-CN"/>
        </w:rPr>
      </w:pPr>
      <w:r>
        <w:rPr>
          <w:noProof/>
        </w:rPr>
        <w:drawing>
          <wp:anchor distT="0" distB="0" distL="114300" distR="114300" simplePos="0" relativeHeight="251767808" behindDoc="0" locked="0" layoutInCell="1" allowOverlap="1" wp14:anchorId="6A6C547A" wp14:editId="0BBC06B2">
            <wp:simplePos x="0" y="0"/>
            <wp:positionH relativeFrom="margin">
              <wp:align>right</wp:align>
            </wp:positionH>
            <wp:positionV relativeFrom="paragraph">
              <wp:posOffset>220346</wp:posOffset>
            </wp:positionV>
            <wp:extent cx="6334125" cy="3430800"/>
            <wp:effectExtent l="0" t="0" r="0" b="17780"/>
            <wp:wrapNone/>
            <wp:docPr id="46" name="Chart 46" descr="This chart shows the forecast recovery of domestic tourism in Victoria out to 2025-26. Actual data cover the period 2008-09 to 2020-21 and forecast data cover the period 2021-22 to 2025-26. There is a line for total visitor nights, in addition to lines for each of the four main categories of travel: holiday, visiting friends and relatives, business, and other.">
              <a:extLst xmlns:a="http://schemas.openxmlformats.org/drawingml/2006/main">
                <a:ext uri="{FF2B5EF4-FFF2-40B4-BE49-F238E27FC236}">
                  <a16:creationId xmlns:a16="http://schemas.microsoft.com/office/drawing/2014/main" id="{657F6700-BDAE-4018-B928-15E5E3DA6F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page">
              <wp14:pctWidth>0</wp14:pctWidth>
            </wp14:sizeRelH>
            <wp14:sizeRelV relativeFrom="page">
              <wp14:pctHeight>0</wp14:pctHeight>
            </wp14:sizeRelV>
          </wp:anchor>
        </w:drawing>
      </w:r>
      <w:r w:rsidR="00E81AAF">
        <w:rPr>
          <w:noProof/>
        </w:rPr>
        <mc:AlternateContent>
          <mc:Choice Requires="wps">
            <w:drawing>
              <wp:anchor distT="0" distB="0" distL="114300" distR="114300" simplePos="0" relativeHeight="251704320" behindDoc="0" locked="0" layoutInCell="1" allowOverlap="1" wp14:anchorId="67F3C488" wp14:editId="4DFFFAF1">
                <wp:simplePos x="0" y="0"/>
                <wp:positionH relativeFrom="column">
                  <wp:posOffset>-4445</wp:posOffset>
                </wp:positionH>
                <wp:positionV relativeFrom="paragraph">
                  <wp:posOffset>-290830</wp:posOffset>
                </wp:positionV>
                <wp:extent cx="6334125" cy="457200"/>
                <wp:effectExtent l="0" t="0" r="9525" b="0"/>
                <wp:wrapNone/>
                <wp:docPr id="33" name="Text Box 33"/>
                <wp:cNvGraphicFramePr/>
                <a:graphic xmlns:a="http://schemas.openxmlformats.org/drawingml/2006/main">
                  <a:graphicData uri="http://schemas.microsoft.com/office/word/2010/wordprocessingShape">
                    <wps:wsp>
                      <wps:cNvSpPr txBox="1"/>
                      <wps:spPr>
                        <a:xfrm>
                          <a:off x="0" y="0"/>
                          <a:ext cx="6334125" cy="457200"/>
                        </a:xfrm>
                        <a:prstGeom prst="rect">
                          <a:avLst/>
                        </a:prstGeom>
                        <a:solidFill>
                          <a:prstClr val="white"/>
                        </a:solidFill>
                        <a:ln>
                          <a:noFill/>
                        </a:ln>
                      </wps:spPr>
                      <wps:txbx>
                        <w:txbxContent>
                          <w:p w14:paraId="7B4FFE2E" w14:textId="27B9F1D6" w:rsidR="00444B84" w:rsidRPr="00E81AAF" w:rsidRDefault="00444B84" w:rsidP="00E81AAF">
                            <w:pPr>
                              <w:pStyle w:val="Caption"/>
                              <w:spacing w:before="200"/>
                              <w:rPr>
                                <w:noProof/>
                                <w:color w:val="000000" w:themeColor="text1"/>
                                <w:sz w:val="22"/>
                                <w:szCs w:val="22"/>
                              </w:rPr>
                            </w:pPr>
                            <w:r w:rsidRPr="00E81AAF">
                              <w:rPr>
                                <w:sz w:val="20"/>
                                <w:szCs w:val="20"/>
                              </w:rPr>
                              <w:t xml:space="preserve">Figure </w:t>
                            </w:r>
                            <w:r w:rsidRPr="00E81AAF">
                              <w:rPr>
                                <w:sz w:val="20"/>
                                <w:szCs w:val="20"/>
                              </w:rPr>
                              <w:fldChar w:fldCharType="begin"/>
                            </w:r>
                            <w:r w:rsidRPr="00E81AAF">
                              <w:rPr>
                                <w:sz w:val="20"/>
                                <w:szCs w:val="20"/>
                              </w:rPr>
                              <w:instrText xml:space="preserve"> SEQ Figure \* ARABIC </w:instrText>
                            </w:r>
                            <w:r w:rsidRPr="00E81AAF">
                              <w:rPr>
                                <w:sz w:val="20"/>
                                <w:szCs w:val="20"/>
                              </w:rPr>
                              <w:fldChar w:fldCharType="separate"/>
                            </w:r>
                            <w:r>
                              <w:rPr>
                                <w:noProof/>
                                <w:sz w:val="20"/>
                                <w:szCs w:val="20"/>
                              </w:rPr>
                              <w:t>10</w:t>
                            </w:r>
                            <w:r w:rsidRPr="00E81AAF">
                              <w:rPr>
                                <w:sz w:val="20"/>
                                <w:szCs w:val="20"/>
                              </w:rPr>
                              <w:fldChar w:fldCharType="end"/>
                            </w:r>
                            <w:r w:rsidRPr="00E81AAF">
                              <w:rPr>
                                <w:sz w:val="20"/>
                                <w:szCs w:val="20"/>
                              </w:rPr>
                              <w:t xml:space="preserve"> – Forecast for domestic tourism in Victoria by purpose of travel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67F3C488" id="Text Box 33" o:spid="_x0000_s1034" type="#_x0000_t202" style="position:absolute;margin-left:-.35pt;margin-top:-22.9pt;width:498.75pt;height:36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" stroked="f">
                <v:textbox inset="0,0,0,0">
                  <w:txbxContent>
                    <w:p w14:paraId="7B4FFE2E" w14:textId="27B9F1D6" w:rsidR="00444B84" w:rsidRPr="00E81AAF" w:rsidRDefault="00444B84" w:rsidP="00E81AAF">
                      <w:pPr>
                        <w:pStyle w:val="Caption"/>
                        <w:spacing w:before="200"/>
                        <w:rPr>
                          <w:noProof/>
                          <w:color w:val="000000" w:themeColor="text1"/>
                          <w:sz w:val="22"/>
                          <w:szCs w:val="22"/>
                        </w:rPr>
                      </w:pPr>
                      <w:r w:rsidRPr="00E81AAF">
                        <w:rPr>
                          <w:sz w:val="20"/>
                          <w:szCs w:val="20"/>
                        </w:rPr>
                        <w:t xml:space="preserve">Figure </w:t>
                      </w:r>
                      <w:r w:rsidRPr="00E81AAF">
                        <w:rPr>
                          <w:sz w:val="20"/>
                          <w:szCs w:val="20"/>
                        </w:rPr>
                        <w:fldChar w:fldCharType="begin"/>
                      </w:r>
                      <w:r w:rsidRPr="00E81AAF">
                        <w:rPr>
                          <w:sz w:val="20"/>
                          <w:szCs w:val="20"/>
                        </w:rPr>
                        <w:instrText xml:space="preserve"> SEQ Figure \* ARABIC </w:instrText>
                      </w:r>
                      <w:r w:rsidRPr="00E81AAF">
                        <w:rPr>
                          <w:sz w:val="20"/>
                          <w:szCs w:val="20"/>
                        </w:rPr>
                        <w:fldChar w:fldCharType="separate"/>
                      </w:r>
                      <w:r>
                        <w:rPr>
                          <w:noProof/>
                          <w:sz w:val="20"/>
                          <w:szCs w:val="20"/>
                        </w:rPr>
                        <w:t>10</w:t>
                      </w:r>
                      <w:r w:rsidRPr="00E81AAF">
                        <w:rPr>
                          <w:sz w:val="20"/>
                          <w:szCs w:val="20"/>
                        </w:rPr>
                        <w:fldChar w:fldCharType="end"/>
                      </w:r>
                      <w:r w:rsidRPr="00E81AAF">
                        <w:rPr>
                          <w:sz w:val="20"/>
                          <w:szCs w:val="20"/>
                        </w:rPr>
                        <w:t xml:space="preserve"> – Forecast for domestic tourism in Victoria by purpose of travel</w:t>
                      </w:r>
                    </w:p>
                  </w:txbxContent>
                </v:textbox>
              </v:shape>
            </w:pict>
          </mc:Fallback>
        </mc:AlternateContent>
      </w:r>
    </w:p>
    <w:p w14:paraId="0E9A9D4C" w14:textId="1424DE53" w:rsidR="00E81AAF" w:rsidRDefault="00E81AAF" w:rsidP="00E81AAF">
      <w:pPr>
        <w:rPr>
          <w:lang w:eastAsia="zh-CN"/>
        </w:rPr>
      </w:pPr>
    </w:p>
    <w:p w14:paraId="461B8294" w14:textId="286D444E" w:rsidR="00E81AAF" w:rsidRDefault="00E81AAF" w:rsidP="00E81AAF">
      <w:pPr>
        <w:rPr>
          <w:lang w:eastAsia="zh-CN"/>
        </w:rPr>
      </w:pPr>
    </w:p>
    <w:p w14:paraId="02E22454" w14:textId="389862A3" w:rsidR="00E81AAF" w:rsidRDefault="00E81AAF" w:rsidP="00E81AAF">
      <w:pPr>
        <w:rPr>
          <w:lang w:eastAsia="zh-CN"/>
        </w:rPr>
      </w:pPr>
    </w:p>
    <w:p w14:paraId="490CE2EE" w14:textId="0E6A9B88" w:rsidR="00E81AAF" w:rsidRDefault="00E81AAF" w:rsidP="00E81AAF">
      <w:pPr>
        <w:rPr>
          <w:lang w:eastAsia="zh-CN"/>
        </w:rPr>
      </w:pPr>
    </w:p>
    <w:p w14:paraId="2ADD666E" w14:textId="0AAF6261" w:rsidR="00E81AAF" w:rsidRDefault="00E81AAF" w:rsidP="00E81AAF">
      <w:pPr>
        <w:rPr>
          <w:lang w:eastAsia="zh-CN"/>
        </w:rPr>
      </w:pPr>
    </w:p>
    <w:p w14:paraId="055DE39B" w14:textId="7DF165E8" w:rsidR="00E81AAF" w:rsidRDefault="00E81AAF" w:rsidP="00E81AAF">
      <w:pPr>
        <w:rPr>
          <w:lang w:eastAsia="zh-CN"/>
        </w:rPr>
      </w:pPr>
    </w:p>
    <w:p w14:paraId="30DF62C1" w14:textId="3378A8F7" w:rsidR="00E81AAF" w:rsidRDefault="00E81AAF" w:rsidP="00E81AAF">
      <w:pPr>
        <w:rPr>
          <w:lang w:eastAsia="zh-CN"/>
        </w:rPr>
      </w:pPr>
    </w:p>
    <w:p w14:paraId="36F6DFCD" w14:textId="37F48DAB" w:rsidR="00E81AAF" w:rsidRDefault="00E81AAF" w:rsidP="00E81AAF">
      <w:pPr>
        <w:rPr>
          <w:lang w:eastAsia="zh-CN"/>
        </w:rPr>
      </w:pPr>
    </w:p>
    <w:p w14:paraId="3BEBBCED" w14:textId="6E59AD1C" w:rsidR="00E81AAF" w:rsidRDefault="00E81AAF" w:rsidP="00E81AAF">
      <w:pPr>
        <w:rPr>
          <w:lang w:eastAsia="zh-CN"/>
        </w:rPr>
      </w:pPr>
    </w:p>
    <w:p w14:paraId="0322B17C" w14:textId="011A2AB6" w:rsidR="00E81AAF" w:rsidRDefault="00E81AAF" w:rsidP="00E81AAF">
      <w:pPr>
        <w:rPr>
          <w:lang w:eastAsia="zh-CN"/>
        </w:rPr>
      </w:pPr>
    </w:p>
    <w:p w14:paraId="63E549FA" w14:textId="49B71223" w:rsidR="00B806AA" w:rsidRDefault="00B806AA" w:rsidP="00E81AAF">
      <w:pPr>
        <w:rPr>
          <w:lang w:eastAsia="zh-CN"/>
        </w:rPr>
      </w:pPr>
    </w:p>
    <w:p w14:paraId="3C12479D" w14:textId="2452244F" w:rsidR="00E81AAF" w:rsidRDefault="00E81AAF" w:rsidP="00E81AAF">
      <w:pPr>
        <w:rPr>
          <w:lang w:eastAsia="zh-CN"/>
        </w:rPr>
      </w:pPr>
    </w:p>
    <w:p w14:paraId="4C874232" w14:textId="77777777" w:rsidR="00781384" w:rsidRDefault="00781384" w:rsidP="00B806AA">
      <w:pPr>
        <w:pStyle w:val="Heading4"/>
        <w:rPr>
          <w:lang w:eastAsia="zh-CN"/>
        </w:rPr>
      </w:pPr>
      <w:bookmarkStart w:id="40" w:name="_Toc88574170"/>
    </w:p>
    <w:p w14:paraId="7E47AF1B" w14:textId="48E32174" w:rsidR="00E81AAF" w:rsidRDefault="00E81AAF" w:rsidP="00B806AA">
      <w:pPr>
        <w:pStyle w:val="Heading4"/>
        <w:rPr>
          <w:lang w:eastAsia="zh-CN"/>
        </w:rPr>
      </w:pPr>
      <w:r>
        <w:rPr>
          <w:lang w:eastAsia="zh-CN"/>
        </w:rPr>
        <w:t>Queensland</w:t>
      </w:r>
      <w:bookmarkEnd w:id="40"/>
    </w:p>
    <w:p w14:paraId="2DA8A6A0" w14:textId="72B22EC9" w:rsidR="00E81AAF" w:rsidRPr="00E81AAF" w:rsidRDefault="00C41B2D" w:rsidP="00E81AAF">
      <w:pPr>
        <w:rPr>
          <w:lang w:eastAsia="zh-CN"/>
        </w:rPr>
      </w:pPr>
      <w:r>
        <w:rPr>
          <w:noProof/>
        </w:rPr>
        <mc:AlternateContent>
          <mc:Choice Requires="wps">
            <w:drawing>
              <wp:anchor distT="0" distB="0" distL="114300" distR="114300" simplePos="0" relativeHeight="251707392" behindDoc="0" locked="0" layoutInCell="1" allowOverlap="1" wp14:anchorId="7C206CD1" wp14:editId="38B9D526">
                <wp:simplePos x="0" y="0"/>
                <wp:positionH relativeFrom="margin">
                  <wp:align>left</wp:align>
                </wp:positionH>
                <wp:positionV relativeFrom="paragraph">
                  <wp:posOffset>24765</wp:posOffset>
                </wp:positionV>
                <wp:extent cx="6334125" cy="457200"/>
                <wp:effectExtent l="0" t="0" r="9525" b="0"/>
                <wp:wrapNone/>
                <wp:docPr id="35" name="Text Box 35"/>
                <wp:cNvGraphicFramePr/>
                <a:graphic xmlns:a="http://schemas.openxmlformats.org/drawingml/2006/main">
                  <a:graphicData uri="http://schemas.microsoft.com/office/word/2010/wordprocessingShape">
                    <wps:wsp>
                      <wps:cNvSpPr txBox="1"/>
                      <wps:spPr>
                        <a:xfrm>
                          <a:off x="0" y="0"/>
                          <a:ext cx="6334125" cy="457200"/>
                        </a:xfrm>
                        <a:prstGeom prst="rect">
                          <a:avLst/>
                        </a:prstGeom>
                        <a:solidFill>
                          <a:prstClr val="white"/>
                        </a:solidFill>
                        <a:ln>
                          <a:noFill/>
                        </a:ln>
                      </wps:spPr>
                      <wps:txbx>
                        <w:txbxContent>
                          <w:p w14:paraId="78F8ECB0" w14:textId="745FEF0B" w:rsidR="00444B84" w:rsidRPr="00E81AAF" w:rsidRDefault="00444B84" w:rsidP="00E81AAF">
                            <w:pPr>
                              <w:pStyle w:val="Caption"/>
                              <w:spacing w:before="200"/>
                              <w:rPr>
                                <w:noProof/>
                                <w:color w:val="000000" w:themeColor="text1"/>
                                <w:sz w:val="22"/>
                                <w:szCs w:val="22"/>
                              </w:rPr>
                            </w:pPr>
                            <w:r w:rsidRPr="00E81AAF">
                              <w:rPr>
                                <w:sz w:val="20"/>
                                <w:szCs w:val="20"/>
                              </w:rPr>
                              <w:t xml:space="preserve">Figure </w:t>
                            </w:r>
                            <w:r w:rsidRPr="00E81AAF">
                              <w:rPr>
                                <w:sz w:val="20"/>
                                <w:szCs w:val="20"/>
                              </w:rPr>
                              <w:fldChar w:fldCharType="begin"/>
                            </w:r>
                            <w:r w:rsidRPr="00E81AAF">
                              <w:rPr>
                                <w:sz w:val="20"/>
                                <w:szCs w:val="20"/>
                              </w:rPr>
                              <w:instrText xml:space="preserve"> SEQ Figure \* ARABIC </w:instrText>
                            </w:r>
                            <w:r w:rsidRPr="00E81AAF">
                              <w:rPr>
                                <w:sz w:val="20"/>
                                <w:szCs w:val="20"/>
                              </w:rPr>
                              <w:fldChar w:fldCharType="separate"/>
                            </w:r>
                            <w:r>
                              <w:rPr>
                                <w:noProof/>
                                <w:sz w:val="20"/>
                                <w:szCs w:val="20"/>
                              </w:rPr>
                              <w:t>11</w:t>
                            </w:r>
                            <w:r w:rsidRPr="00E81AAF">
                              <w:rPr>
                                <w:sz w:val="20"/>
                                <w:szCs w:val="20"/>
                              </w:rPr>
                              <w:fldChar w:fldCharType="end"/>
                            </w:r>
                            <w:r w:rsidRPr="00E81AAF">
                              <w:rPr>
                                <w:sz w:val="20"/>
                                <w:szCs w:val="20"/>
                              </w:rPr>
                              <w:t xml:space="preserve"> – Forecast for domestic tourism in Queensland by purpose of travel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7C206CD1" id="Text Box 35" o:spid="_x0000_s1035" type="#_x0000_t202" style="position:absolute;margin-left:0;margin-top:1.95pt;width:498.75pt;height:36pt;z-index:25170739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" stroked="f">
                <v:textbox inset="0,0,0,0">
                  <w:txbxContent>
                    <w:p w14:paraId="78F8ECB0" w14:textId="745FEF0B" w:rsidR="00444B84" w:rsidRPr="00E81AAF" w:rsidRDefault="00444B84" w:rsidP="00E81AAF">
                      <w:pPr>
                        <w:pStyle w:val="Caption"/>
                        <w:spacing w:before="200"/>
                        <w:rPr>
                          <w:noProof/>
                          <w:color w:val="000000" w:themeColor="text1"/>
                          <w:sz w:val="22"/>
                          <w:szCs w:val="22"/>
                        </w:rPr>
                      </w:pPr>
                      <w:r w:rsidRPr="00E81AAF">
                        <w:rPr>
                          <w:sz w:val="20"/>
                          <w:szCs w:val="20"/>
                        </w:rPr>
                        <w:t xml:space="preserve">Figure </w:t>
                      </w:r>
                      <w:r w:rsidRPr="00E81AAF">
                        <w:rPr>
                          <w:sz w:val="20"/>
                          <w:szCs w:val="20"/>
                        </w:rPr>
                        <w:fldChar w:fldCharType="begin"/>
                      </w:r>
                      <w:r w:rsidRPr="00E81AAF">
                        <w:rPr>
                          <w:sz w:val="20"/>
                          <w:szCs w:val="20"/>
                        </w:rPr>
                        <w:instrText xml:space="preserve"> SEQ Figure \* ARABIC </w:instrText>
                      </w:r>
                      <w:r w:rsidRPr="00E81AAF">
                        <w:rPr>
                          <w:sz w:val="20"/>
                          <w:szCs w:val="20"/>
                        </w:rPr>
                        <w:fldChar w:fldCharType="separate"/>
                      </w:r>
                      <w:r>
                        <w:rPr>
                          <w:noProof/>
                          <w:sz w:val="20"/>
                          <w:szCs w:val="20"/>
                        </w:rPr>
                        <w:t>11</w:t>
                      </w:r>
                      <w:r w:rsidRPr="00E81AAF">
                        <w:rPr>
                          <w:sz w:val="20"/>
                          <w:szCs w:val="20"/>
                        </w:rPr>
                        <w:fldChar w:fldCharType="end"/>
                      </w:r>
                      <w:r w:rsidRPr="00E81AAF">
                        <w:rPr>
                          <w:sz w:val="20"/>
                          <w:szCs w:val="20"/>
                        </w:rPr>
                        <w:t xml:space="preserve"> – Forecast for domestic tourism in Queensland by purpose of travel</w:t>
                      </w:r>
                    </w:p>
                  </w:txbxContent>
                </v:textbox>
                <w10:wrap anchorx="margin"/>
              </v:shape>
            </w:pict>
          </mc:Fallback>
        </mc:AlternateContent>
      </w:r>
    </w:p>
    <w:p w14:paraId="4D29D451" w14:textId="1916AE51" w:rsidR="00E81AAF" w:rsidRDefault="00781384" w:rsidP="00E81AAF">
      <w:pPr>
        <w:rPr>
          <w:lang w:eastAsia="zh-CN"/>
        </w:rPr>
      </w:pPr>
      <w:r>
        <w:rPr>
          <w:noProof/>
        </w:rPr>
        <w:drawing>
          <wp:anchor distT="0" distB="0" distL="114300" distR="114300" simplePos="0" relativeHeight="251768832" behindDoc="0" locked="0" layoutInCell="1" allowOverlap="1" wp14:anchorId="7A281223" wp14:editId="653315ED">
            <wp:simplePos x="0" y="0"/>
            <wp:positionH relativeFrom="margin">
              <wp:align>right</wp:align>
            </wp:positionH>
            <wp:positionV relativeFrom="paragraph">
              <wp:posOffset>129539</wp:posOffset>
            </wp:positionV>
            <wp:extent cx="6334125" cy="3430800"/>
            <wp:effectExtent l="0" t="0" r="0" b="17780"/>
            <wp:wrapNone/>
            <wp:docPr id="47" name="Chart 47" descr="This chart shows the forecast recovery of domestic tourism in Queensland out to 2025-26. Actual data cover the period 2008-09 to 2020-21 and forecast data cover the period 2021-22 to 2025-26. There is a line for total visitor nights, in addition to lines for each of the four main categories of travel: holiday, visiting friends and relatives, business, and other.">
              <a:extLst xmlns:a="http://schemas.openxmlformats.org/drawingml/2006/main">
                <a:ext uri="{FF2B5EF4-FFF2-40B4-BE49-F238E27FC236}">
                  <a16:creationId xmlns:a16="http://schemas.microsoft.com/office/drawing/2014/main" id="{AB8B4EEE-D205-4246-913C-38373CE390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page">
              <wp14:pctWidth>0</wp14:pctWidth>
            </wp14:sizeRelH>
            <wp14:sizeRelV relativeFrom="page">
              <wp14:pctHeight>0</wp14:pctHeight>
            </wp14:sizeRelV>
          </wp:anchor>
        </w:drawing>
      </w:r>
    </w:p>
    <w:p w14:paraId="4DC0AC1B" w14:textId="1D6BF27A" w:rsidR="00E81AAF" w:rsidRDefault="00E81AAF" w:rsidP="00E81AAF">
      <w:pPr>
        <w:rPr>
          <w:lang w:eastAsia="zh-CN"/>
        </w:rPr>
      </w:pPr>
    </w:p>
    <w:p w14:paraId="11701025" w14:textId="454B4A82" w:rsidR="00E81AAF" w:rsidRDefault="00E81AAF" w:rsidP="00E81AAF">
      <w:pPr>
        <w:rPr>
          <w:lang w:eastAsia="zh-CN"/>
        </w:rPr>
      </w:pPr>
    </w:p>
    <w:p w14:paraId="0291E1E4" w14:textId="3193A8CB" w:rsidR="00E81AAF" w:rsidRDefault="00E81AAF" w:rsidP="00E81AAF">
      <w:pPr>
        <w:rPr>
          <w:lang w:eastAsia="zh-CN"/>
        </w:rPr>
      </w:pPr>
    </w:p>
    <w:p w14:paraId="08BF39BC" w14:textId="2B169E71" w:rsidR="00E81AAF" w:rsidRDefault="00E81AAF" w:rsidP="00E81AAF">
      <w:pPr>
        <w:rPr>
          <w:lang w:eastAsia="zh-CN"/>
        </w:rPr>
      </w:pPr>
    </w:p>
    <w:p w14:paraId="1DC910EC" w14:textId="459AE63B" w:rsidR="00E81AAF" w:rsidRDefault="00E81AAF" w:rsidP="00E81AAF">
      <w:pPr>
        <w:rPr>
          <w:lang w:eastAsia="zh-CN"/>
        </w:rPr>
      </w:pPr>
    </w:p>
    <w:p w14:paraId="627F3D9F" w14:textId="466BF4F2" w:rsidR="00E81AAF" w:rsidRDefault="00E81AAF" w:rsidP="00E81AAF">
      <w:pPr>
        <w:rPr>
          <w:lang w:eastAsia="zh-CN"/>
        </w:rPr>
      </w:pPr>
    </w:p>
    <w:p w14:paraId="36A0CF3E" w14:textId="6E53EF0F" w:rsidR="00E81AAF" w:rsidRDefault="00E81AAF" w:rsidP="00E81AAF">
      <w:pPr>
        <w:rPr>
          <w:lang w:eastAsia="zh-CN"/>
        </w:rPr>
      </w:pPr>
    </w:p>
    <w:p w14:paraId="250705B1" w14:textId="197218DE" w:rsidR="00B806AA" w:rsidRDefault="00B806AA" w:rsidP="00E81AAF">
      <w:pPr>
        <w:rPr>
          <w:lang w:eastAsia="zh-CN"/>
        </w:rPr>
      </w:pPr>
    </w:p>
    <w:p w14:paraId="4930ADA7" w14:textId="3984073E" w:rsidR="00B806AA" w:rsidRDefault="00B806AA" w:rsidP="00E81AAF">
      <w:pPr>
        <w:rPr>
          <w:lang w:eastAsia="zh-CN"/>
        </w:rPr>
      </w:pPr>
    </w:p>
    <w:p w14:paraId="46999EBA" w14:textId="0E6B30DF" w:rsidR="00E81AAF" w:rsidRDefault="00E81AAF" w:rsidP="00E81AAF">
      <w:pPr>
        <w:rPr>
          <w:lang w:eastAsia="zh-CN"/>
        </w:rPr>
      </w:pPr>
    </w:p>
    <w:p w14:paraId="413E92AF" w14:textId="14AC50D5" w:rsidR="00E81AAF" w:rsidRDefault="00E81AAF" w:rsidP="00E81AAF">
      <w:pPr>
        <w:rPr>
          <w:lang w:eastAsia="zh-CN"/>
        </w:rPr>
      </w:pPr>
    </w:p>
    <w:p w14:paraId="60D3C388" w14:textId="57717B23" w:rsidR="00E81AAF" w:rsidRDefault="00E81AAF" w:rsidP="00B806AA">
      <w:pPr>
        <w:pStyle w:val="Heading4"/>
        <w:rPr>
          <w:lang w:eastAsia="zh-CN"/>
        </w:rPr>
      </w:pPr>
      <w:bookmarkStart w:id="41" w:name="_Toc88574171"/>
      <w:r>
        <w:rPr>
          <w:lang w:eastAsia="zh-CN"/>
        </w:rPr>
        <w:t>South Australia</w:t>
      </w:r>
      <w:bookmarkEnd w:id="41"/>
    </w:p>
    <w:p w14:paraId="259B8DD4" w14:textId="77777777" w:rsidR="00821B7A" w:rsidRPr="00821B7A" w:rsidRDefault="00821B7A" w:rsidP="00821B7A">
      <w:pPr>
        <w:rPr>
          <w:lang w:eastAsia="zh-CN"/>
        </w:rPr>
      </w:pPr>
    </w:p>
    <w:p w14:paraId="762088FC" w14:textId="6C349CC6" w:rsidR="00E81AAF" w:rsidRDefault="00781384" w:rsidP="00E81AAF">
      <w:pPr>
        <w:rPr>
          <w:lang w:eastAsia="zh-CN"/>
        </w:rPr>
      </w:pPr>
      <w:r>
        <w:rPr>
          <w:noProof/>
        </w:rPr>
        <w:drawing>
          <wp:anchor distT="0" distB="0" distL="114300" distR="114300" simplePos="0" relativeHeight="251769856" behindDoc="0" locked="0" layoutInCell="1" allowOverlap="1" wp14:anchorId="6DB4588D" wp14:editId="15E0F061">
            <wp:simplePos x="0" y="0"/>
            <wp:positionH relativeFrom="margin">
              <wp:align>left</wp:align>
            </wp:positionH>
            <wp:positionV relativeFrom="paragraph">
              <wp:posOffset>5715</wp:posOffset>
            </wp:positionV>
            <wp:extent cx="6305550" cy="3430800"/>
            <wp:effectExtent l="0" t="0" r="0" b="17780"/>
            <wp:wrapNone/>
            <wp:docPr id="48" name="Chart 48" descr="This chart shows the forecast recovery of domestic tourism in South Australia out to 2025-26. Actual data cover the period 2008-09 to 2020-21 and forecast data cover the period 2021-22 to 2025-26. There is a line for total visitor nights, in addition to lines for each of the four main categories of travel: holiday, visiting friends and relatives, business, and other.">
              <a:extLst xmlns:a="http://schemas.openxmlformats.org/drawingml/2006/main">
                <a:ext uri="{FF2B5EF4-FFF2-40B4-BE49-F238E27FC236}">
                  <a16:creationId xmlns:a16="http://schemas.microsoft.com/office/drawing/2014/main" id="{03D56B24-8CE0-40F6-9098-EB9A4413AC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H relativeFrom="page">
              <wp14:pctWidth>0</wp14:pctWidth>
            </wp14:sizeRelH>
            <wp14:sizeRelV relativeFrom="page">
              <wp14:pctHeight>0</wp14:pctHeight>
            </wp14:sizeRelV>
          </wp:anchor>
        </w:drawing>
      </w:r>
      <w:r w:rsidR="00821B7A">
        <w:rPr>
          <w:noProof/>
        </w:rPr>
        <mc:AlternateContent>
          <mc:Choice Requires="wps">
            <w:drawing>
              <wp:anchor distT="0" distB="0" distL="114300" distR="114300" simplePos="0" relativeHeight="251710464" behindDoc="0" locked="0" layoutInCell="1" allowOverlap="1" wp14:anchorId="01EB90F9" wp14:editId="340AFE6E">
                <wp:simplePos x="0" y="0"/>
                <wp:positionH relativeFrom="column">
                  <wp:posOffset>-4445</wp:posOffset>
                </wp:positionH>
                <wp:positionV relativeFrom="paragraph">
                  <wp:posOffset>-445135</wp:posOffset>
                </wp:positionV>
                <wp:extent cx="6334125" cy="457200"/>
                <wp:effectExtent l="0" t="0" r="9525" b="0"/>
                <wp:wrapNone/>
                <wp:docPr id="37" name="Text Box 37"/>
                <wp:cNvGraphicFramePr/>
                <a:graphic xmlns:a="http://schemas.openxmlformats.org/drawingml/2006/main">
                  <a:graphicData uri="http://schemas.microsoft.com/office/word/2010/wordprocessingShape">
                    <wps:wsp>
                      <wps:cNvSpPr txBox="1"/>
                      <wps:spPr>
                        <a:xfrm>
                          <a:off x="0" y="0"/>
                          <a:ext cx="6334125" cy="457200"/>
                        </a:xfrm>
                        <a:prstGeom prst="rect">
                          <a:avLst/>
                        </a:prstGeom>
                        <a:solidFill>
                          <a:prstClr val="white"/>
                        </a:solidFill>
                        <a:ln>
                          <a:noFill/>
                        </a:ln>
                      </wps:spPr>
                      <wps:txbx>
                        <w:txbxContent>
                          <w:p w14:paraId="611BA1B3" w14:textId="577D737A" w:rsidR="00444B84" w:rsidRPr="00821B7A" w:rsidRDefault="00444B84" w:rsidP="00821B7A">
                            <w:pPr>
                              <w:pStyle w:val="Caption"/>
                              <w:spacing w:before="200"/>
                              <w:rPr>
                                <w:noProof/>
                                <w:color w:val="000000" w:themeColor="text1"/>
                                <w:sz w:val="22"/>
                                <w:szCs w:val="22"/>
                              </w:rPr>
                            </w:pPr>
                            <w:r w:rsidRPr="00821B7A">
                              <w:rPr>
                                <w:sz w:val="20"/>
                                <w:szCs w:val="20"/>
                              </w:rPr>
                              <w:t xml:space="preserve">Figure </w:t>
                            </w:r>
                            <w:r w:rsidRPr="00821B7A">
                              <w:rPr>
                                <w:sz w:val="20"/>
                                <w:szCs w:val="20"/>
                              </w:rPr>
                              <w:fldChar w:fldCharType="begin"/>
                            </w:r>
                            <w:r w:rsidRPr="00821B7A">
                              <w:rPr>
                                <w:sz w:val="20"/>
                                <w:szCs w:val="20"/>
                              </w:rPr>
                              <w:instrText xml:space="preserve"> SEQ Figure \* ARABIC </w:instrText>
                            </w:r>
                            <w:r w:rsidRPr="00821B7A">
                              <w:rPr>
                                <w:sz w:val="20"/>
                                <w:szCs w:val="20"/>
                              </w:rPr>
                              <w:fldChar w:fldCharType="separate"/>
                            </w:r>
                            <w:r>
                              <w:rPr>
                                <w:noProof/>
                                <w:sz w:val="20"/>
                                <w:szCs w:val="20"/>
                              </w:rPr>
                              <w:t>12</w:t>
                            </w:r>
                            <w:r w:rsidRPr="00821B7A">
                              <w:rPr>
                                <w:sz w:val="20"/>
                                <w:szCs w:val="20"/>
                              </w:rPr>
                              <w:fldChar w:fldCharType="end"/>
                            </w:r>
                            <w:r w:rsidRPr="00821B7A">
                              <w:rPr>
                                <w:sz w:val="20"/>
                                <w:szCs w:val="20"/>
                              </w:rPr>
                              <w:t xml:space="preserve"> – Forecast for domestic tourism in South Australia by purpose of travel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01EB90F9" id="Text Box 37" o:spid="_x0000_s1036" type="#_x0000_t202" style="position:absolute;margin-left:-.35pt;margin-top:-35.05pt;width:498.75pt;height:36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" stroked="f">
                <v:textbox inset="0,0,0,0">
                  <w:txbxContent>
                    <w:p w14:paraId="611BA1B3" w14:textId="577D737A" w:rsidR="00444B84" w:rsidRPr="00821B7A" w:rsidRDefault="00444B84" w:rsidP="00821B7A">
                      <w:pPr>
                        <w:pStyle w:val="Caption"/>
                        <w:spacing w:before="200"/>
                        <w:rPr>
                          <w:noProof/>
                          <w:color w:val="000000" w:themeColor="text1"/>
                          <w:sz w:val="22"/>
                          <w:szCs w:val="22"/>
                        </w:rPr>
                      </w:pPr>
                      <w:r w:rsidRPr="00821B7A">
                        <w:rPr>
                          <w:sz w:val="20"/>
                          <w:szCs w:val="20"/>
                        </w:rPr>
                        <w:t xml:space="preserve">Figure </w:t>
                      </w:r>
                      <w:r w:rsidRPr="00821B7A">
                        <w:rPr>
                          <w:sz w:val="20"/>
                          <w:szCs w:val="20"/>
                        </w:rPr>
                        <w:fldChar w:fldCharType="begin"/>
                      </w:r>
                      <w:r w:rsidRPr="00821B7A">
                        <w:rPr>
                          <w:sz w:val="20"/>
                          <w:szCs w:val="20"/>
                        </w:rPr>
                        <w:instrText xml:space="preserve"> SEQ Figure \* ARABIC </w:instrText>
                      </w:r>
                      <w:r w:rsidRPr="00821B7A">
                        <w:rPr>
                          <w:sz w:val="20"/>
                          <w:szCs w:val="20"/>
                        </w:rPr>
                        <w:fldChar w:fldCharType="separate"/>
                      </w:r>
                      <w:r>
                        <w:rPr>
                          <w:noProof/>
                          <w:sz w:val="20"/>
                          <w:szCs w:val="20"/>
                        </w:rPr>
                        <w:t>12</w:t>
                      </w:r>
                      <w:r w:rsidRPr="00821B7A">
                        <w:rPr>
                          <w:sz w:val="20"/>
                          <w:szCs w:val="20"/>
                        </w:rPr>
                        <w:fldChar w:fldCharType="end"/>
                      </w:r>
                      <w:r w:rsidRPr="00821B7A">
                        <w:rPr>
                          <w:sz w:val="20"/>
                          <w:szCs w:val="20"/>
                        </w:rPr>
                        <w:t xml:space="preserve"> – Forecast for domestic tourism in South Australia by purpose of travel</w:t>
                      </w:r>
                    </w:p>
                  </w:txbxContent>
                </v:textbox>
              </v:shape>
            </w:pict>
          </mc:Fallback>
        </mc:AlternateContent>
      </w:r>
    </w:p>
    <w:p w14:paraId="426DCBD6" w14:textId="5A13BC38" w:rsidR="00E81AAF" w:rsidRDefault="00E81AAF" w:rsidP="00E81AAF">
      <w:pPr>
        <w:rPr>
          <w:lang w:eastAsia="zh-CN"/>
        </w:rPr>
      </w:pPr>
    </w:p>
    <w:p w14:paraId="53EAEAF6" w14:textId="65675C30" w:rsidR="00E81AAF" w:rsidRDefault="00E81AAF" w:rsidP="00E81AAF">
      <w:pPr>
        <w:rPr>
          <w:lang w:eastAsia="zh-CN"/>
        </w:rPr>
      </w:pPr>
    </w:p>
    <w:p w14:paraId="45B2D5BA" w14:textId="78BE20B3" w:rsidR="00E81AAF" w:rsidRDefault="00E81AAF" w:rsidP="00E81AAF">
      <w:pPr>
        <w:rPr>
          <w:lang w:eastAsia="zh-CN"/>
        </w:rPr>
      </w:pPr>
    </w:p>
    <w:p w14:paraId="30F974F4" w14:textId="6D088D47" w:rsidR="00E81AAF" w:rsidRDefault="00E81AAF" w:rsidP="00E81AAF">
      <w:pPr>
        <w:rPr>
          <w:lang w:eastAsia="zh-CN"/>
        </w:rPr>
      </w:pPr>
    </w:p>
    <w:p w14:paraId="7C20D86C" w14:textId="131B9C5A" w:rsidR="00E81AAF" w:rsidRDefault="00E81AAF" w:rsidP="00E81AAF">
      <w:pPr>
        <w:rPr>
          <w:lang w:eastAsia="zh-CN"/>
        </w:rPr>
      </w:pPr>
    </w:p>
    <w:p w14:paraId="2549D894" w14:textId="1D065BDE" w:rsidR="00E81AAF" w:rsidRDefault="00E81AAF" w:rsidP="00E81AAF">
      <w:pPr>
        <w:rPr>
          <w:lang w:eastAsia="zh-CN"/>
        </w:rPr>
      </w:pPr>
    </w:p>
    <w:p w14:paraId="17FF0CAC" w14:textId="2E95DEBA" w:rsidR="00E81AAF" w:rsidRDefault="00E81AAF" w:rsidP="00E81AAF">
      <w:pPr>
        <w:rPr>
          <w:lang w:eastAsia="zh-CN"/>
        </w:rPr>
      </w:pPr>
    </w:p>
    <w:p w14:paraId="468E60E8" w14:textId="733F1B97" w:rsidR="00E81AAF" w:rsidRDefault="00E81AAF" w:rsidP="00E81AAF">
      <w:pPr>
        <w:rPr>
          <w:lang w:eastAsia="zh-CN"/>
        </w:rPr>
      </w:pPr>
    </w:p>
    <w:p w14:paraId="57126950" w14:textId="5679466C" w:rsidR="00821B7A" w:rsidRDefault="00821B7A" w:rsidP="00E81AAF">
      <w:pPr>
        <w:rPr>
          <w:lang w:eastAsia="zh-CN"/>
        </w:rPr>
      </w:pPr>
    </w:p>
    <w:p w14:paraId="058F823E" w14:textId="70E3D599" w:rsidR="00C41B2D" w:rsidRDefault="00C41B2D" w:rsidP="00E81AAF">
      <w:pPr>
        <w:rPr>
          <w:lang w:eastAsia="zh-CN"/>
        </w:rPr>
      </w:pPr>
    </w:p>
    <w:p w14:paraId="0F9AE88E" w14:textId="6DDA567B" w:rsidR="00821B7A" w:rsidRDefault="00821B7A" w:rsidP="00E81AAF">
      <w:pPr>
        <w:rPr>
          <w:lang w:eastAsia="zh-CN"/>
        </w:rPr>
      </w:pPr>
    </w:p>
    <w:p w14:paraId="2884B184" w14:textId="77777777" w:rsidR="00B741D3" w:rsidRDefault="00B741D3" w:rsidP="00E81AAF">
      <w:pPr>
        <w:rPr>
          <w:lang w:eastAsia="zh-CN"/>
        </w:rPr>
      </w:pPr>
    </w:p>
    <w:p w14:paraId="0FE46AD5" w14:textId="77777777" w:rsidR="00781384" w:rsidRDefault="00781384" w:rsidP="00B806AA">
      <w:pPr>
        <w:pStyle w:val="Heading4"/>
        <w:rPr>
          <w:lang w:eastAsia="zh-CN"/>
        </w:rPr>
      </w:pPr>
      <w:bookmarkStart w:id="42" w:name="_Toc88574172"/>
    </w:p>
    <w:p w14:paraId="386644EA" w14:textId="72004859" w:rsidR="00821B7A" w:rsidRDefault="00821B7A" w:rsidP="00B806AA">
      <w:pPr>
        <w:pStyle w:val="Heading4"/>
        <w:rPr>
          <w:lang w:eastAsia="zh-CN"/>
        </w:rPr>
      </w:pPr>
      <w:r>
        <w:rPr>
          <w:lang w:eastAsia="zh-CN"/>
        </w:rPr>
        <w:t>Western Australia</w:t>
      </w:r>
      <w:bookmarkEnd w:id="42"/>
    </w:p>
    <w:p w14:paraId="6628A759" w14:textId="75D64632" w:rsidR="00821B7A" w:rsidRDefault="00781384" w:rsidP="00821B7A">
      <w:pPr>
        <w:rPr>
          <w:lang w:eastAsia="zh-CN"/>
        </w:rPr>
      </w:pPr>
      <w:r>
        <w:rPr>
          <w:noProof/>
        </w:rPr>
        <w:drawing>
          <wp:anchor distT="0" distB="0" distL="114300" distR="114300" simplePos="0" relativeHeight="251770880" behindDoc="0" locked="0" layoutInCell="1" allowOverlap="1" wp14:anchorId="64A97B3F" wp14:editId="3F6107CF">
            <wp:simplePos x="0" y="0"/>
            <wp:positionH relativeFrom="margin">
              <wp:align>right</wp:align>
            </wp:positionH>
            <wp:positionV relativeFrom="paragraph">
              <wp:posOffset>313690</wp:posOffset>
            </wp:positionV>
            <wp:extent cx="6307200" cy="3430800"/>
            <wp:effectExtent l="0" t="0" r="0" b="17780"/>
            <wp:wrapNone/>
            <wp:docPr id="49" name="Chart 49" descr="This chart shows the forecast recovery of domestic tourism in Western Australia out to 2025-26. Actual data cover the period 2008-09 to 2020-21 and forecast data cover the period 2021-22 to 2025-26. There is a line for total visitor nights, in addition to lines for each of the four main categories of travel: holiday, visiting friends and relatives, business, and other.">
              <a:extLst xmlns:a="http://schemas.openxmlformats.org/drawingml/2006/main">
                <a:ext uri="{FF2B5EF4-FFF2-40B4-BE49-F238E27FC236}">
                  <a16:creationId xmlns:a16="http://schemas.microsoft.com/office/drawing/2014/main" id="{BC0919C0-034F-4CF4-AAD9-39A8152C59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14:sizeRelH relativeFrom="margin">
              <wp14:pctWidth>0</wp14:pctWidth>
            </wp14:sizeRelH>
            <wp14:sizeRelV relativeFrom="margin">
              <wp14:pctHeight>0</wp14:pctHeight>
            </wp14:sizeRelV>
          </wp:anchor>
        </w:drawing>
      </w:r>
    </w:p>
    <w:p w14:paraId="2AFB00FE" w14:textId="113BEB0D" w:rsidR="00821B7A" w:rsidRDefault="00821B7A" w:rsidP="00821B7A">
      <w:pPr>
        <w:rPr>
          <w:lang w:eastAsia="zh-CN"/>
        </w:rPr>
      </w:pPr>
      <w:r>
        <w:rPr>
          <w:noProof/>
        </w:rPr>
        <mc:AlternateContent>
          <mc:Choice Requires="wps">
            <w:drawing>
              <wp:anchor distT="0" distB="0" distL="114300" distR="114300" simplePos="0" relativeHeight="251713536" behindDoc="0" locked="0" layoutInCell="1" allowOverlap="1" wp14:anchorId="12CF4DBA" wp14:editId="3262D769">
                <wp:simplePos x="0" y="0"/>
                <wp:positionH relativeFrom="column">
                  <wp:posOffset>-4445</wp:posOffset>
                </wp:positionH>
                <wp:positionV relativeFrom="paragraph">
                  <wp:posOffset>-445135</wp:posOffset>
                </wp:positionV>
                <wp:extent cx="6334125" cy="457200"/>
                <wp:effectExtent l="0" t="0" r="9525" b="0"/>
                <wp:wrapNone/>
                <wp:docPr id="39" name="Text Box 39"/>
                <wp:cNvGraphicFramePr/>
                <a:graphic xmlns:a="http://schemas.openxmlformats.org/drawingml/2006/main">
                  <a:graphicData uri="http://schemas.microsoft.com/office/word/2010/wordprocessingShape">
                    <wps:wsp>
                      <wps:cNvSpPr txBox="1"/>
                      <wps:spPr>
                        <a:xfrm>
                          <a:off x="0" y="0"/>
                          <a:ext cx="6334125" cy="457200"/>
                        </a:xfrm>
                        <a:prstGeom prst="rect">
                          <a:avLst/>
                        </a:prstGeom>
                        <a:solidFill>
                          <a:prstClr val="white"/>
                        </a:solidFill>
                        <a:ln>
                          <a:noFill/>
                        </a:ln>
                      </wps:spPr>
                      <wps:txbx>
                        <w:txbxContent>
                          <w:p w14:paraId="4A1A9637" w14:textId="402DEAE5" w:rsidR="00444B84" w:rsidRPr="00821B7A" w:rsidRDefault="00444B84" w:rsidP="00821B7A">
                            <w:pPr>
                              <w:pStyle w:val="Caption"/>
                              <w:spacing w:before="200"/>
                              <w:rPr>
                                <w:noProof/>
                                <w:color w:val="000000" w:themeColor="text1"/>
                                <w:sz w:val="22"/>
                                <w:szCs w:val="22"/>
                              </w:rPr>
                            </w:pPr>
                            <w:r w:rsidRPr="00821B7A">
                              <w:rPr>
                                <w:sz w:val="20"/>
                                <w:szCs w:val="20"/>
                              </w:rPr>
                              <w:t xml:space="preserve">Figure </w:t>
                            </w:r>
                            <w:r w:rsidRPr="00821B7A">
                              <w:rPr>
                                <w:sz w:val="20"/>
                                <w:szCs w:val="20"/>
                              </w:rPr>
                              <w:fldChar w:fldCharType="begin"/>
                            </w:r>
                            <w:r w:rsidRPr="00821B7A">
                              <w:rPr>
                                <w:sz w:val="20"/>
                                <w:szCs w:val="20"/>
                              </w:rPr>
                              <w:instrText xml:space="preserve"> SEQ Figure \* ARABIC </w:instrText>
                            </w:r>
                            <w:r w:rsidRPr="00821B7A">
                              <w:rPr>
                                <w:sz w:val="20"/>
                                <w:szCs w:val="20"/>
                              </w:rPr>
                              <w:fldChar w:fldCharType="separate"/>
                            </w:r>
                            <w:r>
                              <w:rPr>
                                <w:noProof/>
                                <w:sz w:val="20"/>
                                <w:szCs w:val="20"/>
                              </w:rPr>
                              <w:t>13</w:t>
                            </w:r>
                            <w:r w:rsidRPr="00821B7A">
                              <w:rPr>
                                <w:sz w:val="20"/>
                                <w:szCs w:val="20"/>
                              </w:rPr>
                              <w:fldChar w:fldCharType="end"/>
                            </w:r>
                            <w:r w:rsidRPr="00821B7A">
                              <w:rPr>
                                <w:sz w:val="20"/>
                                <w:szCs w:val="20"/>
                              </w:rPr>
                              <w:t xml:space="preserve"> – Forecast for domestic tourism in Western Australia by purpose of travel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12CF4DBA" id="Text Box 39" o:spid="_x0000_s1037" type="#_x0000_t202" style="position:absolute;margin-left:-.35pt;margin-top:-35.05pt;width:498.75pt;height:36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" stroked="f">
                <v:textbox inset="0,0,0,0">
                  <w:txbxContent>
                    <w:p w14:paraId="4A1A9637" w14:textId="402DEAE5" w:rsidR="00444B84" w:rsidRPr="00821B7A" w:rsidRDefault="00444B84" w:rsidP="00821B7A">
                      <w:pPr>
                        <w:pStyle w:val="Caption"/>
                        <w:spacing w:before="200"/>
                        <w:rPr>
                          <w:noProof/>
                          <w:color w:val="000000" w:themeColor="text1"/>
                          <w:sz w:val="22"/>
                          <w:szCs w:val="22"/>
                        </w:rPr>
                      </w:pPr>
                      <w:r w:rsidRPr="00821B7A">
                        <w:rPr>
                          <w:sz w:val="20"/>
                          <w:szCs w:val="20"/>
                        </w:rPr>
                        <w:t xml:space="preserve">Figure </w:t>
                      </w:r>
                      <w:r w:rsidRPr="00821B7A">
                        <w:rPr>
                          <w:sz w:val="20"/>
                          <w:szCs w:val="20"/>
                        </w:rPr>
                        <w:fldChar w:fldCharType="begin"/>
                      </w:r>
                      <w:r w:rsidRPr="00821B7A">
                        <w:rPr>
                          <w:sz w:val="20"/>
                          <w:szCs w:val="20"/>
                        </w:rPr>
                        <w:instrText xml:space="preserve"> SEQ Figure \* ARABIC </w:instrText>
                      </w:r>
                      <w:r w:rsidRPr="00821B7A">
                        <w:rPr>
                          <w:sz w:val="20"/>
                          <w:szCs w:val="20"/>
                        </w:rPr>
                        <w:fldChar w:fldCharType="separate"/>
                      </w:r>
                      <w:r>
                        <w:rPr>
                          <w:noProof/>
                          <w:sz w:val="20"/>
                          <w:szCs w:val="20"/>
                        </w:rPr>
                        <w:t>13</w:t>
                      </w:r>
                      <w:r w:rsidRPr="00821B7A">
                        <w:rPr>
                          <w:sz w:val="20"/>
                          <w:szCs w:val="20"/>
                        </w:rPr>
                        <w:fldChar w:fldCharType="end"/>
                      </w:r>
                      <w:r w:rsidRPr="00821B7A">
                        <w:rPr>
                          <w:sz w:val="20"/>
                          <w:szCs w:val="20"/>
                        </w:rPr>
                        <w:t xml:space="preserve"> – Forecast for domestic tourism in Western Australia by purpose of travel</w:t>
                      </w:r>
                    </w:p>
                  </w:txbxContent>
                </v:textbox>
              </v:shape>
            </w:pict>
          </mc:Fallback>
        </mc:AlternateContent>
      </w:r>
    </w:p>
    <w:p w14:paraId="15853892" w14:textId="20E2829B" w:rsidR="00821B7A" w:rsidRDefault="00821B7A" w:rsidP="00821B7A">
      <w:pPr>
        <w:rPr>
          <w:lang w:eastAsia="zh-CN"/>
        </w:rPr>
      </w:pPr>
    </w:p>
    <w:p w14:paraId="1FA7E07E" w14:textId="065BF5B4" w:rsidR="00821B7A" w:rsidRDefault="00821B7A" w:rsidP="00821B7A">
      <w:pPr>
        <w:rPr>
          <w:lang w:eastAsia="zh-CN"/>
        </w:rPr>
      </w:pPr>
    </w:p>
    <w:p w14:paraId="10EDA926" w14:textId="087ED779" w:rsidR="00821B7A" w:rsidRDefault="00821B7A" w:rsidP="00821B7A">
      <w:pPr>
        <w:rPr>
          <w:lang w:eastAsia="zh-CN"/>
        </w:rPr>
      </w:pPr>
    </w:p>
    <w:p w14:paraId="051CE712" w14:textId="40D95429" w:rsidR="00821B7A" w:rsidRDefault="00821B7A" w:rsidP="00821B7A">
      <w:pPr>
        <w:rPr>
          <w:lang w:eastAsia="zh-CN"/>
        </w:rPr>
      </w:pPr>
    </w:p>
    <w:p w14:paraId="6C7E92B1" w14:textId="4ECE7C6C" w:rsidR="00821B7A" w:rsidRDefault="00821B7A" w:rsidP="00821B7A">
      <w:pPr>
        <w:rPr>
          <w:lang w:eastAsia="zh-CN"/>
        </w:rPr>
      </w:pPr>
    </w:p>
    <w:p w14:paraId="62881945" w14:textId="6B82B190" w:rsidR="00821B7A" w:rsidRDefault="00821B7A" w:rsidP="00821B7A">
      <w:pPr>
        <w:rPr>
          <w:lang w:eastAsia="zh-CN"/>
        </w:rPr>
      </w:pPr>
    </w:p>
    <w:p w14:paraId="0FE2CF9C" w14:textId="0B43558A" w:rsidR="00B806AA" w:rsidRDefault="00B806AA" w:rsidP="00821B7A">
      <w:pPr>
        <w:rPr>
          <w:lang w:eastAsia="zh-CN"/>
        </w:rPr>
      </w:pPr>
    </w:p>
    <w:p w14:paraId="313535A6" w14:textId="77777777" w:rsidR="00B806AA" w:rsidRDefault="00B806AA" w:rsidP="00821B7A">
      <w:pPr>
        <w:rPr>
          <w:lang w:eastAsia="zh-CN"/>
        </w:rPr>
      </w:pPr>
    </w:p>
    <w:p w14:paraId="61D049AB" w14:textId="1CD48028" w:rsidR="00821B7A" w:rsidRDefault="00821B7A" w:rsidP="00821B7A">
      <w:pPr>
        <w:rPr>
          <w:lang w:eastAsia="zh-CN"/>
        </w:rPr>
      </w:pPr>
    </w:p>
    <w:p w14:paraId="1F453FCC" w14:textId="76B76CCF" w:rsidR="00821B7A" w:rsidRDefault="00821B7A" w:rsidP="00821B7A">
      <w:pPr>
        <w:rPr>
          <w:lang w:eastAsia="zh-CN"/>
        </w:rPr>
      </w:pPr>
    </w:p>
    <w:p w14:paraId="2A00CFA5" w14:textId="7C2AA6DC" w:rsidR="00821B7A" w:rsidRDefault="00821B7A" w:rsidP="00821B7A">
      <w:pPr>
        <w:rPr>
          <w:lang w:eastAsia="zh-CN"/>
        </w:rPr>
      </w:pPr>
    </w:p>
    <w:p w14:paraId="40B47292" w14:textId="693E48CD" w:rsidR="00821B7A" w:rsidRDefault="00821B7A" w:rsidP="00B806AA">
      <w:pPr>
        <w:pStyle w:val="Heading4"/>
        <w:rPr>
          <w:lang w:eastAsia="zh-CN"/>
        </w:rPr>
      </w:pPr>
      <w:bookmarkStart w:id="43" w:name="_Toc88574173"/>
      <w:r>
        <w:rPr>
          <w:lang w:eastAsia="zh-CN"/>
        </w:rPr>
        <w:t>Tasmania</w:t>
      </w:r>
      <w:bookmarkEnd w:id="43"/>
    </w:p>
    <w:p w14:paraId="157BC661" w14:textId="48762BEA" w:rsidR="00821B7A" w:rsidRDefault="00821B7A" w:rsidP="00821B7A">
      <w:pPr>
        <w:rPr>
          <w:lang w:eastAsia="zh-CN"/>
        </w:rPr>
      </w:pPr>
    </w:p>
    <w:p w14:paraId="787F7E14" w14:textId="5AD49187" w:rsidR="00821B7A" w:rsidRDefault="00781384" w:rsidP="00821B7A">
      <w:pPr>
        <w:rPr>
          <w:lang w:eastAsia="zh-CN"/>
        </w:rPr>
      </w:pPr>
      <w:r>
        <w:rPr>
          <w:noProof/>
        </w:rPr>
        <w:drawing>
          <wp:anchor distT="0" distB="0" distL="114300" distR="114300" simplePos="0" relativeHeight="251771904" behindDoc="0" locked="0" layoutInCell="1" allowOverlap="1" wp14:anchorId="6FC64C20" wp14:editId="4A75209B">
            <wp:simplePos x="0" y="0"/>
            <wp:positionH relativeFrom="margin">
              <wp:align>right</wp:align>
            </wp:positionH>
            <wp:positionV relativeFrom="paragraph">
              <wp:posOffset>158115</wp:posOffset>
            </wp:positionV>
            <wp:extent cx="6307200" cy="3430800"/>
            <wp:effectExtent l="0" t="0" r="0" b="17780"/>
            <wp:wrapNone/>
            <wp:docPr id="51" name="Chart 51" descr="This chart shows the forecast recovery of domestic tourism in Tasmania out to 2025-26. Actual data cover the period 2008-09 to 2020-21 and forecast data cover the period 2021-22 to 2025-26. There is a line for total visitor nights, in addition to lines for each of the four main categories of travel: holiday, visiting friends and relatives, business, and other.">
              <a:extLst xmlns:a="http://schemas.openxmlformats.org/drawingml/2006/main">
                <a:ext uri="{FF2B5EF4-FFF2-40B4-BE49-F238E27FC236}">
                  <a16:creationId xmlns:a16="http://schemas.microsoft.com/office/drawing/2014/main" id="{E3C18748-2CF4-45BE-8FEB-1BCD76952A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14:sizeRelH relativeFrom="page">
              <wp14:pctWidth>0</wp14:pctWidth>
            </wp14:sizeRelH>
            <wp14:sizeRelV relativeFrom="page">
              <wp14:pctHeight>0</wp14:pctHeight>
            </wp14:sizeRelV>
          </wp:anchor>
        </w:drawing>
      </w:r>
      <w:r w:rsidR="00821B7A">
        <w:rPr>
          <w:noProof/>
        </w:rPr>
        <mc:AlternateContent>
          <mc:Choice Requires="wps">
            <w:drawing>
              <wp:anchor distT="0" distB="0" distL="114300" distR="114300" simplePos="0" relativeHeight="251716608" behindDoc="0" locked="0" layoutInCell="1" allowOverlap="1" wp14:anchorId="06909EC6" wp14:editId="03101777">
                <wp:simplePos x="0" y="0"/>
                <wp:positionH relativeFrom="column">
                  <wp:posOffset>-4445</wp:posOffset>
                </wp:positionH>
                <wp:positionV relativeFrom="paragraph">
                  <wp:posOffset>-200660</wp:posOffset>
                </wp:positionV>
                <wp:extent cx="6334125" cy="457200"/>
                <wp:effectExtent l="0" t="0" r="9525" b="0"/>
                <wp:wrapNone/>
                <wp:docPr id="41" name="Text Box 41"/>
                <wp:cNvGraphicFramePr/>
                <a:graphic xmlns:a="http://schemas.openxmlformats.org/drawingml/2006/main">
                  <a:graphicData uri="http://schemas.microsoft.com/office/word/2010/wordprocessingShape">
                    <wps:wsp>
                      <wps:cNvSpPr txBox="1"/>
                      <wps:spPr>
                        <a:xfrm>
                          <a:off x="0" y="0"/>
                          <a:ext cx="6334125" cy="457200"/>
                        </a:xfrm>
                        <a:prstGeom prst="rect">
                          <a:avLst/>
                        </a:prstGeom>
                        <a:solidFill>
                          <a:prstClr val="white"/>
                        </a:solidFill>
                        <a:ln>
                          <a:noFill/>
                        </a:ln>
                      </wps:spPr>
                      <wps:txbx>
                        <w:txbxContent>
                          <w:p w14:paraId="1C9E2667" w14:textId="23976CE8" w:rsidR="00444B84" w:rsidRPr="00A13962" w:rsidRDefault="00444B84" w:rsidP="00821B7A">
                            <w:pPr>
                              <w:pStyle w:val="Caption"/>
                              <w:rPr>
                                <w:noProof/>
                                <w:color w:val="000000" w:themeColor="text1"/>
                                <w:sz w:val="20"/>
                                <w:szCs w:val="20"/>
                              </w:rPr>
                            </w:pPr>
                            <w:r>
                              <w:t xml:space="preserve">Figure </w:t>
                            </w:r>
                            <w:r w:rsidR="00F9620D">
                              <w:fldChar w:fldCharType="begin"/>
                            </w:r>
                            <w:r w:rsidR="00F9620D">
                              <w:instrText xml:space="preserve"> SEQ Figure \* ARABIC </w:instrText>
                            </w:r>
                            <w:r w:rsidR="00F9620D">
                              <w:fldChar w:fldCharType="separate"/>
                            </w:r>
                            <w:r>
                              <w:rPr>
                                <w:noProof/>
                              </w:rPr>
                              <w:t>14</w:t>
                            </w:r>
                            <w:r w:rsidR="00F9620D">
                              <w:rPr>
                                <w:noProof/>
                              </w:rPr>
                              <w:fldChar w:fldCharType="end"/>
                            </w:r>
                            <w:r>
                              <w:t xml:space="preserve"> – Forecast for domestic tourism in Tasmania by purpose of travel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06909EC6" id="Text Box 41" o:spid="_x0000_s1038" type="#_x0000_t202" style="position:absolute;margin-left:-.35pt;margin-top:-15.8pt;width:498.75pt;height:36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" stroked="f">
                <v:textbox inset="0,0,0,0">
                  <w:txbxContent>
                    <w:p w14:paraId="1C9E2667" w14:textId="23976CE8" w:rsidR="00444B84" w:rsidRPr="00A13962" w:rsidRDefault="00444B84" w:rsidP="00821B7A">
                      <w:pPr>
                        <w:pStyle w:val="Caption"/>
                        <w:rPr>
                          <w:noProof/>
                          <w:color w:val="000000" w:themeColor="text1"/>
                          <w:sz w:val="20"/>
                          <w:szCs w:val="20"/>
                        </w:rPr>
                      </w:pPr>
                      <w:r>
                        <w:t xml:space="preserve">Figure </w:t>
                      </w:r>
                      <w:r w:rsidR="00F9620D">
                        <w:fldChar w:fldCharType="begin"/>
                      </w:r>
                      <w:r w:rsidR="00F9620D">
                        <w:instrText xml:space="preserve"> SEQ Figure \* ARABIC </w:instrText>
                      </w:r>
                      <w:r w:rsidR="00F9620D">
                        <w:fldChar w:fldCharType="separate"/>
                      </w:r>
                      <w:r>
                        <w:rPr>
                          <w:noProof/>
                        </w:rPr>
                        <w:t>14</w:t>
                      </w:r>
                      <w:r w:rsidR="00F9620D">
                        <w:rPr>
                          <w:noProof/>
                        </w:rPr>
                        <w:fldChar w:fldCharType="end"/>
                      </w:r>
                      <w:r>
                        <w:t xml:space="preserve"> – Forecast for domestic tourism in Tasmania by purpose of travel</w:t>
                      </w:r>
                    </w:p>
                  </w:txbxContent>
                </v:textbox>
              </v:shape>
            </w:pict>
          </mc:Fallback>
        </mc:AlternateContent>
      </w:r>
    </w:p>
    <w:p w14:paraId="0F750C7F" w14:textId="69AF4AD2" w:rsidR="00821B7A" w:rsidRDefault="00821B7A" w:rsidP="00821B7A">
      <w:pPr>
        <w:rPr>
          <w:lang w:eastAsia="zh-CN"/>
        </w:rPr>
      </w:pPr>
    </w:p>
    <w:p w14:paraId="2E2C7CD1" w14:textId="7BBD36CA" w:rsidR="00821B7A" w:rsidRDefault="00821B7A" w:rsidP="00821B7A">
      <w:pPr>
        <w:rPr>
          <w:lang w:eastAsia="zh-CN"/>
        </w:rPr>
      </w:pPr>
    </w:p>
    <w:p w14:paraId="24EBCD8F" w14:textId="0539A944" w:rsidR="00821B7A" w:rsidRDefault="00821B7A" w:rsidP="00821B7A">
      <w:pPr>
        <w:rPr>
          <w:lang w:eastAsia="zh-CN"/>
        </w:rPr>
      </w:pPr>
    </w:p>
    <w:p w14:paraId="101F3FAB" w14:textId="19DA2BCF" w:rsidR="00821B7A" w:rsidRDefault="00821B7A" w:rsidP="00821B7A">
      <w:pPr>
        <w:rPr>
          <w:lang w:eastAsia="zh-CN"/>
        </w:rPr>
      </w:pPr>
    </w:p>
    <w:p w14:paraId="61CF6FE0" w14:textId="6E03CFBF" w:rsidR="00821B7A" w:rsidRDefault="00821B7A" w:rsidP="00821B7A">
      <w:pPr>
        <w:rPr>
          <w:lang w:eastAsia="zh-CN"/>
        </w:rPr>
      </w:pPr>
    </w:p>
    <w:p w14:paraId="2345B764" w14:textId="44994B79" w:rsidR="00821B7A" w:rsidRDefault="00821B7A" w:rsidP="00821B7A">
      <w:pPr>
        <w:rPr>
          <w:lang w:eastAsia="zh-CN"/>
        </w:rPr>
      </w:pPr>
    </w:p>
    <w:p w14:paraId="47F13A1F" w14:textId="4ED44835" w:rsidR="00821B7A" w:rsidRDefault="00821B7A" w:rsidP="00821B7A">
      <w:pPr>
        <w:rPr>
          <w:lang w:eastAsia="zh-CN"/>
        </w:rPr>
      </w:pPr>
    </w:p>
    <w:p w14:paraId="40E30B98" w14:textId="0FDE86F5" w:rsidR="00821B7A" w:rsidRDefault="00821B7A" w:rsidP="00821B7A">
      <w:pPr>
        <w:rPr>
          <w:lang w:eastAsia="zh-CN"/>
        </w:rPr>
      </w:pPr>
    </w:p>
    <w:p w14:paraId="66EC18A1" w14:textId="0A79B81A" w:rsidR="00821B7A" w:rsidRDefault="00821B7A" w:rsidP="00821B7A">
      <w:pPr>
        <w:rPr>
          <w:lang w:eastAsia="zh-CN"/>
        </w:rPr>
      </w:pPr>
    </w:p>
    <w:p w14:paraId="7A98683A" w14:textId="196E0816" w:rsidR="00821B7A" w:rsidRDefault="00821B7A" w:rsidP="00821B7A">
      <w:pPr>
        <w:rPr>
          <w:lang w:eastAsia="zh-CN"/>
        </w:rPr>
      </w:pPr>
    </w:p>
    <w:p w14:paraId="070F7702" w14:textId="12C641BC" w:rsidR="00821B7A" w:rsidRDefault="00821B7A" w:rsidP="00821B7A">
      <w:pPr>
        <w:rPr>
          <w:lang w:eastAsia="zh-CN"/>
        </w:rPr>
      </w:pPr>
    </w:p>
    <w:p w14:paraId="1B62B05A" w14:textId="77270135" w:rsidR="00821B7A" w:rsidRDefault="00821B7A" w:rsidP="00821B7A">
      <w:pPr>
        <w:rPr>
          <w:lang w:eastAsia="zh-CN"/>
        </w:rPr>
      </w:pPr>
    </w:p>
    <w:p w14:paraId="0CDB52A8" w14:textId="77777777" w:rsidR="00781384" w:rsidRDefault="00781384" w:rsidP="00B806AA">
      <w:pPr>
        <w:pStyle w:val="Heading4"/>
        <w:rPr>
          <w:lang w:eastAsia="zh-CN"/>
        </w:rPr>
      </w:pPr>
      <w:bookmarkStart w:id="44" w:name="_Toc88574174"/>
    </w:p>
    <w:p w14:paraId="02EF4BFD" w14:textId="289C3CF5" w:rsidR="00821B7A" w:rsidRDefault="00821B7A" w:rsidP="00B806AA">
      <w:pPr>
        <w:pStyle w:val="Heading4"/>
        <w:rPr>
          <w:lang w:eastAsia="zh-CN"/>
        </w:rPr>
      </w:pPr>
      <w:r>
        <w:rPr>
          <w:lang w:eastAsia="zh-CN"/>
        </w:rPr>
        <w:t>Northern Territory</w:t>
      </w:r>
      <w:bookmarkEnd w:id="44"/>
    </w:p>
    <w:p w14:paraId="48FAD9CD" w14:textId="5A826763" w:rsidR="00821B7A" w:rsidRDefault="00821B7A" w:rsidP="00821B7A">
      <w:pPr>
        <w:rPr>
          <w:lang w:eastAsia="zh-CN"/>
        </w:rPr>
      </w:pPr>
    </w:p>
    <w:p w14:paraId="57C5199B" w14:textId="11AD8325" w:rsidR="00821B7A" w:rsidRDefault="00781384" w:rsidP="00821B7A">
      <w:pPr>
        <w:rPr>
          <w:lang w:eastAsia="zh-CN"/>
        </w:rPr>
      </w:pPr>
      <w:r>
        <w:rPr>
          <w:noProof/>
        </w:rPr>
        <w:drawing>
          <wp:anchor distT="0" distB="0" distL="114300" distR="114300" simplePos="0" relativeHeight="251772928" behindDoc="0" locked="0" layoutInCell="1" allowOverlap="1" wp14:anchorId="1920419F" wp14:editId="1848B55B">
            <wp:simplePos x="0" y="0"/>
            <wp:positionH relativeFrom="margin">
              <wp:align>right</wp:align>
            </wp:positionH>
            <wp:positionV relativeFrom="paragraph">
              <wp:posOffset>158115</wp:posOffset>
            </wp:positionV>
            <wp:extent cx="6334125" cy="3430800"/>
            <wp:effectExtent l="0" t="0" r="0" b="17780"/>
            <wp:wrapNone/>
            <wp:docPr id="53" name="Chart 53" descr="This chart shows the forecast recovery of domestic tourism in the Northern Territory out to 2025-26. Actual data cover the period 2008-09 to 2020-21 and forecast data cover the period 2021-22 to 2025-26. There is a line for total visitor nights, in addition to lines for each of the four main categories of travel: holiday, visiting friends and relatives, business, and other.">
              <a:extLst xmlns:a="http://schemas.openxmlformats.org/drawingml/2006/main">
                <a:ext uri="{FF2B5EF4-FFF2-40B4-BE49-F238E27FC236}">
                  <a16:creationId xmlns:a16="http://schemas.microsoft.com/office/drawing/2014/main" id="{9FDFC3D2-FCB3-4782-A4DA-C7CCC213D0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14:sizeRelH relativeFrom="page">
              <wp14:pctWidth>0</wp14:pctWidth>
            </wp14:sizeRelH>
            <wp14:sizeRelV relativeFrom="page">
              <wp14:pctHeight>0</wp14:pctHeight>
            </wp14:sizeRelV>
          </wp:anchor>
        </w:drawing>
      </w:r>
      <w:r w:rsidR="00821B7A">
        <w:rPr>
          <w:noProof/>
        </w:rPr>
        <mc:AlternateContent>
          <mc:Choice Requires="wps">
            <w:drawing>
              <wp:anchor distT="0" distB="0" distL="114300" distR="114300" simplePos="0" relativeHeight="251719680" behindDoc="0" locked="0" layoutInCell="1" allowOverlap="1" wp14:anchorId="4F10B3DC" wp14:editId="7760AB01">
                <wp:simplePos x="0" y="0"/>
                <wp:positionH relativeFrom="column">
                  <wp:posOffset>-4445</wp:posOffset>
                </wp:positionH>
                <wp:positionV relativeFrom="paragraph">
                  <wp:posOffset>-292735</wp:posOffset>
                </wp:positionV>
                <wp:extent cx="6334125" cy="457200"/>
                <wp:effectExtent l="0" t="0" r="9525" b="0"/>
                <wp:wrapNone/>
                <wp:docPr id="43" name="Text Box 43"/>
                <wp:cNvGraphicFramePr/>
                <a:graphic xmlns:a="http://schemas.openxmlformats.org/drawingml/2006/main">
                  <a:graphicData uri="http://schemas.microsoft.com/office/word/2010/wordprocessingShape">
                    <wps:wsp>
                      <wps:cNvSpPr txBox="1"/>
                      <wps:spPr>
                        <a:xfrm>
                          <a:off x="0" y="0"/>
                          <a:ext cx="6334125" cy="457200"/>
                        </a:xfrm>
                        <a:prstGeom prst="rect">
                          <a:avLst/>
                        </a:prstGeom>
                        <a:solidFill>
                          <a:prstClr val="white"/>
                        </a:solidFill>
                        <a:ln>
                          <a:noFill/>
                        </a:ln>
                      </wps:spPr>
                      <wps:txbx>
                        <w:txbxContent>
                          <w:p w14:paraId="179BB8F3" w14:textId="30F30437" w:rsidR="00444B84" w:rsidRPr="00821B7A" w:rsidRDefault="00444B84" w:rsidP="00821B7A">
                            <w:pPr>
                              <w:pStyle w:val="Caption"/>
                              <w:spacing w:before="200"/>
                              <w:rPr>
                                <w:noProof/>
                                <w:color w:val="000000" w:themeColor="text1"/>
                                <w:sz w:val="22"/>
                                <w:szCs w:val="22"/>
                              </w:rPr>
                            </w:pPr>
                            <w:r w:rsidRPr="00821B7A">
                              <w:rPr>
                                <w:sz w:val="20"/>
                                <w:szCs w:val="20"/>
                              </w:rPr>
                              <w:t xml:space="preserve">Figure </w:t>
                            </w:r>
                            <w:r w:rsidRPr="00821B7A">
                              <w:rPr>
                                <w:sz w:val="20"/>
                                <w:szCs w:val="20"/>
                              </w:rPr>
                              <w:fldChar w:fldCharType="begin"/>
                            </w:r>
                            <w:r w:rsidRPr="00821B7A">
                              <w:rPr>
                                <w:sz w:val="20"/>
                                <w:szCs w:val="20"/>
                              </w:rPr>
                              <w:instrText xml:space="preserve"> SEQ Figure \* ARABIC </w:instrText>
                            </w:r>
                            <w:r w:rsidRPr="00821B7A">
                              <w:rPr>
                                <w:sz w:val="20"/>
                                <w:szCs w:val="20"/>
                              </w:rPr>
                              <w:fldChar w:fldCharType="separate"/>
                            </w:r>
                            <w:r>
                              <w:rPr>
                                <w:noProof/>
                                <w:sz w:val="20"/>
                                <w:szCs w:val="20"/>
                              </w:rPr>
                              <w:t>15</w:t>
                            </w:r>
                            <w:r w:rsidRPr="00821B7A">
                              <w:rPr>
                                <w:sz w:val="20"/>
                                <w:szCs w:val="20"/>
                              </w:rPr>
                              <w:fldChar w:fldCharType="end"/>
                            </w:r>
                            <w:r w:rsidRPr="00821B7A">
                              <w:rPr>
                                <w:sz w:val="20"/>
                                <w:szCs w:val="20"/>
                              </w:rPr>
                              <w:t xml:space="preserve"> – Forecast for domestic tourism in the Northern Territory by purpose of travel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4F10B3DC" id="Text Box 43" o:spid="_x0000_s1039" type="#_x0000_t202" style="position:absolute;margin-left:-.35pt;margin-top:-23.05pt;width:498.75pt;height:36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" stroked="f">
                <v:textbox inset="0,0,0,0">
                  <w:txbxContent>
                    <w:p w14:paraId="179BB8F3" w14:textId="30F30437" w:rsidR="00444B84" w:rsidRPr="00821B7A" w:rsidRDefault="00444B84" w:rsidP="00821B7A">
                      <w:pPr>
                        <w:pStyle w:val="Caption"/>
                        <w:spacing w:before="200"/>
                        <w:rPr>
                          <w:noProof/>
                          <w:color w:val="000000" w:themeColor="text1"/>
                          <w:sz w:val="22"/>
                          <w:szCs w:val="22"/>
                        </w:rPr>
                      </w:pPr>
                      <w:r w:rsidRPr="00821B7A">
                        <w:rPr>
                          <w:sz w:val="20"/>
                          <w:szCs w:val="20"/>
                        </w:rPr>
                        <w:t xml:space="preserve">Figure </w:t>
                      </w:r>
                      <w:r w:rsidRPr="00821B7A">
                        <w:rPr>
                          <w:sz w:val="20"/>
                          <w:szCs w:val="20"/>
                        </w:rPr>
                        <w:fldChar w:fldCharType="begin"/>
                      </w:r>
                      <w:r w:rsidRPr="00821B7A">
                        <w:rPr>
                          <w:sz w:val="20"/>
                          <w:szCs w:val="20"/>
                        </w:rPr>
                        <w:instrText xml:space="preserve"> SEQ Figure \* ARABIC </w:instrText>
                      </w:r>
                      <w:r w:rsidRPr="00821B7A">
                        <w:rPr>
                          <w:sz w:val="20"/>
                          <w:szCs w:val="20"/>
                        </w:rPr>
                        <w:fldChar w:fldCharType="separate"/>
                      </w:r>
                      <w:r>
                        <w:rPr>
                          <w:noProof/>
                          <w:sz w:val="20"/>
                          <w:szCs w:val="20"/>
                        </w:rPr>
                        <w:t>15</w:t>
                      </w:r>
                      <w:r w:rsidRPr="00821B7A">
                        <w:rPr>
                          <w:sz w:val="20"/>
                          <w:szCs w:val="20"/>
                        </w:rPr>
                        <w:fldChar w:fldCharType="end"/>
                      </w:r>
                      <w:r w:rsidRPr="00821B7A">
                        <w:rPr>
                          <w:sz w:val="20"/>
                          <w:szCs w:val="20"/>
                        </w:rPr>
                        <w:t xml:space="preserve"> – Forecast for domestic tourism in the Northern Territory by purpose of travel</w:t>
                      </w:r>
                    </w:p>
                  </w:txbxContent>
                </v:textbox>
              </v:shape>
            </w:pict>
          </mc:Fallback>
        </mc:AlternateContent>
      </w:r>
    </w:p>
    <w:p w14:paraId="65AC105D" w14:textId="3E4F3343" w:rsidR="00821B7A" w:rsidRDefault="00821B7A" w:rsidP="00821B7A">
      <w:pPr>
        <w:rPr>
          <w:lang w:eastAsia="zh-CN"/>
        </w:rPr>
      </w:pPr>
    </w:p>
    <w:p w14:paraId="3CBA9CF9" w14:textId="5E24DF36" w:rsidR="00821B7A" w:rsidRDefault="00821B7A" w:rsidP="00821B7A">
      <w:pPr>
        <w:rPr>
          <w:lang w:eastAsia="zh-CN"/>
        </w:rPr>
      </w:pPr>
    </w:p>
    <w:p w14:paraId="479403E4" w14:textId="1466238A" w:rsidR="00821B7A" w:rsidRDefault="00821B7A" w:rsidP="00821B7A">
      <w:pPr>
        <w:rPr>
          <w:lang w:eastAsia="zh-CN"/>
        </w:rPr>
      </w:pPr>
    </w:p>
    <w:p w14:paraId="2D6E1337" w14:textId="72E3F3A7" w:rsidR="00821B7A" w:rsidRDefault="00821B7A" w:rsidP="00821B7A">
      <w:pPr>
        <w:rPr>
          <w:lang w:eastAsia="zh-CN"/>
        </w:rPr>
      </w:pPr>
    </w:p>
    <w:p w14:paraId="2E07433B" w14:textId="67AB081F" w:rsidR="00821B7A" w:rsidRDefault="00821B7A" w:rsidP="00821B7A">
      <w:pPr>
        <w:rPr>
          <w:lang w:eastAsia="zh-CN"/>
        </w:rPr>
      </w:pPr>
    </w:p>
    <w:p w14:paraId="2763775D" w14:textId="2DE6E60E" w:rsidR="00821B7A" w:rsidRDefault="00821B7A" w:rsidP="00821B7A">
      <w:pPr>
        <w:rPr>
          <w:lang w:eastAsia="zh-CN"/>
        </w:rPr>
      </w:pPr>
    </w:p>
    <w:p w14:paraId="0E147491" w14:textId="6157E2B7" w:rsidR="00821B7A" w:rsidRDefault="00821B7A" w:rsidP="00821B7A">
      <w:pPr>
        <w:rPr>
          <w:lang w:eastAsia="zh-CN"/>
        </w:rPr>
      </w:pPr>
    </w:p>
    <w:p w14:paraId="03A17647" w14:textId="77777777" w:rsidR="00B806AA" w:rsidRDefault="00B806AA" w:rsidP="00821B7A">
      <w:pPr>
        <w:rPr>
          <w:lang w:eastAsia="zh-CN"/>
        </w:rPr>
      </w:pPr>
    </w:p>
    <w:p w14:paraId="458D7FFF" w14:textId="66CA3832" w:rsidR="00821B7A" w:rsidRDefault="00821B7A" w:rsidP="00821B7A">
      <w:pPr>
        <w:rPr>
          <w:lang w:eastAsia="zh-CN"/>
        </w:rPr>
      </w:pPr>
    </w:p>
    <w:p w14:paraId="76DAB3AC" w14:textId="21C257ED" w:rsidR="00821B7A" w:rsidRDefault="00821B7A" w:rsidP="00821B7A">
      <w:pPr>
        <w:rPr>
          <w:lang w:eastAsia="zh-CN"/>
        </w:rPr>
      </w:pPr>
    </w:p>
    <w:p w14:paraId="0CB2BF61" w14:textId="2FD8226D" w:rsidR="00821B7A" w:rsidRDefault="00821B7A" w:rsidP="00821B7A">
      <w:pPr>
        <w:rPr>
          <w:lang w:eastAsia="zh-CN"/>
        </w:rPr>
      </w:pPr>
    </w:p>
    <w:p w14:paraId="022F5D59" w14:textId="50991B43" w:rsidR="00821B7A" w:rsidRDefault="00821B7A" w:rsidP="00B806AA">
      <w:pPr>
        <w:pStyle w:val="Heading4"/>
        <w:rPr>
          <w:lang w:eastAsia="zh-CN"/>
        </w:rPr>
      </w:pPr>
      <w:bookmarkStart w:id="45" w:name="_Toc88574175"/>
      <w:r>
        <w:rPr>
          <w:lang w:eastAsia="zh-CN"/>
        </w:rPr>
        <w:t>Australian Capital Territory</w:t>
      </w:r>
      <w:bookmarkEnd w:id="45"/>
    </w:p>
    <w:p w14:paraId="50E66B82" w14:textId="77777777" w:rsidR="00821B7A" w:rsidRDefault="00821B7A" w:rsidP="00821B7A">
      <w:pPr>
        <w:rPr>
          <w:lang w:eastAsia="zh-CN"/>
        </w:rPr>
      </w:pPr>
    </w:p>
    <w:p w14:paraId="1CB7AF96" w14:textId="59C8ECDB" w:rsidR="00821B7A" w:rsidRDefault="00821B7A" w:rsidP="00821B7A">
      <w:pPr>
        <w:rPr>
          <w:lang w:eastAsia="zh-CN"/>
        </w:rPr>
      </w:pPr>
      <w:r>
        <w:rPr>
          <w:noProof/>
        </w:rPr>
        <mc:AlternateContent>
          <mc:Choice Requires="wps">
            <w:drawing>
              <wp:anchor distT="0" distB="0" distL="114300" distR="114300" simplePos="0" relativeHeight="251722752" behindDoc="0" locked="0" layoutInCell="1" allowOverlap="1" wp14:anchorId="3D591799" wp14:editId="2FA750F7">
                <wp:simplePos x="0" y="0"/>
                <wp:positionH relativeFrom="column">
                  <wp:posOffset>-4445</wp:posOffset>
                </wp:positionH>
                <wp:positionV relativeFrom="paragraph">
                  <wp:posOffset>-200660</wp:posOffset>
                </wp:positionV>
                <wp:extent cx="6334125" cy="457200"/>
                <wp:effectExtent l="0" t="0" r="9525" b="0"/>
                <wp:wrapNone/>
                <wp:docPr id="45" name="Text Box 45"/>
                <wp:cNvGraphicFramePr/>
                <a:graphic xmlns:a="http://schemas.openxmlformats.org/drawingml/2006/main">
                  <a:graphicData uri="http://schemas.microsoft.com/office/word/2010/wordprocessingShape">
                    <wps:wsp>
                      <wps:cNvSpPr txBox="1"/>
                      <wps:spPr>
                        <a:xfrm>
                          <a:off x="0" y="0"/>
                          <a:ext cx="6334125" cy="457200"/>
                        </a:xfrm>
                        <a:prstGeom prst="rect">
                          <a:avLst/>
                        </a:prstGeom>
                        <a:solidFill>
                          <a:prstClr val="white"/>
                        </a:solidFill>
                        <a:ln>
                          <a:noFill/>
                        </a:ln>
                      </wps:spPr>
                      <wps:txbx>
                        <w:txbxContent>
                          <w:p w14:paraId="41E0449E" w14:textId="1800824F" w:rsidR="00444B84" w:rsidRPr="00821B7A" w:rsidRDefault="00444B84" w:rsidP="00821B7A">
                            <w:pPr>
                              <w:pStyle w:val="Caption"/>
                              <w:spacing w:before="200"/>
                              <w:rPr>
                                <w:noProof/>
                                <w:color w:val="000000" w:themeColor="text1"/>
                                <w:sz w:val="22"/>
                                <w:szCs w:val="22"/>
                              </w:rPr>
                            </w:pPr>
                            <w:r w:rsidRPr="00821B7A">
                              <w:rPr>
                                <w:sz w:val="20"/>
                                <w:szCs w:val="20"/>
                              </w:rPr>
                              <w:t xml:space="preserve">Figure </w:t>
                            </w:r>
                            <w:r w:rsidRPr="00821B7A">
                              <w:rPr>
                                <w:sz w:val="20"/>
                                <w:szCs w:val="20"/>
                              </w:rPr>
                              <w:fldChar w:fldCharType="begin"/>
                            </w:r>
                            <w:r w:rsidRPr="00821B7A">
                              <w:rPr>
                                <w:sz w:val="20"/>
                                <w:szCs w:val="20"/>
                              </w:rPr>
                              <w:instrText xml:space="preserve"> SEQ Figure \* ARABIC </w:instrText>
                            </w:r>
                            <w:r w:rsidRPr="00821B7A">
                              <w:rPr>
                                <w:sz w:val="20"/>
                                <w:szCs w:val="20"/>
                              </w:rPr>
                              <w:fldChar w:fldCharType="separate"/>
                            </w:r>
                            <w:r w:rsidRPr="00821B7A">
                              <w:rPr>
                                <w:noProof/>
                                <w:sz w:val="20"/>
                                <w:szCs w:val="20"/>
                              </w:rPr>
                              <w:t>16</w:t>
                            </w:r>
                            <w:r w:rsidRPr="00821B7A">
                              <w:rPr>
                                <w:sz w:val="20"/>
                                <w:szCs w:val="20"/>
                              </w:rPr>
                              <w:fldChar w:fldCharType="end"/>
                            </w:r>
                            <w:r w:rsidRPr="00821B7A">
                              <w:rPr>
                                <w:sz w:val="20"/>
                                <w:szCs w:val="20"/>
                              </w:rPr>
                              <w:t xml:space="preserve"> – Forecast for domestic tourism in the Australian Capital Territory by purpose of travel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3D591799" id="Text Box 45" o:spid="_x0000_s1040" type="#_x0000_t202" style="position:absolute;margin-left:-.35pt;margin-top:-15.8pt;width:498.75pt;height:36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" stroked="f">
                <v:textbox inset="0,0,0,0">
                  <w:txbxContent>
                    <w:p w14:paraId="41E0449E" w14:textId="1800824F" w:rsidR="00444B84" w:rsidRPr="00821B7A" w:rsidRDefault="00444B84" w:rsidP="00821B7A">
                      <w:pPr>
                        <w:pStyle w:val="Caption"/>
                        <w:spacing w:before="200"/>
                        <w:rPr>
                          <w:noProof/>
                          <w:color w:val="000000" w:themeColor="text1"/>
                          <w:sz w:val="22"/>
                          <w:szCs w:val="22"/>
                        </w:rPr>
                      </w:pPr>
                      <w:r w:rsidRPr="00821B7A">
                        <w:rPr>
                          <w:sz w:val="20"/>
                          <w:szCs w:val="20"/>
                        </w:rPr>
                        <w:t xml:space="preserve">Figure </w:t>
                      </w:r>
                      <w:r w:rsidRPr="00821B7A">
                        <w:rPr>
                          <w:sz w:val="20"/>
                          <w:szCs w:val="20"/>
                        </w:rPr>
                        <w:fldChar w:fldCharType="begin"/>
                      </w:r>
                      <w:r w:rsidRPr="00821B7A">
                        <w:rPr>
                          <w:sz w:val="20"/>
                          <w:szCs w:val="20"/>
                        </w:rPr>
                        <w:instrText xml:space="preserve"> SEQ Figure \* ARABIC </w:instrText>
                      </w:r>
                      <w:r w:rsidRPr="00821B7A">
                        <w:rPr>
                          <w:sz w:val="20"/>
                          <w:szCs w:val="20"/>
                        </w:rPr>
                        <w:fldChar w:fldCharType="separate"/>
                      </w:r>
                      <w:r w:rsidRPr="00821B7A">
                        <w:rPr>
                          <w:noProof/>
                          <w:sz w:val="20"/>
                          <w:szCs w:val="20"/>
                        </w:rPr>
                        <w:t>16</w:t>
                      </w:r>
                      <w:r w:rsidRPr="00821B7A">
                        <w:rPr>
                          <w:sz w:val="20"/>
                          <w:szCs w:val="20"/>
                        </w:rPr>
                        <w:fldChar w:fldCharType="end"/>
                      </w:r>
                      <w:r w:rsidRPr="00821B7A">
                        <w:rPr>
                          <w:sz w:val="20"/>
                          <w:szCs w:val="20"/>
                        </w:rPr>
                        <w:t xml:space="preserve"> – Forecast for domestic tourism in the Australian Capital Territory by purpose of travel</w:t>
                      </w:r>
                    </w:p>
                  </w:txbxContent>
                </v:textbox>
              </v:shape>
            </w:pict>
          </mc:Fallback>
        </mc:AlternateContent>
      </w:r>
    </w:p>
    <w:p w14:paraId="6977573D" w14:textId="25B06D69" w:rsidR="00821B7A" w:rsidRDefault="00781384" w:rsidP="00821B7A">
      <w:pPr>
        <w:rPr>
          <w:lang w:eastAsia="zh-CN"/>
        </w:rPr>
      </w:pPr>
      <w:r>
        <w:rPr>
          <w:noProof/>
        </w:rPr>
        <w:drawing>
          <wp:anchor distT="0" distB="0" distL="114300" distR="114300" simplePos="0" relativeHeight="251773952" behindDoc="0" locked="0" layoutInCell="1" allowOverlap="1" wp14:anchorId="1C2E457B" wp14:editId="64BC5881">
            <wp:simplePos x="0" y="0"/>
            <wp:positionH relativeFrom="margin">
              <wp:align>right</wp:align>
            </wp:positionH>
            <wp:positionV relativeFrom="paragraph">
              <wp:posOffset>12065</wp:posOffset>
            </wp:positionV>
            <wp:extent cx="6334125" cy="3430800"/>
            <wp:effectExtent l="0" t="0" r="0" b="17780"/>
            <wp:wrapNone/>
            <wp:docPr id="54" name="Chart 54" descr="This chart shows the forecast recovery of domestic tourism in the Australian Capital Territory out to 2025-26. Actual data cover the period 2008-09 to 2020-21 and forecast data cover the period 2021-22 to 2025-26. There is a line for total visitor nights, in addition to lines for each of the four main categories of travel: holiday, visiting friends and relatives, business, and other.">
              <a:extLst xmlns:a="http://schemas.openxmlformats.org/drawingml/2006/main">
                <a:ext uri="{FF2B5EF4-FFF2-40B4-BE49-F238E27FC236}">
                  <a16:creationId xmlns:a16="http://schemas.microsoft.com/office/drawing/2014/main" id="{0003FD2D-7923-4AC5-8FF2-296E7D9674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14:sizeRelH relativeFrom="margin">
              <wp14:pctWidth>0</wp14:pctWidth>
            </wp14:sizeRelH>
            <wp14:sizeRelV relativeFrom="margin">
              <wp14:pctHeight>0</wp14:pctHeight>
            </wp14:sizeRelV>
          </wp:anchor>
        </w:drawing>
      </w:r>
    </w:p>
    <w:p w14:paraId="09FCB78B" w14:textId="08F9D727" w:rsidR="00821B7A" w:rsidRDefault="00821B7A" w:rsidP="00821B7A">
      <w:pPr>
        <w:rPr>
          <w:lang w:eastAsia="zh-CN"/>
        </w:rPr>
      </w:pPr>
    </w:p>
    <w:p w14:paraId="665AE052" w14:textId="475CA5DF" w:rsidR="00821B7A" w:rsidRDefault="00821B7A" w:rsidP="00821B7A">
      <w:pPr>
        <w:rPr>
          <w:lang w:eastAsia="zh-CN"/>
        </w:rPr>
      </w:pPr>
    </w:p>
    <w:p w14:paraId="48542E0F" w14:textId="6077CB51" w:rsidR="00821B7A" w:rsidRDefault="00821B7A" w:rsidP="00821B7A">
      <w:pPr>
        <w:rPr>
          <w:lang w:eastAsia="zh-CN"/>
        </w:rPr>
      </w:pPr>
    </w:p>
    <w:p w14:paraId="6EBFC268" w14:textId="4D9203C5" w:rsidR="00821B7A" w:rsidRDefault="00821B7A" w:rsidP="00821B7A">
      <w:pPr>
        <w:rPr>
          <w:lang w:eastAsia="zh-CN"/>
        </w:rPr>
      </w:pPr>
    </w:p>
    <w:p w14:paraId="75A77D4C" w14:textId="357EB98E" w:rsidR="00821B7A" w:rsidRDefault="00821B7A" w:rsidP="00821B7A">
      <w:pPr>
        <w:rPr>
          <w:lang w:eastAsia="zh-CN"/>
        </w:rPr>
      </w:pPr>
    </w:p>
    <w:p w14:paraId="59A15A9F" w14:textId="1E1E5E08" w:rsidR="00821B7A" w:rsidRDefault="00821B7A" w:rsidP="00821B7A">
      <w:pPr>
        <w:rPr>
          <w:lang w:eastAsia="zh-CN"/>
        </w:rPr>
      </w:pPr>
    </w:p>
    <w:p w14:paraId="0E0A0B56" w14:textId="32619F16" w:rsidR="00821B7A" w:rsidRDefault="00821B7A" w:rsidP="00821B7A">
      <w:pPr>
        <w:rPr>
          <w:lang w:eastAsia="zh-CN"/>
        </w:rPr>
      </w:pPr>
    </w:p>
    <w:p w14:paraId="38F744E0" w14:textId="011A0E5C" w:rsidR="00821B7A" w:rsidRDefault="00821B7A" w:rsidP="00821B7A">
      <w:pPr>
        <w:rPr>
          <w:lang w:eastAsia="zh-CN"/>
        </w:rPr>
      </w:pPr>
    </w:p>
    <w:p w14:paraId="5FA58FC0" w14:textId="054F3C0E" w:rsidR="00821B7A" w:rsidRPr="00821B7A" w:rsidRDefault="00821B7A" w:rsidP="00821B7A">
      <w:pPr>
        <w:rPr>
          <w:lang w:eastAsia="zh-CN"/>
        </w:rPr>
      </w:pPr>
    </w:p>
    <w:p w14:paraId="31E54121" w14:textId="430064B5" w:rsidR="00E81AAF" w:rsidRDefault="00E81AAF" w:rsidP="00E81AAF">
      <w:pPr>
        <w:rPr>
          <w:lang w:eastAsia="zh-CN"/>
        </w:rPr>
      </w:pPr>
    </w:p>
    <w:p w14:paraId="012445CE" w14:textId="757F0A06" w:rsidR="00E81AAF" w:rsidRPr="00E81AAF" w:rsidRDefault="00E81AAF" w:rsidP="00E81AAF">
      <w:pPr>
        <w:rPr>
          <w:lang w:eastAsia="zh-CN"/>
        </w:rPr>
      </w:pPr>
    </w:p>
    <w:sectPr w:rsidR="00E81AAF" w:rsidRPr="00E81AAF" w:rsidSect="00501469">
      <w:headerReference w:type="first" r:id="rId43"/>
      <w:pgSz w:w="11906" w:h="16838"/>
      <w:pgMar w:top="851" w:right="945" w:bottom="993" w:left="993" w:header="708" w:footer="36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8E04B" w14:textId="77777777" w:rsidR="00444B84" w:rsidRDefault="00444B84" w:rsidP="007B0021">
      <w:r>
        <w:separator/>
      </w:r>
    </w:p>
    <w:p w14:paraId="27317E21" w14:textId="77777777" w:rsidR="00444B84" w:rsidRDefault="00444B84" w:rsidP="007B0021"/>
  </w:endnote>
  <w:endnote w:type="continuationSeparator" w:id="0">
    <w:p w14:paraId="65DB2CDE" w14:textId="77777777" w:rsidR="00444B84" w:rsidRDefault="00444B84" w:rsidP="007B0021">
      <w:r>
        <w:continuationSeparator/>
      </w:r>
    </w:p>
    <w:p w14:paraId="24553218" w14:textId="77777777" w:rsidR="00444B84" w:rsidRDefault="00444B84" w:rsidP="007B00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U Sans BETA Text Medium">
    <w:altName w:val="AU Sans BETA Text Medium"/>
    <w:panose1 w:val="00000000000000000000"/>
    <w:charset w:val="00"/>
    <w:family w:val="swiss"/>
    <w:notTrueType/>
    <w:pitch w:val="default"/>
    <w:sig w:usb0="00000003" w:usb1="00000000" w:usb2="00000000" w:usb3="00000000" w:csb0="00000001" w:csb1="00000000"/>
  </w:font>
  <w:font w:name="AU Sans BETA Text Light">
    <w:altName w:val="AU Sans BETA Text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38F6F" w14:textId="77777777" w:rsidR="00444B84" w:rsidRDefault="00444B84" w:rsidP="007B0021">
      <w:r>
        <w:separator/>
      </w:r>
    </w:p>
    <w:p w14:paraId="56F2584F" w14:textId="77777777" w:rsidR="00444B84" w:rsidRDefault="00444B84" w:rsidP="007B0021"/>
  </w:footnote>
  <w:footnote w:type="continuationSeparator" w:id="0">
    <w:p w14:paraId="76B1AE32" w14:textId="77777777" w:rsidR="00444B84" w:rsidRDefault="00444B84" w:rsidP="007B0021">
      <w:r>
        <w:continuationSeparator/>
      </w:r>
    </w:p>
    <w:p w14:paraId="1974A994" w14:textId="77777777" w:rsidR="00444B84" w:rsidRDefault="00444B84" w:rsidP="007B0021"/>
  </w:footnote>
  <w:footnote w:id="1">
    <w:p w14:paraId="0D0ED1D4" w14:textId="77777777" w:rsidR="00444B84" w:rsidRDefault="00444B84" w:rsidP="00707133">
      <w:pPr>
        <w:pStyle w:val="FootnoteText"/>
        <w:spacing w:after="120"/>
      </w:pPr>
      <w:r w:rsidRPr="00D74346">
        <w:rPr>
          <w:rFonts w:ascii="Verdana" w:eastAsiaTheme="minorHAnsi" w:hAnsi="Verdana"/>
          <w:color w:val="000000" w:themeColor="text1"/>
          <w:sz w:val="16"/>
          <w:szCs w:val="16"/>
          <w:lang w:eastAsia="en-US"/>
        </w:rPr>
        <w:footnoteRef/>
      </w:r>
      <w:r w:rsidRPr="00D74346">
        <w:rPr>
          <w:rFonts w:ascii="Verdana" w:eastAsiaTheme="minorHAnsi" w:hAnsi="Verdana"/>
          <w:color w:val="000000" w:themeColor="text1"/>
          <w:sz w:val="16"/>
          <w:szCs w:val="16"/>
          <w:lang w:eastAsia="en-US"/>
        </w:rPr>
        <w:t xml:space="preserve"> Tourism Research Australia (September 2021), ‘National Visitor Survey (NVS) Year Ending June 2021’, available</w:t>
      </w:r>
      <w:r>
        <w:t xml:space="preserve"> </w:t>
      </w:r>
      <w:hyperlink r:id="rId1" w:history="1">
        <w:r w:rsidRPr="00D74346">
          <w:rPr>
            <w:rStyle w:val="Hyperlink"/>
            <w:sz w:val="16"/>
            <w:szCs w:val="16"/>
          </w:rPr>
          <w:t>online</w:t>
        </w:r>
      </w:hyperlink>
      <w:r w:rsidRPr="00D74346">
        <w:rPr>
          <w:sz w:val="16"/>
          <w:szCs w:val="16"/>
        </w:rPr>
        <w:t>.</w:t>
      </w:r>
    </w:p>
  </w:footnote>
  <w:footnote w:id="2">
    <w:p w14:paraId="09FFF8F6" w14:textId="2BA640D4" w:rsidR="00444B84" w:rsidRPr="008A6394" w:rsidRDefault="00444B84" w:rsidP="00707133">
      <w:pPr>
        <w:pStyle w:val="FootnoteText"/>
        <w:spacing w:after="120"/>
        <w:rPr>
          <w:sz w:val="16"/>
          <w:szCs w:val="16"/>
        </w:rPr>
      </w:pPr>
      <w:r w:rsidRPr="008A6394">
        <w:rPr>
          <w:rStyle w:val="FootnoteReference"/>
          <w:sz w:val="16"/>
          <w:szCs w:val="16"/>
          <w:vertAlign w:val="baseline"/>
        </w:rPr>
        <w:footnoteRef/>
      </w:r>
      <w:r w:rsidRPr="008A6394">
        <w:rPr>
          <w:sz w:val="16"/>
          <w:szCs w:val="16"/>
        </w:rPr>
        <w:t xml:space="preserve"> Domestic tourism account</w:t>
      </w:r>
      <w:r>
        <w:rPr>
          <w:sz w:val="16"/>
          <w:szCs w:val="16"/>
        </w:rPr>
        <w:t>ed</w:t>
      </w:r>
      <w:r w:rsidRPr="008A6394">
        <w:rPr>
          <w:sz w:val="16"/>
          <w:szCs w:val="16"/>
        </w:rPr>
        <w:t xml:space="preserve"> for 77 per cent of total tourism expenditure in Australia</w:t>
      </w:r>
      <w:r>
        <w:rPr>
          <w:sz w:val="16"/>
          <w:szCs w:val="16"/>
        </w:rPr>
        <w:t xml:space="preserve"> in 2019</w:t>
      </w:r>
      <w:r w:rsidRPr="008A6394">
        <w:rPr>
          <w:sz w:val="16"/>
          <w:szCs w:val="16"/>
        </w:rPr>
        <w:t>. This measure of the visitor economy excludes international students who stay for longer than 12 months without returning home.</w:t>
      </w:r>
      <w:r>
        <w:rPr>
          <w:sz w:val="16"/>
          <w:szCs w:val="16"/>
        </w:rPr>
        <w:t xml:space="preserve"> Including expenditure in Australia by international students irrespective of the length of stay increases the size of the total visitor economy, and reduces the domestic share to 64 per cent (in 2019).  </w:t>
      </w:r>
    </w:p>
  </w:footnote>
  <w:footnote w:id="3">
    <w:p w14:paraId="294C823D" w14:textId="74C9161B" w:rsidR="00444B84" w:rsidRDefault="00444B84" w:rsidP="00707133">
      <w:pPr>
        <w:pStyle w:val="FootnoteText"/>
      </w:pPr>
      <w:r w:rsidRPr="00165B56">
        <w:rPr>
          <w:sz w:val="16"/>
          <w:szCs w:val="16"/>
        </w:rPr>
        <w:footnoteRef/>
      </w:r>
      <w:r w:rsidRPr="00165B56">
        <w:rPr>
          <w:sz w:val="16"/>
          <w:szCs w:val="16"/>
        </w:rPr>
        <w:t xml:space="preserve"> This </w:t>
      </w:r>
      <w:r>
        <w:rPr>
          <w:sz w:val="16"/>
          <w:szCs w:val="16"/>
        </w:rPr>
        <w:t>report</w:t>
      </w:r>
      <w:r w:rsidRPr="00165B56">
        <w:rPr>
          <w:sz w:val="16"/>
          <w:szCs w:val="16"/>
        </w:rPr>
        <w:t xml:space="preserve"> uses fiscal years as the comparison unit, whereas other documents like the THRIVE 2030 strategy use calendar years: marginal differences are to be expected.</w:t>
      </w:r>
    </w:p>
  </w:footnote>
  <w:footnote w:id="4">
    <w:p w14:paraId="5FFF313C" w14:textId="616A4E7E" w:rsidR="00444B84" w:rsidRDefault="00444B84">
      <w:pPr>
        <w:pStyle w:val="FootnoteText"/>
      </w:pPr>
      <w:r w:rsidRPr="006D2C07">
        <w:rPr>
          <w:rStyle w:val="FootnoteReference"/>
          <w:sz w:val="16"/>
          <w:szCs w:val="16"/>
          <w:vertAlign w:val="baseline"/>
        </w:rPr>
        <w:footnoteRef/>
      </w:r>
      <w:r>
        <w:t xml:space="preserve"> </w:t>
      </w:r>
      <w:r w:rsidRPr="006D2C07">
        <w:rPr>
          <w:sz w:val="16"/>
          <w:szCs w:val="16"/>
        </w:rPr>
        <w:t>The overnight trip rate reports the share of survey respondents in the month that report having returned from an overnight trip in the preceding four weeks.</w:t>
      </w:r>
      <w:r>
        <w:rPr>
          <w:sz w:val="16"/>
          <w:szCs w:val="16"/>
        </w:rPr>
        <w:t xml:space="preserve"> </w:t>
      </w:r>
      <w:r>
        <w:t xml:space="preserve"> </w:t>
      </w:r>
    </w:p>
  </w:footnote>
  <w:footnote w:id="5">
    <w:p w14:paraId="73271C2B" w14:textId="59A67E17" w:rsidR="00444B84" w:rsidRPr="00BA578F" w:rsidRDefault="00444B84">
      <w:pPr>
        <w:pStyle w:val="FootnoteText"/>
        <w:rPr>
          <w:sz w:val="16"/>
          <w:szCs w:val="16"/>
        </w:rPr>
      </w:pPr>
      <w:r w:rsidRPr="00BA578F">
        <w:rPr>
          <w:rStyle w:val="FootnoteReference"/>
          <w:sz w:val="16"/>
          <w:szCs w:val="16"/>
          <w:vertAlign w:val="baseline"/>
        </w:rPr>
        <w:footnoteRef/>
      </w:r>
      <w:r w:rsidRPr="00BA578F">
        <w:rPr>
          <w:sz w:val="16"/>
          <w:szCs w:val="16"/>
        </w:rPr>
        <w:t xml:space="preserve"> </w:t>
      </w:r>
      <w:r w:rsidR="007F101F">
        <w:rPr>
          <w:sz w:val="16"/>
          <w:szCs w:val="16"/>
        </w:rPr>
        <w:t xml:space="preserve">See </w:t>
      </w:r>
      <w:hyperlink r:id="rId2" w:history="1">
        <w:r w:rsidR="00A81220">
          <w:rPr>
            <w:rStyle w:val="Hyperlink"/>
            <w:sz w:val="16"/>
            <w:szCs w:val="16"/>
          </w:rPr>
          <w:t>COVID-19 vaccination daily rollout update</w:t>
        </w:r>
      </w:hyperlink>
      <w:r w:rsidR="007F101F">
        <w:rPr>
          <w:sz w:val="16"/>
          <w:szCs w:val="16"/>
        </w:rPr>
        <w:t xml:space="preserve"> </w:t>
      </w:r>
      <w:r w:rsidR="00A81220">
        <w:rPr>
          <w:sz w:val="16"/>
          <w:szCs w:val="16"/>
        </w:rPr>
        <w:t xml:space="preserve">on the </w:t>
      </w:r>
      <w:r w:rsidR="007F101F">
        <w:rPr>
          <w:sz w:val="16"/>
          <w:szCs w:val="16"/>
        </w:rPr>
        <w:t xml:space="preserve">Department of Health </w:t>
      </w:r>
      <w:r w:rsidR="00A81220">
        <w:rPr>
          <w:sz w:val="16"/>
          <w:szCs w:val="16"/>
        </w:rPr>
        <w:t xml:space="preserve">website </w:t>
      </w:r>
      <w:r w:rsidR="00A81220" w:rsidRPr="00BA578F">
        <w:rPr>
          <w:sz w:val="16"/>
          <w:szCs w:val="16"/>
        </w:rPr>
        <w:t>for up-to-date progress on vaccination rates</w:t>
      </w:r>
      <w:r w:rsidR="00A81220">
        <w:rPr>
          <w:sz w:val="16"/>
          <w:szCs w:val="16"/>
        </w:rPr>
        <w:t xml:space="preserve"> of</w:t>
      </w:r>
      <w:r w:rsidR="00A81220" w:rsidRPr="00BA578F">
        <w:rPr>
          <w:sz w:val="16"/>
          <w:szCs w:val="16"/>
        </w:rPr>
        <w:t xml:space="preserve"> Australian states and territories</w:t>
      </w:r>
      <w:r w:rsidR="00A81220">
        <w:rPr>
          <w:sz w:val="16"/>
          <w:szCs w:val="16"/>
        </w:rPr>
        <w:t xml:space="preserve">. </w:t>
      </w:r>
    </w:p>
  </w:footnote>
  <w:footnote w:id="6">
    <w:p w14:paraId="292B3156" w14:textId="2CCC5495" w:rsidR="00444B84" w:rsidRPr="00122031" w:rsidRDefault="00444B84" w:rsidP="00122031">
      <w:pPr>
        <w:pStyle w:val="FootnoteText"/>
        <w:rPr>
          <w:sz w:val="16"/>
          <w:szCs w:val="16"/>
        </w:rPr>
      </w:pPr>
      <w:r w:rsidRPr="00540319">
        <w:rPr>
          <w:rStyle w:val="FootnoteReference"/>
          <w:sz w:val="16"/>
          <w:szCs w:val="16"/>
          <w:vertAlign w:val="baseline"/>
        </w:rPr>
        <w:footnoteRef/>
      </w:r>
      <w:r>
        <w:t xml:space="preserve"> </w:t>
      </w:r>
      <w:r w:rsidRPr="00540319">
        <w:rPr>
          <w:sz w:val="16"/>
          <w:szCs w:val="16"/>
        </w:rPr>
        <w:t xml:space="preserve">Examples in the literature of the use of expert judgment in forecasting include Athanasopoulos </w:t>
      </w:r>
      <w:r w:rsidRPr="00540319">
        <w:rPr>
          <w:i/>
          <w:iCs/>
          <w:sz w:val="16"/>
          <w:szCs w:val="16"/>
        </w:rPr>
        <w:t>et al</w:t>
      </w:r>
      <w:r w:rsidRPr="00540319">
        <w:rPr>
          <w:sz w:val="16"/>
          <w:szCs w:val="16"/>
        </w:rPr>
        <w:t xml:space="preserve"> (2021) and Zhang </w:t>
      </w:r>
      <w:r w:rsidRPr="00540319">
        <w:rPr>
          <w:i/>
          <w:iCs/>
          <w:sz w:val="16"/>
          <w:szCs w:val="16"/>
        </w:rPr>
        <w:t>et al</w:t>
      </w:r>
      <w:r w:rsidRPr="00540319">
        <w:rPr>
          <w:sz w:val="16"/>
          <w:szCs w:val="16"/>
        </w:rPr>
        <w:t xml:space="preserve"> (2021). A panel of multiple experts is recommended to reduce the impact of individual biases and viewpoints.  </w:t>
      </w:r>
    </w:p>
  </w:footnote>
  <w:footnote w:id="7">
    <w:p w14:paraId="74D449B2" w14:textId="77777777" w:rsidR="00444B84" w:rsidRPr="00375F6E" w:rsidRDefault="00444B84" w:rsidP="00AF3A83">
      <w:pPr>
        <w:pStyle w:val="FootnoteText"/>
        <w:rPr>
          <w:rFonts w:ascii="Verdana" w:eastAsiaTheme="minorHAnsi" w:hAnsi="Verdana"/>
          <w:color w:val="000000" w:themeColor="text1"/>
          <w:sz w:val="16"/>
          <w:szCs w:val="16"/>
          <w:lang w:eastAsia="en-US"/>
        </w:rPr>
      </w:pPr>
      <w:r w:rsidRPr="00375F6E">
        <w:rPr>
          <w:rStyle w:val="FootnoteReference"/>
          <w:sz w:val="16"/>
          <w:szCs w:val="16"/>
          <w:vertAlign w:val="baseline"/>
        </w:rPr>
        <w:footnoteRef/>
      </w:r>
      <w:r w:rsidRPr="00375F6E">
        <w:rPr>
          <w:sz w:val="16"/>
          <w:szCs w:val="16"/>
        </w:rPr>
        <w:t xml:space="preserve"> </w:t>
      </w:r>
      <w:r w:rsidRPr="00375F6E">
        <w:rPr>
          <w:rFonts w:ascii="Verdana" w:eastAsiaTheme="minorHAnsi" w:hAnsi="Verdana"/>
          <w:color w:val="000000" w:themeColor="text1"/>
          <w:sz w:val="16"/>
          <w:szCs w:val="16"/>
          <w:lang w:eastAsia="en-US"/>
        </w:rPr>
        <w:t xml:space="preserve">With 97% of the Australian population aged 15 years or over owning a mobile phone, TRA has transitioned NVS sampling to 100% mobile phone interviewing and discontinued landline sampling. This new </w:t>
      </w:r>
      <w:r>
        <w:rPr>
          <w:rFonts w:ascii="Verdana" w:eastAsiaTheme="minorHAnsi" w:hAnsi="Verdana"/>
          <w:color w:val="000000" w:themeColor="text1"/>
          <w:sz w:val="16"/>
          <w:szCs w:val="16"/>
          <w:lang w:eastAsia="en-US"/>
        </w:rPr>
        <w:t>sampling method</w:t>
      </w:r>
      <w:r w:rsidRPr="00375F6E">
        <w:rPr>
          <w:rFonts w:ascii="Verdana" w:eastAsiaTheme="minorHAnsi" w:hAnsi="Verdana"/>
          <w:color w:val="000000" w:themeColor="text1"/>
          <w:sz w:val="16"/>
          <w:szCs w:val="16"/>
          <w:lang w:eastAsia="en-US"/>
        </w:rPr>
        <w:t xml:space="preserve"> </w:t>
      </w:r>
      <w:r>
        <w:rPr>
          <w:rFonts w:ascii="Verdana" w:eastAsiaTheme="minorHAnsi" w:hAnsi="Verdana"/>
          <w:color w:val="000000" w:themeColor="text1"/>
          <w:sz w:val="16"/>
          <w:szCs w:val="16"/>
          <w:lang w:eastAsia="en-US"/>
        </w:rPr>
        <w:t>has</w:t>
      </w:r>
      <w:r w:rsidRPr="00375F6E">
        <w:rPr>
          <w:rFonts w:ascii="Verdana" w:eastAsiaTheme="minorHAnsi" w:hAnsi="Verdana"/>
          <w:color w:val="000000" w:themeColor="text1"/>
          <w:sz w:val="16"/>
          <w:szCs w:val="16"/>
          <w:lang w:eastAsia="en-US"/>
        </w:rPr>
        <w:t xml:space="preserve"> improve</w:t>
      </w:r>
      <w:r>
        <w:rPr>
          <w:rFonts w:ascii="Verdana" w:eastAsiaTheme="minorHAnsi" w:hAnsi="Verdana"/>
          <w:color w:val="000000" w:themeColor="text1"/>
          <w:sz w:val="16"/>
          <w:szCs w:val="16"/>
          <w:lang w:eastAsia="en-US"/>
        </w:rPr>
        <w:t>d</w:t>
      </w:r>
      <w:r w:rsidRPr="00375F6E">
        <w:rPr>
          <w:rFonts w:ascii="Verdana" w:eastAsiaTheme="minorHAnsi" w:hAnsi="Verdana"/>
          <w:color w:val="000000" w:themeColor="text1"/>
          <w:sz w:val="16"/>
          <w:szCs w:val="16"/>
          <w:lang w:eastAsia="en-US"/>
        </w:rPr>
        <w:t xml:space="preserve"> the accuracy of national, state and territory estimates.</w:t>
      </w:r>
    </w:p>
  </w:footnote>
  <w:footnote w:id="8">
    <w:p w14:paraId="64FAC960" w14:textId="77777777" w:rsidR="00444B84" w:rsidRPr="00375F6E" w:rsidRDefault="00444B84" w:rsidP="00BA578F">
      <w:pPr>
        <w:spacing w:after="0" w:line="240" w:lineRule="auto"/>
        <w:rPr>
          <w:sz w:val="16"/>
          <w:szCs w:val="16"/>
        </w:rPr>
      </w:pPr>
      <w:r w:rsidRPr="00375F6E">
        <w:rPr>
          <w:rStyle w:val="FootnoteReference"/>
          <w:sz w:val="16"/>
          <w:szCs w:val="16"/>
          <w:vertAlign w:val="baseline"/>
        </w:rPr>
        <w:footnoteRef/>
      </w:r>
      <w:r w:rsidRPr="00375F6E">
        <w:rPr>
          <w:sz w:val="16"/>
          <w:szCs w:val="16"/>
        </w:rPr>
        <w:t xml:space="preserve"> These locations comprise Sydney, regional New South Wales, Melbourne, regional Victoria, Brisbane/Gold Coast, regional Queensland, Perth, regional Western Australia, Adelaide, regional South Australia, Northern Territory, Tasmania</w:t>
      </w:r>
      <w:r>
        <w:rPr>
          <w:sz w:val="16"/>
          <w:szCs w:val="16"/>
        </w:rPr>
        <w:t>,</w:t>
      </w:r>
      <w:r w:rsidRPr="00375F6E">
        <w:rPr>
          <w:sz w:val="16"/>
          <w:szCs w:val="16"/>
        </w:rPr>
        <w:t xml:space="preserve"> and the Australian Capital Territory.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665AA" w14:textId="77777777" w:rsidR="00444B84" w:rsidRDefault="00444B84" w:rsidP="007B0021">
    <w:pPr>
      <w:pStyle w:val="Header"/>
    </w:pPr>
  </w:p>
  <w:p w14:paraId="63B72B68" w14:textId="77777777" w:rsidR="00444B84" w:rsidRDefault="00444B84" w:rsidP="007B00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72F7"/>
    <w:multiLevelType w:val="hybridMultilevel"/>
    <w:tmpl w:val="1ADE3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1C4A0B"/>
    <w:multiLevelType w:val="hybridMultilevel"/>
    <w:tmpl w:val="9DE6F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8D0C98"/>
    <w:multiLevelType w:val="hybridMultilevel"/>
    <w:tmpl w:val="C0369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2114E9"/>
    <w:multiLevelType w:val="hybridMultilevel"/>
    <w:tmpl w:val="DD129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6C3FAD"/>
    <w:multiLevelType w:val="hybridMultilevel"/>
    <w:tmpl w:val="07A47E46"/>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983688F"/>
    <w:multiLevelType w:val="hybridMultilevel"/>
    <w:tmpl w:val="33906E64"/>
    <w:lvl w:ilvl="0" w:tplc="4FCA7270">
      <w:start w:val="1"/>
      <w:numFmt w:val="decimal"/>
      <w:lvlText w:val="%1."/>
      <w:lvlJc w:val="left"/>
      <w:pPr>
        <w:ind w:left="720" w:hanging="360"/>
      </w:pPr>
      <w:rPr>
        <w:b w:val="0"/>
        <w:bCs w:val="0"/>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F1E74AC"/>
    <w:multiLevelType w:val="hybridMultilevel"/>
    <w:tmpl w:val="92623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D412BC"/>
    <w:multiLevelType w:val="hybridMultilevel"/>
    <w:tmpl w:val="812012FC"/>
    <w:lvl w:ilvl="0" w:tplc="8F509C8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FE0ECF"/>
    <w:multiLevelType w:val="hybridMultilevel"/>
    <w:tmpl w:val="B99E8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EC8EA2"/>
    <w:multiLevelType w:val="hybridMultilevel"/>
    <w:tmpl w:val="251B678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0D903CA"/>
    <w:multiLevelType w:val="hybridMultilevel"/>
    <w:tmpl w:val="0E58C170"/>
    <w:lvl w:ilvl="0" w:tplc="16200BEE">
      <w:start w:val="1"/>
      <w:numFmt w:val="bullet"/>
      <w:pStyle w:val="BulletList"/>
      <w:lvlText w:val=""/>
      <w:lvlJc w:val="left"/>
      <w:pPr>
        <w:ind w:left="1080" w:hanging="360"/>
      </w:pPr>
      <w:rPr>
        <w:rFonts w:ascii="Symbol" w:hAnsi="Symbol" w:cs="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cs="Wingdings" w:hint="default"/>
      </w:rPr>
    </w:lvl>
    <w:lvl w:ilvl="3" w:tplc="0C090001" w:tentative="1">
      <w:start w:val="1"/>
      <w:numFmt w:val="bullet"/>
      <w:lvlText w:val=""/>
      <w:lvlJc w:val="left"/>
      <w:pPr>
        <w:ind w:left="3240" w:hanging="360"/>
      </w:pPr>
      <w:rPr>
        <w:rFonts w:ascii="Symbol" w:hAnsi="Symbol" w:cs="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cs="Wingdings" w:hint="default"/>
      </w:rPr>
    </w:lvl>
    <w:lvl w:ilvl="6" w:tplc="0C090001" w:tentative="1">
      <w:start w:val="1"/>
      <w:numFmt w:val="bullet"/>
      <w:lvlText w:val=""/>
      <w:lvlJc w:val="left"/>
      <w:pPr>
        <w:ind w:left="5400" w:hanging="360"/>
      </w:pPr>
      <w:rPr>
        <w:rFonts w:ascii="Symbol" w:hAnsi="Symbol" w:cs="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cs="Wingdings" w:hint="default"/>
      </w:rPr>
    </w:lvl>
  </w:abstractNum>
  <w:abstractNum w:abstractNumId="11" w15:restartNumberingAfterBreak="0">
    <w:nsid w:val="4D643664"/>
    <w:multiLevelType w:val="hybridMultilevel"/>
    <w:tmpl w:val="26FCED0E"/>
    <w:lvl w:ilvl="0" w:tplc="D74C2B72">
      <w:start w:val="1"/>
      <w:numFmt w:val="decimal"/>
      <w:pStyle w:va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F466475"/>
    <w:multiLevelType w:val="hybridMultilevel"/>
    <w:tmpl w:val="BCF0ED02"/>
    <w:lvl w:ilvl="0" w:tplc="C840FB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0CD7CF0"/>
    <w:multiLevelType w:val="hybridMultilevel"/>
    <w:tmpl w:val="CFD479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6105D89"/>
    <w:multiLevelType w:val="hybridMultilevel"/>
    <w:tmpl w:val="473AF31C"/>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58161A43"/>
    <w:multiLevelType w:val="hybridMultilevel"/>
    <w:tmpl w:val="68006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1083E30"/>
    <w:multiLevelType w:val="hybridMultilevel"/>
    <w:tmpl w:val="105E2A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8CB061F"/>
    <w:multiLevelType w:val="hybridMultilevel"/>
    <w:tmpl w:val="19FE9B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2185339"/>
    <w:multiLevelType w:val="hybridMultilevel"/>
    <w:tmpl w:val="20E2D7BA"/>
    <w:lvl w:ilvl="0" w:tplc="803A9232">
      <w:numFmt w:val="bullet"/>
      <w:lvlText w:val="-"/>
      <w:lvlJc w:val="left"/>
      <w:pPr>
        <w:ind w:left="1494" w:hanging="360"/>
      </w:pPr>
      <w:rPr>
        <w:rFonts w:ascii="Verdana" w:eastAsiaTheme="minorHAnsi" w:hAnsi="Verdana" w:cstheme="minorBidi"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9" w15:restartNumberingAfterBreak="0">
    <w:nsid w:val="760437E4"/>
    <w:multiLevelType w:val="hybridMultilevel"/>
    <w:tmpl w:val="A3F20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AC10FA5"/>
    <w:multiLevelType w:val="hybridMultilevel"/>
    <w:tmpl w:val="10C6FF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DA32749"/>
    <w:multiLevelType w:val="hybridMultilevel"/>
    <w:tmpl w:val="AD52D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FD863F5"/>
    <w:multiLevelType w:val="hybridMultilevel"/>
    <w:tmpl w:val="F4A06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45416154">
    <w:abstractNumId w:val="10"/>
  </w:num>
  <w:num w:numId="2" w16cid:durableId="1590969955">
    <w:abstractNumId w:val="11"/>
  </w:num>
  <w:num w:numId="3" w16cid:durableId="1957053184">
    <w:abstractNumId w:val="11"/>
    <w:lvlOverride w:ilvl="0">
      <w:startOverride w:val="1"/>
    </w:lvlOverride>
  </w:num>
  <w:num w:numId="4" w16cid:durableId="1895197623">
    <w:abstractNumId w:val="11"/>
    <w:lvlOverride w:ilvl="0">
      <w:startOverride w:val="1"/>
    </w:lvlOverride>
  </w:num>
  <w:num w:numId="5" w16cid:durableId="570585284">
    <w:abstractNumId w:val="11"/>
    <w:lvlOverride w:ilvl="0">
      <w:startOverride w:val="1"/>
    </w:lvlOverride>
  </w:num>
  <w:num w:numId="6" w16cid:durableId="1447892277">
    <w:abstractNumId w:val="7"/>
  </w:num>
  <w:num w:numId="7" w16cid:durableId="58327442">
    <w:abstractNumId w:val="18"/>
  </w:num>
  <w:num w:numId="8" w16cid:durableId="907154590">
    <w:abstractNumId w:val="15"/>
  </w:num>
  <w:num w:numId="9" w16cid:durableId="2041856541">
    <w:abstractNumId w:val="14"/>
  </w:num>
  <w:num w:numId="10" w16cid:durableId="371543153">
    <w:abstractNumId w:val="13"/>
  </w:num>
  <w:num w:numId="11" w16cid:durableId="1243369081">
    <w:abstractNumId w:val="8"/>
  </w:num>
  <w:num w:numId="12" w16cid:durableId="2066250664">
    <w:abstractNumId w:val="5"/>
  </w:num>
  <w:num w:numId="13" w16cid:durableId="502815956">
    <w:abstractNumId w:val="12"/>
  </w:num>
  <w:num w:numId="14" w16cid:durableId="343090674">
    <w:abstractNumId w:val="20"/>
  </w:num>
  <w:num w:numId="15" w16cid:durableId="379600563">
    <w:abstractNumId w:val="16"/>
  </w:num>
  <w:num w:numId="16" w16cid:durableId="683703277">
    <w:abstractNumId w:val="2"/>
  </w:num>
  <w:num w:numId="17" w16cid:durableId="1351105113">
    <w:abstractNumId w:val="19"/>
  </w:num>
  <w:num w:numId="18" w16cid:durableId="924536439">
    <w:abstractNumId w:val="22"/>
  </w:num>
  <w:num w:numId="19" w16cid:durableId="1996949679">
    <w:abstractNumId w:val="11"/>
    <w:lvlOverride w:ilvl="0">
      <w:startOverride w:val="1"/>
    </w:lvlOverride>
  </w:num>
  <w:num w:numId="20" w16cid:durableId="201132669">
    <w:abstractNumId w:val="0"/>
  </w:num>
  <w:num w:numId="21" w16cid:durableId="1079788967">
    <w:abstractNumId w:val="17"/>
  </w:num>
  <w:num w:numId="22" w16cid:durableId="258760125">
    <w:abstractNumId w:val="3"/>
  </w:num>
  <w:num w:numId="23" w16cid:durableId="810711712">
    <w:abstractNumId w:val="1"/>
  </w:num>
  <w:num w:numId="24" w16cid:durableId="1725787430">
    <w:abstractNumId w:val="21"/>
  </w:num>
  <w:num w:numId="25" w16cid:durableId="1819345374">
    <w:abstractNumId w:val="6"/>
  </w:num>
  <w:num w:numId="26" w16cid:durableId="1040016318">
    <w:abstractNumId w:val="9"/>
  </w:num>
  <w:num w:numId="27" w16cid:durableId="7600256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DDC"/>
    <w:rsid w:val="000263B1"/>
    <w:rsid w:val="0004042E"/>
    <w:rsid w:val="00062D35"/>
    <w:rsid w:val="000A1069"/>
    <w:rsid w:val="000B0373"/>
    <w:rsid w:val="000B5487"/>
    <w:rsid w:val="000D4180"/>
    <w:rsid w:val="000E7E86"/>
    <w:rsid w:val="000F5E9A"/>
    <w:rsid w:val="000F795C"/>
    <w:rsid w:val="00117092"/>
    <w:rsid w:val="00117DB3"/>
    <w:rsid w:val="00122031"/>
    <w:rsid w:val="0012425F"/>
    <w:rsid w:val="0013276F"/>
    <w:rsid w:val="001374DB"/>
    <w:rsid w:val="001376E3"/>
    <w:rsid w:val="00147D40"/>
    <w:rsid w:val="00164B77"/>
    <w:rsid w:val="00165B56"/>
    <w:rsid w:val="00195B2C"/>
    <w:rsid w:val="00197EB1"/>
    <w:rsid w:val="001A5F9A"/>
    <w:rsid w:val="001C3091"/>
    <w:rsid w:val="001D253A"/>
    <w:rsid w:val="001D5121"/>
    <w:rsid w:val="001E186F"/>
    <w:rsid w:val="001F0CB9"/>
    <w:rsid w:val="001F603E"/>
    <w:rsid w:val="002012B8"/>
    <w:rsid w:val="00204D92"/>
    <w:rsid w:val="002278A0"/>
    <w:rsid w:val="00245E86"/>
    <w:rsid w:val="00250DC0"/>
    <w:rsid w:val="00253226"/>
    <w:rsid w:val="002535CA"/>
    <w:rsid w:val="002560A6"/>
    <w:rsid w:val="00261F28"/>
    <w:rsid w:val="0027327E"/>
    <w:rsid w:val="002749C0"/>
    <w:rsid w:val="0028112D"/>
    <w:rsid w:val="00282C92"/>
    <w:rsid w:val="0028696F"/>
    <w:rsid w:val="0029071D"/>
    <w:rsid w:val="002A3C60"/>
    <w:rsid w:val="002C1F51"/>
    <w:rsid w:val="002D5E72"/>
    <w:rsid w:val="002E309C"/>
    <w:rsid w:val="002E7D8B"/>
    <w:rsid w:val="002F46FC"/>
    <w:rsid w:val="002F5C87"/>
    <w:rsid w:val="00321089"/>
    <w:rsid w:val="00321E47"/>
    <w:rsid w:val="00326B31"/>
    <w:rsid w:val="00337EC7"/>
    <w:rsid w:val="00375F6E"/>
    <w:rsid w:val="00383C99"/>
    <w:rsid w:val="00390F9A"/>
    <w:rsid w:val="003A58AB"/>
    <w:rsid w:val="003C3B0A"/>
    <w:rsid w:val="003C64B0"/>
    <w:rsid w:val="003D02E4"/>
    <w:rsid w:val="003D0704"/>
    <w:rsid w:val="003D65E7"/>
    <w:rsid w:val="003E38E3"/>
    <w:rsid w:val="003E5497"/>
    <w:rsid w:val="003E7DE4"/>
    <w:rsid w:val="004122E0"/>
    <w:rsid w:val="00414084"/>
    <w:rsid w:val="0043062E"/>
    <w:rsid w:val="00435103"/>
    <w:rsid w:val="0044363B"/>
    <w:rsid w:val="00444B84"/>
    <w:rsid w:val="0045192E"/>
    <w:rsid w:val="00460A41"/>
    <w:rsid w:val="00466C42"/>
    <w:rsid w:val="00475840"/>
    <w:rsid w:val="004767E6"/>
    <w:rsid w:val="00484156"/>
    <w:rsid w:val="00493F44"/>
    <w:rsid w:val="00497DDC"/>
    <w:rsid w:val="004A146C"/>
    <w:rsid w:val="004C6441"/>
    <w:rsid w:val="004D06AF"/>
    <w:rsid w:val="004D6F59"/>
    <w:rsid w:val="004E177D"/>
    <w:rsid w:val="00501469"/>
    <w:rsid w:val="0050183D"/>
    <w:rsid w:val="005053D8"/>
    <w:rsid w:val="00515F5A"/>
    <w:rsid w:val="005223C6"/>
    <w:rsid w:val="00540319"/>
    <w:rsid w:val="00551F2A"/>
    <w:rsid w:val="00561542"/>
    <w:rsid w:val="00571BDC"/>
    <w:rsid w:val="00590AA4"/>
    <w:rsid w:val="00597668"/>
    <w:rsid w:val="005A5A4D"/>
    <w:rsid w:val="005A6F23"/>
    <w:rsid w:val="005B0804"/>
    <w:rsid w:val="005D3E5E"/>
    <w:rsid w:val="005F06FD"/>
    <w:rsid w:val="005F11E6"/>
    <w:rsid w:val="005F3C06"/>
    <w:rsid w:val="00620275"/>
    <w:rsid w:val="00630F11"/>
    <w:rsid w:val="00642174"/>
    <w:rsid w:val="006471C2"/>
    <w:rsid w:val="0065148D"/>
    <w:rsid w:val="00656B15"/>
    <w:rsid w:val="006579E5"/>
    <w:rsid w:val="00657AD3"/>
    <w:rsid w:val="00664683"/>
    <w:rsid w:val="00694AAD"/>
    <w:rsid w:val="00696F9E"/>
    <w:rsid w:val="006A5C9A"/>
    <w:rsid w:val="006D2C07"/>
    <w:rsid w:val="006D3038"/>
    <w:rsid w:val="006E5730"/>
    <w:rsid w:val="006F7525"/>
    <w:rsid w:val="00707133"/>
    <w:rsid w:val="007156DB"/>
    <w:rsid w:val="00743E9B"/>
    <w:rsid w:val="00774485"/>
    <w:rsid w:val="00776A9A"/>
    <w:rsid w:val="00781384"/>
    <w:rsid w:val="007834D0"/>
    <w:rsid w:val="0078435A"/>
    <w:rsid w:val="007870B1"/>
    <w:rsid w:val="007A0FC3"/>
    <w:rsid w:val="007A30A6"/>
    <w:rsid w:val="007B0021"/>
    <w:rsid w:val="007F101F"/>
    <w:rsid w:val="008014C7"/>
    <w:rsid w:val="00805837"/>
    <w:rsid w:val="0080752A"/>
    <w:rsid w:val="00820445"/>
    <w:rsid w:val="00821B7A"/>
    <w:rsid w:val="0082277D"/>
    <w:rsid w:val="00826874"/>
    <w:rsid w:val="008407EC"/>
    <w:rsid w:val="008514EC"/>
    <w:rsid w:val="00857A0A"/>
    <w:rsid w:val="00862E61"/>
    <w:rsid w:val="00865233"/>
    <w:rsid w:val="00877D9B"/>
    <w:rsid w:val="00882002"/>
    <w:rsid w:val="0088336E"/>
    <w:rsid w:val="00897C41"/>
    <w:rsid w:val="008A133F"/>
    <w:rsid w:val="008A6394"/>
    <w:rsid w:val="008B6033"/>
    <w:rsid w:val="008B7AC6"/>
    <w:rsid w:val="008C4E58"/>
    <w:rsid w:val="008D0DD2"/>
    <w:rsid w:val="008D40A7"/>
    <w:rsid w:val="008F216E"/>
    <w:rsid w:val="008F2B89"/>
    <w:rsid w:val="008F4FD7"/>
    <w:rsid w:val="00904581"/>
    <w:rsid w:val="00912BA9"/>
    <w:rsid w:val="00921435"/>
    <w:rsid w:val="0092648B"/>
    <w:rsid w:val="00931E1C"/>
    <w:rsid w:val="009355B1"/>
    <w:rsid w:val="0094463A"/>
    <w:rsid w:val="00951286"/>
    <w:rsid w:val="009514FE"/>
    <w:rsid w:val="0096640D"/>
    <w:rsid w:val="00977505"/>
    <w:rsid w:val="0098379B"/>
    <w:rsid w:val="009957B5"/>
    <w:rsid w:val="00996B27"/>
    <w:rsid w:val="009D6B24"/>
    <w:rsid w:val="009D70B3"/>
    <w:rsid w:val="009E1D4B"/>
    <w:rsid w:val="009E22A4"/>
    <w:rsid w:val="009E6DB3"/>
    <w:rsid w:val="00A00806"/>
    <w:rsid w:val="00A1650E"/>
    <w:rsid w:val="00A60657"/>
    <w:rsid w:val="00A80680"/>
    <w:rsid w:val="00A81220"/>
    <w:rsid w:val="00A81F7A"/>
    <w:rsid w:val="00A87669"/>
    <w:rsid w:val="00AA50DF"/>
    <w:rsid w:val="00AC0F96"/>
    <w:rsid w:val="00AC40CD"/>
    <w:rsid w:val="00AD1EC2"/>
    <w:rsid w:val="00AD6A63"/>
    <w:rsid w:val="00AE07FF"/>
    <w:rsid w:val="00AE3D08"/>
    <w:rsid w:val="00AF3A83"/>
    <w:rsid w:val="00AF4CF9"/>
    <w:rsid w:val="00B1076C"/>
    <w:rsid w:val="00B30A85"/>
    <w:rsid w:val="00B54801"/>
    <w:rsid w:val="00B6286D"/>
    <w:rsid w:val="00B67E67"/>
    <w:rsid w:val="00B67F4B"/>
    <w:rsid w:val="00B72483"/>
    <w:rsid w:val="00B73208"/>
    <w:rsid w:val="00B741D3"/>
    <w:rsid w:val="00B806AA"/>
    <w:rsid w:val="00B96CEF"/>
    <w:rsid w:val="00BA2E50"/>
    <w:rsid w:val="00BA578F"/>
    <w:rsid w:val="00BB04FA"/>
    <w:rsid w:val="00BC1F80"/>
    <w:rsid w:val="00BC5C77"/>
    <w:rsid w:val="00BD6F1E"/>
    <w:rsid w:val="00BE1C64"/>
    <w:rsid w:val="00BE3600"/>
    <w:rsid w:val="00BE7B59"/>
    <w:rsid w:val="00C011E4"/>
    <w:rsid w:val="00C06506"/>
    <w:rsid w:val="00C06C20"/>
    <w:rsid w:val="00C212D4"/>
    <w:rsid w:val="00C279D9"/>
    <w:rsid w:val="00C27BF9"/>
    <w:rsid w:val="00C3141D"/>
    <w:rsid w:val="00C41B2D"/>
    <w:rsid w:val="00C44557"/>
    <w:rsid w:val="00C455DA"/>
    <w:rsid w:val="00C61007"/>
    <w:rsid w:val="00C67005"/>
    <w:rsid w:val="00CA2085"/>
    <w:rsid w:val="00CB0E53"/>
    <w:rsid w:val="00CD0CE5"/>
    <w:rsid w:val="00CD1BE3"/>
    <w:rsid w:val="00CD7016"/>
    <w:rsid w:val="00CE2FEE"/>
    <w:rsid w:val="00CE773A"/>
    <w:rsid w:val="00CE7C57"/>
    <w:rsid w:val="00CF34DB"/>
    <w:rsid w:val="00CF3E1B"/>
    <w:rsid w:val="00CF4F9D"/>
    <w:rsid w:val="00D74346"/>
    <w:rsid w:val="00D76AE4"/>
    <w:rsid w:val="00D83142"/>
    <w:rsid w:val="00D871C3"/>
    <w:rsid w:val="00D90024"/>
    <w:rsid w:val="00D93830"/>
    <w:rsid w:val="00DB21A7"/>
    <w:rsid w:val="00DC6119"/>
    <w:rsid w:val="00DD095B"/>
    <w:rsid w:val="00DD1FB3"/>
    <w:rsid w:val="00DE31B4"/>
    <w:rsid w:val="00E24D12"/>
    <w:rsid w:val="00E26422"/>
    <w:rsid w:val="00E32E94"/>
    <w:rsid w:val="00E46CF9"/>
    <w:rsid w:val="00E55824"/>
    <w:rsid w:val="00E81AAF"/>
    <w:rsid w:val="00E902C6"/>
    <w:rsid w:val="00EA4240"/>
    <w:rsid w:val="00EA60FB"/>
    <w:rsid w:val="00EB16F6"/>
    <w:rsid w:val="00EB7758"/>
    <w:rsid w:val="00ED2508"/>
    <w:rsid w:val="00EE05FC"/>
    <w:rsid w:val="00EE4027"/>
    <w:rsid w:val="00F23FEC"/>
    <w:rsid w:val="00F3109D"/>
    <w:rsid w:val="00F3353A"/>
    <w:rsid w:val="00F45A2B"/>
    <w:rsid w:val="00F806F4"/>
    <w:rsid w:val="00F854EA"/>
    <w:rsid w:val="00F85A20"/>
    <w:rsid w:val="00F9620D"/>
    <w:rsid w:val="00FA08AA"/>
    <w:rsid w:val="00FB606A"/>
    <w:rsid w:val="00FC178E"/>
    <w:rsid w:val="00FC1ABB"/>
    <w:rsid w:val="00FC500B"/>
    <w:rsid w:val="00FD6F93"/>
    <w:rsid w:val="00FE2C0A"/>
    <w:rsid w:val="00FE6D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404ED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33F"/>
    <w:pPr>
      <w:spacing w:before="200" w:after="200" w:line="300" w:lineRule="exact"/>
    </w:pPr>
    <w:rPr>
      <w:rFonts w:ascii="Verdana" w:hAnsi="Verdana"/>
      <w:color w:val="000000" w:themeColor="text1"/>
      <w:sz w:val="20"/>
      <w:szCs w:val="20"/>
    </w:rPr>
  </w:style>
  <w:style w:type="paragraph" w:styleId="Heading1">
    <w:name w:val="heading 1"/>
    <w:basedOn w:val="CoverPageHeader"/>
    <w:next w:val="Normal"/>
    <w:link w:val="Heading1Char"/>
    <w:uiPriority w:val="9"/>
    <w:qFormat/>
    <w:rsid w:val="00AD6A63"/>
    <w:pPr>
      <w:outlineLvl w:val="0"/>
    </w:pPr>
    <w:rPr>
      <w:rFonts w:eastAsia="SimSun" w:cs="Times New Roman"/>
      <w:b w:val="0"/>
      <w:color w:val="2E1A47"/>
      <w:sz w:val="44"/>
      <w:szCs w:val="44"/>
      <w:lang w:eastAsia="zh-CN"/>
    </w:rPr>
  </w:style>
  <w:style w:type="paragraph" w:styleId="Heading2">
    <w:name w:val="heading 2"/>
    <w:basedOn w:val="Normal"/>
    <w:next w:val="Normal"/>
    <w:link w:val="Heading2Char"/>
    <w:uiPriority w:val="9"/>
    <w:unhideWhenUsed/>
    <w:qFormat/>
    <w:rsid w:val="00C212D4"/>
    <w:pPr>
      <w:keepNext/>
      <w:keepLines/>
      <w:spacing w:before="360" w:after="160" w:line="252" w:lineRule="auto"/>
      <w:outlineLvl w:val="1"/>
    </w:pPr>
    <w:rPr>
      <w:rFonts w:eastAsia="SimSun" w:cs="Times New Roman"/>
      <w:b/>
      <w:color w:val="1E988A"/>
      <w:sz w:val="28"/>
      <w:szCs w:val="26"/>
      <w:lang w:eastAsia="zh-CN"/>
    </w:rPr>
  </w:style>
  <w:style w:type="paragraph" w:styleId="Heading3">
    <w:name w:val="heading 3"/>
    <w:basedOn w:val="Title"/>
    <w:next w:val="Normal"/>
    <w:link w:val="Heading3Char"/>
    <w:uiPriority w:val="9"/>
    <w:unhideWhenUsed/>
    <w:qFormat/>
    <w:rsid w:val="00FC500B"/>
    <w:pPr>
      <w:outlineLvl w:val="2"/>
    </w:pPr>
    <w:rPr>
      <w:b w:val="0"/>
      <w:color w:val="2E1A47" w:themeColor="text2"/>
    </w:rPr>
  </w:style>
  <w:style w:type="paragraph" w:styleId="Heading4">
    <w:name w:val="heading 4"/>
    <w:basedOn w:val="Normal"/>
    <w:next w:val="Normal"/>
    <w:link w:val="Heading4Char"/>
    <w:uiPriority w:val="9"/>
    <w:unhideWhenUsed/>
    <w:qFormat/>
    <w:rsid w:val="002C1F51"/>
    <w:pPr>
      <w:outlineLvl w:val="3"/>
    </w:pPr>
    <w:rPr>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3C3B0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C3B0A"/>
    <w:rPr>
      <w:rFonts w:eastAsiaTheme="minorEastAsia"/>
      <w:lang w:val="en-US"/>
    </w:rPr>
  </w:style>
  <w:style w:type="paragraph" w:styleId="Header">
    <w:name w:val="header"/>
    <w:basedOn w:val="Normal"/>
    <w:link w:val="HeaderChar"/>
    <w:uiPriority w:val="99"/>
    <w:unhideWhenUsed/>
    <w:rsid w:val="003C3B0A"/>
    <w:pPr>
      <w:tabs>
        <w:tab w:val="center" w:pos="4513"/>
        <w:tab w:val="right" w:pos="9026"/>
      </w:tabs>
      <w:spacing w:after="0"/>
    </w:pPr>
  </w:style>
  <w:style w:type="character" w:customStyle="1" w:styleId="HeaderChar">
    <w:name w:val="Header Char"/>
    <w:basedOn w:val="DefaultParagraphFont"/>
    <w:link w:val="Header"/>
    <w:uiPriority w:val="99"/>
    <w:rsid w:val="003C3B0A"/>
  </w:style>
  <w:style w:type="paragraph" w:styleId="Footer">
    <w:name w:val="footer"/>
    <w:basedOn w:val="Normal"/>
    <w:link w:val="FooterChar"/>
    <w:uiPriority w:val="99"/>
    <w:unhideWhenUsed/>
    <w:rsid w:val="003C3B0A"/>
    <w:pPr>
      <w:tabs>
        <w:tab w:val="center" w:pos="4513"/>
        <w:tab w:val="right" w:pos="9026"/>
      </w:tabs>
      <w:spacing w:after="0"/>
    </w:pPr>
  </w:style>
  <w:style w:type="character" w:customStyle="1" w:styleId="FooterChar">
    <w:name w:val="Footer Char"/>
    <w:basedOn w:val="DefaultParagraphFont"/>
    <w:link w:val="Footer"/>
    <w:uiPriority w:val="99"/>
    <w:rsid w:val="003C3B0A"/>
  </w:style>
  <w:style w:type="character" w:customStyle="1" w:styleId="Heading1Char">
    <w:name w:val="Heading 1 Char"/>
    <w:basedOn w:val="DefaultParagraphFont"/>
    <w:link w:val="Heading1"/>
    <w:uiPriority w:val="9"/>
    <w:rsid w:val="00AD6A63"/>
    <w:rPr>
      <w:rFonts w:ascii="Verdana" w:eastAsia="SimSun" w:hAnsi="Verdana" w:cs="Times New Roman"/>
      <w:bCs/>
      <w:color w:val="2E1A47"/>
      <w:sz w:val="44"/>
      <w:szCs w:val="44"/>
      <w:lang w:eastAsia="zh-CN"/>
    </w:rPr>
  </w:style>
  <w:style w:type="character" w:styleId="Strong">
    <w:name w:val="Strong"/>
    <w:aliases w:val="IntroCopy"/>
    <w:uiPriority w:val="22"/>
    <w:rsid w:val="00571BDC"/>
    <w:rPr>
      <w:color w:val="7A4282" w:themeColor="accent1"/>
      <w:sz w:val="32"/>
      <w:szCs w:val="32"/>
      <w:lang w:val="pt-PT"/>
    </w:rPr>
  </w:style>
  <w:style w:type="paragraph" w:styleId="Title">
    <w:name w:val="Title"/>
    <w:aliases w:val="SubHeader1"/>
    <w:basedOn w:val="Normal"/>
    <w:next w:val="Normal"/>
    <w:link w:val="TitleChar"/>
    <w:uiPriority w:val="10"/>
    <w:rsid w:val="00921435"/>
    <w:pPr>
      <w:spacing w:before="600" w:line="420" w:lineRule="exact"/>
    </w:pPr>
    <w:rPr>
      <w:b/>
      <w:bCs/>
      <w:sz w:val="32"/>
      <w:szCs w:val="32"/>
    </w:rPr>
  </w:style>
  <w:style w:type="character" w:customStyle="1" w:styleId="TitleChar">
    <w:name w:val="Title Char"/>
    <w:aliases w:val="SubHeader1 Char"/>
    <w:basedOn w:val="DefaultParagraphFont"/>
    <w:link w:val="Title"/>
    <w:uiPriority w:val="10"/>
    <w:rsid w:val="00921435"/>
    <w:rPr>
      <w:rFonts w:ascii="Verdana" w:hAnsi="Verdana"/>
      <w:b/>
      <w:bCs/>
      <w:color w:val="000000" w:themeColor="text1"/>
      <w:sz w:val="32"/>
      <w:szCs w:val="32"/>
    </w:rPr>
  </w:style>
  <w:style w:type="character" w:customStyle="1" w:styleId="Heading2Char">
    <w:name w:val="Heading 2 Char"/>
    <w:basedOn w:val="DefaultParagraphFont"/>
    <w:link w:val="Heading2"/>
    <w:uiPriority w:val="9"/>
    <w:rsid w:val="00C212D4"/>
    <w:rPr>
      <w:rFonts w:ascii="Verdana" w:eastAsia="SimSun" w:hAnsi="Verdana" w:cs="Times New Roman"/>
      <w:b/>
      <w:color w:val="1E988A"/>
      <w:sz w:val="28"/>
      <w:szCs w:val="26"/>
      <w:lang w:eastAsia="zh-CN"/>
    </w:rPr>
  </w:style>
  <w:style w:type="paragraph" w:styleId="ListParagraph">
    <w:name w:val="List Paragraph"/>
    <w:basedOn w:val="Normal"/>
    <w:uiPriority w:val="34"/>
    <w:qFormat/>
    <w:rsid w:val="00460A41"/>
    <w:pPr>
      <w:ind w:left="720"/>
      <w:contextualSpacing/>
    </w:pPr>
  </w:style>
  <w:style w:type="paragraph" w:customStyle="1" w:styleId="BulletList">
    <w:name w:val="BulletList"/>
    <w:basedOn w:val="ListParagraph"/>
    <w:link w:val="BulletListChar"/>
    <w:qFormat/>
    <w:rsid w:val="00D93830"/>
    <w:pPr>
      <w:numPr>
        <w:numId w:val="1"/>
      </w:numPr>
      <w:spacing w:before="0"/>
    </w:pPr>
  </w:style>
  <w:style w:type="paragraph" w:customStyle="1" w:styleId="NumberedList">
    <w:name w:val="NumberedList"/>
    <w:basedOn w:val="ListParagraph"/>
    <w:qFormat/>
    <w:rsid w:val="00F23FEC"/>
    <w:pPr>
      <w:numPr>
        <w:numId w:val="2"/>
      </w:numPr>
      <w:spacing w:before="0"/>
      <w:ind w:left="993" w:hanging="426"/>
    </w:pPr>
  </w:style>
  <w:style w:type="paragraph" w:styleId="Quote">
    <w:name w:val="Quote"/>
    <w:basedOn w:val="Normal"/>
    <w:next w:val="Normal"/>
    <w:link w:val="QuoteChar"/>
    <w:uiPriority w:val="29"/>
    <w:qFormat/>
    <w:rsid w:val="00FC1ABB"/>
    <w:pPr>
      <w:spacing w:after="240" w:line="380" w:lineRule="atLeast"/>
    </w:pPr>
    <w:rPr>
      <w:color w:val="7A4282" w:themeColor="accent1"/>
      <w:sz w:val="28"/>
      <w:szCs w:val="28"/>
    </w:rPr>
  </w:style>
  <w:style w:type="character" w:customStyle="1" w:styleId="QuoteChar">
    <w:name w:val="Quote Char"/>
    <w:basedOn w:val="DefaultParagraphFont"/>
    <w:link w:val="Quote"/>
    <w:uiPriority w:val="29"/>
    <w:rsid w:val="00FC1ABB"/>
    <w:rPr>
      <w:rFonts w:ascii="Verdana" w:hAnsi="Verdana"/>
      <w:color w:val="7A4282" w:themeColor="accent1"/>
      <w:sz w:val="28"/>
      <w:szCs w:val="28"/>
    </w:rPr>
  </w:style>
  <w:style w:type="paragraph" w:customStyle="1" w:styleId="QuoteSource">
    <w:name w:val="QuoteSource"/>
    <w:basedOn w:val="Normal"/>
    <w:rsid w:val="003D0704"/>
    <w:pPr>
      <w:spacing w:before="60" w:after="60" w:line="240" w:lineRule="auto"/>
    </w:pPr>
    <w:rPr>
      <w:sz w:val="16"/>
      <w:szCs w:val="16"/>
    </w:rPr>
  </w:style>
  <w:style w:type="table" w:styleId="TableGrid">
    <w:name w:val="Table Grid"/>
    <w:basedOn w:val="TableNormal"/>
    <w:uiPriority w:val="39"/>
    <w:rsid w:val="00321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Quote">
    <w:name w:val="SmallQuote"/>
    <w:basedOn w:val="QuoteSource"/>
    <w:rsid w:val="00FC1ABB"/>
    <w:pPr>
      <w:spacing w:before="200" w:after="240" w:line="320" w:lineRule="atLeast"/>
    </w:pPr>
    <w:rPr>
      <w:b/>
      <w:bCs/>
      <w:color w:val="7A4282" w:themeColor="accent1"/>
      <w:sz w:val="22"/>
      <w:szCs w:val="22"/>
    </w:rPr>
  </w:style>
  <w:style w:type="paragraph" w:customStyle="1" w:styleId="LargeBox">
    <w:name w:val="LargeBox"/>
    <w:basedOn w:val="Normal"/>
    <w:rsid w:val="00DB21A7"/>
    <w:pPr>
      <w:framePr w:w="10206" w:hSpace="284" w:vSpace="284" w:wrap="around" w:vAnchor="text" w:hAnchor="text" w:y="1"/>
      <w:shd w:val="clear" w:color="auto" w:fill="7A4282" w:themeFill="accent1"/>
      <w:spacing w:before="240"/>
      <w:ind w:left="284" w:hanging="284"/>
    </w:pPr>
    <w:rPr>
      <w:color w:val="FFFFFF" w:themeColor="background1"/>
      <w:sz w:val="28"/>
    </w:rPr>
  </w:style>
  <w:style w:type="paragraph" w:customStyle="1" w:styleId="SmallBox">
    <w:name w:val="SmallBox"/>
    <w:basedOn w:val="LargeBox"/>
    <w:rsid w:val="00147D40"/>
    <w:pPr>
      <w:framePr w:w="5103" w:wrap="around"/>
      <w:shd w:val="clear" w:color="auto" w:fill="F1D184" w:themeFill="accent4"/>
    </w:pPr>
    <w:rPr>
      <w:b/>
      <w:sz w:val="22"/>
    </w:rPr>
  </w:style>
  <w:style w:type="paragraph" w:customStyle="1" w:styleId="IntroCopy">
    <w:name w:val="Intro Copy"/>
    <w:basedOn w:val="Normal"/>
    <w:link w:val="IntroCopyChar"/>
    <w:rsid w:val="00571BDC"/>
    <w:pPr>
      <w:spacing w:line="420" w:lineRule="exact"/>
    </w:pPr>
    <w:rPr>
      <w:color w:val="7A4282" w:themeColor="accent1"/>
      <w:sz w:val="32"/>
      <w:szCs w:val="32"/>
    </w:rPr>
  </w:style>
  <w:style w:type="character" w:customStyle="1" w:styleId="IntroCopyChar">
    <w:name w:val="Intro Copy Char"/>
    <w:basedOn w:val="DefaultParagraphFont"/>
    <w:link w:val="IntroCopy"/>
    <w:rsid w:val="00571BDC"/>
    <w:rPr>
      <w:rFonts w:ascii="Verdana" w:hAnsi="Verdana"/>
      <w:color w:val="7A4282" w:themeColor="accent1"/>
      <w:sz w:val="32"/>
      <w:szCs w:val="32"/>
    </w:rPr>
  </w:style>
  <w:style w:type="paragraph" w:customStyle="1" w:styleId="CoverPageHeader">
    <w:name w:val="CoverPage Header"/>
    <w:basedOn w:val="Title"/>
    <w:rsid w:val="00F45A2B"/>
    <w:pPr>
      <w:spacing w:after="480" w:line="240" w:lineRule="auto"/>
    </w:pPr>
    <w:rPr>
      <w:color w:val="7A4282" w:themeColor="accent1"/>
      <w:sz w:val="68"/>
      <w:szCs w:val="68"/>
    </w:rPr>
  </w:style>
  <w:style w:type="paragraph" w:customStyle="1" w:styleId="CoverPageSub1">
    <w:name w:val="CoverPage Sub1"/>
    <w:basedOn w:val="Heading1"/>
    <w:rsid w:val="00390F9A"/>
  </w:style>
  <w:style w:type="character" w:customStyle="1" w:styleId="Heading3Char">
    <w:name w:val="Heading 3 Char"/>
    <w:basedOn w:val="DefaultParagraphFont"/>
    <w:link w:val="Heading3"/>
    <w:uiPriority w:val="9"/>
    <w:rsid w:val="00FC500B"/>
    <w:rPr>
      <w:rFonts w:ascii="Verdana" w:hAnsi="Verdana"/>
      <w:bCs/>
      <w:color w:val="2E1A47" w:themeColor="text2"/>
      <w:sz w:val="32"/>
      <w:szCs w:val="32"/>
    </w:rPr>
  </w:style>
  <w:style w:type="character" w:customStyle="1" w:styleId="Heading4Char">
    <w:name w:val="Heading 4 Char"/>
    <w:basedOn w:val="DefaultParagraphFont"/>
    <w:link w:val="Heading4"/>
    <w:uiPriority w:val="9"/>
    <w:rsid w:val="002C1F51"/>
    <w:rPr>
      <w:rFonts w:ascii="Verdana" w:hAnsi="Verdana"/>
      <w:bCs/>
      <w:color w:val="000000" w:themeColor="text1"/>
      <w:sz w:val="26"/>
      <w:szCs w:val="24"/>
    </w:rPr>
  </w:style>
  <w:style w:type="character" w:styleId="Hyperlink">
    <w:name w:val="Hyperlink"/>
    <w:basedOn w:val="DefaultParagraphFont"/>
    <w:uiPriority w:val="99"/>
    <w:unhideWhenUsed/>
    <w:rsid w:val="0092648B"/>
    <w:rPr>
      <w:color w:val="0563C1"/>
      <w:u w:val="single"/>
    </w:rPr>
  </w:style>
  <w:style w:type="character" w:styleId="CommentReference">
    <w:name w:val="annotation reference"/>
    <w:basedOn w:val="DefaultParagraphFont"/>
    <w:uiPriority w:val="99"/>
    <w:semiHidden/>
    <w:unhideWhenUsed/>
    <w:rsid w:val="00C279D9"/>
    <w:rPr>
      <w:sz w:val="16"/>
      <w:szCs w:val="16"/>
    </w:rPr>
  </w:style>
  <w:style w:type="paragraph" w:styleId="CommentText">
    <w:name w:val="annotation text"/>
    <w:basedOn w:val="Normal"/>
    <w:link w:val="CommentTextChar"/>
    <w:uiPriority w:val="99"/>
    <w:semiHidden/>
    <w:unhideWhenUsed/>
    <w:rsid w:val="00C279D9"/>
    <w:pPr>
      <w:spacing w:line="240" w:lineRule="auto"/>
    </w:pPr>
  </w:style>
  <w:style w:type="character" w:customStyle="1" w:styleId="CommentTextChar">
    <w:name w:val="Comment Text Char"/>
    <w:basedOn w:val="DefaultParagraphFont"/>
    <w:link w:val="CommentText"/>
    <w:uiPriority w:val="99"/>
    <w:semiHidden/>
    <w:rsid w:val="00C279D9"/>
    <w:rPr>
      <w:rFonts w:ascii="Verdana" w:hAnsi="Verdana"/>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C279D9"/>
    <w:rPr>
      <w:b/>
      <w:bCs/>
    </w:rPr>
  </w:style>
  <w:style w:type="character" w:customStyle="1" w:styleId="CommentSubjectChar">
    <w:name w:val="Comment Subject Char"/>
    <w:basedOn w:val="CommentTextChar"/>
    <w:link w:val="CommentSubject"/>
    <w:uiPriority w:val="99"/>
    <w:semiHidden/>
    <w:rsid w:val="00C279D9"/>
    <w:rPr>
      <w:rFonts w:ascii="Verdana" w:hAnsi="Verdana"/>
      <w:b/>
      <w:bCs/>
      <w:color w:val="000000" w:themeColor="text1"/>
      <w:sz w:val="20"/>
      <w:szCs w:val="20"/>
    </w:rPr>
  </w:style>
  <w:style w:type="paragraph" w:styleId="BalloonText">
    <w:name w:val="Balloon Text"/>
    <w:basedOn w:val="Normal"/>
    <w:link w:val="BalloonTextChar"/>
    <w:uiPriority w:val="99"/>
    <w:semiHidden/>
    <w:unhideWhenUsed/>
    <w:rsid w:val="00C279D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9D9"/>
    <w:rPr>
      <w:rFonts w:ascii="Segoe UI" w:hAnsi="Segoe UI" w:cs="Segoe UI"/>
      <w:color w:val="000000" w:themeColor="text1"/>
      <w:sz w:val="18"/>
      <w:szCs w:val="18"/>
    </w:rPr>
  </w:style>
  <w:style w:type="character" w:customStyle="1" w:styleId="BulletListChar">
    <w:name w:val="BulletList Char"/>
    <w:basedOn w:val="DefaultParagraphFont"/>
    <w:link w:val="BulletList"/>
    <w:rsid w:val="00D93830"/>
    <w:rPr>
      <w:rFonts w:ascii="Verdana" w:hAnsi="Verdana"/>
      <w:color w:val="000000" w:themeColor="text1"/>
      <w:sz w:val="20"/>
      <w:szCs w:val="20"/>
    </w:rPr>
  </w:style>
  <w:style w:type="paragraph" w:customStyle="1" w:styleId="Heading2White">
    <w:name w:val="Heading 2 White"/>
    <w:basedOn w:val="Heading1"/>
    <w:rsid w:val="00C27BF9"/>
    <w:rPr>
      <w:noProof/>
      <w:color w:val="FFFFFF" w:themeColor="background1"/>
      <w:lang w:eastAsia="en-AU"/>
    </w:rPr>
  </w:style>
  <w:style w:type="character" w:styleId="FollowedHyperlink">
    <w:name w:val="FollowedHyperlink"/>
    <w:basedOn w:val="DefaultParagraphFont"/>
    <w:uiPriority w:val="99"/>
    <w:semiHidden/>
    <w:unhideWhenUsed/>
    <w:rsid w:val="00776A9A"/>
    <w:rPr>
      <w:color w:val="2E1A47" w:themeColor="followedHyperlink"/>
      <w:u w:val="single"/>
    </w:rPr>
  </w:style>
  <w:style w:type="paragraph" w:styleId="FootnoteText">
    <w:name w:val="footnote text"/>
    <w:basedOn w:val="Normal"/>
    <w:link w:val="FootnoteTextChar"/>
    <w:uiPriority w:val="99"/>
    <w:semiHidden/>
    <w:unhideWhenUsed/>
    <w:rsid w:val="00497DDC"/>
    <w:pPr>
      <w:spacing w:before="0" w:after="0" w:line="240" w:lineRule="auto"/>
    </w:pPr>
    <w:rPr>
      <w:rFonts w:asciiTheme="minorHAnsi" w:eastAsiaTheme="minorEastAsia" w:hAnsiTheme="minorHAnsi"/>
      <w:color w:val="auto"/>
      <w:lang w:eastAsia="zh-CN"/>
    </w:rPr>
  </w:style>
  <w:style w:type="character" w:customStyle="1" w:styleId="FootnoteTextChar">
    <w:name w:val="Footnote Text Char"/>
    <w:basedOn w:val="DefaultParagraphFont"/>
    <w:link w:val="FootnoteText"/>
    <w:uiPriority w:val="99"/>
    <w:semiHidden/>
    <w:rsid w:val="00497DDC"/>
    <w:rPr>
      <w:rFonts w:eastAsiaTheme="minorEastAsia"/>
      <w:sz w:val="20"/>
      <w:szCs w:val="20"/>
      <w:lang w:eastAsia="zh-CN"/>
    </w:rPr>
  </w:style>
  <w:style w:type="character" w:styleId="FootnoteReference">
    <w:name w:val="footnote reference"/>
    <w:basedOn w:val="DefaultParagraphFont"/>
    <w:uiPriority w:val="99"/>
    <w:semiHidden/>
    <w:unhideWhenUsed/>
    <w:rsid w:val="00497DDC"/>
    <w:rPr>
      <w:vertAlign w:val="superscript"/>
    </w:rPr>
  </w:style>
  <w:style w:type="paragraph" w:styleId="Caption">
    <w:name w:val="caption"/>
    <w:basedOn w:val="Normal"/>
    <w:next w:val="Normal"/>
    <w:uiPriority w:val="35"/>
    <w:unhideWhenUsed/>
    <w:qFormat/>
    <w:rsid w:val="001D5121"/>
    <w:pPr>
      <w:spacing w:before="0" w:line="240" w:lineRule="auto"/>
    </w:pPr>
    <w:rPr>
      <w:i/>
      <w:iCs/>
      <w:color w:val="2E1A47" w:themeColor="text2"/>
      <w:sz w:val="18"/>
      <w:szCs w:val="18"/>
    </w:rPr>
  </w:style>
  <w:style w:type="paragraph" w:styleId="TOCHeading">
    <w:name w:val="TOC Heading"/>
    <w:basedOn w:val="Heading1"/>
    <w:next w:val="Normal"/>
    <w:uiPriority w:val="39"/>
    <w:unhideWhenUsed/>
    <w:qFormat/>
    <w:rsid w:val="00E81AAF"/>
    <w:pPr>
      <w:keepNext/>
      <w:keepLines/>
      <w:spacing w:before="240" w:after="0" w:line="259" w:lineRule="auto"/>
      <w:outlineLvl w:val="9"/>
    </w:pPr>
    <w:rPr>
      <w:rFonts w:asciiTheme="majorHAnsi" w:eastAsiaTheme="majorEastAsia" w:hAnsiTheme="majorHAnsi" w:cstheme="majorBidi"/>
      <w:bCs w:val="0"/>
      <w:color w:val="5B3161" w:themeColor="accent1" w:themeShade="BF"/>
      <w:sz w:val="32"/>
      <w:szCs w:val="32"/>
      <w:lang w:val="en-US" w:eastAsia="en-US"/>
    </w:rPr>
  </w:style>
  <w:style w:type="paragraph" w:styleId="TOC1">
    <w:name w:val="toc 1"/>
    <w:basedOn w:val="Normal"/>
    <w:next w:val="Normal"/>
    <w:autoRedefine/>
    <w:uiPriority w:val="39"/>
    <w:unhideWhenUsed/>
    <w:rsid w:val="00E81AAF"/>
    <w:pPr>
      <w:spacing w:after="100"/>
    </w:pPr>
  </w:style>
  <w:style w:type="paragraph" w:styleId="TOC2">
    <w:name w:val="toc 2"/>
    <w:basedOn w:val="Normal"/>
    <w:next w:val="Normal"/>
    <w:autoRedefine/>
    <w:uiPriority w:val="39"/>
    <w:unhideWhenUsed/>
    <w:rsid w:val="00E81AAF"/>
    <w:pPr>
      <w:spacing w:after="100"/>
      <w:ind w:left="200"/>
    </w:pPr>
  </w:style>
  <w:style w:type="paragraph" w:styleId="TOC3">
    <w:name w:val="toc 3"/>
    <w:basedOn w:val="Normal"/>
    <w:next w:val="Normal"/>
    <w:autoRedefine/>
    <w:uiPriority w:val="39"/>
    <w:unhideWhenUsed/>
    <w:rsid w:val="00E81AAF"/>
    <w:pPr>
      <w:spacing w:after="100"/>
      <w:ind w:left="400"/>
    </w:pPr>
  </w:style>
  <w:style w:type="character" w:styleId="UnresolvedMention">
    <w:name w:val="Unresolved Mention"/>
    <w:basedOn w:val="DefaultParagraphFont"/>
    <w:uiPriority w:val="99"/>
    <w:semiHidden/>
    <w:unhideWhenUsed/>
    <w:rsid w:val="00AF3A83"/>
    <w:rPr>
      <w:color w:val="605E5C"/>
      <w:shd w:val="clear" w:color="auto" w:fill="E1DFDD"/>
    </w:rPr>
  </w:style>
  <w:style w:type="paragraph" w:customStyle="1" w:styleId="Default">
    <w:name w:val="Default"/>
    <w:rsid w:val="000F5E9A"/>
    <w:pPr>
      <w:autoSpaceDE w:val="0"/>
      <w:autoSpaceDN w:val="0"/>
      <w:adjustRightInd w:val="0"/>
      <w:spacing w:after="0" w:line="240" w:lineRule="auto"/>
    </w:pPr>
    <w:rPr>
      <w:rFonts w:ascii="Verdana" w:hAnsi="Verdana" w:cs="Verdana"/>
      <w:color w:val="000000"/>
      <w:sz w:val="24"/>
      <w:szCs w:val="24"/>
    </w:rPr>
  </w:style>
  <w:style w:type="paragraph" w:customStyle="1" w:styleId="Pa2">
    <w:name w:val="Pa2"/>
    <w:basedOn w:val="Default"/>
    <w:next w:val="Default"/>
    <w:uiPriority w:val="99"/>
    <w:rsid w:val="00EB16F6"/>
    <w:pPr>
      <w:spacing w:line="141" w:lineRule="atLeast"/>
    </w:pPr>
    <w:rPr>
      <w:rFonts w:ascii="AU Sans BETA Text Medium" w:hAnsi="AU Sans BETA Text Medium"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mailto:tourism.research@tra.gov.au" TargetMode="External"/><Relationship Id="rId26" Type="http://schemas.openxmlformats.org/officeDocument/2006/relationships/hyperlink" Target="https://www.pm.gov.au/sites/default/files/media/national-plan-060821_0.pdf" TargetMode="External"/><Relationship Id="rId39" Type="http://schemas.openxmlformats.org/officeDocument/2006/relationships/chart" Target="charts/chart13.xml"/><Relationship Id="rId21" Type="http://schemas.openxmlformats.org/officeDocument/2006/relationships/hyperlink" Target="https://www.pm.gov.au/sites/default/files/media/national-plan-060821_0.pdf" TargetMode="External"/><Relationship Id="rId34" Type="http://schemas.openxmlformats.org/officeDocument/2006/relationships/hyperlink" Target="https://www.austrade.gov.au/australian/tourism/tourism-policy-and-strategy/tourism-policy-and-strategy" TargetMode="External"/><Relationship Id="rId42" Type="http://schemas.openxmlformats.org/officeDocument/2006/relationships/chart" Target="charts/chart16.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www.tra.gov.au" TargetMode="External"/><Relationship Id="rId29"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chart" Target="charts/chart3.xml"/><Relationship Id="rId32" Type="http://schemas.openxmlformats.org/officeDocument/2006/relationships/chart" Target="charts/chart8.xml"/><Relationship Id="rId37" Type="http://schemas.openxmlformats.org/officeDocument/2006/relationships/chart" Target="charts/chart11.xml"/><Relationship Id="rId40" Type="http://schemas.openxmlformats.org/officeDocument/2006/relationships/chart" Target="charts/chart14.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tourism.research@tra.gov.au" TargetMode="External"/><Relationship Id="rId23" Type="http://schemas.openxmlformats.org/officeDocument/2006/relationships/chart" Target="charts/chart2.xml"/><Relationship Id="rId28" Type="http://schemas.openxmlformats.org/officeDocument/2006/relationships/hyperlink" Target="https://www.pm.gov.au/sites/default/files/media/national-plan-060821_0.pdf" TargetMode="External"/><Relationship Id="rId36" Type="http://schemas.openxmlformats.org/officeDocument/2006/relationships/chart" Target="charts/chart10.xml"/><Relationship Id="rId10" Type="http://schemas.openxmlformats.org/officeDocument/2006/relationships/webSettings" Target="webSettings.xml"/><Relationship Id="rId19" Type="http://schemas.openxmlformats.org/officeDocument/2006/relationships/hyperlink" Target="https://www.tra.gov.au/Domestic/domestic-tourism-forecasts" TargetMode="External"/><Relationship Id="rId31" Type="http://schemas.openxmlformats.org/officeDocument/2006/relationships/chart" Target="charts/chart7.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pm.gov.au/sites/default/files/media/national-plan-060821_0.pdf" TargetMode="External"/><Relationship Id="rId27" Type="http://schemas.openxmlformats.org/officeDocument/2006/relationships/chart" Target="charts/chart5.xml"/><Relationship Id="rId30" Type="http://schemas.openxmlformats.org/officeDocument/2006/relationships/hyperlink" Target="https://www.eiu.com/n/about/" TargetMode="External"/><Relationship Id="rId35" Type="http://schemas.openxmlformats.org/officeDocument/2006/relationships/chart" Target="charts/chart9.xml"/><Relationship Id="rId43" Type="http://schemas.openxmlformats.org/officeDocument/2006/relationships/header" Target="header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advisory@austrade.gov.au" TargetMode="External"/><Relationship Id="rId25" Type="http://schemas.openxmlformats.org/officeDocument/2006/relationships/chart" Target="charts/chart4.xml"/><Relationship Id="rId33" Type="http://schemas.openxmlformats.org/officeDocument/2006/relationships/hyperlink" Target="https://www.austrade.gov.au/news/publications/opportunities-for-the-visitor-economy-report" TargetMode="External"/><Relationship Id="rId38" Type="http://schemas.openxmlformats.org/officeDocument/2006/relationships/chart" Target="charts/chart12.xml"/><Relationship Id="rId20" Type="http://schemas.openxmlformats.org/officeDocument/2006/relationships/chart" Target="charts/chart1.xml"/><Relationship Id="rId41" Type="http://schemas.openxmlformats.org/officeDocument/2006/relationships/chart" Target="charts/chart15.xml"/></Relationships>
</file>

<file path=word/_rels/footnotes.xml.rels><?xml version="1.0" encoding="UTF-8" standalone="yes"?>
<Relationships xmlns="http://schemas.openxmlformats.org/package/2006/relationships"><Relationship Id="rId2" Type="http://schemas.openxmlformats.org/officeDocument/2006/relationships/hyperlink" Target="https://www.health.gov.au/resources/collections/covid-19-vaccination-daily-rollout-update" TargetMode="External"/><Relationship Id="rId1" Type="http://schemas.openxmlformats.org/officeDocument/2006/relationships/hyperlink" Target="https://www.tra.gov.au/ArticleDocuments/185/TRA_NVS_June_2021.pdf.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strade\Corporate%20Templates\Website\Austrade%20Brand\Austrade%20Brand%20Website%20Publications.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global.austrade.int\groupdata\australia\canberra\tourism\TRA\Forecasting\2021_forecasts\Charts%20for%20Designer.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10.xml.rels><?xml version="1.0" encoding="UTF-8" standalone="yes"?>
<Relationships xmlns="http://schemas.openxmlformats.org/package/2006/relationships"><Relationship Id="rId3" Type="http://schemas.openxmlformats.org/officeDocument/2006/relationships/oleObject" Target="file:///\\global.austrade.int\groupdata\australia\canberra\tourism\TRA\Forecasting\2021_forecasts\Charts%20for%20Designer.xlsx" TargetMode="Externa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chartUserShapes" Target="../drawings/drawing10.xml"/></Relationships>
</file>

<file path=word/charts/_rels/chart11.xml.rels><?xml version="1.0" encoding="UTF-8" standalone="yes"?>
<Relationships xmlns="http://schemas.openxmlformats.org/package/2006/relationships"><Relationship Id="rId3" Type="http://schemas.openxmlformats.org/officeDocument/2006/relationships/oleObject" Target="file:///\\global.austrade.int\groupdata\australia\canberra\tourism\TRA\Forecasting\2021_forecasts\Charts%20for%20Designer.xlsx" TargetMode="Externa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chartUserShapes" Target="../drawings/drawing11.xml"/></Relationships>
</file>

<file path=word/charts/_rels/chart12.xml.rels><?xml version="1.0" encoding="UTF-8" standalone="yes"?>
<Relationships xmlns="http://schemas.openxmlformats.org/package/2006/relationships"><Relationship Id="rId3" Type="http://schemas.openxmlformats.org/officeDocument/2006/relationships/oleObject" Target="file:///\\global.austrade.int\groupdata\australia\canberra\tourism\TRA\Forecasting\2021_forecasts\Charts%20for%20Designer.xlsx" TargetMode="Externa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chartUserShapes" Target="../drawings/drawing12.xml"/></Relationships>
</file>

<file path=word/charts/_rels/chart13.xml.rels><?xml version="1.0" encoding="UTF-8" standalone="yes"?>
<Relationships xmlns="http://schemas.openxmlformats.org/package/2006/relationships"><Relationship Id="rId3" Type="http://schemas.openxmlformats.org/officeDocument/2006/relationships/oleObject" Target="file:///\\global.austrade.int\groupdata\australia\canberra\tourism\TRA\Forecasting\2021_forecasts\Charts%20for%20Designer.xlsx" TargetMode="Externa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chartUserShapes" Target="../drawings/drawing13.xml"/></Relationships>
</file>

<file path=word/charts/_rels/chart14.xml.rels><?xml version="1.0" encoding="UTF-8" standalone="yes"?>
<Relationships xmlns="http://schemas.openxmlformats.org/package/2006/relationships"><Relationship Id="rId3" Type="http://schemas.openxmlformats.org/officeDocument/2006/relationships/oleObject" Target="file:///\\global.austrade.int\groupdata\australia\canberra\tourism\TRA\Forecasting\2021_forecasts\Charts%20for%20Designer.xlsx" TargetMode="Externa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chartUserShapes" Target="../drawings/drawing14.xml"/></Relationships>
</file>

<file path=word/charts/_rels/chart15.xml.rels><?xml version="1.0" encoding="UTF-8" standalone="yes"?>
<Relationships xmlns="http://schemas.openxmlformats.org/package/2006/relationships"><Relationship Id="rId3" Type="http://schemas.openxmlformats.org/officeDocument/2006/relationships/oleObject" Target="file:///\\global.austrade.int\groupdata\australia\canberra\tourism\TRA\Forecasting\2021_forecasts\Charts%20for%20Designer.xlsx" TargetMode="Externa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chartUserShapes" Target="../drawings/drawing15.xml"/></Relationships>
</file>

<file path=word/charts/_rels/chart16.xml.rels><?xml version="1.0" encoding="UTF-8" standalone="yes"?>
<Relationships xmlns="http://schemas.openxmlformats.org/package/2006/relationships"><Relationship Id="rId3" Type="http://schemas.openxmlformats.org/officeDocument/2006/relationships/oleObject" Target="file:///\\global.austrade.int\groupdata\australia\canberra\tourism\TRA\Forecasting\2021_forecasts\Charts%20for%20Designer.xlsx" TargetMode="External"/><Relationship Id="rId2" Type="http://schemas.microsoft.com/office/2011/relationships/chartColorStyle" Target="colors16.xml"/><Relationship Id="rId1" Type="http://schemas.microsoft.com/office/2011/relationships/chartStyle" Target="style16.xml"/><Relationship Id="rId4" Type="http://schemas.openxmlformats.org/officeDocument/2006/relationships/chartUserShapes" Target="../drawings/drawing16.xml"/></Relationships>
</file>

<file path=word/charts/_rels/chart2.xml.rels><?xml version="1.0" encoding="UTF-8" standalone="yes"?>
<Relationships xmlns="http://schemas.openxmlformats.org/package/2006/relationships"><Relationship Id="rId3" Type="http://schemas.openxmlformats.org/officeDocument/2006/relationships/oleObject" Target="file:///\\global.austrade.int\groupdata\australia\canberra\tourism\TRA\Forecasting\2021_forecasts\Charts%20for%20Designer.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oleObject" Target="file:///\\global.austrade.int\groupdata\australia\canberra\tourism\TRA\Forecasting\2021_forecasts\Charts%20for%20Designer.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3.xml"/></Relationships>
</file>

<file path=word/charts/_rels/chart4.xml.rels><?xml version="1.0" encoding="UTF-8" standalone="yes"?>
<Relationships xmlns="http://schemas.openxmlformats.org/package/2006/relationships"><Relationship Id="rId3" Type="http://schemas.openxmlformats.org/officeDocument/2006/relationships/oleObject" Target="file:///\\global.austrade.int\groupdata\australia\canberra\tourism\TRA\Forecasting\2021_forecasts\Charts%20for%20Designer.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4.xml"/></Relationships>
</file>

<file path=word/charts/_rels/chart5.xml.rels><?xml version="1.0" encoding="UTF-8" standalone="yes"?>
<Relationships xmlns="http://schemas.openxmlformats.org/package/2006/relationships"><Relationship Id="rId3" Type="http://schemas.openxmlformats.org/officeDocument/2006/relationships/oleObject" Target="file:///\\global.austrade.int\groupdata\australia\canberra\tourism\TRA\Forecasting\2021_forecasts\Charts%20for%20Designer.xlsx"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5.xml"/></Relationships>
</file>

<file path=word/charts/_rels/chart6.xml.rels><?xml version="1.0" encoding="UTF-8" standalone="yes"?>
<Relationships xmlns="http://schemas.openxmlformats.org/package/2006/relationships"><Relationship Id="rId3" Type="http://schemas.openxmlformats.org/officeDocument/2006/relationships/oleObject" Target="file:///\\global.austrade.int\groupdata\australia\canberra\tourism\TRA\Forecasting\2021_forecasts\Charts%20for%20Designer.xlsx" TargetMode="Externa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chartUserShapes" Target="../drawings/drawing6.xml"/></Relationships>
</file>

<file path=word/charts/_rels/chart7.xml.rels><?xml version="1.0" encoding="UTF-8" standalone="yes"?>
<Relationships xmlns="http://schemas.openxmlformats.org/package/2006/relationships"><Relationship Id="rId3" Type="http://schemas.openxmlformats.org/officeDocument/2006/relationships/oleObject" Target="file:///\\global.austrade.int\groupdata\australia\canberra\tourism\TRA\Forecasting\2021_forecasts\Charts%20for%20Designer.xlsx" TargetMode="Externa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chartUserShapes" Target="../drawings/drawing7.xml"/></Relationships>
</file>

<file path=word/charts/_rels/chart8.xml.rels><?xml version="1.0" encoding="UTF-8" standalone="yes"?>
<Relationships xmlns="http://schemas.openxmlformats.org/package/2006/relationships"><Relationship Id="rId3" Type="http://schemas.openxmlformats.org/officeDocument/2006/relationships/oleObject" Target="file:///\\global.austrade.int\groupdata\australia\canberra\tourism\TRA\Forecasting\2021_forecasts\Charts%20for%20Designer.xlsx" TargetMode="Externa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chartUserShapes" Target="../drawings/drawing8.xml"/></Relationships>
</file>

<file path=word/charts/_rels/chart9.xml.rels><?xml version="1.0" encoding="UTF-8" standalone="yes"?>
<Relationships xmlns="http://schemas.openxmlformats.org/package/2006/relationships"><Relationship Id="rId3" Type="http://schemas.openxmlformats.org/officeDocument/2006/relationships/oleObject" Target="file:///\\global.austrade.int\groupdata\australia\canberra\tourism\TRA\Forecasting\2021_forecasts\Charts%20for%20Designer.xlsx" TargetMode="Externa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chartUserShapes" Target="../drawings/drawing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23803582786339"/>
          <c:y val="0.11791732608255052"/>
          <c:w val="0.85112115682825662"/>
          <c:h val="0.62108268818106704"/>
        </c:manualLayout>
      </c:layout>
      <c:barChart>
        <c:barDir val="col"/>
        <c:grouping val="clustered"/>
        <c:varyColors val="0"/>
        <c:ser>
          <c:idx val="0"/>
          <c:order val="0"/>
          <c:tx>
            <c:v>Visitor nights (millions)</c:v>
          </c:tx>
          <c:spPr>
            <a:solidFill>
              <a:schemeClr val="accent1"/>
            </a:solidFill>
            <a:ln>
              <a:noFill/>
            </a:ln>
            <a:effectLst/>
          </c:spPr>
          <c:invertIfNegative val="0"/>
          <c:cat>
            <c:numRef>
              <c:f>'Figure 1'!$A$8:$A$40</c:f>
              <c:numCache>
                <c:formatCode>mmm\-yy</c:formatCode>
                <c:ptCount val="33"/>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pt idx="22">
                  <c:v>44136</c:v>
                </c:pt>
                <c:pt idx="23">
                  <c:v>44166</c:v>
                </c:pt>
                <c:pt idx="24">
                  <c:v>44197</c:v>
                </c:pt>
                <c:pt idx="25">
                  <c:v>44228</c:v>
                </c:pt>
                <c:pt idx="26">
                  <c:v>44256</c:v>
                </c:pt>
                <c:pt idx="27">
                  <c:v>44287</c:v>
                </c:pt>
                <c:pt idx="28">
                  <c:v>44317</c:v>
                </c:pt>
                <c:pt idx="29">
                  <c:v>44348</c:v>
                </c:pt>
                <c:pt idx="30">
                  <c:v>44378</c:v>
                </c:pt>
                <c:pt idx="31">
                  <c:v>44409</c:v>
                </c:pt>
                <c:pt idx="32">
                  <c:v>44440</c:v>
                </c:pt>
              </c:numCache>
            </c:numRef>
          </c:cat>
          <c:val>
            <c:numRef>
              <c:f>'Figure 1'!$D$8:$D$40</c:f>
              <c:numCache>
                <c:formatCode>#,##0</c:formatCode>
                <c:ptCount val="33"/>
                <c:pt idx="0">
                  <c:v>53553</c:v>
                </c:pt>
                <c:pt idx="1">
                  <c:v>25239</c:v>
                </c:pt>
                <c:pt idx="2">
                  <c:v>30408</c:v>
                </c:pt>
                <c:pt idx="3">
                  <c:v>40337</c:v>
                </c:pt>
                <c:pt idx="4">
                  <c:v>30098</c:v>
                </c:pt>
                <c:pt idx="5">
                  <c:v>31326</c:v>
                </c:pt>
                <c:pt idx="6">
                  <c:v>36397</c:v>
                </c:pt>
                <c:pt idx="7">
                  <c:v>30476</c:v>
                </c:pt>
                <c:pt idx="8">
                  <c:v>36724</c:v>
                </c:pt>
                <c:pt idx="9">
                  <c:v>36399</c:v>
                </c:pt>
                <c:pt idx="10">
                  <c:v>32639</c:v>
                </c:pt>
                <c:pt idx="11">
                  <c:v>34313</c:v>
                </c:pt>
                <c:pt idx="12">
                  <c:v>51251</c:v>
                </c:pt>
                <c:pt idx="13">
                  <c:v>23775</c:v>
                </c:pt>
                <c:pt idx="14">
                  <c:v>21310</c:v>
                </c:pt>
                <c:pt idx="15">
                  <c:v>7772</c:v>
                </c:pt>
                <c:pt idx="16">
                  <c:v>11946</c:v>
                </c:pt>
                <c:pt idx="17">
                  <c:v>18471</c:v>
                </c:pt>
                <c:pt idx="18">
                  <c:v>22519</c:v>
                </c:pt>
                <c:pt idx="19">
                  <c:v>18685</c:v>
                </c:pt>
                <c:pt idx="20">
                  <c:v>20957</c:v>
                </c:pt>
                <c:pt idx="21">
                  <c:v>25542</c:v>
                </c:pt>
                <c:pt idx="22">
                  <c:v>24144</c:v>
                </c:pt>
                <c:pt idx="23">
                  <c:v>29031</c:v>
                </c:pt>
                <c:pt idx="24">
                  <c:v>47823</c:v>
                </c:pt>
                <c:pt idx="25">
                  <c:v>25380</c:v>
                </c:pt>
                <c:pt idx="26">
                  <c:v>28854</c:v>
                </c:pt>
                <c:pt idx="27">
                  <c:v>38094</c:v>
                </c:pt>
                <c:pt idx="28">
                  <c:v>28601</c:v>
                </c:pt>
                <c:pt idx="29">
                  <c:v>24021</c:v>
                </c:pt>
                <c:pt idx="30">
                  <c:v>22729</c:v>
                </c:pt>
                <c:pt idx="31">
                  <c:v>15657</c:v>
                </c:pt>
                <c:pt idx="32">
                  <c:v>15121</c:v>
                </c:pt>
              </c:numCache>
            </c:numRef>
          </c:val>
          <c:extLst>
            <c:ext xmlns:c16="http://schemas.microsoft.com/office/drawing/2014/chart" uri="{C3380CC4-5D6E-409C-BE32-E72D297353CC}">
              <c16:uniqueId val="{00000000-2676-4FB9-802C-A34DCF9A3821}"/>
            </c:ext>
          </c:extLst>
        </c:ser>
        <c:dLbls>
          <c:showLegendKey val="0"/>
          <c:showVal val="0"/>
          <c:showCatName val="0"/>
          <c:showSerName val="0"/>
          <c:showPercent val="0"/>
          <c:showBubbleSize val="0"/>
        </c:dLbls>
        <c:gapWidth val="219"/>
        <c:overlap val="-27"/>
        <c:axId val="1057505439"/>
        <c:axId val="1057505855"/>
      </c:barChart>
      <c:lineChart>
        <c:grouping val="standard"/>
        <c:varyColors val="0"/>
        <c:ser>
          <c:idx val="1"/>
          <c:order val="1"/>
          <c:tx>
            <c:strRef>
              <c:f>'Figure 1'!$F$6</c:f>
              <c:strCache>
                <c:ptCount val="1"/>
                <c:pt idx="0">
                  <c:v>Monthly average (2019)</c:v>
                </c:pt>
              </c:strCache>
            </c:strRef>
          </c:tx>
          <c:spPr>
            <a:ln w="28575" cap="rnd">
              <a:solidFill>
                <a:schemeClr val="accent2"/>
              </a:solidFill>
              <a:round/>
            </a:ln>
            <a:effectLst/>
          </c:spPr>
          <c:marker>
            <c:symbol val="none"/>
          </c:marker>
          <c:cat>
            <c:numRef>
              <c:f>'Figure 1'!$A$8:$A$40</c:f>
              <c:numCache>
                <c:formatCode>mmm\-yy</c:formatCode>
                <c:ptCount val="33"/>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pt idx="22">
                  <c:v>44136</c:v>
                </c:pt>
                <c:pt idx="23">
                  <c:v>44166</c:v>
                </c:pt>
                <c:pt idx="24">
                  <c:v>44197</c:v>
                </c:pt>
                <c:pt idx="25">
                  <c:v>44228</c:v>
                </c:pt>
                <c:pt idx="26">
                  <c:v>44256</c:v>
                </c:pt>
                <c:pt idx="27">
                  <c:v>44287</c:v>
                </c:pt>
                <c:pt idx="28">
                  <c:v>44317</c:v>
                </c:pt>
                <c:pt idx="29">
                  <c:v>44348</c:v>
                </c:pt>
                <c:pt idx="30">
                  <c:v>44378</c:v>
                </c:pt>
                <c:pt idx="31">
                  <c:v>44409</c:v>
                </c:pt>
                <c:pt idx="32">
                  <c:v>44440</c:v>
                </c:pt>
              </c:numCache>
            </c:numRef>
          </c:cat>
          <c:val>
            <c:numRef>
              <c:f>'Figure 1'!$F$8:$F$40</c:f>
              <c:numCache>
                <c:formatCode>#,##0</c:formatCode>
                <c:ptCount val="33"/>
                <c:pt idx="0">
                  <c:v>34825.75</c:v>
                </c:pt>
                <c:pt idx="1">
                  <c:v>34825.75</c:v>
                </c:pt>
                <c:pt idx="2">
                  <c:v>34825.75</c:v>
                </c:pt>
                <c:pt idx="3">
                  <c:v>34825.75</c:v>
                </c:pt>
                <c:pt idx="4">
                  <c:v>34825.75</c:v>
                </c:pt>
                <c:pt idx="5">
                  <c:v>34825.75</c:v>
                </c:pt>
                <c:pt idx="6">
                  <c:v>34825.75</c:v>
                </c:pt>
                <c:pt idx="7">
                  <c:v>34825.75</c:v>
                </c:pt>
                <c:pt idx="8">
                  <c:v>34825.75</c:v>
                </c:pt>
                <c:pt idx="9">
                  <c:v>34825.75</c:v>
                </c:pt>
                <c:pt idx="10">
                  <c:v>34825.75</c:v>
                </c:pt>
                <c:pt idx="11">
                  <c:v>34825.75</c:v>
                </c:pt>
                <c:pt idx="12">
                  <c:v>34825.75</c:v>
                </c:pt>
                <c:pt idx="13">
                  <c:v>34825.75</c:v>
                </c:pt>
                <c:pt idx="14">
                  <c:v>34825.75</c:v>
                </c:pt>
                <c:pt idx="15">
                  <c:v>34825.75</c:v>
                </c:pt>
                <c:pt idx="16">
                  <c:v>34825.75</c:v>
                </c:pt>
                <c:pt idx="17">
                  <c:v>34825.75</c:v>
                </c:pt>
                <c:pt idx="18">
                  <c:v>34825.75</c:v>
                </c:pt>
                <c:pt idx="19">
                  <c:v>34825.75</c:v>
                </c:pt>
                <c:pt idx="20">
                  <c:v>34825.75</c:v>
                </c:pt>
                <c:pt idx="21">
                  <c:v>34825.75</c:v>
                </c:pt>
                <c:pt idx="22">
                  <c:v>34825.75</c:v>
                </c:pt>
                <c:pt idx="23">
                  <c:v>34825.75</c:v>
                </c:pt>
                <c:pt idx="24">
                  <c:v>34825.75</c:v>
                </c:pt>
                <c:pt idx="25">
                  <c:v>34825.75</c:v>
                </c:pt>
                <c:pt idx="26">
                  <c:v>34825.75</c:v>
                </c:pt>
                <c:pt idx="27">
                  <c:v>34825.75</c:v>
                </c:pt>
                <c:pt idx="28">
                  <c:v>34825.75</c:v>
                </c:pt>
                <c:pt idx="29">
                  <c:v>34825.75</c:v>
                </c:pt>
                <c:pt idx="30">
                  <c:v>34825.75</c:v>
                </c:pt>
                <c:pt idx="31">
                  <c:v>34825.75</c:v>
                </c:pt>
                <c:pt idx="32">
                  <c:v>34825.75</c:v>
                </c:pt>
              </c:numCache>
            </c:numRef>
          </c:val>
          <c:smooth val="0"/>
          <c:extLst>
            <c:ext xmlns:c16="http://schemas.microsoft.com/office/drawing/2014/chart" uri="{C3380CC4-5D6E-409C-BE32-E72D297353CC}">
              <c16:uniqueId val="{00000001-2676-4FB9-802C-A34DCF9A3821}"/>
            </c:ext>
          </c:extLst>
        </c:ser>
        <c:dLbls>
          <c:showLegendKey val="0"/>
          <c:showVal val="0"/>
          <c:showCatName val="0"/>
          <c:showSerName val="0"/>
          <c:showPercent val="0"/>
          <c:showBubbleSize val="0"/>
        </c:dLbls>
        <c:marker val="1"/>
        <c:smooth val="0"/>
        <c:axId val="1057505439"/>
        <c:axId val="1057505855"/>
      </c:lineChart>
      <c:dateAx>
        <c:axId val="1057505439"/>
        <c:scaling>
          <c:orientation val="minMax"/>
        </c:scaling>
        <c:delete val="0"/>
        <c:axPos val="b"/>
        <c:numFmt formatCode="mmm\-yy" sourceLinked="1"/>
        <c:majorTickMark val="in"/>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7505855"/>
        <c:crosses val="autoZero"/>
        <c:auto val="1"/>
        <c:lblOffset val="100"/>
        <c:baseTimeUnit val="months"/>
      </c:dateAx>
      <c:valAx>
        <c:axId val="105750585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in"/>
        <c:minorTickMark val="none"/>
        <c:tickLblPos val="nextTo"/>
        <c:spPr>
          <a:noFill/>
          <a:ln>
            <a:solidFill>
              <a:schemeClr val="tx1">
                <a:lumMod val="15000"/>
                <a:lumOff val="8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7505439"/>
        <c:crosses val="autoZero"/>
        <c:crossBetween val="between"/>
        <c:dispUnits>
          <c:builtInUnit val="thousands"/>
          <c:dispUnitsLbl>
            <c:layout>
              <c:manualLayout>
                <c:xMode val="edge"/>
                <c:yMode val="edge"/>
                <c:x val="5.5671537926235215E-3"/>
                <c:y val="0.29809302325581394"/>
              </c:manualLayout>
            </c:layout>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AU" b="1" baseline="0"/>
                    <a:t>Nights (millions)</a:t>
                  </a:r>
                  <a:endParaRPr lang="en-AU" b="1"/>
                </a:p>
              </c:rich>
            </c:tx>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layout>
        <c:manualLayout>
          <c:xMode val="edge"/>
          <c:yMode val="edge"/>
          <c:x val="0.10531014804880329"/>
          <c:y val="9.5207988421923094E-3"/>
          <c:w val="0.85379295229014951"/>
          <c:h val="7.848892144295915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091426071741035"/>
          <c:y val="0.14525179047670897"/>
          <c:w val="0.84853018372703415"/>
          <c:h val="0.63721427579308987"/>
        </c:manualLayout>
      </c:layout>
      <c:lineChart>
        <c:grouping val="standard"/>
        <c:varyColors val="0"/>
        <c:ser>
          <c:idx val="0"/>
          <c:order val="0"/>
          <c:tx>
            <c:strRef>
              <c:f>'Figure 10'!$B$1</c:f>
              <c:strCache>
                <c:ptCount val="1"/>
                <c:pt idx="0">
                  <c:v>Total</c:v>
                </c:pt>
              </c:strCache>
            </c:strRef>
          </c:tx>
          <c:spPr>
            <a:ln w="28575" cap="rnd">
              <a:solidFill>
                <a:schemeClr val="accent1"/>
              </a:solidFill>
              <a:round/>
            </a:ln>
            <a:effectLst/>
          </c:spPr>
          <c:marker>
            <c:symbol val="none"/>
          </c:marker>
          <c:dPt>
            <c:idx val="13"/>
            <c:marker>
              <c:symbol val="none"/>
            </c:marker>
            <c:bubble3D val="0"/>
            <c:spPr>
              <a:ln w="28575" cap="rnd">
                <a:solidFill>
                  <a:schemeClr val="accent1">
                    <a:lumMod val="60000"/>
                    <a:lumOff val="40000"/>
                  </a:schemeClr>
                </a:solidFill>
                <a:prstDash val="dash"/>
                <a:round/>
              </a:ln>
              <a:effectLst/>
            </c:spPr>
            <c:extLst>
              <c:ext xmlns:c16="http://schemas.microsoft.com/office/drawing/2014/chart" uri="{C3380CC4-5D6E-409C-BE32-E72D297353CC}">
                <c16:uniqueId val="{00000001-8A01-4577-A7C9-956E46A1A361}"/>
              </c:ext>
            </c:extLst>
          </c:dPt>
          <c:dPt>
            <c:idx val="14"/>
            <c:marker>
              <c:symbol val="none"/>
            </c:marker>
            <c:bubble3D val="0"/>
            <c:spPr>
              <a:ln w="28575" cap="rnd">
                <a:solidFill>
                  <a:schemeClr val="accent1">
                    <a:lumMod val="60000"/>
                    <a:lumOff val="40000"/>
                  </a:schemeClr>
                </a:solidFill>
                <a:prstDash val="dash"/>
                <a:round/>
              </a:ln>
              <a:effectLst/>
            </c:spPr>
            <c:extLst>
              <c:ext xmlns:c16="http://schemas.microsoft.com/office/drawing/2014/chart" uri="{C3380CC4-5D6E-409C-BE32-E72D297353CC}">
                <c16:uniqueId val="{00000003-8A01-4577-A7C9-956E46A1A361}"/>
              </c:ext>
            </c:extLst>
          </c:dPt>
          <c:dPt>
            <c:idx val="15"/>
            <c:marker>
              <c:symbol val="none"/>
            </c:marker>
            <c:bubble3D val="0"/>
            <c:spPr>
              <a:ln w="28575" cap="rnd">
                <a:solidFill>
                  <a:schemeClr val="accent1">
                    <a:lumMod val="60000"/>
                    <a:lumOff val="40000"/>
                  </a:schemeClr>
                </a:solidFill>
                <a:prstDash val="dash"/>
                <a:round/>
              </a:ln>
              <a:effectLst/>
            </c:spPr>
            <c:extLst>
              <c:ext xmlns:c16="http://schemas.microsoft.com/office/drawing/2014/chart" uri="{C3380CC4-5D6E-409C-BE32-E72D297353CC}">
                <c16:uniqueId val="{00000005-8A01-4577-A7C9-956E46A1A361}"/>
              </c:ext>
            </c:extLst>
          </c:dPt>
          <c:dPt>
            <c:idx val="16"/>
            <c:marker>
              <c:symbol val="none"/>
            </c:marker>
            <c:bubble3D val="0"/>
            <c:spPr>
              <a:ln w="28575" cap="rnd">
                <a:solidFill>
                  <a:schemeClr val="accent1">
                    <a:lumMod val="60000"/>
                    <a:lumOff val="40000"/>
                  </a:schemeClr>
                </a:solidFill>
                <a:prstDash val="dash"/>
                <a:round/>
              </a:ln>
              <a:effectLst/>
            </c:spPr>
            <c:extLst>
              <c:ext xmlns:c16="http://schemas.microsoft.com/office/drawing/2014/chart" uri="{C3380CC4-5D6E-409C-BE32-E72D297353CC}">
                <c16:uniqueId val="{00000007-8A01-4577-A7C9-956E46A1A361}"/>
              </c:ext>
            </c:extLst>
          </c:dPt>
          <c:dPt>
            <c:idx val="17"/>
            <c:marker>
              <c:symbol val="none"/>
            </c:marker>
            <c:bubble3D val="0"/>
            <c:spPr>
              <a:ln w="28575" cap="rnd">
                <a:solidFill>
                  <a:schemeClr val="accent1">
                    <a:lumMod val="60000"/>
                    <a:lumOff val="40000"/>
                  </a:schemeClr>
                </a:solidFill>
                <a:prstDash val="dash"/>
                <a:round/>
              </a:ln>
              <a:effectLst/>
            </c:spPr>
            <c:extLst>
              <c:ext xmlns:c16="http://schemas.microsoft.com/office/drawing/2014/chart" uri="{C3380CC4-5D6E-409C-BE32-E72D297353CC}">
                <c16:uniqueId val="{00000009-8A01-4577-A7C9-956E46A1A361}"/>
              </c:ext>
            </c:extLst>
          </c:dPt>
          <c:cat>
            <c:strRef>
              <c:f>'Figure 10'!$A$2:$A$19</c:f>
              <c:strCache>
                <c:ptCount val="18"/>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pt idx="16">
                  <c:v>2024-25</c:v>
                </c:pt>
                <c:pt idx="17">
                  <c:v>2025-26</c:v>
                </c:pt>
              </c:strCache>
            </c:strRef>
          </c:cat>
          <c:val>
            <c:numRef>
              <c:f>'Figure 10'!$B$2:$B$19</c:f>
              <c:numCache>
                <c:formatCode>0.0</c:formatCode>
                <c:ptCount val="18"/>
                <c:pt idx="0">
                  <c:v>50.49</c:v>
                </c:pt>
                <c:pt idx="1">
                  <c:v>51.865000000000002</c:v>
                </c:pt>
                <c:pt idx="2">
                  <c:v>52.113999999999997</c:v>
                </c:pt>
                <c:pt idx="3">
                  <c:v>54.128999999999998</c:v>
                </c:pt>
                <c:pt idx="4">
                  <c:v>56.121000000000002</c:v>
                </c:pt>
                <c:pt idx="5">
                  <c:v>57.601999999999997</c:v>
                </c:pt>
                <c:pt idx="6">
                  <c:v>59.393000000000001</c:v>
                </c:pt>
                <c:pt idx="7">
                  <c:v>62.558999999999997</c:v>
                </c:pt>
                <c:pt idx="8">
                  <c:v>66.763000000000005</c:v>
                </c:pt>
                <c:pt idx="9">
                  <c:v>73.382000000000005</c:v>
                </c:pt>
                <c:pt idx="10">
                  <c:v>81.165000000000006</c:v>
                </c:pt>
                <c:pt idx="11">
                  <c:v>67.813000000000002</c:v>
                </c:pt>
                <c:pt idx="12">
                  <c:v>53.898000000000003</c:v>
                </c:pt>
                <c:pt idx="13">
                  <c:v>60.165118054619775</c:v>
                </c:pt>
                <c:pt idx="14">
                  <c:v>74.571265847933375</c:v>
                </c:pt>
                <c:pt idx="15">
                  <c:v>81.834484965929576</c:v>
                </c:pt>
                <c:pt idx="16">
                  <c:v>86.142578539701091</c:v>
                </c:pt>
                <c:pt idx="17">
                  <c:v>87.374654173120831</c:v>
                </c:pt>
              </c:numCache>
            </c:numRef>
          </c:val>
          <c:smooth val="0"/>
          <c:extLst>
            <c:ext xmlns:c16="http://schemas.microsoft.com/office/drawing/2014/chart" uri="{C3380CC4-5D6E-409C-BE32-E72D297353CC}">
              <c16:uniqueId val="{0000000A-8A01-4577-A7C9-956E46A1A361}"/>
            </c:ext>
          </c:extLst>
        </c:ser>
        <c:ser>
          <c:idx val="1"/>
          <c:order val="1"/>
          <c:tx>
            <c:strRef>
              <c:f>'Figure 10'!$C$1</c:f>
              <c:strCache>
                <c:ptCount val="1"/>
                <c:pt idx="0">
                  <c:v>Holiday</c:v>
                </c:pt>
              </c:strCache>
            </c:strRef>
          </c:tx>
          <c:spPr>
            <a:ln w="28575" cap="rnd">
              <a:solidFill>
                <a:schemeClr val="accent2"/>
              </a:solidFill>
              <a:round/>
            </a:ln>
            <a:effectLst/>
          </c:spPr>
          <c:marker>
            <c:symbol val="none"/>
          </c:marker>
          <c:dPt>
            <c:idx val="13"/>
            <c:marker>
              <c:symbol val="none"/>
            </c:marker>
            <c:bubble3D val="0"/>
            <c:spPr>
              <a:ln w="28575" cap="rnd">
                <a:solidFill>
                  <a:schemeClr val="accent2">
                    <a:lumMod val="60000"/>
                    <a:lumOff val="40000"/>
                  </a:schemeClr>
                </a:solidFill>
                <a:prstDash val="dash"/>
                <a:round/>
              </a:ln>
              <a:effectLst/>
            </c:spPr>
            <c:extLst>
              <c:ext xmlns:c16="http://schemas.microsoft.com/office/drawing/2014/chart" uri="{C3380CC4-5D6E-409C-BE32-E72D297353CC}">
                <c16:uniqueId val="{0000000C-8A01-4577-A7C9-956E46A1A361}"/>
              </c:ext>
            </c:extLst>
          </c:dPt>
          <c:dPt>
            <c:idx val="14"/>
            <c:marker>
              <c:symbol val="none"/>
            </c:marker>
            <c:bubble3D val="0"/>
            <c:spPr>
              <a:ln w="28575" cap="rnd">
                <a:solidFill>
                  <a:schemeClr val="accent2">
                    <a:lumMod val="60000"/>
                    <a:lumOff val="40000"/>
                  </a:schemeClr>
                </a:solidFill>
                <a:prstDash val="dash"/>
                <a:round/>
              </a:ln>
              <a:effectLst/>
            </c:spPr>
            <c:extLst>
              <c:ext xmlns:c16="http://schemas.microsoft.com/office/drawing/2014/chart" uri="{C3380CC4-5D6E-409C-BE32-E72D297353CC}">
                <c16:uniqueId val="{0000000E-8A01-4577-A7C9-956E46A1A361}"/>
              </c:ext>
            </c:extLst>
          </c:dPt>
          <c:dPt>
            <c:idx val="15"/>
            <c:marker>
              <c:symbol val="none"/>
            </c:marker>
            <c:bubble3D val="0"/>
            <c:spPr>
              <a:ln w="28575" cap="rnd">
                <a:solidFill>
                  <a:schemeClr val="accent2">
                    <a:lumMod val="60000"/>
                    <a:lumOff val="40000"/>
                  </a:schemeClr>
                </a:solidFill>
                <a:prstDash val="dash"/>
                <a:round/>
              </a:ln>
              <a:effectLst/>
            </c:spPr>
            <c:extLst>
              <c:ext xmlns:c16="http://schemas.microsoft.com/office/drawing/2014/chart" uri="{C3380CC4-5D6E-409C-BE32-E72D297353CC}">
                <c16:uniqueId val="{00000010-8A01-4577-A7C9-956E46A1A361}"/>
              </c:ext>
            </c:extLst>
          </c:dPt>
          <c:dPt>
            <c:idx val="16"/>
            <c:marker>
              <c:symbol val="none"/>
            </c:marker>
            <c:bubble3D val="0"/>
            <c:spPr>
              <a:ln w="28575" cap="rnd">
                <a:solidFill>
                  <a:schemeClr val="accent2">
                    <a:lumMod val="60000"/>
                    <a:lumOff val="40000"/>
                  </a:schemeClr>
                </a:solidFill>
                <a:prstDash val="dash"/>
                <a:round/>
              </a:ln>
              <a:effectLst/>
            </c:spPr>
            <c:extLst>
              <c:ext xmlns:c16="http://schemas.microsoft.com/office/drawing/2014/chart" uri="{C3380CC4-5D6E-409C-BE32-E72D297353CC}">
                <c16:uniqueId val="{00000012-8A01-4577-A7C9-956E46A1A361}"/>
              </c:ext>
            </c:extLst>
          </c:dPt>
          <c:dPt>
            <c:idx val="17"/>
            <c:marker>
              <c:symbol val="none"/>
            </c:marker>
            <c:bubble3D val="0"/>
            <c:spPr>
              <a:ln w="28575" cap="rnd">
                <a:solidFill>
                  <a:schemeClr val="accent2">
                    <a:lumMod val="60000"/>
                    <a:lumOff val="40000"/>
                  </a:schemeClr>
                </a:solidFill>
                <a:prstDash val="dash"/>
                <a:round/>
              </a:ln>
              <a:effectLst/>
            </c:spPr>
            <c:extLst>
              <c:ext xmlns:c16="http://schemas.microsoft.com/office/drawing/2014/chart" uri="{C3380CC4-5D6E-409C-BE32-E72D297353CC}">
                <c16:uniqueId val="{00000014-8A01-4577-A7C9-956E46A1A361}"/>
              </c:ext>
            </c:extLst>
          </c:dPt>
          <c:cat>
            <c:strRef>
              <c:f>'Figure 10'!$A$2:$A$19</c:f>
              <c:strCache>
                <c:ptCount val="18"/>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pt idx="16">
                  <c:v>2024-25</c:v>
                </c:pt>
                <c:pt idx="17">
                  <c:v>2025-26</c:v>
                </c:pt>
              </c:strCache>
            </c:strRef>
          </c:cat>
          <c:val>
            <c:numRef>
              <c:f>'Figure 10'!$C$2:$C$19</c:f>
              <c:numCache>
                <c:formatCode>0.0</c:formatCode>
                <c:ptCount val="18"/>
                <c:pt idx="0">
                  <c:v>25.31</c:v>
                </c:pt>
                <c:pt idx="1">
                  <c:v>26.096</c:v>
                </c:pt>
                <c:pt idx="2">
                  <c:v>26.765000000000001</c:v>
                </c:pt>
                <c:pt idx="3">
                  <c:v>27.076000000000001</c:v>
                </c:pt>
                <c:pt idx="4">
                  <c:v>27.411000000000001</c:v>
                </c:pt>
                <c:pt idx="5">
                  <c:v>28.597999999999999</c:v>
                </c:pt>
                <c:pt idx="6">
                  <c:v>27.602</c:v>
                </c:pt>
                <c:pt idx="7">
                  <c:v>29.081</c:v>
                </c:pt>
                <c:pt idx="8">
                  <c:v>31.096</c:v>
                </c:pt>
                <c:pt idx="9">
                  <c:v>32.536999999999999</c:v>
                </c:pt>
                <c:pt idx="10">
                  <c:v>35.387999999999998</c:v>
                </c:pt>
                <c:pt idx="11">
                  <c:v>28.786999999999999</c:v>
                </c:pt>
                <c:pt idx="12">
                  <c:v>25.253</c:v>
                </c:pt>
                <c:pt idx="13">
                  <c:v>23.814581796540232</c:v>
                </c:pt>
                <c:pt idx="14">
                  <c:v>32.754632912586395</c:v>
                </c:pt>
                <c:pt idx="15">
                  <c:v>35.792195449624586</c:v>
                </c:pt>
                <c:pt idx="16">
                  <c:v>37.562198762080598</c:v>
                </c:pt>
                <c:pt idx="17">
                  <c:v>38.117135278222129</c:v>
                </c:pt>
              </c:numCache>
            </c:numRef>
          </c:val>
          <c:smooth val="0"/>
          <c:extLst>
            <c:ext xmlns:c16="http://schemas.microsoft.com/office/drawing/2014/chart" uri="{C3380CC4-5D6E-409C-BE32-E72D297353CC}">
              <c16:uniqueId val="{00000015-8A01-4577-A7C9-956E46A1A361}"/>
            </c:ext>
          </c:extLst>
        </c:ser>
        <c:ser>
          <c:idx val="2"/>
          <c:order val="2"/>
          <c:tx>
            <c:strRef>
              <c:f>'Figure 10'!$D$1</c:f>
              <c:strCache>
                <c:ptCount val="1"/>
                <c:pt idx="0">
                  <c:v>VFR</c:v>
                </c:pt>
              </c:strCache>
            </c:strRef>
          </c:tx>
          <c:spPr>
            <a:ln w="28575" cap="rnd">
              <a:solidFill>
                <a:schemeClr val="accent3"/>
              </a:solidFill>
              <a:round/>
            </a:ln>
            <a:effectLst/>
          </c:spPr>
          <c:marker>
            <c:symbol val="none"/>
          </c:marker>
          <c:dPt>
            <c:idx val="13"/>
            <c:marker>
              <c:symbol val="none"/>
            </c:marker>
            <c:bubble3D val="0"/>
            <c:spPr>
              <a:ln w="28575" cap="rnd">
                <a:solidFill>
                  <a:schemeClr val="accent3">
                    <a:lumMod val="60000"/>
                    <a:lumOff val="40000"/>
                  </a:schemeClr>
                </a:solidFill>
                <a:prstDash val="dash"/>
                <a:round/>
              </a:ln>
              <a:effectLst/>
            </c:spPr>
            <c:extLst>
              <c:ext xmlns:c16="http://schemas.microsoft.com/office/drawing/2014/chart" uri="{C3380CC4-5D6E-409C-BE32-E72D297353CC}">
                <c16:uniqueId val="{00000017-8A01-4577-A7C9-956E46A1A361}"/>
              </c:ext>
            </c:extLst>
          </c:dPt>
          <c:dPt>
            <c:idx val="14"/>
            <c:marker>
              <c:symbol val="none"/>
            </c:marker>
            <c:bubble3D val="0"/>
            <c:spPr>
              <a:ln w="28575" cap="rnd">
                <a:solidFill>
                  <a:schemeClr val="accent3">
                    <a:lumMod val="60000"/>
                    <a:lumOff val="40000"/>
                  </a:schemeClr>
                </a:solidFill>
                <a:prstDash val="dash"/>
                <a:round/>
              </a:ln>
              <a:effectLst/>
            </c:spPr>
            <c:extLst>
              <c:ext xmlns:c16="http://schemas.microsoft.com/office/drawing/2014/chart" uri="{C3380CC4-5D6E-409C-BE32-E72D297353CC}">
                <c16:uniqueId val="{00000019-8A01-4577-A7C9-956E46A1A361}"/>
              </c:ext>
            </c:extLst>
          </c:dPt>
          <c:dPt>
            <c:idx val="15"/>
            <c:marker>
              <c:symbol val="none"/>
            </c:marker>
            <c:bubble3D val="0"/>
            <c:spPr>
              <a:ln w="28575" cap="rnd">
                <a:solidFill>
                  <a:schemeClr val="accent3">
                    <a:lumMod val="60000"/>
                    <a:lumOff val="40000"/>
                  </a:schemeClr>
                </a:solidFill>
                <a:prstDash val="dash"/>
                <a:round/>
              </a:ln>
              <a:effectLst/>
            </c:spPr>
            <c:extLst>
              <c:ext xmlns:c16="http://schemas.microsoft.com/office/drawing/2014/chart" uri="{C3380CC4-5D6E-409C-BE32-E72D297353CC}">
                <c16:uniqueId val="{0000001B-8A01-4577-A7C9-956E46A1A361}"/>
              </c:ext>
            </c:extLst>
          </c:dPt>
          <c:dPt>
            <c:idx val="16"/>
            <c:marker>
              <c:symbol val="none"/>
            </c:marker>
            <c:bubble3D val="0"/>
            <c:spPr>
              <a:ln w="28575" cap="rnd">
                <a:solidFill>
                  <a:schemeClr val="accent3">
                    <a:lumMod val="60000"/>
                    <a:lumOff val="40000"/>
                  </a:schemeClr>
                </a:solidFill>
                <a:prstDash val="dash"/>
                <a:round/>
              </a:ln>
              <a:effectLst/>
            </c:spPr>
            <c:extLst>
              <c:ext xmlns:c16="http://schemas.microsoft.com/office/drawing/2014/chart" uri="{C3380CC4-5D6E-409C-BE32-E72D297353CC}">
                <c16:uniqueId val="{0000001D-8A01-4577-A7C9-956E46A1A361}"/>
              </c:ext>
            </c:extLst>
          </c:dPt>
          <c:dPt>
            <c:idx val="17"/>
            <c:marker>
              <c:symbol val="none"/>
            </c:marker>
            <c:bubble3D val="0"/>
            <c:spPr>
              <a:ln w="28575" cap="rnd">
                <a:solidFill>
                  <a:schemeClr val="accent3">
                    <a:lumMod val="60000"/>
                    <a:lumOff val="40000"/>
                  </a:schemeClr>
                </a:solidFill>
                <a:prstDash val="dash"/>
                <a:round/>
              </a:ln>
              <a:effectLst/>
            </c:spPr>
            <c:extLst>
              <c:ext xmlns:c16="http://schemas.microsoft.com/office/drawing/2014/chart" uri="{C3380CC4-5D6E-409C-BE32-E72D297353CC}">
                <c16:uniqueId val="{0000001F-8A01-4577-A7C9-956E46A1A361}"/>
              </c:ext>
            </c:extLst>
          </c:dPt>
          <c:cat>
            <c:strRef>
              <c:f>'Figure 10'!$A$2:$A$19</c:f>
              <c:strCache>
                <c:ptCount val="18"/>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pt idx="16">
                  <c:v>2024-25</c:v>
                </c:pt>
                <c:pt idx="17">
                  <c:v>2025-26</c:v>
                </c:pt>
              </c:strCache>
            </c:strRef>
          </c:cat>
          <c:val>
            <c:numRef>
              <c:f>'Figure 10'!$D$2:$D$19</c:f>
              <c:numCache>
                <c:formatCode>0.0</c:formatCode>
                <c:ptCount val="18"/>
                <c:pt idx="0">
                  <c:v>17.125</c:v>
                </c:pt>
                <c:pt idx="1">
                  <c:v>16.219000000000001</c:v>
                </c:pt>
                <c:pt idx="2">
                  <c:v>15.821</c:v>
                </c:pt>
                <c:pt idx="3">
                  <c:v>17.887</c:v>
                </c:pt>
                <c:pt idx="4">
                  <c:v>18.305</c:v>
                </c:pt>
                <c:pt idx="5">
                  <c:v>19.074000000000002</c:v>
                </c:pt>
                <c:pt idx="6">
                  <c:v>19.981000000000002</c:v>
                </c:pt>
                <c:pt idx="7">
                  <c:v>21.289000000000001</c:v>
                </c:pt>
                <c:pt idx="8">
                  <c:v>22.579000000000001</c:v>
                </c:pt>
                <c:pt idx="9">
                  <c:v>25.103000000000002</c:v>
                </c:pt>
                <c:pt idx="10">
                  <c:v>27.564</c:v>
                </c:pt>
                <c:pt idx="11">
                  <c:v>22.439</c:v>
                </c:pt>
                <c:pt idx="12">
                  <c:v>18.356000000000002</c:v>
                </c:pt>
                <c:pt idx="13">
                  <c:v>23.538367074653959</c:v>
                </c:pt>
                <c:pt idx="14">
                  <c:v>27.39614846484498</c:v>
                </c:pt>
                <c:pt idx="15">
                  <c:v>29.98360463627731</c:v>
                </c:pt>
                <c:pt idx="16">
                  <c:v>31.370042725501321</c:v>
                </c:pt>
                <c:pt idx="17">
                  <c:v>31.833741511205783</c:v>
                </c:pt>
              </c:numCache>
            </c:numRef>
          </c:val>
          <c:smooth val="0"/>
          <c:extLst>
            <c:ext xmlns:c16="http://schemas.microsoft.com/office/drawing/2014/chart" uri="{C3380CC4-5D6E-409C-BE32-E72D297353CC}">
              <c16:uniqueId val="{00000020-8A01-4577-A7C9-956E46A1A361}"/>
            </c:ext>
          </c:extLst>
        </c:ser>
        <c:ser>
          <c:idx val="3"/>
          <c:order val="3"/>
          <c:tx>
            <c:strRef>
              <c:f>'Figure 10'!$E$1</c:f>
              <c:strCache>
                <c:ptCount val="1"/>
                <c:pt idx="0">
                  <c:v>Business</c:v>
                </c:pt>
              </c:strCache>
            </c:strRef>
          </c:tx>
          <c:spPr>
            <a:ln w="28575" cap="rnd">
              <a:solidFill>
                <a:schemeClr val="accent4"/>
              </a:solidFill>
              <a:round/>
            </a:ln>
            <a:effectLst/>
          </c:spPr>
          <c:marker>
            <c:symbol val="none"/>
          </c:marker>
          <c:dPt>
            <c:idx val="13"/>
            <c:marker>
              <c:symbol val="none"/>
            </c:marker>
            <c:bubble3D val="0"/>
            <c:spPr>
              <a:ln w="28575" cap="rnd">
                <a:solidFill>
                  <a:schemeClr val="accent4">
                    <a:lumMod val="60000"/>
                    <a:lumOff val="40000"/>
                  </a:schemeClr>
                </a:solidFill>
                <a:prstDash val="dash"/>
                <a:round/>
              </a:ln>
              <a:effectLst/>
            </c:spPr>
            <c:extLst>
              <c:ext xmlns:c16="http://schemas.microsoft.com/office/drawing/2014/chart" uri="{C3380CC4-5D6E-409C-BE32-E72D297353CC}">
                <c16:uniqueId val="{00000022-8A01-4577-A7C9-956E46A1A361}"/>
              </c:ext>
            </c:extLst>
          </c:dPt>
          <c:dPt>
            <c:idx val="14"/>
            <c:marker>
              <c:symbol val="none"/>
            </c:marker>
            <c:bubble3D val="0"/>
            <c:spPr>
              <a:ln w="28575" cap="rnd">
                <a:solidFill>
                  <a:schemeClr val="accent4">
                    <a:lumMod val="60000"/>
                    <a:lumOff val="40000"/>
                  </a:schemeClr>
                </a:solidFill>
                <a:prstDash val="dash"/>
                <a:round/>
              </a:ln>
              <a:effectLst/>
            </c:spPr>
            <c:extLst>
              <c:ext xmlns:c16="http://schemas.microsoft.com/office/drawing/2014/chart" uri="{C3380CC4-5D6E-409C-BE32-E72D297353CC}">
                <c16:uniqueId val="{00000024-8A01-4577-A7C9-956E46A1A361}"/>
              </c:ext>
            </c:extLst>
          </c:dPt>
          <c:dPt>
            <c:idx val="15"/>
            <c:marker>
              <c:symbol val="none"/>
            </c:marker>
            <c:bubble3D val="0"/>
            <c:spPr>
              <a:ln w="28575" cap="rnd">
                <a:solidFill>
                  <a:schemeClr val="accent4">
                    <a:lumMod val="60000"/>
                    <a:lumOff val="40000"/>
                  </a:schemeClr>
                </a:solidFill>
                <a:prstDash val="dash"/>
                <a:round/>
              </a:ln>
              <a:effectLst/>
            </c:spPr>
            <c:extLst>
              <c:ext xmlns:c16="http://schemas.microsoft.com/office/drawing/2014/chart" uri="{C3380CC4-5D6E-409C-BE32-E72D297353CC}">
                <c16:uniqueId val="{00000026-8A01-4577-A7C9-956E46A1A361}"/>
              </c:ext>
            </c:extLst>
          </c:dPt>
          <c:dPt>
            <c:idx val="16"/>
            <c:marker>
              <c:symbol val="none"/>
            </c:marker>
            <c:bubble3D val="0"/>
            <c:spPr>
              <a:ln w="28575" cap="rnd">
                <a:solidFill>
                  <a:schemeClr val="accent4">
                    <a:lumMod val="60000"/>
                    <a:lumOff val="40000"/>
                  </a:schemeClr>
                </a:solidFill>
                <a:prstDash val="dash"/>
                <a:round/>
              </a:ln>
              <a:effectLst/>
            </c:spPr>
            <c:extLst>
              <c:ext xmlns:c16="http://schemas.microsoft.com/office/drawing/2014/chart" uri="{C3380CC4-5D6E-409C-BE32-E72D297353CC}">
                <c16:uniqueId val="{00000028-8A01-4577-A7C9-956E46A1A361}"/>
              </c:ext>
            </c:extLst>
          </c:dPt>
          <c:dPt>
            <c:idx val="17"/>
            <c:marker>
              <c:symbol val="none"/>
            </c:marker>
            <c:bubble3D val="0"/>
            <c:spPr>
              <a:ln w="28575" cap="rnd">
                <a:solidFill>
                  <a:schemeClr val="accent4">
                    <a:lumMod val="60000"/>
                    <a:lumOff val="40000"/>
                  </a:schemeClr>
                </a:solidFill>
                <a:prstDash val="dash"/>
                <a:round/>
              </a:ln>
              <a:effectLst/>
            </c:spPr>
            <c:extLst>
              <c:ext xmlns:c16="http://schemas.microsoft.com/office/drawing/2014/chart" uri="{C3380CC4-5D6E-409C-BE32-E72D297353CC}">
                <c16:uniqueId val="{0000002A-8A01-4577-A7C9-956E46A1A361}"/>
              </c:ext>
            </c:extLst>
          </c:dPt>
          <c:cat>
            <c:strRef>
              <c:f>'Figure 10'!$A$2:$A$19</c:f>
              <c:strCache>
                <c:ptCount val="18"/>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pt idx="16">
                  <c:v>2024-25</c:v>
                </c:pt>
                <c:pt idx="17">
                  <c:v>2025-26</c:v>
                </c:pt>
              </c:strCache>
            </c:strRef>
          </c:cat>
          <c:val>
            <c:numRef>
              <c:f>'Figure 10'!$E$2:$E$19</c:f>
              <c:numCache>
                <c:formatCode>0.0</c:formatCode>
                <c:ptCount val="18"/>
                <c:pt idx="0">
                  <c:v>6.3029999999999999</c:v>
                </c:pt>
                <c:pt idx="1">
                  <c:v>6.8040000000000003</c:v>
                </c:pt>
                <c:pt idx="2">
                  <c:v>6.8280000000000003</c:v>
                </c:pt>
                <c:pt idx="3">
                  <c:v>6.6429999999999998</c:v>
                </c:pt>
                <c:pt idx="4">
                  <c:v>8.3930000000000007</c:v>
                </c:pt>
                <c:pt idx="5">
                  <c:v>7.5549999999999997</c:v>
                </c:pt>
                <c:pt idx="6">
                  <c:v>8.4209999999999994</c:v>
                </c:pt>
                <c:pt idx="7">
                  <c:v>8.5310000000000006</c:v>
                </c:pt>
                <c:pt idx="8">
                  <c:v>9.3320000000000007</c:v>
                </c:pt>
                <c:pt idx="9">
                  <c:v>11.038</c:v>
                </c:pt>
                <c:pt idx="10">
                  <c:v>14.137</c:v>
                </c:pt>
                <c:pt idx="11">
                  <c:v>11.803000000000001</c:v>
                </c:pt>
                <c:pt idx="12">
                  <c:v>6.2859999999999996</c:v>
                </c:pt>
                <c:pt idx="13">
                  <c:v>8.5178619421521446</c:v>
                </c:pt>
                <c:pt idx="14">
                  <c:v>10.106709227960115</c:v>
                </c:pt>
                <c:pt idx="15">
                  <c:v>11.525339471669888</c:v>
                </c:pt>
                <c:pt idx="16">
                  <c:v>12.653188024452936</c:v>
                </c:pt>
                <c:pt idx="17">
                  <c:v>12.802270621507262</c:v>
                </c:pt>
              </c:numCache>
            </c:numRef>
          </c:val>
          <c:smooth val="0"/>
          <c:extLst>
            <c:ext xmlns:c16="http://schemas.microsoft.com/office/drawing/2014/chart" uri="{C3380CC4-5D6E-409C-BE32-E72D297353CC}">
              <c16:uniqueId val="{0000002B-8A01-4577-A7C9-956E46A1A361}"/>
            </c:ext>
          </c:extLst>
        </c:ser>
        <c:ser>
          <c:idx val="4"/>
          <c:order val="4"/>
          <c:tx>
            <c:strRef>
              <c:f>'Figure 10'!$F$1</c:f>
              <c:strCache>
                <c:ptCount val="1"/>
                <c:pt idx="0">
                  <c:v>Other</c:v>
                </c:pt>
              </c:strCache>
            </c:strRef>
          </c:tx>
          <c:spPr>
            <a:ln w="28575" cap="rnd">
              <a:solidFill>
                <a:schemeClr val="accent5"/>
              </a:solidFill>
              <a:round/>
            </a:ln>
            <a:effectLst/>
          </c:spPr>
          <c:marker>
            <c:symbol val="none"/>
          </c:marker>
          <c:dPt>
            <c:idx val="13"/>
            <c:marker>
              <c:symbol val="none"/>
            </c:marker>
            <c:bubble3D val="0"/>
            <c:spPr>
              <a:ln w="28575" cap="rnd">
                <a:solidFill>
                  <a:schemeClr val="accent5">
                    <a:lumMod val="60000"/>
                    <a:lumOff val="40000"/>
                  </a:schemeClr>
                </a:solidFill>
                <a:prstDash val="dash"/>
                <a:round/>
              </a:ln>
              <a:effectLst/>
            </c:spPr>
            <c:extLst>
              <c:ext xmlns:c16="http://schemas.microsoft.com/office/drawing/2014/chart" uri="{C3380CC4-5D6E-409C-BE32-E72D297353CC}">
                <c16:uniqueId val="{0000002D-8A01-4577-A7C9-956E46A1A361}"/>
              </c:ext>
            </c:extLst>
          </c:dPt>
          <c:dPt>
            <c:idx val="14"/>
            <c:marker>
              <c:symbol val="none"/>
            </c:marker>
            <c:bubble3D val="0"/>
            <c:spPr>
              <a:ln w="28575" cap="rnd">
                <a:solidFill>
                  <a:schemeClr val="accent5">
                    <a:lumMod val="60000"/>
                    <a:lumOff val="40000"/>
                  </a:schemeClr>
                </a:solidFill>
                <a:prstDash val="dash"/>
                <a:round/>
              </a:ln>
              <a:effectLst/>
            </c:spPr>
            <c:extLst>
              <c:ext xmlns:c16="http://schemas.microsoft.com/office/drawing/2014/chart" uri="{C3380CC4-5D6E-409C-BE32-E72D297353CC}">
                <c16:uniqueId val="{0000002F-8A01-4577-A7C9-956E46A1A361}"/>
              </c:ext>
            </c:extLst>
          </c:dPt>
          <c:dPt>
            <c:idx val="15"/>
            <c:marker>
              <c:symbol val="none"/>
            </c:marker>
            <c:bubble3D val="0"/>
            <c:spPr>
              <a:ln w="28575" cap="rnd">
                <a:solidFill>
                  <a:schemeClr val="accent5">
                    <a:lumMod val="60000"/>
                    <a:lumOff val="40000"/>
                  </a:schemeClr>
                </a:solidFill>
                <a:prstDash val="dash"/>
                <a:round/>
              </a:ln>
              <a:effectLst/>
            </c:spPr>
            <c:extLst>
              <c:ext xmlns:c16="http://schemas.microsoft.com/office/drawing/2014/chart" uri="{C3380CC4-5D6E-409C-BE32-E72D297353CC}">
                <c16:uniqueId val="{00000031-8A01-4577-A7C9-956E46A1A361}"/>
              </c:ext>
            </c:extLst>
          </c:dPt>
          <c:dPt>
            <c:idx val="16"/>
            <c:marker>
              <c:symbol val="none"/>
            </c:marker>
            <c:bubble3D val="0"/>
            <c:spPr>
              <a:ln w="28575" cap="rnd">
                <a:solidFill>
                  <a:schemeClr val="accent5">
                    <a:lumMod val="60000"/>
                    <a:lumOff val="40000"/>
                  </a:schemeClr>
                </a:solidFill>
                <a:prstDash val="dash"/>
                <a:round/>
              </a:ln>
              <a:effectLst/>
            </c:spPr>
            <c:extLst>
              <c:ext xmlns:c16="http://schemas.microsoft.com/office/drawing/2014/chart" uri="{C3380CC4-5D6E-409C-BE32-E72D297353CC}">
                <c16:uniqueId val="{00000033-8A01-4577-A7C9-956E46A1A361}"/>
              </c:ext>
            </c:extLst>
          </c:dPt>
          <c:dPt>
            <c:idx val="17"/>
            <c:marker>
              <c:symbol val="none"/>
            </c:marker>
            <c:bubble3D val="0"/>
            <c:spPr>
              <a:ln w="28575" cap="rnd">
                <a:solidFill>
                  <a:schemeClr val="accent5">
                    <a:lumMod val="60000"/>
                    <a:lumOff val="40000"/>
                  </a:schemeClr>
                </a:solidFill>
                <a:prstDash val="dash"/>
                <a:round/>
              </a:ln>
              <a:effectLst/>
            </c:spPr>
            <c:extLst>
              <c:ext xmlns:c16="http://schemas.microsoft.com/office/drawing/2014/chart" uri="{C3380CC4-5D6E-409C-BE32-E72D297353CC}">
                <c16:uniqueId val="{00000035-8A01-4577-A7C9-956E46A1A361}"/>
              </c:ext>
            </c:extLst>
          </c:dPt>
          <c:cat>
            <c:strRef>
              <c:f>'Figure 10'!$A$2:$A$19</c:f>
              <c:strCache>
                <c:ptCount val="18"/>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pt idx="16">
                  <c:v>2024-25</c:v>
                </c:pt>
                <c:pt idx="17">
                  <c:v>2025-26</c:v>
                </c:pt>
              </c:strCache>
            </c:strRef>
          </c:cat>
          <c:val>
            <c:numRef>
              <c:f>'Figure 10'!$F$2:$F$19</c:f>
              <c:numCache>
                <c:formatCode>0.0</c:formatCode>
                <c:ptCount val="18"/>
                <c:pt idx="0">
                  <c:v>1.6339999999999999</c:v>
                </c:pt>
                <c:pt idx="1">
                  <c:v>2.5990000000000002</c:v>
                </c:pt>
                <c:pt idx="2">
                  <c:v>2.5720000000000001</c:v>
                </c:pt>
                <c:pt idx="3">
                  <c:v>2.3719999999999999</c:v>
                </c:pt>
                <c:pt idx="4">
                  <c:v>1.853</c:v>
                </c:pt>
                <c:pt idx="5">
                  <c:v>2.2240000000000002</c:v>
                </c:pt>
                <c:pt idx="6">
                  <c:v>3.202</c:v>
                </c:pt>
                <c:pt idx="7">
                  <c:v>3.4569999999999999</c:v>
                </c:pt>
                <c:pt idx="8">
                  <c:v>3.3769999999999998</c:v>
                </c:pt>
                <c:pt idx="9">
                  <c:v>4.3789999999999996</c:v>
                </c:pt>
                <c:pt idx="10">
                  <c:v>3.74</c:v>
                </c:pt>
                <c:pt idx="11">
                  <c:v>4.5519999999999996</c:v>
                </c:pt>
                <c:pt idx="12">
                  <c:v>3.8279999999999998</c:v>
                </c:pt>
                <c:pt idx="13">
                  <c:v>4.1443072412734381</c:v>
                </c:pt>
                <c:pt idx="14">
                  <c:v>4.1137752425418874</c:v>
                </c:pt>
                <c:pt idx="15">
                  <c:v>4.2833454083577944</c:v>
                </c:pt>
                <c:pt idx="16">
                  <c:v>4.3071490276662328</c:v>
                </c:pt>
                <c:pt idx="17">
                  <c:v>4.3715067621856578</c:v>
                </c:pt>
              </c:numCache>
            </c:numRef>
          </c:val>
          <c:smooth val="0"/>
          <c:extLst>
            <c:ext xmlns:c16="http://schemas.microsoft.com/office/drawing/2014/chart" uri="{C3380CC4-5D6E-409C-BE32-E72D297353CC}">
              <c16:uniqueId val="{00000036-8A01-4577-A7C9-956E46A1A361}"/>
            </c:ext>
          </c:extLst>
        </c:ser>
        <c:dLbls>
          <c:showLegendKey val="0"/>
          <c:showVal val="0"/>
          <c:showCatName val="0"/>
          <c:showSerName val="0"/>
          <c:showPercent val="0"/>
          <c:showBubbleSize val="0"/>
        </c:dLbls>
        <c:smooth val="0"/>
        <c:axId val="1296576927"/>
        <c:axId val="1296588991"/>
      </c:lineChart>
      <c:catAx>
        <c:axId val="12965769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96588991"/>
        <c:crosses val="autoZero"/>
        <c:auto val="1"/>
        <c:lblAlgn val="ctr"/>
        <c:lblOffset val="100"/>
        <c:noMultiLvlLbl val="0"/>
      </c:catAx>
      <c:valAx>
        <c:axId val="129658899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96576927"/>
        <c:crosses val="autoZero"/>
        <c:crossBetween val="between"/>
        <c:majorUnit val="25"/>
      </c:valAx>
      <c:spPr>
        <a:noFill/>
        <a:ln>
          <a:noFill/>
        </a:ln>
        <a:effectLst/>
      </c:spPr>
    </c:plotArea>
    <c:legend>
      <c:legendPos val="b"/>
      <c:layout>
        <c:manualLayout>
          <c:xMode val="edge"/>
          <c:yMode val="edge"/>
          <c:x val="0.12551290463692039"/>
          <c:y val="3.037092409607188E-2"/>
          <c:w val="0.8186187664041995"/>
          <c:h val="8.3427512737378418E-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091426071741035"/>
          <c:y val="0.13195539390487598"/>
          <c:w val="0.84853018372703415"/>
          <c:h val="0.65051067236492288"/>
        </c:manualLayout>
      </c:layout>
      <c:lineChart>
        <c:grouping val="standard"/>
        <c:varyColors val="0"/>
        <c:ser>
          <c:idx val="0"/>
          <c:order val="0"/>
          <c:tx>
            <c:strRef>
              <c:f>'Figure 11'!$B$1</c:f>
              <c:strCache>
                <c:ptCount val="1"/>
                <c:pt idx="0">
                  <c:v>Total</c:v>
                </c:pt>
              </c:strCache>
            </c:strRef>
          </c:tx>
          <c:spPr>
            <a:ln w="28575" cap="rnd">
              <a:solidFill>
                <a:schemeClr val="accent1"/>
              </a:solidFill>
              <a:round/>
            </a:ln>
            <a:effectLst/>
          </c:spPr>
          <c:marker>
            <c:symbol val="none"/>
          </c:marker>
          <c:dPt>
            <c:idx val="13"/>
            <c:marker>
              <c:symbol val="none"/>
            </c:marker>
            <c:bubble3D val="0"/>
            <c:spPr>
              <a:ln w="28575" cap="rnd">
                <a:solidFill>
                  <a:schemeClr val="accent1">
                    <a:lumMod val="60000"/>
                    <a:lumOff val="40000"/>
                  </a:schemeClr>
                </a:solidFill>
                <a:prstDash val="dash"/>
                <a:round/>
              </a:ln>
              <a:effectLst/>
            </c:spPr>
            <c:extLst>
              <c:ext xmlns:c16="http://schemas.microsoft.com/office/drawing/2014/chart" uri="{C3380CC4-5D6E-409C-BE32-E72D297353CC}">
                <c16:uniqueId val="{00000001-4241-4339-8471-22A1CBC26DF8}"/>
              </c:ext>
            </c:extLst>
          </c:dPt>
          <c:dPt>
            <c:idx val="14"/>
            <c:marker>
              <c:symbol val="none"/>
            </c:marker>
            <c:bubble3D val="0"/>
            <c:spPr>
              <a:ln w="28575" cap="rnd">
                <a:solidFill>
                  <a:schemeClr val="accent1">
                    <a:lumMod val="60000"/>
                    <a:lumOff val="40000"/>
                  </a:schemeClr>
                </a:solidFill>
                <a:prstDash val="dash"/>
                <a:round/>
              </a:ln>
              <a:effectLst/>
            </c:spPr>
            <c:extLst>
              <c:ext xmlns:c16="http://schemas.microsoft.com/office/drawing/2014/chart" uri="{C3380CC4-5D6E-409C-BE32-E72D297353CC}">
                <c16:uniqueId val="{00000003-4241-4339-8471-22A1CBC26DF8}"/>
              </c:ext>
            </c:extLst>
          </c:dPt>
          <c:dPt>
            <c:idx val="15"/>
            <c:marker>
              <c:symbol val="none"/>
            </c:marker>
            <c:bubble3D val="0"/>
            <c:spPr>
              <a:ln w="28575" cap="rnd">
                <a:solidFill>
                  <a:schemeClr val="accent1">
                    <a:lumMod val="60000"/>
                    <a:lumOff val="40000"/>
                  </a:schemeClr>
                </a:solidFill>
                <a:prstDash val="dash"/>
                <a:round/>
              </a:ln>
              <a:effectLst/>
            </c:spPr>
            <c:extLst>
              <c:ext xmlns:c16="http://schemas.microsoft.com/office/drawing/2014/chart" uri="{C3380CC4-5D6E-409C-BE32-E72D297353CC}">
                <c16:uniqueId val="{00000005-4241-4339-8471-22A1CBC26DF8}"/>
              </c:ext>
            </c:extLst>
          </c:dPt>
          <c:dPt>
            <c:idx val="16"/>
            <c:marker>
              <c:symbol val="none"/>
            </c:marker>
            <c:bubble3D val="0"/>
            <c:spPr>
              <a:ln w="28575" cap="rnd">
                <a:solidFill>
                  <a:schemeClr val="accent1">
                    <a:lumMod val="60000"/>
                    <a:lumOff val="40000"/>
                  </a:schemeClr>
                </a:solidFill>
                <a:prstDash val="dash"/>
                <a:round/>
              </a:ln>
              <a:effectLst/>
            </c:spPr>
            <c:extLst>
              <c:ext xmlns:c16="http://schemas.microsoft.com/office/drawing/2014/chart" uri="{C3380CC4-5D6E-409C-BE32-E72D297353CC}">
                <c16:uniqueId val="{00000007-4241-4339-8471-22A1CBC26DF8}"/>
              </c:ext>
            </c:extLst>
          </c:dPt>
          <c:dPt>
            <c:idx val="17"/>
            <c:marker>
              <c:symbol val="none"/>
            </c:marker>
            <c:bubble3D val="0"/>
            <c:spPr>
              <a:ln w="28575" cap="rnd">
                <a:solidFill>
                  <a:schemeClr val="accent1">
                    <a:lumMod val="60000"/>
                    <a:lumOff val="40000"/>
                  </a:schemeClr>
                </a:solidFill>
                <a:prstDash val="dash"/>
                <a:round/>
              </a:ln>
              <a:effectLst/>
            </c:spPr>
            <c:extLst>
              <c:ext xmlns:c16="http://schemas.microsoft.com/office/drawing/2014/chart" uri="{C3380CC4-5D6E-409C-BE32-E72D297353CC}">
                <c16:uniqueId val="{00000009-4241-4339-8471-22A1CBC26DF8}"/>
              </c:ext>
            </c:extLst>
          </c:dPt>
          <c:cat>
            <c:strRef>
              <c:f>'Figure 11'!$A$2:$A$19</c:f>
              <c:strCache>
                <c:ptCount val="18"/>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pt idx="16">
                  <c:v>2024-25</c:v>
                </c:pt>
                <c:pt idx="17">
                  <c:v>2025-26</c:v>
                </c:pt>
              </c:strCache>
            </c:strRef>
          </c:cat>
          <c:val>
            <c:numRef>
              <c:f>'Figure 11'!$B$2:$B$19</c:f>
              <c:numCache>
                <c:formatCode>0.0</c:formatCode>
                <c:ptCount val="18"/>
                <c:pt idx="0">
                  <c:v>69.320999999999998</c:v>
                </c:pt>
                <c:pt idx="1">
                  <c:v>72.266000000000005</c:v>
                </c:pt>
                <c:pt idx="2">
                  <c:v>69.623000000000005</c:v>
                </c:pt>
                <c:pt idx="3">
                  <c:v>75.173000000000002</c:v>
                </c:pt>
                <c:pt idx="4">
                  <c:v>75.308999999999997</c:v>
                </c:pt>
                <c:pt idx="5">
                  <c:v>74.456000000000003</c:v>
                </c:pt>
                <c:pt idx="6">
                  <c:v>77.769000000000005</c:v>
                </c:pt>
                <c:pt idx="7">
                  <c:v>78.751999999999995</c:v>
                </c:pt>
                <c:pt idx="8">
                  <c:v>83.16</c:v>
                </c:pt>
                <c:pt idx="9">
                  <c:v>90.238</c:v>
                </c:pt>
                <c:pt idx="10">
                  <c:v>99.981999999999999</c:v>
                </c:pt>
                <c:pt idx="11">
                  <c:v>82.100999999999999</c:v>
                </c:pt>
                <c:pt idx="12">
                  <c:v>82.88</c:v>
                </c:pt>
                <c:pt idx="13">
                  <c:v>85.512209724764745</c:v>
                </c:pt>
                <c:pt idx="14">
                  <c:v>101.23444679239593</c:v>
                </c:pt>
                <c:pt idx="15">
                  <c:v>107.00720373370351</c:v>
                </c:pt>
                <c:pt idx="16">
                  <c:v>112.40260444046147</c:v>
                </c:pt>
                <c:pt idx="17">
                  <c:v>114.03457631526054</c:v>
                </c:pt>
              </c:numCache>
            </c:numRef>
          </c:val>
          <c:smooth val="0"/>
          <c:extLst>
            <c:ext xmlns:c16="http://schemas.microsoft.com/office/drawing/2014/chart" uri="{C3380CC4-5D6E-409C-BE32-E72D297353CC}">
              <c16:uniqueId val="{0000000A-4241-4339-8471-22A1CBC26DF8}"/>
            </c:ext>
          </c:extLst>
        </c:ser>
        <c:ser>
          <c:idx val="1"/>
          <c:order val="1"/>
          <c:tx>
            <c:strRef>
              <c:f>'Figure 11'!$C$1</c:f>
              <c:strCache>
                <c:ptCount val="1"/>
                <c:pt idx="0">
                  <c:v>Holiday</c:v>
                </c:pt>
              </c:strCache>
            </c:strRef>
          </c:tx>
          <c:spPr>
            <a:ln w="28575" cap="rnd">
              <a:solidFill>
                <a:schemeClr val="accent2"/>
              </a:solidFill>
              <a:round/>
            </a:ln>
            <a:effectLst/>
          </c:spPr>
          <c:marker>
            <c:symbol val="none"/>
          </c:marker>
          <c:dPt>
            <c:idx val="13"/>
            <c:marker>
              <c:symbol val="none"/>
            </c:marker>
            <c:bubble3D val="0"/>
            <c:spPr>
              <a:ln w="28575" cap="rnd">
                <a:solidFill>
                  <a:schemeClr val="accent2">
                    <a:lumMod val="60000"/>
                    <a:lumOff val="40000"/>
                  </a:schemeClr>
                </a:solidFill>
                <a:prstDash val="dash"/>
                <a:round/>
              </a:ln>
              <a:effectLst/>
            </c:spPr>
            <c:extLst>
              <c:ext xmlns:c16="http://schemas.microsoft.com/office/drawing/2014/chart" uri="{C3380CC4-5D6E-409C-BE32-E72D297353CC}">
                <c16:uniqueId val="{0000000C-4241-4339-8471-22A1CBC26DF8}"/>
              </c:ext>
            </c:extLst>
          </c:dPt>
          <c:dPt>
            <c:idx val="14"/>
            <c:marker>
              <c:symbol val="none"/>
            </c:marker>
            <c:bubble3D val="0"/>
            <c:spPr>
              <a:ln w="28575" cap="rnd">
                <a:solidFill>
                  <a:schemeClr val="accent2">
                    <a:lumMod val="60000"/>
                    <a:lumOff val="40000"/>
                  </a:schemeClr>
                </a:solidFill>
                <a:prstDash val="dash"/>
                <a:round/>
              </a:ln>
              <a:effectLst/>
            </c:spPr>
            <c:extLst>
              <c:ext xmlns:c16="http://schemas.microsoft.com/office/drawing/2014/chart" uri="{C3380CC4-5D6E-409C-BE32-E72D297353CC}">
                <c16:uniqueId val="{0000000E-4241-4339-8471-22A1CBC26DF8}"/>
              </c:ext>
            </c:extLst>
          </c:dPt>
          <c:dPt>
            <c:idx val="15"/>
            <c:marker>
              <c:symbol val="none"/>
            </c:marker>
            <c:bubble3D val="0"/>
            <c:spPr>
              <a:ln w="28575" cap="rnd">
                <a:solidFill>
                  <a:schemeClr val="accent2">
                    <a:lumMod val="60000"/>
                    <a:lumOff val="40000"/>
                  </a:schemeClr>
                </a:solidFill>
                <a:prstDash val="dash"/>
                <a:round/>
              </a:ln>
              <a:effectLst/>
            </c:spPr>
            <c:extLst>
              <c:ext xmlns:c16="http://schemas.microsoft.com/office/drawing/2014/chart" uri="{C3380CC4-5D6E-409C-BE32-E72D297353CC}">
                <c16:uniqueId val="{00000010-4241-4339-8471-22A1CBC26DF8}"/>
              </c:ext>
            </c:extLst>
          </c:dPt>
          <c:dPt>
            <c:idx val="16"/>
            <c:marker>
              <c:symbol val="none"/>
            </c:marker>
            <c:bubble3D val="0"/>
            <c:spPr>
              <a:ln w="28575" cap="rnd">
                <a:solidFill>
                  <a:schemeClr val="accent2">
                    <a:lumMod val="60000"/>
                    <a:lumOff val="40000"/>
                  </a:schemeClr>
                </a:solidFill>
                <a:prstDash val="dash"/>
                <a:round/>
              </a:ln>
              <a:effectLst/>
            </c:spPr>
            <c:extLst>
              <c:ext xmlns:c16="http://schemas.microsoft.com/office/drawing/2014/chart" uri="{C3380CC4-5D6E-409C-BE32-E72D297353CC}">
                <c16:uniqueId val="{00000012-4241-4339-8471-22A1CBC26DF8}"/>
              </c:ext>
            </c:extLst>
          </c:dPt>
          <c:dPt>
            <c:idx val="17"/>
            <c:marker>
              <c:symbol val="none"/>
            </c:marker>
            <c:bubble3D val="0"/>
            <c:spPr>
              <a:ln w="28575" cap="rnd">
                <a:solidFill>
                  <a:schemeClr val="accent2">
                    <a:lumMod val="60000"/>
                    <a:lumOff val="40000"/>
                  </a:schemeClr>
                </a:solidFill>
                <a:prstDash val="dash"/>
                <a:round/>
              </a:ln>
              <a:effectLst/>
            </c:spPr>
            <c:extLst>
              <c:ext xmlns:c16="http://schemas.microsoft.com/office/drawing/2014/chart" uri="{C3380CC4-5D6E-409C-BE32-E72D297353CC}">
                <c16:uniqueId val="{00000014-4241-4339-8471-22A1CBC26DF8}"/>
              </c:ext>
            </c:extLst>
          </c:dPt>
          <c:cat>
            <c:strRef>
              <c:f>'Figure 11'!$A$2:$A$19</c:f>
              <c:strCache>
                <c:ptCount val="18"/>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pt idx="16">
                  <c:v>2024-25</c:v>
                </c:pt>
                <c:pt idx="17">
                  <c:v>2025-26</c:v>
                </c:pt>
              </c:strCache>
            </c:strRef>
          </c:cat>
          <c:val>
            <c:numRef>
              <c:f>'Figure 11'!$C$2:$C$19</c:f>
              <c:numCache>
                <c:formatCode>0.0</c:formatCode>
                <c:ptCount val="18"/>
                <c:pt idx="0">
                  <c:v>36.597000000000001</c:v>
                </c:pt>
                <c:pt idx="1">
                  <c:v>36.097999999999999</c:v>
                </c:pt>
                <c:pt idx="2">
                  <c:v>35.338999999999999</c:v>
                </c:pt>
                <c:pt idx="3">
                  <c:v>36.036000000000001</c:v>
                </c:pt>
                <c:pt idx="4">
                  <c:v>38.758000000000003</c:v>
                </c:pt>
                <c:pt idx="5">
                  <c:v>35.753</c:v>
                </c:pt>
                <c:pt idx="6">
                  <c:v>34.832999999999998</c:v>
                </c:pt>
                <c:pt idx="7">
                  <c:v>36.871000000000002</c:v>
                </c:pt>
                <c:pt idx="8">
                  <c:v>37.137999999999998</c:v>
                </c:pt>
                <c:pt idx="9">
                  <c:v>40.188000000000002</c:v>
                </c:pt>
                <c:pt idx="10">
                  <c:v>43.037999999999997</c:v>
                </c:pt>
                <c:pt idx="11">
                  <c:v>32.835999999999999</c:v>
                </c:pt>
                <c:pt idx="12">
                  <c:v>37.953000000000003</c:v>
                </c:pt>
                <c:pt idx="13">
                  <c:v>34.428627700440046</c:v>
                </c:pt>
                <c:pt idx="14">
                  <c:v>44.903168321797573</c:v>
                </c:pt>
                <c:pt idx="15">
                  <c:v>47.200598095387548</c:v>
                </c:pt>
                <c:pt idx="16">
                  <c:v>49.548925647672718</c:v>
                </c:pt>
                <c:pt idx="17">
                  <c:v>50.241781910002111</c:v>
                </c:pt>
              </c:numCache>
            </c:numRef>
          </c:val>
          <c:smooth val="0"/>
          <c:extLst>
            <c:ext xmlns:c16="http://schemas.microsoft.com/office/drawing/2014/chart" uri="{C3380CC4-5D6E-409C-BE32-E72D297353CC}">
              <c16:uniqueId val="{00000015-4241-4339-8471-22A1CBC26DF8}"/>
            </c:ext>
          </c:extLst>
        </c:ser>
        <c:ser>
          <c:idx val="2"/>
          <c:order val="2"/>
          <c:tx>
            <c:strRef>
              <c:f>'Figure 11'!$D$1</c:f>
              <c:strCache>
                <c:ptCount val="1"/>
                <c:pt idx="0">
                  <c:v>VFR</c:v>
                </c:pt>
              </c:strCache>
            </c:strRef>
          </c:tx>
          <c:spPr>
            <a:ln w="28575" cap="rnd">
              <a:solidFill>
                <a:schemeClr val="accent3"/>
              </a:solidFill>
              <a:round/>
            </a:ln>
            <a:effectLst/>
          </c:spPr>
          <c:marker>
            <c:symbol val="none"/>
          </c:marker>
          <c:dPt>
            <c:idx val="13"/>
            <c:marker>
              <c:symbol val="none"/>
            </c:marker>
            <c:bubble3D val="0"/>
            <c:spPr>
              <a:ln w="28575" cap="rnd">
                <a:solidFill>
                  <a:schemeClr val="accent3">
                    <a:lumMod val="60000"/>
                    <a:lumOff val="40000"/>
                  </a:schemeClr>
                </a:solidFill>
                <a:prstDash val="dash"/>
                <a:round/>
              </a:ln>
              <a:effectLst/>
            </c:spPr>
            <c:extLst>
              <c:ext xmlns:c16="http://schemas.microsoft.com/office/drawing/2014/chart" uri="{C3380CC4-5D6E-409C-BE32-E72D297353CC}">
                <c16:uniqueId val="{00000017-4241-4339-8471-22A1CBC26DF8}"/>
              </c:ext>
            </c:extLst>
          </c:dPt>
          <c:dPt>
            <c:idx val="14"/>
            <c:marker>
              <c:symbol val="none"/>
            </c:marker>
            <c:bubble3D val="0"/>
            <c:spPr>
              <a:ln w="28575" cap="rnd">
                <a:solidFill>
                  <a:schemeClr val="accent3">
                    <a:lumMod val="60000"/>
                    <a:lumOff val="40000"/>
                  </a:schemeClr>
                </a:solidFill>
                <a:prstDash val="dash"/>
                <a:round/>
              </a:ln>
              <a:effectLst/>
            </c:spPr>
            <c:extLst>
              <c:ext xmlns:c16="http://schemas.microsoft.com/office/drawing/2014/chart" uri="{C3380CC4-5D6E-409C-BE32-E72D297353CC}">
                <c16:uniqueId val="{00000019-4241-4339-8471-22A1CBC26DF8}"/>
              </c:ext>
            </c:extLst>
          </c:dPt>
          <c:dPt>
            <c:idx val="15"/>
            <c:marker>
              <c:symbol val="none"/>
            </c:marker>
            <c:bubble3D val="0"/>
            <c:spPr>
              <a:ln w="28575" cap="rnd">
                <a:solidFill>
                  <a:schemeClr val="accent3">
                    <a:lumMod val="60000"/>
                    <a:lumOff val="40000"/>
                  </a:schemeClr>
                </a:solidFill>
                <a:prstDash val="dash"/>
                <a:round/>
              </a:ln>
              <a:effectLst/>
            </c:spPr>
            <c:extLst>
              <c:ext xmlns:c16="http://schemas.microsoft.com/office/drawing/2014/chart" uri="{C3380CC4-5D6E-409C-BE32-E72D297353CC}">
                <c16:uniqueId val="{0000001B-4241-4339-8471-22A1CBC26DF8}"/>
              </c:ext>
            </c:extLst>
          </c:dPt>
          <c:dPt>
            <c:idx val="16"/>
            <c:marker>
              <c:symbol val="none"/>
            </c:marker>
            <c:bubble3D val="0"/>
            <c:spPr>
              <a:ln w="28575" cap="rnd">
                <a:solidFill>
                  <a:schemeClr val="accent3">
                    <a:lumMod val="60000"/>
                    <a:lumOff val="40000"/>
                  </a:schemeClr>
                </a:solidFill>
                <a:prstDash val="dash"/>
                <a:round/>
              </a:ln>
              <a:effectLst/>
            </c:spPr>
            <c:extLst>
              <c:ext xmlns:c16="http://schemas.microsoft.com/office/drawing/2014/chart" uri="{C3380CC4-5D6E-409C-BE32-E72D297353CC}">
                <c16:uniqueId val="{0000001D-4241-4339-8471-22A1CBC26DF8}"/>
              </c:ext>
            </c:extLst>
          </c:dPt>
          <c:dPt>
            <c:idx val="17"/>
            <c:marker>
              <c:symbol val="none"/>
            </c:marker>
            <c:bubble3D val="0"/>
            <c:spPr>
              <a:ln w="28575" cap="rnd">
                <a:solidFill>
                  <a:schemeClr val="accent3">
                    <a:lumMod val="60000"/>
                    <a:lumOff val="40000"/>
                  </a:schemeClr>
                </a:solidFill>
                <a:prstDash val="dash"/>
                <a:round/>
              </a:ln>
              <a:effectLst/>
            </c:spPr>
            <c:extLst>
              <c:ext xmlns:c16="http://schemas.microsoft.com/office/drawing/2014/chart" uri="{C3380CC4-5D6E-409C-BE32-E72D297353CC}">
                <c16:uniqueId val="{0000001F-4241-4339-8471-22A1CBC26DF8}"/>
              </c:ext>
            </c:extLst>
          </c:dPt>
          <c:cat>
            <c:strRef>
              <c:f>'Figure 11'!$A$2:$A$19</c:f>
              <c:strCache>
                <c:ptCount val="18"/>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pt idx="16">
                  <c:v>2024-25</c:v>
                </c:pt>
                <c:pt idx="17">
                  <c:v>2025-26</c:v>
                </c:pt>
              </c:strCache>
            </c:strRef>
          </c:cat>
          <c:val>
            <c:numRef>
              <c:f>'Figure 11'!$D$2:$D$19</c:f>
              <c:numCache>
                <c:formatCode>0.0</c:formatCode>
                <c:ptCount val="18"/>
                <c:pt idx="0">
                  <c:v>20.591000000000001</c:v>
                </c:pt>
                <c:pt idx="1">
                  <c:v>22.001000000000001</c:v>
                </c:pt>
                <c:pt idx="2">
                  <c:v>20.047999999999998</c:v>
                </c:pt>
                <c:pt idx="3">
                  <c:v>23.326000000000001</c:v>
                </c:pt>
                <c:pt idx="4">
                  <c:v>22.452000000000002</c:v>
                </c:pt>
                <c:pt idx="5">
                  <c:v>23.268000000000001</c:v>
                </c:pt>
                <c:pt idx="6">
                  <c:v>24.068000000000001</c:v>
                </c:pt>
                <c:pt idx="7">
                  <c:v>23.103999999999999</c:v>
                </c:pt>
                <c:pt idx="8">
                  <c:v>25.673999999999999</c:v>
                </c:pt>
                <c:pt idx="9">
                  <c:v>25.021999999999998</c:v>
                </c:pt>
                <c:pt idx="10">
                  <c:v>28.623999999999999</c:v>
                </c:pt>
                <c:pt idx="11">
                  <c:v>25.134</c:v>
                </c:pt>
                <c:pt idx="12">
                  <c:v>24.13</c:v>
                </c:pt>
                <c:pt idx="13">
                  <c:v>27.548334323657166</c:v>
                </c:pt>
                <c:pt idx="14">
                  <c:v>30.344065603661942</c:v>
                </c:pt>
                <c:pt idx="15">
                  <c:v>31.847857435393678</c:v>
                </c:pt>
                <c:pt idx="16">
                  <c:v>33.478511815142355</c:v>
                </c:pt>
                <c:pt idx="17">
                  <c:v>33.972589605280881</c:v>
                </c:pt>
              </c:numCache>
            </c:numRef>
          </c:val>
          <c:smooth val="0"/>
          <c:extLst>
            <c:ext xmlns:c16="http://schemas.microsoft.com/office/drawing/2014/chart" uri="{C3380CC4-5D6E-409C-BE32-E72D297353CC}">
              <c16:uniqueId val="{00000020-4241-4339-8471-22A1CBC26DF8}"/>
            </c:ext>
          </c:extLst>
        </c:ser>
        <c:ser>
          <c:idx val="3"/>
          <c:order val="3"/>
          <c:tx>
            <c:strRef>
              <c:f>'Figure 11'!$E$1</c:f>
              <c:strCache>
                <c:ptCount val="1"/>
                <c:pt idx="0">
                  <c:v>Business</c:v>
                </c:pt>
              </c:strCache>
            </c:strRef>
          </c:tx>
          <c:spPr>
            <a:ln w="28575" cap="rnd">
              <a:solidFill>
                <a:schemeClr val="accent4"/>
              </a:solidFill>
              <a:round/>
            </a:ln>
            <a:effectLst/>
          </c:spPr>
          <c:marker>
            <c:symbol val="none"/>
          </c:marker>
          <c:dPt>
            <c:idx val="13"/>
            <c:marker>
              <c:symbol val="none"/>
            </c:marker>
            <c:bubble3D val="0"/>
            <c:spPr>
              <a:ln w="28575" cap="rnd">
                <a:solidFill>
                  <a:schemeClr val="accent4">
                    <a:lumMod val="60000"/>
                    <a:lumOff val="40000"/>
                  </a:schemeClr>
                </a:solidFill>
                <a:prstDash val="dash"/>
                <a:round/>
              </a:ln>
              <a:effectLst/>
            </c:spPr>
            <c:extLst>
              <c:ext xmlns:c16="http://schemas.microsoft.com/office/drawing/2014/chart" uri="{C3380CC4-5D6E-409C-BE32-E72D297353CC}">
                <c16:uniqueId val="{00000022-4241-4339-8471-22A1CBC26DF8}"/>
              </c:ext>
            </c:extLst>
          </c:dPt>
          <c:dPt>
            <c:idx val="14"/>
            <c:marker>
              <c:symbol val="none"/>
            </c:marker>
            <c:bubble3D val="0"/>
            <c:spPr>
              <a:ln w="28575" cap="rnd">
                <a:solidFill>
                  <a:schemeClr val="accent4">
                    <a:lumMod val="60000"/>
                    <a:lumOff val="40000"/>
                  </a:schemeClr>
                </a:solidFill>
                <a:prstDash val="dash"/>
                <a:round/>
              </a:ln>
              <a:effectLst/>
            </c:spPr>
            <c:extLst>
              <c:ext xmlns:c16="http://schemas.microsoft.com/office/drawing/2014/chart" uri="{C3380CC4-5D6E-409C-BE32-E72D297353CC}">
                <c16:uniqueId val="{00000024-4241-4339-8471-22A1CBC26DF8}"/>
              </c:ext>
            </c:extLst>
          </c:dPt>
          <c:dPt>
            <c:idx val="15"/>
            <c:marker>
              <c:symbol val="none"/>
            </c:marker>
            <c:bubble3D val="0"/>
            <c:spPr>
              <a:ln w="28575" cap="rnd">
                <a:solidFill>
                  <a:schemeClr val="accent4">
                    <a:lumMod val="60000"/>
                    <a:lumOff val="40000"/>
                  </a:schemeClr>
                </a:solidFill>
                <a:prstDash val="dash"/>
                <a:round/>
              </a:ln>
              <a:effectLst/>
            </c:spPr>
            <c:extLst>
              <c:ext xmlns:c16="http://schemas.microsoft.com/office/drawing/2014/chart" uri="{C3380CC4-5D6E-409C-BE32-E72D297353CC}">
                <c16:uniqueId val="{00000026-4241-4339-8471-22A1CBC26DF8}"/>
              </c:ext>
            </c:extLst>
          </c:dPt>
          <c:dPt>
            <c:idx val="16"/>
            <c:marker>
              <c:symbol val="none"/>
            </c:marker>
            <c:bubble3D val="0"/>
            <c:spPr>
              <a:ln w="28575" cap="rnd">
                <a:solidFill>
                  <a:schemeClr val="accent4">
                    <a:lumMod val="60000"/>
                    <a:lumOff val="40000"/>
                  </a:schemeClr>
                </a:solidFill>
                <a:prstDash val="dash"/>
                <a:round/>
              </a:ln>
              <a:effectLst/>
            </c:spPr>
            <c:extLst>
              <c:ext xmlns:c16="http://schemas.microsoft.com/office/drawing/2014/chart" uri="{C3380CC4-5D6E-409C-BE32-E72D297353CC}">
                <c16:uniqueId val="{00000028-4241-4339-8471-22A1CBC26DF8}"/>
              </c:ext>
            </c:extLst>
          </c:dPt>
          <c:dPt>
            <c:idx val="17"/>
            <c:marker>
              <c:symbol val="none"/>
            </c:marker>
            <c:bubble3D val="0"/>
            <c:spPr>
              <a:ln w="28575" cap="rnd">
                <a:solidFill>
                  <a:schemeClr val="accent4">
                    <a:lumMod val="60000"/>
                    <a:lumOff val="40000"/>
                  </a:schemeClr>
                </a:solidFill>
                <a:prstDash val="dash"/>
                <a:round/>
              </a:ln>
              <a:effectLst/>
            </c:spPr>
            <c:extLst>
              <c:ext xmlns:c16="http://schemas.microsoft.com/office/drawing/2014/chart" uri="{C3380CC4-5D6E-409C-BE32-E72D297353CC}">
                <c16:uniqueId val="{0000002A-4241-4339-8471-22A1CBC26DF8}"/>
              </c:ext>
            </c:extLst>
          </c:dPt>
          <c:cat>
            <c:strRef>
              <c:f>'Figure 11'!$A$2:$A$19</c:f>
              <c:strCache>
                <c:ptCount val="18"/>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pt idx="16">
                  <c:v>2024-25</c:v>
                </c:pt>
                <c:pt idx="17">
                  <c:v>2025-26</c:v>
                </c:pt>
              </c:strCache>
            </c:strRef>
          </c:cat>
          <c:val>
            <c:numRef>
              <c:f>'Figure 11'!$E$2:$E$19</c:f>
              <c:numCache>
                <c:formatCode>0.0</c:formatCode>
                <c:ptCount val="18"/>
                <c:pt idx="0">
                  <c:v>9.2249999999999996</c:v>
                </c:pt>
                <c:pt idx="1">
                  <c:v>10.567</c:v>
                </c:pt>
                <c:pt idx="2">
                  <c:v>10.846</c:v>
                </c:pt>
                <c:pt idx="3">
                  <c:v>11.763999999999999</c:v>
                </c:pt>
                <c:pt idx="4">
                  <c:v>10.939</c:v>
                </c:pt>
                <c:pt idx="5">
                  <c:v>11.843999999999999</c:v>
                </c:pt>
                <c:pt idx="6">
                  <c:v>15.156000000000001</c:v>
                </c:pt>
                <c:pt idx="7">
                  <c:v>14.8</c:v>
                </c:pt>
                <c:pt idx="8">
                  <c:v>15.132</c:v>
                </c:pt>
                <c:pt idx="9">
                  <c:v>19.768000000000001</c:v>
                </c:pt>
                <c:pt idx="10">
                  <c:v>21.931999999999999</c:v>
                </c:pt>
                <c:pt idx="11">
                  <c:v>18.548999999999999</c:v>
                </c:pt>
                <c:pt idx="12">
                  <c:v>15.275</c:v>
                </c:pt>
                <c:pt idx="13">
                  <c:v>18.178703198667218</c:v>
                </c:pt>
                <c:pt idx="14">
                  <c:v>20.250062701724254</c:v>
                </c:pt>
                <c:pt idx="15">
                  <c:v>22.111479425975311</c:v>
                </c:pt>
                <c:pt idx="16">
                  <c:v>23.349762176223759</c:v>
                </c:pt>
                <c:pt idx="17">
                  <c:v>23.666721619374993</c:v>
                </c:pt>
              </c:numCache>
            </c:numRef>
          </c:val>
          <c:smooth val="0"/>
          <c:extLst>
            <c:ext xmlns:c16="http://schemas.microsoft.com/office/drawing/2014/chart" uri="{C3380CC4-5D6E-409C-BE32-E72D297353CC}">
              <c16:uniqueId val="{0000002B-4241-4339-8471-22A1CBC26DF8}"/>
            </c:ext>
          </c:extLst>
        </c:ser>
        <c:ser>
          <c:idx val="4"/>
          <c:order val="4"/>
          <c:tx>
            <c:strRef>
              <c:f>'Figure 11'!$F$1</c:f>
              <c:strCache>
                <c:ptCount val="1"/>
                <c:pt idx="0">
                  <c:v>Other</c:v>
                </c:pt>
              </c:strCache>
            </c:strRef>
          </c:tx>
          <c:spPr>
            <a:ln w="28575" cap="rnd">
              <a:solidFill>
                <a:schemeClr val="accent5"/>
              </a:solidFill>
              <a:round/>
            </a:ln>
            <a:effectLst/>
          </c:spPr>
          <c:marker>
            <c:symbol val="none"/>
          </c:marker>
          <c:dPt>
            <c:idx val="13"/>
            <c:marker>
              <c:symbol val="none"/>
            </c:marker>
            <c:bubble3D val="0"/>
            <c:spPr>
              <a:ln w="28575" cap="rnd">
                <a:solidFill>
                  <a:schemeClr val="accent5">
                    <a:lumMod val="60000"/>
                    <a:lumOff val="40000"/>
                  </a:schemeClr>
                </a:solidFill>
                <a:prstDash val="dash"/>
                <a:round/>
              </a:ln>
              <a:effectLst/>
            </c:spPr>
            <c:extLst>
              <c:ext xmlns:c16="http://schemas.microsoft.com/office/drawing/2014/chart" uri="{C3380CC4-5D6E-409C-BE32-E72D297353CC}">
                <c16:uniqueId val="{0000002D-4241-4339-8471-22A1CBC26DF8}"/>
              </c:ext>
            </c:extLst>
          </c:dPt>
          <c:dPt>
            <c:idx val="14"/>
            <c:marker>
              <c:symbol val="none"/>
            </c:marker>
            <c:bubble3D val="0"/>
            <c:spPr>
              <a:ln w="28575" cap="rnd">
                <a:solidFill>
                  <a:schemeClr val="accent5">
                    <a:lumMod val="60000"/>
                    <a:lumOff val="40000"/>
                  </a:schemeClr>
                </a:solidFill>
                <a:prstDash val="dash"/>
                <a:round/>
              </a:ln>
              <a:effectLst/>
            </c:spPr>
            <c:extLst>
              <c:ext xmlns:c16="http://schemas.microsoft.com/office/drawing/2014/chart" uri="{C3380CC4-5D6E-409C-BE32-E72D297353CC}">
                <c16:uniqueId val="{0000002F-4241-4339-8471-22A1CBC26DF8}"/>
              </c:ext>
            </c:extLst>
          </c:dPt>
          <c:dPt>
            <c:idx val="15"/>
            <c:marker>
              <c:symbol val="none"/>
            </c:marker>
            <c:bubble3D val="0"/>
            <c:spPr>
              <a:ln w="28575" cap="rnd">
                <a:solidFill>
                  <a:schemeClr val="accent5">
                    <a:lumMod val="60000"/>
                    <a:lumOff val="40000"/>
                  </a:schemeClr>
                </a:solidFill>
                <a:prstDash val="dash"/>
                <a:round/>
              </a:ln>
              <a:effectLst/>
            </c:spPr>
            <c:extLst>
              <c:ext xmlns:c16="http://schemas.microsoft.com/office/drawing/2014/chart" uri="{C3380CC4-5D6E-409C-BE32-E72D297353CC}">
                <c16:uniqueId val="{00000031-4241-4339-8471-22A1CBC26DF8}"/>
              </c:ext>
            </c:extLst>
          </c:dPt>
          <c:dPt>
            <c:idx val="16"/>
            <c:marker>
              <c:symbol val="none"/>
            </c:marker>
            <c:bubble3D val="0"/>
            <c:spPr>
              <a:ln w="28575" cap="rnd">
                <a:solidFill>
                  <a:schemeClr val="accent5">
                    <a:lumMod val="60000"/>
                    <a:lumOff val="40000"/>
                  </a:schemeClr>
                </a:solidFill>
                <a:prstDash val="dash"/>
                <a:round/>
              </a:ln>
              <a:effectLst/>
            </c:spPr>
            <c:extLst>
              <c:ext xmlns:c16="http://schemas.microsoft.com/office/drawing/2014/chart" uri="{C3380CC4-5D6E-409C-BE32-E72D297353CC}">
                <c16:uniqueId val="{00000033-4241-4339-8471-22A1CBC26DF8}"/>
              </c:ext>
            </c:extLst>
          </c:dPt>
          <c:dPt>
            <c:idx val="17"/>
            <c:marker>
              <c:symbol val="none"/>
            </c:marker>
            <c:bubble3D val="0"/>
            <c:spPr>
              <a:ln w="28575" cap="rnd">
                <a:solidFill>
                  <a:schemeClr val="accent5">
                    <a:lumMod val="60000"/>
                    <a:lumOff val="40000"/>
                  </a:schemeClr>
                </a:solidFill>
                <a:prstDash val="dash"/>
                <a:round/>
              </a:ln>
              <a:effectLst/>
            </c:spPr>
            <c:extLst>
              <c:ext xmlns:c16="http://schemas.microsoft.com/office/drawing/2014/chart" uri="{C3380CC4-5D6E-409C-BE32-E72D297353CC}">
                <c16:uniqueId val="{00000035-4241-4339-8471-22A1CBC26DF8}"/>
              </c:ext>
            </c:extLst>
          </c:dPt>
          <c:cat>
            <c:strRef>
              <c:f>'Figure 11'!$A$2:$A$19</c:f>
              <c:strCache>
                <c:ptCount val="18"/>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pt idx="16">
                  <c:v>2024-25</c:v>
                </c:pt>
                <c:pt idx="17">
                  <c:v>2025-26</c:v>
                </c:pt>
              </c:strCache>
            </c:strRef>
          </c:cat>
          <c:val>
            <c:numRef>
              <c:f>'Figure 11'!$F$2:$F$19</c:f>
              <c:numCache>
                <c:formatCode>0.0</c:formatCode>
                <c:ptCount val="18"/>
                <c:pt idx="0">
                  <c:v>2.6819999999999999</c:v>
                </c:pt>
                <c:pt idx="1">
                  <c:v>2.9630000000000001</c:v>
                </c:pt>
                <c:pt idx="2">
                  <c:v>3.23</c:v>
                </c:pt>
                <c:pt idx="3">
                  <c:v>3.7989999999999999</c:v>
                </c:pt>
                <c:pt idx="4">
                  <c:v>2.8559999999999999</c:v>
                </c:pt>
                <c:pt idx="5">
                  <c:v>3.3149999999999999</c:v>
                </c:pt>
                <c:pt idx="6">
                  <c:v>3.4729999999999999</c:v>
                </c:pt>
                <c:pt idx="7">
                  <c:v>3.5990000000000002</c:v>
                </c:pt>
                <c:pt idx="8">
                  <c:v>4.4189999999999996</c:v>
                </c:pt>
                <c:pt idx="9">
                  <c:v>4.702</c:v>
                </c:pt>
                <c:pt idx="10">
                  <c:v>5.9290000000000003</c:v>
                </c:pt>
                <c:pt idx="11">
                  <c:v>4.9640000000000004</c:v>
                </c:pt>
                <c:pt idx="12">
                  <c:v>4.9000000000000004</c:v>
                </c:pt>
                <c:pt idx="13">
                  <c:v>4.7565445020003105</c:v>
                </c:pt>
                <c:pt idx="14">
                  <c:v>5.0371501652121653</c:v>
                </c:pt>
                <c:pt idx="15">
                  <c:v>5.097268776946958</c:v>
                </c:pt>
                <c:pt idx="16">
                  <c:v>5.2254048014226555</c:v>
                </c:pt>
                <c:pt idx="17">
                  <c:v>5.3034831806025613</c:v>
                </c:pt>
              </c:numCache>
            </c:numRef>
          </c:val>
          <c:smooth val="0"/>
          <c:extLst>
            <c:ext xmlns:c16="http://schemas.microsoft.com/office/drawing/2014/chart" uri="{C3380CC4-5D6E-409C-BE32-E72D297353CC}">
              <c16:uniqueId val="{00000036-4241-4339-8471-22A1CBC26DF8}"/>
            </c:ext>
          </c:extLst>
        </c:ser>
        <c:dLbls>
          <c:showLegendKey val="0"/>
          <c:showVal val="0"/>
          <c:showCatName val="0"/>
          <c:showSerName val="0"/>
          <c:showPercent val="0"/>
          <c:showBubbleSize val="0"/>
        </c:dLbls>
        <c:smooth val="0"/>
        <c:axId val="1296576927"/>
        <c:axId val="1296588991"/>
      </c:lineChart>
      <c:catAx>
        <c:axId val="12965769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96588991"/>
        <c:crosses val="autoZero"/>
        <c:auto val="1"/>
        <c:lblAlgn val="ctr"/>
        <c:lblOffset val="100"/>
        <c:noMultiLvlLbl val="0"/>
      </c:catAx>
      <c:valAx>
        <c:axId val="129658899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96576927"/>
        <c:crosses val="autoZero"/>
        <c:crossBetween val="between"/>
        <c:majorUnit val="25"/>
      </c:valAx>
      <c:spPr>
        <a:noFill/>
        <a:ln>
          <a:noFill/>
        </a:ln>
        <a:effectLst/>
      </c:spPr>
    </c:plotArea>
    <c:legend>
      <c:legendPos val="b"/>
      <c:layout>
        <c:manualLayout>
          <c:xMode val="edge"/>
          <c:yMode val="edge"/>
          <c:x val="0.12551290463692039"/>
          <c:y val="3.037092409607188E-2"/>
          <c:w val="0.8186187664041995"/>
          <c:h val="8.3427512737378418E-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091426071741035"/>
          <c:y val="0.15415533569707729"/>
          <c:w val="0.84853018372703415"/>
          <c:h val="0.62831061561807044"/>
        </c:manualLayout>
      </c:layout>
      <c:lineChart>
        <c:grouping val="standard"/>
        <c:varyColors val="0"/>
        <c:ser>
          <c:idx val="0"/>
          <c:order val="0"/>
          <c:tx>
            <c:strRef>
              <c:f>'Figure 12'!$B$1</c:f>
              <c:strCache>
                <c:ptCount val="1"/>
                <c:pt idx="0">
                  <c:v>Total</c:v>
                </c:pt>
              </c:strCache>
            </c:strRef>
          </c:tx>
          <c:spPr>
            <a:ln w="28575" cap="rnd">
              <a:solidFill>
                <a:schemeClr val="accent1"/>
              </a:solidFill>
              <a:round/>
            </a:ln>
            <a:effectLst/>
          </c:spPr>
          <c:marker>
            <c:symbol val="none"/>
          </c:marker>
          <c:dPt>
            <c:idx val="13"/>
            <c:marker>
              <c:symbol val="none"/>
            </c:marker>
            <c:bubble3D val="0"/>
            <c:spPr>
              <a:ln w="28575" cap="rnd">
                <a:solidFill>
                  <a:schemeClr val="accent1">
                    <a:lumMod val="60000"/>
                    <a:lumOff val="40000"/>
                  </a:schemeClr>
                </a:solidFill>
                <a:prstDash val="dash"/>
                <a:round/>
              </a:ln>
              <a:effectLst/>
            </c:spPr>
            <c:extLst>
              <c:ext xmlns:c16="http://schemas.microsoft.com/office/drawing/2014/chart" uri="{C3380CC4-5D6E-409C-BE32-E72D297353CC}">
                <c16:uniqueId val="{00000001-6087-4B49-9E02-FEB8EED5F2DC}"/>
              </c:ext>
            </c:extLst>
          </c:dPt>
          <c:dPt>
            <c:idx val="14"/>
            <c:marker>
              <c:symbol val="none"/>
            </c:marker>
            <c:bubble3D val="0"/>
            <c:spPr>
              <a:ln w="28575" cap="rnd">
                <a:solidFill>
                  <a:schemeClr val="accent1">
                    <a:lumMod val="60000"/>
                    <a:lumOff val="40000"/>
                  </a:schemeClr>
                </a:solidFill>
                <a:prstDash val="dash"/>
                <a:round/>
              </a:ln>
              <a:effectLst/>
            </c:spPr>
            <c:extLst>
              <c:ext xmlns:c16="http://schemas.microsoft.com/office/drawing/2014/chart" uri="{C3380CC4-5D6E-409C-BE32-E72D297353CC}">
                <c16:uniqueId val="{00000003-6087-4B49-9E02-FEB8EED5F2DC}"/>
              </c:ext>
            </c:extLst>
          </c:dPt>
          <c:dPt>
            <c:idx val="15"/>
            <c:marker>
              <c:symbol val="none"/>
            </c:marker>
            <c:bubble3D val="0"/>
            <c:spPr>
              <a:ln w="28575" cap="rnd">
                <a:solidFill>
                  <a:schemeClr val="accent1">
                    <a:lumMod val="60000"/>
                    <a:lumOff val="40000"/>
                  </a:schemeClr>
                </a:solidFill>
                <a:prstDash val="dash"/>
                <a:round/>
              </a:ln>
              <a:effectLst/>
            </c:spPr>
            <c:extLst>
              <c:ext xmlns:c16="http://schemas.microsoft.com/office/drawing/2014/chart" uri="{C3380CC4-5D6E-409C-BE32-E72D297353CC}">
                <c16:uniqueId val="{00000005-6087-4B49-9E02-FEB8EED5F2DC}"/>
              </c:ext>
            </c:extLst>
          </c:dPt>
          <c:dPt>
            <c:idx val="16"/>
            <c:marker>
              <c:symbol val="none"/>
            </c:marker>
            <c:bubble3D val="0"/>
            <c:spPr>
              <a:ln w="28575" cap="rnd">
                <a:solidFill>
                  <a:schemeClr val="accent1">
                    <a:lumMod val="60000"/>
                    <a:lumOff val="40000"/>
                  </a:schemeClr>
                </a:solidFill>
                <a:prstDash val="dash"/>
                <a:round/>
              </a:ln>
              <a:effectLst/>
            </c:spPr>
            <c:extLst>
              <c:ext xmlns:c16="http://schemas.microsoft.com/office/drawing/2014/chart" uri="{C3380CC4-5D6E-409C-BE32-E72D297353CC}">
                <c16:uniqueId val="{00000007-6087-4B49-9E02-FEB8EED5F2DC}"/>
              </c:ext>
            </c:extLst>
          </c:dPt>
          <c:dPt>
            <c:idx val="17"/>
            <c:marker>
              <c:symbol val="none"/>
            </c:marker>
            <c:bubble3D val="0"/>
            <c:spPr>
              <a:ln w="28575" cap="rnd">
                <a:solidFill>
                  <a:schemeClr val="accent1">
                    <a:lumMod val="60000"/>
                    <a:lumOff val="40000"/>
                  </a:schemeClr>
                </a:solidFill>
                <a:prstDash val="dash"/>
                <a:round/>
              </a:ln>
              <a:effectLst/>
            </c:spPr>
            <c:extLst>
              <c:ext xmlns:c16="http://schemas.microsoft.com/office/drawing/2014/chart" uri="{C3380CC4-5D6E-409C-BE32-E72D297353CC}">
                <c16:uniqueId val="{00000009-6087-4B49-9E02-FEB8EED5F2DC}"/>
              </c:ext>
            </c:extLst>
          </c:dPt>
          <c:cat>
            <c:strRef>
              <c:f>'Figure 12'!$A$2:$A$19</c:f>
              <c:strCache>
                <c:ptCount val="18"/>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pt idx="16">
                  <c:v>2024-25</c:v>
                </c:pt>
                <c:pt idx="17">
                  <c:v>2025-26</c:v>
                </c:pt>
              </c:strCache>
            </c:strRef>
          </c:cat>
          <c:val>
            <c:numRef>
              <c:f>'Figure 12'!$B$2:$B$19</c:f>
              <c:numCache>
                <c:formatCode>0.0</c:formatCode>
                <c:ptCount val="18"/>
                <c:pt idx="0">
                  <c:v>18.451000000000001</c:v>
                </c:pt>
                <c:pt idx="1">
                  <c:v>18.523</c:v>
                </c:pt>
                <c:pt idx="2">
                  <c:v>18.53</c:v>
                </c:pt>
                <c:pt idx="3">
                  <c:v>18.826000000000001</c:v>
                </c:pt>
                <c:pt idx="4">
                  <c:v>18.962</c:v>
                </c:pt>
                <c:pt idx="5">
                  <c:v>19.66</c:v>
                </c:pt>
                <c:pt idx="6">
                  <c:v>20.495000000000001</c:v>
                </c:pt>
                <c:pt idx="7">
                  <c:v>21.686</c:v>
                </c:pt>
                <c:pt idx="8">
                  <c:v>21.545999999999999</c:v>
                </c:pt>
                <c:pt idx="9">
                  <c:v>24.158999999999999</c:v>
                </c:pt>
                <c:pt idx="10">
                  <c:v>26.731999999999999</c:v>
                </c:pt>
                <c:pt idx="11">
                  <c:v>22.535</c:v>
                </c:pt>
                <c:pt idx="12">
                  <c:v>24.172999999999998</c:v>
                </c:pt>
                <c:pt idx="13">
                  <c:v>25.656167802954172</c:v>
                </c:pt>
                <c:pt idx="14">
                  <c:v>28.229718383926823</c:v>
                </c:pt>
                <c:pt idx="15">
                  <c:v>28.605084063250239</c:v>
                </c:pt>
                <c:pt idx="16">
                  <c:v>29.569057143860533</c:v>
                </c:pt>
                <c:pt idx="17">
                  <c:v>29.985822292918613</c:v>
                </c:pt>
              </c:numCache>
            </c:numRef>
          </c:val>
          <c:smooth val="0"/>
          <c:extLst>
            <c:ext xmlns:c16="http://schemas.microsoft.com/office/drawing/2014/chart" uri="{C3380CC4-5D6E-409C-BE32-E72D297353CC}">
              <c16:uniqueId val="{0000000A-6087-4B49-9E02-FEB8EED5F2DC}"/>
            </c:ext>
          </c:extLst>
        </c:ser>
        <c:ser>
          <c:idx val="1"/>
          <c:order val="1"/>
          <c:tx>
            <c:strRef>
              <c:f>'Figure 12'!$C$1</c:f>
              <c:strCache>
                <c:ptCount val="1"/>
                <c:pt idx="0">
                  <c:v>Holiday</c:v>
                </c:pt>
              </c:strCache>
            </c:strRef>
          </c:tx>
          <c:spPr>
            <a:ln w="28575" cap="rnd">
              <a:solidFill>
                <a:schemeClr val="accent2"/>
              </a:solidFill>
              <a:round/>
            </a:ln>
            <a:effectLst/>
          </c:spPr>
          <c:marker>
            <c:symbol val="none"/>
          </c:marker>
          <c:dPt>
            <c:idx val="13"/>
            <c:marker>
              <c:symbol val="none"/>
            </c:marker>
            <c:bubble3D val="0"/>
            <c:spPr>
              <a:ln w="28575" cap="rnd">
                <a:solidFill>
                  <a:schemeClr val="accent2">
                    <a:lumMod val="60000"/>
                    <a:lumOff val="40000"/>
                  </a:schemeClr>
                </a:solidFill>
                <a:prstDash val="dash"/>
                <a:round/>
              </a:ln>
              <a:effectLst/>
            </c:spPr>
            <c:extLst>
              <c:ext xmlns:c16="http://schemas.microsoft.com/office/drawing/2014/chart" uri="{C3380CC4-5D6E-409C-BE32-E72D297353CC}">
                <c16:uniqueId val="{0000000C-6087-4B49-9E02-FEB8EED5F2DC}"/>
              </c:ext>
            </c:extLst>
          </c:dPt>
          <c:dPt>
            <c:idx val="14"/>
            <c:marker>
              <c:symbol val="none"/>
            </c:marker>
            <c:bubble3D val="0"/>
            <c:spPr>
              <a:ln w="28575" cap="rnd">
                <a:solidFill>
                  <a:schemeClr val="accent2">
                    <a:lumMod val="60000"/>
                    <a:lumOff val="40000"/>
                  </a:schemeClr>
                </a:solidFill>
                <a:prstDash val="dash"/>
                <a:round/>
              </a:ln>
              <a:effectLst/>
            </c:spPr>
            <c:extLst>
              <c:ext xmlns:c16="http://schemas.microsoft.com/office/drawing/2014/chart" uri="{C3380CC4-5D6E-409C-BE32-E72D297353CC}">
                <c16:uniqueId val="{0000000E-6087-4B49-9E02-FEB8EED5F2DC}"/>
              </c:ext>
            </c:extLst>
          </c:dPt>
          <c:dPt>
            <c:idx val="15"/>
            <c:marker>
              <c:symbol val="none"/>
            </c:marker>
            <c:bubble3D val="0"/>
            <c:spPr>
              <a:ln w="28575" cap="rnd">
                <a:solidFill>
                  <a:schemeClr val="accent2">
                    <a:lumMod val="60000"/>
                    <a:lumOff val="40000"/>
                  </a:schemeClr>
                </a:solidFill>
                <a:prstDash val="dash"/>
                <a:round/>
              </a:ln>
              <a:effectLst/>
            </c:spPr>
            <c:extLst>
              <c:ext xmlns:c16="http://schemas.microsoft.com/office/drawing/2014/chart" uri="{C3380CC4-5D6E-409C-BE32-E72D297353CC}">
                <c16:uniqueId val="{00000010-6087-4B49-9E02-FEB8EED5F2DC}"/>
              </c:ext>
            </c:extLst>
          </c:dPt>
          <c:dPt>
            <c:idx val="16"/>
            <c:marker>
              <c:symbol val="none"/>
            </c:marker>
            <c:bubble3D val="0"/>
            <c:spPr>
              <a:ln w="28575" cap="rnd">
                <a:solidFill>
                  <a:schemeClr val="accent2">
                    <a:lumMod val="60000"/>
                    <a:lumOff val="40000"/>
                  </a:schemeClr>
                </a:solidFill>
                <a:prstDash val="dash"/>
                <a:round/>
              </a:ln>
              <a:effectLst/>
            </c:spPr>
            <c:extLst>
              <c:ext xmlns:c16="http://schemas.microsoft.com/office/drawing/2014/chart" uri="{C3380CC4-5D6E-409C-BE32-E72D297353CC}">
                <c16:uniqueId val="{00000012-6087-4B49-9E02-FEB8EED5F2DC}"/>
              </c:ext>
            </c:extLst>
          </c:dPt>
          <c:dPt>
            <c:idx val="17"/>
            <c:marker>
              <c:symbol val="none"/>
            </c:marker>
            <c:bubble3D val="0"/>
            <c:spPr>
              <a:ln w="28575" cap="rnd">
                <a:solidFill>
                  <a:schemeClr val="accent2">
                    <a:lumMod val="60000"/>
                    <a:lumOff val="40000"/>
                  </a:schemeClr>
                </a:solidFill>
                <a:prstDash val="dash"/>
                <a:round/>
              </a:ln>
              <a:effectLst/>
            </c:spPr>
            <c:extLst>
              <c:ext xmlns:c16="http://schemas.microsoft.com/office/drawing/2014/chart" uri="{C3380CC4-5D6E-409C-BE32-E72D297353CC}">
                <c16:uniqueId val="{00000014-6087-4B49-9E02-FEB8EED5F2DC}"/>
              </c:ext>
            </c:extLst>
          </c:dPt>
          <c:cat>
            <c:strRef>
              <c:f>'Figure 12'!$A$2:$A$19</c:f>
              <c:strCache>
                <c:ptCount val="18"/>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pt idx="16">
                  <c:v>2024-25</c:v>
                </c:pt>
                <c:pt idx="17">
                  <c:v>2025-26</c:v>
                </c:pt>
              </c:strCache>
            </c:strRef>
          </c:cat>
          <c:val>
            <c:numRef>
              <c:f>'Figure 12'!$C$2:$C$19</c:f>
              <c:numCache>
                <c:formatCode>0.0</c:formatCode>
                <c:ptCount val="18"/>
                <c:pt idx="0">
                  <c:v>8.4109999999999996</c:v>
                </c:pt>
                <c:pt idx="1">
                  <c:v>8.85</c:v>
                </c:pt>
                <c:pt idx="2">
                  <c:v>9.3059999999999992</c:v>
                </c:pt>
                <c:pt idx="3">
                  <c:v>8.8249999999999993</c:v>
                </c:pt>
                <c:pt idx="4">
                  <c:v>9.2159999999999993</c:v>
                </c:pt>
                <c:pt idx="5">
                  <c:v>8.43</c:v>
                </c:pt>
                <c:pt idx="6">
                  <c:v>9.4339999999999993</c:v>
                </c:pt>
                <c:pt idx="7">
                  <c:v>9.702</c:v>
                </c:pt>
                <c:pt idx="8">
                  <c:v>9.5670000000000002</c:v>
                </c:pt>
                <c:pt idx="9">
                  <c:v>10.135999999999999</c:v>
                </c:pt>
                <c:pt idx="10">
                  <c:v>11.3</c:v>
                </c:pt>
                <c:pt idx="11">
                  <c:v>9.4920000000000009</c:v>
                </c:pt>
                <c:pt idx="12">
                  <c:v>12.266999999999999</c:v>
                </c:pt>
                <c:pt idx="13">
                  <c:v>11.437463549127541</c:v>
                </c:pt>
                <c:pt idx="14">
                  <c:v>12.637652659360937</c:v>
                </c:pt>
                <c:pt idx="15">
                  <c:v>12.828208330605603</c:v>
                </c:pt>
                <c:pt idx="16">
                  <c:v>13.323898154855829</c:v>
                </c:pt>
                <c:pt idx="17">
                  <c:v>13.520481121734507</c:v>
                </c:pt>
              </c:numCache>
            </c:numRef>
          </c:val>
          <c:smooth val="0"/>
          <c:extLst>
            <c:ext xmlns:c16="http://schemas.microsoft.com/office/drawing/2014/chart" uri="{C3380CC4-5D6E-409C-BE32-E72D297353CC}">
              <c16:uniqueId val="{00000015-6087-4B49-9E02-FEB8EED5F2DC}"/>
            </c:ext>
          </c:extLst>
        </c:ser>
        <c:ser>
          <c:idx val="2"/>
          <c:order val="2"/>
          <c:tx>
            <c:strRef>
              <c:f>'Figure 12'!$D$1</c:f>
              <c:strCache>
                <c:ptCount val="1"/>
                <c:pt idx="0">
                  <c:v>VFR</c:v>
                </c:pt>
              </c:strCache>
            </c:strRef>
          </c:tx>
          <c:spPr>
            <a:ln w="28575" cap="rnd">
              <a:solidFill>
                <a:schemeClr val="accent3"/>
              </a:solidFill>
              <a:round/>
            </a:ln>
            <a:effectLst/>
          </c:spPr>
          <c:marker>
            <c:symbol val="none"/>
          </c:marker>
          <c:dPt>
            <c:idx val="13"/>
            <c:marker>
              <c:symbol val="none"/>
            </c:marker>
            <c:bubble3D val="0"/>
            <c:spPr>
              <a:ln w="28575" cap="rnd">
                <a:solidFill>
                  <a:schemeClr val="accent3">
                    <a:lumMod val="60000"/>
                    <a:lumOff val="40000"/>
                  </a:schemeClr>
                </a:solidFill>
                <a:prstDash val="dash"/>
                <a:round/>
              </a:ln>
              <a:effectLst/>
            </c:spPr>
            <c:extLst>
              <c:ext xmlns:c16="http://schemas.microsoft.com/office/drawing/2014/chart" uri="{C3380CC4-5D6E-409C-BE32-E72D297353CC}">
                <c16:uniqueId val="{00000017-6087-4B49-9E02-FEB8EED5F2DC}"/>
              </c:ext>
            </c:extLst>
          </c:dPt>
          <c:dPt>
            <c:idx val="14"/>
            <c:marker>
              <c:symbol val="none"/>
            </c:marker>
            <c:bubble3D val="0"/>
            <c:spPr>
              <a:ln w="28575" cap="rnd">
                <a:solidFill>
                  <a:schemeClr val="accent3">
                    <a:lumMod val="60000"/>
                    <a:lumOff val="40000"/>
                  </a:schemeClr>
                </a:solidFill>
                <a:prstDash val="dash"/>
                <a:round/>
              </a:ln>
              <a:effectLst/>
            </c:spPr>
            <c:extLst>
              <c:ext xmlns:c16="http://schemas.microsoft.com/office/drawing/2014/chart" uri="{C3380CC4-5D6E-409C-BE32-E72D297353CC}">
                <c16:uniqueId val="{00000019-6087-4B49-9E02-FEB8EED5F2DC}"/>
              </c:ext>
            </c:extLst>
          </c:dPt>
          <c:dPt>
            <c:idx val="15"/>
            <c:marker>
              <c:symbol val="none"/>
            </c:marker>
            <c:bubble3D val="0"/>
            <c:spPr>
              <a:ln w="28575" cap="rnd">
                <a:solidFill>
                  <a:schemeClr val="accent3">
                    <a:lumMod val="60000"/>
                    <a:lumOff val="40000"/>
                  </a:schemeClr>
                </a:solidFill>
                <a:prstDash val="dash"/>
                <a:round/>
              </a:ln>
              <a:effectLst/>
            </c:spPr>
            <c:extLst>
              <c:ext xmlns:c16="http://schemas.microsoft.com/office/drawing/2014/chart" uri="{C3380CC4-5D6E-409C-BE32-E72D297353CC}">
                <c16:uniqueId val="{0000001B-6087-4B49-9E02-FEB8EED5F2DC}"/>
              </c:ext>
            </c:extLst>
          </c:dPt>
          <c:dPt>
            <c:idx val="16"/>
            <c:marker>
              <c:symbol val="none"/>
            </c:marker>
            <c:bubble3D val="0"/>
            <c:spPr>
              <a:ln w="28575" cap="rnd">
                <a:solidFill>
                  <a:schemeClr val="accent3">
                    <a:lumMod val="60000"/>
                    <a:lumOff val="40000"/>
                  </a:schemeClr>
                </a:solidFill>
                <a:prstDash val="dash"/>
                <a:round/>
              </a:ln>
              <a:effectLst/>
            </c:spPr>
            <c:extLst>
              <c:ext xmlns:c16="http://schemas.microsoft.com/office/drawing/2014/chart" uri="{C3380CC4-5D6E-409C-BE32-E72D297353CC}">
                <c16:uniqueId val="{0000001D-6087-4B49-9E02-FEB8EED5F2DC}"/>
              </c:ext>
            </c:extLst>
          </c:dPt>
          <c:dPt>
            <c:idx val="17"/>
            <c:marker>
              <c:symbol val="none"/>
            </c:marker>
            <c:bubble3D val="0"/>
            <c:spPr>
              <a:ln w="28575" cap="rnd">
                <a:solidFill>
                  <a:schemeClr val="accent3">
                    <a:lumMod val="60000"/>
                    <a:lumOff val="40000"/>
                  </a:schemeClr>
                </a:solidFill>
                <a:prstDash val="dash"/>
                <a:round/>
              </a:ln>
              <a:effectLst/>
            </c:spPr>
            <c:extLst>
              <c:ext xmlns:c16="http://schemas.microsoft.com/office/drawing/2014/chart" uri="{C3380CC4-5D6E-409C-BE32-E72D297353CC}">
                <c16:uniqueId val="{0000001F-6087-4B49-9E02-FEB8EED5F2DC}"/>
              </c:ext>
            </c:extLst>
          </c:dPt>
          <c:cat>
            <c:strRef>
              <c:f>'Figure 12'!$A$2:$A$19</c:f>
              <c:strCache>
                <c:ptCount val="18"/>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pt idx="16">
                  <c:v>2024-25</c:v>
                </c:pt>
                <c:pt idx="17">
                  <c:v>2025-26</c:v>
                </c:pt>
              </c:strCache>
            </c:strRef>
          </c:cat>
          <c:val>
            <c:numRef>
              <c:f>'Figure 12'!$D$2:$D$19</c:f>
              <c:numCache>
                <c:formatCode>0.0</c:formatCode>
                <c:ptCount val="18"/>
                <c:pt idx="0">
                  <c:v>5.8259999999999996</c:v>
                </c:pt>
                <c:pt idx="1">
                  <c:v>5.4470000000000001</c:v>
                </c:pt>
                <c:pt idx="2">
                  <c:v>5.5129999999999999</c:v>
                </c:pt>
                <c:pt idx="3">
                  <c:v>5.4740000000000002</c:v>
                </c:pt>
                <c:pt idx="4">
                  <c:v>6.02</c:v>
                </c:pt>
                <c:pt idx="5">
                  <c:v>5.6420000000000003</c:v>
                </c:pt>
                <c:pt idx="6">
                  <c:v>5.641</c:v>
                </c:pt>
                <c:pt idx="7">
                  <c:v>6.48</c:v>
                </c:pt>
                <c:pt idx="8">
                  <c:v>6.3739999999999997</c:v>
                </c:pt>
                <c:pt idx="9">
                  <c:v>7.8550000000000004</c:v>
                </c:pt>
                <c:pt idx="10">
                  <c:v>6.9189999999999996</c:v>
                </c:pt>
                <c:pt idx="11">
                  <c:v>6.52</c:v>
                </c:pt>
                <c:pt idx="12">
                  <c:v>6.577</c:v>
                </c:pt>
                <c:pt idx="13">
                  <c:v>6.8916549524098958</c:v>
                </c:pt>
                <c:pt idx="14">
                  <c:v>7.4226511993709181</c:v>
                </c:pt>
                <c:pt idx="15">
                  <c:v>7.5209599845059971</c:v>
                </c:pt>
                <c:pt idx="16">
                  <c:v>7.808599198559997</c:v>
                </c:pt>
                <c:pt idx="17">
                  <c:v>7.9238389516710379</c:v>
                </c:pt>
              </c:numCache>
            </c:numRef>
          </c:val>
          <c:smooth val="0"/>
          <c:extLst>
            <c:ext xmlns:c16="http://schemas.microsoft.com/office/drawing/2014/chart" uri="{C3380CC4-5D6E-409C-BE32-E72D297353CC}">
              <c16:uniqueId val="{00000020-6087-4B49-9E02-FEB8EED5F2DC}"/>
            </c:ext>
          </c:extLst>
        </c:ser>
        <c:ser>
          <c:idx val="3"/>
          <c:order val="3"/>
          <c:tx>
            <c:strRef>
              <c:f>'Figure 12'!$E$1</c:f>
              <c:strCache>
                <c:ptCount val="1"/>
                <c:pt idx="0">
                  <c:v>Business</c:v>
                </c:pt>
              </c:strCache>
            </c:strRef>
          </c:tx>
          <c:spPr>
            <a:ln w="28575" cap="rnd">
              <a:solidFill>
                <a:schemeClr val="accent4"/>
              </a:solidFill>
              <a:round/>
            </a:ln>
            <a:effectLst/>
          </c:spPr>
          <c:marker>
            <c:symbol val="none"/>
          </c:marker>
          <c:dPt>
            <c:idx val="13"/>
            <c:marker>
              <c:symbol val="none"/>
            </c:marker>
            <c:bubble3D val="0"/>
            <c:spPr>
              <a:ln w="28575" cap="rnd">
                <a:solidFill>
                  <a:schemeClr val="accent4">
                    <a:lumMod val="60000"/>
                    <a:lumOff val="40000"/>
                  </a:schemeClr>
                </a:solidFill>
                <a:prstDash val="dash"/>
                <a:round/>
              </a:ln>
              <a:effectLst/>
            </c:spPr>
            <c:extLst>
              <c:ext xmlns:c16="http://schemas.microsoft.com/office/drawing/2014/chart" uri="{C3380CC4-5D6E-409C-BE32-E72D297353CC}">
                <c16:uniqueId val="{00000022-6087-4B49-9E02-FEB8EED5F2DC}"/>
              </c:ext>
            </c:extLst>
          </c:dPt>
          <c:dPt>
            <c:idx val="14"/>
            <c:marker>
              <c:symbol val="none"/>
            </c:marker>
            <c:bubble3D val="0"/>
            <c:spPr>
              <a:ln w="28575" cap="rnd">
                <a:solidFill>
                  <a:schemeClr val="accent4">
                    <a:lumMod val="60000"/>
                    <a:lumOff val="40000"/>
                  </a:schemeClr>
                </a:solidFill>
                <a:prstDash val="dash"/>
                <a:round/>
              </a:ln>
              <a:effectLst/>
            </c:spPr>
            <c:extLst>
              <c:ext xmlns:c16="http://schemas.microsoft.com/office/drawing/2014/chart" uri="{C3380CC4-5D6E-409C-BE32-E72D297353CC}">
                <c16:uniqueId val="{00000024-6087-4B49-9E02-FEB8EED5F2DC}"/>
              </c:ext>
            </c:extLst>
          </c:dPt>
          <c:dPt>
            <c:idx val="15"/>
            <c:marker>
              <c:symbol val="none"/>
            </c:marker>
            <c:bubble3D val="0"/>
            <c:spPr>
              <a:ln w="28575" cap="rnd">
                <a:solidFill>
                  <a:schemeClr val="accent4">
                    <a:lumMod val="60000"/>
                    <a:lumOff val="40000"/>
                  </a:schemeClr>
                </a:solidFill>
                <a:prstDash val="dash"/>
                <a:round/>
              </a:ln>
              <a:effectLst/>
            </c:spPr>
            <c:extLst>
              <c:ext xmlns:c16="http://schemas.microsoft.com/office/drawing/2014/chart" uri="{C3380CC4-5D6E-409C-BE32-E72D297353CC}">
                <c16:uniqueId val="{00000026-6087-4B49-9E02-FEB8EED5F2DC}"/>
              </c:ext>
            </c:extLst>
          </c:dPt>
          <c:dPt>
            <c:idx val="16"/>
            <c:marker>
              <c:symbol val="none"/>
            </c:marker>
            <c:bubble3D val="0"/>
            <c:spPr>
              <a:ln w="28575" cap="rnd">
                <a:solidFill>
                  <a:schemeClr val="accent4">
                    <a:lumMod val="60000"/>
                    <a:lumOff val="40000"/>
                  </a:schemeClr>
                </a:solidFill>
                <a:prstDash val="dash"/>
                <a:round/>
              </a:ln>
              <a:effectLst/>
            </c:spPr>
            <c:extLst>
              <c:ext xmlns:c16="http://schemas.microsoft.com/office/drawing/2014/chart" uri="{C3380CC4-5D6E-409C-BE32-E72D297353CC}">
                <c16:uniqueId val="{00000028-6087-4B49-9E02-FEB8EED5F2DC}"/>
              </c:ext>
            </c:extLst>
          </c:dPt>
          <c:dPt>
            <c:idx val="17"/>
            <c:marker>
              <c:symbol val="none"/>
            </c:marker>
            <c:bubble3D val="0"/>
            <c:spPr>
              <a:ln w="28575" cap="rnd">
                <a:solidFill>
                  <a:schemeClr val="accent4">
                    <a:lumMod val="60000"/>
                    <a:lumOff val="40000"/>
                  </a:schemeClr>
                </a:solidFill>
                <a:prstDash val="dash"/>
                <a:round/>
              </a:ln>
              <a:effectLst/>
            </c:spPr>
            <c:extLst>
              <c:ext xmlns:c16="http://schemas.microsoft.com/office/drawing/2014/chart" uri="{C3380CC4-5D6E-409C-BE32-E72D297353CC}">
                <c16:uniqueId val="{0000002A-6087-4B49-9E02-FEB8EED5F2DC}"/>
              </c:ext>
            </c:extLst>
          </c:dPt>
          <c:cat>
            <c:strRef>
              <c:f>'Figure 12'!$A$2:$A$19</c:f>
              <c:strCache>
                <c:ptCount val="18"/>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pt idx="16">
                  <c:v>2024-25</c:v>
                </c:pt>
                <c:pt idx="17">
                  <c:v>2025-26</c:v>
                </c:pt>
              </c:strCache>
            </c:strRef>
          </c:cat>
          <c:val>
            <c:numRef>
              <c:f>'Figure 12'!$E$2:$E$19</c:f>
              <c:numCache>
                <c:formatCode>0.0</c:formatCode>
                <c:ptCount val="18"/>
                <c:pt idx="0">
                  <c:v>3.0289999999999999</c:v>
                </c:pt>
                <c:pt idx="1">
                  <c:v>2.9529999999999998</c:v>
                </c:pt>
                <c:pt idx="2">
                  <c:v>2.4670000000000001</c:v>
                </c:pt>
                <c:pt idx="3">
                  <c:v>3.367</c:v>
                </c:pt>
                <c:pt idx="4">
                  <c:v>2.6709999999999998</c:v>
                </c:pt>
                <c:pt idx="5">
                  <c:v>2.76</c:v>
                </c:pt>
                <c:pt idx="6">
                  <c:v>3.996</c:v>
                </c:pt>
                <c:pt idx="7">
                  <c:v>4.1349999999999998</c:v>
                </c:pt>
                <c:pt idx="8">
                  <c:v>4.0350000000000001</c:v>
                </c:pt>
                <c:pt idx="9">
                  <c:v>4.2569999999999997</c:v>
                </c:pt>
                <c:pt idx="10">
                  <c:v>6.2080000000000002</c:v>
                </c:pt>
                <c:pt idx="11">
                  <c:v>4.6710000000000003</c:v>
                </c:pt>
                <c:pt idx="12">
                  <c:v>3.94</c:v>
                </c:pt>
                <c:pt idx="13">
                  <c:v>5.3034331914256478</c:v>
                </c:pt>
                <c:pt idx="14">
                  <c:v>6.0112807332640159</c:v>
                </c:pt>
                <c:pt idx="15">
                  <c:v>6.1102690120351921</c:v>
                </c:pt>
                <c:pt idx="16">
                  <c:v>6.2632545717376074</c:v>
                </c:pt>
                <c:pt idx="17">
                  <c:v>6.3378152061148727</c:v>
                </c:pt>
              </c:numCache>
            </c:numRef>
          </c:val>
          <c:smooth val="0"/>
          <c:extLst>
            <c:ext xmlns:c16="http://schemas.microsoft.com/office/drawing/2014/chart" uri="{C3380CC4-5D6E-409C-BE32-E72D297353CC}">
              <c16:uniqueId val="{0000002B-6087-4B49-9E02-FEB8EED5F2DC}"/>
            </c:ext>
          </c:extLst>
        </c:ser>
        <c:ser>
          <c:idx val="4"/>
          <c:order val="4"/>
          <c:tx>
            <c:strRef>
              <c:f>'Figure 12'!$F$1</c:f>
              <c:strCache>
                <c:ptCount val="1"/>
                <c:pt idx="0">
                  <c:v>Other</c:v>
                </c:pt>
              </c:strCache>
            </c:strRef>
          </c:tx>
          <c:spPr>
            <a:ln w="28575" cap="rnd">
              <a:solidFill>
                <a:schemeClr val="accent5"/>
              </a:solidFill>
              <a:round/>
            </a:ln>
            <a:effectLst/>
          </c:spPr>
          <c:marker>
            <c:symbol val="none"/>
          </c:marker>
          <c:dPt>
            <c:idx val="13"/>
            <c:marker>
              <c:symbol val="none"/>
            </c:marker>
            <c:bubble3D val="0"/>
            <c:spPr>
              <a:ln w="28575" cap="rnd">
                <a:solidFill>
                  <a:schemeClr val="accent5">
                    <a:lumMod val="60000"/>
                    <a:lumOff val="40000"/>
                  </a:schemeClr>
                </a:solidFill>
                <a:prstDash val="dash"/>
                <a:round/>
              </a:ln>
              <a:effectLst/>
            </c:spPr>
            <c:extLst>
              <c:ext xmlns:c16="http://schemas.microsoft.com/office/drawing/2014/chart" uri="{C3380CC4-5D6E-409C-BE32-E72D297353CC}">
                <c16:uniqueId val="{0000002D-6087-4B49-9E02-FEB8EED5F2DC}"/>
              </c:ext>
            </c:extLst>
          </c:dPt>
          <c:dPt>
            <c:idx val="14"/>
            <c:marker>
              <c:symbol val="none"/>
            </c:marker>
            <c:bubble3D val="0"/>
            <c:spPr>
              <a:ln w="28575" cap="rnd">
                <a:solidFill>
                  <a:schemeClr val="accent5">
                    <a:lumMod val="60000"/>
                    <a:lumOff val="40000"/>
                  </a:schemeClr>
                </a:solidFill>
                <a:prstDash val="dash"/>
                <a:round/>
              </a:ln>
              <a:effectLst/>
            </c:spPr>
            <c:extLst>
              <c:ext xmlns:c16="http://schemas.microsoft.com/office/drawing/2014/chart" uri="{C3380CC4-5D6E-409C-BE32-E72D297353CC}">
                <c16:uniqueId val="{0000002F-6087-4B49-9E02-FEB8EED5F2DC}"/>
              </c:ext>
            </c:extLst>
          </c:dPt>
          <c:dPt>
            <c:idx val="15"/>
            <c:marker>
              <c:symbol val="none"/>
            </c:marker>
            <c:bubble3D val="0"/>
            <c:spPr>
              <a:ln w="28575" cap="rnd">
                <a:solidFill>
                  <a:schemeClr val="accent5">
                    <a:lumMod val="60000"/>
                    <a:lumOff val="40000"/>
                  </a:schemeClr>
                </a:solidFill>
                <a:prstDash val="dash"/>
                <a:round/>
              </a:ln>
              <a:effectLst/>
            </c:spPr>
            <c:extLst>
              <c:ext xmlns:c16="http://schemas.microsoft.com/office/drawing/2014/chart" uri="{C3380CC4-5D6E-409C-BE32-E72D297353CC}">
                <c16:uniqueId val="{00000031-6087-4B49-9E02-FEB8EED5F2DC}"/>
              </c:ext>
            </c:extLst>
          </c:dPt>
          <c:dPt>
            <c:idx val="16"/>
            <c:marker>
              <c:symbol val="none"/>
            </c:marker>
            <c:bubble3D val="0"/>
            <c:spPr>
              <a:ln w="28575" cap="rnd">
                <a:solidFill>
                  <a:schemeClr val="accent5">
                    <a:lumMod val="60000"/>
                    <a:lumOff val="40000"/>
                  </a:schemeClr>
                </a:solidFill>
                <a:prstDash val="dash"/>
                <a:round/>
              </a:ln>
              <a:effectLst/>
            </c:spPr>
            <c:extLst>
              <c:ext xmlns:c16="http://schemas.microsoft.com/office/drawing/2014/chart" uri="{C3380CC4-5D6E-409C-BE32-E72D297353CC}">
                <c16:uniqueId val="{00000033-6087-4B49-9E02-FEB8EED5F2DC}"/>
              </c:ext>
            </c:extLst>
          </c:dPt>
          <c:dPt>
            <c:idx val="17"/>
            <c:marker>
              <c:symbol val="none"/>
            </c:marker>
            <c:bubble3D val="0"/>
            <c:spPr>
              <a:ln w="28575" cap="rnd">
                <a:solidFill>
                  <a:schemeClr val="accent5">
                    <a:lumMod val="60000"/>
                    <a:lumOff val="40000"/>
                  </a:schemeClr>
                </a:solidFill>
                <a:prstDash val="dash"/>
                <a:round/>
              </a:ln>
              <a:effectLst/>
            </c:spPr>
            <c:extLst>
              <c:ext xmlns:c16="http://schemas.microsoft.com/office/drawing/2014/chart" uri="{C3380CC4-5D6E-409C-BE32-E72D297353CC}">
                <c16:uniqueId val="{00000035-6087-4B49-9E02-FEB8EED5F2DC}"/>
              </c:ext>
            </c:extLst>
          </c:dPt>
          <c:cat>
            <c:strRef>
              <c:f>'Figure 12'!$A$2:$A$19</c:f>
              <c:strCache>
                <c:ptCount val="18"/>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pt idx="16">
                  <c:v>2024-25</c:v>
                </c:pt>
                <c:pt idx="17">
                  <c:v>2025-26</c:v>
                </c:pt>
              </c:strCache>
            </c:strRef>
          </c:cat>
          <c:val>
            <c:numRef>
              <c:f>'Figure 12'!$F$2:$F$19</c:f>
              <c:numCache>
                <c:formatCode>0.0</c:formatCode>
                <c:ptCount val="18"/>
                <c:pt idx="0">
                  <c:v>1.1240000000000001</c:v>
                </c:pt>
                <c:pt idx="1">
                  <c:v>1.089</c:v>
                </c:pt>
                <c:pt idx="2">
                  <c:v>1.1659999999999999</c:v>
                </c:pt>
                <c:pt idx="3">
                  <c:v>1.0720000000000001</c:v>
                </c:pt>
                <c:pt idx="4">
                  <c:v>0.9</c:v>
                </c:pt>
                <c:pt idx="5">
                  <c:v>2.718</c:v>
                </c:pt>
                <c:pt idx="6">
                  <c:v>1.256</c:v>
                </c:pt>
                <c:pt idx="7">
                  <c:v>1.208</c:v>
                </c:pt>
                <c:pt idx="8">
                  <c:v>1.353</c:v>
                </c:pt>
                <c:pt idx="9">
                  <c:v>1.77</c:v>
                </c:pt>
                <c:pt idx="10">
                  <c:v>2.04</c:v>
                </c:pt>
                <c:pt idx="11">
                  <c:v>1.6850000000000001</c:v>
                </c:pt>
                <c:pt idx="12">
                  <c:v>1.2669999999999999</c:v>
                </c:pt>
                <c:pt idx="13">
                  <c:v>1.9236161099910898</c:v>
                </c:pt>
                <c:pt idx="14">
                  <c:v>2.0381337919309535</c:v>
                </c:pt>
                <c:pt idx="15">
                  <c:v>2.0056467361034467</c:v>
                </c:pt>
                <c:pt idx="16">
                  <c:v>2.0333052187071012</c:v>
                </c:pt>
                <c:pt idx="17">
                  <c:v>2.0636870133981979</c:v>
                </c:pt>
              </c:numCache>
            </c:numRef>
          </c:val>
          <c:smooth val="0"/>
          <c:extLst>
            <c:ext xmlns:c16="http://schemas.microsoft.com/office/drawing/2014/chart" uri="{C3380CC4-5D6E-409C-BE32-E72D297353CC}">
              <c16:uniqueId val="{00000036-6087-4B49-9E02-FEB8EED5F2DC}"/>
            </c:ext>
          </c:extLst>
        </c:ser>
        <c:dLbls>
          <c:showLegendKey val="0"/>
          <c:showVal val="0"/>
          <c:showCatName val="0"/>
          <c:showSerName val="0"/>
          <c:showPercent val="0"/>
          <c:showBubbleSize val="0"/>
        </c:dLbls>
        <c:smooth val="0"/>
        <c:axId val="1296576927"/>
        <c:axId val="1296588991"/>
      </c:lineChart>
      <c:catAx>
        <c:axId val="12965769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96588991"/>
        <c:crosses val="autoZero"/>
        <c:auto val="1"/>
        <c:lblAlgn val="ctr"/>
        <c:lblOffset val="100"/>
        <c:noMultiLvlLbl val="0"/>
      </c:catAx>
      <c:valAx>
        <c:axId val="129658899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96576927"/>
        <c:crosses val="autoZero"/>
        <c:crossBetween val="between"/>
        <c:majorUnit val="10"/>
      </c:valAx>
      <c:spPr>
        <a:noFill/>
        <a:ln>
          <a:noFill/>
        </a:ln>
        <a:effectLst/>
      </c:spPr>
    </c:plotArea>
    <c:legend>
      <c:legendPos val="b"/>
      <c:layout>
        <c:manualLayout>
          <c:xMode val="edge"/>
          <c:yMode val="edge"/>
          <c:x val="0.12551290463692039"/>
          <c:y val="3.4764536031873246E-2"/>
          <c:w val="0.8186187664041995"/>
          <c:h val="8.3427512737378418E-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091426071741035"/>
          <c:y val="0.14530088234279076"/>
          <c:w val="0.84853018372703415"/>
          <c:h val="0.63716506897235703"/>
        </c:manualLayout>
      </c:layout>
      <c:lineChart>
        <c:grouping val="standard"/>
        <c:varyColors val="0"/>
        <c:ser>
          <c:idx val="0"/>
          <c:order val="0"/>
          <c:tx>
            <c:strRef>
              <c:f>'Figure 13'!$B$1</c:f>
              <c:strCache>
                <c:ptCount val="1"/>
                <c:pt idx="0">
                  <c:v>Total</c:v>
                </c:pt>
              </c:strCache>
            </c:strRef>
          </c:tx>
          <c:spPr>
            <a:ln w="28575" cap="rnd">
              <a:solidFill>
                <a:schemeClr val="accent1"/>
              </a:solidFill>
              <a:round/>
            </a:ln>
            <a:effectLst/>
          </c:spPr>
          <c:marker>
            <c:symbol val="none"/>
          </c:marker>
          <c:dPt>
            <c:idx val="13"/>
            <c:marker>
              <c:symbol val="none"/>
            </c:marker>
            <c:bubble3D val="0"/>
            <c:spPr>
              <a:ln w="28575" cap="rnd">
                <a:solidFill>
                  <a:schemeClr val="accent1">
                    <a:lumMod val="60000"/>
                    <a:lumOff val="40000"/>
                  </a:schemeClr>
                </a:solidFill>
                <a:prstDash val="dash"/>
                <a:round/>
              </a:ln>
              <a:effectLst/>
            </c:spPr>
            <c:extLst>
              <c:ext xmlns:c16="http://schemas.microsoft.com/office/drawing/2014/chart" uri="{C3380CC4-5D6E-409C-BE32-E72D297353CC}">
                <c16:uniqueId val="{00000001-6E83-4672-BE5E-70F3DD59D1D1}"/>
              </c:ext>
            </c:extLst>
          </c:dPt>
          <c:dPt>
            <c:idx val="14"/>
            <c:marker>
              <c:symbol val="none"/>
            </c:marker>
            <c:bubble3D val="0"/>
            <c:spPr>
              <a:ln w="28575" cap="rnd">
                <a:solidFill>
                  <a:schemeClr val="accent1">
                    <a:lumMod val="60000"/>
                    <a:lumOff val="40000"/>
                  </a:schemeClr>
                </a:solidFill>
                <a:prstDash val="dash"/>
                <a:round/>
              </a:ln>
              <a:effectLst/>
            </c:spPr>
            <c:extLst>
              <c:ext xmlns:c16="http://schemas.microsoft.com/office/drawing/2014/chart" uri="{C3380CC4-5D6E-409C-BE32-E72D297353CC}">
                <c16:uniqueId val="{00000003-6E83-4672-BE5E-70F3DD59D1D1}"/>
              </c:ext>
            </c:extLst>
          </c:dPt>
          <c:dPt>
            <c:idx val="15"/>
            <c:marker>
              <c:symbol val="none"/>
            </c:marker>
            <c:bubble3D val="0"/>
            <c:spPr>
              <a:ln w="28575" cap="rnd">
                <a:solidFill>
                  <a:schemeClr val="accent1">
                    <a:lumMod val="60000"/>
                    <a:lumOff val="40000"/>
                  </a:schemeClr>
                </a:solidFill>
                <a:prstDash val="dash"/>
                <a:round/>
              </a:ln>
              <a:effectLst/>
            </c:spPr>
            <c:extLst>
              <c:ext xmlns:c16="http://schemas.microsoft.com/office/drawing/2014/chart" uri="{C3380CC4-5D6E-409C-BE32-E72D297353CC}">
                <c16:uniqueId val="{00000005-6E83-4672-BE5E-70F3DD59D1D1}"/>
              </c:ext>
            </c:extLst>
          </c:dPt>
          <c:dPt>
            <c:idx val="16"/>
            <c:marker>
              <c:symbol val="none"/>
            </c:marker>
            <c:bubble3D val="0"/>
            <c:spPr>
              <a:ln w="28575" cap="rnd">
                <a:solidFill>
                  <a:schemeClr val="accent1">
                    <a:lumMod val="60000"/>
                    <a:lumOff val="40000"/>
                  </a:schemeClr>
                </a:solidFill>
                <a:prstDash val="dash"/>
                <a:round/>
              </a:ln>
              <a:effectLst/>
            </c:spPr>
            <c:extLst>
              <c:ext xmlns:c16="http://schemas.microsoft.com/office/drawing/2014/chart" uri="{C3380CC4-5D6E-409C-BE32-E72D297353CC}">
                <c16:uniqueId val="{00000007-6E83-4672-BE5E-70F3DD59D1D1}"/>
              </c:ext>
            </c:extLst>
          </c:dPt>
          <c:dPt>
            <c:idx val="17"/>
            <c:marker>
              <c:symbol val="none"/>
            </c:marker>
            <c:bubble3D val="0"/>
            <c:spPr>
              <a:ln w="28575" cap="rnd">
                <a:solidFill>
                  <a:schemeClr val="accent1">
                    <a:lumMod val="60000"/>
                    <a:lumOff val="40000"/>
                  </a:schemeClr>
                </a:solidFill>
                <a:prstDash val="dash"/>
                <a:round/>
              </a:ln>
              <a:effectLst/>
            </c:spPr>
            <c:extLst>
              <c:ext xmlns:c16="http://schemas.microsoft.com/office/drawing/2014/chart" uri="{C3380CC4-5D6E-409C-BE32-E72D297353CC}">
                <c16:uniqueId val="{00000009-6E83-4672-BE5E-70F3DD59D1D1}"/>
              </c:ext>
            </c:extLst>
          </c:dPt>
          <c:cat>
            <c:strRef>
              <c:f>'Figure 13'!$A$2:$A$19</c:f>
              <c:strCache>
                <c:ptCount val="18"/>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pt idx="16">
                  <c:v>2024-25</c:v>
                </c:pt>
                <c:pt idx="17">
                  <c:v>2025-26</c:v>
                </c:pt>
              </c:strCache>
            </c:strRef>
          </c:cat>
          <c:val>
            <c:numRef>
              <c:f>'Figure 13'!$B$2:$B$19</c:f>
              <c:numCache>
                <c:formatCode>0.0</c:formatCode>
                <c:ptCount val="18"/>
                <c:pt idx="0">
                  <c:v>26.373999999999999</c:v>
                </c:pt>
                <c:pt idx="1">
                  <c:v>22.684999999999999</c:v>
                </c:pt>
                <c:pt idx="2">
                  <c:v>24.81</c:v>
                </c:pt>
                <c:pt idx="3">
                  <c:v>27.247</c:v>
                </c:pt>
                <c:pt idx="4">
                  <c:v>29.975000000000001</c:v>
                </c:pt>
                <c:pt idx="5">
                  <c:v>37.905000000000001</c:v>
                </c:pt>
                <c:pt idx="6">
                  <c:v>42.259</c:v>
                </c:pt>
                <c:pt idx="7">
                  <c:v>45.53</c:v>
                </c:pt>
                <c:pt idx="8">
                  <c:v>40.466999999999999</c:v>
                </c:pt>
                <c:pt idx="9">
                  <c:v>41.298999999999999</c:v>
                </c:pt>
                <c:pt idx="10">
                  <c:v>46.709000000000003</c:v>
                </c:pt>
                <c:pt idx="11">
                  <c:v>44.223999999999997</c:v>
                </c:pt>
                <c:pt idx="12">
                  <c:v>45.359000000000002</c:v>
                </c:pt>
                <c:pt idx="13">
                  <c:v>46.45241087592494</c:v>
                </c:pt>
                <c:pt idx="14">
                  <c:v>49.391589800857723</c:v>
                </c:pt>
                <c:pt idx="15">
                  <c:v>51.106652347199933</c:v>
                </c:pt>
                <c:pt idx="16">
                  <c:v>52.404286549603363</c:v>
                </c:pt>
                <c:pt idx="17">
                  <c:v>53.120016562704002</c:v>
                </c:pt>
              </c:numCache>
            </c:numRef>
          </c:val>
          <c:smooth val="0"/>
          <c:extLst>
            <c:ext xmlns:c16="http://schemas.microsoft.com/office/drawing/2014/chart" uri="{C3380CC4-5D6E-409C-BE32-E72D297353CC}">
              <c16:uniqueId val="{0000000A-6E83-4672-BE5E-70F3DD59D1D1}"/>
            </c:ext>
          </c:extLst>
        </c:ser>
        <c:ser>
          <c:idx val="1"/>
          <c:order val="1"/>
          <c:tx>
            <c:strRef>
              <c:f>'Figure 13'!$C$1</c:f>
              <c:strCache>
                <c:ptCount val="1"/>
                <c:pt idx="0">
                  <c:v>Holiday</c:v>
                </c:pt>
              </c:strCache>
            </c:strRef>
          </c:tx>
          <c:spPr>
            <a:ln w="28575" cap="rnd">
              <a:solidFill>
                <a:schemeClr val="accent2"/>
              </a:solidFill>
              <a:round/>
            </a:ln>
            <a:effectLst/>
          </c:spPr>
          <c:marker>
            <c:symbol val="none"/>
          </c:marker>
          <c:dPt>
            <c:idx val="13"/>
            <c:marker>
              <c:symbol val="none"/>
            </c:marker>
            <c:bubble3D val="0"/>
            <c:spPr>
              <a:ln w="28575" cap="rnd">
                <a:solidFill>
                  <a:schemeClr val="accent2">
                    <a:lumMod val="60000"/>
                    <a:lumOff val="40000"/>
                  </a:schemeClr>
                </a:solidFill>
                <a:prstDash val="dash"/>
                <a:round/>
              </a:ln>
              <a:effectLst/>
            </c:spPr>
            <c:extLst>
              <c:ext xmlns:c16="http://schemas.microsoft.com/office/drawing/2014/chart" uri="{C3380CC4-5D6E-409C-BE32-E72D297353CC}">
                <c16:uniqueId val="{0000000C-6E83-4672-BE5E-70F3DD59D1D1}"/>
              </c:ext>
            </c:extLst>
          </c:dPt>
          <c:dPt>
            <c:idx val="14"/>
            <c:marker>
              <c:symbol val="none"/>
            </c:marker>
            <c:bubble3D val="0"/>
            <c:spPr>
              <a:ln w="28575" cap="rnd">
                <a:solidFill>
                  <a:schemeClr val="accent2">
                    <a:lumMod val="60000"/>
                    <a:lumOff val="40000"/>
                  </a:schemeClr>
                </a:solidFill>
                <a:prstDash val="dash"/>
                <a:round/>
              </a:ln>
              <a:effectLst/>
            </c:spPr>
            <c:extLst>
              <c:ext xmlns:c16="http://schemas.microsoft.com/office/drawing/2014/chart" uri="{C3380CC4-5D6E-409C-BE32-E72D297353CC}">
                <c16:uniqueId val="{0000000E-6E83-4672-BE5E-70F3DD59D1D1}"/>
              </c:ext>
            </c:extLst>
          </c:dPt>
          <c:dPt>
            <c:idx val="15"/>
            <c:marker>
              <c:symbol val="none"/>
            </c:marker>
            <c:bubble3D val="0"/>
            <c:spPr>
              <a:ln w="28575" cap="rnd">
                <a:solidFill>
                  <a:schemeClr val="accent2">
                    <a:lumMod val="60000"/>
                    <a:lumOff val="40000"/>
                  </a:schemeClr>
                </a:solidFill>
                <a:prstDash val="dash"/>
                <a:round/>
              </a:ln>
              <a:effectLst/>
            </c:spPr>
            <c:extLst>
              <c:ext xmlns:c16="http://schemas.microsoft.com/office/drawing/2014/chart" uri="{C3380CC4-5D6E-409C-BE32-E72D297353CC}">
                <c16:uniqueId val="{00000010-6E83-4672-BE5E-70F3DD59D1D1}"/>
              </c:ext>
            </c:extLst>
          </c:dPt>
          <c:dPt>
            <c:idx val="16"/>
            <c:marker>
              <c:symbol val="none"/>
            </c:marker>
            <c:bubble3D val="0"/>
            <c:spPr>
              <a:ln w="28575" cap="rnd">
                <a:solidFill>
                  <a:schemeClr val="accent2">
                    <a:lumMod val="60000"/>
                    <a:lumOff val="40000"/>
                  </a:schemeClr>
                </a:solidFill>
                <a:prstDash val="dash"/>
                <a:round/>
              </a:ln>
              <a:effectLst/>
            </c:spPr>
            <c:extLst>
              <c:ext xmlns:c16="http://schemas.microsoft.com/office/drawing/2014/chart" uri="{C3380CC4-5D6E-409C-BE32-E72D297353CC}">
                <c16:uniqueId val="{00000012-6E83-4672-BE5E-70F3DD59D1D1}"/>
              </c:ext>
            </c:extLst>
          </c:dPt>
          <c:dPt>
            <c:idx val="17"/>
            <c:marker>
              <c:symbol val="none"/>
            </c:marker>
            <c:bubble3D val="0"/>
            <c:spPr>
              <a:ln w="28575" cap="rnd">
                <a:solidFill>
                  <a:schemeClr val="accent2">
                    <a:lumMod val="60000"/>
                    <a:lumOff val="40000"/>
                  </a:schemeClr>
                </a:solidFill>
                <a:prstDash val="dash"/>
                <a:round/>
              </a:ln>
              <a:effectLst/>
            </c:spPr>
            <c:extLst>
              <c:ext xmlns:c16="http://schemas.microsoft.com/office/drawing/2014/chart" uri="{C3380CC4-5D6E-409C-BE32-E72D297353CC}">
                <c16:uniqueId val="{00000014-6E83-4672-BE5E-70F3DD59D1D1}"/>
              </c:ext>
            </c:extLst>
          </c:dPt>
          <c:cat>
            <c:strRef>
              <c:f>'Figure 13'!$A$2:$A$19</c:f>
              <c:strCache>
                <c:ptCount val="18"/>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pt idx="16">
                  <c:v>2024-25</c:v>
                </c:pt>
                <c:pt idx="17">
                  <c:v>2025-26</c:v>
                </c:pt>
              </c:strCache>
            </c:strRef>
          </c:cat>
          <c:val>
            <c:numRef>
              <c:f>'Figure 13'!$C$2:$C$19</c:f>
              <c:numCache>
                <c:formatCode>0.0</c:formatCode>
                <c:ptCount val="18"/>
                <c:pt idx="0">
                  <c:v>13.363</c:v>
                </c:pt>
                <c:pt idx="1">
                  <c:v>10.403</c:v>
                </c:pt>
                <c:pt idx="2">
                  <c:v>11.613</c:v>
                </c:pt>
                <c:pt idx="3">
                  <c:v>11.922000000000001</c:v>
                </c:pt>
                <c:pt idx="4">
                  <c:v>12.734</c:v>
                </c:pt>
                <c:pt idx="5">
                  <c:v>15.807</c:v>
                </c:pt>
                <c:pt idx="6">
                  <c:v>15.722</c:v>
                </c:pt>
                <c:pt idx="7">
                  <c:v>16.931000000000001</c:v>
                </c:pt>
                <c:pt idx="8">
                  <c:v>15.528</c:v>
                </c:pt>
                <c:pt idx="9">
                  <c:v>15.462</c:v>
                </c:pt>
                <c:pt idx="10">
                  <c:v>17.367000000000001</c:v>
                </c:pt>
                <c:pt idx="11">
                  <c:v>14.324</c:v>
                </c:pt>
                <c:pt idx="12">
                  <c:v>18.513000000000002</c:v>
                </c:pt>
                <c:pt idx="13">
                  <c:v>17.397484414555212</c:v>
                </c:pt>
                <c:pt idx="14">
                  <c:v>18.68514252069933</c:v>
                </c:pt>
                <c:pt idx="15">
                  <c:v>18.976334754847102</c:v>
                </c:pt>
                <c:pt idx="16">
                  <c:v>19.456639911529241</c:v>
                </c:pt>
                <c:pt idx="17">
                  <c:v>19.746288329255691</c:v>
                </c:pt>
              </c:numCache>
            </c:numRef>
          </c:val>
          <c:smooth val="0"/>
          <c:extLst>
            <c:ext xmlns:c16="http://schemas.microsoft.com/office/drawing/2014/chart" uri="{C3380CC4-5D6E-409C-BE32-E72D297353CC}">
              <c16:uniqueId val="{00000015-6E83-4672-BE5E-70F3DD59D1D1}"/>
            </c:ext>
          </c:extLst>
        </c:ser>
        <c:ser>
          <c:idx val="2"/>
          <c:order val="2"/>
          <c:tx>
            <c:strRef>
              <c:f>'Figure 13'!$D$1</c:f>
              <c:strCache>
                <c:ptCount val="1"/>
                <c:pt idx="0">
                  <c:v>VFR</c:v>
                </c:pt>
              </c:strCache>
            </c:strRef>
          </c:tx>
          <c:spPr>
            <a:ln w="28575" cap="rnd">
              <a:solidFill>
                <a:schemeClr val="accent3"/>
              </a:solidFill>
              <a:round/>
            </a:ln>
            <a:effectLst/>
          </c:spPr>
          <c:marker>
            <c:symbol val="none"/>
          </c:marker>
          <c:dPt>
            <c:idx val="13"/>
            <c:marker>
              <c:symbol val="none"/>
            </c:marker>
            <c:bubble3D val="0"/>
            <c:spPr>
              <a:ln w="28575" cap="rnd">
                <a:solidFill>
                  <a:schemeClr val="accent3">
                    <a:lumMod val="60000"/>
                    <a:lumOff val="40000"/>
                  </a:schemeClr>
                </a:solidFill>
                <a:prstDash val="dash"/>
                <a:round/>
              </a:ln>
              <a:effectLst/>
            </c:spPr>
            <c:extLst>
              <c:ext xmlns:c16="http://schemas.microsoft.com/office/drawing/2014/chart" uri="{C3380CC4-5D6E-409C-BE32-E72D297353CC}">
                <c16:uniqueId val="{00000017-6E83-4672-BE5E-70F3DD59D1D1}"/>
              </c:ext>
            </c:extLst>
          </c:dPt>
          <c:dPt>
            <c:idx val="14"/>
            <c:marker>
              <c:symbol val="none"/>
            </c:marker>
            <c:bubble3D val="0"/>
            <c:spPr>
              <a:ln w="28575" cap="rnd">
                <a:solidFill>
                  <a:schemeClr val="accent3">
                    <a:lumMod val="60000"/>
                    <a:lumOff val="40000"/>
                  </a:schemeClr>
                </a:solidFill>
                <a:prstDash val="dash"/>
                <a:round/>
              </a:ln>
              <a:effectLst/>
            </c:spPr>
            <c:extLst>
              <c:ext xmlns:c16="http://schemas.microsoft.com/office/drawing/2014/chart" uri="{C3380CC4-5D6E-409C-BE32-E72D297353CC}">
                <c16:uniqueId val="{00000019-6E83-4672-BE5E-70F3DD59D1D1}"/>
              </c:ext>
            </c:extLst>
          </c:dPt>
          <c:dPt>
            <c:idx val="15"/>
            <c:marker>
              <c:symbol val="none"/>
            </c:marker>
            <c:bubble3D val="0"/>
            <c:spPr>
              <a:ln w="28575" cap="rnd">
                <a:solidFill>
                  <a:schemeClr val="accent3">
                    <a:lumMod val="60000"/>
                    <a:lumOff val="40000"/>
                  </a:schemeClr>
                </a:solidFill>
                <a:prstDash val="dash"/>
                <a:round/>
              </a:ln>
              <a:effectLst/>
            </c:spPr>
            <c:extLst>
              <c:ext xmlns:c16="http://schemas.microsoft.com/office/drawing/2014/chart" uri="{C3380CC4-5D6E-409C-BE32-E72D297353CC}">
                <c16:uniqueId val="{0000001B-6E83-4672-BE5E-70F3DD59D1D1}"/>
              </c:ext>
            </c:extLst>
          </c:dPt>
          <c:dPt>
            <c:idx val="16"/>
            <c:marker>
              <c:symbol val="none"/>
            </c:marker>
            <c:bubble3D val="0"/>
            <c:spPr>
              <a:ln w="28575" cap="rnd">
                <a:solidFill>
                  <a:schemeClr val="accent3">
                    <a:lumMod val="60000"/>
                    <a:lumOff val="40000"/>
                  </a:schemeClr>
                </a:solidFill>
                <a:prstDash val="dash"/>
                <a:round/>
              </a:ln>
              <a:effectLst/>
            </c:spPr>
            <c:extLst>
              <c:ext xmlns:c16="http://schemas.microsoft.com/office/drawing/2014/chart" uri="{C3380CC4-5D6E-409C-BE32-E72D297353CC}">
                <c16:uniqueId val="{0000001D-6E83-4672-BE5E-70F3DD59D1D1}"/>
              </c:ext>
            </c:extLst>
          </c:dPt>
          <c:dPt>
            <c:idx val="17"/>
            <c:marker>
              <c:symbol val="none"/>
            </c:marker>
            <c:bubble3D val="0"/>
            <c:spPr>
              <a:ln w="28575" cap="rnd">
                <a:solidFill>
                  <a:schemeClr val="accent3">
                    <a:lumMod val="60000"/>
                    <a:lumOff val="40000"/>
                  </a:schemeClr>
                </a:solidFill>
                <a:prstDash val="dash"/>
                <a:round/>
              </a:ln>
              <a:effectLst/>
            </c:spPr>
            <c:extLst>
              <c:ext xmlns:c16="http://schemas.microsoft.com/office/drawing/2014/chart" uri="{C3380CC4-5D6E-409C-BE32-E72D297353CC}">
                <c16:uniqueId val="{0000001F-6E83-4672-BE5E-70F3DD59D1D1}"/>
              </c:ext>
            </c:extLst>
          </c:dPt>
          <c:cat>
            <c:strRef>
              <c:f>'Figure 13'!$A$2:$A$19</c:f>
              <c:strCache>
                <c:ptCount val="18"/>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pt idx="16">
                  <c:v>2024-25</c:v>
                </c:pt>
                <c:pt idx="17">
                  <c:v>2025-26</c:v>
                </c:pt>
              </c:strCache>
            </c:strRef>
          </c:cat>
          <c:val>
            <c:numRef>
              <c:f>'Figure 13'!$D$2:$D$19</c:f>
              <c:numCache>
                <c:formatCode>0.0</c:formatCode>
                <c:ptCount val="18"/>
                <c:pt idx="0">
                  <c:v>6.8019999999999996</c:v>
                </c:pt>
                <c:pt idx="1">
                  <c:v>6.52</c:v>
                </c:pt>
                <c:pt idx="2">
                  <c:v>5.9029999999999996</c:v>
                </c:pt>
                <c:pt idx="3">
                  <c:v>6.8259999999999996</c:v>
                </c:pt>
                <c:pt idx="4">
                  <c:v>8.74</c:v>
                </c:pt>
                <c:pt idx="5">
                  <c:v>9.0109999999999992</c:v>
                </c:pt>
                <c:pt idx="6">
                  <c:v>10.109</c:v>
                </c:pt>
                <c:pt idx="7">
                  <c:v>10.295999999999999</c:v>
                </c:pt>
                <c:pt idx="8">
                  <c:v>9.3010000000000002</c:v>
                </c:pt>
                <c:pt idx="9">
                  <c:v>9.82</c:v>
                </c:pt>
                <c:pt idx="10">
                  <c:v>10.816000000000001</c:v>
                </c:pt>
                <c:pt idx="11">
                  <c:v>9.5510000000000002</c:v>
                </c:pt>
                <c:pt idx="12">
                  <c:v>9.3620000000000001</c:v>
                </c:pt>
                <c:pt idx="13">
                  <c:v>10.331100865922574</c:v>
                </c:pt>
                <c:pt idx="14">
                  <c:v>11.102677402106048</c:v>
                </c:pt>
                <c:pt idx="15">
                  <c:v>11.385403883614611</c:v>
                </c:pt>
                <c:pt idx="16">
                  <c:v>11.744133378347394</c:v>
                </c:pt>
                <c:pt idx="17">
                  <c:v>11.917453969737648</c:v>
                </c:pt>
              </c:numCache>
            </c:numRef>
          </c:val>
          <c:smooth val="0"/>
          <c:extLst>
            <c:ext xmlns:c16="http://schemas.microsoft.com/office/drawing/2014/chart" uri="{C3380CC4-5D6E-409C-BE32-E72D297353CC}">
              <c16:uniqueId val="{00000020-6E83-4672-BE5E-70F3DD59D1D1}"/>
            </c:ext>
          </c:extLst>
        </c:ser>
        <c:ser>
          <c:idx val="3"/>
          <c:order val="3"/>
          <c:tx>
            <c:strRef>
              <c:f>'Figure 13'!$E$1</c:f>
              <c:strCache>
                <c:ptCount val="1"/>
                <c:pt idx="0">
                  <c:v>Business</c:v>
                </c:pt>
              </c:strCache>
            </c:strRef>
          </c:tx>
          <c:spPr>
            <a:ln w="28575" cap="rnd">
              <a:solidFill>
                <a:schemeClr val="accent4"/>
              </a:solidFill>
              <a:round/>
            </a:ln>
            <a:effectLst/>
          </c:spPr>
          <c:marker>
            <c:symbol val="none"/>
          </c:marker>
          <c:dPt>
            <c:idx val="13"/>
            <c:marker>
              <c:symbol val="none"/>
            </c:marker>
            <c:bubble3D val="0"/>
            <c:spPr>
              <a:ln w="28575" cap="rnd">
                <a:solidFill>
                  <a:schemeClr val="accent4">
                    <a:lumMod val="60000"/>
                    <a:lumOff val="40000"/>
                  </a:schemeClr>
                </a:solidFill>
                <a:prstDash val="dash"/>
                <a:round/>
              </a:ln>
              <a:effectLst/>
            </c:spPr>
            <c:extLst>
              <c:ext xmlns:c16="http://schemas.microsoft.com/office/drawing/2014/chart" uri="{C3380CC4-5D6E-409C-BE32-E72D297353CC}">
                <c16:uniqueId val="{00000022-6E83-4672-BE5E-70F3DD59D1D1}"/>
              </c:ext>
            </c:extLst>
          </c:dPt>
          <c:dPt>
            <c:idx val="14"/>
            <c:marker>
              <c:symbol val="none"/>
            </c:marker>
            <c:bubble3D val="0"/>
            <c:spPr>
              <a:ln w="28575" cap="rnd">
                <a:solidFill>
                  <a:schemeClr val="accent4">
                    <a:lumMod val="60000"/>
                    <a:lumOff val="40000"/>
                  </a:schemeClr>
                </a:solidFill>
                <a:prstDash val="dash"/>
                <a:round/>
              </a:ln>
              <a:effectLst/>
            </c:spPr>
            <c:extLst>
              <c:ext xmlns:c16="http://schemas.microsoft.com/office/drawing/2014/chart" uri="{C3380CC4-5D6E-409C-BE32-E72D297353CC}">
                <c16:uniqueId val="{00000024-6E83-4672-BE5E-70F3DD59D1D1}"/>
              </c:ext>
            </c:extLst>
          </c:dPt>
          <c:dPt>
            <c:idx val="15"/>
            <c:marker>
              <c:symbol val="none"/>
            </c:marker>
            <c:bubble3D val="0"/>
            <c:spPr>
              <a:ln w="28575" cap="rnd">
                <a:solidFill>
                  <a:schemeClr val="accent4">
                    <a:lumMod val="60000"/>
                    <a:lumOff val="40000"/>
                  </a:schemeClr>
                </a:solidFill>
                <a:prstDash val="dash"/>
                <a:round/>
              </a:ln>
              <a:effectLst/>
            </c:spPr>
            <c:extLst>
              <c:ext xmlns:c16="http://schemas.microsoft.com/office/drawing/2014/chart" uri="{C3380CC4-5D6E-409C-BE32-E72D297353CC}">
                <c16:uniqueId val="{00000026-6E83-4672-BE5E-70F3DD59D1D1}"/>
              </c:ext>
            </c:extLst>
          </c:dPt>
          <c:dPt>
            <c:idx val="16"/>
            <c:marker>
              <c:symbol val="none"/>
            </c:marker>
            <c:bubble3D val="0"/>
            <c:spPr>
              <a:ln w="28575" cap="rnd">
                <a:solidFill>
                  <a:schemeClr val="accent4">
                    <a:lumMod val="60000"/>
                    <a:lumOff val="40000"/>
                  </a:schemeClr>
                </a:solidFill>
                <a:prstDash val="dash"/>
                <a:round/>
              </a:ln>
              <a:effectLst/>
            </c:spPr>
            <c:extLst>
              <c:ext xmlns:c16="http://schemas.microsoft.com/office/drawing/2014/chart" uri="{C3380CC4-5D6E-409C-BE32-E72D297353CC}">
                <c16:uniqueId val="{00000028-6E83-4672-BE5E-70F3DD59D1D1}"/>
              </c:ext>
            </c:extLst>
          </c:dPt>
          <c:dPt>
            <c:idx val="17"/>
            <c:marker>
              <c:symbol val="none"/>
            </c:marker>
            <c:bubble3D val="0"/>
            <c:spPr>
              <a:ln w="28575" cap="rnd">
                <a:solidFill>
                  <a:schemeClr val="accent4">
                    <a:lumMod val="60000"/>
                    <a:lumOff val="40000"/>
                  </a:schemeClr>
                </a:solidFill>
                <a:prstDash val="dash"/>
                <a:round/>
              </a:ln>
              <a:effectLst/>
            </c:spPr>
            <c:extLst>
              <c:ext xmlns:c16="http://schemas.microsoft.com/office/drawing/2014/chart" uri="{C3380CC4-5D6E-409C-BE32-E72D297353CC}">
                <c16:uniqueId val="{0000002A-6E83-4672-BE5E-70F3DD59D1D1}"/>
              </c:ext>
            </c:extLst>
          </c:dPt>
          <c:cat>
            <c:strRef>
              <c:f>'Figure 13'!$A$2:$A$19</c:f>
              <c:strCache>
                <c:ptCount val="18"/>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pt idx="16">
                  <c:v>2024-25</c:v>
                </c:pt>
                <c:pt idx="17">
                  <c:v>2025-26</c:v>
                </c:pt>
              </c:strCache>
            </c:strRef>
          </c:cat>
          <c:val>
            <c:numRef>
              <c:f>'Figure 13'!$E$2:$E$19</c:f>
              <c:numCache>
                <c:formatCode>0.0</c:formatCode>
                <c:ptCount val="18"/>
                <c:pt idx="0">
                  <c:v>5.1130000000000004</c:v>
                </c:pt>
                <c:pt idx="1">
                  <c:v>4.7300000000000004</c:v>
                </c:pt>
                <c:pt idx="2">
                  <c:v>5.6769999999999996</c:v>
                </c:pt>
                <c:pt idx="3">
                  <c:v>7.0869999999999997</c:v>
                </c:pt>
                <c:pt idx="4">
                  <c:v>7.0890000000000004</c:v>
                </c:pt>
                <c:pt idx="5">
                  <c:v>11.426</c:v>
                </c:pt>
                <c:pt idx="6">
                  <c:v>14.554</c:v>
                </c:pt>
                <c:pt idx="7">
                  <c:v>16.439</c:v>
                </c:pt>
                <c:pt idx="8">
                  <c:v>13.141999999999999</c:v>
                </c:pt>
                <c:pt idx="9">
                  <c:v>13.215</c:v>
                </c:pt>
                <c:pt idx="10">
                  <c:v>16.126000000000001</c:v>
                </c:pt>
                <c:pt idx="11">
                  <c:v>18.552</c:v>
                </c:pt>
                <c:pt idx="12">
                  <c:v>14.534000000000001</c:v>
                </c:pt>
                <c:pt idx="13">
                  <c:v>16.209809663841501</c:v>
                </c:pt>
                <c:pt idx="14">
                  <c:v>17.049739203384821</c:v>
                </c:pt>
                <c:pt idx="15">
                  <c:v>18.177444143319907</c:v>
                </c:pt>
                <c:pt idx="16">
                  <c:v>18.632664499885717</c:v>
                </c:pt>
                <c:pt idx="17">
                  <c:v>18.849626557177974</c:v>
                </c:pt>
              </c:numCache>
            </c:numRef>
          </c:val>
          <c:smooth val="0"/>
          <c:extLst>
            <c:ext xmlns:c16="http://schemas.microsoft.com/office/drawing/2014/chart" uri="{C3380CC4-5D6E-409C-BE32-E72D297353CC}">
              <c16:uniqueId val="{0000002B-6E83-4672-BE5E-70F3DD59D1D1}"/>
            </c:ext>
          </c:extLst>
        </c:ser>
        <c:ser>
          <c:idx val="4"/>
          <c:order val="4"/>
          <c:tx>
            <c:strRef>
              <c:f>'Figure 13'!$F$1</c:f>
              <c:strCache>
                <c:ptCount val="1"/>
                <c:pt idx="0">
                  <c:v>Other</c:v>
                </c:pt>
              </c:strCache>
            </c:strRef>
          </c:tx>
          <c:spPr>
            <a:ln w="28575" cap="rnd">
              <a:solidFill>
                <a:schemeClr val="accent5"/>
              </a:solidFill>
              <a:round/>
            </a:ln>
            <a:effectLst/>
          </c:spPr>
          <c:marker>
            <c:symbol val="none"/>
          </c:marker>
          <c:dPt>
            <c:idx val="13"/>
            <c:marker>
              <c:symbol val="none"/>
            </c:marker>
            <c:bubble3D val="0"/>
            <c:spPr>
              <a:ln w="28575" cap="rnd">
                <a:solidFill>
                  <a:schemeClr val="accent5">
                    <a:lumMod val="60000"/>
                    <a:lumOff val="40000"/>
                  </a:schemeClr>
                </a:solidFill>
                <a:prstDash val="dash"/>
                <a:round/>
              </a:ln>
              <a:effectLst/>
            </c:spPr>
            <c:extLst>
              <c:ext xmlns:c16="http://schemas.microsoft.com/office/drawing/2014/chart" uri="{C3380CC4-5D6E-409C-BE32-E72D297353CC}">
                <c16:uniqueId val="{0000002D-6E83-4672-BE5E-70F3DD59D1D1}"/>
              </c:ext>
            </c:extLst>
          </c:dPt>
          <c:dPt>
            <c:idx val="14"/>
            <c:marker>
              <c:symbol val="none"/>
            </c:marker>
            <c:bubble3D val="0"/>
            <c:spPr>
              <a:ln w="28575" cap="rnd">
                <a:solidFill>
                  <a:schemeClr val="accent5">
                    <a:lumMod val="60000"/>
                    <a:lumOff val="40000"/>
                  </a:schemeClr>
                </a:solidFill>
                <a:prstDash val="dash"/>
                <a:round/>
              </a:ln>
              <a:effectLst/>
            </c:spPr>
            <c:extLst>
              <c:ext xmlns:c16="http://schemas.microsoft.com/office/drawing/2014/chart" uri="{C3380CC4-5D6E-409C-BE32-E72D297353CC}">
                <c16:uniqueId val="{0000002F-6E83-4672-BE5E-70F3DD59D1D1}"/>
              </c:ext>
            </c:extLst>
          </c:dPt>
          <c:dPt>
            <c:idx val="15"/>
            <c:marker>
              <c:symbol val="none"/>
            </c:marker>
            <c:bubble3D val="0"/>
            <c:spPr>
              <a:ln w="28575" cap="rnd">
                <a:solidFill>
                  <a:schemeClr val="accent5">
                    <a:lumMod val="60000"/>
                    <a:lumOff val="40000"/>
                  </a:schemeClr>
                </a:solidFill>
                <a:prstDash val="dash"/>
                <a:round/>
              </a:ln>
              <a:effectLst/>
            </c:spPr>
            <c:extLst>
              <c:ext xmlns:c16="http://schemas.microsoft.com/office/drawing/2014/chart" uri="{C3380CC4-5D6E-409C-BE32-E72D297353CC}">
                <c16:uniqueId val="{00000031-6E83-4672-BE5E-70F3DD59D1D1}"/>
              </c:ext>
            </c:extLst>
          </c:dPt>
          <c:dPt>
            <c:idx val="16"/>
            <c:marker>
              <c:symbol val="none"/>
            </c:marker>
            <c:bubble3D val="0"/>
            <c:spPr>
              <a:ln w="28575" cap="rnd">
                <a:solidFill>
                  <a:schemeClr val="accent5">
                    <a:lumMod val="60000"/>
                    <a:lumOff val="40000"/>
                  </a:schemeClr>
                </a:solidFill>
                <a:prstDash val="dash"/>
                <a:round/>
              </a:ln>
              <a:effectLst/>
            </c:spPr>
            <c:extLst>
              <c:ext xmlns:c16="http://schemas.microsoft.com/office/drawing/2014/chart" uri="{C3380CC4-5D6E-409C-BE32-E72D297353CC}">
                <c16:uniqueId val="{00000033-6E83-4672-BE5E-70F3DD59D1D1}"/>
              </c:ext>
            </c:extLst>
          </c:dPt>
          <c:dPt>
            <c:idx val="17"/>
            <c:marker>
              <c:symbol val="none"/>
            </c:marker>
            <c:bubble3D val="0"/>
            <c:spPr>
              <a:ln w="28575" cap="rnd">
                <a:solidFill>
                  <a:schemeClr val="accent5">
                    <a:lumMod val="60000"/>
                    <a:lumOff val="40000"/>
                  </a:schemeClr>
                </a:solidFill>
                <a:prstDash val="dash"/>
                <a:round/>
              </a:ln>
              <a:effectLst/>
            </c:spPr>
            <c:extLst>
              <c:ext xmlns:c16="http://schemas.microsoft.com/office/drawing/2014/chart" uri="{C3380CC4-5D6E-409C-BE32-E72D297353CC}">
                <c16:uniqueId val="{00000035-6E83-4672-BE5E-70F3DD59D1D1}"/>
              </c:ext>
            </c:extLst>
          </c:dPt>
          <c:cat>
            <c:strRef>
              <c:f>'Figure 13'!$A$2:$A$19</c:f>
              <c:strCache>
                <c:ptCount val="18"/>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pt idx="16">
                  <c:v>2024-25</c:v>
                </c:pt>
                <c:pt idx="17">
                  <c:v>2025-26</c:v>
                </c:pt>
              </c:strCache>
            </c:strRef>
          </c:cat>
          <c:val>
            <c:numRef>
              <c:f>'Figure 13'!$F$2:$F$19</c:f>
              <c:numCache>
                <c:formatCode>0.0</c:formatCode>
                <c:ptCount val="18"/>
                <c:pt idx="0">
                  <c:v>1.0389999999999999</c:v>
                </c:pt>
                <c:pt idx="1">
                  <c:v>0.873</c:v>
                </c:pt>
                <c:pt idx="2">
                  <c:v>1.5960000000000001</c:v>
                </c:pt>
                <c:pt idx="3">
                  <c:v>1.333</c:v>
                </c:pt>
                <c:pt idx="4">
                  <c:v>1.2789999999999999</c:v>
                </c:pt>
                <c:pt idx="5">
                  <c:v>1.5509999999999999</c:v>
                </c:pt>
                <c:pt idx="6">
                  <c:v>1.7230000000000001</c:v>
                </c:pt>
                <c:pt idx="7">
                  <c:v>1.7210000000000001</c:v>
                </c:pt>
                <c:pt idx="8">
                  <c:v>1.944</c:v>
                </c:pt>
                <c:pt idx="9">
                  <c:v>2.641</c:v>
                </c:pt>
                <c:pt idx="10">
                  <c:v>2.1680000000000001</c:v>
                </c:pt>
                <c:pt idx="11">
                  <c:v>1.6419999999999999</c:v>
                </c:pt>
                <c:pt idx="12">
                  <c:v>2.794</c:v>
                </c:pt>
                <c:pt idx="13">
                  <c:v>2.3640159316056581</c:v>
                </c:pt>
                <c:pt idx="14">
                  <c:v>2.404030674667518</c:v>
                </c:pt>
                <c:pt idx="15">
                  <c:v>2.3924695654183084</c:v>
                </c:pt>
                <c:pt idx="16">
                  <c:v>2.3958487598410145</c:v>
                </c:pt>
                <c:pt idx="17">
                  <c:v>2.431647706532694</c:v>
                </c:pt>
              </c:numCache>
            </c:numRef>
          </c:val>
          <c:smooth val="0"/>
          <c:extLst>
            <c:ext xmlns:c16="http://schemas.microsoft.com/office/drawing/2014/chart" uri="{C3380CC4-5D6E-409C-BE32-E72D297353CC}">
              <c16:uniqueId val="{00000036-6E83-4672-BE5E-70F3DD59D1D1}"/>
            </c:ext>
          </c:extLst>
        </c:ser>
        <c:dLbls>
          <c:showLegendKey val="0"/>
          <c:showVal val="0"/>
          <c:showCatName val="0"/>
          <c:showSerName val="0"/>
          <c:showPercent val="0"/>
          <c:showBubbleSize val="0"/>
        </c:dLbls>
        <c:smooth val="0"/>
        <c:axId val="1296576927"/>
        <c:axId val="1296588991"/>
      </c:lineChart>
      <c:catAx>
        <c:axId val="12965769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96588991"/>
        <c:crosses val="autoZero"/>
        <c:auto val="1"/>
        <c:lblAlgn val="ctr"/>
        <c:lblOffset val="100"/>
        <c:noMultiLvlLbl val="0"/>
      </c:catAx>
      <c:valAx>
        <c:axId val="129658899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96576927"/>
        <c:crosses val="autoZero"/>
        <c:crossBetween val="between"/>
        <c:majorUnit val="25"/>
      </c:valAx>
      <c:spPr>
        <a:noFill/>
        <a:ln>
          <a:noFill/>
        </a:ln>
        <a:effectLst/>
      </c:spPr>
    </c:plotArea>
    <c:legend>
      <c:legendPos val="b"/>
      <c:layout>
        <c:manualLayout>
          <c:xMode val="edge"/>
          <c:yMode val="edge"/>
          <c:x val="0.12551290463692039"/>
          <c:y val="3.0337309354729974E-2"/>
          <c:w val="0.8186187664041995"/>
          <c:h val="8.3427512737378418E-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091426071741035"/>
          <c:y val="0.15411605485793098"/>
          <c:w val="0.84853018372703415"/>
          <c:h val="0.62835001141186797"/>
        </c:manualLayout>
      </c:layout>
      <c:lineChart>
        <c:grouping val="standard"/>
        <c:varyColors val="0"/>
        <c:ser>
          <c:idx val="0"/>
          <c:order val="0"/>
          <c:tx>
            <c:strRef>
              <c:f>'Figure 14'!$B$1</c:f>
              <c:strCache>
                <c:ptCount val="1"/>
                <c:pt idx="0">
                  <c:v>Total</c:v>
                </c:pt>
              </c:strCache>
            </c:strRef>
          </c:tx>
          <c:spPr>
            <a:ln w="28575" cap="rnd">
              <a:solidFill>
                <a:schemeClr val="accent1"/>
              </a:solidFill>
              <a:round/>
            </a:ln>
            <a:effectLst/>
          </c:spPr>
          <c:marker>
            <c:symbol val="none"/>
          </c:marker>
          <c:dPt>
            <c:idx val="13"/>
            <c:marker>
              <c:symbol val="none"/>
            </c:marker>
            <c:bubble3D val="0"/>
            <c:spPr>
              <a:ln w="28575" cap="rnd">
                <a:solidFill>
                  <a:schemeClr val="accent1">
                    <a:lumMod val="60000"/>
                    <a:lumOff val="40000"/>
                  </a:schemeClr>
                </a:solidFill>
                <a:prstDash val="dash"/>
                <a:round/>
              </a:ln>
              <a:effectLst/>
            </c:spPr>
            <c:extLst>
              <c:ext xmlns:c16="http://schemas.microsoft.com/office/drawing/2014/chart" uri="{C3380CC4-5D6E-409C-BE32-E72D297353CC}">
                <c16:uniqueId val="{00000001-A4B2-43FE-A1B3-5A6CB735B092}"/>
              </c:ext>
            </c:extLst>
          </c:dPt>
          <c:dPt>
            <c:idx val="14"/>
            <c:marker>
              <c:symbol val="none"/>
            </c:marker>
            <c:bubble3D val="0"/>
            <c:spPr>
              <a:ln w="28575" cap="rnd">
                <a:solidFill>
                  <a:schemeClr val="accent1">
                    <a:lumMod val="60000"/>
                    <a:lumOff val="40000"/>
                  </a:schemeClr>
                </a:solidFill>
                <a:prstDash val="dash"/>
                <a:round/>
              </a:ln>
              <a:effectLst/>
            </c:spPr>
            <c:extLst>
              <c:ext xmlns:c16="http://schemas.microsoft.com/office/drawing/2014/chart" uri="{C3380CC4-5D6E-409C-BE32-E72D297353CC}">
                <c16:uniqueId val="{00000003-A4B2-43FE-A1B3-5A6CB735B092}"/>
              </c:ext>
            </c:extLst>
          </c:dPt>
          <c:dPt>
            <c:idx val="15"/>
            <c:marker>
              <c:symbol val="none"/>
            </c:marker>
            <c:bubble3D val="0"/>
            <c:spPr>
              <a:ln w="28575" cap="rnd">
                <a:solidFill>
                  <a:schemeClr val="accent1">
                    <a:lumMod val="60000"/>
                    <a:lumOff val="40000"/>
                  </a:schemeClr>
                </a:solidFill>
                <a:prstDash val="dash"/>
                <a:round/>
              </a:ln>
              <a:effectLst/>
            </c:spPr>
            <c:extLst>
              <c:ext xmlns:c16="http://schemas.microsoft.com/office/drawing/2014/chart" uri="{C3380CC4-5D6E-409C-BE32-E72D297353CC}">
                <c16:uniqueId val="{00000005-A4B2-43FE-A1B3-5A6CB735B092}"/>
              </c:ext>
            </c:extLst>
          </c:dPt>
          <c:dPt>
            <c:idx val="16"/>
            <c:marker>
              <c:symbol val="none"/>
            </c:marker>
            <c:bubble3D val="0"/>
            <c:spPr>
              <a:ln w="28575" cap="rnd">
                <a:solidFill>
                  <a:schemeClr val="accent1">
                    <a:lumMod val="60000"/>
                    <a:lumOff val="40000"/>
                  </a:schemeClr>
                </a:solidFill>
                <a:prstDash val="dash"/>
                <a:round/>
              </a:ln>
              <a:effectLst/>
            </c:spPr>
            <c:extLst>
              <c:ext xmlns:c16="http://schemas.microsoft.com/office/drawing/2014/chart" uri="{C3380CC4-5D6E-409C-BE32-E72D297353CC}">
                <c16:uniqueId val="{00000007-A4B2-43FE-A1B3-5A6CB735B092}"/>
              </c:ext>
            </c:extLst>
          </c:dPt>
          <c:dPt>
            <c:idx val="17"/>
            <c:marker>
              <c:symbol val="none"/>
            </c:marker>
            <c:bubble3D val="0"/>
            <c:spPr>
              <a:ln w="28575" cap="rnd">
                <a:solidFill>
                  <a:schemeClr val="accent1">
                    <a:lumMod val="60000"/>
                    <a:lumOff val="40000"/>
                  </a:schemeClr>
                </a:solidFill>
                <a:prstDash val="dash"/>
                <a:round/>
              </a:ln>
              <a:effectLst/>
            </c:spPr>
            <c:extLst>
              <c:ext xmlns:c16="http://schemas.microsoft.com/office/drawing/2014/chart" uri="{C3380CC4-5D6E-409C-BE32-E72D297353CC}">
                <c16:uniqueId val="{00000009-A4B2-43FE-A1B3-5A6CB735B092}"/>
              </c:ext>
            </c:extLst>
          </c:dPt>
          <c:cat>
            <c:strRef>
              <c:f>'Figure 14'!$A$2:$A$19</c:f>
              <c:strCache>
                <c:ptCount val="18"/>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pt idx="16">
                  <c:v>2024-25</c:v>
                </c:pt>
                <c:pt idx="17">
                  <c:v>2025-26</c:v>
                </c:pt>
              </c:strCache>
            </c:strRef>
          </c:cat>
          <c:val>
            <c:numRef>
              <c:f>'Figure 14'!$B$2:$B$19</c:f>
              <c:numCache>
                <c:formatCode>0.0</c:formatCode>
                <c:ptCount val="18"/>
                <c:pt idx="0">
                  <c:v>8.3620000000000001</c:v>
                </c:pt>
                <c:pt idx="1">
                  <c:v>8.84</c:v>
                </c:pt>
                <c:pt idx="2">
                  <c:v>7.8150000000000004</c:v>
                </c:pt>
                <c:pt idx="3">
                  <c:v>8.7739999999999991</c:v>
                </c:pt>
                <c:pt idx="4">
                  <c:v>9.0020000000000007</c:v>
                </c:pt>
                <c:pt idx="5">
                  <c:v>9.4849999999999994</c:v>
                </c:pt>
                <c:pt idx="6">
                  <c:v>9.3140000000000001</c:v>
                </c:pt>
                <c:pt idx="7">
                  <c:v>10.167</c:v>
                </c:pt>
                <c:pt idx="8">
                  <c:v>11.196</c:v>
                </c:pt>
                <c:pt idx="9">
                  <c:v>11.664</c:v>
                </c:pt>
                <c:pt idx="10">
                  <c:v>12.815</c:v>
                </c:pt>
                <c:pt idx="11">
                  <c:v>11.132</c:v>
                </c:pt>
                <c:pt idx="12">
                  <c:v>11.215999999999999</c:v>
                </c:pt>
                <c:pt idx="13">
                  <c:v>10.411294620146448</c:v>
                </c:pt>
                <c:pt idx="14">
                  <c:v>12.890297722926627</c:v>
                </c:pt>
                <c:pt idx="15">
                  <c:v>13.47945260958361</c:v>
                </c:pt>
                <c:pt idx="16">
                  <c:v>14.153523860412365</c:v>
                </c:pt>
                <c:pt idx="17">
                  <c:v>14.356786897787988</c:v>
                </c:pt>
              </c:numCache>
            </c:numRef>
          </c:val>
          <c:smooth val="0"/>
          <c:extLst>
            <c:ext xmlns:c16="http://schemas.microsoft.com/office/drawing/2014/chart" uri="{C3380CC4-5D6E-409C-BE32-E72D297353CC}">
              <c16:uniqueId val="{0000000A-A4B2-43FE-A1B3-5A6CB735B092}"/>
            </c:ext>
          </c:extLst>
        </c:ser>
        <c:ser>
          <c:idx val="1"/>
          <c:order val="1"/>
          <c:tx>
            <c:strRef>
              <c:f>'Figure 14'!$C$1</c:f>
              <c:strCache>
                <c:ptCount val="1"/>
                <c:pt idx="0">
                  <c:v>Holiday</c:v>
                </c:pt>
              </c:strCache>
            </c:strRef>
          </c:tx>
          <c:spPr>
            <a:ln w="28575" cap="rnd">
              <a:solidFill>
                <a:schemeClr val="accent2"/>
              </a:solidFill>
              <a:round/>
            </a:ln>
            <a:effectLst/>
          </c:spPr>
          <c:marker>
            <c:symbol val="none"/>
          </c:marker>
          <c:dPt>
            <c:idx val="13"/>
            <c:marker>
              <c:symbol val="none"/>
            </c:marker>
            <c:bubble3D val="0"/>
            <c:spPr>
              <a:ln w="28575" cap="rnd">
                <a:solidFill>
                  <a:schemeClr val="accent2">
                    <a:lumMod val="60000"/>
                    <a:lumOff val="40000"/>
                  </a:schemeClr>
                </a:solidFill>
                <a:prstDash val="dash"/>
                <a:round/>
              </a:ln>
              <a:effectLst/>
            </c:spPr>
            <c:extLst>
              <c:ext xmlns:c16="http://schemas.microsoft.com/office/drawing/2014/chart" uri="{C3380CC4-5D6E-409C-BE32-E72D297353CC}">
                <c16:uniqueId val="{0000000C-A4B2-43FE-A1B3-5A6CB735B092}"/>
              </c:ext>
            </c:extLst>
          </c:dPt>
          <c:dPt>
            <c:idx val="14"/>
            <c:marker>
              <c:symbol val="none"/>
            </c:marker>
            <c:bubble3D val="0"/>
            <c:spPr>
              <a:ln w="28575" cap="rnd">
                <a:solidFill>
                  <a:schemeClr val="accent2">
                    <a:lumMod val="60000"/>
                    <a:lumOff val="40000"/>
                  </a:schemeClr>
                </a:solidFill>
                <a:prstDash val="dash"/>
                <a:round/>
              </a:ln>
              <a:effectLst/>
            </c:spPr>
            <c:extLst>
              <c:ext xmlns:c16="http://schemas.microsoft.com/office/drawing/2014/chart" uri="{C3380CC4-5D6E-409C-BE32-E72D297353CC}">
                <c16:uniqueId val="{0000000E-A4B2-43FE-A1B3-5A6CB735B092}"/>
              </c:ext>
            </c:extLst>
          </c:dPt>
          <c:dPt>
            <c:idx val="15"/>
            <c:marker>
              <c:symbol val="none"/>
            </c:marker>
            <c:bubble3D val="0"/>
            <c:spPr>
              <a:ln w="28575" cap="rnd">
                <a:solidFill>
                  <a:schemeClr val="accent2">
                    <a:lumMod val="60000"/>
                    <a:lumOff val="40000"/>
                  </a:schemeClr>
                </a:solidFill>
                <a:prstDash val="dash"/>
                <a:round/>
              </a:ln>
              <a:effectLst/>
            </c:spPr>
            <c:extLst>
              <c:ext xmlns:c16="http://schemas.microsoft.com/office/drawing/2014/chart" uri="{C3380CC4-5D6E-409C-BE32-E72D297353CC}">
                <c16:uniqueId val="{00000010-A4B2-43FE-A1B3-5A6CB735B092}"/>
              </c:ext>
            </c:extLst>
          </c:dPt>
          <c:dPt>
            <c:idx val="16"/>
            <c:marker>
              <c:symbol val="none"/>
            </c:marker>
            <c:bubble3D val="0"/>
            <c:spPr>
              <a:ln w="28575" cap="rnd">
                <a:solidFill>
                  <a:schemeClr val="accent2">
                    <a:lumMod val="60000"/>
                    <a:lumOff val="40000"/>
                  </a:schemeClr>
                </a:solidFill>
                <a:prstDash val="dash"/>
                <a:round/>
              </a:ln>
              <a:effectLst/>
            </c:spPr>
            <c:extLst>
              <c:ext xmlns:c16="http://schemas.microsoft.com/office/drawing/2014/chart" uri="{C3380CC4-5D6E-409C-BE32-E72D297353CC}">
                <c16:uniqueId val="{00000012-A4B2-43FE-A1B3-5A6CB735B092}"/>
              </c:ext>
            </c:extLst>
          </c:dPt>
          <c:dPt>
            <c:idx val="17"/>
            <c:marker>
              <c:symbol val="none"/>
            </c:marker>
            <c:bubble3D val="0"/>
            <c:spPr>
              <a:ln w="28575" cap="rnd">
                <a:solidFill>
                  <a:schemeClr val="accent2">
                    <a:lumMod val="60000"/>
                    <a:lumOff val="40000"/>
                  </a:schemeClr>
                </a:solidFill>
                <a:prstDash val="dash"/>
                <a:round/>
              </a:ln>
              <a:effectLst/>
            </c:spPr>
            <c:extLst>
              <c:ext xmlns:c16="http://schemas.microsoft.com/office/drawing/2014/chart" uri="{C3380CC4-5D6E-409C-BE32-E72D297353CC}">
                <c16:uniqueId val="{00000014-A4B2-43FE-A1B3-5A6CB735B092}"/>
              </c:ext>
            </c:extLst>
          </c:dPt>
          <c:cat>
            <c:strRef>
              <c:f>'Figure 14'!$A$2:$A$19</c:f>
              <c:strCache>
                <c:ptCount val="18"/>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pt idx="16">
                  <c:v>2024-25</c:v>
                </c:pt>
                <c:pt idx="17">
                  <c:v>2025-26</c:v>
                </c:pt>
              </c:strCache>
            </c:strRef>
          </c:cat>
          <c:val>
            <c:numRef>
              <c:f>'Figure 14'!$C$2:$C$19</c:f>
              <c:numCache>
                <c:formatCode>0.0</c:formatCode>
                <c:ptCount val="18"/>
                <c:pt idx="0">
                  <c:v>4.95</c:v>
                </c:pt>
                <c:pt idx="1">
                  <c:v>5.617</c:v>
                </c:pt>
                <c:pt idx="2">
                  <c:v>4.4809999999999999</c:v>
                </c:pt>
                <c:pt idx="3">
                  <c:v>4.9379999999999997</c:v>
                </c:pt>
                <c:pt idx="4">
                  <c:v>5.0599999999999996</c:v>
                </c:pt>
                <c:pt idx="5">
                  <c:v>5.6829999999999998</c:v>
                </c:pt>
                <c:pt idx="6">
                  <c:v>5.2530000000000001</c:v>
                </c:pt>
                <c:pt idx="7">
                  <c:v>5.9240000000000004</c:v>
                </c:pt>
                <c:pt idx="8">
                  <c:v>6.2229999999999999</c:v>
                </c:pt>
                <c:pt idx="9">
                  <c:v>6.7249999999999996</c:v>
                </c:pt>
                <c:pt idx="10">
                  <c:v>7.3849999999999998</c:v>
                </c:pt>
                <c:pt idx="11">
                  <c:v>6.0519999999999996</c:v>
                </c:pt>
                <c:pt idx="12">
                  <c:v>5.9649999999999999</c:v>
                </c:pt>
                <c:pt idx="13">
                  <c:v>5.1169470011277189</c:v>
                </c:pt>
                <c:pt idx="14">
                  <c:v>7.1747805774184776</c:v>
                </c:pt>
                <c:pt idx="15">
                  <c:v>7.4797921045462035</c:v>
                </c:pt>
                <c:pt idx="16">
                  <c:v>7.9097341947479123</c:v>
                </c:pt>
                <c:pt idx="17">
                  <c:v>8.0264357033569826</c:v>
                </c:pt>
              </c:numCache>
            </c:numRef>
          </c:val>
          <c:smooth val="0"/>
          <c:extLst>
            <c:ext xmlns:c16="http://schemas.microsoft.com/office/drawing/2014/chart" uri="{C3380CC4-5D6E-409C-BE32-E72D297353CC}">
              <c16:uniqueId val="{00000015-A4B2-43FE-A1B3-5A6CB735B092}"/>
            </c:ext>
          </c:extLst>
        </c:ser>
        <c:ser>
          <c:idx val="2"/>
          <c:order val="2"/>
          <c:tx>
            <c:strRef>
              <c:f>'Figure 14'!$D$1</c:f>
              <c:strCache>
                <c:ptCount val="1"/>
                <c:pt idx="0">
                  <c:v>VFR</c:v>
                </c:pt>
              </c:strCache>
            </c:strRef>
          </c:tx>
          <c:spPr>
            <a:ln w="28575" cap="rnd">
              <a:solidFill>
                <a:schemeClr val="accent3"/>
              </a:solidFill>
              <a:round/>
            </a:ln>
            <a:effectLst/>
          </c:spPr>
          <c:marker>
            <c:symbol val="none"/>
          </c:marker>
          <c:dPt>
            <c:idx val="13"/>
            <c:marker>
              <c:symbol val="none"/>
            </c:marker>
            <c:bubble3D val="0"/>
            <c:spPr>
              <a:ln w="28575" cap="rnd">
                <a:solidFill>
                  <a:schemeClr val="accent3">
                    <a:lumMod val="60000"/>
                    <a:lumOff val="40000"/>
                  </a:schemeClr>
                </a:solidFill>
                <a:prstDash val="dash"/>
                <a:round/>
              </a:ln>
              <a:effectLst/>
            </c:spPr>
            <c:extLst>
              <c:ext xmlns:c16="http://schemas.microsoft.com/office/drawing/2014/chart" uri="{C3380CC4-5D6E-409C-BE32-E72D297353CC}">
                <c16:uniqueId val="{00000017-A4B2-43FE-A1B3-5A6CB735B092}"/>
              </c:ext>
            </c:extLst>
          </c:dPt>
          <c:dPt>
            <c:idx val="14"/>
            <c:marker>
              <c:symbol val="none"/>
            </c:marker>
            <c:bubble3D val="0"/>
            <c:spPr>
              <a:ln w="28575" cap="rnd">
                <a:solidFill>
                  <a:schemeClr val="accent3">
                    <a:lumMod val="60000"/>
                    <a:lumOff val="40000"/>
                  </a:schemeClr>
                </a:solidFill>
                <a:prstDash val="dash"/>
                <a:round/>
              </a:ln>
              <a:effectLst/>
            </c:spPr>
            <c:extLst>
              <c:ext xmlns:c16="http://schemas.microsoft.com/office/drawing/2014/chart" uri="{C3380CC4-5D6E-409C-BE32-E72D297353CC}">
                <c16:uniqueId val="{00000019-A4B2-43FE-A1B3-5A6CB735B092}"/>
              </c:ext>
            </c:extLst>
          </c:dPt>
          <c:dPt>
            <c:idx val="15"/>
            <c:marker>
              <c:symbol val="none"/>
            </c:marker>
            <c:bubble3D val="0"/>
            <c:spPr>
              <a:ln w="28575" cap="rnd">
                <a:solidFill>
                  <a:schemeClr val="accent3">
                    <a:lumMod val="60000"/>
                    <a:lumOff val="40000"/>
                  </a:schemeClr>
                </a:solidFill>
                <a:prstDash val="dash"/>
                <a:round/>
              </a:ln>
              <a:effectLst/>
            </c:spPr>
            <c:extLst>
              <c:ext xmlns:c16="http://schemas.microsoft.com/office/drawing/2014/chart" uri="{C3380CC4-5D6E-409C-BE32-E72D297353CC}">
                <c16:uniqueId val="{0000001B-A4B2-43FE-A1B3-5A6CB735B092}"/>
              </c:ext>
            </c:extLst>
          </c:dPt>
          <c:dPt>
            <c:idx val="16"/>
            <c:marker>
              <c:symbol val="none"/>
            </c:marker>
            <c:bubble3D val="0"/>
            <c:spPr>
              <a:ln w="28575" cap="rnd">
                <a:solidFill>
                  <a:schemeClr val="accent3">
                    <a:lumMod val="60000"/>
                    <a:lumOff val="40000"/>
                  </a:schemeClr>
                </a:solidFill>
                <a:prstDash val="dash"/>
                <a:round/>
              </a:ln>
              <a:effectLst/>
            </c:spPr>
            <c:extLst>
              <c:ext xmlns:c16="http://schemas.microsoft.com/office/drawing/2014/chart" uri="{C3380CC4-5D6E-409C-BE32-E72D297353CC}">
                <c16:uniqueId val="{0000001D-A4B2-43FE-A1B3-5A6CB735B092}"/>
              </c:ext>
            </c:extLst>
          </c:dPt>
          <c:dPt>
            <c:idx val="17"/>
            <c:marker>
              <c:symbol val="none"/>
            </c:marker>
            <c:bubble3D val="0"/>
            <c:spPr>
              <a:ln w="28575" cap="rnd">
                <a:solidFill>
                  <a:schemeClr val="accent3">
                    <a:lumMod val="60000"/>
                    <a:lumOff val="40000"/>
                  </a:schemeClr>
                </a:solidFill>
                <a:prstDash val="dash"/>
                <a:round/>
              </a:ln>
              <a:effectLst/>
            </c:spPr>
            <c:extLst>
              <c:ext xmlns:c16="http://schemas.microsoft.com/office/drawing/2014/chart" uri="{C3380CC4-5D6E-409C-BE32-E72D297353CC}">
                <c16:uniqueId val="{0000001F-A4B2-43FE-A1B3-5A6CB735B092}"/>
              </c:ext>
            </c:extLst>
          </c:dPt>
          <c:cat>
            <c:strRef>
              <c:f>'Figure 14'!$A$2:$A$19</c:f>
              <c:strCache>
                <c:ptCount val="18"/>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pt idx="16">
                  <c:v>2024-25</c:v>
                </c:pt>
                <c:pt idx="17">
                  <c:v>2025-26</c:v>
                </c:pt>
              </c:strCache>
            </c:strRef>
          </c:cat>
          <c:val>
            <c:numRef>
              <c:f>'Figure 14'!$D$2:$D$19</c:f>
              <c:numCache>
                <c:formatCode>0.0</c:formatCode>
                <c:ptCount val="18"/>
                <c:pt idx="0">
                  <c:v>2.3069999999999999</c:v>
                </c:pt>
                <c:pt idx="1">
                  <c:v>1.9319999999999999</c:v>
                </c:pt>
                <c:pt idx="2">
                  <c:v>1.883</c:v>
                </c:pt>
                <c:pt idx="3">
                  <c:v>2.7509999999999999</c:v>
                </c:pt>
                <c:pt idx="4">
                  <c:v>2.4820000000000002</c:v>
                </c:pt>
                <c:pt idx="5">
                  <c:v>2.3809999999999998</c:v>
                </c:pt>
                <c:pt idx="6">
                  <c:v>2.403</c:v>
                </c:pt>
                <c:pt idx="7">
                  <c:v>2.4790000000000001</c:v>
                </c:pt>
                <c:pt idx="8">
                  <c:v>3.2050000000000001</c:v>
                </c:pt>
                <c:pt idx="9">
                  <c:v>2.8</c:v>
                </c:pt>
                <c:pt idx="10">
                  <c:v>3.242</c:v>
                </c:pt>
                <c:pt idx="11">
                  <c:v>2.8370000000000002</c:v>
                </c:pt>
                <c:pt idx="12">
                  <c:v>3.4239999999999999</c:v>
                </c:pt>
                <c:pt idx="13">
                  <c:v>3.2405725911470658</c:v>
                </c:pt>
                <c:pt idx="14">
                  <c:v>3.4447055030633469</c:v>
                </c:pt>
                <c:pt idx="15">
                  <c:v>3.5770856983966564</c:v>
                </c:pt>
                <c:pt idx="16">
                  <c:v>3.7525483219328373</c:v>
                </c:pt>
                <c:pt idx="17">
                  <c:v>3.7894044501804962</c:v>
                </c:pt>
              </c:numCache>
            </c:numRef>
          </c:val>
          <c:smooth val="0"/>
          <c:extLst>
            <c:ext xmlns:c16="http://schemas.microsoft.com/office/drawing/2014/chart" uri="{C3380CC4-5D6E-409C-BE32-E72D297353CC}">
              <c16:uniqueId val="{00000020-A4B2-43FE-A1B3-5A6CB735B092}"/>
            </c:ext>
          </c:extLst>
        </c:ser>
        <c:ser>
          <c:idx val="3"/>
          <c:order val="3"/>
          <c:tx>
            <c:strRef>
              <c:f>'Figure 14'!$E$1</c:f>
              <c:strCache>
                <c:ptCount val="1"/>
                <c:pt idx="0">
                  <c:v>Business</c:v>
                </c:pt>
              </c:strCache>
            </c:strRef>
          </c:tx>
          <c:spPr>
            <a:ln w="28575" cap="rnd">
              <a:solidFill>
                <a:schemeClr val="accent4"/>
              </a:solidFill>
              <a:round/>
            </a:ln>
            <a:effectLst/>
          </c:spPr>
          <c:marker>
            <c:symbol val="none"/>
          </c:marker>
          <c:dPt>
            <c:idx val="13"/>
            <c:marker>
              <c:symbol val="none"/>
            </c:marker>
            <c:bubble3D val="0"/>
            <c:spPr>
              <a:ln w="28575" cap="rnd">
                <a:solidFill>
                  <a:schemeClr val="accent4">
                    <a:lumMod val="60000"/>
                    <a:lumOff val="40000"/>
                  </a:schemeClr>
                </a:solidFill>
                <a:prstDash val="dash"/>
                <a:round/>
              </a:ln>
              <a:effectLst/>
            </c:spPr>
            <c:extLst>
              <c:ext xmlns:c16="http://schemas.microsoft.com/office/drawing/2014/chart" uri="{C3380CC4-5D6E-409C-BE32-E72D297353CC}">
                <c16:uniqueId val="{00000022-A4B2-43FE-A1B3-5A6CB735B092}"/>
              </c:ext>
            </c:extLst>
          </c:dPt>
          <c:dPt>
            <c:idx val="14"/>
            <c:marker>
              <c:symbol val="none"/>
            </c:marker>
            <c:bubble3D val="0"/>
            <c:spPr>
              <a:ln w="28575" cap="rnd">
                <a:solidFill>
                  <a:schemeClr val="accent4">
                    <a:lumMod val="60000"/>
                    <a:lumOff val="40000"/>
                  </a:schemeClr>
                </a:solidFill>
                <a:prstDash val="dash"/>
                <a:round/>
              </a:ln>
              <a:effectLst/>
            </c:spPr>
            <c:extLst>
              <c:ext xmlns:c16="http://schemas.microsoft.com/office/drawing/2014/chart" uri="{C3380CC4-5D6E-409C-BE32-E72D297353CC}">
                <c16:uniqueId val="{00000024-A4B2-43FE-A1B3-5A6CB735B092}"/>
              </c:ext>
            </c:extLst>
          </c:dPt>
          <c:dPt>
            <c:idx val="15"/>
            <c:marker>
              <c:symbol val="none"/>
            </c:marker>
            <c:bubble3D val="0"/>
            <c:spPr>
              <a:ln w="28575" cap="rnd">
                <a:solidFill>
                  <a:schemeClr val="accent4">
                    <a:lumMod val="60000"/>
                    <a:lumOff val="40000"/>
                  </a:schemeClr>
                </a:solidFill>
                <a:prstDash val="dash"/>
                <a:round/>
              </a:ln>
              <a:effectLst/>
            </c:spPr>
            <c:extLst>
              <c:ext xmlns:c16="http://schemas.microsoft.com/office/drawing/2014/chart" uri="{C3380CC4-5D6E-409C-BE32-E72D297353CC}">
                <c16:uniqueId val="{00000026-A4B2-43FE-A1B3-5A6CB735B092}"/>
              </c:ext>
            </c:extLst>
          </c:dPt>
          <c:dPt>
            <c:idx val="16"/>
            <c:marker>
              <c:symbol val="none"/>
            </c:marker>
            <c:bubble3D val="0"/>
            <c:spPr>
              <a:ln w="28575" cap="rnd">
                <a:solidFill>
                  <a:schemeClr val="accent4">
                    <a:lumMod val="60000"/>
                    <a:lumOff val="40000"/>
                  </a:schemeClr>
                </a:solidFill>
                <a:prstDash val="dash"/>
                <a:round/>
              </a:ln>
              <a:effectLst/>
            </c:spPr>
            <c:extLst>
              <c:ext xmlns:c16="http://schemas.microsoft.com/office/drawing/2014/chart" uri="{C3380CC4-5D6E-409C-BE32-E72D297353CC}">
                <c16:uniqueId val="{00000028-A4B2-43FE-A1B3-5A6CB735B092}"/>
              </c:ext>
            </c:extLst>
          </c:dPt>
          <c:dPt>
            <c:idx val="17"/>
            <c:marker>
              <c:symbol val="none"/>
            </c:marker>
            <c:bubble3D val="0"/>
            <c:spPr>
              <a:ln w="28575" cap="rnd">
                <a:solidFill>
                  <a:schemeClr val="accent4">
                    <a:lumMod val="60000"/>
                    <a:lumOff val="40000"/>
                  </a:schemeClr>
                </a:solidFill>
                <a:prstDash val="dash"/>
                <a:round/>
              </a:ln>
              <a:effectLst/>
            </c:spPr>
            <c:extLst>
              <c:ext xmlns:c16="http://schemas.microsoft.com/office/drawing/2014/chart" uri="{C3380CC4-5D6E-409C-BE32-E72D297353CC}">
                <c16:uniqueId val="{0000002A-A4B2-43FE-A1B3-5A6CB735B092}"/>
              </c:ext>
            </c:extLst>
          </c:dPt>
          <c:cat>
            <c:strRef>
              <c:f>'Figure 14'!$A$2:$A$19</c:f>
              <c:strCache>
                <c:ptCount val="18"/>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pt idx="16">
                  <c:v>2024-25</c:v>
                </c:pt>
                <c:pt idx="17">
                  <c:v>2025-26</c:v>
                </c:pt>
              </c:strCache>
            </c:strRef>
          </c:cat>
          <c:val>
            <c:numRef>
              <c:f>'Figure 14'!$E$2:$E$19</c:f>
              <c:numCache>
                <c:formatCode>0.0</c:formatCode>
                <c:ptCount val="18"/>
                <c:pt idx="0">
                  <c:v>0.95099999999999996</c:v>
                </c:pt>
                <c:pt idx="1">
                  <c:v>0.98499999999999999</c:v>
                </c:pt>
                <c:pt idx="2">
                  <c:v>1.1819999999999999</c:v>
                </c:pt>
                <c:pt idx="3">
                  <c:v>0.84499999999999997</c:v>
                </c:pt>
                <c:pt idx="4">
                  <c:v>1.1719999999999999</c:v>
                </c:pt>
                <c:pt idx="5">
                  <c:v>1.071</c:v>
                </c:pt>
                <c:pt idx="6">
                  <c:v>1.294</c:v>
                </c:pt>
                <c:pt idx="7">
                  <c:v>1.3280000000000001</c:v>
                </c:pt>
                <c:pt idx="8">
                  <c:v>1.335</c:v>
                </c:pt>
                <c:pt idx="9">
                  <c:v>1.7490000000000001</c:v>
                </c:pt>
                <c:pt idx="10">
                  <c:v>1.5629999999999999</c:v>
                </c:pt>
                <c:pt idx="11">
                  <c:v>1.7689999999999999</c:v>
                </c:pt>
                <c:pt idx="12">
                  <c:v>1.216</c:v>
                </c:pt>
                <c:pt idx="13">
                  <c:v>1.4800857087202755</c:v>
                </c:pt>
                <c:pt idx="14">
                  <c:v>1.6444317773950952</c:v>
                </c:pt>
                <c:pt idx="15">
                  <c:v>1.8045926632197475</c:v>
                </c:pt>
                <c:pt idx="16">
                  <c:v>1.8268324627985428</c:v>
                </c:pt>
                <c:pt idx="17">
                  <c:v>1.8481044247049832</c:v>
                </c:pt>
              </c:numCache>
            </c:numRef>
          </c:val>
          <c:smooth val="0"/>
          <c:extLst>
            <c:ext xmlns:c16="http://schemas.microsoft.com/office/drawing/2014/chart" uri="{C3380CC4-5D6E-409C-BE32-E72D297353CC}">
              <c16:uniqueId val="{0000002B-A4B2-43FE-A1B3-5A6CB735B092}"/>
            </c:ext>
          </c:extLst>
        </c:ser>
        <c:ser>
          <c:idx val="4"/>
          <c:order val="4"/>
          <c:tx>
            <c:strRef>
              <c:f>'Figure 14'!$F$1</c:f>
              <c:strCache>
                <c:ptCount val="1"/>
                <c:pt idx="0">
                  <c:v>Other</c:v>
                </c:pt>
              </c:strCache>
            </c:strRef>
          </c:tx>
          <c:spPr>
            <a:ln w="28575" cap="rnd">
              <a:solidFill>
                <a:schemeClr val="accent5"/>
              </a:solidFill>
              <a:round/>
            </a:ln>
            <a:effectLst/>
          </c:spPr>
          <c:marker>
            <c:symbol val="none"/>
          </c:marker>
          <c:dPt>
            <c:idx val="13"/>
            <c:marker>
              <c:symbol val="none"/>
            </c:marker>
            <c:bubble3D val="0"/>
            <c:spPr>
              <a:ln w="28575" cap="rnd">
                <a:solidFill>
                  <a:schemeClr val="accent5">
                    <a:lumMod val="60000"/>
                    <a:lumOff val="40000"/>
                  </a:schemeClr>
                </a:solidFill>
                <a:prstDash val="dash"/>
                <a:round/>
              </a:ln>
              <a:effectLst/>
            </c:spPr>
            <c:extLst>
              <c:ext xmlns:c16="http://schemas.microsoft.com/office/drawing/2014/chart" uri="{C3380CC4-5D6E-409C-BE32-E72D297353CC}">
                <c16:uniqueId val="{0000002D-A4B2-43FE-A1B3-5A6CB735B092}"/>
              </c:ext>
            </c:extLst>
          </c:dPt>
          <c:dPt>
            <c:idx val="14"/>
            <c:marker>
              <c:symbol val="none"/>
            </c:marker>
            <c:bubble3D val="0"/>
            <c:spPr>
              <a:ln w="28575" cap="rnd">
                <a:solidFill>
                  <a:schemeClr val="accent5">
                    <a:lumMod val="60000"/>
                    <a:lumOff val="40000"/>
                  </a:schemeClr>
                </a:solidFill>
                <a:prstDash val="dash"/>
                <a:round/>
              </a:ln>
              <a:effectLst/>
            </c:spPr>
            <c:extLst>
              <c:ext xmlns:c16="http://schemas.microsoft.com/office/drawing/2014/chart" uri="{C3380CC4-5D6E-409C-BE32-E72D297353CC}">
                <c16:uniqueId val="{0000002F-A4B2-43FE-A1B3-5A6CB735B092}"/>
              </c:ext>
            </c:extLst>
          </c:dPt>
          <c:dPt>
            <c:idx val="15"/>
            <c:marker>
              <c:symbol val="none"/>
            </c:marker>
            <c:bubble3D val="0"/>
            <c:spPr>
              <a:ln w="28575" cap="rnd">
                <a:solidFill>
                  <a:schemeClr val="accent5">
                    <a:lumMod val="60000"/>
                    <a:lumOff val="40000"/>
                  </a:schemeClr>
                </a:solidFill>
                <a:prstDash val="dash"/>
                <a:round/>
              </a:ln>
              <a:effectLst/>
            </c:spPr>
            <c:extLst>
              <c:ext xmlns:c16="http://schemas.microsoft.com/office/drawing/2014/chart" uri="{C3380CC4-5D6E-409C-BE32-E72D297353CC}">
                <c16:uniqueId val="{00000031-A4B2-43FE-A1B3-5A6CB735B092}"/>
              </c:ext>
            </c:extLst>
          </c:dPt>
          <c:dPt>
            <c:idx val="16"/>
            <c:marker>
              <c:symbol val="none"/>
            </c:marker>
            <c:bubble3D val="0"/>
            <c:spPr>
              <a:ln w="28575" cap="rnd">
                <a:solidFill>
                  <a:schemeClr val="accent5">
                    <a:lumMod val="60000"/>
                    <a:lumOff val="40000"/>
                  </a:schemeClr>
                </a:solidFill>
                <a:prstDash val="dash"/>
                <a:round/>
              </a:ln>
              <a:effectLst/>
            </c:spPr>
            <c:extLst>
              <c:ext xmlns:c16="http://schemas.microsoft.com/office/drawing/2014/chart" uri="{C3380CC4-5D6E-409C-BE32-E72D297353CC}">
                <c16:uniqueId val="{00000033-A4B2-43FE-A1B3-5A6CB735B092}"/>
              </c:ext>
            </c:extLst>
          </c:dPt>
          <c:dPt>
            <c:idx val="17"/>
            <c:marker>
              <c:symbol val="none"/>
            </c:marker>
            <c:bubble3D val="0"/>
            <c:spPr>
              <a:ln w="28575" cap="rnd">
                <a:solidFill>
                  <a:schemeClr val="accent5">
                    <a:lumMod val="60000"/>
                    <a:lumOff val="40000"/>
                  </a:schemeClr>
                </a:solidFill>
                <a:prstDash val="dash"/>
                <a:round/>
              </a:ln>
              <a:effectLst/>
            </c:spPr>
            <c:extLst>
              <c:ext xmlns:c16="http://schemas.microsoft.com/office/drawing/2014/chart" uri="{C3380CC4-5D6E-409C-BE32-E72D297353CC}">
                <c16:uniqueId val="{00000035-A4B2-43FE-A1B3-5A6CB735B092}"/>
              </c:ext>
            </c:extLst>
          </c:dPt>
          <c:cat>
            <c:strRef>
              <c:f>'Figure 14'!$A$2:$A$19</c:f>
              <c:strCache>
                <c:ptCount val="18"/>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pt idx="16">
                  <c:v>2024-25</c:v>
                </c:pt>
                <c:pt idx="17">
                  <c:v>2025-26</c:v>
                </c:pt>
              </c:strCache>
            </c:strRef>
          </c:cat>
          <c:val>
            <c:numRef>
              <c:f>'Figure 14'!$F$2:$F$19</c:f>
              <c:numCache>
                <c:formatCode>0.0</c:formatCode>
                <c:ptCount val="18"/>
                <c:pt idx="0">
                  <c:v>0.14000000000000001</c:v>
                </c:pt>
                <c:pt idx="1">
                  <c:v>0.29899999999999999</c:v>
                </c:pt>
                <c:pt idx="2">
                  <c:v>0.24099999999999999</c:v>
                </c:pt>
                <c:pt idx="3">
                  <c:v>0.19600000000000001</c:v>
                </c:pt>
                <c:pt idx="4">
                  <c:v>0.26100000000000001</c:v>
                </c:pt>
                <c:pt idx="5">
                  <c:v>0.30299999999999999</c:v>
                </c:pt>
                <c:pt idx="6">
                  <c:v>0.32900000000000001</c:v>
                </c:pt>
                <c:pt idx="7">
                  <c:v>0.41099999999999998</c:v>
                </c:pt>
                <c:pt idx="8">
                  <c:v>0.30499999999999999</c:v>
                </c:pt>
                <c:pt idx="9">
                  <c:v>0.32</c:v>
                </c:pt>
                <c:pt idx="10">
                  <c:v>0.58799999999999997</c:v>
                </c:pt>
                <c:pt idx="11">
                  <c:v>0.42</c:v>
                </c:pt>
                <c:pt idx="12">
                  <c:v>0.51600000000000001</c:v>
                </c:pt>
                <c:pt idx="13">
                  <c:v>0.52368931915138794</c:v>
                </c:pt>
                <c:pt idx="14">
                  <c:v>0.52637986504970669</c:v>
                </c:pt>
                <c:pt idx="15">
                  <c:v>0.51798214342100235</c:v>
                </c:pt>
                <c:pt idx="16">
                  <c:v>0.56440888093307551</c:v>
                </c:pt>
                <c:pt idx="17">
                  <c:v>0.57284231954552534</c:v>
                </c:pt>
              </c:numCache>
            </c:numRef>
          </c:val>
          <c:smooth val="0"/>
          <c:extLst>
            <c:ext xmlns:c16="http://schemas.microsoft.com/office/drawing/2014/chart" uri="{C3380CC4-5D6E-409C-BE32-E72D297353CC}">
              <c16:uniqueId val="{00000036-A4B2-43FE-A1B3-5A6CB735B092}"/>
            </c:ext>
          </c:extLst>
        </c:ser>
        <c:dLbls>
          <c:showLegendKey val="0"/>
          <c:showVal val="0"/>
          <c:showCatName val="0"/>
          <c:showSerName val="0"/>
          <c:showPercent val="0"/>
          <c:showBubbleSize val="0"/>
        </c:dLbls>
        <c:smooth val="0"/>
        <c:axId val="1296576927"/>
        <c:axId val="1296588991"/>
      </c:lineChart>
      <c:catAx>
        <c:axId val="12965769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96588991"/>
        <c:crosses val="autoZero"/>
        <c:auto val="1"/>
        <c:lblAlgn val="ctr"/>
        <c:lblOffset val="100"/>
        <c:noMultiLvlLbl val="0"/>
      </c:catAx>
      <c:valAx>
        <c:axId val="129658899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96576927"/>
        <c:crosses val="autoZero"/>
        <c:crossBetween val="between"/>
        <c:majorUnit val="5"/>
      </c:valAx>
      <c:spPr>
        <a:noFill/>
        <a:ln>
          <a:noFill/>
        </a:ln>
        <a:effectLst/>
      </c:spPr>
    </c:plotArea>
    <c:legend>
      <c:legendPos val="b"/>
      <c:layout>
        <c:manualLayout>
          <c:xMode val="edge"/>
          <c:yMode val="edge"/>
          <c:x val="0.12551290463692039"/>
          <c:y val="4.366732066790488E-2"/>
          <c:w val="0.8186187664041995"/>
          <c:h val="8.3427512737378418E-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091426071741035"/>
          <c:y val="0.14525179047670897"/>
          <c:w val="0.84853018372703415"/>
          <c:h val="0.63721427579308987"/>
        </c:manualLayout>
      </c:layout>
      <c:lineChart>
        <c:grouping val="standard"/>
        <c:varyColors val="0"/>
        <c:ser>
          <c:idx val="0"/>
          <c:order val="0"/>
          <c:tx>
            <c:strRef>
              <c:f>'Figure 15'!$B$1</c:f>
              <c:strCache>
                <c:ptCount val="1"/>
                <c:pt idx="0">
                  <c:v>Total</c:v>
                </c:pt>
              </c:strCache>
            </c:strRef>
          </c:tx>
          <c:spPr>
            <a:ln w="28575" cap="rnd">
              <a:solidFill>
                <a:schemeClr val="accent1"/>
              </a:solidFill>
              <a:round/>
            </a:ln>
            <a:effectLst/>
          </c:spPr>
          <c:marker>
            <c:symbol val="none"/>
          </c:marker>
          <c:dPt>
            <c:idx val="13"/>
            <c:marker>
              <c:symbol val="none"/>
            </c:marker>
            <c:bubble3D val="0"/>
            <c:spPr>
              <a:ln w="28575" cap="rnd">
                <a:solidFill>
                  <a:schemeClr val="accent1">
                    <a:lumMod val="60000"/>
                    <a:lumOff val="40000"/>
                  </a:schemeClr>
                </a:solidFill>
                <a:prstDash val="dash"/>
                <a:round/>
              </a:ln>
              <a:effectLst/>
            </c:spPr>
            <c:extLst>
              <c:ext xmlns:c16="http://schemas.microsoft.com/office/drawing/2014/chart" uri="{C3380CC4-5D6E-409C-BE32-E72D297353CC}">
                <c16:uniqueId val="{00000001-E4FD-4658-A782-F9D9DF622643}"/>
              </c:ext>
            </c:extLst>
          </c:dPt>
          <c:dPt>
            <c:idx val="14"/>
            <c:marker>
              <c:symbol val="none"/>
            </c:marker>
            <c:bubble3D val="0"/>
            <c:spPr>
              <a:ln w="28575" cap="rnd">
                <a:solidFill>
                  <a:schemeClr val="accent1">
                    <a:lumMod val="60000"/>
                    <a:lumOff val="40000"/>
                  </a:schemeClr>
                </a:solidFill>
                <a:prstDash val="dash"/>
                <a:round/>
              </a:ln>
              <a:effectLst/>
            </c:spPr>
            <c:extLst>
              <c:ext xmlns:c16="http://schemas.microsoft.com/office/drawing/2014/chart" uri="{C3380CC4-5D6E-409C-BE32-E72D297353CC}">
                <c16:uniqueId val="{00000003-E4FD-4658-A782-F9D9DF622643}"/>
              </c:ext>
            </c:extLst>
          </c:dPt>
          <c:dPt>
            <c:idx val="15"/>
            <c:marker>
              <c:symbol val="none"/>
            </c:marker>
            <c:bubble3D val="0"/>
            <c:spPr>
              <a:ln w="28575" cap="rnd">
                <a:solidFill>
                  <a:schemeClr val="accent1">
                    <a:lumMod val="60000"/>
                    <a:lumOff val="40000"/>
                  </a:schemeClr>
                </a:solidFill>
                <a:prstDash val="dash"/>
                <a:round/>
              </a:ln>
              <a:effectLst/>
            </c:spPr>
            <c:extLst>
              <c:ext xmlns:c16="http://schemas.microsoft.com/office/drawing/2014/chart" uri="{C3380CC4-5D6E-409C-BE32-E72D297353CC}">
                <c16:uniqueId val="{00000005-E4FD-4658-A782-F9D9DF622643}"/>
              </c:ext>
            </c:extLst>
          </c:dPt>
          <c:dPt>
            <c:idx val="16"/>
            <c:marker>
              <c:symbol val="none"/>
            </c:marker>
            <c:bubble3D val="0"/>
            <c:spPr>
              <a:ln w="28575" cap="rnd">
                <a:solidFill>
                  <a:schemeClr val="accent1">
                    <a:lumMod val="60000"/>
                    <a:lumOff val="40000"/>
                  </a:schemeClr>
                </a:solidFill>
                <a:prstDash val="dash"/>
                <a:round/>
              </a:ln>
              <a:effectLst/>
            </c:spPr>
            <c:extLst>
              <c:ext xmlns:c16="http://schemas.microsoft.com/office/drawing/2014/chart" uri="{C3380CC4-5D6E-409C-BE32-E72D297353CC}">
                <c16:uniqueId val="{00000007-E4FD-4658-A782-F9D9DF622643}"/>
              </c:ext>
            </c:extLst>
          </c:dPt>
          <c:dPt>
            <c:idx val="17"/>
            <c:marker>
              <c:symbol val="none"/>
            </c:marker>
            <c:bubble3D val="0"/>
            <c:spPr>
              <a:ln w="28575" cap="rnd">
                <a:solidFill>
                  <a:schemeClr val="accent1">
                    <a:lumMod val="60000"/>
                    <a:lumOff val="40000"/>
                  </a:schemeClr>
                </a:solidFill>
                <a:prstDash val="dash"/>
                <a:round/>
              </a:ln>
              <a:effectLst/>
            </c:spPr>
            <c:extLst>
              <c:ext xmlns:c16="http://schemas.microsoft.com/office/drawing/2014/chart" uri="{C3380CC4-5D6E-409C-BE32-E72D297353CC}">
                <c16:uniqueId val="{00000009-E4FD-4658-A782-F9D9DF622643}"/>
              </c:ext>
            </c:extLst>
          </c:dPt>
          <c:cat>
            <c:strRef>
              <c:f>'Figure 15'!$A$2:$A$19</c:f>
              <c:strCache>
                <c:ptCount val="18"/>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pt idx="16">
                  <c:v>2024-25</c:v>
                </c:pt>
                <c:pt idx="17">
                  <c:v>2025-26</c:v>
                </c:pt>
              </c:strCache>
            </c:strRef>
          </c:cat>
          <c:val>
            <c:numRef>
              <c:f>'Figure 15'!$B$2:$B$19</c:f>
              <c:numCache>
                <c:formatCode>0.0</c:formatCode>
                <c:ptCount val="18"/>
                <c:pt idx="0">
                  <c:v>6.6790000000000003</c:v>
                </c:pt>
                <c:pt idx="1">
                  <c:v>6.4969999999999999</c:v>
                </c:pt>
                <c:pt idx="2">
                  <c:v>5.7270000000000003</c:v>
                </c:pt>
                <c:pt idx="3">
                  <c:v>6.3019999999999996</c:v>
                </c:pt>
                <c:pt idx="4">
                  <c:v>5.9560000000000004</c:v>
                </c:pt>
                <c:pt idx="5">
                  <c:v>5.9119999999999999</c:v>
                </c:pt>
                <c:pt idx="6">
                  <c:v>8.6820000000000004</c:v>
                </c:pt>
                <c:pt idx="7">
                  <c:v>9.1170000000000009</c:v>
                </c:pt>
                <c:pt idx="8">
                  <c:v>9.3469999999999995</c:v>
                </c:pt>
                <c:pt idx="9">
                  <c:v>9.6999999999999993</c:v>
                </c:pt>
                <c:pt idx="10">
                  <c:v>9.1199999999999992</c:v>
                </c:pt>
                <c:pt idx="11">
                  <c:v>7.407</c:v>
                </c:pt>
                <c:pt idx="12">
                  <c:v>6.6379999999999999</c:v>
                </c:pt>
                <c:pt idx="13">
                  <c:v>7.9676727050429417</c:v>
                </c:pt>
                <c:pt idx="14">
                  <c:v>8.966814791576164</c:v>
                </c:pt>
                <c:pt idx="15">
                  <c:v>9.2006666841253804</c:v>
                </c:pt>
                <c:pt idx="16">
                  <c:v>9.2268330420504991</c:v>
                </c:pt>
                <c:pt idx="17">
                  <c:v>9.3124316964955067</c:v>
                </c:pt>
              </c:numCache>
            </c:numRef>
          </c:val>
          <c:smooth val="0"/>
          <c:extLst>
            <c:ext xmlns:c16="http://schemas.microsoft.com/office/drawing/2014/chart" uri="{C3380CC4-5D6E-409C-BE32-E72D297353CC}">
              <c16:uniqueId val="{0000000A-E4FD-4658-A782-F9D9DF622643}"/>
            </c:ext>
          </c:extLst>
        </c:ser>
        <c:ser>
          <c:idx val="1"/>
          <c:order val="1"/>
          <c:tx>
            <c:strRef>
              <c:f>'Figure 15'!$C$1</c:f>
              <c:strCache>
                <c:ptCount val="1"/>
                <c:pt idx="0">
                  <c:v>Holiday</c:v>
                </c:pt>
              </c:strCache>
            </c:strRef>
          </c:tx>
          <c:spPr>
            <a:ln w="28575" cap="rnd">
              <a:solidFill>
                <a:schemeClr val="accent2"/>
              </a:solidFill>
              <a:round/>
            </a:ln>
            <a:effectLst/>
          </c:spPr>
          <c:marker>
            <c:symbol val="none"/>
          </c:marker>
          <c:dPt>
            <c:idx val="13"/>
            <c:marker>
              <c:symbol val="none"/>
            </c:marker>
            <c:bubble3D val="0"/>
            <c:spPr>
              <a:ln w="28575" cap="rnd">
                <a:solidFill>
                  <a:schemeClr val="accent2">
                    <a:lumMod val="60000"/>
                    <a:lumOff val="40000"/>
                  </a:schemeClr>
                </a:solidFill>
                <a:prstDash val="dash"/>
                <a:round/>
              </a:ln>
              <a:effectLst/>
            </c:spPr>
            <c:extLst>
              <c:ext xmlns:c16="http://schemas.microsoft.com/office/drawing/2014/chart" uri="{C3380CC4-5D6E-409C-BE32-E72D297353CC}">
                <c16:uniqueId val="{0000000C-E4FD-4658-A782-F9D9DF622643}"/>
              </c:ext>
            </c:extLst>
          </c:dPt>
          <c:dPt>
            <c:idx val="14"/>
            <c:marker>
              <c:symbol val="none"/>
            </c:marker>
            <c:bubble3D val="0"/>
            <c:spPr>
              <a:ln w="28575" cap="rnd">
                <a:solidFill>
                  <a:schemeClr val="accent2">
                    <a:lumMod val="60000"/>
                    <a:lumOff val="40000"/>
                  </a:schemeClr>
                </a:solidFill>
                <a:prstDash val="dash"/>
                <a:round/>
              </a:ln>
              <a:effectLst/>
            </c:spPr>
            <c:extLst>
              <c:ext xmlns:c16="http://schemas.microsoft.com/office/drawing/2014/chart" uri="{C3380CC4-5D6E-409C-BE32-E72D297353CC}">
                <c16:uniqueId val="{0000000E-E4FD-4658-A782-F9D9DF622643}"/>
              </c:ext>
            </c:extLst>
          </c:dPt>
          <c:dPt>
            <c:idx val="15"/>
            <c:marker>
              <c:symbol val="none"/>
            </c:marker>
            <c:bubble3D val="0"/>
            <c:spPr>
              <a:ln w="28575" cap="rnd">
                <a:solidFill>
                  <a:schemeClr val="accent2">
                    <a:lumMod val="60000"/>
                    <a:lumOff val="40000"/>
                  </a:schemeClr>
                </a:solidFill>
                <a:prstDash val="dash"/>
                <a:round/>
              </a:ln>
              <a:effectLst/>
            </c:spPr>
            <c:extLst>
              <c:ext xmlns:c16="http://schemas.microsoft.com/office/drawing/2014/chart" uri="{C3380CC4-5D6E-409C-BE32-E72D297353CC}">
                <c16:uniqueId val="{00000010-E4FD-4658-A782-F9D9DF622643}"/>
              </c:ext>
            </c:extLst>
          </c:dPt>
          <c:dPt>
            <c:idx val="16"/>
            <c:marker>
              <c:symbol val="none"/>
            </c:marker>
            <c:bubble3D val="0"/>
            <c:spPr>
              <a:ln w="28575" cap="rnd">
                <a:solidFill>
                  <a:schemeClr val="accent2">
                    <a:lumMod val="60000"/>
                    <a:lumOff val="40000"/>
                  </a:schemeClr>
                </a:solidFill>
                <a:prstDash val="dash"/>
                <a:round/>
              </a:ln>
              <a:effectLst/>
            </c:spPr>
            <c:extLst>
              <c:ext xmlns:c16="http://schemas.microsoft.com/office/drawing/2014/chart" uri="{C3380CC4-5D6E-409C-BE32-E72D297353CC}">
                <c16:uniqueId val="{00000012-E4FD-4658-A782-F9D9DF622643}"/>
              </c:ext>
            </c:extLst>
          </c:dPt>
          <c:dPt>
            <c:idx val="17"/>
            <c:marker>
              <c:symbol val="none"/>
            </c:marker>
            <c:bubble3D val="0"/>
            <c:spPr>
              <a:ln w="28575" cap="rnd">
                <a:solidFill>
                  <a:schemeClr val="accent2">
                    <a:lumMod val="60000"/>
                    <a:lumOff val="40000"/>
                  </a:schemeClr>
                </a:solidFill>
                <a:prstDash val="dash"/>
                <a:round/>
              </a:ln>
              <a:effectLst/>
            </c:spPr>
            <c:extLst>
              <c:ext xmlns:c16="http://schemas.microsoft.com/office/drawing/2014/chart" uri="{C3380CC4-5D6E-409C-BE32-E72D297353CC}">
                <c16:uniqueId val="{00000014-E4FD-4658-A782-F9D9DF622643}"/>
              </c:ext>
            </c:extLst>
          </c:dPt>
          <c:cat>
            <c:strRef>
              <c:f>'Figure 15'!$A$2:$A$19</c:f>
              <c:strCache>
                <c:ptCount val="18"/>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pt idx="16">
                  <c:v>2024-25</c:v>
                </c:pt>
                <c:pt idx="17">
                  <c:v>2025-26</c:v>
                </c:pt>
              </c:strCache>
            </c:strRef>
          </c:cat>
          <c:val>
            <c:numRef>
              <c:f>'Figure 15'!$C$2:$C$19</c:f>
              <c:numCache>
                <c:formatCode>0.0</c:formatCode>
                <c:ptCount val="18"/>
                <c:pt idx="0">
                  <c:v>3.5910000000000002</c:v>
                </c:pt>
                <c:pt idx="1">
                  <c:v>3.8410000000000002</c:v>
                </c:pt>
                <c:pt idx="2">
                  <c:v>2.907</c:v>
                </c:pt>
                <c:pt idx="3">
                  <c:v>3.3540000000000001</c:v>
                </c:pt>
                <c:pt idx="4">
                  <c:v>2.66</c:v>
                </c:pt>
                <c:pt idx="5">
                  <c:v>2.754</c:v>
                </c:pt>
                <c:pt idx="6">
                  <c:v>3.4220000000000002</c:v>
                </c:pt>
                <c:pt idx="7">
                  <c:v>3.706</c:v>
                </c:pt>
                <c:pt idx="8">
                  <c:v>3.9089999999999998</c:v>
                </c:pt>
                <c:pt idx="9">
                  <c:v>4.0030000000000001</c:v>
                </c:pt>
                <c:pt idx="10">
                  <c:v>3.4710000000000001</c:v>
                </c:pt>
                <c:pt idx="11">
                  <c:v>3.2559999999999998</c:v>
                </c:pt>
                <c:pt idx="12">
                  <c:v>2.6419999999999999</c:v>
                </c:pt>
                <c:pt idx="13">
                  <c:v>2.7157467945905229</c:v>
                </c:pt>
                <c:pt idx="14">
                  <c:v>3.5596485456786073</c:v>
                </c:pt>
                <c:pt idx="15">
                  <c:v>3.7647320504448736</c:v>
                </c:pt>
                <c:pt idx="16">
                  <c:v>4.044257969270185</c:v>
                </c:pt>
                <c:pt idx="17">
                  <c:v>4.1039276110808389</c:v>
                </c:pt>
              </c:numCache>
            </c:numRef>
          </c:val>
          <c:smooth val="0"/>
          <c:extLst>
            <c:ext xmlns:c16="http://schemas.microsoft.com/office/drawing/2014/chart" uri="{C3380CC4-5D6E-409C-BE32-E72D297353CC}">
              <c16:uniqueId val="{00000015-E4FD-4658-A782-F9D9DF622643}"/>
            </c:ext>
          </c:extLst>
        </c:ser>
        <c:ser>
          <c:idx val="2"/>
          <c:order val="2"/>
          <c:tx>
            <c:strRef>
              <c:f>'Figure 15'!$D$1</c:f>
              <c:strCache>
                <c:ptCount val="1"/>
                <c:pt idx="0">
                  <c:v>VFR</c:v>
                </c:pt>
              </c:strCache>
            </c:strRef>
          </c:tx>
          <c:spPr>
            <a:ln w="28575" cap="rnd">
              <a:solidFill>
                <a:schemeClr val="accent3"/>
              </a:solidFill>
              <a:round/>
            </a:ln>
            <a:effectLst/>
          </c:spPr>
          <c:marker>
            <c:symbol val="none"/>
          </c:marker>
          <c:dPt>
            <c:idx val="13"/>
            <c:marker>
              <c:symbol val="none"/>
            </c:marker>
            <c:bubble3D val="0"/>
            <c:spPr>
              <a:ln w="28575" cap="rnd">
                <a:solidFill>
                  <a:schemeClr val="accent3">
                    <a:lumMod val="60000"/>
                    <a:lumOff val="40000"/>
                  </a:schemeClr>
                </a:solidFill>
                <a:prstDash val="dash"/>
                <a:round/>
              </a:ln>
              <a:effectLst/>
            </c:spPr>
            <c:extLst>
              <c:ext xmlns:c16="http://schemas.microsoft.com/office/drawing/2014/chart" uri="{C3380CC4-5D6E-409C-BE32-E72D297353CC}">
                <c16:uniqueId val="{00000017-E4FD-4658-A782-F9D9DF622643}"/>
              </c:ext>
            </c:extLst>
          </c:dPt>
          <c:dPt>
            <c:idx val="14"/>
            <c:marker>
              <c:symbol val="none"/>
            </c:marker>
            <c:bubble3D val="0"/>
            <c:spPr>
              <a:ln w="28575" cap="rnd">
                <a:solidFill>
                  <a:schemeClr val="accent3">
                    <a:lumMod val="60000"/>
                    <a:lumOff val="40000"/>
                  </a:schemeClr>
                </a:solidFill>
                <a:prstDash val="dash"/>
                <a:round/>
              </a:ln>
              <a:effectLst/>
            </c:spPr>
            <c:extLst>
              <c:ext xmlns:c16="http://schemas.microsoft.com/office/drawing/2014/chart" uri="{C3380CC4-5D6E-409C-BE32-E72D297353CC}">
                <c16:uniqueId val="{00000019-E4FD-4658-A782-F9D9DF622643}"/>
              </c:ext>
            </c:extLst>
          </c:dPt>
          <c:dPt>
            <c:idx val="15"/>
            <c:marker>
              <c:symbol val="none"/>
            </c:marker>
            <c:bubble3D val="0"/>
            <c:spPr>
              <a:ln w="28575" cap="rnd">
                <a:solidFill>
                  <a:schemeClr val="accent3">
                    <a:lumMod val="60000"/>
                    <a:lumOff val="40000"/>
                  </a:schemeClr>
                </a:solidFill>
                <a:prstDash val="dash"/>
                <a:round/>
              </a:ln>
              <a:effectLst/>
            </c:spPr>
            <c:extLst>
              <c:ext xmlns:c16="http://schemas.microsoft.com/office/drawing/2014/chart" uri="{C3380CC4-5D6E-409C-BE32-E72D297353CC}">
                <c16:uniqueId val="{0000001B-E4FD-4658-A782-F9D9DF622643}"/>
              </c:ext>
            </c:extLst>
          </c:dPt>
          <c:dPt>
            <c:idx val="16"/>
            <c:marker>
              <c:symbol val="none"/>
            </c:marker>
            <c:bubble3D val="0"/>
            <c:spPr>
              <a:ln w="28575" cap="rnd">
                <a:solidFill>
                  <a:schemeClr val="accent3">
                    <a:lumMod val="60000"/>
                    <a:lumOff val="40000"/>
                  </a:schemeClr>
                </a:solidFill>
                <a:prstDash val="dash"/>
                <a:round/>
              </a:ln>
              <a:effectLst/>
            </c:spPr>
            <c:extLst>
              <c:ext xmlns:c16="http://schemas.microsoft.com/office/drawing/2014/chart" uri="{C3380CC4-5D6E-409C-BE32-E72D297353CC}">
                <c16:uniqueId val="{0000001D-E4FD-4658-A782-F9D9DF622643}"/>
              </c:ext>
            </c:extLst>
          </c:dPt>
          <c:dPt>
            <c:idx val="17"/>
            <c:marker>
              <c:symbol val="none"/>
            </c:marker>
            <c:bubble3D val="0"/>
            <c:spPr>
              <a:ln w="28575" cap="rnd">
                <a:solidFill>
                  <a:schemeClr val="accent3">
                    <a:lumMod val="60000"/>
                    <a:lumOff val="40000"/>
                  </a:schemeClr>
                </a:solidFill>
                <a:prstDash val="dash"/>
                <a:round/>
              </a:ln>
              <a:effectLst/>
            </c:spPr>
            <c:extLst>
              <c:ext xmlns:c16="http://schemas.microsoft.com/office/drawing/2014/chart" uri="{C3380CC4-5D6E-409C-BE32-E72D297353CC}">
                <c16:uniqueId val="{0000001F-E4FD-4658-A782-F9D9DF622643}"/>
              </c:ext>
            </c:extLst>
          </c:dPt>
          <c:cat>
            <c:strRef>
              <c:f>'Figure 15'!$A$2:$A$19</c:f>
              <c:strCache>
                <c:ptCount val="18"/>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pt idx="16">
                  <c:v>2024-25</c:v>
                </c:pt>
                <c:pt idx="17">
                  <c:v>2025-26</c:v>
                </c:pt>
              </c:strCache>
            </c:strRef>
          </c:cat>
          <c:val>
            <c:numRef>
              <c:f>'Figure 15'!$D$2:$D$19</c:f>
              <c:numCache>
                <c:formatCode>0.0</c:formatCode>
                <c:ptCount val="18"/>
                <c:pt idx="0">
                  <c:v>1.226</c:v>
                </c:pt>
                <c:pt idx="1">
                  <c:v>1.141</c:v>
                </c:pt>
                <c:pt idx="2">
                  <c:v>0.99399999999999999</c:v>
                </c:pt>
                <c:pt idx="3">
                  <c:v>1.2090000000000001</c:v>
                </c:pt>
                <c:pt idx="4">
                  <c:v>1.1499999999999999</c:v>
                </c:pt>
                <c:pt idx="5">
                  <c:v>1.3029999999999999</c:v>
                </c:pt>
                <c:pt idx="6">
                  <c:v>1.524</c:v>
                </c:pt>
                <c:pt idx="7">
                  <c:v>1.45</c:v>
                </c:pt>
                <c:pt idx="8">
                  <c:v>1.4419999999999999</c:v>
                </c:pt>
                <c:pt idx="9">
                  <c:v>1.712</c:v>
                </c:pt>
                <c:pt idx="10">
                  <c:v>1.6020000000000001</c:v>
                </c:pt>
                <c:pt idx="11">
                  <c:v>1.03</c:v>
                </c:pt>
                <c:pt idx="12">
                  <c:v>0.67600000000000005</c:v>
                </c:pt>
                <c:pt idx="13">
                  <c:v>0.95083816406111965</c:v>
                </c:pt>
                <c:pt idx="14">
                  <c:v>1.2363706175389264</c:v>
                </c:pt>
                <c:pt idx="15">
                  <c:v>1.4391736168554583</c:v>
                </c:pt>
                <c:pt idx="16">
                  <c:v>1.5089334678053876</c:v>
                </c:pt>
                <c:pt idx="17">
                  <c:v>1.5357891262047556</c:v>
                </c:pt>
              </c:numCache>
            </c:numRef>
          </c:val>
          <c:smooth val="0"/>
          <c:extLst>
            <c:ext xmlns:c16="http://schemas.microsoft.com/office/drawing/2014/chart" uri="{C3380CC4-5D6E-409C-BE32-E72D297353CC}">
              <c16:uniqueId val="{00000020-E4FD-4658-A782-F9D9DF622643}"/>
            </c:ext>
          </c:extLst>
        </c:ser>
        <c:ser>
          <c:idx val="3"/>
          <c:order val="3"/>
          <c:tx>
            <c:strRef>
              <c:f>'Figure 15'!$E$1</c:f>
              <c:strCache>
                <c:ptCount val="1"/>
                <c:pt idx="0">
                  <c:v>Business</c:v>
                </c:pt>
              </c:strCache>
            </c:strRef>
          </c:tx>
          <c:spPr>
            <a:ln w="28575" cap="rnd">
              <a:solidFill>
                <a:schemeClr val="accent4"/>
              </a:solidFill>
              <a:round/>
            </a:ln>
            <a:effectLst/>
          </c:spPr>
          <c:marker>
            <c:symbol val="none"/>
          </c:marker>
          <c:dPt>
            <c:idx val="13"/>
            <c:marker>
              <c:symbol val="none"/>
            </c:marker>
            <c:bubble3D val="0"/>
            <c:spPr>
              <a:ln w="28575" cap="rnd">
                <a:solidFill>
                  <a:schemeClr val="accent4">
                    <a:lumMod val="60000"/>
                    <a:lumOff val="40000"/>
                  </a:schemeClr>
                </a:solidFill>
                <a:prstDash val="dash"/>
                <a:round/>
              </a:ln>
              <a:effectLst/>
            </c:spPr>
            <c:extLst>
              <c:ext xmlns:c16="http://schemas.microsoft.com/office/drawing/2014/chart" uri="{C3380CC4-5D6E-409C-BE32-E72D297353CC}">
                <c16:uniqueId val="{00000022-E4FD-4658-A782-F9D9DF622643}"/>
              </c:ext>
            </c:extLst>
          </c:dPt>
          <c:dPt>
            <c:idx val="14"/>
            <c:marker>
              <c:symbol val="none"/>
            </c:marker>
            <c:bubble3D val="0"/>
            <c:spPr>
              <a:ln w="28575" cap="rnd">
                <a:solidFill>
                  <a:schemeClr val="accent4">
                    <a:lumMod val="60000"/>
                    <a:lumOff val="40000"/>
                  </a:schemeClr>
                </a:solidFill>
                <a:prstDash val="dash"/>
                <a:round/>
              </a:ln>
              <a:effectLst/>
            </c:spPr>
            <c:extLst>
              <c:ext xmlns:c16="http://schemas.microsoft.com/office/drawing/2014/chart" uri="{C3380CC4-5D6E-409C-BE32-E72D297353CC}">
                <c16:uniqueId val="{00000024-E4FD-4658-A782-F9D9DF622643}"/>
              </c:ext>
            </c:extLst>
          </c:dPt>
          <c:dPt>
            <c:idx val="15"/>
            <c:marker>
              <c:symbol val="none"/>
            </c:marker>
            <c:bubble3D val="0"/>
            <c:spPr>
              <a:ln w="28575" cap="rnd">
                <a:solidFill>
                  <a:schemeClr val="accent4">
                    <a:lumMod val="60000"/>
                    <a:lumOff val="40000"/>
                  </a:schemeClr>
                </a:solidFill>
                <a:prstDash val="dash"/>
                <a:round/>
              </a:ln>
              <a:effectLst/>
            </c:spPr>
            <c:extLst>
              <c:ext xmlns:c16="http://schemas.microsoft.com/office/drawing/2014/chart" uri="{C3380CC4-5D6E-409C-BE32-E72D297353CC}">
                <c16:uniqueId val="{00000026-E4FD-4658-A782-F9D9DF622643}"/>
              </c:ext>
            </c:extLst>
          </c:dPt>
          <c:dPt>
            <c:idx val="16"/>
            <c:marker>
              <c:symbol val="none"/>
            </c:marker>
            <c:bubble3D val="0"/>
            <c:spPr>
              <a:ln w="28575" cap="rnd">
                <a:solidFill>
                  <a:schemeClr val="accent4">
                    <a:lumMod val="60000"/>
                    <a:lumOff val="40000"/>
                  </a:schemeClr>
                </a:solidFill>
                <a:prstDash val="dash"/>
                <a:round/>
              </a:ln>
              <a:effectLst/>
            </c:spPr>
            <c:extLst>
              <c:ext xmlns:c16="http://schemas.microsoft.com/office/drawing/2014/chart" uri="{C3380CC4-5D6E-409C-BE32-E72D297353CC}">
                <c16:uniqueId val="{00000028-E4FD-4658-A782-F9D9DF622643}"/>
              </c:ext>
            </c:extLst>
          </c:dPt>
          <c:dPt>
            <c:idx val="17"/>
            <c:marker>
              <c:symbol val="none"/>
            </c:marker>
            <c:bubble3D val="0"/>
            <c:spPr>
              <a:ln w="28575" cap="rnd">
                <a:solidFill>
                  <a:schemeClr val="accent4">
                    <a:lumMod val="60000"/>
                    <a:lumOff val="40000"/>
                  </a:schemeClr>
                </a:solidFill>
                <a:prstDash val="dash"/>
                <a:round/>
              </a:ln>
              <a:effectLst/>
            </c:spPr>
            <c:extLst>
              <c:ext xmlns:c16="http://schemas.microsoft.com/office/drawing/2014/chart" uri="{C3380CC4-5D6E-409C-BE32-E72D297353CC}">
                <c16:uniqueId val="{0000002A-E4FD-4658-A782-F9D9DF622643}"/>
              </c:ext>
            </c:extLst>
          </c:dPt>
          <c:cat>
            <c:strRef>
              <c:f>'Figure 15'!$A$2:$A$19</c:f>
              <c:strCache>
                <c:ptCount val="18"/>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pt idx="16">
                  <c:v>2024-25</c:v>
                </c:pt>
                <c:pt idx="17">
                  <c:v>2025-26</c:v>
                </c:pt>
              </c:strCache>
            </c:strRef>
          </c:cat>
          <c:val>
            <c:numRef>
              <c:f>'Figure 15'!$E$2:$E$19</c:f>
              <c:numCache>
                <c:formatCode>0.0</c:formatCode>
                <c:ptCount val="18"/>
                <c:pt idx="0">
                  <c:v>1.6220000000000001</c:v>
                </c:pt>
                <c:pt idx="1">
                  <c:v>1.345</c:v>
                </c:pt>
                <c:pt idx="2">
                  <c:v>1.391</c:v>
                </c:pt>
                <c:pt idx="3">
                  <c:v>1.329</c:v>
                </c:pt>
                <c:pt idx="4">
                  <c:v>2.0129999999999999</c:v>
                </c:pt>
                <c:pt idx="5">
                  <c:v>1.7010000000000001</c:v>
                </c:pt>
                <c:pt idx="6">
                  <c:v>3.4119999999999999</c:v>
                </c:pt>
                <c:pt idx="7">
                  <c:v>3.6520000000000001</c:v>
                </c:pt>
                <c:pt idx="8">
                  <c:v>3.5369999999999999</c:v>
                </c:pt>
                <c:pt idx="9">
                  <c:v>3.4119999999999999</c:v>
                </c:pt>
                <c:pt idx="10">
                  <c:v>3.7530000000000001</c:v>
                </c:pt>
                <c:pt idx="11">
                  <c:v>2.7749999999999999</c:v>
                </c:pt>
                <c:pt idx="12">
                  <c:v>2.827</c:v>
                </c:pt>
                <c:pt idx="13">
                  <c:v>3.7603970769318962</c:v>
                </c:pt>
                <c:pt idx="14">
                  <c:v>3.6457804944773695</c:v>
                </c:pt>
                <c:pt idx="15">
                  <c:v>3.5188806553883727</c:v>
                </c:pt>
                <c:pt idx="16">
                  <c:v>3.1839890909659578</c:v>
                </c:pt>
                <c:pt idx="17">
                  <c:v>3.1768666771318603</c:v>
                </c:pt>
              </c:numCache>
            </c:numRef>
          </c:val>
          <c:smooth val="0"/>
          <c:extLst>
            <c:ext xmlns:c16="http://schemas.microsoft.com/office/drawing/2014/chart" uri="{C3380CC4-5D6E-409C-BE32-E72D297353CC}">
              <c16:uniqueId val="{0000002B-E4FD-4658-A782-F9D9DF622643}"/>
            </c:ext>
          </c:extLst>
        </c:ser>
        <c:ser>
          <c:idx val="4"/>
          <c:order val="4"/>
          <c:tx>
            <c:strRef>
              <c:f>'Figure 15'!$F$1</c:f>
              <c:strCache>
                <c:ptCount val="1"/>
                <c:pt idx="0">
                  <c:v>Other</c:v>
                </c:pt>
              </c:strCache>
            </c:strRef>
          </c:tx>
          <c:spPr>
            <a:ln w="28575" cap="rnd">
              <a:solidFill>
                <a:schemeClr val="accent5"/>
              </a:solidFill>
              <a:round/>
            </a:ln>
            <a:effectLst/>
          </c:spPr>
          <c:marker>
            <c:symbol val="none"/>
          </c:marker>
          <c:dPt>
            <c:idx val="13"/>
            <c:marker>
              <c:symbol val="none"/>
            </c:marker>
            <c:bubble3D val="0"/>
            <c:spPr>
              <a:ln w="28575" cap="rnd">
                <a:solidFill>
                  <a:schemeClr val="accent5">
                    <a:lumMod val="60000"/>
                    <a:lumOff val="40000"/>
                  </a:schemeClr>
                </a:solidFill>
                <a:prstDash val="dash"/>
                <a:round/>
              </a:ln>
              <a:effectLst/>
            </c:spPr>
            <c:extLst>
              <c:ext xmlns:c16="http://schemas.microsoft.com/office/drawing/2014/chart" uri="{C3380CC4-5D6E-409C-BE32-E72D297353CC}">
                <c16:uniqueId val="{0000002D-E4FD-4658-A782-F9D9DF622643}"/>
              </c:ext>
            </c:extLst>
          </c:dPt>
          <c:dPt>
            <c:idx val="14"/>
            <c:marker>
              <c:symbol val="none"/>
            </c:marker>
            <c:bubble3D val="0"/>
            <c:spPr>
              <a:ln w="28575" cap="rnd">
                <a:solidFill>
                  <a:schemeClr val="accent5">
                    <a:lumMod val="60000"/>
                    <a:lumOff val="40000"/>
                  </a:schemeClr>
                </a:solidFill>
                <a:prstDash val="dash"/>
                <a:round/>
              </a:ln>
              <a:effectLst/>
            </c:spPr>
            <c:extLst>
              <c:ext xmlns:c16="http://schemas.microsoft.com/office/drawing/2014/chart" uri="{C3380CC4-5D6E-409C-BE32-E72D297353CC}">
                <c16:uniqueId val="{0000002F-E4FD-4658-A782-F9D9DF622643}"/>
              </c:ext>
            </c:extLst>
          </c:dPt>
          <c:dPt>
            <c:idx val="15"/>
            <c:marker>
              <c:symbol val="none"/>
            </c:marker>
            <c:bubble3D val="0"/>
            <c:spPr>
              <a:ln w="28575" cap="rnd">
                <a:solidFill>
                  <a:schemeClr val="accent5">
                    <a:lumMod val="60000"/>
                    <a:lumOff val="40000"/>
                  </a:schemeClr>
                </a:solidFill>
                <a:prstDash val="dash"/>
                <a:round/>
              </a:ln>
              <a:effectLst/>
            </c:spPr>
            <c:extLst>
              <c:ext xmlns:c16="http://schemas.microsoft.com/office/drawing/2014/chart" uri="{C3380CC4-5D6E-409C-BE32-E72D297353CC}">
                <c16:uniqueId val="{00000031-E4FD-4658-A782-F9D9DF622643}"/>
              </c:ext>
            </c:extLst>
          </c:dPt>
          <c:dPt>
            <c:idx val="16"/>
            <c:marker>
              <c:symbol val="none"/>
            </c:marker>
            <c:bubble3D val="0"/>
            <c:spPr>
              <a:ln w="28575" cap="rnd">
                <a:solidFill>
                  <a:schemeClr val="accent5">
                    <a:lumMod val="60000"/>
                    <a:lumOff val="40000"/>
                  </a:schemeClr>
                </a:solidFill>
                <a:prstDash val="dash"/>
                <a:round/>
              </a:ln>
              <a:effectLst/>
            </c:spPr>
            <c:extLst>
              <c:ext xmlns:c16="http://schemas.microsoft.com/office/drawing/2014/chart" uri="{C3380CC4-5D6E-409C-BE32-E72D297353CC}">
                <c16:uniqueId val="{00000033-E4FD-4658-A782-F9D9DF622643}"/>
              </c:ext>
            </c:extLst>
          </c:dPt>
          <c:dPt>
            <c:idx val="17"/>
            <c:marker>
              <c:symbol val="none"/>
            </c:marker>
            <c:bubble3D val="0"/>
            <c:spPr>
              <a:ln w="28575" cap="rnd">
                <a:solidFill>
                  <a:schemeClr val="accent5">
                    <a:lumMod val="60000"/>
                    <a:lumOff val="40000"/>
                  </a:schemeClr>
                </a:solidFill>
                <a:prstDash val="dash"/>
                <a:round/>
              </a:ln>
              <a:effectLst/>
            </c:spPr>
            <c:extLst>
              <c:ext xmlns:c16="http://schemas.microsoft.com/office/drawing/2014/chart" uri="{C3380CC4-5D6E-409C-BE32-E72D297353CC}">
                <c16:uniqueId val="{00000035-E4FD-4658-A782-F9D9DF622643}"/>
              </c:ext>
            </c:extLst>
          </c:dPt>
          <c:cat>
            <c:strRef>
              <c:f>'Figure 15'!$A$2:$A$19</c:f>
              <c:strCache>
                <c:ptCount val="18"/>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pt idx="16">
                  <c:v>2024-25</c:v>
                </c:pt>
                <c:pt idx="17">
                  <c:v>2025-26</c:v>
                </c:pt>
              </c:strCache>
            </c:strRef>
          </c:cat>
          <c:val>
            <c:numRef>
              <c:f>'Figure 15'!$F$2:$F$19</c:f>
              <c:numCache>
                <c:formatCode>0.0</c:formatCode>
                <c:ptCount val="18"/>
                <c:pt idx="0">
                  <c:v>0.21</c:v>
                </c:pt>
                <c:pt idx="1">
                  <c:v>0.13300000000000001</c:v>
                </c:pt>
                <c:pt idx="2">
                  <c:v>0.373</c:v>
                </c:pt>
                <c:pt idx="3">
                  <c:v>0.376</c:v>
                </c:pt>
                <c:pt idx="4">
                  <c:v>8.3000000000000004E-2</c:v>
                </c:pt>
                <c:pt idx="5">
                  <c:v>0.113</c:v>
                </c:pt>
                <c:pt idx="6">
                  <c:v>0.26100000000000001</c:v>
                </c:pt>
                <c:pt idx="7">
                  <c:v>0.25900000000000001</c:v>
                </c:pt>
                <c:pt idx="8">
                  <c:v>0.26600000000000001</c:v>
                </c:pt>
                <c:pt idx="9">
                  <c:v>0.42599999999999999</c:v>
                </c:pt>
                <c:pt idx="10">
                  <c:v>0.25600000000000001</c:v>
                </c:pt>
                <c:pt idx="11">
                  <c:v>0.28899999999999998</c:v>
                </c:pt>
                <c:pt idx="12">
                  <c:v>0.433</c:v>
                </c:pt>
                <c:pt idx="13">
                  <c:v>0.49069066945940398</c:v>
                </c:pt>
                <c:pt idx="14">
                  <c:v>0.45001513388126191</c:v>
                </c:pt>
                <c:pt idx="15">
                  <c:v>0.40288036143667666</c:v>
                </c:pt>
                <c:pt idx="16">
                  <c:v>0.41465251400896774</c:v>
                </c:pt>
                <c:pt idx="17">
                  <c:v>0.42084828207805186</c:v>
                </c:pt>
              </c:numCache>
            </c:numRef>
          </c:val>
          <c:smooth val="0"/>
          <c:extLst>
            <c:ext xmlns:c16="http://schemas.microsoft.com/office/drawing/2014/chart" uri="{C3380CC4-5D6E-409C-BE32-E72D297353CC}">
              <c16:uniqueId val="{00000036-E4FD-4658-A782-F9D9DF622643}"/>
            </c:ext>
          </c:extLst>
        </c:ser>
        <c:dLbls>
          <c:showLegendKey val="0"/>
          <c:showVal val="0"/>
          <c:showCatName val="0"/>
          <c:showSerName val="0"/>
          <c:showPercent val="0"/>
          <c:showBubbleSize val="0"/>
        </c:dLbls>
        <c:smooth val="0"/>
        <c:axId val="1296576927"/>
        <c:axId val="1296588991"/>
      </c:lineChart>
      <c:catAx>
        <c:axId val="12965769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96588991"/>
        <c:crosses val="autoZero"/>
        <c:auto val="1"/>
        <c:lblAlgn val="ctr"/>
        <c:lblOffset val="100"/>
        <c:noMultiLvlLbl val="0"/>
      </c:catAx>
      <c:valAx>
        <c:axId val="129658899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96576927"/>
        <c:crosses val="autoZero"/>
        <c:crossBetween val="between"/>
        <c:majorUnit val="5"/>
      </c:valAx>
      <c:spPr>
        <a:noFill/>
        <a:ln>
          <a:noFill/>
        </a:ln>
        <a:effectLst/>
      </c:spPr>
    </c:plotArea>
    <c:legend>
      <c:legendPos val="b"/>
      <c:layout>
        <c:manualLayout>
          <c:xMode val="edge"/>
          <c:yMode val="edge"/>
          <c:x val="0.12551290463692039"/>
          <c:y val="3.9235188477293875E-2"/>
          <c:w val="0.8186187664041995"/>
          <c:h val="8.3427512737378418E-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091426071741035"/>
          <c:y val="0.14968392266731997"/>
          <c:w val="0.84853018372703415"/>
          <c:h val="0.63278214360247897"/>
        </c:manualLayout>
      </c:layout>
      <c:lineChart>
        <c:grouping val="standard"/>
        <c:varyColors val="0"/>
        <c:ser>
          <c:idx val="0"/>
          <c:order val="0"/>
          <c:tx>
            <c:strRef>
              <c:f>'Figure 16'!$B$1</c:f>
              <c:strCache>
                <c:ptCount val="1"/>
                <c:pt idx="0">
                  <c:v>Total</c:v>
                </c:pt>
              </c:strCache>
            </c:strRef>
          </c:tx>
          <c:spPr>
            <a:ln w="28575" cap="rnd">
              <a:solidFill>
                <a:schemeClr val="accent1"/>
              </a:solidFill>
              <a:round/>
            </a:ln>
            <a:effectLst/>
          </c:spPr>
          <c:marker>
            <c:symbol val="none"/>
          </c:marker>
          <c:dPt>
            <c:idx val="13"/>
            <c:marker>
              <c:symbol val="none"/>
            </c:marker>
            <c:bubble3D val="0"/>
            <c:spPr>
              <a:ln w="28575" cap="rnd">
                <a:solidFill>
                  <a:schemeClr val="accent1">
                    <a:lumMod val="60000"/>
                    <a:lumOff val="40000"/>
                  </a:schemeClr>
                </a:solidFill>
                <a:prstDash val="dash"/>
                <a:round/>
              </a:ln>
              <a:effectLst/>
            </c:spPr>
            <c:extLst>
              <c:ext xmlns:c16="http://schemas.microsoft.com/office/drawing/2014/chart" uri="{C3380CC4-5D6E-409C-BE32-E72D297353CC}">
                <c16:uniqueId val="{00000001-B4D9-4E2D-A632-9CC19B282422}"/>
              </c:ext>
            </c:extLst>
          </c:dPt>
          <c:dPt>
            <c:idx val="14"/>
            <c:marker>
              <c:symbol val="none"/>
            </c:marker>
            <c:bubble3D val="0"/>
            <c:spPr>
              <a:ln w="28575" cap="rnd">
                <a:solidFill>
                  <a:schemeClr val="accent1">
                    <a:lumMod val="60000"/>
                    <a:lumOff val="40000"/>
                  </a:schemeClr>
                </a:solidFill>
                <a:prstDash val="dash"/>
                <a:round/>
              </a:ln>
              <a:effectLst/>
            </c:spPr>
            <c:extLst>
              <c:ext xmlns:c16="http://schemas.microsoft.com/office/drawing/2014/chart" uri="{C3380CC4-5D6E-409C-BE32-E72D297353CC}">
                <c16:uniqueId val="{00000003-B4D9-4E2D-A632-9CC19B282422}"/>
              </c:ext>
            </c:extLst>
          </c:dPt>
          <c:dPt>
            <c:idx val="15"/>
            <c:marker>
              <c:symbol val="none"/>
            </c:marker>
            <c:bubble3D val="0"/>
            <c:spPr>
              <a:ln w="28575" cap="rnd">
                <a:solidFill>
                  <a:schemeClr val="accent1">
                    <a:lumMod val="60000"/>
                    <a:lumOff val="40000"/>
                  </a:schemeClr>
                </a:solidFill>
                <a:prstDash val="dash"/>
                <a:round/>
              </a:ln>
              <a:effectLst/>
            </c:spPr>
            <c:extLst>
              <c:ext xmlns:c16="http://schemas.microsoft.com/office/drawing/2014/chart" uri="{C3380CC4-5D6E-409C-BE32-E72D297353CC}">
                <c16:uniqueId val="{00000005-B4D9-4E2D-A632-9CC19B282422}"/>
              </c:ext>
            </c:extLst>
          </c:dPt>
          <c:dPt>
            <c:idx val="16"/>
            <c:marker>
              <c:symbol val="none"/>
            </c:marker>
            <c:bubble3D val="0"/>
            <c:spPr>
              <a:ln w="28575" cap="rnd">
                <a:solidFill>
                  <a:schemeClr val="accent1">
                    <a:lumMod val="60000"/>
                    <a:lumOff val="40000"/>
                  </a:schemeClr>
                </a:solidFill>
                <a:prstDash val="dash"/>
                <a:round/>
              </a:ln>
              <a:effectLst/>
            </c:spPr>
            <c:extLst>
              <c:ext xmlns:c16="http://schemas.microsoft.com/office/drawing/2014/chart" uri="{C3380CC4-5D6E-409C-BE32-E72D297353CC}">
                <c16:uniqueId val="{00000007-B4D9-4E2D-A632-9CC19B282422}"/>
              </c:ext>
            </c:extLst>
          </c:dPt>
          <c:dPt>
            <c:idx val="17"/>
            <c:marker>
              <c:symbol val="none"/>
            </c:marker>
            <c:bubble3D val="0"/>
            <c:spPr>
              <a:ln w="28575" cap="rnd">
                <a:solidFill>
                  <a:schemeClr val="accent1">
                    <a:lumMod val="60000"/>
                    <a:lumOff val="40000"/>
                  </a:schemeClr>
                </a:solidFill>
                <a:prstDash val="dash"/>
                <a:round/>
              </a:ln>
              <a:effectLst/>
            </c:spPr>
            <c:extLst>
              <c:ext xmlns:c16="http://schemas.microsoft.com/office/drawing/2014/chart" uri="{C3380CC4-5D6E-409C-BE32-E72D297353CC}">
                <c16:uniqueId val="{00000009-B4D9-4E2D-A632-9CC19B282422}"/>
              </c:ext>
            </c:extLst>
          </c:dPt>
          <c:cat>
            <c:strRef>
              <c:f>'Figure 16'!$A$2:$A$19</c:f>
              <c:strCache>
                <c:ptCount val="18"/>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pt idx="16">
                  <c:v>2024-25</c:v>
                </c:pt>
                <c:pt idx="17">
                  <c:v>2025-26</c:v>
                </c:pt>
              </c:strCache>
            </c:strRef>
          </c:cat>
          <c:val>
            <c:numRef>
              <c:f>'Figure 16'!$B$2:$B$19</c:f>
              <c:numCache>
                <c:formatCode>0.0</c:formatCode>
                <c:ptCount val="18"/>
                <c:pt idx="0">
                  <c:v>5.0199999999999996</c:v>
                </c:pt>
                <c:pt idx="1">
                  <c:v>5.5510000000000002</c:v>
                </c:pt>
                <c:pt idx="2">
                  <c:v>4.6829999999999998</c:v>
                </c:pt>
                <c:pt idx="3">
                  <c:v>5.0490000000000004</c:v>
                </c:pt>
                <c:pt idx="4">
                  <c:v>6.2329999999999997</c:v>
                </c:pt>
                <c:pt idx="5">
                  <c:v>5.3949999999999996</c:v>
                </c:pt>
                <c:pt idx="6">
                  <c:v>6.1239999999999997</c:v>
                </c:pt>
                <c:pt idx="7">
                  <c:v>6.4130000000000003</c:v>
                </c:pt>
                <c:pt idx="8">
                  <c:v>6.7080000000000002</c:v>
                </c:pt>
                <c:pt idx="9">
                  <c:v>7.242</c:v>
                </c:pt>
                <c:pt idx="10">
                  <c:v>7.6109999999999998</c:v>
                </c:pt>
                <c:pt idx="11">
                  <c:v>7.4210000000000003</c:v>
                </c:pt>
                <c:pt idx="12">
                  <c:v>5.976</c:v>
                </c:pt>
                <c:pt idx="13">
                  <c:v>6.2090857934918393</c:v>
                </c:pt>
                <c:pt idx="14">
                  <c:v>7.1337800145760948</c:v>
                </c:pt>
                <c:pt idx="15">
                  <c:v>7.6014216386511713</c:v>
                </c:pt>
                <c:pt idx="16">
                  <c:v>8.0508214744039641</c:v>
                </c:pt>
                <c:pt idx="17">
                  <c:v>8.1632802966184883</c:v>
                </c:pt>
              </c:numCache>
            </c:numRef>
          </c:val>
          <c:smooth val="0"/>
          <c:extLst>
            <c:ext xmlns:c16="http://schemas.microsoft.com/office/drawing/2014/chart" uri="{C3380CC4-5D6E-409C-BE32-E72D297353CC}">
              <c16:uniqueId val="{0000000A-B4D9-4E2D-A632-9CC19B282422}"/>
            </c:ext>
          </c:extLst>
        </c:ser>
        <c:ser>
          <c:idx val="1"/>
          <c:order val="1"/>
          <c:tx>
            <c:strRef>
              <c:f>'Figure 16'!$C$1</c:f>
              <c:strCache>
                <c:ptCount val="1"/>
                <c:pt idx="0">
                  <c:v>Holiday</c:v>
                </c:pt>
              </c:strCache>
            </c:strRef>
          </c:tx>
          <c:spPr>
            <a:ln w="28575" cap="rnd">
              <a:solidFill>
                <a:schemeClr val="accent2"/>
              </a:solidFill>
              <a:round/>
            </a:ln>
            <a:effectLst/>
          </c:spPr>
          <c:marker>
            <c:symbol val="none"/>
          </c:marker>
          <c:dPt>
            <c:idx val="13"/>
            <c:marker>
              <c:symbol val="none"/>
            </c:marker>
            <c:bubble3D val="0"/>
            <c:spPr>
              <a:ln w="28575" cap="rnd">
                <a:solidFill>
                  <a:schemeClr val="accent2">
                    <a:lumMod val="60000"/>
                    <a:lumOff val="40000"/>
                  </a:schemeClr>
                </a:solidFill>
                <a:prstDash val="dash"/>
                <a:round/>
              </a:ln>
              <a:effectLst/>
            </c:spPr>
            <c:extLst>
              <c:ext xmlns:c16="http://schemas.microsoft.com/office/drawing/2014/chart" uri="{C3380CC4-5D6E-409C-BE32-E72D297353CC}">
                <c16:uniqueId val="{0000000C-B4D9-4E2D-A632-9CC19B282422}"/>
              </c:ext>
            </c:extLst>
          </c:dPt>
          <c:dPt>
            <c:idx val="14"/>
            <c:marker>
              <c:symbol val="none"/>
            </c:marker>
            <c:bubble3D val="0"/>
            <c:spPr>
              <a:ln w="28575" cap="rnd">
                <a:solidFill>
                  <a:schemeClr val="accent2">
                    <a:lumMod val="60000"/>
                    <a:lumOff val="40000"/>
                  </a:schemeClr>
                </a:solidFill>
                <a:prstDash val="dash"/>
                <a:round/>
              </a:ln>
              <a:effectLst/>
            </c:spPr>
            <c:extLst>
              <c:ext xmlns:c16="http://schemas.microsoft.com/office/drawing/2014/chart" uri="{C3380CC4-5D6E-409C-BE32-E72D297353CC}">
                <c16:uniqueId val="{0000000E-B4D9-4E2D-A632-9CC19B282422}"/>
              </c:ext>
            </c:extLst>
          </c:dPt>
          <c:dPt>
            <c:idx val="15"/>
            <c:marker>
              <c:symbol val="none"/>
            </c:marker>
            <c:bubble3D val="0"/>
            <c:spPr>
              <a:ln w="28575" cap="rnd">
                <a:solidFill>
                  <a:schemeClr val="accent2">
                    <a:lumMod val="60000"/>
                    <a:lumOff val="40000"/>
                  </a:schemeClr>
                </a:solidFill>
                <a:prstDash val="dash"/>
                <a:round/>
              </a:ln>
              <a:effectLst/>
            </c:spPr>
            <c:extLst>
              <c:ext xmlns:c16="http://schemas.microsoft.com/office/drawing/2014/chart" uri="{C3380CC4-5D6E-409C-BE32-E72D297353CC}">
                <c16:uniqueId val="{00000010-B4D9-4E2D-A632-9CC19B282422}"/>
              </c:ext>
            </c:extLst>
          </c:dPt>
          <c:dPt>
            <c:idx val="16"/>
            <c:marker>
              <c:symbol val="none"/>
            </c:marker>
            <c:bubble3D val="0"/>
            <c:spPr>
              <a:ln w="28575" cap="rnd">
                <a:solidFill>
                  <a:schemeClr val="accent2">
                    <a:lumMod val="60000"/>
                    <a:lumOff val="40000"/>
                  </a:schemeClr>
                </a:solidFill>
                <a:prstDash val="dash"/>
                <a:round/>
              </a:ln>
              <a:effectLst/>
            </c:spPr>
            <c:extLst>
              <c:ext xmlns:c16="http://schemas.microsoft.com/office/drawing/2014/chart" uri="{C3380CC4-5D6E-409C-BE32-E72D297353CC}">
                <c16:uniqueId val="{00000012-B4D9-4E2D-A632-9CC19B282422}"/>
              </c:ext>
            </c:extLst>
          </c:dPt>
          <c:dPt>
            <c:idx val="17"/>
            <c:marker>
              <c:symbol val="none"/>
            </c:marker>
            <c:bubble3D val="0"/>
            <c:spPr>
              <a:ln w="28575" cap="rnd">
                <a:solidFill>
                  <a:schemeClr val="accent2">
                    <a:lumMod val="60000"/>
                    <a:lumOff val="40000"/>
                  </a:schemeClr>
                </a:solidFill>
                <a:prstDash val="dash"/>
                <a:round/>
              </a:ln>
              <a:effectLst/>
            </c:spPr>
            <c:extLst>
              <c:ext xmlns:c16="http://schemas.microsoft.com/office/drawing/2014/chart" uri="{C3380CC4-5D6E-409C-BE32-E72D297353CC}">
                <c16:uniqueId val="{00000014-B4D9-4E2D-A632-9CC19B282422}"/>
              </c:ext>
            </c:extLst>
          </c:dPt>
          <c:cat>
            <c:strRef>
              <c:f>'Figure 16'!$A$2:$A$19</c:f>
              <c:strCache>
                <c:ptCount val="18"/>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pt idx="16">
                  <c:v>2024-25</c:v>
                </c:pt>
                <c:pt idx="17">
                  <c:v>2025-26</c:v>
                </c:pt>
              </c:strCache>
            </c:strRef>
          </c:cat>
          <c:val>
            <c:numRef>
              <c:f>'Figure 16'!$C$2:$C$19</c:f>
              <c:numCache>
                <c:formatCode>0.0</c:formatCode>
                <c:ptCount val="18"/>
                <c:pt idx="0">
                  <c:v>1.631</c:v>
                </c:pt>
                <c:pt idx="1">
                  <c:v>1.7809999999999999</c:v>
                </c:pt>
                <c:pt idx="2">
                  <c:v>1.2190000000000001</c:v>
                </c:pt>
                <c:pt idx="3">
                  <c:v>1.2769999999999999</c:v>
                </c:pt>
                <c:pt idx="4">
                  <c:v>1.3740000000000001</c:v>
                </c:pt>
                <c:pt idx="5">
                  <c:v>1.5489999999999999</c:v>
                </c:pt>
                <c:pt idx="6">
                  <c:v>1.7170000000000001</c:v>
                </c:pt>
                <c:pt idx="7">
                  <c:v>1.464</c:v>
                </c:pt>
                <c:pt idx="8">
                  <c:v>2.0529999999999999</c:v>
                </c:pt>
                <c:pt idx="9">
                  <c:v>1.746</c:v>
                </c:pt>
                <c:pt idx="10">
                  <c:v>1.8979999999999999</c:v>
                </c:pt>
                <c:pt idx="11">
                  <c:v>1.3029999999999999</c:v>
                </c:pt>
                <c:pt idx="12">
                  <c:v>1.5860000000000001</c:v>
                </c:pt>
                <c:pt idx="13">
                  <c:v>1.5504007219041016</c:v>
                </c:pt>
                <c:pt idx="14">
                  <c:v>2.1142171056340473</c:v>
                </c:pt>
                <c:pt idx="15">
                  <c:v>2.2009743130468555</c:v>
                </c:pt>
                <c:pt idx="16">
                  <c:v>2.3439794741841165</c:v>
                </c:pt>
                <c:pt idx="17">
                  <c:v>2.3785629297151019</c:v>
                </c:pt>
              </c:numCache>
            </c:numRef>
          </c:val>
          <c:smooth val="0"/>
          <c:extLst>
            <c:ext xmlns:c16="http://schemas.microsoft.com/office/drawing/2014/chart" uri="{C3380CC4-5D6E-409C-BE32-E72D297353CC}">
              <c16:uniqueId val="{00000015-B4D9-4E2D-A632-9CC19B282422}"/>
            </c:ext>
          </c:extLst>
        </c:ser>
        <c:ser>
          <c:idx val="2"/>
          <c:order val="2"/>
          <c:tx>
            <c:strRef>
              <c:f>'Figure 16'!$D$1</c:f>
              <c:strCache>
                <c:ptCount val="1"/>
                <c:pt idx="0">
                  <c:v>VFR</c:v>
                </c:pt>
              </c:strCache>
            </c:strRef>
          </c:tx>
          <c:spPr>
            <a:ln w="28575" cap="rnd">
              <a:solidFill>
                <a:schemeClr val="accent3"/>
              </a:solidFill>
              <a:round/>
            </a:ln>
            <a:effectLst/>
          </c:spPr>
          <c:marker>
            <c:symbol val="none"/>
          </c:marker>
          <c:dPt>
            <c:idx val="13"/>
            <c:marker>
              <c:symbol val="none"/>
            </c:marker>
            <c:bubble3D val="0"/>
            <c:spPr>
              <a:ln w="28575" cap="rnd">
                <a:solidFill>
                  <a:schemeClr val="accent3">
                    <a:lumMod val="60000"/>
                    <a:lumOff val="40000"/>
                  </a:schemeClr>
                </a:solidFill>
                <a:prstDash val="dash"/>
                <a:round/>
              </a:ln>
              <a:effectLst/>
            </c:spPr>
            <c:extLst>
              <c:ext xmlns:c16="http://schemas.microsoft.com/office/drawing/2014/chart" uri="{C3380CC4-5D6E-409C-BE32-E72D297353CC}">
                <c16:uniqueId val="{00000017-B4D9-4E2D-A632-9CC19B282422}"/>
              </c:ext>
            </c:extLst>
          </c:dPt>
          <c:dPt>
            <c:idx val="14"/>
            <c:marker>
              <c:symbol val="none"/>
            </c:marker>
            <c:bubble3D val="0"/>
            <c:spPr>
              <a:ln w="28575" cap="rnd">
                <a:solidFill>
                  <a:schemeClr val="accent3">
                    <a:lumMod val="60000"/>
                    <a:lumOff val="40000"/>
                  </a:schemeClr>
                </a:solidFill>
                <a:prstDash val="dash"/>
                <a:round/>
              </a:ln>
              <a:effectLst/>
            </c:spPr>
            <c:extLst>
              <c:ext xmlns:c16="http://schemas.microsoft.com/office/drawing/2014/chart" uri="{C3380CC4-5D6E-409C-BE32-E72D297353CC}">
                <c16:uniqueId val="{00000019-B4D9-4E2D-A632-9CC19B282422}"/>
              </c:ext>
            </c:extLst>
          </c:dPt>
          <c:dPt>
            <c:idx val="15"/>
            <c:marker>
              <c:symbol val="none"/>
            </c:marker>
            <c:bubble3D val="0"/>
            <c:spPr>
              <a:ln w="28575" cap="rnd">
                <a:solidFill>
                  <a:schemeClr val="accent3">
                    <a:lumMod val="60000"/>
                    <a:lumOff val="40000"/>
                  </a:schemeClr>
                </a:solidFill>
                <a:prstDash val="dash"/>
                <a:round/>
              </a:ln>
              <a:effectLst/>
            </c:spPr>
            <c:extLst>
              <c:ext xmlns:c16="http://schemas.microsoft.com/office/drawing/2014/chart" uri="{C3380CC4-5D6E-409C-BE32-E72D297353CC}">
                <c16:uniqueId val="{0000001B-B4D9-4E2D-A632-9CC19B282422}"/>
              </c:ext>
            </c:extLst>
          </c:dPt>
          <c:dPt>
            <c:idx val="16"/>
            <c:marker>
              <c:symbol val="none"/>
            </c:marker>
            <c:bubble3D val="0"/>
            <c:spPr>
              <a:ln w="28575" cap="rnd">
                <a:solidFill>
                  <a:schemeClr val="accent3">
                    <a:lumMod val="60000"/>
                    <a:lumOff val="40000"/>
                  </a:schemeClr>
                </a:solidFill>
                <a:prstDash val="dash"/>
                <a:round/>
              </a:ln>
              <a:effectLst/>
            </c:spPr>
            <c:extLst>
              <c:ext xmlns:c16="http://schemas.microsoft.com/office/drawing/2014/chart" uri="{C3380CC4-5D6E-409C-BE32-E72D297353CC}">
                <c16:uniqueId val="{0000001D-B4D9-4E2D-A632-9CC19B282422}"/>
              </c:ext>
            </c:extLst>
          </c:dPt>
          <c:dPt>
            <c:idx val="17"/>
            <c:marker>
              <c:symbol val="none"/>
            </c:marker>
            <c:bubble3D val="0"/>
            <c:spPr>
              <a:ln w="28575" cap="rnd">
                <a:solidFill>
                  <a:schemeClr val="accent3">
                    <a:lumMod val="60000"/>
                    <a:lumOff val="40000"/>
                  </a:schemeClr>
                </a:solidFill>
                <a:prstDash val="dash"/>
                <a:round/>
              </a:ln>
              <a:effectLst/>
            </c:spPr>
            <c:extLst>
              <c:ext xmlns:c16="http://schemas.microsoft.com/office/drawing/2014/chart" uri="{C3380CC4-5D6E-409C-BE32-E72D297353CC}">
                <c16:uniqueId val="{0000001F-B4D9-4E2D-A632-9CC19B282422}"/>
              </c:ext>
            </c:extLst>
          </c:dPt>
          <c:cat>
            <c:strRef>
              <c:f>'Figure 16'!$A$2:$A$19</c:f>
              <c:strCache>
                <c:ptCount val="18"/>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pt idx="16">
                  <c:v>2024-25</c:v>
                </c:pt>
                <c:pt idx="17">
                  <c:v>2025-26</c:v>
                </c:pt>
              </c:strCache>
            </c:strRef>
          </c:cat>
          <c:val>
            <c:numRef>
              <c:f>'Figure 16'!$D$2:$D$19</c:f>
              <c:numCache>
                <c:formatCode>0.0</c:formatCode>
                <c:ptCount val="18"/>
                <c:pt idx="0">
                  <c:v>1.944</c:v>
                </c:pt>
                <c:pt idx="1">
                  <c:v>2.1040000000000001</c:v>
                </c:pt>
                <c:pt idx="2">
                  <c:v>1.9139999999999999</c:v>
                </c:pt>
                <c:pt idx="3">
                  <c:v>1.863</c:v>
                </c:pt>
                <c:pt idx="4">
                  <c:v>2.4369999999999998</c:v>
                </c:pt>
                <c:pt idx="5">
                  <c:v>2.0790000000000002</c:v>
                </c:pt>
                <c:pt idx="6">
                  <c:v>2.4940000000000002</c:v>
                </c:pt>
                <c:pt idx="7">
                  <c:v>2.407</c:v>
                </c:pt>
                <c:pt idx="8">
                  <c:v>2.452</c:v>
                </c:pt>
                <c:pt idx="9">
                  <c:v>3.2410000000000001</c:v>
                </c:pt>
                <c:pt idx="10">
                  <c:v>2.7090000000000001</c:v>
                </c:pt>
                <c:pt idx="11">
                  <c:v>2.9079999999999999</c:v>
                </c:pt>
                <c:pt idx="12">
                  <c:v>2.7949999999999999</c:v>
                </c:pt>
                <c:pt idx="13">
                  <c:v>2.5195272128212345</c:v>
                </c:pt>
                <c:pt idx="14">
                  <c:v>2.8340208251371122</c:v>
                </c:pt>
                <c:pt idx="15">
                  <c:v>2.9847805525819675</c:v>
                </c:pt>
                <c:pt idx="16">
                  <c:v>3.1836052501000145</c:v>
                </c:pt>
                <c:pt idx="17">
                  <c:v>3.2258842394166689</c:v>
                </c:pt>
              </c:numCache>
            </c:numRef>
          </c:val>
          <c:smooth val="0"/>
          <c:extLst>
            <c:ext xmlns:c16="http://schemas.microsoft.com/office/drawing/2014/chart" uri="{C3380CC4-5D6E-409C-BE32-E72D297353CC}">
              <c16:uniqueId val="{00000020-B4D9-4E2D-A632-9CC19B282422}"/>
            </c:ext>
          </c:extLst>
        </c:ser>
        <c:ser>
          <c:idx val="3"/>
          <c:order val="3"/>
          <c:tx>
            <c:strRef>
              <c:f>'Figure 16'!$E$1</c:f>
              <c:strCache>
                <c:ptCount val="1"/>
                <c:pt idx="0">
                  <c:v>Business</c:v>
                </c:pt>
              </c:strCache>
            </c:strRef>
          </c:tx>
          <c:spPr>
            <a:ln w="28575" cap="rnd">
              <a:solidFill>
                <a:schemeClr val="accent4"/>
              </a:solidFill>
              <a:round/>
            </a:ln>
            <a:effectLst/>
          </c:spPr>
          <c:marker>
            <c:symbol val="none"/>
          </c:marker>
          <c:dPt>
            <c:idx val="13"/>
            <c:marker>
              <c:symbol val="none"/>
            </c:marker>
            <c:bubble3D val="0"/>
            <c:spPr>
              <a:ln w="28575" cap="rnd">
                <a:solidFill>
                  <a:schemeClr val="accent4">
                    <a:lumMod val="60000"/>
                    <a:lumOff val="40000"/>
                  </a:schemeClr>
                </a:solidFill>
                <a:prstDash val="dash"/>
                <a:round/>
              </a:ln>
              <a:effectLst/>
            </c:spPr>
            <c:extLst>
              <c:ext xmlns:c16="http://schemas.microsoft.com/office/drawing/2014/chart" uri="{C3380CC4-5D6E-409C-BE32-E72D297353CC}">
                <c16:uniqueId val="{00000022-B4D9-4E2D-A632-9CC19B282422}"/>
              </c:ext>
            </c:extLst>
          </c:dPt>
          <c:dPt>
            <c:idx val="14"/>
            <c:marker>
              <c:symbol val="none"/>
            </c:marker>
            <c:bubble3D val="0"/>
            <c:spPr>
              <a:ln w="28575" cap="rnd">
                <a:solidFill>
                  <a:schemeClr val="accent4">
                    <a:lumMod val="60000"/>
                    <a:lumOff val="40000"/>
                  </a:schemeClr>
                </a:solidFill>
                <a:prstDash val="dash"/>
                <a:round/>
              </a:ln>
              <a:effectLst/>
            </c:spPr>
            <c:extLst>
              <c:ext xmlns:c16="http://schemas.microsoft.com/office/drawing/2014/chart" uri="{C3380CC4-5D6E-409C-BE32-E72D297353CC}">
                <c16:uniqueId val="{00000024-B4D9-4E2D-A632-9CC19B282422}"/>
              </c:ext>
            </c:extLst>
          </c:dPt>
          <c:dPt>
            <c:idx val="15"/>
            <c:marker>
              <c:symbol val="none"/>
            </c:marker>
            <c:bubble3D val="0"/>
            <c:spPr>
              <a:ln w="28575" cap="rnd">
                <a:solidFill>
                  <a:schemeClr val="accent4">
                    <a:lumMod val="60000"/>
                    <a:lumOff val="40000"/>
                  </a:schemeClr>
                </a:solidFill>
                <a:prstDash val="dash"/>
                <a:round/>
              </a:ln>
              <a:effectLst/>
            </c:spPr>
            <c:extLst>
              <c:ext xmlns:c16="http://schemas.microsoft.com/office/drawing/2014/chart" uri="{C3380CC4-5D6E-409C-BE32-E72D297353CC}">
                <c16:uniqueId val="{00000026-B4D9-4E2D-A632-9CC19B282422}"/>
              </c:ext>
            </c:extLst>
          </c:dPt>
          <c:dPt>
            <c:idx val="16"/>
            <c:marker>
              <c:symbol val="none"/>
            </c:marker>
            <c:bubble3D val="0"/>
            <c:spPr>
              <a:ln w="28575" cap="rnd">
                <a:solidFill>
                  <a:schemeClr val="accent4">
                    <a:lumMod val="60000"/>
                    <a:lumOff val="40000"/>
                  </a:schemeClr>
                </a:solidFill>
                <a:prstDash val="dash"/>
                <a:round/>
              </a:ln>
              <a:effectLst/>
            </c:spPr>
            <c:extLst>
              <c:ext xmlns:c16="http://schemas.microsoft.com/office/drawing/2014/chart" uri="{C3380CC4-5D6E-409C-BE32-E72D297353CC}">
                <c16:uniqueId val="{00000028-B4D9-4E2D-A632-9CC19B282422}"/>
              </c:ext>
            </c:extLst>
          </c:dPt>
          <c:dPt>
            <c:idx val="17"/>
            <c:marker>
              <c:symbol val="none"/>
            </c:marker>
            <c:bubble3D val="0"/>
            <c:spPr>
              <a:ln w="28575" cap="rnd">
                <a:solidFill>
                  <a:schemeClr val="accent4">
                    <a:lumMod val="60000"/>
                    <a:lumOff val="40000"/>
                  </a:schemeClr>
                </a:solidFill>
                <a:prstDash val="dash"/>
                <a:round/>
              </a:ln>
              <a:effectLst/>
            </c:spPr>
            <c:extLst>
              <c:ext xmlns:c16="http://schemas.microsoft.com/office/drawing/2014/chart" uri="{C3380CC4-5D6E-409C-BE32-E72D297353CC}">
                <c16:uniqueId val="{0000002A-B4D9-4E2D-A632-9CC19B282422}"/>
              </c:ext>
            </c:extLst>
          </c:dPt>
          <c:cat>
            <c:strRef>
              <c:f>'Figure 16'!$A$2:$A$19</c:f>
              <c:strCache>
                <c:ptCount val="18"/>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pt idx="16">
                  <c:v>2024-25</c:v>
                </c:pt>
                <c:pt idx="17">
                  <c:v>2025-26</c:v>
                </c:pt>
              </c:strCache>
            </c:strRef>
          </c:cat>
          <c:val>
            <c:numRef>
              <c:f>'Figure 16'!$E$2:$E$19</c:f>
              <c:numCache>
                <c:formatCode>0.0</c:formatCode>
                <c:ptCount val="18"/>
                <c:pt idx="0">
                  <c:v>1.204</c:v>
                </c:pt>
                <c:pt idx="1">
                  <c:v>1.3069999999999999</c:v>
                </c:pt>
                <c:pt idx="2">
                  <c:v>1.264</c:v>
                </c:pt>
                <c:pt idx="3">
                  <c:v>1.63</c:v>
                </c:pt>
                <c:pt idx="4">
                  <c:v>2.0990000000000002</c:v>
                </c:pt>
                <c:pt idx="5">
                  <c:v>1.516</c:v>
                </c:pt>
                <c:pt idx="6">
                  <c:v>1.355</c:v>
                </c:pt>
                <c:pt idx="7">
                  <c:v>2.0049999999999999</c:v>
                </c:pt>
                <c:pt idx="8">
                  <c:v>1.69</c:v>
                </c:pt>
                <c:pt idx="9">
                  <c:v>1.9830000000000001</c:v>
                </c:pt>
                <c:pt idx="10">
                  <c:v>2.246</c:v>
                </c:pt>
                <c:pt idx="11">
                  <c:v>2.472</c:v>
                </c:pt>
                <c:pt idx="12">
                  <c:v>1.214</c:v>
                </c:pt>
                <c:pt idx="13">
                  <c:v>1.7132497470586954</c:v>
                </c:pt>
                <c:pt idx="14">
                  <c:v>1.7620198130743259</c:v>
                </c:pt>
                <c:pt idx="15">
                  <c:v>1.9560729937926249</c:v>
                </c:pt>
                <c:pt idx="16">
                  <c:v>2.0640949132174979</c:v>
                </c:pt>
                <c:pt idx="17">
                  <c:v>2.0881296012687369</c:v>
                </c:pt>
              </c:numCache>
            </c:numRef>
          </c:val>
          <c:smooth val="0"/>
          <c:extLst>
            <c:ext xmlns:c16="http://schemas.microsoft.com/office/drawing/2014/chart" uri="{C3380CC4-5D6E-409C-BE32-E72D297353CC}">
              <c16:uniqueId val="{0000002B-B4D9-4E2D-A632-9CC19B282422}"/>
            </c:ext>
          </c:extLst>
        </c:ser>
        <c:ser>
          <c:idx val="4"/>
          <c:order val="4"/>
          <c:tx>
            <c:strRef>
              <c:f>'Figure 16'!$F$1</c:f>
              <c:strCache>
                <c:ptCount val="1"/>
                <c:pt idx="0">
                  <c:v>Other</c:v>
                </c:pt>
              </c:strCache>
            </c:strRef>
          </c:tx>
          <c:spPr>
            <a:ln w="28575" cap="rnd">
              <a:solidFill>
                <a:schemeClr val="accent5"/>
              </a:solidFill>
              <a:round/>
            </a:ln>
            <a:effectLst/>
          </c:spPr>
          <c:marker>
            <c:symbol val="none"/>
          </c:marker>
          <c:dPt>
            <c:idx val="13"/>
            <c:marker>
              <c:symbol val="none"/>
            </c:marker>
            <c:bubble3D val="0"/>
            <c:spPr>
              <a:ln w="28575" cap="rnd">
                <a:solidFill>
                  <a:schemeClr val="accent5">
                    <a:lumMod val="60000"/>
                    <a:lumOff val="40000"/>
                  </a:schemeClr>
                </a:solidFill>
                <a:prstDash val="dash"/>
                <a:round/>
              </a:ln>
              <a:effectLst/>
            </c:spPr>
            <c:extLst>
              <c:ext xmlns:c16="http://schemas.microsoft.com/office/drawing/2014/chart" uri="{C3380CC4-5D6E-409C-BE32-E72D297353CC}">
                <c16:uniqueId val="{0000002D-B4D9-4E2D-A632-9CC19B282422}"/>
              </c:ext>
            </c:extLst>
          </c:dPt>
          <c:dPt>
            <c:idx val="14"/>
            <c:marker>
              <c:symbol val="none"/>
            </c:marker>
            <c:bubble3D val="0"/>
            <c:spPr>
              <a:ln w="28575" cap="rnd">
                <a:solidFill>
                  <a:schemeClr val="accent5">
                    <a:lumMod val="60000"/>
                    <a:lumOff val="40000"/>
                  </a:schemeClr>
                </a:solidFill>
                <a:prstDash val="dash"/>
                <a:round/>
              </a:ln>
              <a:effectLst/>
            </c:spPr>
            <c:extLst>
              <c:ext xmlns:c16="http://schemas.microsoft.com/office/drawing/2014/chart" uri="{C3380CC4-5D6E-409C-BE32-E72D297353CC}">
                <c16:uniqueId val="{0000002F-B4D9-4E2D-A632-9CC19B282422}"/>
              </c:ext>
            </c:extLst>
          </c:dPt>
          <c:dPt>
            <c:idx val="15"/>
            <c:marker>
              <c:symbol val="none"/>
            </c:marker>
            <c:bubble3D val="0"/>
            <c:spPr>
              <a:ln w="28575" cap="rnd">
                <a:solidFill>
                  <a:schemeClr val="accent5">
                    <a:lumMod val="60000"/>
                    <a:lumOff val="40000"/>
                  </a:schemeClr>
                </a:solidFill>
                <a:prstDash val="dash"/>
                <a:round/>
              </a:ln>
              <a:effectLst/>
            </c:spPr>
            <c:extLst>
              <c:ext xmlns:c16="http://schemas.microsoft.com/office/drawing/2014/chart" uri="{C3380CC4-5D6E-409C-BE32-E72D297353CC}">
                <c16:uniqueId val="{00000031-B4D9-4E2D-A632-9CC19B282422}"/>
              </c:ext>
            </c:extLst>
          </c:dPt>
          <c:dPt>
            <c:idx val="16"/>
            <c:marker>
              <c:symbol val="none"/>
            </c:marker>
            <c:bubble3D val="0"/>
            <c:spPr>
              <a:ln w="28575" cap="rnd">
                <a:solidFill>
                  <a:schemeClr val="accent5">
                    <a:lumMod val="60000"/>
                    <a:lumOff val="40000"/>
                  </a:schemeClr>
                </a:solidFill>
                <a:prstDash val="dash"/>
                <a:round/>
              </a:ln>
              <a:effectLst/>
            </c:spPr>
            <c:extLst>
              <c:ext xmlns:c16="http://schemas.microsoft.com/office/drawing/2014/chart" uri="{C3380CC4-5D6E-409C-BE32-E72D297353CC}">
                <c16:uniqueId val="{00000033-B4D9-4E2D-A632-9CC19B282422}"/>
              </c:ext>
            </c:extLst>
          </c:dPt>
          <c:dPt>
            <c:idx val="17"/>
            <c:marker>
              <c:symbol val="none"/>
            </c:marker>
            <c:bubble3D val="0"/>
            <c:spPr>
              <a:ln w="28575" cap="rnd">
                <a:solidFill>
                  <a:schemeClr val="accent5">
                    <a:lumMod val="60000"/>
                    <a:lumOff val="40000"/>
                  </a:schemeClr>
                </a:solidFill>
                <a:prstDash val="dash"/>
                <a:round/>
              </a:ln>
              <a:effectLst/>
            </c:spPr>
            <c:extLst>
              <c:ext xmlns:c16="http://schemas.microsoft.com/office/drawing/2014/chart" uri="{C3380CC4-5D6E-409C-BE32-E72D297353CC}">
                <c16:uniqueId val="{00000035-B4D9-4E2D-A632-9CC19B282422}"/>
              </c:ext>
            </c:extLst>
          </c:dPt>
          <c:cat>
            <c:strRef>
              <c:f>'Figure 16'!$A$2:$A$19</c:f>
              <c:strCache>
                <c:ptCount val="18"/>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pt idx="16">
                  <c:v>2024-25</c:v>
                </c:pt>
                <c:pt idx="17">
                  <c:v>2025-26</c:v>
                </c:pt>
              </c:strCache>
            </c:strRef>
          </c:cat>
          <c:val>
            <c:numRef>
              <c:f>'Figure 16'!$F$2:$F$19</c:f>
              <c:numCache>
                <c:formatCode>0.0</c:formatCode>
                <c:ptCount val="18"/>
                <c:pt idx="0">
                  <c:v>0.23300000000000001</c:v>
                </c:pt>
                <c:pt idx="1">
                  <c:v>0.34899999999999998</c:v>
                </c:pt>
                <c:pt idx="2">
                  <c:v>0.27400000000000002</c:v>
                </c:pt>
                <c:pt idx="3">
                  <c:v>0.27500000000000002</c:v>
                </c:pt>
                <c:pt idx="4">
                  <c:v>0.31</c:v>
                </c:pt>
                <c:pt idx="5">
                  <c:v>0.22800000000000001</c:v>
                </c:pt>
                <c:pt idx="6">
                  <c:v>0.54300000000000004</c:v>
                </c:pt>
                <c:pt idx="7">
                  <c:v>0.495</c:v>
                </c:pt>
                <c:pt idx="8">
                  <c:v>0.48699999999999999</c:v>
                </c:pt>
                <c:pt idx="9">
                  <c:v>0.24</c:v>
                </c:pt>
                <c:pt idx="10">
                  <c:v>0.72499999999999998</c:v>
                </c:pt>
                <c:pt idx="11">
                  <c:v>0.71099999999999997</c:v>
                </c:pt>
                <c:pt idx="12">
                  <c:v>0.376</c:v>
                </c:pt>
                <c:pt idx="13">
                  <c:v>0.42090811170780873</c:v>
                </c:pt>
                <c:pt idx="14">
                  <c:v>0.41352227073060943</c:v>
                </c:pt>
                <c:pt idx="15">
                  <c:v>0.43959377922972376</c:v>
                </c:pt>
                <c:pt idx="16">
                  <c:v>0.43914183690233516</c:v>
                </c:pt>
                <c:pt idx="17">
                  <c:v>0.44570352621798132</c:v>
                </c:pt>
              </c:numCache>
            </c:numRef>
          </c:val>
          <c:smooth val="0"/>
          <c:extLst>
            <c:ext xmlns:c16="http://schemas.microsoft.com/office/drawing/2014/chart" uri="{C3380CC4-5D6E-409C-BE32-E72D297353CC}">
              <c16:uniqueId val="{00000036-B4D9-4E2D-A632-9CC19B282422}"/>
            </c:ext>
          </c:extLst>
        </c:ser>
        <c:dLbls>
          <c:showLegendKey val="0"/>
          <c:showVal val="0"/>
          <c:showCatName val="0"/>
          <c:showSerName val="0"/>
          <c:showPercent val="0"/>
          <c:showBubbleSize val="0"/>
        </c:dLbls>
        <c:smooth val="0"/>
        <c:axId val="1296576927"/>
        <c:axId val="1296588991"/>
      </c:lineChart>
      <c:catAx>
        <c:axId val="12965769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96588991"/>
        <c:crosses val="autoZero"/>
        <c:auto val="1"/>
        <c:lblAlgn val="ctr"/>
        <c:lblOffset val="100"/>
        <c:noMultiLvlLbl val="0"/>
      </c:catAx>
      <c:valAx>
        <c:axId val="129658899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96576927"/>
        <c:crosses val="autoZero"/>
        <c:crossBetween val="between"/>
        <c:majorUnit val="5"/>
      </c:valAx>
      <c:spPr>
        <a:noFill/>
        <a:ln>
          <a:noFill/>
        </a:ln>
        <a:effectLst/>
      </c:spPr>
    </c:plotArea>
    <c:legend>
      <c:legendPos val="b"/>
      <c:layout>
        <c:manualLayout>
          <c:xMode val="edge"/>
          <c:yMode val="edge"/>
          <c:x val="0.12551290463692039"/>
          <c:y val="3.9235188477293875E-2"/>
          <c:w val="0.8186187664041995"/>
          <c:h val="8.3427512737378418E-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71255919461741"/>
          <c:y val="0.11611507657378146"/>
          <c:w val="0.80317757614856411"/>
          <c:h val="0.75221523256965817"/>
        </c:manualLayout>
      </c:layout>
      <c:barChart>
        <c:barDir val="col"/>
        <c:grouping val="clustered"/>
        <c:varyColors val="0"/>
        <c:ser>
          <c:idx val="1"/>
          <c:order val="0"/>
          <c:tx>
            <c:strRef>
              <c:f>'Figure 2'!$D$2</c:f>
              <c:strCache>
                <c:ptCount val="1"/>
                <c:pt idx="0">
                  <c:v>Overnight trips (LHS)</c:v>
                </c:pt>
              </c:strCache>
            </c:strRef>
          </c:tx>
          <c:spPr>
            <a:solidFill>
              <a:schemeClr val="accent1"/>
            </a:solidFill>
            <a:ln>
              <a:noFill/>
            </a:ln>
            <a:effectLst/>
          </c:spPr>
          <c:invertIfNegative val="0"/>
          <c:dPt>
            <c:idx val="5"/>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1-418A-4CE8-9E4A-BC55DDF90F3D}"/>
              </c:ext>
            </c:extLst>
          </c:dPt>
          <c:dPt>
            <c:idx val="6"/>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3-418A-4CE8-9E4A-BC55DDF90F3D}"/>
              </c:ext>
            </c:extLst>
          </c:dPt>
          <c:dPt>
            <c:idx val="7"/>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5-418A-4CE8-9E4A-BC55DDF90F3D}"/>
              </c:ext>
            </c:extLst>
          </c:dPt>
          <c:dPt>
            <c:idx val="8"/>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7-418A-4CE8-9E4A-BC55DDF90F3D}"/>
              </c:ext>
            </c:extLst>
          </c:dPt>
          <c:dPt>
            <c:idx val="9"/>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9-418A-4CE8-9E4A-BC55DDF90F3D}"/>
              </c:ext>
            </c:extLst>
          </c:dPt>
          <c:cat>
            <c:strRef>
              <c:f>'Figure 2'!$A$3:$A$12</c:f>
              <c:strCache>
                <c:ptCount val="10"/>
                <c:pt idx="0">
                  <c:v>2016-17</c:v>
                </c:pt>
                <c:pt idx="1">
                  <c:v>2017-18</c:v>
                </c:pt>
                <c:pt idx="2">
                  <c:v>2018-19</c:v>
                </c:pt>
                <c:pt idx="3">
                  <c:v>2019-20</c:v>
                </c:pt>
                <c:pt idx="4">
                  <c:v>2020-21</c:v>
                </c:pt>
                <c:pt idx="5">
                  <c:v>2021-22</c:v>
                </c:pt>
                <c:pt idx="6">
                  <c:v>2022-23</c:v>
                </c:pt>
                <c:pt idx="7">
                  <c:v>2023-24</c:v>
                </c:pt>
                <c:pt idx="8">
                  <c:v>2024-25</c:v>
                </c:pt>
                <c:pt idx="9">
                  <c:v>2025-26</c:v>
                </c:pt>
              </c:strCache>
            </c:strRef>
          </c:cat>
          <c:val>
            <c:numRef>
              <c:f>'Figure 2'!$D$3:$D$12</c:f>
              <c:numCache>
                <c:formatCode>General</c:formatCode>
                <c:ptCount val="10"/>
                <c:pt idx="0">
                  <c:v>93364</c:v>
                </c:pt>
                <c:pt idx="1">
                  <c:v>101487</c:v>
                </c:pt>
                <c:pt idx="2">
                  <c:v>113320</c:v>
                </c:pt>
                <c:pt idx="3">
                  <c:v>92827.85100000001</c:v>
                </c:pt>
                <c:pt idx="4">
                  <c:v>88676.956000000006</c:v>
                </c:pt>
                <c:pt idx="5">
                  <c:v>92210.000000000015</c:v>
                </c:pt>
                <c:pt idx="6">
                  <c:v>111735.33567337823</c:v>
                </c:pt>
                <c:pt idx="7">
                  <c:v>117052.24919166685</c:v>
                </c:pt>
                <c:pt idx="8">
                  <c:v>121933.90404791423</c:v>
                </c:pt>
                <c:pt idx="9">
                  <c:v>123570.09522074088</c:v>
                </c:pt>
              </c:numCache>
            </c:numRef>
          </c:val>
          <c:extLst>
            <c:ext xmlns:c16="http://schemas.microsoft.com/office/drawing/2014/chart" uri="{C3380CC4-5D6E-409C-BE32-E72D297353CC}">
              <c16:uniqueId val="{0000000A-418A-4CE8-9E4A-BC55DDF90F3D}"/>
            </c:ext>
          </c:extLst>
        </c:ser>
        <c:ser>
          <c:idx val="2"/>
          <c:order val="1"/>
          <c:tx>
            <c:strRef>
              <c:f>'Figure 2'!$E$2</c:f>
              <c:strCache>
                <c:ptCount val="1"/>
                <c:pt idx="0">
                  <c:v>Day trips (LHS) </c:v>
                </c:pt>
              </c:strCache>
            </c:strRef>
          </c:tx>
          <c:spPr>
            <a:solidFill>
              <a:schemeClr val="accent2"/>
            </a:solidFill>
            <a:ln>
              <a:noFill/>
            </a:ln>
            <a:effectLst/>
          </c:spPr>
          <c:invertIfNegative val="0"/>
          <c:dPt>
            <c:idx val="5"/>
            <c:invertIfNegative val="0"/>
            <c:bubble3D val="0"/>
            <c:spPr>
              <a:solidFill>
                <a:schemeClr val="accent2">
                  <a:lumMod val="60000"/>
                  <a:lumOff val="40000"/>
                </a:schemeClr>
              </a:solidFill>
              <a:ln>
                <a:noFill/>
              </a:ln>
              <a:effectLst/>
            </c:spPr>
            <c:extLst>
              <c:ext xmlns:c16="http://schemas.microsoft.com/office/drawing/2014/chart" uri="{C3380CC4-5D6E-409C-BE32-E72D297353CC}">
                <c16:uniqueId val="{0000000C-418A-4CE8-9E4A-BC55DDF90F3D}"/>
              </c:ext>
            </c:extLst>
          </c:dPt>
          <c:dPt>
            <c:idx val="6"/>
            <c:invertIfNegative val="0"/>
            <c:bubble3D val="0"/>
            <c:spPr>
              <a:solidFill>
                <a:schemeClr val="accent2">
                  <a:lumMod val="60000"/>
                  <a:lumOff val="40000"/>
                </a:schemeClr>
              </a:solidFill>
              <a:ln>
                <a:noFill/>
              </a:ln>
              <a:effectLst/>
            </c:spPr>
            <c:extLst>
              <c:ext xmlns:c16="http://schemas.microsoft.com/office/drawing/2014/chart" uri="{C3380CC4-5D6E-409C-BE32-E72D297353CC}">
                <c16:uniqueId val="{0000000E-418A-4CE8-9E4A-BC55DDF90F3D}"/>
              </c:ext>
            </c:extLst>
          </c:dPt>
          <c:dPt>
            <c:idx val="7"/>
            <c:invertIfNegative val="0"/>
            <c:bubble3D val="0"/>
            <c:spPr>
              <a:solidFill>
                <a:schemeClr val="accent2">
                  <a:lumMod val="60000"/>
                  <a:lumOff val="40000"/>
                </a:schemeClr>
              </a:solidFill>
              <a:ln>
                <a:noFill/>
              </a:ln>
              <a:effectLst/>
            </c:spPr>
            <c:extLst>
              <c:ext xmlns:c16="http://schemas.microsoft.com/office/drawing/2014/chart" uri="{C3380CC4-5D6E-409C-BE32-E72D297353CC}">
                <c16:uniqueId val="{00000010-418A-4CE8-9E4A-BC55DDF90F3D}"/>
              </c:ext>
            </c:extLst>
          </c:dPt>
          <c:dPt>
            <c:idx val="8"/>
            <c:invertIfNegative val="0"/>
            <c:bubble3D val="0"/>
            <c:spPr>
              <a:solidFill>
                <a:schemeClr val="accent2">
                  <a:lumMod val="60000"/>
                  <a:lumOff val="40000"/>
                </a:schemeClr>
              </a:solidFill>
              <a:ln>
                <a:noFill/>
              </a:ln>
              <a:effectLst/>
            </c:spPr>
            <c:extLst>
              <c:ext xmlns:c16="http://schemas.microsoft.com/office/drawing/2014/chart" uri="{C3380CC4-5D6E-409C-BE32-E72D297353CC}">
                <c16:uniqueId val="{00000012-418A-4CE8-9E4A-BC55DDF90F3D}"/>
              </c:ext>
            </c:extLst>
          </c:dPt>
          <c:dPt>
            <c:idx val="9"/>
            <c:invertIfNegative val="0"/>
            <c:bubble3D val="0"/>
            <c:spPr>
              <a:solidFill>
                <a:schemeClr val="accent2">
                  <a:lumMod val="60000"/>
                  <a:lumOff val="40000"/>
                </a:schemeClr>
              </a:solidFill>
              <a:ln>
                <a:noFill/>
              </a:ln>
              <a:effectLst/>
            </c:spPr>
            <c:extLst>
              <c:ext xmlns:c16="http://schemas.microsoft.com/office/drawing/2014/chart" uri="{C3380CC4-5D6E-409C-BE32-E72D297353CC}">
                <c16:uniqueId val="{00000014-418A-4CE8-9E4A-BC55DDF90F3D}"/>
              </c:ext>
            </c:extLst>
          </c:dPt>
          <c:cat>
            <c:strRef>
              <c:f>'Figure 2'!$A$3:$A$12</c:f>
              <c:strCache>
                <c:ptCount val="10"/>
                <c:pt idx="0">
                  <c:v>2016-17</c:v>
                </c:pt>
                <c:pt idx="1">
                  <c:v>2017-18</c:v>
                </c:pt>
                <c:pt idx="2">
                  <c:v>2018-19</c:v>
                </c:pt>
                <c:pt idx="3">
                  <c:v>2019-20</c:v>
                </c:pt>
                <c:pt idx="4">
                  <c:v>2020-21</c:v>
                </c:pt>
                <c:pt idx="5">
                  <c:v>2021-22</c:v>
                </c:pt>
                <c:pt idx="6">
                  <c:v>2022-23</c:v>
                </c:pt>
                <c:pt idx="7">
                  <c:v>2023-24</c:v>
                </c:pt>
                <c:pt idx="8">
                  <c:v>2024-25</c:v>
                </c:pt>
                <c:pt idx="9">
                  <c:v>2025-26</c:v>
                </c:pt>
              </c:strCache>
            </c:strRef>
          </c:cat>
          <c:val>
            <c:numRef>
              <c:f>'Figure 2'!$E$3:$E$12</c:f>
              <c:numCache>
                <c:formatCode>General</c:formatCode>
                <c:ptCount val="10"/>
                <c:pt idx="0">
                  <c:v>187069</c:v>
                </c:pt>
                <c:pt idx="1">
                  <c:v>201861</c:v>
                </c:pt>
                <c:pt idx="2">
                  <c:v>227319</c:v>
                </c:pt>
                <c:pt idx="3">
                  <c:v>206542</c:v>
                </c:pt>
                <c:pt idx="4">
                  <c:v>173830</c:v>
                </c:pt>
                <c:pt idx="5">
                  <c:v>197806.37000000002</c:v>
                </c:pt>
                <c:pt idx="6">
                  <c:v>227445.75917292151</c:v>
                </c:pt>
                <c:pt idx="7">
                  <c:v>239989.10044175666</c:v>
                </c:pt>
                <c:pt idx="8">
                  <c:v>250759.03833427536</c:v>
                </c:pt>
                <c:pt idx="9">
                  <c:v>255984.24462698825</c:v>
                </c:pt>
              </c:numCache>
            </c:numRef>
          </c:val>
          <c:extLst>
            <c:ext xmlns:c16="http://schemas.microsoft.com/office/drawing/2014/chart" uri="{C3380CC4-5D6E-409C-BE32-E72D297353CC}">
              <c16:uniqueId val="{00000015-418A-4CE8-9E4A-BC55DDF90F3D}"/>
            </c:ext>
          </c:extLst>
        </c:ser>
        <c:dLbls>
          <c:showLegendKey val="0"/>
          <c:showVal val="0"/>
          <c:showCatName val="0"/>
          <c:showSerName val="0"/>
          <c:showPercent val="0"/>
          <c:showBubbleSize val="0"/>
        </c:dLbls>
        <c:gapWidth val="42"/>
        <c:overlap val="-18"/>
        <c:axId val="1146981007"/>
        <c:axId val="1146986415"/>
      </c:barChart>
      <c:lineChart>
        <c:grouping val="standard"/>
        <c:varyColors val="0"/>
        <c:ser>
          <c:idx val="0"/>
          <c:order val="2"/>
          <c:tx>
            <c:v>Growth in total trips (RHS)</c:v>
          </c:tx>
          <c:spPr>
            <a:ln w="28575" cap="rnd">
              <a:solidFill>
                <a:schemeClr val="accent3"/>
              </a:solidFill>
              <a:round/>
            </a:ln>
            <a:effectLst/>
          </c:spPr>
          <c:marker>
            <c:symbol val="none"/>
          </c:marker>
          <c:dPt>
            <c:idx val="5"/>
            <c:marker>
              <c:symbol val="none"/>
            </c:marker>
            <c:bubble3D val="0"/>
            <c:spPr>
              <a:ln w="28575" cap="rnd">
                <a:solidFill>
                  <a:schemeClr val="accent3"/>
                </a:solidFill>
                <a:prstDash val="dash"/>
                <a:round/>
              </a:ln>
              <a:effectLst/>
            </c:spPr>
            <c:extLst>
              <c:ext xmlns:c16="http://schemas.microsoft.com/office/drawing/2014/chart" uri="{C3380CC4-5D6E-409C-BE32-E72D297353CC}">
                <c16:uniqueId val="{00000017-418A-4CE8-9E4A-BC55DDF90F3D}"/>
              </c:ext>
            </c:extLst>
          </c:dPt>
          <c:dPt>
            <c:idx val="6"/>
            <c:marker>
              <c:symbol val="none"/>
            </c:marker>
            <c:bubble3D val="0"/>
            <c:spPr>
              <a:ln w="28575" cap="rnd">
                <a:solidFill>
                  <a:schemeClr val="accent3"/>
                </a:solidFill>
                <a:prstDash val="dash"/>
                <a:round/>
              </a:ln>
              <a:effectLst/>
            </c:spPr>
            <c:extLst>
              <c:ext xmlns:c16="http://schemas.microsoft.com/office/drawing/2014/chart" uri="{C3380CC4-5D6E-409C-BE32-E72D297353CC}">
                <c16:uniqueId val="{00000019-418A-4CE8-9E4A-BC55DDF90F3D}"/>
              </c:ext>
            </c:extLst>
          </c:dPt>
          <c:dPt>
            <c:idx val="7"/>
            <c:marker>
              <c:symbol val="none"/>
            </c:marker>
            <c:bubble3D val="0"/>
            <c:spPr>
              <a:ln w="28575" cap="rnd">
                <a:solidFill>
                  <a:schemeClr val="accent3"/>
                </a:solidFill>
                <a:prstDash val="dash"/>
                <a:round/>
              </a:ln>
              <a:effectLst/>
            </c:spPr>
            <c:extLst>
              <c:ext xmlns:c16="http://schemas.microsoft.com/office/drawing/2014/chart" uri="{C3380CC4-5D6E-409C-BE32-E72D297353CC}">
                <c16:uniqueId val="{0000001B-418A-4CE8-9E4A-BC55DDF90F3D}"/>
              </c:ext>
            </c:extLst>
          </c:dPt>
          <c:dPt>
            <c:idx val="8"/>
            <c:marker>
              <c:symbol val="none"/>
            </c:marker>
            <c:bubble3D val="0"/>
            <c:spPr>
              <a:ln w="28575" cap="rnd">
                <a:solidFill>
                  <a:schemeClr val="accent3"/>
                </a:solidFill>
                <a:prstDash val="dash"/>
                <a:round/>
              </a:ln>
              <a:effectLst/>
            </c:spPr>
            <c:extLst>
              <c:ext xmlns:c16="http://schemas.microsoft.com/office/drawing/2014/chart" uri="{C3380CC4-5D6E-409C-BE32-E72D297353CC}">
                <c16:uniqueId val="{0000001D-418A-4CE8-9E4A-BC55DDF90F3D}"/>
              </c:ext>
            </c:extLst>
          </c:dPt>
          <c:dPt>
            <c:idx val="9"/>
            <c:marker>
              <c:symbol val="none"/>
            </c:marker>
            <c:bubble3D val="0"/>
            <c:spPr>
              <a:ln w="28575" cap="rnd">
                <a:solidFill>
                  <a:schemeClr val="accent3"/>
                </a:solidFill>
                <a:prstDash val="dash"/>
                <a:round/>
              </a:ln>
              <a:effectLst/>
            </c:spPr>
            <c:extLst>
              <c:ext xmlns:c16="http://schemas.microsoft.com/office/drawing/2014/chart" uri="{C3380CC4-5D6E-409C-BE32-E72D297353CC}">
                <c16:uniqueId val="{0000001F-418A-4CE8-9E4A-BC55DDF90F3D}"/>
              </c:ext>
            </c:extLst>
          </c:dPt>
          <c:cat>
            <c:strRef>
              <c:f>'Figure 2'!$A$3:$A$12</c:f>
              <c:strCache>
                <c:ptCount val="10"/>
                <c:pt idx="0">
                  <c:v>2016-17</c:v>
                </c:pt>
                <c:pt idx="1">
                  <c:v>2017-18</c:v>
                </c:pt>
                <c:pt idx="2">
                  <c:v>2018-19</c:v>
                </c:pt>
                <c:pt idx="3">
                  <c:v>2019-20</c:v>
                </c:pt>
                <c:pt idx="4">
                  <c:v>2020-21</c:v>
                </c:pt>
                <c:pt idx="5">
                  <c:v>2021-22</c:v>
                </c:pt>
                <c:pt idx="6">
                  <c:v>2022-23</c:v>
                </c:pt>
                <c:pt idx="7">
                  <c:v>2023-24</c:v>
                </c:pt>
                <c:pt idx="8">
                  <c:v>2024-25</c:v>
                </c:pt>
                <c:pt idx="9">
                  <c:v>2025-26</c:v>
                </c:pt>
              </c:strCache>
            </c:strRef>
          </c:cat>
          <c:val>
            <c:numRef>
              <c:f>'Figure 2'!$F$3:$F$12</c:f>
              <c:numCache>
                <c:formatCode>General</c:formatCode>
                <c:ptCount val="10"/>
                <c:pt idx="0">
                  <c:v>1.1411300938799513</c:v>
                </c:pt>
                <c:pt idx="1">
                  <c:v>8.1712922516251609</c:v>
                </c:pt>
                <c:pt idx="2">
                  <c:v>12.293141870063423</c:v>
                </c:pt>
                <c:pt idx="3">
                  <c:v>-12.115215521417099</c:v>
                </c:pt>
                <c:pt idx="4">
                  <c:v>-12.313496124230625</c:v>
                </c:pt>
                <c:pt idx="5">
                  <c:v>10.479499065160041</c:v>
                </c:pt>
                <c:pt idx="6">
                  <c:v>16.952396461723751</c:v>
                </c:pt>
                <c:pt idx="7">
                  <c:v>5.2656987840720149</c:v>
                </c:pt>
                <c:pt idx="8">
                  <c:v>4.3836919070677993</c:v>
                </c:pt>
                <c:pt idx="9">
                  <c:v>1.8410323044173253</c:v>
                </c:pt>
              </c:numCache>
            </c:numRef>
          </c:val>
          <c:smooth val="0"/>
          <c:extLst>
            <c:ext xmlns:c16="http://schemas.microsoft.com/office/drawing/2014/chart" uri="{C3380CC4-5D6E-409C-BE32-E72D297353CC}">
              <c16:uniqueId val="{00000020-418A-4CE8-9E4A-BC55DDF90F3D}"/>
            </c:ext>
          </c:extLst>
        </c:ser>
        <c:dLbls>
          <c:showLegendKey val="0"/>
          <c:showVal val="0"/>
          <c:showCatName val="0"/>
          <c:showSerName val="0"/>
          <c:showPercent val="0"/>
          <c:showBubbleSize val="0"/>
        </c:dLbls>
        <c:marker val="1"/>
        <c:smooth val="0"/>
        <c:axId val="1110786239"/>
        <c:axId val="1110788735"/>
      </c:lineChart>
      <c:catAx>
        <c:axId val="1146981007"/>
        <c:scaling>
          <c:orientation val="minMax"/>
        </c:scaling>
        <c:delete val="0"/>
        <c:axPos val="b"/>
        <c:numFmt formatCode="General" sourceLinked="1"/>
        <c:majorTickMark val="in"/>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146986415"/>
        <c:crosses val="autoZero"/>
        <c:auto val="1"/>
        <c:lblAlgn val="ctr"/>
        <c:lblOffset val="100"/>
        <c:noMultiLvlLbl val="0"/>
      </c:catAx>
      <c:valAx>
        <c:axId val="1146986415"/>
        <c:scaling>
          <c:orientation val="minMax"/>
          <c:max val="350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6981007"/>
        <c:crosses val="autoZero"/>
        <c:crossBetween val="between"/>
        <c:dispUnits>
          <c:builtInUnit val="thousands"/>
          <c:dispUnitsLbl>
            <c:layout>
              <c:manualLayout>
                <c:xMode val="edge"/>
                <c:yMode val="edge"/>
                <c:x val="1.29952604800201E-2"/>
                <c:y val="0.34593136475375025"/>
              </c:manualLayout>
            </c:layout>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Trip</a:t>
                  </a:r>
                  <a:r>
                    <a:rPr lang="en-AU" baseline="0"/>
                    <a:t>s (millions)</a:t>
                  </a:r>
                  <a:endParaRPr lang="en-AU"/>
                </a:p>
              </c:rich>
            </c:tx>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valAx>
        <c:axId val="1110788735"/>
        <c:scaling>
          <c:orientation val="minMax"/>
          <c:max val="20"/>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0786239"/>
        <c:crosses val="max"/>
        <c:crossBetween val="between"/>
      </c:valAx>
      <c:catAx>
        <c:axId val="1110786239"/>
        <c:scaling>
          <c:orientation val="minMax"/>
        </c:scaling>
        <c:delete val="1"/>
        <c:axPos val="b"/>
        <c:numFmt formatCode="General" sourceLinked="1"/>
        <c:majorTickMark val="out"/>
        <c:minorTickMark val="none"/>
        <c:tickLblPos val="nextTo"/>
        <c:crossAx val="1110788735"/>
        <c:crosses val="autoZero"/>
        <c:auto val="1"/>
        <c:lblAlgn val="ctr"/>
        <c:lblOffset val="100"/>
        <c:noMultiLvlLbl val="0"/>
      </c:catAx>
      <c:spPr>
        <a:noFill/>
        <a:ln>
          <a:noFill/>
        </a:ln>
        <a:effectLst/>
      </c:spPr>
    </c:plotArea>
    <c:legend>
      <c:legendPos val="b"/>
      <c:layout>
        <c:manualLayout>
          <c:xMode val="edge"/>
          <c:yMode val="edge"/>
          <c:x val="6.2502246896714658E-2"/>
          <c:y val="1.8665125618273652E-2"/>
          <c:w val="0.89247409105867448"/>
          <c:h val="6.299623193679741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638325824245232"/>
          <c:y val="0.12440640889371465"/>
          <c:w val="0.79109436186786808"/>
          <c:h val="0.72511250745484845"/>
        </c:manualLayout>
      </c:layout>
      <c:barChart>
        <c:barDir val="col"/>
        <c:grouping val="clustered"/>
        <c:varyColors val="0"/>
        <c:ser>
          <c:idx val="0"/>
          <c:order val="0"/>
          <c:tx>
            <c:strRef>
              <c:f>'Figure 3'!$R$6</c:f>
              <c:strCache>
                <c:ptCount val="1"/>
                <c:pt idx="0">
                  <c:v>Overnight spend (LHS)</c:v>
                </c:pt>
              </c:strCache>
            </c:strRef>
          </c:tx>
          <c:spPr>
            <a:solidFill>
              <a:schemeClr val="accent1">
                <a:lumMod val="60000"/>
                <a:lumOff val="40000"/>
              </a:schemeClr>
            </a:solidFill>
            <a:ln>
              <a:solidFill>
                <a:schemeClr val="accent1">
                  <a:lumMod val="60000"/>
                  <a:lumOff val="40000"/>
                </a:schemeClr>
              </a:solidFill>
            </a:ln>
            <a:effectLst/>
          </c:spPr>
          <c:invertIfNegative val="0"/>
          <c:dPt>
            <c:idx val="0"/>
            <c:invertIfNegative val="0"/>
            <c:bubble3D val="0"/>
            <c:spPr>
              <a:solidFill>
                <a:schemeClr val="accent1"/>
              </a:solidFill>
              <a:ln>
                <a:solidFill>
                  <a:schemeClr val="accent1">
                    <a:lumMod val="60000"/>
                    <a:lumOff val="40000"/>
                  </a:schemeClr>
                </a:solidFill>
              </a:ln>
              <a:effectLst/>
            </c:spPr>
            <c:extLst>
              <c:ext xmlns:c16="http://schemas.microsoft.com/office/drawing/2014/chart" uri="{C3380CC4-5D6E-409C-BE32-E72D297353CC}">
                <c16:uniqueId val="{00000001-F8BE-4630-A371-6C69610E83D5}"/>
              </c:ext>
            </c:extLst>
          </c:dPt>
          <c:dPt>
            <c:idx val="1"/>
            <c:invertIfNegative val="0"/>
            <c:bubble3D val="0"/>
            <c:spPr>
              <a:solidFill>
                <a:schemeClr val="accent1"/>
              </a:solidFill>
              <a:ln>
                <a:solidFill>
                  <a:schemeClr val="accent1">
                    <a:lumMod val="60000"/>
                    <a:lumOff val="40000"/>
                  </a:schemeClr>
                </a:solidFill>
              </a:ln>
              <a:effectLst/>
            </c:spPr>
            <c:extLst>
              <c:ext xmlns:c16="http://schemas.microsoft.com/office/drawing/2014/chart" uri="{C3380CC4-5D6E-409C-BE32-E72D297353CC}">
                <c16:uniqueId val="{00000003-F8BE-4630-A371-6C69610E83D5}"/>
              </c:ext>
            </c:extLst>
          </c:dPt>
          <c:dPt>
            <c:idx val="2"/>
            <c:invertIfNegative val="0"/>
            <c:bubble3D val="0"/>
            <c:spPr>
              <a:solidFill>
                <a:schemeClr val="accent1"/>
              </a:solidFill>
              <a:ln>
                <a:solidFill>
                  <a:schemeClr val="accent1"/>
                </a:solidFill>
              </a:ln>
              <a:effectLst/>
            </c:spPr>
            <c:extLst>
              <c:ext xmlns:c16="http://schemas.microsoft.com/office/drawing/2014/chart" uri="{C3380CC4-5D6E-409C-BE32-E72D297353CC}">
                <c16:uniqueId val="{00000005-F8BE-4630-A371-6C69610E83D5}"/>
              </c:ext>
            </c:extLst>
          </c:dPt>
          <c:dPt>
            <c:idx val="3"/>
            <c:invertIfNegative val="0"/>
            <c:bubble3D val="0"/>
            <c:spPr>
              <a:solidFill>
                <a:schemeClr val="accent1"/>
              </a:solidFill>
              <a:ln>
                <a:solidFill>
                  <a:schemeClr val="accent1"/>
                </a:solidFill>
              </a:ln>
              <a:effectLst/>
            </c:spPr>
            <c:extLst>
              <c:ext xmlns:c16="http://schemas.microsoft.com/office/drawing/2014/chart" uri="{C3380CC4-5D6E-409C-BE32-E72D297353CC}">
                <c16:uniqueId val="{00000007-F8BE-4630-A371-6C69610E83D5}"/>
              </c:ext>
            </c:extLst>
          </c:dPt>
          <c:dPt>
            <c:idx val="4"/>
            <c:invertIfNegative val="0"/>
            <c:bubble3D val="0"/>
            <c:spPr>
              <a:solidFill>
                <a:schemeClr val="accent1"/>
              </a:solidFill>
              <a:ln>
                <a:solidFill>
                  <a:schemeClr val="accent1"/>
                </a:solidFill>
              </a:ln>
              <a:effectLst/>
            </c:spPr>
            <c:extLst>
              <c:ext xmlns:c16="http://schemas.microsoft.com/office/drawing/2014/chart" uri="{C3380CC4-5D6E-409C-BE32-E72D297353CC}">
                <c16:uniqueId val="{00000009-F8BE-4630-A371-6C69610E83D5}"/>
              </c:ext>
            </c:extLst>
          </c:dPt>
          <c:cat>
            <c:strRef>
              <c:f>'Figure 3'!$Q$7:$Q$16</c:f>
              <c:strCache>
                <c:ptCount val="10"/>
                <c:pt idx="0">
                  <c:v>2016-17</c:v>
                </c:pt>
                <c:pt idx="1">
                  <c:v>2017-18</c:v>
                </c:pt>
                <c:pt idx="2">
                  <c:v>2018-19</c:v>
                </c:pt>
                <c:pt idx="3">
                  <c:v>2019-20</c:v>
                </c:pt>
                <c:pt idx="4">
                  <c:v>2020-21</c:v>
                </c:pt>
                <c:pt idx="5">
                  <c:v>2021-22</c:v>
                </c:pt>
                <c:pt idx="6">
                  <c:v>2022-23</c:v>
                </c:pt>
                <c:pt idx="7">
                  <c:v>2023-24</c:v>
                </c:pt>
                <c:pt idx="8">
                  <c:v>2024-25</c:v>
                </c:pt>
                <c:pt idx="9">
                  <c:v>2025-26</c:v>
                </c:pt>
              </c:strCache>
            </c:strRef>
          </c:cat>
          <c:val>
            <c:numRef>
              <c:f>'Figure 3'!$R$7:$R$16</c:f>
              <c:numCache>
                <c:formatCode>0.0</c:formatCode>
                <c:ptCount val="10"/>
                <c:pt idx="0">
                  <c:v>62.186470999999997</c:v>
                </c:pt>
                <c:pt idx="1">
                  <c:v>67.574932000000004</c:v>
                </c:pt>
                <c:pt idx="2">
                  <c:v>77.476051000000012</c:v>
                </c:pt>
                <c:pt idx="3">
                  <c:v>63.007546999999995</c:v>
                </c:pt>
                <c:pt idx="4">
                  <c:v>61.342205999999997</c:v>
                </c:pt>
                <c:pt idx="5">
                  <c:v>62.335514654065356</c:v>
                </c:pt>
                <c:pt idx="6">
                  <c:v>80.210483004080402</c:v>
                </c:pt>
                <c:pt idx="7">
                  <c:v>86.198553860576098</c:v>
                </c:pt>
                <c:pt idx="8">
                  <c:v>92.536198766909038</c:v>
                </c:pt>
                <c:pt idx="9">
                  <c:v>96.64181686003073</c:v>
                </c:pt>
              </c:numCache>
            </c:numRef>
          </c:val>
          <c:extLst>
            <c:ext xmlns:c16="http://schemas.microsoft.com/office/drawing/2014/chart" uri="{C3380CC4-5D6E-409C-BE32-E72D297353CC}">
              <c16:uniqueId val="{0000000A-F8BE-4630-A371-6C69610E83D5}"/>
            </c:ext>
          </c:extLst>
        </c:ser>
        <c:ser>
          <c:idx val="1"/>
          <c:order val="1"/>
          <c:tx>
            <c:strRef>
              <c:f>'Figure 3'!$S$6</c:f>
              <c:strCache>
                <c:ptCount val="1"/>
                <c:pt idx="0">
                  <c:v>Day trip spend (LHS)</c:v>
                </c:pt>
              </c:strCache>
            </c:strRef>
          </c:tx>
          <c:spPr>
            <a:solidFill>
              <a:schemeClr val="accent2"/>
            </a:solidFill>
            <a:ln>
              <a:noFill/>
            </a:ln>
            <a:effectLst/>
          </c:spPr>
          <c:invertIfNegative val="0"/>
          <c:dPt>
            <c:idx val="5"/>
            <c:invertIfNegative val="0"/>
            <c:bubble3D val="0"/>
            <c:spPr>
              <a:solidFill>
                <a:schemeClr val="accent2">
                  <a:lumMod val="60000"/>
                  <a:lumOff val="40000"/>
                </a:schemeClr>
              </a:solidFill>
              <a:ln>
                <a:noFill/>
              </a:ln>
              <a:effectLst/>
            </c:spPr>
            <c:extLst>
              <c:ext xmlns:c16="http://schemas.microsoft.com/office/drawing/2014/chart" uri="{C3380CC4-5D6E-409C-BE32-E72D297353CC}">
                <c16:uniqueId val="{0000000C-F8BE-4630-A371-6C69610E83D5}"/>
              </c:ext>
            </c:extLst>
          </c:dPt>
          <c:dPt>
            <c:idx val="6"/>
            <c:invertIfNegative val="0"/>
            <c:bubble3D val="0"/>
            <c:spPr>
              <a:solidFill>
                <a:schemeClr val="accent2">
                  <a:lumMod val="60000"/>
                  <a:lumOff val="40000"/>
                </a:schemeClr>
              </a:solidFill>
              <a:ln>
                <a:noFill/>
              </a:ln>
              <a:effectLst/>
            </c:spPr>
            <c:extLst>
              <c:ext xmlns:c16="http://schemas.microsoft.com/office/drawing/2014/chart" uri="{C3380CC4-5D6E-409C-BE32-E72D297353CC}">
                <c16:uniqueId val="{0000000E-F8BE-4630-A371-6C69610E83D5}"/>
              </c:ext>
            </c:extLst>
          </c:dPt>
          <c:dPt>
            <c:idx val="7"/>
            <c:invertIfNegative val="0"/>
            <c:bubble3D val="0"/>
            <c:spPr>
              <a:solidFill>
                <a:schemeClr val="accent2">
                  <a:lumMod val="60000"/>
                  <a:lumOff val="40000"/>
                </a:schemeClr>
              </a:solidFill>
              <a:ln>
                <a:noFill/>
              </a:ln>
              <a:effectLst/>
            </c:spPr>
            <c:extLst>
              <c:ext xmlns:c16="http://schemas.microsoft.com/office/drawing/2014/chart" uri="{C3380CC4-5D6E-409C-BE32-E72D297353CC}">
                <c16:uniqueId val="{00000010-F8BE-4630-A371-6C69610E83D5}"/>
              </c:ext>
            </c:extLst>
          </c:dPt>
          <c:dPt>
            <c:idx val="8"/>
            <c:invertIfNegative val="0"/>
            <c:bubble3D val="0"/>
            <c:spPr>
              <a:solidFill>
                <a:schemeClr val="accent2">
                  <a:lumMod val="60000"/>
                  <a:lumOff val="40000"/>
                </a:schemeClr>
              </a:solidFill>
              <a:ln>
                <a:noFill/>
              </a:ln>
              <a:effectLst/>
            </c:spPr>
            <c:extLst>
              <c:ext xmlns:c16="http://schemas.microsoft.com/office/drawing/2014/chart" uri="{C3380CC4-5D6E-409C-BE32-E72D297353CC}">
                <c16:uniqueId val="{00000012-F8BE-4630-A371-6C69610E83D5}"/>
              </c:ext>
            </c:extLst>
          </c:dPt>
          <c:dPt>
            <c:idx val="9"/>
            <c:invertIfNegative val="0"/>
            <c:bubble3D val="0"/>
            <c:spPr>
              <a:solidFill>
                <a:schemeClr val="accent2">
                  <a:lumMod val="60000"/>
                  <a:lumOff val="40000"/>
                </a:schemeClr>
              </a:solidFill>
              <a:ln>
                <a:noFill/>
              </a:ln>
              <a:effectLst/>
            </c:spPr>
            <c:extLst>
              <c:ext xmlns:c16="http://schemas.microsoft.com/office/drawing/2014/chart" uri="{C3380CC4-5D6E-409C-BE32-E72D297353CC}">
                <c16:uniqueId val="{00000014-F8BE-4630-A371-6C69610E83D5}"/>
              </c:ext>
            </c:extLst>
          </c:dPt>
          <c:cat>
            <c:strRef>
              <c:f>'Figure 3'!$Q$7:$Q$16</c:f>
              <c:strCache>
                <c:ptCount val="10"/>
                <c:pt idx="0">
                  <c:v>2016-17</c:v>
                </c:pt>
                <c:pt idx="1">
                  <c:v>2017-18</c:v>
                </c:pt>
                <c:pt idx="2">
                  <c:v>2018-19</c:v>
                </c:pt>
                <c:pt idx="3">
                  <c:v>2019-20</c:v>
                </c:pt>
                <c:pt idx="4">
                  <c:v>2020-21</c:v>
                </c:pt>
                <c:pt idx="5">
                  <c:v>2021-22</c:v>
                </c:pt>
                <c:pt idx="6">
                  <c:v>2022-23</c:v>
                </c:pt>
                <c:pt idx="7">
                  <c:v>2023-24</c:v>
                </c:pt>
                <c:pt idx="8">
                  <c:v>2024-25</c:v>
                </c:pt>
                <c:pt idx="9">
                  <c:v>2025-26</c:v>
                </c:pt>
              </c:strCache>
            </c:strRef>
          </c:cat>
          <c:val>
            <c:numRef>
              <c:f>'Figure 3'!$S$7:$S$16</c:f>
              <c:numCache>
                <c:formatCode>0.0</c:formatCode>
                <c:ptCount val="10"/>
                <c:pt idx="0">
                  <c:v>19.644095</c:v>
                </c:pt>
                <c:pt idx="1">
                  <c:v>21.572800000000001</c:v>
                </c:pt>
                <c:pt idx="2">
                  <c:v>24.321042000000002</c:v>
                </c:pt>
                <c:pt idx="3">
                  <c:v>22.344407</c:v>
                </c:pt>
                <c:pt idx="4">
                  <c:v>18.943128000000002</c:v>
                </c:pt>
                <c:pt idx="5">
                  <c:v>22.285763078113519</c:v>
                </c:pt>
                <c:pt idx="6">
                  <c:v>25.515753573161373</c:v>
                </c:pt>
                <c:pt idx="7">
                  <c:v>27.593810002033127</c:v>
                </c:pt>
                <c:pt idx="8">
                  <c:v>29.575090569833399</c:v>
                </c:pt>
                <c:pt idx="9">
                  <c:v>31.059141306198985</c:v>
                </c:pt>
              </c:numCache>
            </c:numRef>
          </c:val>
          <c:extLst>
            <c:ext xmlns:c16="http://schemas.microsoft.com/office/drawing/2014/chart" uri="{C3380CC4-5D6E-409C-BE32-E72D297353CC}">
              <c16:uniqueId val="{00000015-F8BE-4630-A371-6C69610E83D5}"/>
            </c:ext>
          </c:extLst>
        </c:ser>
        <c:dLbls>
          <c:showLegendKey val="0"/>
          <c:showVal val="0"/>
          <c:showCatName val="0"/>
          <c:showSerName val="0"/>
          <c:showPercent val="0"/>
          <c:showBubbleSize val="0"/>
        </c:dLbls>
        <c:gapWidth val="219"/>
        <c:overlap val="-27"/>
        <c:axId val="935777279"/>
        <c:axId val="935774783"/>
      </c:barChart>
      <c:lineChart>
        <c:grouping val="standard"/>
        <c:varyColors val="0"/>
        <c:ser>
          <c:idx val="2"/>
          <c:order val="2"/>
          <c:tx>
            <c:strRef>
              <c:f>'Figure 3'!$T$6</c:f>
              <c:strCache>
                <c:ptCount val="1"/>
                <c:pt idx="0">
                  <c:v>Growth in total spend (RHS)</c:v>
                </c:pt>
              </c:strCache>
            </c:strRef>
          </c:tx>
          <c:spPr>
            <a:ln w="28575" cap="rnd">
              <a:solidFill>
                <a:schemeClr val="accent3"/>
              </a:solidFill>
              <a:round/>
            </a:ln>
            <a:effectLst/>
          </c:spPr>
          <c:marker>
            <c:symbol val="none"/>
          </c:marker>
          <c:dPt>
            <c:idx val="5"/>
            <c:marker>
              <c:symbol val="none"/>
            </c:marker>
            <c:bubble3D val="0"/>
            <c:spPr>
              <a:ln w="28575" cap="rnd">
                <a:solidFill>
                  <a:schemeClr val="accent3"/>
                </a:solidFill>
                <a:prstDash val="dash"/>
                <a:round/>
              </a:ln>
              <a:effectLst/>
            </c:spPr>
            <c:extLst>
              <c:ext xmlns:c16="http://schemas.microsoft.com/office/drawing/2014/chart" uri="{C3380CC4-5D6E-409C-BE32-E72D297353CC}">
                <c16:uniqueId val="{00000017-F8BE-4630-A371-6C69610E83D5}"/>
              </c:ext>
            </c:extLst>
          </c:dPt>
          <c:dPt>
            <c:idx val="6"/>
            <c:marker>
              <c:symbol val="none"/>
            </c:marker>
            <c:bubble3D val="0"/>
            <c:spPr>
              <a:ln w="28575" cap="rnd">
                <a:solidFill>
                  <a:schemeClr val="accent3"/>
                </a:solidFill>
                <a:prstDash val="dash"/>
                <a:round/>
              </a:ln>
              <a:effectLst/>
            </c:spPr>
            <c:extLst>
              <c:ext xmlns:c16="http://schemas.microsoft.com/office/drawing/2014/chart" uri="{C3380CC4-5D6E-409C-BE32-E72D297353CC}">
                <c16:uniqueId val="{00000019-F8BE-4630-A371-6C69610E83D5}"/>
              </c:ext>
            </c:extLst>
          </c:dPt>
          <c:dPt>
            <c:idx val="7"/>
            <c:marker>
              <c:symbol val="none"/>
            </c:marker>
            <c:bubble3D val="0"/>
            <c:spPr>
              <a:ln w="28575" cap="rnd">
                <a:solidFill>
                  <a:schemeClr val="accent3"/>
                </a:solidFill>
                <a:prstDash val="dash"/>
                <a:round/>
              </a:ln>
              <a:effectLst/>
            </c:spPr>
            <c:extLst>
              <c:ext xmlns:c16="http://schemas.microsoft.com/office/drawing/2014/chart" uri="{C3380CC4-5D6E-409C-BE32-E72D297353CC}">
                <c16:uniqueId val="{0000001B-F8BE-4630-A371-6C69610E83D5}"/>
              </c:ext>
            </c:extLst>
          </c:dPt>
          <c:dPt>
            <c:idx val="8"/>
            <c:marker>
              <c:symbol val="none"/>
            </c:marker>
            <c:bubble3D val="0"/>
            <c:spPr>
              <a:ln w="28575" cap="rnd">
                <a:solidFill>
                  <a:schemeClr val="accent3"/>
                </a:solidFill>
                <a:prstDash val="dash"/>
                <a:round/>
              </a:ln>
              <a:effectLst/>
            </c:spPr>
            <c:extLst>
              <c:ext xmlns:c16="http://schemas.microsoft.com/office/drawing/2014/chart" uri="{C3380CC4-5D6E-409C-BE32-E72D297353CC}">
                <c16:uniqueId val="{0000001D-F8BE-4630-A371-6C69610E83D5}"/>
              </c:ext>
            </c:extLst>
          </c:dPt>
          <c:dPt>
            <c:idx val="9"/>
            <c:marker>
              <c:symbol val="none"/>
            </c:marker>
            <c:bubble3D val="0"/>
            <c:spPr>
              <a:ln w="28575" cap="rnd">
                <a:solidFill>
                  <a:schemeClr val="accent3"/>
                </a:solidFill>
                <a:prstDash val="dash"/>
                <a:round/>
              </a:ln>
              <a:effectLst/>
            </c:spPr>
            <c:extLst>
              <c:ext xmlns:c16="http://schemas.microsoft.com/office/drawing/2014/chart" uri="{C3380CC4-5D6E-409C-BE32-E72D297353CC}">
                <c16:uniqueId val="{0000001F-F8BE-4630-A371-6C69610E83D5}"/>
              </c:ext>
            </c:extLst>
          </c:dPt>
          <c:cat>
            <c:strRef>
              <c:f>'Figure 3'!$Q$7:$Q$16</c:f>
              <c:strCache>
                <c:ptCount val="10"/>
                <c:pt idx="0">
                  <c:v>2016-17</c:v>
                </c:pt>
                <c:pt idx="1">
                  <c:v>2017-18</c:v>
                </c:pt>
                <c:pt idx="2">
                  <c:v>2018-19</c:v>
                </c:pt>
                <c:pt idx="3">
                  <c:v>2019-20</c:v>
                </c:pt>
                <c:pt idx="4">
                  <c:v>2020-21</c:v>
                </c:pt>
                <c:pt idx="5">
                  <c:v>2021-22</c:v>
                </c:pt>
                <c:pt idx="6">
                  <c:v>2022-23</c:v>
                </c:pt>
                <c:pt idx="7">
                  <c:v>2023-24</c:v>
                </c:pt>
                <c:pt idx="8">
                  <c:v>2024-25</c:v>
                </c:pt>
                <c:pt idx="9">
                  <c:v>2025-26</c:v>
                </c:pt>
              </c:strCache>
            </c:strRef>
          </c:cat>
          <c:val>
            <c:numRef>
              <c:f>'Figure 3'!$T$7:$T$16</c:f>
              <c:numCache>
                <c:formatCode>0.0</c:formatCode>
                <c:ptCount val="10"/>
                <c:pt idx="0">
                  <c:v>5.1238767701296837</c:v>
                </c:pt>
                <c:pt idx="1">
                  <c:v>8.9418494306882792</c:v>
                </c:pt>
                <c:pt idx="2">
                  <c:v>14.189212351470729</c:v>
                </c:pt>
                <c:pt idx="3">
                  <c:v>-16.154821827770689</c:v>
                </c:pt>
                <c:pt idx="4">
                  <c:v>-5.9361499796477801</c:v>
                </c:pt>
                <c:pt idx="5">
                  <c:v>5.4006672403939433</c:v>
                </c:pt>
                <c:pt idx="6">
                  <c:v>24.940487086308011</c:v>
                </c:pt>
                <c:pt idx="7">
                  <c:v>7.6292579273588927</c:v>
                </c:pt>
                <c:pt idx="8">
                  <c:v>7.3106183857620977</c:v>
                </c:pt>
                <c:pt idx="9">
                  <c:v>4.5775201128806629</c:v>
                </c:pt>
              </c:numCache>
            </c:numRef>
          </c:val>
          <c:smooth val="0"/>
          <c:extLst>
            <c:ext xmlns:c16="http://schemas.microsoft.com/office/drawing/2014/chart" uri="{C3380CC4-5D6E-409C-BE32-E72D297353CC}">
              <c16:uniqueId val="{00000020-F8BE-4630-A371-6C69610E83D5}"/>
            </c:ext>
          </c:extLst>
        </c:ser>
        <c:dLbls>
          <c:showLegendKey val="0"/>
          <c:showVal val="0"/>
          <c:showCatName val="0"/>
          <c:showSerName val="0"/>
          <c:showPercent val="0"/>
          <c:showBubbleSize val="0"/>
        </c:dLbls>
        <c:marker val="1"/>
        <c:smooth val="0"/>
        <c:axId val="1585194143"/>
        <c:axId val="1585196639"/>
      </c:lineChart>
      <c:catAx>
        <c:axId val="9357772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5774783"/>
        <c:crosses val="autoZero"/>
        <c:auto val="1"/>
        <c:lblAlgn val="ctr"/>
        <c:lblOffset val="100"/>
        <c:noMultiLvlLbl val="0"/>
      </c:catAx>
      <c:valAx>
        <c:axId val="93577478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 billion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5777279"/>
        <c:crosses val="autoZero"/>
        <c:crossBetween val="between"/>
        <c:majorUnit val="20"/>
      </c:valAx>
      <c:valAx>
        <c:axId val="1585196639"/>
        <c:scaling>
          <c:orientation val="minMax"/>
          <c:max val="40"/>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Growth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85194143"/>
        <c:crosses val="max"/>
        <c:crossBetween val="between"/>
        <c:majorUnit val="10"/>
      </c:valAx>
      <c:catAx>
        <c:axId val="1585194143"/>
        <c:scaling>
          <c:orientation val="minMax"/>
        </c:scaling>
        <c:delete val="1"/>
        <c:axPos val="b"/>
        <c:numFmt formatCode="General" sourceLinked="1"/>
        <c:majorTickMark val="out"/>
        <c:minorTickMark val="none"/>
        <c:tickLblPos val="nextTo"/>
        <c:crossAx val="1585196639"/>
        <c:crosses val="autoZero"/>
        <c:auto val="1"/>
        <c:lblAlgn val="ctr"/>
        <c:lblOffset val="100"/>
        <c:noMultiLvlLbl val="0"/>
      </c:catAx>
      <c:spPr>
        <a:noFill/>
        <a:ln>
          <a:noFill/>
        </a:ln>
        <a:effectLst/>
      </c:spPr>
    </c:plotArea>
    <c:legend>
      <c:legendPos val="b"/>
      <c:layout>
        <c:manualLayout>
          <c:xMode val="edge"/>
          <c:yMode val="edge"/>
          <c:x val="4.3228228050441062E-2"/>
          <c:y val="1.7875752663270065E-4"/>
          <c:w val="0.9008738052128511"/>
          <c:h val="9.467162533570928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b="0"/>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815048118985127"/>
          <c:y val="0.13065116279069769"/>
          <c:w val="0.83129396325459315"/>
          <c:h val="0.6174861746932796"/>
        </c:manualLayout>
      </c:layout>
      <c:barChart>
        <c:barDir val="col"/>
        <c:grouping val="stacked"/>
        <c:varyColors val="0"/>
        <c:ser>
          <c:idx val="1"/>
          <c:order val="0"/>
          <c:tx>
            <c:strRef>
              <c:f>'Figure 4'!$D$3</c:f>
              <c:strCache>
                <c:ptCount val="1"/>
                <c:pt idx="0">
                  <c:v>Holiday</c:v>
                </c:pt>
              </c:strCache>
            </c:strRef>
          </c:tx>
          <c:spPr>
            <a:solidFill>
              <a:schemeClr val="accent2">
                <a:lumMod val="60000"/>
                <a:lumOff val="40000"/>
              </a:schemeClr>
            </a:solidFill>
            <a:ln>
              <a:noFill/>
            </a:ln>
            <a:effectLst/>
          </c:spPr>
          <c:invertIfNegative val="0"/>
          <c:dPt>
            <c:idx val="0"/>
            <c:invertIfNegative val="0"/>
            <c:bubble3D val="0"/>
            <c:spPr>
              <a:solidFill>
                <a:schemeClr val="accent2"/>
              </a:solidFill>
              <a:ln>
                <a:noFill/>
              </a:ln>
              <a:effectLst/>
            </c:spPr>
            <c:extLst>
              <c:ext xmlns:c16="http://schemas.microsoft.com/office/drawing/2014/chart" uri="{C3380CC4-5D6E-409C-BE32-E72D297353CC}">
                <c16:uniqueId val="{00000001-86B1-4148-8144-F79E7525A5DE}"/>
              </c:ext>
            </c:extLst>
          </c:dPt>
          <c:dPt>
            <c:idx val="1"/>
            <c:invertIfNegative val="0"/>
            <c:bubble3D val="0"/>
            <c:spPr>
              <a:solidFill>
                <a:schemeClr val="accent2"/>
              </a:solidFill>
              <a:ln>
                <a:noFill/>
              </a:ln>
              <a:effectLst/>
            </c:spPr>
            <c:extLst>
              <c:ext xmlns:c16="http://schemas.microsoft.com/office/drawing/2014/chart" uri="{C3380CC4-5D6E-409C-BE32-E72D297353CC}">
                <c16:uniqueId val="{00000003-86B1-4148-8144-F79E7525A5DE}"/>
              </c:ext>
            </c:extLst>
          </c:dPt>
          <c:dPt>
            <c:idx val="2"/>
            <c:invertIfNegative val="0"/>
            <c:bubble3D val="0"/>
            <c:spPr>
              <a:solidFill>
                <a:schemeClr val="accent2"/>
              </a:solidFill>
              <a:ln>
                <a:noFill/>
              </a:ln>
              <a:effectLst/>
            </c:spPr>
            <c:extLst>
              <c:ext xmlns:c16="http://schemas.microsoft.com/office/drawing/2014/chart" uri="{C3380CC4-5D6E-409C-BE32-E72D297353CC}">
                <c16:uniqueId val="{00000005-86B1-4148-8144-F79E7525A5DE}"/>
              </c:ext>
            </c:extLst>
          </c:dPt>
          <c:dPt>
            <c:idx val="3"/>
            <c:invertIfNegative val="0"/>
            <c:bubble3D val="0"/>
            <c:spPr>
              <a:solidFill>
                <a:schemeClr val="accent2"/>
              </a:solidFill>
              <a:ln>
                <a:noFill/>
              </a:ln>
              <a:effectLst/>
            </c:spPr>
            <c:extLst>
              <c:ext xmlns:c16="http://schemas.microsoft.com/office/drawing/2014/chart" uri="{C3380CC4-5D6E-409C-BE32-E72D297353CC}">
                <c16:uniqueId val="{00000007-86B1-4148-8144-F79E7525A5DE}"/>
              </c:ext>
            </c:extLst>
          </c:dPt>
          <c:dPt>
            <c:idx val="4"/>
            <c:invertIfNegative val="0"/>
            <c:bubble3D val="0"/>
            <c:spPr>
              <a:solidFill>
                <a:schemeClr val="accent2"/>
              </a:solidFill>
              <a:ln>
                <a:noFill/>
              </a:ln>
              <a:effectLst/>
            </c:spPr>
            <c:extLst>
              <c:ext xmlns:c16="http://schemas.microsoft.com/office/drawing/2014/chart" uri="{C3380CC4-5D6E-409C-BE32-E72D297353CC}">
                <c16:uniqueId val="{00000009-86B1-4148-8144-F79E7525A5DE}"/>
              </c:ext>
            </c:extLst>
          </c:dPt>
          <c:dPt>
            <c:idx val="5"/>
            <c:invertIfNegative val="0"/>
            <c:bubble3D val="0"/>
            <c:spPr>
              <a:solidFill>
                <a:schemeClr val="accent2"/>
              </a:solidFill>
              <a:ln>
                <a:noFill/>
              </a:ln>
              <a:effectLst/>
            </c:spPr>
            <c:extLst>
              <c:ext xmlns:c16="http://schemas.microsoft.com/office/drawing/2014/chart" uri="{C3380CC4-5D6E-409C-BE32-E72D297353CC}">
                <c16:uniqueId val="{0000000B-86B1-4148-8144-F79E7525A5DE}"/>
              </c:ext>
            </c:extLst>
          </c:dPt>
          <c:cat>
            <c:strRef>
              <c:f>'Figure 4'!$B$5:$B$15</c:f>
              <c:strCache>
                <c:ptCount val="11"/>
                <c:pt idx="0">
                  <c:v>2015-16</c:v>
                </c:pt>
                <c:pt idx="1">
                  <c:v>2016-17</c:v>
                </c:pt>
                <c:pt idx="2">
                  <c:v>2017-18</c:v>
                </c:pt>
                <c:pt idx="3">
                  <c:v>2018-19</c:v>
                </c:pt>
                <c:pt idx="4">
                  <c:v>2019-20</c:v>
                </c:pt>
                <c:pt idx="5">
                  <c:v>2020-21</c:v>
                </c:pt>
                <c:pt idx="6">
                  <c:v>2021-22</c:v>
                </c:pt>
                <c:pt idx="7">
                  <c:v>2022-23</c:v>
                </c:pt>
                <c:pt idx="8">
                  <c:v>2023-24</c:v>
                </c:pt>
                <c:pt idx="9">
                  <c:v>2024-25</c:v>
                </c:pt>
                <c:pt idx="10">
                  <c:v>2025-26</c:v>
                </c:pt>
              </c:strCache>
            </c:strRef>
          </c:cat>
          <c:val>
            <c:numRef>
              <c:f>'Figure 4'!$D$5:$D$15</c:f>
              <c:numCache>
                <c:formatCode>General</c:formatCode>
                <c:ptCount val="11"/>
                <c:pt idx="0">
                  <c:v>145274</c:v>
                </c:pt>
                <c:pt idx="1">
                  <c:v>148645</c:v>
                </c:pt>
                <c:pt idx="2">
                  <c:v>157068</c:v>
                </c:pt>
                <c:pt idx="3">
                  <c:v>170471</c:v>
                </c:pt>
                <c:pt idx="4">
                  <c:v>134205</c:v>
                </c:pt>
                <c:pt idx="5">
                  <c:v>151318</c:v>
                </c:pt>
                <c:pt idx="6">
                  <c:v>130109.47</c:v>
                </c:pt>
                <c:pt idx="7">
                  <c:v>171411.03457089941</c:v>
                </c:pt>
                <c:pt idx="8">
                  <c:v>180312.39429313224</c:v>
                </c:pt>
                <c:pt idx="9">
                  <c:v>189572.23276936176</c:v>
                </c:pt>
                <c:pt idx="10">
                  <c:v>192369.21241619543</c:v>
                </c:pt>
              </c:numCache>
            </c:numRef>
          </c:val>
          <c:extLst>
            <c:ext xmlns:c16="http://schemas.microsoft.com/office/drawing/2014/chart" uri="{C3380CC4-5D6E-409C-BE32-E72D297353CC}">
              <c16:uniqueId val="{0000000C-86B1-4148-8144-F79E7525A5DE}"/>
            </c:ext>
          </c:extLst>
        </c:ser>
        <c:ser>
          <c:idx val="2"/>
          <c:order val="1"/>
          <c:tx>
            <c:strRef>
              <c:f>'Figure 4'!$E$3</c:f>
              <c:strCache>
                <c:ptCount val="1"/>
                <c:pt idx="0">
                  <c:v>VFR</c:v>
                </c:pt>
              </c:strCache>
            </c:strRef>
          </c:tx>
          <c:spPr>
            <a:solidFill>
              <a:schemeClr val="accent3">
                <a:lumMod val="60000"/>
                <a:lumOff val="40000"/>
              </a:schemeClr>
            </a:solidFill>
            <a:ln>
              <a:noFill/>
            </a:ln>
            <a:effectLst/>
          </c:spPr>
          <c:invertIfNegative val="0"/>
          <c:dPt>
            <c:idx val="0"/>
            <c:invertIfNegative val="0"/>
            <c:bubble3D val="0"/>
            <c:spPr>
              <a:solidFill>
                <a:schemeClr val="accent3"/>
              </a:solidFill>
              <a:ln>
                <a:noFill/>
              </a:ln>
              <a:effectLst/>
            </c:spPr>
            <c:extLst>
              <c:ext xmlns:c16="http://schemas.microsoft.com/office/drawing/2014/chart" uri="{C3380CC4-5D6E-409C-BE32-E72D297353CC}">
                <c16:uniqueId val="{0000000E-86B1-4148-8144-F79E7525A5DE}"/>
              </c:ext>
            </c:extLst>
          </c:dPt>
          <c:dPt>
            <c:idx val="1"/>
            <c:invertIfNegative val="0"/>
            <c:bubble3D val="0"/>
            <c:spPr>
              <a:solidFill>
                <a:schemeClr val="accent3"/>
              </a:solidFill>
              <a:ln>
                <a:noFill/>
              </a:ln>
              <a:effectLst/>
            </c:spPr>
            <c:extLst>
              <c:ext xmlns:c16="http://schemas.microsoft.com/office/drawing/2014/chart" uri="{C3380CC4-5D6E-409C-BE32-E72D297353CC}">
                <c16:uniqueId val="{00000010-86B1-4148-8144-F79E7525A5DE}"/>
              </c:ext>
            </c:extLst>
          </c:dPt>
          <c:dPt>
            <c:idx val="2"/>
            <c:invertIfNegative val="0"/>
            <c:bubble3D val="0"/>
            <c:spPr>
              <a:solidFill>
                <a:schemeClr val="accent3"/>
              </a:solidFill>
              <a:ln>
                <a:noFill/>
              </a:ln>
              <a:effectLst/>
            </c:spPr>
            <c:extLst>
              <c:ext xmlns:c16="http://schemas.microsoft.com/office/drawing/2014/chart" uri="{C3380CC4-5D6E-409C-BE32-E72D297353CC}">
                <c16:uniqueId val="{00000012-86B1-4148-8144-F79E7525A5DE}"/>
              </c:ext>
            </c:extLst>
          </c:dPt>
          <c:dPt>
            <c:idx val="3"/>
            <c:invertIfNegative val="0"/>
            <c:bubble3D val="0"/>
            <c:spPr>
              <a:solidFill>
                <a:schemeClr val="accent3"/>
              </a:solidFill>
              <a:ln>
                <a:noFill/>
              </a:ln>
              <a:effectLst/>
            </c:spPr>
            <c:extLst>
              <c:ext xmlns:c16="http://schemas.microsoft.com/office/drawing/2014/chart" uri="{C3380CC4-5D6E-409C-BE32-E72D297353CC}">
                <c16:uniqueId val="{00000014-86B1-4148-8144-F79E7525A5DE}"/>
              </c:ext>
            </c:extLst>
          </c:dPt>
          <c:dPt>
            <c:idx val="4"/>
            <c:invertIfNegative val="0"/>
            <c:bubble3D val="0"/>
            <c:spPr>
              <a:solidFill>
                <a:schemeClr val="accent3"/>
              </a:solidFill>
              <a:ln>
                <a:noFill/>
              </a:ln>
              <a:effectLst/>
            </c:spPr>
            <c:extLst>
              <c:ext xmlns:c16="http://schemas.microsoft.com/office/drawing/2014/chart" uri="{C3380CC4-5D6E-409C-BE32-E72D297353CC}">
                <c16:uniqueId val="{00000016-86B1-4148-8144-F79E7525A5DE}"/>
              </c:ext>
            </c:extLst>
          </c:dPt>
          <c:dPt>
            <c:idx val="5"/>
            <c:invertIfNegative val="0"/>
            <c:bubble3D val="0"/>
            <c:spPr>
              <a:solidFill>
                <a:schemeClr val="accent3"/>
              </a:solidFill>
              <a:ln>
                <a:noFill/>
              </a:ln>
              <a:effectLst/>
            </c:spPr>
            <c:extLst>
              <c:ext xmlns:c16="http://schemas.microsoft.com/office/drawing/2014/chart" uri="{C3380CC4-5D6E-409C-BE32-E72D297353CC}">
                <c16:uniqueId val="{00000018-86B1-4148-8144-F79E7525A5DE}"/>
              </c:ext>
            </c:extLst>
          </c:dPt>
          <c:cat>
            <c:strRef>
              <c:f>'Figure 4'!$B$5:$B$15</c:f>
              <c:strCache>
                <c:ptCount val="11"/>
                <c:pt idx="0">
                  <c:v>2015-16</c:v>
                </c:pt>
                <c:pt idx="1">
                  <c:v>2016-17</c:v>
                </c:pt>
                <c:pt idx="2">
                  <c:v>2017-18</c:v>
                </c:pt>
                <c:pt idx="3">
                  <c:v>2018-19</c:v>
                </c:pt>
                <c:pt idx="4">
                  <c:v>2019-20</c:v>
                </c:pt>
                <c:pt idx="5">
                  <c:v>2020-21</c:v>
                </c:pt>
                <c:pt idx="6">
                  <c:v>2021-22</c:v>
                </c:pt>
                <c:pt idx="7">
                  <c:v>2022-23</c:v>
                </c:pt>
                <c:pt idx="8">
                  <c:v>2023-24</c:v>
                </c:pt>
                <c:pt idx="9">
                  <c:v>2024-25</c:v>
                </c:pt>
                <c:pt idx="10">
                  <c:v>2025-26</c:v>
                </c:pt>
              </c:strCache>
            </c:strRef>
          </c:cat>
          <c:val>
            <c:numRef>
              <c:f>'Figure 4'!$E$5:$E$15</c:f>
              <c:numCache>
                <c:formatCode>General</c:formatCode>
                <c:ptCount val="11"/>
                <c:pt idx="0">
                  <c:v>98996</c:v>
                </c:pt>
                <c:pt idx="1">
                  <c:v>104571</c:v>
                </c:pt>
                <c:pt idx="2">
                  <c:v>111003</c:v>
                </c:pt>
                <c:pt idx="3">
                  <c:v>122498</c:v>
                </c:pt>
                <c:pt idx="4">
                  <c:v>103712</c:v>
                </c:pt>
                <c:pt idx="5">
                  <c:v>100381</c:v>
                </c:pt>
                <c:pt idx="6">
                  <c:v>106453.48999999999</c:v>
                </c:pt>
                <c:pt idx="7">
                  <c:v>123705.51414587336</c:v>
                </c:pt>
                <c:pt idx="8">
                  <c:v>131019.53893185027</c:v>
                </c:pt>
                <c:pt idx="9">
                  <c:v>136489.19972224749</c:v>
                </c:pt>
                <c:pt idx="10">
                  <c:v>138508.10186203022</c:v>
                </c:pt>
              </c:numCache>
            </c:numRef>
          </c:val>
          <c:extLst>
            <c:ext xmlns:c16="http://schemas.microsoft.com/office/drawing/2014/chart" uri="{C3380CC4-5D6E-409C-BE32-E72D297353CC}">
              <c16:uniqueId val="{00000019-86B1-4148-8144-F79E7525A5DE}"/>
            </c:ext>
          </c:extLst>
        </c:ser>
        <c:ser>
          <c:idx val="3"/>
          <c:order val="2"/>
          <c:tx>
            <c:strRef>
              <c:f>'Figure 4'!$F$3</c:f>
              <c:strCache>
                <c:ptCount val="1"/>
                <c:pt idx="0">
                  <c:v>Business</c:v>
                </c:pt>
              </c:strCache>
            </c:strRef>
          </c:tx>
          <c:spPr>
            <a:solidFill>
              <a:schemeClr val="accent4">
                <a:lumMod val="60000"/>
                <a:lumOff val="40000"/>
              </a:schemeClr>
            </a:solidFill>
            <a:ln>
              <a:noFill/>
            </a:ln>
            <a:effectLst/>
          </c:spPr>
          <c:invertIfNegative val="0"/>
          <c:dPt>
            <c:idx val="0"/>
            <c:invertIfNegative val="0"/>
            <c:bubble3D val="0"/>
            <c:spPr>
              <a:solidFill>
                <a:schemeClr val="accent4"/>
              </a:solidFill>
              <a:ln>
                <a:noFill/>
              </a:ln>
              <a:effectLst/>
            </c:spPr>
            <c:extLst>
              <c:ext xmlns:c16="http://schemas.microsoft.com/office/drawing/2014/chart" uri="{C3380CC4-5D6E-409C-BE32-E72D297353CC}">
                <c16:uniqueId val="{0000001B-86B1-4148-8144-F79E7525A5DE}"/>
              </c:ext>
            </c:extLst>
          </c:dPt>
          <c:dPt>
            <c:idx val="1"/>
            <c:invertIfNegative val="0"/>
            <c:bubble3D val="0"/>
            <c:spPr>
              <a:solidFill>
                <a:schemeClr val="accent4"/>
              </a:solidFill>
              <a:ln>
                <a:noFill/>
              </a:ln>
              <a:effectLst/>
            </c:spPr>
            <c:extLst>
              <c:ext xmlns:c16="http://schemas.microsoft.com/office/drawing/2014/chart" uri="{C3380CC4-5D6E-409C-BE32-E72D297353CC}">
                <c16:uniqueId val="{0000001D-86B1-4148-8144-F79E7525A5DE}"/>
              </c:ext>
            </c:extLst>
          </c:dPt>
          <c:dPt>
            <c:idx val="2"/>
            <c:invertIfNegative val="0"/>
            <c:bubble3D val="0"/>
            <c:spPr>
              <a:solidFill>
                <a:schemeClr val="accent4"/>
              </a:solidFill>
              <a:ln>
                <a:noFill/>
              </a:ln>
              <a:effectLst/>
            </c:spPr>
            <c:extLst>
              <c:ext xmlns:c16="http://schemas.microsoft.com/office/drawing/2014/chart" uri="{C3380CC4-5D6E-409C-BE32-E72D297353CC}">
                <c16:uniqueId val="{0000001F-86B1-4148-8144-F79E7525A5DE}"/>
              </c:ext>
            </c:extLst>
          </c:dPt>
          <c:dPt>
            <c:idx val="3"/>
            <c:invertIfNegative val="0"/>
            <c:bubble3D val="0"/>
            <c:spPr>
              <a:solidFill>
                <a:schemeClr val="accent4"/>
              </a:solidFill>
              <a:ln>
                <a:noFill/>
              </a:ln>
              <a:effectLst/>
            </c:spPr>
            <c:extLst>
              <c:ext xmlns:c16="http://schemas.microsoft.com/office/drawing/2014/chart" uri="{C3380CC4-5D6E-409C-BE32-E72D297353CC}">
                <c16:uniqueId val="{00000021-86B1-4148-8144-F79E7525A5DE}"/>
              </c:ext>
            </c:extLst>
          </c:dPt>
          <c:dPt>
            <c:idx val="4"/>
            <c:invertIfNegative val="0"/>
            <c:bubble3D val="0"/>
            <c:spPr>
              <a:solidFill>
                <a:schemeClr val="accent4"/>
              </a:solidFill>
              <a:ln>
                <a:noFill/>
              </a:ln>
              <a:effectLst/>
            </c:spPr>
            <c:extLst>
              <c:ext xmlns:c16="http://schemas.microsoft.com/office/drawing/2014/chart" uri="{C3380CC4-5D6E-409C-BE32-E72D297353CC}">
                <c16:uniqueId val="{00000023-86B1-4148-8144-F79E7525A5DE}"/>
              </c:ext>
            </c:extLst>
          </c:dPt>
          <c:dPt>
            <c:idx val="5"/>
            <c:invertIfNegative val="0"/>
            <c:bubble3D val="0"/>
            <c:spPr>
              <a:solidFill>
                <a:schemeClr val="accent4"/>
              </a:solidFill>
              <a:ln>
                <a:noFill/>
              </a:ln>
              <a:effectLst/>
            </c:spPr>
            <c:extLst>
              <c:ext xmlns:c16="http://schemas.microsoft.com/office/drawing/2014/chart" uri="{C3380CC4-5D6E-409C-BE32-E72D297353CC}">
                <c16:uniqueId val="{00000025-86B1-4148-8144-F79E7525A5DE}"/>
              </c:ext>
            </c:extLst>
          </c:dPt>
          <c:cat>
            <c:strRef>
              <c:f>'Figure 4'!$B$5:$B$15</c:f>
              <c:strCache>
                <c:ptCount val="11"/>
                <c:pt idx="0">
                  <c:v>2015-16</c:v>
                </c:pt>
                <c:pt idx="1">
                  <c:v>2016-17</c:v>
                </c:pt>
                <c:pt idx="2">
                  <c:v>2017-18</c:v>
                </c:pt>
                <c:pt idx="3">
                  <c:v>2018-19</c:v>
                </c:pt>
                <c:pt idx="4">
                  <c:v>2019-20</c:v>
                </c:pt>
                <c:pt idx="5">
                  <c:v>2020-21</c:v>
                </c:pt>
                <c:pt idx="6">
                  <c:v>2021-22</c:v>
                </c:pt>
                <c:pt idx="7">
                  <c:v>2022-23</c:v>
                </c:pt>
                <c:pt idx="8">
                  <c:v>2023-24</c:v>
                </c:pt>
                <c:pt idx="9">
                  <c:v>2024-25</c:v>
                </c:pt>
                <c:pt idx="10">
                  <c:v>2025-26</c:v>
                </c:pt>
              </c:strCache>
            </c:strRef>
          </c:cat>
          <c:val>
            <c:numRef>
              <c:f>'Figure 4'!$F$5:$F$15</c:f>
              <c:numCache>
                <c:formatCode>General</c:formatCode>
                <c:ptCount val="11"/>
                <c:pt idx="0">
                  <c:v>65105</c:v>
                </c:pt>
                <c:pt idx="1">
                  <c:v>65044</c:v>
                </c:pt>
                <c:pt idx="2">
                  <c:v>74880</c:v>
                </c:pt>
                <c:pt idx="3">
                  <c:v>86482</c:v>
                </c:pt>
                <c:pt idx="4">
                  <c:v>82527</c:v>
                </c:pt>
                <c:pt idx="5">
                  <c:v>62047</c:v>
                </c:pt>
                <c:pt idx="6">
                  <c:v>72636.83</c:v>
                </c:pt>
                <c:pt idx="7">
                  <c:v>79976.44</c:v>
                </c:pt>
                <c:pt idx="8">
                  <c:v>86034.564784932183</c:v>
                </c:pt>
                <c:pt idx="9">
                  <c:v>89103.783857116548</c:v>
                </c:pt>
                <c:pt idx="10">
                  <c:v>90141.32415406566</c:v>
                </c:pt>
              </c:numCache>
            </c:numRef>
          </c:val>
          <c:extLst>
            <c:ext xmlns:c16="http://schemas.microsoft.com/office/drawing/2014/chart" uri="{C3380CC4-5D6E-409C-BE32-E72D297353CC}">
              <c16:uniqueId val="{00000026-86B1-4148-8144-F79E7525A5DE}"/>
            </c:ext>
          </c:extLst>
        </c:ser>
        <c:ser>
          <c:idx val="4"/>
          <c:order val="3"/>
          <c:tx>
            <c:strRef>
              <c:f>'Figure 4'!$G$3</c:f>
              <c:strCache>
                <c:ptCount val="1"/>
                <c:pt idx="0">
                  <c:v>Other</c:v>
                </c:pt>
              </c:strCache>
            </c:strRef>
          </c:tx>
          <c:spPr>
            <a:solidFill>
              <a:schemeClr val="accent5"/>
            </a:solidFill>
            <a:ln>
              <a:noFill/>
            </a:ln>
            <a:effectLst/>
          </c:spPr>
          <c:invertIfNegative val="0"/>
          <c:dPt>
            <c:idx val="5"/>
            <c:invertIfNegative val="0"/>
            <c:bubble3D val="0"/>
            <c:spPr>
              <a:solidFill>
                <a:schemeClr val="accent5"/>
              </a:solidFill>
              <a:ln>
                <a:noFill/>
              </a:ln>
              <a:effectLst/>
            </c:spPr>
            <c:extLst>
              <c:ext xmlns:c16="http://schemas.microsoft.com/office/drawing/2014/chart" uri="{C3380CC4-5D6E-409C-BE32-E72D297353CC}">
                <c16:uniqueId val="{00000028-86B1-4148-8144-F79E7525A5DE}"/>
              </c:ext>
            </c:extLst>
          </c:dPt>
          <c:dPt>
            <c:idx val="6"/>
            <c:invertIfNegative val="0"/>
            <c:bubble3D val="0"/>
            <c:spPr>
              <a:solidFill>
                <a:schemeClr val="accent5">
                  <a:lumMod val="60000"/>
                  <a:lumOff val="40000"/>
                </a:schemeClr>
              </a:solidFill>
              <a:ln>
                <a:noFill/>
              </a:ln>
              <a:effectLst/>
            </c:spPr>
            <c:extLst>
              <c:ext xmlns:c16="http://schemas.microsoft.com/office/drawing/2014/chart" uri="{C3380CC4-5D6E-409C-BE32-E72D297353CC}">
                <c16:uniqueId val="{0000002A-86B1-4148-8144-F79E7525A5DE}"/>
              </c:ext>
            </c:extLst>
          </c:dPt>
          <c:dPt>
            <c:idx val="7"/>
            <c:invertIfNegative val="0"/>
            <c:bubble3D val="0"/>
            <c:spPr>
              <a:solidFill>
                <a:schemeClr val="accent5">
                  <a:lumMod val="60000"/>
                  <a:lumOff val="40000"/>
                </a:schemeClr>
              </a:solidFill>
              <a:ln>
                <a:noFill/>
              </a:ln>
              <a:effectLst/>
            </c:spPr>
            <c:extLst>
              <c:ext xmlns:c16="http://schemas.microsoft.com/office/drawing/2014/chart" uri="{C3380CC4-5D6E-409C-BE32-E72D297353CC}">
                <c16:uniqueId val="{0000002C-86B1-4148-8144-F79E7525A5DE}"/>
              </c:ext>
            </c:extLst>
          </c:dPt>
          <c:dPt>
            <c:idx val="8"/>
            <c:invertIfNegative val="0"/>
            <c:bubble3D val="0"/>
            <c:spPr>
              <a:solidFill>
                <a:schemeClr val="accent5">
                  <a:lumMod val="60000"/>
                  <a:lumOff val="40000"/>
                </a:schemeClr>
              </a:solidFill>
              <a:ln>
                <a:noFill/>
              </a:ln>
              <a:effectLst/>
            </c:spPr>
            <c:extLst>
              <c:ext xmlns:c16="http://schemas.microsoft.com/office/drawing/2014/chart" uri="{C3380CC4-5D6E-409C-BE32-E72D297353CC}">
                <c16:uniqueId val="{0000002E-86B1-4148-8144-F79E7525A5DE}"/>
              </c:ext>
            </c:extLst>
          </c:dPt>
          <c:dPt>
            <c:idx val="9"/>
            <c:invertIfNegative val="0"/>
            <c:bubble3D val="0"/>
            <c:spPr>
              <a:solidFill>
                <a:schemeClr val="accent5">
                  <a:lumMod val="60000"/>
                  <a:lumOff val="40000"/>
                </a:schemeClr>
              </a:solidFill>
              <a:ln>
                <a:noFill/>
              </a:ln>
              <a:effectLst/>
            </c:spPr>
            <c:extLst>
              <c:ext xmlns:c16="http://schemas.microsoft.com/office/drawing/2014/chart" uri="{C3380CC4-5D6E-409C-BE32-E72D297353CC}">
                <c16:uniqueId val="{00000030-86B1-4148-8144-F79E7525A5DE}"/>
              </c:ext>
            </c:extLst>
          </c:dPt>
          <c:cat>
            <c:strRef>
              <c:f>'Figure 4'!$B$5:$B$15</c:f>
              <c:strCache>
                <c:ptCount val="11"/>
                <c:pt idx="0">
                  <c:v>2015-16</c:v>
                </c:pt>
                <c:pt idx="1">
                  <c:v>2016-17</c:v>
                </c:pt>
                <c:pt idx="2">
                  <c:v>2017-18</c:v>
                </c:pt>
                <c:pt idx="3">
                  <c:v>2018-19</c:v>
                </c:pt>
                <c:pt idx="4">
                  <c:v>2019-20</c:v>
                </c:pt>
                <c:pt idx="5">
                  <c:v>2020-21</c:v>
                </c:pt>
                <c:pt idx="6">
                  <c:v>2021-22</c:v>
                </c:pt>
                <c:pt idx="7">
                  <c:v>2022-23</c:v>
                </c:pt>
                <c:pt idx="8">
                  <c:v>2023-24</c:v>
                </c:pt>
                <c:pt idx="9">
                  <c:v>2024-25</c:v>
                </c:pt>
                <c:pt idx="10">
                  <c:v>2025-26</c:v>
                </c:pt>
              </c:strCache>
            </c:strRef>
          </c:cat>
          <c:val>
            <c:numRef>
              <c:f>'Figure 4'!$G$5:$G$15</c:f>
              <c:numCache>
                <c:formatCode>General</c:formatCode>
                <c:ptCount val="11"/>
                <c:pt idx="0">
                  <c:v>16337</c:v>
                </c:pt>
                <c:pt idx="1">
                  <c:v>17794</c:v>
                </c:pt>
                <c:pt idx="2">
                  <c:v>19581</c:v>
                </c:pt>
                <c:pt idx="3">
                  <c:v>20767</c:v>
                </c:pt>
                <c:pt idx="4">
                  <c:v>21029</c:v>
                </c:pt>
                <c:pt idx="5">
                  <c:v>19908</c:v>
                </c:pt>
                <c:pt idx="6">
                  <c:v>20722.368000000002</c:v>
                </c:pt>
                <c:pt idx="7">
                  <c:v>21294.1</c:v>
                </c:pt>
                <c:pt idx="8">
                  <c:v>21527.714899032442</c:v>
                </c:pt>
                <c:pt idx="9">
                  <c:v>21865.670706530815</c:v>
                </c:pt>
                <c:pt idx="10">
                  <c:v>22192.389151000931</c:v>
                </c:pt>
              </c:numCache>
            </c:numRef>
          </c:val>
          <c:extLst>
            <c:ext xmlns:c16="http://schemas.microsoft.com/office/drawing/2014/chart" uri="{C3380CC4-5D6E-409C-BE32-E72D297353CC}">
              <c16:uniqueId val="{00000031-86B1-4148-8144-F79E7525A5DE}"/>
            </c:ext>
          </c:extLst>
        </c:ser>
        <c:dLbls>
          <c:showLegendKey val="0"/>
          <c:showVal val="0"/>
          <c:showCatName val="0"/>
          <c:showSerName val="0"/>
          <c:showPercent val="0"/>
          <c:showBubbleSize val="0"/>
        </c:dLbls>
        <c:gapWidth val="219"/>
        <c:overlap val="100"/>
        <c:axId val="1146993903"/>
        <c:axId val="1146988911"/>
      </c:barChart>
      <c:lineChart>
        <c:grouping val="standard"/>
        <c:varyColors val="0"/>
        <c:ser>
          <c:idx val="5"/>
          <c:order val="4"/>
          <c:tx>
            <c:strRef>
              <c:f>'Figure 4'!$H$3</c:f>
              <c:strCache>
                <c:ptCount val="1"/>
                <c:pt idx="0">
                  <c:v>Total</c:v>
                </c:pt>
              </c:strCache>
            </c:strRef>
          </c:tx>
          <c:spPr>
            <a:ln w="28575" cap="rnd">
              <a:solidFill>
                <a:schemeClr val="accent6"/>
              </a:solidFill>
              <a:round/>
            </a:ln>
            <a:effectLst/>
          </c:spPr>
          <c:marker>
            <c:symbol val="none"/>
          </c:marker>
          <c:dPt>
            <c:idx val="5"/>
            <c:marker>
              <c:symbol val="none"/>
            </c:marker>
            <c:bubble3D val="0"/>
            <c:spPr>
              <a:ln w="28575" cap="rnd">
                <a:solidFill>
                  <a:schemeClr val="accent6"/>
                </a:solidFill>
                <a:prstDash val="solid"/>
                <a:round/>
              </a:ln>
              <a:effectLst/>
            </c:spPr>
            <c:extLst>
              <c:ext xmlns:c16="http://schemas.microsoft.com/office/drawing/2014/chart" uri="{C3380CC4-5D6E-409C-BE32-E72D297353CC}">
                <c16:uniqueId val="{00000033-86B1-4148-8144-F79E7525A5DE}"/>
              </c:ext>
            </c:extLst>
          </c:dPt>
          <c:dPt>
            <c:idx val="6"/>
            <c:marker>
              <c:symbol val="none"/>
            </c:marker>
            <c:bubble3D val="0"/>
            <c:spPr>
              <a:ln w="28575" cap="rnd">
                <a:solidFill>
                  <a:schemeClr val="accent6"/>
                </a:solidFill>
                <a:prstDash val="dash"/>
                <a:round/>
              </a:ln>
              <a:effectLst/>
            </c:spPr>
            <c:extLst>
              <c:ext xmlns:c16="http://schemas.microsoft.com/office/drawing/2014/chart" uri="{C3380CC4-5D6E-409C-BE32-E72D297353CC}">
                <c16:uniqueId val="{00000035-86B1-4148-8144-F79E7525A5DE}"/>
              </c:ext>
            </c:extLst>
          </c:dPt>
          <c:dPt>
            <c:idx val="7"/>
            <c:marker>
              <c:symbol val="none"/>
            </c:marker>
            <c:bubble3D val="0"/>
            <c:spPr>
              <a:ln w="28575" cap="rnd">
                <a:solidFill>
                  <a:schemeClr val="accent6"/>
                </a:solidFill>
                <a:prstDash val="dash"/>
                <a:round/>
              </a:ln>
              <a:effectLst/>
            </c:spPr>
            <c:extLst>
              <c:ext xmlns:c16="http://schemas.microsoft.com/office/drawing/2014/chart" uri="{C3380CC4-5D6E-409C-BE32-E72D297353CC}">
                <c16:uniqueId val="{00000037-86B1-4148-8144-F79E7525A5DE}"/>
              </c:ext>
            </c:extLst>
          </c:dPt>
          <c:dPt>
            <c:idx val="8"/>
            <c:marker>
              <c:symbol val="none"/>
            </c:marker>
            <c:bubble3D val="0"/>
            <c:spPr>
              <a:ln w="28575" cap="rnd">
                <a:solidFill>
                  <a:schemeClr val="accent6"/>
                </a:solidFill>
                <a:prstDash val="dash"/>
                <a:round/>
              </a:ln>
              <a:effectLst/>
            </c:spPr>
            <c:extLst>
              <c:ext xmlns:c16="http://schemas.microsoft.com/office/drawing/2014/chart" uri="{C3380CC4-5D6E-409C-BE32-E72D297353CC}">
                <c16:uniqueId val="{00000039-86B1-4148-8144-F79E7525A5DE}"/>
              </c:ext>
            </c:extLst>
          </c:dPt>
          <c:dPt>
            <c:idx val="9"/>
            <c:marker>
              <c:symbol val="none"/>
            </c:marker>
            <c:bubble3D val="0"/>
            <c:spPr>
              <a:ln w="28575" cap="rnd">
                <a:solidFill>
                  <a:schemeClr val="accent6"/>
                </a:solidFill>
                <a:prstDash val="dash"/>
                <a:round/>
              </a:ln>
              <a:effectLst/>
            </c:spPr>
            <c:extLst>
              <c:ext xmlns:c16="http://schemas.microsoft.com/office/drawing/2014/chart" uri="{C3380CC4-5D6E-409C-BE32-E72D297353CC}">
                <c16:uniqueId val="{0000003B-86B1-4148-8144-F79E7525A5DE}"/>
              </c:ext>
            </c:extLst>
          </c:dPt>
          <c:dPt>
            <c:idx val="10"/>
            <c:marker>
              <c:symbol val="none"/>
            </c:marker>
            <c:bubble3D val="0"/>
            <c:spPr>
              <a:ln w="28575" cap="rnd">
                <a:solidFill>
                  <a:schemeClr val="accent6"/>
                </a:solidFill>
                <a:prstDash val="dash"/>
                <a:round/>
              </a:ln>
              <a:effectLst/>
            </c:spPr>
            <c:extLst>
              <c:ext xmlns:c16="http://schemas.microsoft.com/office/drawing/2014/chart" uri="{C3380CC4-5D6E-409C-BE32-E72D297353CC}">
                <c16:uniqueId val="{0000003D-86B1-4148-8144-F79E7525A5DE}"/>
              </c:ext>
            </c:extLst>
          </c:dPt>
          <c:cat>
            <c:strRef>
              <c:f>'Figure 4'!$B$5:$B$15</c:f>
              <c:strCache>
                <c:ptCount val="11"/>
                <c:pt idx="0">
                  <c:v>2015-16</c:v>
                </c:pt>
                <c:pt idx="1">
                  <c:v>2016-17</c:v>
                </c:pt>
                <c:pt idx="2">
                  <c:v>2017-18</c:v>
                </c:pt>
                <c:pt idx="3">
                  <c:v>2018-19</c:v>
                </c:pt>
                <c:pt idx="4">
                  <c:v>2019-20</c:v>
                </c:pt>
                <c:pt idx="5">
                  <c:v>2020-21</c:v>
                </c:pt>
                <c:pt idx="6">
                  <c:v>2021-22</c:v>
                </c:pt>
                <c:pt idx="7">
                  <c:v>2022-23</c:v>
                </c:pt>
                <c:pt idx="8">
                  <c:v>2023-24</c:v>
                </c:pt>
                <c:pt idx="9">
                  <c:v>2024-25</c:v>
                </c:pt>
                <c:pt idx="10">
                  <c:v>2025-26</c:v>
                </c:pt>
              </c:strCache>
            </c:strRef>
          </c:cat>
          <c:val>
            <c:numRef>
              <c:f>'Figure 4'!$H$5:$H$15</c:f>
              <c:numCache>
                <c:formatCode>General</c:formatCode>
                <c:ptCount val="11"/>
                <c:pt idx="0">
                  <c:v>325712</c:v>
                </c:pt>
                <c:pt idx="1">
                  <c:v>336054</c:v>
                </c:pt>
                <c:pt idx="2">
                  <c:v>362532</c:v>
                </c:pt>
                <c:pt idx="3">
                  <c:v>400218</c:v>
                </c:pt>
                <c:pt idx="4">
                  <c:v>341473</c:v>
                </c:pt>
                <c:pt idx="5">
                  <c:v>333654</c:v>
                </c:pt>
                <c:pt idx="6">
                  <c:v>329922.15799999994</c:v>
                </c:pt>
                <c:pt idx="7">
                  <c:v>396387.08871677273</c:v>
                </c:pt>
                <c:pt idx="8">
                  <c:v>418894.21290894714</c:v>
                </c:pt>
                <c:pt idx="9">
                  <c:v>437030.88705525658</c:v>
                </c:pt>
                <c:pt idx="10">
                  <c:v>443211.02758329228</c:v>
                </c:pt>
              </c:numCache>
            </c:numRef>
          </c:val>
          <c:smooth val="0"/>
          <c:extLst>
            <c:ext xmlns:c16="http://schemas.microsoft.com/office/drawing/2014/chart" uri="{C3380CC4-5D6E-409C-BE32-E72D297353CC}">
              <c16:uniqueId val="{0000003E-86B1-4148-8144-F79E7525A5DE}"/>
            </c:ext>
          </c:extLst>
        </c:ser>
        <c:dLbls>
          <c:showLegendKey val="0"/>
          <c:showVal val="0"/>
          <c:showCatName val="0"/>
          <c:showSerName val="0"/>
          <c:showPercent val="0"/>
          <c:showBubbleSize val="0"/>
        </c:dLbls>
        <c:marker val="1"/>
        <c:smooth val="0"/>
        <c:axId val="1146993903"/>
        <c:axId val="1146988911"/>
      </c:lineChart>
      <c:catAx>
        <c:axId val="11469939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6988911"/>
        <c:crosses val="autoZero"/>
        <c:auto val="1"/>
        <c:lblAlgn val="ctr"/>
        <c:lblOffset val="100"/>
        <c:noMultiLvlLbl val="0"/>
      </c:catAx>
      <c:valAx>
        <c:axId val="114698891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6993903"/>
        <c:crosses val="autoZero"/>
        <c:crossBetween val="between"/>
        <c:majorUnit val="100000"/>
        <c:dispUnits>
          <c:builtInUnit val="thousands"/>
          <c:dispUnitsLbl>
            <c:layout>
              <c:manualLayout>
                <c:xMode val="edge"/>
                <c:yMode val="edge"/>
                <c:x val="2.5000000000000001E-2"/>
                <c:y val="0.27483720930232558"/>
              </c:manualLayout>
            </c:layout>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Nights (millions)</a:t>
                  </a:r>
                </a:p>
              </c:rich>
            </c:tx>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layout>
        <c:manualLayout>
          <c:xMode val="edge"/>
          <c:yMode val="edge"/>
          <c:x val="0.13940170612794317"/>
          <c:y val="1.4534334370994332E-2"/>
          <c:w val="0.77675196850393702"/>
          <c:h val="7.848892144295915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915051585643803"/>
          <c:y val="0.13025086980406519"/>
          <c:w val="0.78926859142607186"/>
          <c:h val="0.63496832082036259"/>
        </c:manualLayout>
      </c:layout>
      <c:barChart>
        <c:barDir val="col"/>
        <c:grouping val="clustered"/>
        <c:varyColors val="0"/>
        <c:ser>
          <c:idx val="1"/>
          <c:order val="1"/>
          <c:tx>
            <c:strRef>
              <c:f>'Figure 5'!$D$2</c:f>
              <c:strCache>
                <c:ptCount val="1"/>
                <c:pt idx="0">
                  <c:v>Trips (LHS)</c:v>
                </c:pt>
              </c:strCache>
            </c:strRef>
          </c:tx>
          <c:spPr>
            <a:solidFill>
              <a:schemeClr val="accent2"/>
            </a:solidFill>
            <a:ln>
              <a:noFill/>
            </a:ln>
            <a:effectLst/>
          </c:spPr>
          <c:invertIfNegative val="0"/>
          <c:cat>
            <c:numRef>
              <c:f>'Figure 5'!$B$3:$B$25</c:f>
              <c:numCache>
                <c:formatCode>mmm\-yy</c:formatCode>
                <c:ptCount val="23"/>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numCache>
            </c:numRef>
          </c:cat>
          <c:val>
            <c:numRef>
              <c:f>'Figure 5'!$D$3:$D$25</c:f>
              <c:numCache>
                <c:formatCode>#,##0</c:formatCode>
                <c:ptCount val="23"/>
                <c:pt idx="0">
                  <c:v>10657</c:v>
                </c:pt>
                <c:pt idx="1">
                  <c:v>7548</c:v>
                </c:pt>
                <c:pt idx="2">
                  <c:v>6116</c:v>
                </c:pt>
                <c:pt idx="3">
                  <c:v>1569</c:v>
                </c:pt>
                <c:pt idx="4">
                  <c:v>3050</c:v>
                </c:pt>
                <c:pt idx="5">
                  <c:v>5408</c:v>
                </c:pt>
                <c:pt idx="6">
                  <c:v>5962</c:v>
                </c:pt>
                <c:pt idx="7">
                  <c:v>5168</c:v>
                </c:pt>
                <c:pt idx="8">
                  <c:v>5365</c:v>
                </c:pt>
                <c:pt idx="9">
                  <c:v>6793</c:v>
                </c:pt>
                <c:pt idx="10">
                  <c:v>7001</c:v>
                </c:pt>
                <c:pt idx="11">
                  <c:v>7877</c:v>
                </c:pt>
                <c:pt idx="12">
                  <c:v>9394</c:v>
                </c:pt>
                <c:pt idx="13">
                  <c:v>6816</c:v>
                </c:pt>
                <c:pt idx="14">
                  <c:v>8402</c:v>
                </c:pt>
                <c:pt idx="15">
                  <c:v>10146</c:v>
                </c:pt>
                <c:pt idx="16">
                  <c:v>8178</c:v>
                </c:pt>
                <c:pt idx="17">
                  <c:v>6257</c:v>
                </c:pt>
                <c:pt idx="18">
                  <c:v>4941</c:v>
                </c:pt>
                <c:pt idx="19">
                  <c:v>3431</c:v>
                </c:pt>
                <c:pt idx="20">
                  <c:v>3450</c:v>
                </c:pt>
              </c:numCache>
            </c:numRef>
          </c:val>
          <c:extLst>
            <c:ext xmlns:c16="http://schemas.microsoft.com/office/drawing/2014/chart" uri="{C3380CC4-5D6E-409C-BE32-E72D297353CC}">
              <c16:uniqueId val="{00000000-6559-42AC-9138-E698031B412E}"/>
            </c:ext>
          </c:extLst>
        </c:ser>
        <c:dLbls>
          <c:showLegendKey val="0"/>
          <c:showVal val="0"/>
          <c:showCatName val="0"/>
          <c:showSerName val="0"/>
          <c:showPercent val="0"/>
          <c:showBubbleSize val="0"/>
        </c:dLbls>
        <c:gapWidth val="219"/>
        <c:axId val="412314432"/>
        <c:axId val="412311104"/>
      </c:barChart>
      <c:lineChart>
        <c:grouping val="standard"/>
        <c:varyColors val="0"/>
        <c:ser>
          <c:idx val="0"/>
          <c:order val="0"/>
          <c:tx>
            <c:strRef>
              <c:f>'Figure 5'!$C$2</c:f>
              <c:strCache>
                <c:ptCount val="1"/>
                <c:pt idx="0">
                  <c:v>Trip rate (RHS)</c:v>
                </c:pt>
              </c:strCache>
            </c:strRef>
          </c:tx>
          <c:spPr>
            <a:ln w="28575" cap="rnd">
              <a:solidFill>
                <a:schemeClr val="accent1"/>
              </a:solidFill>
              <a:round/>
            </a:ln>
            <a:effectLst/>
          </c:spPr>
          <c:marker>
            <c:symbol val="none"/>
          </c:marker>
          <c:cat>
            <c:numRef>
              <c:f>'Figure 5'!$B$3:$B$25</c:f>
              <c:numCache>
                <c:formatCode>mmm\-yy</c:formatCode>
                <c:ptCount val="23"/>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numCache>
            </c:numRef>
          </c:cat>
          <c:val>
            <c:numRef>
              <c:f>'Figure 5'!$C$3:$C$25</c:f>
              <c:numCache>
                <c:formatCode>0.00</c:formatCode>
                <c:ptCount val="23"/>
                <c:pt idx="0">
                  <c:v>35.642939753969088</c:v>
                </c:pt>
                <c:pt idx="1">
                  <c:v>28.136419001218027</c:v>
                </c:pt>
                <c:pt idx="2">
                  <c:v>24.337779447679882</c:v>
                </c:pt>
                <c:pt idx="3">
                  <c:v>9.0523338048090523</c:v>
                </c:pt>
                <c:pt idx="4">
                  <c:v>5.8878944889307583</c:v>
                </c:pt>
                <c:pt idx="5">
                  <c:v>15.258936528369146</c:v>
                </c:pt>
                <c:pt idx="6">
                  <c:v>19.490806223479488</c:v>
                </c:pt>
                <c:pt idx="7">
                  <c:v>16.308769274430045</c:v>
                </c:pt>
                <c:pt idx="8">
                  <c:v>15.800930048481252</c:v>
                </c:pt>
                <c:pt idx="9">
                  <c:v>21.875293014533518</c:v>
                </c:pt>
                <c:pt idx="10">
                  <c:v>21.224732461355529</c:v>
                </c:pt>
                <c:pt idx="11">
                  <c:v>24.321562393550586</c:v>
                </c:pt>
                <c:pt idx="12">
                  <c:v>31.058705469141994</c:v>
                </c:pt>
                <c:pt idx="13">
                  <c:v>25.640482744018634</c:v>
                </c:pt>
                <c:pt idx="14">
                  <c:v>27.436310256653091</c:v>
                </c:pt>
                <c:pt idx="15">
                  <c:v>32.235074190910154</c:v>
                </c:pt>
                <c:pt idx="16">
                  <c:v>28.248803827751196</c:v>
                </c:pt>
                <c:pt idx="17">
                  <c:v>23.536883243771374</c:v>
                </c:pt>
                <c:pt idx="18">
                  <c:v>18.134321269117507</c:v>
                </c:pt>
                <c:pt idx="19">
                  <c:v>11.456365697015489</c:v>
                </c:pt>
                <c:pt idx="20">
                  <c:v>9.8789727442684239</c:v>
                </c:pt>
                <c:pt idx="21">
                  <c:v>13.209177306326197</c:v>
                </c:pt>
                <c:pt idx="22">
                  <c:v>18.427175430432762</c:v>
                </c:pt>
              </c:numCache>
            </c:numRef>
          </c:val>
          <c:smooth val="0"/>
          <c:extLst>
            <c:ext xmlns:c16="http://schemas.microsoft.com/office/drawing/2014/chart" uri="{C3380CC4-5D6E-409C-BE32-E72D297353CC}">
              <c16:uniqueId val="{00000001-6559-42AC-9138-E698031B412E}"/>
            </c:ext>
          </c:extLst>
        </c:ser>
        <c:dLbls>
          <c:showLegendKey val="0"/>
          <c:showVal val="0"/>
          <c:showCatName val="0"/>
          <c:showSerName val="0"/>
          <c:showPercent val="0"/>
          <c:showBubbleSize val="0"/>
        </c:dLbls>
        <c:marker val="1"/>
        <c:smooth val="0"/>
        <c:axId val="412324416"/>
        <c:axId val="412302368"/>
      </c:lineChart>
      <c:dateAx>
        <c:axId val="412314432"/>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2311104"/>
        <c:crosses val="autoZero"/>
        <c:auto val="1"/>
        <c:lblOffset val="100"/>
        <c:baseTimeUnit val="months"/>
      </c:dateAx>
      <c:valAx>
        <c:axId val="412311104"/>
        <c:scaling>
          <c:orientation val="minMax"/>
          <c:max val="12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2314432"/>
        <c:crosses val="autoZero"/>
        <c:crossBetween val="between"/>
        <c:majorUnit val="3000"/>
        <c:dispUnits>
          <c:builtInUnit val="thousands"/>
        </c:dispUnits>
      </c:valAx>
      <c:valAx>
        <c:axId val="412302368"/>
        <c:scaling>
          <c:orientation val="minMax"/>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2324416"/>
        <c:crosses val="max"/>
        <c:crossBetween val="between"/>
        <c:majorUnit val="10"/>
      </c:valAx>
      <c:dateAx>
        <c:axId val="412324416"/>
        <c:scaling>
          <c:orientation val="minMax"/>
        </c:scaling>
        <c:delete val="1"/>
        <c:axPos val="b"/>
        <c:numFmt formatCode="mmm\-yy" sourceLinked="1"/>
        <c:majorTickMark val="out"/>
        <c:minorTickMark val="none"/>
        <c:tickLblPos val="nextTo"/>
        <c:crossAx val="412302368"/>
        <c:crosses val="autoZero"/>
        <c:auto val="1"/>
        <c:lblOffset val="100"/>
        <c:baseTimeUnit val="months"/>
      </c:dateAx>
      <c:spPr>
        <a:noFill/>
        <a:ln>
          <a:noFill/>
        </a:ln>
        <a:effectLst/>
      </c:spPr>
    </c:plotArea>
    <c:legend>
      <c:legendPos val="b"/>
      <c:layout>
        <c:manualLayout>
          <c:xMode val="edge"/>
          <c:yMode val="edge"/>
          <c:x val="0.15032019587209086"/>
          <c:y val="1.9185497161692006E-2"/>
          <c:w val="0.74502784196972016"/>
          <c:h val="7.848892144295915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480314960629922"/>
          <c:y val="0.1344700460829493"/>
          <c:w val="0.8346412948381452"/>
          <c:h val="0.70850974273377132"/>
        </c:manualLayout>
      </c:layout>
      <c:barChart>
        <c:barDir val="col"/>
        <c:grouping val="clustered"/>
        <c:varyColors val="0"/>
        <c:ser>
          <c:idx val="0"/>
          <c:order val="0"/>
          <c:tx>
            <c:strRef>
              <c:f>'Figure 6'!$A$2</c:f>
              <c:strCache>
                <c:ptCount val="1"/>
                <c:pt idx="0">
                  <c:v>2021-22</c:v>
                </c:pt>
              </c:strCache>
            </c:strRef>
          </c:tx>
          <c:spPr>
            <a:solidFill>
              <a:schemeClr val="accent1"/>
            </a:solidFill>
            <a:ln>
              <a:noFill/>
            </a:ln>
            <a:effectLst/>
          </c:spPr>
          <c:invertIfNegative val="0"/>
          <c:cat>
            <c:strRef>
              <c:f>'Figure 6'!$B$1:$I$1</c:f>
              <c:strCache>
                <c:ptCount val="8"/>
                <c:pt idx="0">
                  <c:v>NSW</c:v>
                </c:pt>
                <c:pt idx="1">
                  <c:v>Vic</c:v>
                </c:pt>
                <c:pt idx="2">
                  <c:v>Qld</c:v>
                </c:pt>
                <c:pt idx="3">
                  <c:v>SA</c:v>
                </c:pt>
                <c:pt idx="4">
                  <c:v>WA</c:v>
                </c:pt>
                <c:pt idx="5">
                  <c:v>Tas</c:v>
                </c:pt>
                <c:pt idx="6">
                  <c:v>NT</c:v>
                </c:pt>
                <c:pt idx="7">
                  <c:v>ACT</c:v>
                </c:pt>
              </c:strCache>
            </c:strRef>
          </c:cat>
          <c:val>
            <c:numRef>
              <c:f>'Figure 6'!$B$2:$I$2</c:f>
              <c:numCache>
                <c:formatCode>0</c:formatCode>
                <c:ptCount val="8"/>
                <c:pt idx="0">
                  <c:v>75.433567484969117</c:v>
                </c:pt>
                <c:pt idx="1">
                  <c:v>74.126924234115407</c:v>
                </c:pt>
                <c:pt idx="2">
                  <c:v>85.52760469360959</c:v>
                </c:pt>
                <c:pt idx="3">
                  <c:v>95.975489312263107</c:v>
                </c:pt>
                <c:pt idx="4">
                  <c:v>99.450664488481749</c:v>
                </c:pt>
                <c:pt idx="5">
                  <c:v>81.24303254113498</c:v>
                </c:pt>
                <c:pt idx="6">
                  <c:v>87.364832292137521</c:v>
                </c:pt>
                <c:pt idx="7">
                  <c:v>81.580420358584149</c:v>
                </c:pt>
              </c:numCache>
            </c:numRef>
          </c:val>
          <c:extLst>
            <c:ext xmlns:c16="http://schemas.microsoft.com/office/drawing/2014/chart" uri="{C3380CC4-5D6E-409C-BE32-E72D297353CC}">
              <c16:uniqueId val="{00000000-D5FB-49A7-BC62-10A356F9836A}"/>
            </c:ext>
          </c:extLst>
        </c:ser>
        <c:ser>
          <c:idx val="1"/>
          <c:order val="1"/>
          <c:tx>
            <c:strRef>
              <c:f>'Figure 6'!$A$3</c:f>
              <c:strCache>
                <c:ptCount val="1"/>
                <c:pt idx="0">
                  <c:v>2022-23</c:v>
                </c:pt>
              </c:strCache>
            </c:strRef>
          </c:tx>
          <c:spPr>
            <a:solidFill>
              <a:schemeClr val="accent2"/>
            </a:solidFill>
            <a:ln>
              <a:noFill/>
            </a:ln>
            <a:effectLst/>
          </c:spPr>
          <c:invertIfNegative val="0"/>
          <c:cat>
            <c:strRef>
              <c:f>'Figure 6'!$B$1:$I$1</c:f>
              <c:strCache>
                <c:ptCount val="8"/>
                <c:pt idx="0">
                  <c:v>NSW</c:v>
                </c:pt>
                <c:pt idx="1">
                  <c:v>Vic</c:v>
                </c:pt>
                <c:pt idx="2">
                  <c:v>Qld</c:v>
                </c:pt>
                <c:pt idx="3">
                  <c:v>SA</c:v>
                </c:pt>
                <c:pt idx="4">
                  <c:v>WA</c:v>
                </c:pt>
                <c:pt idx="5">
                  <c:v>Tas</c:v>
                </c:pt>
                <c:pt idx="6">
                  <c:v>NT</c:v>
                </c:pt>
                <c:pt idx="7">
                  <c:v>ACT</c:v>
                </c:pt>
              </c:strCache>
            </c:strRef>
          </c:cat>
          <c:val>
            <c:numRef>
              <c:f>'Figure 6'!$B$3:$I$3</c:f>
              <c:numCache>
                <c:formatCode>0</c:formatCode>
                <c:ptCount val="8"/>
                <c:pt idx="0">
                  <c:v>98.198496779751892</c:v>
                </c:pt>
                <c:pt idx="1">
                  <c:v>91.876136078276815</c:v>
                </c:pt>
                <c:pt idx="2">
                  <c:v>101.25267227340515</c:v>
                </c:pt>
                <c:pt idx="3">
                  <c:v>105.60271728238375</c:v>
                </c:pt>
                <c:pt idx="4">
                  <c:v>105.74319681615474</c:v>
                </c:pt>
                <c:pt idx="5">
                  <c:v>100.58757489603298</c:v>
                </c:pt>
                <c:pt idx="6">
                  <c:v>98.320337626931618</c:v>
                </c:pt>
                <c:pt idx="7">
                  <c:v>93.729864861070752</c:v>
                </c:pt>
              </c:numCache>
            </c:numRef>
          </c:val>
          <c:extLst>
            <c:ext xmlns:c16="http://schemas.microsoft.com/office/drawing/2014/chart" uri="{C3380CC4-5D6E-409C-BE32-E72D297353CC}">
              <c16:uniqueId val="{00000001-D5FB-49A7-BC62-10A356F9836A}"/>
            </c:ext>
          </c:extLst>
        </c:ser>
        <c:ser>
          <c:idx val="2"/>
          <c:order val="2"/>
          <c:tx>
            <c:strRef>
              <c:f>'Figure 6'!$A$4</c:f>
              <c:strCache>
                <c:ptCount val="1"/>
                <c:pt idx="0">
                  <c:v>2023-24</c:v>
                </c:pt>
              </c:strCache>
            </c:strRef>
          </c:tx>
          <c:spPr>
            <a:solidFill>
              <a:schemeClr val="accent3"/>
            </a:solidFill>
            <a:ln>
              <a:noFill/>
            </a:ln>
            <a:effectLst/>
          </c:spPr>
          <c:invertIfNegative val="0"/>
          <c:cat>
            <c:strRef>
              <c:f>'Figure 6'!$B$1:$I$1</c:f>
              <c:strCache>
                <c:ptCount val="8"/>
                <c:pt idx="0">
                  <c:v>NSW</c:v>
                </c:pt>
                <c:pt idx="1">
                  <c:v>Vic</c:v>
                </c:pt>
                <c:pt idx="2">
                  <c:v>Qld</c:v>
                </c:pt>
                <c:pt idx="3">
                  <c:v>SA</c:v>
                </c:pt>
                <c:pt idx="4">
                  <c:v>WA</c:v>
                </c:pt>
                <c:pt idx="5">
                  <c:v>Tas</c:v>
                </c:pt>
                <c:pt idx="6">
                  <c:v>NT</c:v>
                </c:pt>
                <c:pt idx="7">
                  <c:v>ACT</c:v>
                </c:pt>
              </c:strCache>
            </c:strRef>
          </c:cat>
          <c:val>
            <c:numRef>
              <c:f>'Figure 6'!$B$4:$I$4</c:f>
              <c:numCache>
                <c:formatCode>0</c:formatCode>
                <c:ptCount val="8"/>
                <c:pt idx="0">
                  <c:v>103.44584427580881</c:v>
                </c:pt>
                <c:pt idx="1">
                  <c:v>100.82484441068142</c:v>
                </c:pt>
                <c:pt idx="2">
                  <c:v>107.02646849803314</c:v>
                </c:pt>
                <c:pt idx="3">
                  <c:v>107.00689833626453</c:v>
                </c:pt>
                <c:pt idx="4">
                  <c:v>109.4149999940053</c:v>
                </c:pt>
                <c:pt idx="5">
                  <c:v>105.18495988750378</c:v>
                </c:pt>
                <c:pt idx="6">
                  <c:v>100.88450311540988</c:v>
                </c:pt>
                <c:pt idx="7">
                  <c:v>99.874151079374215</c:v>
                </c:pt>
              </c:numCache>
            </c:numRef>
          </c:val>
          <c:extLst>
            <c:ext xmlns:c16="http://schemas.microsoft.com/office/drawing/2014/chart" uri="{C3380CC4-5D6E-409C-BE32-E72D297353CC}">
              <c16:uniqueId val="{00000002-D5FB-49A7-BC62-10A356F9836A}"/>
            </c:ext>
          </c:extLst>
        </c:ser>
        <c:dLbls>
          <c:showLegendKey val="0"/>
          <c:showVal val="0"/>
          <c:showCatName val="0"/>
          <c:showSerName val="0"/>
          <c:showPercent val="0"/>
          <c:showBubbleSize val="0"/>
        </c:dLbls>
        <c:gapWidth val="219"/>
        <c:overlap val="-27"/>
        <c:axId val="1402662159"/>
        <c:axId val="1402650511"/>
      </c:barChart>
      <c:catAx>
        <c:axId val="1402662159"/>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1402650511"/>
        <c:crosses val="autoZero"/>
        <c:auto val="1"/>
        <c:lblAlgn val="ctr"/>
        <c:lblOffset val="100"/>
        <c:noMultiLvlLbl val="0"/>
      </c:catAx>
      <c:valAx>
        <c:axId val="1402650511"/>
        <c:scaling>
          <c:orientation val="minMax"/>
        </c:scaling>
        <c:delete val="0"/>
        <c:axPos val="l"/>
        <c:numFmt formatCode="0"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1402662159"/>
        <c:crosses val="autoZero"/>
        <c:crossBetween val="between"/>
      </c:valAx>
      <c:spPr>
        <a:noFill/>
        <a:ln>
          <a:noFill/>
        </a:ln>
        <a:effectLst/>
      </c:spPr>
    </c:plotArea>
    <c:legend>
      <c:legendPos val="b"/>
      <c:layout>
        <c:manualLayout>
          <c:xMode val="edge"/>
          <c:yMode val="edge"/>
          <c:x val="0.13045538057742781"/>
          <c:y val="3.6213940999310551E-2"/>
          <c:w val="0.84732239720034996"/>
          <c:h val="8.3331398091367609E-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4310112473830981E-2"/>
          <c:y val="0.1469981322102179"/>
          <c:w val="0.8874396839185138"/>
          <c:h val="0.67703929344598357"/>
        </c:manualLayout>
      </c:layout>
      <c:barChart>
        <c:barDir val="col"/>
        <c:grouping val="clustered"/>
        <c:varyColors val="0"/>
        <c:ser>
          <c:idx val="0"/>
          <c:order val="0"/>
          <c:tx>
            <c:strRef>
              <c:f>'Figure 7'!$P$5</c:f>
              <c:strCache>
                <c:ptCount val="1"/>
                <c:pt idx="0">
                  <c:v>Holiday</c:v>
                </c:pt>
              </c:strCache>
            </c:strRef>
          </c:tx>
          <c:spPr>
            <a:solidFill>
              <a:schemeClr val="accent1"/>
            </a:solidFill>
            <a:ln>
              <a:noFill/>
            </a:ln>
            <a:effectLst/>
          </c:spPr>
          <c:invertIfNegative val="0"/>
          <c:cat>
            <c:strRef>
              <c:f>'Figure 7'!$Q$4:$Y$4</c:f>
              <c:strCache>
                <c:ptCount val="9"/>
                <c:pt idx="0">
                  <c:v>15-19</c:v>
                </c:pt>
                <c:pt idx="1">
                  <c:v>20-24</c:v>
                </c:pt>
                <c:pt idx="2">
                  <c:v>25-29</c:v>
                </c:pt>
                <c:pt idx="3">
                  <c:v>30-34</c:v>
                </c:pt>
                <c:pt idx="4">
                  <c:v>35-39</c:v>
                </c:pt>
                <c:pt idx="5">
                  <c:v>40-44</c:v>
                </c:pt>
                <c:pt idx="6">
                  <c:v>45-49</c:v>
                </c:pt>
                <c:pt idx="7">
                  <c:v>50-54</c:v>
                </c:pt>
                <c:pt idx="8">
                  <c:v>55+</c:v>
                </c:pt>
              </c:strCache>
            </c:strRef>
          </c:cat>
          <c:val>
            <c:numRef>
              <c:f>'Figure 7'!$Q$5:$Y$5</c:f>
              <c:numCache>
                <c:formatCode>0.0</c:formatCode>
                <c:ptCount val="9"/>
                <c:pt idx="0">
                  <c:v>1.6984021304926764</c:v>
                </c:pt>
                <c:pt idx="1">
                  <c:v>2.4481044126786826</c:v>
                </c:pt>
                <c:pt idx="2">
                  <c:v>2.2972222222222221</c:v>
                </c:pt>
                <c:pt idx="3">
                  <c:v>2.1764705882352939</c:v>
                </c:pt>
                <c:pt idx="4">
                  <c:v>2.0902506963788299</c:v>
                </c:pt>
                <c:pt idx="5">
                  <c:v>2.5532178217821784</c:v>
                </c:pt>
                <c:pt idx="6">
                  <c:v>2.4687875150060026</c:v>
                </c:pt>
                <c:pt idx="7">
                  <c:v>2.6851255634256277</c:v>
                </c:pt>
                <c:pt idx="8">
                  <c:v>2.1266356498982262</c:v>
                </c:pt>
              </c:numCache>
            </c:numRef>
          </c:val>
          <c:extLst>
            <c:ext xmlns:c16="http://schemas.microsoft.com/office/drawing/2014/chart" uri="{C3380CC4-5D6E-409C-BE32-E72D297353CC}">
              <c16:uniqueId val="{00000000-9C5E-4065-9784-268B551B6E25}"/>
            </c:ext>
          </c:extLst>
        </c:ser>
        <c:ser>
          <c:idx val="1"/>
          <c:order val="1"/>
          <c:tx>
            <c:strRef>
              <c:f>'Figure 7'!$P$6</c:f>
              <c:strCache>
                <c:ptCount val="1"/>
                <c:pt idx="0">
                  <c:v>VFR</c:v>
                </c:pt>
              </c:strCache>
            </c:strRef>
          </c:tx>
          <c:spPr>
            <a:solidFill>
              <a:schemeClr val="accent2"/>
            </a:solidFill>
            <a:ln>
              <a:noFill/>
            </a:ln>
            <a:effectLst/>
          </c:spPr>
          <c:invertIfNegative val="0"/>
          <c:cat>
            <c:strRef>
              <c:f>'Figure 7'!$Q$4:$Y$4</c:f>
              <c:strCache>
                <c:ptCount val="9"/>
                <c:pt idx="0">
                  <c:v>15-19</c:v>
                </c:pt>
                <c:pt idx="1">
                  <c:v>20-24</c:v>
                </c:pt>
                <c:pt idx="2">
                  <c:v>25-29</c:v>
                </c:pt>
                <c:pt idx="3">
                  <c:v>30-34</c:v>
                </c:pt>
                <c:pt idx="4">
                  <c:v>35-39</c:v>
                </c:pt>
                <c:pt idx="5">
                  <c:v>40-44</c:v>
                </c:pt>
                <c:pt idx="6">
                  <c:v>45-49</c:v>
                </c:pt>
                <c:pt idx="7">
                  <c:v>50-54</c:v>
                </c:pt>
                <c:pt idx="8">
                  <c:v>55+</c:v>
                </c:pt>
              </c:strCache>
            </c:strRef>
          </c:cat>
          <c:val>
            <c:numRef>
              <c:f>'Figure 7'!$Q$6:$Y$6</c:f>
              <c:numCache>
                <c:formatCode>0.0</c:formatCode>
                <c:ptCount val="9"/>
                <c:pt idx="0">
                  <c:v>1.8719103346220241</c:v>
                </c:pt>
                <c:pt idx="1">
                  <c:v>2.4556437758737322</c:v>
                </c:pt>
                <c:pt idx="2">
                  <c:v>2.0088888888888889</c:v>
                </c:pt>
                <c:pt idx="3">
                  <c:v>1.7453697314703007</c:v>
                </c:pt>
                <c:pt idx="4">
                  <c:v>1.3270012066287562</c:v>
                </c:pt>
                <c:pt idx="5">
                  <c:v>1.4333498502064228</c:v>
                </c:pt>
                <c:pt idx="6">
                  <c:v>1.2975958958492044</c:v>
                </c:pt>
                <c:pt idx="7">
                  <c:v>1.765698011302816</c:v>
                </c:pt>
                <c:pt idx="8">
                  <c:v>1.9984060370985521</c:v>
                </c:pt>
              </c:numCache>
            </c:numRef>
          </c:val>
          <c:extLst>
            <c:ext xmlns:c16="http://schemas.microsoft.com/office/drawing/2014/chart" uri="{C3380CC4-5D6E-409C-BE32-E72D297353CC}">
              <c16:uniqueId val="{00000001-9C5E-4065-9784-268B551B6E25}"/>
            </c:ext>
          </c:extLst>
        </c:ser>
        <c:ser>
          <c:idx val="2"/>
          <c:order val="2"/>
          <c:tx>
            <c:strRef>
              <c:f>'Figure 7'!$P$7</c:f>
              <c:strCache>
                <c:ptCount val="1"/>
                <c:pt idx="0">
                  <c:v>Business</c:v>
                </c:pt>
              </c:strCache>
            </c:strRef>
          </c:tx>
          <c:spPr>
            <a:solidFill>
              <a:schemeClr val="accent3"/>
            </a:solidFill>
            <a:ln>
              <a:noFill/>
            </a:ln>
            <a:effectLst/>
          </c:spPr>
          <c:invertIfNegative val="0"/>
          <c:cat>
            <c:strRef>
              <c:f>'Figure 7'!$Q$4:$Y$4</c:f>
              <c:strCache>
                <c:ptCount val="9"/>
                <c:pt idx="0">
                  <c:v>15-19</c:v>
                </c:pt>
                <c:pt idx="1">
                  <c:v>20-24</c:v>
                </c:pt>
                <c:pt idx="2">
                  <c:v>25-29</c:v>
                </c:pt>
                <c:pt idx="3">
                  <c:v>30-34</c:v>
                </c:pt>
                <c:pt idx="4">
                  <c:v>35-39</c:v>
                </c:pt>
                <c:pt idx="5">
                  <c:v>40-44</c:v>
                </c:pt>
                <c:pt idx="6">
                  <c:v>45-49</c:v>
                </c:pt>
                <c:pt idx="7">
                  <c:v>50-54</c:v>
                </c:pt>
                <c:pt idx="8">
                  <c:v>55+</c:v>
                </c:pt>
              </c:strCache>
            </c:strRef>
          </c:cat>
          <c:val>
            <c:numRef>
              <c:f>'Figure 7'!$Q$7:$Y$7</c:f>
              <c:numCache>
                <c:formatCode>0.0</c:formatCode>
                <c:ptCount val="9"/>
                <c:pt idx="0">
                  <c:v>0.27720204940249576</c:v>
                </c:pt>
                <c:pt idx="1">
                  <c:v>0.86295568691466762</c:v>
                </c:pt>
                <c:pt idx="2">
                  <c:v>1.3275000000000001</c:v>
                </c:pt>
                <c:pt idx="3">
                  <c:v>1.4913920993617387</c:v>
                </c:pt>
                <c:pt idx="4">
                  <c:v>1.5716971746916037</c:v>
                </c:pt>
                <c:pt idx="5">
                  <c:v>1.9571923751415734</c:v>
                </c:pt>
                <c:pt idx="6">
                  <c:v>1.9402527149714941</c:v>
                </c:pt>
                <c:pt idx="7">
                  <c:v>2.1759268367076188</c:v>
                </c:pt>
                <c:pt idx="8">
                  <c:v>0.82148519064305581</c:v>
                </c:pt>
              </c:numCache>
            </c:numRef>
          </c:val>
          <c:extLst>
            <c:ext xmlns:c16="http://schemas.microsoft.com/office/drawing/2014/chart" uri="{C3380CC4-5D6E-409C-BE32-E72D297353CC}">
              <c16:uniqueId val="{00000002-9C5E-4065-9784-268B551B6E25}"/>
            </c:ext>
          </c:extLst>
        </c:ser>
        <c:ser>
          <c:idx val="3"/>
          <c:order val="3"/>
          <c:tx>
            <c:strRef>
              <c:f>'Figure 7'!$P$8</c:f>
              <c:strCache>
                <c:ptCount val="1"/>
                <c:pt idx="0">
                  <c:v>Other</c:v>
                </c:pt>
              </c:strCache>
            </c:strRef>
          </c:tx>
          <c:spPr>
            <a:solidFill>
              <a:schemeClr val="accent4"/>
            </a:solidFill>
            <a:ln>
              <a:noFill/>
            </a:ln>
            <a:effectLst/>
          </c:spPr>
          <c:invertIfNegative val="0"/>
          <c:cat>
            <c:strRef>
              <c:f>'Figure 7'!$Q$4:$Y$4</c:f>
              <c:strCache>
                <c:ptCount val="9"/>
                <c:pt idx="0">
                  <c:v>15-19</c:v>
                </c:pt>
                <c:pt idx="1">
                  <c:v>20-24</c:v>
                </c:pt>
                <c:pt idx="2">
                  <c:v>25-29</c:v>
                </c:pt>
                <c:pt idx="3">
                  <c:v>30-34</c:v>
                </c:pt>
                <c:pt idx="4">
                  <c:v>35-39</c:v>
                </c:pt>
                <c:pt idx="5">
                  <c:v>40-44</c:v>
                </c:pt>
                <c:pt idx="6">
                  <c:v>45-49</c:v>
                </c:pt>
                <c:pt idx="7">
                  <c:v>50-54</c:v>
                </c:pt>
                <c:pt idx="8">
                  <c:v>55+</c:v>
                </c:pt>
              </c:strCache>
            </c:strRef>
          </c:cat>
          <c:val>
            <c:numRef>
              <c:f>'Figure 7'!$Q$8:$Y$8</c:f>
              <c:numCache>
                <c:formatCode>0.0</c:formatCode>
                <c:ptCount val="9"/>
                <c:pt idx="0">
                  <c:v>0.29635187311583527</c:v>
                </c:pt>
                <c:pt idx="1">
                  <c:v>0.29226229336857057</c:v>
                </c:pt>
                <c:pt idx="2">
                  <c:v>0.1787037037037037</c:v>
                </c:pt>
                <c:pt idx="3">
                  <c:v>0.1909221744713866</c:v>
                </c:pt>
                <c:pt idx="4">
                  <c:v>0.20219234077367357</c:v>
                </c:pt>
                <c:pt idx="5">
                  <c:v>0.25730361211031544</c:v>
                </c:pt>
                <c:pt idx="6">
                  <c:v>0.26529429764225543</c:v>
                </c:pt>
                <c:pt idx="7">
                  <c:v>0.34731715405161356</c:v>
                </c:pt>
                <c:pt idx="8">
                  <c:v>0.33951088606366303</c:v>
                </c:pt>
              </c:numCache>
            </c:numRef>
          </c:val>
          <c:extLst>
            <c:ext xmlns:c16="http://schemas.microsoft.com/office/drawing/2014/chart" uri="{C3380CC4-5D6E-409C-BE32-E72D297353CC}">
              <c16:uniqueId val="{00000003-9C5E-4065-9784-268B551B6E25}"/>
            </c:ext>
          </c:extLst>
        </c:ser>
        <c:dLbls>
          <c:showLegendKey val="0"/>
          <c:showVal val="0"/>
          <c:showCatName val="0"/>
          <c:showSerName val="0"/>
          <c:showPercent val="0"/>
          <c:showBubbleSize val="0"/>
        </c:dLbls>
        <c:gapWidth val="219"/>
        <c:overlap val="-27"/>
        <c:axId val="1536860543"/>
        <c:axId val="1536856383"/>
      </c:barChart>
      <c:catAx>
        <c:axId val="1536860543"/>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AU" b="1"/>
                  <a:t>Age</a:t>
                </a:r>
                <a:r>
                  <a:rPr lang="en-AU" b="1" baseline="0"/>
                  <a:t> group</a:t>
                </a:r>
                <a:endParaRPr lang="en-AU" b="1"/>
              </a:p>
            </c:rich>
          </c:tx>
          <c:layout>
            <c:manualLayout>
              <c:xMode val="edge"/>
              <c:yMode val="edge"/>
              <c:x val="0.46197999271443385"/>
              <c:y val="0.92175105848995154"/>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in"/>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6856383"/>
        <c:crosses val="autoZero"/>
        <c:auto val="1"/>
        <c:lblAlgn val="ctr"/>
        <c:lblOffset val="100"/>
        <c:noMultiLvlLbl val="0"/>
      </c:catAx>
      <c:valAx>
        <c:axId val="1536856383"/>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AU" b="1"/>
                  <a:t>Number of overnight</a:t>
                </a:r>
                <a:r>
                  <a:rPr lang="en-AU" b="1" baseline="0"/>
                  <a:t> trips per year</a:t>
                </a:r>
                <a:endParaRPr lang="en-AU" b="1"/>
              </a:p>
            </c:rich>
          </c:tx>
          <c:layout>
            <c:manualLayout>
              <c:xMode val="edge"/>
              <c:yMode val="edge"/>
              <c:x val="9.0865633184441831E-3"/>
              <c:y val="0.18878388573521332"/>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in"/>
        <c:minorTickMark val="none"/>
        <c:tickLblPos val="nextTo"/>
        <c:spPr>
          <a:noFill/>
          <a:ln>
            <a:solidFill>
              <a:srgbClr val="D9D9D9"/>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6860543"/>
        <c:crosses val="autoZero"/>
        <c:crossBetween val="between"/>
        <c:majorUnit val="1"/>
      </c:valAx>
      <c:spPr>
        <a:noFill/>
        <a:ln>
          <a:noFill/>
        </a:ln>
        <a:effectLst/>
      </c:spPr>
    </c:plotArea>
    <c:legend>
      <c:legendPos val="b"/>
      <c:layout>
        <c:manualLayout>
          <c:xMode val="edge"/>
          <c:yMode val="edge"/>
          <c:x val="9.7816126052058333E-2"/>
          <c:y val="2.4613514008423366E-2"/>
          <c:w val="0.87952315164049055"/>
          <c:h val="7.8125546806649182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8671667792839396E-2"/>
          <c:y val="0.10937166187559891"/>
          <c:w val="0.87466166554049407"/>
          <c:h val="0.67279290088738908"/>
        </c:manualLayout>
      </c:layout>
      <c:barChart>
        <c:barDir val="col"/>
        <c:grouping val="clustered"/>
        <c:varyColors val="0"/>
        <c:ser>
          <c:idx val="0"/>
          <c:order val="0"/>
          <c:tx>
            <c:strRef>
              <c:f>'Figure 8'!$P$6</c:f>
              <c:strCache>
                <c:ptCount val="1"/>
                <c:pt idx="0">
                  <c:v> 2022</c:v>
                </c:pt>
              </c:strCache>
            </c:strRef>
          </c:tx>
          <c:spPr>
            <a:solidFill>
              <a:schemeClr val="accent1"/>
            </a:solidFill>
            <a:ln>
              <a:noFill/>
            </a:ln>
            <a:effectLst/>
          </c:spPr>
          <c:invertIfNegative val="0"/>
          <c:cat>
            <c:strRef>
              <c:f>'Figure 8'!$Q$5:$Y$5</c:f>
              <c:strCache>
                <c:ptCount val="9"/>
                <c:pt idx="0">
                  <c:v>15-19</c:v>
                </c:pt>
                <c:pt idx="1">
                  <c:v>20-24</c:v>
                </c:pt>
                <c:pt idx="2">
                  <c:v>25-29</c:v>
                </c:pt>
                <c:pt idx="3">
                  <c:v>30-34</c:v>
                </c:pt>
                <c:pt idx="4">
                  <c:v>35-39</c:v>
                </c:pt>
                <c:pt idx="5">
                  <c:v>40-44</c:v>
                </c:pt>
                <c:pt idx="6">
                  <c:v>45-49</c:v>
                </c:pt>
                <c:pt idx="7">
                  <c:v>50-54</c:v>
                </c:pt>
                <c:pt idx="8">
                  <c:v>55 plus</c:v>
                </c:pt>
              </c:strCache>
            </c:strRef>
          </c:cat>
          <c:val>
            <c:numRef>
              <c:f>'Figure 8'!$Q$6:$Y$6</c:f>
              <c:numCache>
                <c:formatCode>0.0</c:formatCode>
                <c:ptCount val="9"/>
                <c:pt idx="0">
                  <c:v>2.4088541666666519</c:v>
                </c:pt>
                <c:pt idx="1">
                  <c:v>-0.19071837253654689</c:v>
                </c:pt>
                <c:pt idx="2">
                  <c:v>0</c:v>
                </c:pt>
                <c:pt idx="3">
                  <c:v>0.53763440860215006</c:v>
                </c:pt>
                <c:pt idx="4">
                  <c:v>1.2882447665056418</c:v>
                </c:pt>
                <c:pt idx="5">
                  <c:v>3.0984204131227377</c:v>
                </c:pt>
                <c:pt idx="6">
                  <c:v>-0.90252707581226499</c:v>
                </c:pt>
                <c:pt idx="7">
                  <c:v>1.7914267434421038</c:v>
                </c:pt>
                <c:pt idx="8">
                  <c:v>1.8854650344730439</c:v>
                </c:pt>
              </c:numCache>
            </c:numRef>
          </c:val>
          <c:extLst>
            <c:ext xmlns:c16="http://schemas.microsoft.com/office/drawing/2014/chart" uri="{C3380CC4-5D6E-409C-BE32-E72D297353CC}">
              <c16:uniqueId val="{00000000-F769-47FC-A9E1-66038E09E4E5}"/>
            </c:ext>
          </c:extLst>
        </c:ser>
        <c:ser>
          <c:idx val="1"/>
          <c:order val="1"/>
          <c:tx>
            <c:strRef>
              <c:f>'Figure 8'!$P$7</c:f>
              <c:strCache>
                <c:ptCount val="1"/>
                <c:pt idx="0">
                  <c:v> 2023</c:v>
                </c:pt>
              </c:strCache>
            </c:strRef>
          </c:tx>
          <c:spPr>
            <a:solidFill>
              <a:schemeClr val="accent2"/>
            </a:solidFill>
            <a:ln>
              <a:noFill/>
            </a:ln>
            <a:effectLst/>
          </c:spPr>
          <c:invertIfNegative val="0"/>
          <c:cat>
            <c:strRef>
              <c:f>'Figure 8'!$Q$5:$Y$5</c:f>
              <c:strCache>
                <c:ptCount val="9"/>
                <c:pt idx="0">
                  <c:v>15-19</c:v>
                </c:pt>
                <c:pt idx="1">
                  <c:v>20-24</c:v>
                </c:pt>
                <c:pt idx="2">
                  <c:v>25-29</c:v>
                </c:pt>
                <c:pt idx="3">
                  <c:v>30-34</c:v>
                </c:pt>
                <c:pt idx="4">
                  <c:v>35-39</c:v>
                </c:pt>
                <c:pt idx="5">
                  <c:v>40-44</c:v>
                </c:pt>
                <c:pt idx="6">
                  <c:v>45-49</c:v>
                </c:pt>
                <c:pt idx="7">
                  <c:v>50-54</c:v>
                </c:pt>
                <c:pt idx="8">
                  <c:v>55 plus</c:v>
                </c:pt>
              </c:strCache>
            </c:strRef>
          </c:cat>
          <c:val>
            <c:numRef>
              <c:f>'Figure 8'!$Q$7:$Y$7</c:f>
              <c:numCache>
                <c:formatCode>0.0</c:formatCode>
                <c:ptCount val="9"/>
                <c:pt idx="0">
                  <c:v>2.6700572155117674</c:v>
                </c:pt>
                <c:pt idx="1">
                  <c:v>0.25477707006369421</c:v>
                </c:pt>
                <c:pt idx="2">
                  <c:v>0</c:v>
                </c:pt>
                <c:pt idx="3">
                  <c:v>0</c:v>
                </c:pt>
                <c:pt idx="4">
                  <c:v>0.84790673025967322</c:v>
                </c:pt>
                <c:pt idx="5">
                  <c:v>3.7124337065409518</c:v>
                </c:pt>
                <c:pt idx="6">
                  <c:v>-1.1536126290224713</c:v>
                </c:pt>
                <c:pt idx="7">
                  <c:v>2.1370207416719023</c:v>
                </c:pt>
                <c:pt idx="8">
                  <c:v>1.8505731252589364</c:v>
                </c:pt>
              </c:numCache>
            </c:numRef>
          </c:val>
          <c:extLst>
            <c:ext xmlns:c16="http://schemas.microsoft.com/office/drawing/2014/chart" uri="{C3380CC4-5D6E-409C-BE32-E72D297353CC}">
              <c16:uniqueId val="{00000001-F769-47FC-A9E1-66038E09E4E5}"/>
            </c:ext>
          </c:extLst>
        </c:ser>
        <c:ser>
          <c:idx val="2"/>
          <c:order val="2"/>
          <c:tx>
            <c:strRef>
              <c:f>'Figure 8'!$P$8</c:f>
              <c:strCache>
                <c:ptCount val="1"/>
                <c:pt idx="0">
                  <c:v> 2024</c:v>
                </c:pt>
              </c:strCache>
            </c:strRef>
          </c:tx>
          <c:spPr>
            <a:solidFill>
              <a:schemeClr val="accent3"/>
            </a:solidFill>
            <a:ln>
              <a:noFill/>
            </a:ln>
            <a:effectLst/>
          </c:spPr>
          <c:invertIfNegative val="0"/>
          <c:cat>
            <c:strRef>
              <c:f>'Figure 8'!$Q$5:$Y$5</c:f>
              <c:strCache>
                <c:ptCount val="9"/>
                <c:pt idx="0">
                  <c:v>15-19</c:v>
                </c:pt>
                <c:pt idx="1">
                  <c:v>20-24</c:v>
                </c:pt>
                <c:pt idx="2">
                  <c:v>25-29</c:v>
                </c:pt>
                <c:pt idx="3">
                  <c:v>30-34</c:v>
                </c:pt>
                <c:pt idx="4">
                  <c:v>35-39</c:v>
                </c:pt>
                <c:pt idx="5">
                  <c:v>40-44</c:v>
                </c:pt>
                <c:pt idx="6">
                  <c:v>45-49</c:v>
                </c:pt>
                <c:pt idx="7">
                  <c:v>50-54</c:v>
                </c:pt>
                <c:pt idx="8">
                  <c:v>55 plus</c:v>
                </c:pt>
              </c:strCache>
            </c:strRef>
          </c:cat>
          <c:val>
            <c:numRef>
              <c:f>'Figure 8'!$Q$8:$Y$8</c:f>
              <c:numCache>
                <c:formatCode>0.0</c:formatCode>
                <c:ptCount val="9"/>
                <c:pt idx="0">
                  <c:v>2.414860681114539</c:v>
                </c:pt>
                <c:pt idx="1">
                  <c:v>0.69885641677254196</c:v>
                </c:pt>
                <c:pt idx="2">
                  <c:v>0</c:v>
                </c:pt>
                <c:pt idx="3">
                  <c:v>-0.53475935828877219</c:v>
                </c:pt>
                <c:pt idx="4">
                  <c:v>0.63058328954281873</c:v>
                </c:pt>
                <c:pt idx="5">
                  <c:v>3.4090909090909172</c:v>
                </c:pt>
                <c:pt idx="6">
                  <c:v>-0.42997542997542659</c:v>
                </c:pt>
                <c:pt idx="7">
                  <c:v>1.6000000000000014</c:v>
                </c:pt>
                <c:pt idx="8">
                  <c:v>1.8711864406779632</c:v>
                </c:pt>
              </c:numCache>
            </c:numRef>
          </c:val>
          <c:extLst>
            <c:ext xmlns:c16="http://schemas.microsoft.com/office/drawing/2014/chart" uri="{C3380CC4-5D6E-409C-BE32-E72D297353CC}">
              <c16:uniqueId val="{00000002-F769-47FC-A9E1-66038E09E4E5}"/>
            </c:ext>
          </c:extLst>
        </c:ser>
        <c:ser>
          <c:idx val="3"/>
          <c:order val="3"/>
          <c:tx>
            <c:strRef>
              <c:f>'Figure 8'!$P$9</c:f>
              <c:strCache>
                <c:ptCount val="1"/>
                <c:pt idx="0">
                  <c:v> 2025</c:v>
                </c:pt>
              </c:strCache>
            </c:strRef>
          </c:tx>
          <c:spPr>
            <a:solidFill>
              <a:schemeClr val="accent4"/>
            </a:solidFill>
            <a:ln>
              <a:noFill/>
            </a:ln>
            <a:effectLst/>
          </c:spPr>
          <c:invertIfNegative val="0"/>
          <c:cat>
            <c:strRef>
              <c:f>'Figure 8'!$Q$5:$Y$5</c:f>
              <c:strCache>
                <c:ptCount val="9"/>
                <c:pt idx="0">
                  <c:v>15-19</c:v>
                </c:pt>
                <c:pt idx="1">
                  <c:v>20-24</c:v>
                </c:pt>
                <c:pt idx="2">
                  <c:v>25-29</c:v>
                </c:pt>
                <c:pt idx="3">
                  <c:v>30-34</c:v>
                </c:pt>
                <c:pt idx="4">
                  <c:v>35-39</c:v>
                </c:pt>
                <c:pt idx="5">
                  <c:v>40-44</c:v>
                </c:pt>
                <c:pt idx="6">
                  <c:v>45-49</c:v>
                </c:pt>
                <c:pt idx="7">
                  <c:v>50-54</c:v>
                </c:pt>
                <c:pt idx="8">
                  <c:v>55 plus</c:v>
                </c:pt>
              </c:strCache>
            </c:strRef>
          </c:cat>
          <c:val>
            <c:numRef>
              <c:f>'Figure 8'!$Q$9:$Y$9</c:f>
              <c:numCache>
                <c:formatCode>0.0</c:formatCode>
                <c:ptCount val="9"/>
                <c:pt idx="0">
                  <c:v>2.3579201934703864</c:v>
                </c:pt>
                <c:pt idx="1">
                  <c:v>1.5772870662460692</c:v>
                </c:pt>
                <c:pt idx="2">
                  <c:v>0</c:v>
                </c:pt>
                <c:pt idx="3">
                  <c:v>-0.53763440860215006</c:v>
                </c:pt>
                <c:pt idx="4">
                  <c:v>0.88772845953002388</c:v>
                </c:pt>
                <c:pt idx="5">
                  <c:v>3.076923076923066</c:v>
                </c:pt>
                <c:pt idx="6">
                  <c:v>1.2338062924120985</c:v>
                </c:pt>
                <c:pt idx="7">
                  <c:v>1.1508176862507602</c:v>
                </c:pt>
                <c:pt idx="8">
                  <c:v>2.2228137894316546</c:v>
                </c:pt>
              </c:numCache>
            </c:numRef>
          </c:val>
          <c:extLst>
            <c:ext xmlns:c16="http://schemas.microsoft.com/office/drawing/2014/chart" uri="{C3380CC4-5D6E-409C-BE32-E72D297353CC}">
              <c16:uniqueId val="{00000003-F769-47FC-A9E1-66038E09E4E5}"/>
            </c:ext>
          </c:extLst>
        </c:ser>
        <c:ser>
          <c:idx val="4"/>
          <c:order val="4"/>
          <c:tx>
            <c:strRef>
              <c:f>'Figure 8'!$P$10</c:f>
              <c:strCache>
                <c:ptCount val="1"/>
                <c:pt idx="0">
                  <c:v> 2026</c:v>
                </c:pt>
              </c:strCache>
            </c:strRef>
          </c:tx>
          <c:spPr>
            <a:solidFill>
              <a:schemeClr val="accent5"/>
            </a:solidFill>
            <a:ln>
              <a:noFill/>
            </a:ln>
            <a:effectLst/>
          </c:spPr>
          <c:invertIfNegative val="0"/>
          <c:cat>
            <c:strRef>
              <c:f>'Figure 8'!$Q$5:$Y$5</c:f>
              <c:strCache>
                <c:ptCount val="9"/>
                <c:pt idx="0">
                  <c:v>15-19</c:v>
                </c:pt>
                <c:pt idx="1">
                  <c:v>20-24</c:v>
                </c:pt>
                <c:pt idx="2">
                  <c:v>25-29</c:v>
                </c:pt>
                <c:pt idx="3">
                  <c:v>30-34</c:v>
                </c:pt>
                <c:pt idx="4">
                  <c:v>35-39</c:v>
                </c:pt>
                <c:pt idx="5">
                  <c:v>40-44</c:v>
                </c:pt>
                <c:pt idx="6">
                  <c:v>45-49</c:v>
                </c:pt>
                <c:pt idx="7">
                  <c:v>50-54</c:v>
                </c:pt>
                <c:pt idx="8">
                  <c:v>55 plus</c:v>
                </c:pt>
              </c:strCache>
            </c:strRef>
          </c:cat>
          <c:val>
            <c:numRef>
              <c:f>'Figure 8'!$Q$10:$Y$10</c:f>
              <c:numCache>
                <c:formatCode>0.0</c:formatCode>
                <c:ptCount val="9"/>
                <c:pt idx="0">
                  <c:v>1.7129356172474797</c:v>
                </c:pt>
                <c:pt idx="1">
                  <c:v>1.7391304347825987</c:v>
                </c:pt>
                <c:pt idx="2">
                  <c:v>0</c:v>
                </c:pt>
                <c:pt idx="3">
                  <c:v>-0.54054054054054612</c:v>
                </c:pt>
                <c:pt idx="4">
                  <c:v>0.15527950310558758</c:v>
                </c:pt>
                <c:pt idx="5">
                  <c:v>1.8123667377398789</c:v>
                </c:pt>
                <c:pt idx="6">
                  <c:v>1.8281535648994485</c:v>
                </c:pt>
                <c:pt idx="7">
                  <c:v>-5.9880239520948564E-2</c:v>
                </c:pt>
                <c:pt idx="8">
                  <c:v>1.8359374999999956</c:v>
                </c:pt>
              </c:numCache>
            </c:numRef>
          </c:val>
          <c:extLst>
            <c:ext xmlns:c16="http://schemas.microsoft.com/office/drawing/2014/chart" uri="{C3380CC4-5D6E-409C-BE32-E72D297353CC}">
              <c16:uniqueId val="{00000004-F769-47FC-A9E1-66038E09E4E5}"/>
            </c:ext>
          </c:extLst>
        </c:ser>
        <c:dLbls>
          <c:showLegendKey val="0"/>
          <c:showVal val="0"/>
          <c:showCatName val="0"/>
          <c:showSerName val="0"/>
          <c:showPercent val="0"/>
          <c:showBubbleSize val="0"/>
        </c:dLbls>
        <c:gapWidth val="219"/>
        <c:overlap val="-27"/>
        <c:axId val="1536890911"/>
        <c:axId val="1536882591"/>
      </c:barChart>
      <c:catAx>
        <c:axId val="153689091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b="0" baseline="0"/>
                  <a:t>Source: Economic Intelligence Unit</a:t>
                </a:r>
                <a:endParaRPr lang="en-AU" b="0"/>
              </a:p>
            </c:rich>
          </c:tx>
          <c:layout>
            <c:manualLayout>
              <c:xMode val="edge"/>
              <c:yMode val="edge"/>
              <c:x val="8.3582240486138881E-2"/>
              <c:y val="0.9325225150238883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in"/>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6882591"/>
        <c:crosses val="autoZero"/>
        <c:auto val="1"/>
        <c:lblAlgn val="ctr"/>
        <c:lblOffset val="100"/>
        <c:noMultiLvlLbl val="0"/>
      </c:catAx>
      <c:valAx>
        <c:axId val="1536882591"/>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AU" b="1"/>
                  <a:t>Growth (%)</a:t>
                </a:r>
              </a:p>
            </c:rich>
          </c:tx>
          <c:layout>
            <c:manualLayout>
              <c:xMode val="edge"/>
              <c:yMode val="edge"/>
              <c:x val="2.2494869959436885E-2"/>
              <c:y val="0.3752966645592658"/>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in"/>
        <c:minorTickMark val="none"/>
        <c:tickLblPos val="nextTo"/>
        <c:spPr>
          <a:noFill/>
          <a:ln>
            <a:solidFill>
              <a:srgbClr val="D9D9D9"/>
            </a:solid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536890911"/>
        <c:crosses val="autoZero"/>
        <c:crossBetween val="between"/>
      </c:valAx>
      <c:spPr>
        <a:noFill/>
        <a:ln>
          <a:noFill/>
        </a:ln>
        <a:effectLst/>
      </c:spPr>
    </c:plotArea>
    <c:legend>
      <c:legendPos val="b"/>
      <c:layout>
        <c:manualLayout>
          <c:xMode val="edge"/>
          <c:yMode val="edge"/>
          <c:x val="0.14261873041832432"/>
          <c:y val="1.4855143107111614E-2"/>
          <c:w val="0.79598181575814408"/>
          <c:h val="7.8125546806649182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646981627296591"/>
          <c:y val="0.1364464289885042"/>
          <c:w val="0.84853018372703415"/>
          <c:h val="0.64601952232664361"/>
        </c:manualLayout>
      </c:layout>
      <c:lineChart>
        <c:grouping val="standard"/>
        <c:varyColors val="0"/>
        <c:ser>
          <c:idx val="0"/>
          <c:order val="0"/>
          <c:tx>
            <c:strRef>
              <c:f>'Figure 9'!$B$1</c:f>
              <c:strCache>
                <c:ptCount val="1"/>
                <c:pt idx="0">
                  <c:v>Total</c:v>
                </c:pt>
              </c:strCache>
            </c:strRef>
          </c:tx>
          <c:spPr>
            <a:ln w="28575" cap="rnd">
              <a:solidFill>
                <a:schemeClr val="accent1"/>
              </a:solidFill>
              <a:round/>
            </a:ln>
            <a:effectLst/>
          </c:spPr>
          <c:marker>
            <c:symbol val="none"/>
          </c:marker>
          <c:dPt>
            <c:idx val="13"/>
            <c:marker>
              <c:symbol val="none"/>
            </c:marker>
            <c:bubble3D val="0"/>
            <c:spPr>
              <a:ln w="28575" cap="rnd">
                <a:solidFill>
                  <a:schemeClr val="accent1">
                    <a:lumMod val="60000"/>
                    <a:lumOff val="40000"/>
                  </a:schemeClr>
                </a:solidFill>
                <a:prstDash val="dash"/>
                <a:round/>
              </a:ln>
              <a:effectLst/>
            </c:spPr>
            <c:extLst>
              <c:ext xmlns:c16="http://schemas.microsoft.com/office/drawing/2014/chart" uri="{C3380CC4-5D6E-409C-BE32-E72D297353CC}">
                <c16:uniqueId val="{00000001-D07E-4BEE-9E59-F3607D181400}"/>
              </c:ext>
            </c:extLst>
          </c:dPt>
          <c:dPt>
            <c:idx val="14"/>
            <c:marker>
              <c:symbol val="none"/>
            </c:marker>
            <c:bubble3D val="0"/>
            <c:spPr>
              <a:ln w="28575" cap="rnd">
                <a:solidFill>
                  <a:schemeClr val="accent1">
                    <a:lumMod val="60000"/>
                    <a:lumOff val="40000"/>
                  </a:schemeClr>
                </a:solidFill>
                <a:prstDash val="dash"/>
                <a:round/>
              </a:ln>
              <a:effectLst/>
            </c:spPr>
            <c:extLst>
              <c:ext xmlns:c16="http://schemas.microsoft.com/office/drawing/2014/chart" uri="{C3380CC4-5D6E-409C-BE32-E72D297353CC}">
                <c16:uniqueId val="{00000003-D07E-4BEE-9E59-F3607D181400}"/>
              </c:ext>
            </c:extLst>
          </c:dPt>
          <c:dPt>
            <c:idx val="15"/>
            <c:marker>
              <c:symbol val="none"/>
            </c:marker>
            <c:bubble3D val="0"/>
            <c:spPr>
              <a:ln w="28575" cap="rnd">
                <a:solidFill>
                  <a:schemeClr val="accent1">
                    <a:lumMod val="60000"/>
                    <a:lumOff val="40000"/>
                  </a:schemeClr>
                </a:solidFill>
                <a:prstDash val="dash"/>
                <a:round/>
              </a:ln>
              <a:effectLst/>
            </c:spPr>
            <c:extLst>
              <c:ext xmlns:c16="http://schemas.microsoft.com/office/drawing/2014/chart" uri="{C3380CC4-5D6E-409C-BE32-E72D297353CC}">
                <c16:uniqueId val="{00000005-D07E-4BEE-9E59-F3607D181400}"/>
              </c:ext>
            </c:extLst>
          </c:dPt>
          <c:dPt>
            <c:idx val="16"/>
            <c:marker>
              <c:symbol val="none"/>
            </c:marker>
            <c:bubble3D val="0"/>
            <c:spPr>
              <a:ln w="28575" cap="rnd">
                <a:solidFill>
                  <a:schemeClr val="accent1">
                    <a:lumMod val="60000"/>
                    <a:lumOff val="40000"/>
                  </a:schemeClr>
                </a:solidFill>
                <a:prstDash val="dash"/>
                <a:round/>
              </a:ln>
              <a:effectLst/>
            </c:spPr>
            <c:extLst>
              <c:ext xmlns:c16="http://schemas.microsoft.com/office/drawing/2014/chart" uri="{C3380CC4-5D6E-409C-BE32-E72D297353CC}">
                <c16:uniqueId val="{00000007-D07E-4BEE-9E59-F3607D181400}"/>
              </c:ext>
            </c:extLst>
          </c:dPt>
          <c:dPt>
            <c:idx val="17"/>
            <c:marker>
              <c:symbol val="none"/>
            </c:marker>
            <c:bubble3D val="0"/>
            <c:spPr>
              <a:ln w="28575" cap="rnd">
                <a:solidFill>
                  <a:schemeClr val="accent1">
                    <a:lumMod val="60000"/>
                    <a:lumOff val="40000"/>
                  </a:schemeClr>
                </a:solidFill>
                <a:prstDash val="dash"/>
                <a:round/>
              </a:ln>
              <a:effectLst/>
            </c:spPr>
            <c:extLst>
              <c:ext xmlns:c16="http://schemas.microsoft.com/office/drawing/2014/chart" uri="{C3380CC4-5D6E-409C-BE32-E72D297353CC}">
                <c16:uniqueId val="{00000009-D07E-4BEE-9E59-F3607D181400}"/>
              </c:ext>
            </c:extLst>
          </c:dPt>
          <c:cat>
            <c:strRef>
              <c:f>'Figure 9'!$A$2:$A$19</c:f>
              <c:strCache>
                <c:ptCount val="18"/>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pt idx="16">
                  <c:v>2024-25</c:v>
                </c:pt>
                <c:pt idx="17">
                  <c:v>2025-26</c:v>
                </c:pt>
              </c:strCache>
            </c:strRef>
          </c:cat>
          <c:val>
            <c:numRef>
              <c:f>'Figure 9'!$B$2:$B$19</c:f>
              <c:numCache>
                <c:formatCode>0.0</c:formatCode>
                <c:ptCount val="18"/>
                <c:pt idx="0">
                  <c:v>78.67</c:v>
                </c:pt>
                <c:pt idx="1">
                  <c:v>78.033000000000001</c:v>
                </c:pt>
                <c:pt idx="2">
                  <c:v>82.933000000000007</c:v>
                </c:pt>
                <c:pt idx="3">
                  <c:v>82.849000000000004</c:v>
                </c:pt>
                <c:pt idx="4">
                  <c:v>84.498000000000005</c:v>
                </c:pt>
                <c:pt idx="5">
                  <c:v>85.772999999999996</c:v>
                </c:pt>
                <c:pt idx="6">
                  <c:v>88.1</c:v>
                </c:pt>
                <c:pt idx="7">
                  <c:v>91.486000000000004</c:v>
                </c:pt>
                <c:pt idx="8">
                  <c:v>96.867000000000004</c:v>
                </c:pt>
                <c:pt idx="9">
                  <c:v>104.848</c:v>
                </c:pt>
                <c:pt idx="10">
                  <c:v>116.06</c:v>
                </c:pt>
                <c:pt idx="11">
                  <c:v>98.838999999999999</c:v>
                </c:pt>
                <c:pt idx="12">
                  <c:v>103.511</c:v>
                </c:pt>
                <c:pt idx="13">
                  <c:v>87.54819842305514</c:v>
                </c:pt>
                <c:pt idx="14">
                  <c:v>113.96917536258003</c:v>
                </c:pt>
                <c:pt idx="15">
                  <c:v>120.0592468665037</c:v>
                </c:pt>
                <c:pt idx="16">
                  <c:v>125.08118200476331</c:v>
                </c:pt>
                <c:pt idx="17">
                  <c:v>126.86345934838629</c:v>
                </c:pt>
              </c:numCache>
            </c:numRef>
          </c:val>
          <c:smooth val="0"/>
          <c:extLst>
            <c:ext xmlns:c16="http://schemas.microsoft.com/office/drawing/2014/chart" uri="{C3380CC4-5D6E-409C-BE32-E72D297353CC}">
              <c16:uniqueId val="{0000000A-D07E-4BEE-9E59-F3607D181400}"/>
            </c:ext>
          </c:extLst>
        </c:ser>
        <c:ser>
          <c:idx val="1"/>
          <c:order val="1"/>
          <c:tx>
            <c:strRef>
              <c:f>'Figure 9'!$C$1</c:f>
              <c:strCache>
                <c:ptCount val="1"/>
                <c:pt idx="0">
                  <c:v>Holiday</c:v>
                </c:pt>
              </c:strCache>
            </c:strRef>
          </c:tx>
          <c:spPr>
            <a:ln w="28575" cap="rnd">
              <a:solidFill>
                <a:schemeClr val="accent2"/>
              </a:solidFill>
              <a:round/>
            </a:ln>
            <a:effectLst/>
          </c:spPr>
          <c:marker>
            <c:symbol val="none"/>
          </c:marker>
          <c:dPt>
            <c:idx val="13"/>
            <c:marker>
              <c:symbol val="none"/>
            </c:marker>
            <c:bubble3D val="0"/>
            <c:spPr>
              <a:ln w="28575" cap="rnd">
                <a:solidFill>
                  <a:schemeClr val="accent2">
                    <a:lumMod val="60000"/>
                    <a:lumOff val="40000"/>
                  </a:schemeClr>
                </a:solidFill>
                <a:prstDash val="dash"/>
                <a:round/>
              </a:ln>
              <a:effectLst/>
            </c:spPr>
            <c:extLst>
              <c:ext xmlns:c16="http://schemas.microsoft.com/office/drawing/2014/chart" uri="{C3380CC4-5D6E-409C-BE32-E72D297353CC}">
                <c16:uniqueId val="{0000000C-D07E-4BEE-9E59-F3607D181400}"/>
              </c:ext>
            </c:extLst>
          </c:dPt>
          <c:dPt>
            <c:idx val="14"/>
            <c:marker>
              <c:symbol val="none"/>
            </c:marker>
            <c:bubble3D val="0"/>
            <c:spPr>
              <a:ln w="28575" cap="rnd">
                <a:solidFill>
                  <a:schemeClr val="accent2">
                    <a:lumMod val="60000"/>
                    <a:lumOff val="40000"/>
                  </a:schemeClr>
                </a:solidFill>
                <a:prstDash val="dash"/>
                <a:round/>
              </a:ln>
              <a:effectLst/>
            </c:spPr>
            <c:extLst>
              <c:ext xmlns:c16="http://schemas.microsoft.com/office/drawing/2014/chart" uri="{C3380CC4-5D6E-409C-BE32-E72D297353CC}">
                <c16:uniqueId val="{0000000E-D07E-4BEE-9E59-F3607D181400}"/>
              </c:ext>
            </c:extLst>
          </c:dPt>
          <c:dPt>
            <c:idx val="15"/>
            <c:marker>
              <c:symbol val="none"/>
            </c:marker>
            <c:bubble3D val="0"/>
            <c:spPr>
              <a:ln w="28575" cap="rnd">
                <a:solidFill>
                  <a:schemeClr val="accent2">
                    <a:lumMod val="60000"/>
                    <a:lumOff val="40000"/>
                  </a:schemeClr>
                </a:solidFill>
                <a:prstDash val="dash"/>
                <a:round/>
              </a:ln>
              <a:effectLst/>
            </c:spPr>
            <c:extLst>
              <c:ext xmlns:c16="http://schemas.microsoft.com/office/drawing/2014/chart" uri="{C3380CC4-5D6E-409C-BE32-E72D297353CC}">
                <c16:uniqueId val="{00000010-D07E-4BEE-9E59-F3607D181400}"/>
              </c:ext>
            </c:extLst>
          </c:dPt>
          <c:dPt>
            <c:idx val="16"/>
            <c:marker>
              <c:symbol val="none"/>
            </c:marker>
            <c:bubble3D val="0"/>
            <c:spPr>
              <a:ln w="28575" cap="rnd">
                <a:solidFill>
                  <a:schemeClr val="accent2">
                    <a:lumMod val="60000"/>
                    <a:lumOff val="40000"/>
                  </a:schemeClr>
                </a:solidFill>
                <a:prstDash val="dash"/>
                <a:round/>
              </a:ln>
              <a:effectLst/>
            </c:spPr>
            <c:extLst>
              <c:ext xmlns:c16="http://schemas.microsoft.com/office/drawing/2014/chart" uri="{C3380CC4-5D6E-409C-BE32-E72D297353CC}">
                <c16:uniqueId val="{00000012-D07E-4BEE-9E59-F3607D181400}"/>
              </c:ext>
            </c:extLst>
          </c:dPt>
          <c:dPt>
            <c:idx val="17"/>
            <c:marker>
              <c:symbol val="none"/>
            </c:marker>
            <c:bubble3D val="0"/>
            <c:spPr>
              <a:ln w="28575" cap="rnd">
                <a:solidFill>
                  <a:schemeClr val="accent2">
                    <a:lumMod val="60000"/>
                    <a:lumOff val="40000"/>
                  </a:schemeClr>
                </a:solidFill>
                <a:prstDash val="dash"/>
                <a:round/>
              </a:ln>
              <a:effectLst/>
            </c:spPr>
            <c:extLst>
              <c:ext xmlns:c16="http://schemas.microsoft.com/office/drawing/2014/chart" uri="{C3380CC4-5D6E-409C-BE32-E72D297353CC}">
                <c16:uniqueId val="{00000014-D07E-4BEE-9E59-F3607D181400}"/>
              </c:ext>
            </c:extLst>
          </c:dPt>
          <c:cat>
            <c:strRef>
              <c:f>'Figure 9'!$A$2:$A$19</c:f>
              <c:strCache>
                <c:ptCount val="18"/>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pt idx="16">
                  <c:v>2024-25</c:v>
                </c:pt>
                <c:pt idx="17">
                  <c:v>2025-26</c:v>
                </c:pt>
              </c:strCache>
            </c:strRef>
          </c:cat>
          <c:val>
            <c:numRef>
              <c:f>'Figure 9'!$C$2:$C$19</c:f>
              <c:numCache>
                <c:formatCode>0.0</c:formatCode>
                <c:ptCount val="18"/>
                <c:pt idx="0">
                  <c:v>40.048000000000002</c:v>
                </c:pt>
                <c:pt idx="1">
                  <c:v>39.084000000000003</c:v>
                </c:pt>
                <c:pt idx="2">
                  <c:v>40.152000000000001</c:v>
                </c:pt>
                <c:pt idx="3">
                  <c:v>38.470999999999997</c:v>
                </c:pt>
                <c:pt idx="4">
                  <c:v>40.972000000000001</c:v>
                </c:pt>
                <c:pt idx="5">
                  <c:v>39.405999999999999</c:v>
                </c:pt>
                <c:pt idx="6">
                  <c:v>39.969000000000001</c:v>
                </c:pt>
                <c:pt idx="7">
                  <c:v>41.731000000000002</c:v>
                </c:pt>
                <c:pt idx="8">
                  <c:v>41.012999999999998</c:v>
                </c:pt>
                <c:pt idx="9">
                  <c:v>45.481999999999999</c:v>
                </c:pt>
                <c:pt idx="10">
                  <c:v>49.712000000000003</c:v>
                </c:pt>
                <c:pt idx="11">
                  <c:v>37.408000000000001</c:v>
                </c:pt>
                <c:pt idx="12">
                  <c:v>47.11</c:v>
                </c:pt>
                <c:pt idx="13">
                  <c:v>33.048218021714646</c:v>
                </c:pt>
                <c:pt idx="14">
                  <c:v>48.881791927724038</c:v>
                </c:pt>
                <c:pt idx="15">
                  <c:v>51.094559194629433</c:v>
                </c:pt>
                <c:pt idx="16">
                  <c:v>54.307598655021145</c:v>
                </c:pt>
                <c:pt idx="17">
                  <c:v>55.059599532828095</c:v>
                </c:pt>
              </c:numCache>
            </c:numRef>
          </c:val>
          <c:smooth val="0"/>
          <c:extLst>
            <c:ext xmlns:c16="http://schemas.microsoft.com/office/drawing/2014/chart" uri="{C3380CC4-5D6E-409C-BE32-E72D297353CC}">
              <c16:uniqueId val="{00000015-D07E-4BEE-9E59-F3607D181400}"/>
            </c:ext>
          </c:extLst>
        </c:ser>
        <c:ser>
          <c:idx val="2"/>
          <c:order val="2"/>
          <c:tx>
            <c:strRef>
              <c:f>'Figure 9'!$D$1</c:f>
              <c:strCache>
                <c:ptCount val="1"/>
                <c:pt idx="0">
                  <c:v>VFR</c:v>
                </c:pt>
              </c:strCache>
            </c:strRef>
          </c:tx>
          <c:spPr>
            <a:ln w="28575" cap="rnd">
              <a:solidFill>
                <a:schemeClr val="accent3"/>
              </a:solidFill>
              <a:round/>
            </a:ln>
            <a:effectLst/>
          </c:spPr>
          <c:marker>
            <c:symbol val="none"/>
          </c:marker>
          <c:dPt>
            <c:idx val="13"/>
            <c:marker>
              <c:symbol val="none"/>
            </c:marker>
            <c:bubble3D val="0"/>
            <c:spPr>
              <a:ln w="28575" cap="rnd">
                <a:solidFill>
                  <a:schemeClr val="accent3">
                    <a:lumMod val="60000"/>
                    <a:lumOff val="40000"/>
                  </a:schemeClr>
                </a:solidFill>
                <a:prstDash val="dash"/>
                <a:round/>
              </a:ln>
              <a:effectLst/>
            </c:spPr>
            <c:extLst>
              <c:ext xmlns:c16="http://schemas.microsoft.com/office/drawing/2014/chart" uri="{C3380CC4-5D6E-409C-BE32-E72D297353CC}">
                <c16:uniqueId val="{00000017-D07E-4BEE-9E59-F3607D181400}"/>
              </c:ext>
            </c:extLst>
          </c:dPt>
          <c:dPt>
            <c:idx val="14"/>
            <c:marker>
              <c:symbol val="none"/>
            </c:marker>
            <c:bubble3D val="0"/>
            <c:spPr>
              <a:ln w="28575" cap="rnd">
                <a:solidFill>
                  <a:schemeClr val="accent3">
                    <a:lumMod val="60000"/>
                    <a:lumOff val="40000"/>
                  </a:schemeClr>
                </a:solidFill>
                <a:prstDash val="dash"/>
                <a:round/>
              </a:ln>
              <a:effectLst/>
            </c:spPr>
            <c:extLst>
              <c:ext xmlns:c16="http://schemas.microsoft.com/office/drawing/2014/chart" uri="{C3380CC4-5D6E-409C-BE32-E72D297353CC}">
                <c16:uniqueId val="{00000019-D07E-4BEE-9E59-F3607D181400}"/>
              </c:ext>
            </c:extLst>
          </c:dPt>
          <c:dPt>
            <c:idx val="15"/>
            <c:marker>
              <c:symbol val="none"/>
            </c:marker>
            <c:bubble3D val="0"/>
            <c:spPr>
              <a:ln w="28575" cap="rnd">
                <a:solidFill>
                  <a:schemeClr val="accent3">
                    <a:lumMod val="60000"/>
                    <a:lumOff val="40000"/>
                  </a:schemeClr>
                </a:solidFill>
                <a:prstDash val="dash"/>
                <a:round/>
              </a:ln>
              <a:effectLst/>
            </c:spPr>
            <c:extLst>
              <c:ext xmlns:c16="http://schemas.microsoft.com/office/drawing/2014/chart" uri="{C3380CC4-5D6E-409C-BE32-E72D297353CC}">
                <c16:uniqueId val="{0000001B-D07E-4BEE-9E59-F3607D181400}"/>
              </c:ext>
            </c:extLst>
          </c:dPt>
          <c:dPt>
            <c:idx val="16"/>
            <c:marker>
              <c:symbol val="none"/>
            </c:marker>
            <c:bubble3D val="0"/>
            <c:spPr>
              <a:ln w="28575" cap="rnd">
                <a:solidFill>
                  <a:schemeClr val="accent3">
                    <a:lumMod val="60000"/>
                    <a:lumOff val="40000"/>
                  </a:schemeClr>
                </a:solidFill>
                <a:prstDash val="dash"/>
                <a:round/>
              </a:ln>
              <a:effectLst/>
            </c:spPr>
            <c:extLst>
              <c:ext xmlns:c16="http://schemas.microsoft.com/office/drawing/2014/chart" uri="{C3380CC4-5D6E-409C-BE32-E72D297353CC}">
                <c16:uniqueId val="{0000001D-D07E-4BEE-9E59-F3607D181400}"/>
              </c:ext>
            </c:extLst>
          </c:dPt>
          <c:dPt>
            <c:idx val="17"/>
            <c:marker>
              <c:symbol val="none"/>
            </c:marker>
            <c:bubble3D val="0"/>
            <c:spPr>
              <a:ln w="28575" cap="rnd">
                <a:solidFill>
                  <a:schemeClr val="accent3">
                    <a:lumMod val="60000"/>
                    <a:lumOff val="40000"/>
                  </a:schemeClr>
                </a:solidFill>
                <a:prstDash val="dash"/>
                <a:round/>
              </a:ln>
              <a:effectLst/>
            </c:spPr>
            <c:extLst>
              <c:ext xmlns:c16="http://schemas.microsoft.com/office/drawing/2014/chart" uri="{C3380CC4-5D6E-409C-BE32-E72D297353CC}">
                <c16:uniqueId val="{0000001F-D07E-4BEE-9E59-F3607D181400}"/>
              </c:ext>
            </c:extLst>
          </c:dPt>
          <c:cat>
            <c:strRef>
              <c:f>'Figure 9'!$A$2:$A$19</c:f>
              <c:strCache>
                <c:ptCount val="18"/>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pt idx="16">
                  <c:v>2024-25</c:v>
                </c:pt>
                <c:pt idx="17">
                  <c:v>2025-26</c:v>
                </c:pt>
              </c:strCache>
            </c:strRef>
          </c:cat>
          <c:val>
            <c:numRef>
              <c:f>'Figure 9'!$D$2:$D$19</c:f>
              <c:numCache>
                <c:formatCode>0.0</c:formatCode>
                <c:ptCount val="18"/>
                <c:pt idx="0">
                  <c:v>25.541</c:v>
                </c:pt>
                <c:pt idx="1">
                  <c:v>25.742000000000001</c:v>
                </c:pt>
                <c:pt idx="2">
                  <c:v>27.786000000000001</c:v>
                </c:pt>
                <c:pt idx="3">
                  <c:v>29.838999999999999</c:v>
                </c:pt>
                <c:pt idx="4">
                  <c:v>27.716999999999999</c:v>
                </c:pt>
                <c:pt idx="5">
                  <c:v>29.516999999999999</c:v>
                </c:pt>
                <c:pt idx="6">
                  <c:v>29.533999999999999</c:v>
                </c:pt>
                <c:pt idx="7">
                  <c:v>30.545999999999999</c:v>
                </c:pt>
                <c:pt idx="8">
                  <c:v>33.198999999999998</c:v>
                </c:pt>
                <c:pt idx="9">
                  <c:v>34.866999999999997</c:v>
                </c:pt>
                <c:pt idx="10">
                  <c:v>40.311999999999998</c:v>
                </c:pt>
                <c:pt idx="11">
                  <c:v>32.970999999999997</c:v>
                </c:pt>
                <c:pt idx="12">
                  <c:v>33.091000000000001</c:v>
                </c:pt>
                <c:pt idx="13">
                  <c:v>31.428094815326975</c:v>
                </c:pt>
                <c:pt idx="14">
                  <c:v>39.36487453015009</c:v>
                </c:pt>
                <c:pt idx="15">
                  <c:v>41.710673124224584</c:v>
                </c:pt>
                <c:pt idx="16">
                  <c:v>43.072825564858192</c:v>
                </c:pt>
                <c:pt idx="17">
                  <c:v>43.714400008332952</c:v>
                </c:pt>
              </c:numCache>
            </c:numRef>
          </c:val>
          <c:smooth val="0"/>
          <c:extLst>
            <c:ext xmlns:c16="http://schemas.microsoft.com/office/drawing/2014/chart" uri="{C3380CC4-5D6E-409C-BE32-E72D297353CC}">
              <c16:uniqueId val="{00000020-D07E-4BEE-9E59-F3607D181400}"/>
            </c:ext>
          </c:extLst>
        </c:ser>
        <c:ser>
          <c:idx val="3"/>
          <c:order val="3"/>
          <c:tx>
            <c:strRef>
              <c:f>'Figure 9'!$E$1</c:f>
              <c:strCache>
                <c:ptCount val="1"/>
                <c:pt idx="0">
                  <c:v>Business</c:v>
                </c:pt>
              </c:strCache>
            </c:strRef>
          </c:tx>
          <c:spPr>
            <a:ln w="28575" cap="rnd">
              <a:solidFill>
                <a:schemeClr val="accent4"/>
              </a:solidFill>
              <a:round/>
            </a:ln>
            <a:effectLst/>
          </c:spPr>
          <c:marker>
            <c:symbol val="none"/>
          </c:marker>
          <c:dPt>
            <c:idx val="13"/>
            <c:marker>
              <c:symbol val="none"/>
            </c:marker>
            <c:bubble3D val="0"/>
            <c:spPr>
              <a:ln w="28575" cap="rnd">
                <a:solidFill>
                  <a:schemeClr val="accent4">
                    <a:lumMod val="60000"/>
                    <a:lumOff val="40000"/>
                  </a:schemeClr>
                </a:solidFill>
                <a:prstDash val="dash"/>
                <a:round/>
              </a:ln>
              <a:effectLst/>
            </c:spPr>
            <c:extLst>
              <c:ext xmlns:c16="http://schemas.microsoft.com/office/drawing/2014/chart" uri="{C3380CC4-5D6E-409C-BE32-E72D297353CC}">
                <c16:uniqueId val="{00000022-D07E-4BEE-9E59-F3607D181400}"/>
              </c:ext>
            </c:extLst>
          </c:dPt>
          <c:dPt>
            <c:idx val="14"/>
            <c:marker>
              <c:symbol val="none"/>
            </c:marker>
            <c:bubble3D val="0"/>
            <c:spPr>
              <a:ln w="28575" cap="rnd">
                <a:solidFill>
                  <a:schemeClr val="accent4">
                    <a:lumMod val="60000"/>
                    <a:lumOff val="40000"/>
                  </a:schemeClr>
                </a:solidFill>
                <a:prstDash val="dash"/>
                <a:round/>
              </a:ln>
              <a:effectLst/>
            </c:spPr>
            <c:extLst>
              <c:ext xmlns:c16="http://schemas.microsoft.com/office/drawing/2014/chart" uri="{C3380CC4-5D6E-409C-BE32-E72D297353CC}">
                <c16:uniqueId val="{00000024-D07E-4BEE-9E59-F3607D181400}"/>
              </c:ext>
            </c:extLst>
          </c:dPt>
          <c:dPt>
            <c:idx val="15"/>
            <c:marker>
              <c:symbol val="none"/>
            </c:marker>
            <c:bubble3D val="0"/>
            <c:spPr>
              <a:ln w="28575" cap="rnd">
                <a:solidFill>
                  <a:schemeClr val="accent4">
                    <a:lumMod val="60000"/>
                    <a:lumOff val="40000"/>
                  </a:schemeClr>
                </a:solidFill>
                <a:prstDash val="dash"/>
                <a:round/>
              </a:ln>
              <a:effectLst/>
            </c:spPr>
            <c:extLst>
              <c:ext xmlns:c16="http://schemas.microsoft.com/office/drawing/2014/chart" uri="{C3380CC4-5D6E-409C-BE32-E72D297353CC}">
                <c16:uniqueId val="{00000026-D07E-4BEE-9E59-F3607D181400}"/>
              </c:ext>
            </c:extLst>
          </c:dPt>
          <c:dPt>
            <c:idx val="16"/>
            <c:marker>
              <c:symbol val="none"/>
            </c:marker>
            <c:bubble3D val="0"/>
            <c:spPr>
              <a:ln w="28575" cap="rnd">
                <a:solidFill>
                  <a:schemeClr val="accent4">
                    <a:lumMod val="60000"/>
                    <a:lumOff val="40000"/>
                  </a:schemeClr>
                </a:solidFill>
                <a:prstDash val="dash"/>
                <a:round/>
              </a:ln>
              <a:effectLst/>
            </c:spPr>
            <c:extLst>
              <c:ext xmlns:c16="http://schemas.microsoft.com/office/drawing/2014/chart" uri="{C3380CC4-5D6E-409C-BE32-E72D297353CC}">
                <c16:uniqueId val="{00000028-D07E-4BEE-9E59-F3607D181400}"/>
              </c:ext>
            </c:extLst>
          </c:dPt>
          <c:dPt>
            <c:idx val="17"/>
            <c:marker>
              <c:symbol val="none"/>
            </c:marker>
            <c:bubble3D val="0"/>
            <c:spPr>
              <a:ln w="28575" cap="rnd">
                <a:solidFill>
                  <a:schemeClr val="accent4">
                    <a:lumMod val="60000"/>
                    <a:lumOff val="40000"/>
                  </a:schemeClr>
                </a:solidFill>
                <a:prstDash val="dash"/>
                <a:round/>
              </a:ln>
              <a:effectLst/>
            </c:spPr>
            <c:extLst>
              <c:ext xmlns:c16="http://schemas.microsoft.com/office/drawing/2014/chart" uri="{C3380CC4-5D6E-409C-BE32-E72D297353CC}">
                <c16:uniqueId val="{0000002A-D07E-4BEE-9E59-F3607D181400}"/>
              </c:ext>
            </c:extLst>
          </c:dPt>
          <c:cat>
            <c:strRef>
              <c:f>'Figure 9'!$A$2:$A$19</c:f>
              <c:strCache>
                <c:ptCount val="18"/>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pt idx="16">
                  <c:v>2024-25</c:v>
                </c:pt>
                <c:pt idx="17">
                  <c:v>2025-26</c:v>
                </c:pt>
              </c:strCache>
            </c:strRef>
          </c:cat>
          <c:val>
            <c:numRef>
              <c:f>'Figure 9'!$E$2:$E$19</c:f>
              <c:numCache>
                <c:formatCode>0.0</c:formatCode>
                <c:ptCount val="18"/>
                <c:pt idx="0">
                  <c:v>9.8140000000000001</c:v>
                </c:pt>
                <c:pt idx="1">
                  <c:v>9.3520000000000003</c:v>
                </c:pt>
                <c:pt idx="2">
                  <c:v>11.039</c:v>
                </c:pt>
                <c:pt idx="3">
                  <c:v>10.704000000000001</c:v>
                </c:pt>
                <c:pt idx="4">
                  <c:v>11.236000000000001</c:v>
                </c:pt>
                <c:pt idx="5">
                  <c:v>11.317</c:v>
                </c:pt>
                <c:pt idx="6">
                  <c:v>13.481999999999999</c:v>
                </c:pt>
                <c:pt idx="7">
                  <c:v>13.367000000000001</c:v>
                </c:pt>
                <c:pt idx="8">
                  <c:v>15.962</c:v>
                </c:pt>
                <c:pt idx="9">
                  <c:v>18.489999999999998</c:v>
                </c:pt>
                <c:pt idx="10">
                  <c:v>19.690999999999999</c:v>
                </c:pt>
                <c:pt idx="11">
                  <c:v>20.806000000000001</c:v>
                </c:pt>
                <c:pt idx="12">
                  <c:v>15.747</c:v>
                </c:pt>
                <c:pt idx="13">
                  <c:v>16.173289471202612</c:v>
                </c:pt>
                <c:pt idx="14">
                  <c:v>18.511416048720005</c:v>
                </c:pt>
                <c:pt idx="15">
                  <c:v>19.96548641953115</c:v>
                </c:pt>
                <c:pt idx="16">
                  <c:v>20.264998117834534</c:v>
                </c:pt>
                <c:pt idx="17">
                  <c:v>20.506789446784985</c:v>
                </c:pt>
              </c:numCache>
            </c:numRef>
          </c:val>
          <c:smooth val="0"/>
          <c:extLst>
            <c:ext xmlns:c16="http://schemas.microsoft.com/office/drawing/2014/chart" uri="{C3380CC4-5D6E-409C-BE32-E72D297353CC}">
              <c16:uniqueId val="{0000002B-D07E-4BEE-9E59-F3607D181400}"/>
            </c:ext>
          </c:extLst>
        </c:ser>
        <c:ser>
          <c:idx val="4"/>
          <c:order val="4"/>
          <c:tx>
            <c:strRef>
              <c:f>'Figure 9'!$F$1</c:f>
              <c:strCache>
                <c:ptCount val="1"/>
                <c:pt idx="0">
                  <c:v>Other</c:v>
                </c:pt>
              </c:strCache>
            </c:strRef>
          </c:tx>
          <c:spPr>
            <a:ln w="28575" cap="rnd">
              <a:solidFill>
                <a:schemeClr val="accent5"/>
              </a:solidFill>
              <a:round/>
            </a:ln>
            <a:effectLst/>
          </c:spPr>
          <c:marker>
            <c:symbol val="none"/>
          </c:marker>
          <c:dPt>
            <c:idx val="13"/>
            <c:marker>
              <c:symbol val="none"/>
            </c:marker>
            <c:bubble3D val="0"/>
            <c:spPr>
              <a:ln w="28575" cap="rnd">
                <a:solidFill>
                  <a:schemeClr val="accent5">
                    <a:lumMod val="60000"/>
                    <a:lumOff val="40000"/>
                  </a:schemeClr>
                </a:solidFill>
                <a:prstDash val="dash"/>
                <a:round/>
              </a:ln>
              <a:effectLst/>
            </c:spPr>
            <c:extLst>
              <c:ext xmlns:c16="http://schemas.microsoft.com/office/drawing/2014/chart" uri="{C3380CC4-5D6E-409C-BE32-E72D297353CC}">
                <c16:uniqueId val="{0000002D-D07E-4BEE-9E59-F3607D181400}"/>
              </c:ext>
            </c:extLst>
          </c:dPt>
          <c:dPt>
            <c:idx val="14"/>
            <c:marker>
              <c:symbol val="none"/>
            </c:marker>
            <c:bubble3D val="0"/>
            <c:spPr>
              <a:ln w="28575" cap="rnd">
                <a:solidFill>
                  <a:schemeClr val="accent5">
                    <a:lumMod val="60000"/>
                    <a:lumOff val="40000"/>
                  </a:schemeClr>
                </a:solidFill>
                <a:prstDash val="dash"/>
                <a:round/>
              </a:ln>
              <a:effectLst/>
            </c:spPr>
            <c:extLst>
              <c:ext xmlns:c16="http://schemas.microsoft.com/office/drawing/2014/chart" uri="{C3380CC4-5D6E-409C-BE32-E72D297353CC}">
                <c16:uniqueId val="{0000002F-D07E-4BEE-9E59-F3607D181400}"/>
              </c:ext>
            </c:extLst>
          </c:dPt>
          <c:dPt>
            <c:idx val="15"/>
            <c:marker>
              <c:symbol val="none"/>
            </c:marker>
            <c:bubble3D val="0"/>
            <c:spPr>
              <a:ln w="28575" cap="rnd">
                <a:solidFill>
                  <a:schemeClr val="accent5">
                    <a:lumMod val="60000"/>
                    <a:lumOff val="40000"/>
                  </a:schemeClr>
                </a:solidFill>
                <a:prstDash val="dash"/>
                <a:round/>
              </a:ln>
              <a:effectLst/>
            </c:spPr>
            <c:extLst>
              <c:ext xmlns:c16="http://schemas.microsoft.com/office/drawing/2014/chart" uri="{C3380CC4-5D6E-409C-BE32-E72D297353CC}">
                <c16:uniqueId val="{00000031-D07E-4BEE-9E59-F3607D181400}"/>
              </c:ext>
            </c:extLst>
          </c:dPt>
          <c:dPt>
            <c:idx val="16"/>
            <c:marker>
              <c:symbol val="none"/>
            </c:marker>
            <c:bubble3D val="0"/>
            <c:spPr>
              <a:ln w="28575" cap="rnd">
                <a:solidFill>
                  <a:schemeClr val="accent5">
                    <a:lumMod val="60000"/>
                    <a:lumOff val="40000"/>
                  </a:schemeClr>
                </a:solidFill>
                <a:prstDash val="dash"/>
                <a:round/>
              </a:ln>
              <a:effectLst/>
            </c:spPr>
            <c:extLst>
              <c:ext xmlns:c16="http://schemas.microsoft.com/office/drawing/2014/chart" uri="{C3380CC4-5D6E-409C-BE32-E72D297353CC}">
                <c16:uniqueId val="{00000033-D07E-4BEE-9E59-F3607D181400}"/>
              </c:ext>
            </c:extLst>
          </c:dPt>
          <c:dPt>
            <c:idx val="17"/>
            <c:marker>
              <c:symbol val="none"/>
            </c:marker>
            <c:bubble3D val="0"/>
            <c:spPr>
              <a:ln w="28575" cap="rnd">
                <a:solidFill>
                  <a:schemeClr val="accent5">
                    <a:lumMod val="60000"/>
                    <a:lumOff val="40000"/>
                  </a:schemeClr>
                </a:solidFill>
                <a:prstDash val="dash"/>
                <a:round/>
              </a:ln>
              <a:effectLst/>
            </c:spPr>
            <c:extLst>
              <c:ext xmlns:c16="http://schemas.microsoft.com/office/drawing/2014/chart" uri="{C3380CC4-5D6E-409C-BE32-E72D297353CC}">
                <c16:uniqueId val="{00000035-D07E-4BEE-9E59-F3607D181400}"/>
              </c:ext>
            </c:extLst>
          </c:dPt>
          <c:cat>
            <c:strRef>
              <c:f>'Figure 9'!$A$2:$A$19</c:f>
              <c:strCache>
                <c:ptCount val="18"/>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pt idx="12">
                  <c:v>2020-21</c:v>
                </c:pt>
                <c:pt idx="13">
                  <c:v>2021-22</c:v>
                </c:pt>
                <c:pt idx="14">
                  <c:v>2022-23</c:v>
                </c:pt>
                <c:pt idx="15">
                  <c:v>2023-24</c:v>
                </c:pt>
                <c:pt idx="16">
                  <c:v>2024-25</c:v>
                </c:pt>
                <c:pt idx="17">
                  <c:v>2025-26</c:v>
                </c:pt>
              </c:strCache>
            </c:strRef>
          </c:cat>
          <c:val>
            <c:numRef>
              <c:f>'Figure 9'!$F$2:$F$19</c:f>
              <c:numCache>
                <c:formatCode>0.0</c:formatCode>
                <c:ptCount val="18"/>
                <c:pt idx="0">
                  <c:v>2.7879999999999998</c:v>
                </c:pt>
                <c:pt idx="1">
                  <c:v>3.2570000000000001</c:v>
                </c:pt>
                <c:pt idx="2">
                  <c:v>3.5569999999999999</c:v>
                </c:pt>
                <c:pt idx="3">
                  <c:v>3.3069999999999999</c:v>
                </c:pt>
                <c:pt idx="4">
                  <c:v>4.0540000000000003</c:v>
                </c:pt>
                <c:pt idx="5">
                  <c:v>4.8140000000000001</c:v>
                </c:pt>
                <c:pt idx="6">
                  <c:v>4.4260000000000002</c:v>
                </c:pt>
                <c:pt idx="7">
                  <c:v>5.1740000000000004</c:v>
                </c:pt>
                <c:pt idx="8">
                  <c:v>5.4859999999999998</c:v>
                </c:pt>
                <c:pt idx="9">
                  <c:v>5.1289999999999996</c:v>
                </c:pt>
                <c:pt idx="10">
                  <c:v>5.3259999999999996</c:v>
                </c:pt>
                <c:pt idx="11">
                  <c:v>6.7830000000000004</c:v>
                </c:pt>
                <c:pt idx="12">
                  <c:v>6.6150000000000002</c:v>
                </c:pt>
                <c:pt idx="13">
                  <c:v>6.0985961148109045</c:v>
                </c:pt>
                <c:pt idx="14">
                  <c:v>6.3110928559858959</c:v>
                </c:pt>
                <c:pt idx="15">
                  <c:v>6.2885281281185303</c:v>
                </c:pt>
                <c:pt idx="16">
                  <c:v>6.3857596670494328</c:v>
                </c:pt>
                <c:pt idx="17">
                  <c:v>6.4826703604402596</c:v>
                </c:pt>
              </c:numCache>
            </c:numRef>
          </c:val>
          <c:smooth val="0"/>
          <c:extLst>
            <c:ext xmlns:c16="http://schemas.microsoft.com/office/drawing/2014/chart" uri="{C3380CC4-5D6E-409C-BE32-E72D297353CC}">
              <c16:uniqueId val="{00000036-D07E-4BEE-9E59-F3607D181400}"/>
            </c:ext>
          </c:extLst>
        </c:ser>
        <c:dLbls>
          <c:showLegendKey val="0"/>
          <c:showVal val="0"/>
          <c:showCatName val="0"/>
          <c:showSerName val="0"/>
          <c:showPercent val="0"/>
          <c:showBubbleSize val="0"/>
        </c:dLbls>
        <c:smooth val="0"/>
        <c:axId val="1296576927"/>
        <c:axId val="1296588991"/>
      </c:lineChart>
      <c:catAx>
        <c:axId val="12965769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96588991"/>
        <c:crosses val="autoZero"/>
        <c:auto val="1"/>
        <c:lblAlgn val="ctr"/>
        <c:lblOffset val="100"/>
        <c:noMultiLvlLbl val="0"/>
      </c:catAx>
      <c:valAx>
        <c:axId val="129658899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96576927"/>
        <c:crosses val="autoZero"/>
        <c:crossBetween val="between"/>
        <c:majorUnit val="25"/>
      </c:valAx>
      <c:spPr>
        <a:noFill/>
        <a:ln>
          <a:noFill/>
        </a:ln>
        <a:effectLst/>
      </c:spPr>
    </c:plotArea>
    <c:legend>
      <c:legendPos val="b"/>
      <c:layout>
        <c:manualLayout>
          <c:xMode val="edge"/>
          <c:yMode val="edge"/>
          <c:x val="0.12551290463692039"/>
          <c:y val="3.0337309354729974E-2"/>
          <c:w val="0.8186187664041995"/>
          <c:h val="8.3427512737378418E-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0.10667</cdr:x>
      <cdr:y>0.91048</cdr:y>
    </cdr:from>
    <cdr:to>
      <cdr:x>0.62577</cdr:x>
      <cdr:y>0.97813</cdr:y>
    </cdr:to>
    <cdr:sp macro="" textlink="">
      <cdr:nvSpPr>
        <cdr:cNvPr id="3" name="TextBox 2">
          <a:extLst xmlns:a="http://schemas.openxmlformats.org/drawingml/2006/main">
            <a:ext uri="{FF2B5EF4-FFF2-40B4-BE49-F238E27FC236}">
              <a16:creationId xmlns:a16="http://schemas.microsoft.com/office/drawing/2014/main" id="{05345FA2-9A8E-46D4-8480-F10FADC0360A}"/>
            </a:ext>
          </a:extLst>
        </cdr:cNvPr>
        <cdr:cNvSpPr txBox="1"/>
      </cdr:nvSpPr>
      <cdr:spPr>
        <a:xfrm xmlns:a="http://schemas.openxmlformats.org/drawingml/2006/main">
          <a:off x="523431" y="2744798"/>
          <a:ext cx="2547205" cy="20394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l"/>
          <a:r>
            <a:rPr lang="en-AU" sz="800">
              <a:solidFill>
                <a:srgbClr val="595959"/>
              </a:solidFill>
            </a:rPr>
            <a:t>Source: Tourism Research Australia</a:t>
          </a:r>
        </a:p>
      </cdr:txBody>
    </cdr:sp>
  </cdr:relSizeAnchor>
</c:userShapes>
</file>

<file path=word/drawings/drawing10.xml><?xml version="1.0" encoding="utf-8"?>
<c:userShapes xmlns:c="http://schemas.openxmlformats.org/drawingml/2006/chart">
  <cdr:relSizeAnchor xmlns:cdr="http://schemas.openxmlformats.org/drawingml/2006/chartDrawing">
    <cdr:from>
      <cdr:x>0.00625</cdr:x>
      <cdr:y>0.13437</cdr:y>
    </cdr:from>
    <cdr:to>
      <cdr:x>0.06042</cdr:x>
      <cdr:y>0.79527</cdr:y>
    </cdr:to>
    <cdr:sp macro="" textlink="">
      <cdr:nvSpPr>
        <cdr:cNvPr id="2" name="TextBox 1">
          <a:extLst xmlns:a="http://schemas.openxmlformats.org/drawingml/2006/main">
            <a:ext uri="{FF2B5EF4-FFF2-40B4-BE49-F238E27FC236}">
              <a16:creationId xmlns:a16="http://schemas.microsoft.com/office/drawing/2014/main" id="{BCF95B67-F506-452C-894A-42340A841938}"/>
            </a:ext>
          </a:extLst>
        </cdr:cNvPr>
        <cdr:cNvSpPr txBox="1"/>
      </cdr:nvSpPr>
      <cdr:spPr>
        <a:xfrm xmlns:a="http://schemas.openxmlformats.org/drawingml/2006/main">
          <a:off x="28576" y="369889"/>
          <a:ext cx="247650" cy="1819274"/>
        </a:xfrm>
        <a:prstGeom xmlns:a="http://schemas.openxmlformats.org/drawingml/2006/main" prst="rect">
          <a:avLst/>
        </a:prstGeom>
      </cdr:spPr>
      <cdr:txBody>
        <a:bodyPr xmlns:a="http://schemas.openxmlformats.org/drawingml/2006/main" vertOverflow="clip" vert="vert270" wrap="square" rtlCol="0" anchor="ctr"/>
        <a:lstStyle xmlns:a="http://schemas.openxmlformats.org/drawingml/2006/main"/>
        <a:p xmlns:a="http://schemas.openxmlformats.org/drawingml/2006/main">
          <a:pPr algn="ctr"/>
          <a:r>
            <a:rPr lang="en-AU" sz="1100"/>
            <a:t>Visitor</a:t>
          </a:r>
          <a:r>
            <a:rPr lang="en-AU" sz="1100" baseline="0"/>
            <a:t> nights (millions)</a:t>
          </a:r>
          <a:endParaRPr lang="en-AU" sz="1100"/>
        </a:p>
      </cdr:txBody>
    </cdr:sp>
  </cdr:relSizeAnchor>
  <cdr:relSizeAnchor xmlns:cdr="http://schemas.openxmlformats.org/drawingml/2006/chartDrawing">
    <cdr:from>
      <cdr:x>0.11944</cdr:x>
      <cdr:y>0.92154</cdr:y>
    </cdr:from>
    <cdr:to>
      <cdr:x>0.67737</cdr:x>
      <cdr:y>1</cdr:y>
    </cdr:to>
    <cdr:sp macro="" textlink="">
      <cdr:nvSpPr>
        <cdr:cNvPr id="4" name="TextBox 1">
          <a:extLst xmlns:a="http://schemas.openxmlformats.org/drawingml/2006/main">
            <a:ext uri="{FF2B5EF4-FFF2-40B4-BE49-F238E27FC236}">
              <a16:creationId xmlns:a16="http://schemas.microsoft.com/office/drawing/2014/main" id="{C214FBF8-B644-47A2-BEFB-9ED985A06B0A}"/>
            </a:ext>
          </a:extLst>
        </cdr:cNvPr>
        <cdr:cNvSpPr txBox="1"/>
      </cdr:nvSpPr>
      <cdr:spPr>
        <a:xfrm xmlns:a="http://schemas.openxmlformats.org/drawingml/2006/main">
          <a:off x="546100" y="2536759"/>
          <a:ext cx="2550819" cy="215966"/>
        </a:xfrm>
        <a:prstGeom xmlns:a="http://schemas.openxmlformats.org/drawingml/2006/main" prst="rect">
          <a:avLst/>
        </a:prstGeom>
      </cdr:spPr>
      <cdr:txBody>
        <a:bodyPr xmlns:a="http://schemas.openxmlformats.org/drawingml/2006/main" wrap="square" rtlCol="0" anchor="b"/>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en-AU" sz="800">
              <a:solidFill>
                <a:srgbClr val="595959"/>
              </a:solidFill>
            </a:rPr>
            <a:t>Source: Tourism Research Australia</a:t>
          </a:r>
        </a:p>
      </cdr:txBody>
    </cdr:sp>
  </cdr:relSizeAnchor>
</c:userShapes>
</file>

<file path=word/drawings/drawing11.xml><?xml version="1.0" encoding="utf-8"?>
<c:userShapes xmlns:c="http://schemas.openxmlformats.org/drawingml/2006/chart">
  <cdr:relSizeAnchor xmlns:cdr="http://schemas.openxmlformats.org/drawingml/2006/chartDrawing">
    <cdr:from>
      <cdr:x>0.00625</cdr:x>
      <cdr:y>0.13437</cdr:y>
    </cdr:from>
    <cdr:to>
      <cdr:x>0.06042</cdr:x>
      <cdr:y>0.79527</cdr:y>
    </cdr:to>
    <cdr:sp macro="" textlink="">
      <cdr:nvSpPr>
        <cdr:cNvPr id="2" name="TextBox 1">
          <a:extLst xmlns:a="http://schemas.openxmlformats.org/drawingml/2006/main">
            <a:ext uri="{FF2B5EF4-FFF2-40B4-BE49-F238E27FC236}">
              <a16:creationId xmlns:a16="http://schemas.microsoft.com/office/drawing/2014/main" id="{BCF95B67-F506-452C-894A-42340A841938}"/>
            </a:ext>
          </a:extLst>
        </cdr:cNvPr>
        <cdr:cNvSpPr txBox="1"/>
      </cdr:nvSpPr>
      <cdr:spPr>
        <a:xfrm xmlns:a="http://schemas.openxmlformats.org/drawingml/2006/main">
          <a:off x="28576" y="369889"/>
          <a:ext cx="247650" cy="1819274"/>
        </a:xfrm>
        <a:prstGeom xmlns:a="http://schemas.openxmlformats.org/drawingml/2006/main" prst="rect">
          <a:avLst/>
        </a:prstGeom>
      </cdr:spPr>
      <cdr:txBody>
        <a:bodyPr xmlns:a="http://schemas.openxmlformats.org/drawingml/2006/main" vertOverflow="clip" vert="vert270" wrap="square" rtlCol="0" anchor="ctr"/>
        <a:lstStyle xmlns:a="http://schemas.openxmlformats.org/drawingml/2006/main"/>
        <a:p xmlns:a="http://schemas.openxmlformats.org/drawingml/2006/main">
          <a:pPr algn="ctr"/>
          <a:r>
            <a:rPr lang="en-AU" sz="1100"/>
            <a:t>Visitor</a:t>
          </a:r>
          <a:r>
            <a:rPr lang="en-AU" sz="1100" baseline="0"/>
            <a:t> nights (millions)</a:t>
          </a:r>
          <a:endParaRPr lang="en-AU" sz="1100"/>
        </a:p>
      </cdr:txBody>
    </cdr:sp>
  </cdr:relSizeAnchor>
  <cdr:relSizeAnchor xmlns:cdr="http://schemas.openxmlformats.org/drawingml/2006/chartDrawing">
    <cdr:from>
      <cdr:x>0.11944</cdr:x>
      <cdr:y>0.92154</cdr:y>
    </cdr:from>
    <cdr:to>
      <cdr:x>0.67737</cdr:x>
      <cdr:y>1</cdr:y>
    </cdr:to>
    <cdr:sp macro="" textlink="">
      <cdr:nvSpPr>
        <cdr:cNvPr id="4" name="TextBox 1">
          <a:extLst xmlns:a="http://schemas.openxmlformats.org/drawingml/2006/main">
            <a:ext uri="{FF2B5EF4-FFF2-40B4-BE49-F238E27FC236}">
              <a16:creationId xmlns:a16="http://schemas.microsoft.com/office/drawing/2014/main" id="{C214FBF8-B644-47A2-BEFB-9ED985A06B0A}"/>
            </a:ext>
          </a:extLst>
        </cdr:cNvPr>
        <cdr:cNvSpPr txBox="1"/>
      </cdr:nvSpPr>
      <cdr:spPr>
        <a:xfrm xmlns:a="http://schemas.openxmlformats.org/drawingml/2006/main">
          <a:off x="546100" y="2536759"/>
          <a:ext cx="2550819" cy="215966"/>
        </a:xfrm>
        <a:prstGeom xmlns:a="http://schemas.openxmlformats.org/drawingml/2006/main" prst="rect">
          <a:avLst/>
        </a:prstGeom>
      </cdr:spPr>
      <cdr:txBody>
        <a:bodyPr xmlns:a="http://schemas.openxmlformats.org/drawingml/2006/main" wrap="square" rtlCol="0" anchor="b"/>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en-AU" sz="800">
              <a:solidFill>
                <a:srgbClr val="595959"/>
              </a:solidFill>
            </a:rPr>
            <a:t>Source: Tourism Research Australia</a:t>
          </a:r>
        </a:p>
      </cdr:txBody>
    </cdr:sp>
  </cdr:relSizeAnchor>
</c:userShapes>
</file>

<file path=word/drawings/drawing12.xml><?xml version="1.0" encoding="utf-8"?>
<c:userShapes xmlns:c="http://schemas.openxmlformats.org/drawingml/2006/chart">
  <cdr:relSizeAnchor xmlns:cdr="http://schemas.openxmlformats.org/drawingml/2006/chartDrawing">
    <cdr:from>
      <cdr:x>0.00625</cdr:x>
      <cdr:y>0.13437</cdr:y>
    </cdr:from>
    <cdr:to>
      <cdr:x>0.06042</cdr:x>
      <cdr:y>0.79527</cdr:y>
    </cdr:to>
    <cdr:sp macro="" textlink="">
      <cdr:nvSpPr>
        <cdr:cNvPr id="2" name="TextBox 1">
          <a:extLst xmlns:a="http://schemas.openxmlformats.org/drawingml/2006/main">
            <a:ext uri="{FF2B5EF4-FFF2-40B4-BE49-F238E27FC236}">
              <a16:creationId xmlns:a16="http://schemas.microsoft.com/office/drawing/2014/main" id="{BCF95B67-F506-452C-894A-42340A841938}"/>
            </a:ext>
          </a:extLst>
        </cdr:cNvPr>
        <cdr:cNvSpPr txBox="1"/>
      </cdr:nvSpPr>
      <cdr:spPr>
        <a:xfrm xmlns:a="http://schemas.openxmlformats.org/drawingml/2006/main">
          <a:off x="28576" y="369889"/>
          <a:ext cx="247650" cy="1819274"/>
        </a:xfrm>
        <a:prstGeom xmlns:a="http://schemas.openxmlformats.org/drawingml/2006/main" prst="rect">
          <a:avLst/>
        </a:prstGeom>
      </cdr:spPr>
      <cdr:txBody>
        <a:bodyPr xmlns:a="http://schemas.openxmlformats.org/drawingml/2006/main" vertOverflow="clip" vert="vert270" wrap="square" rtlCol="0" anchor="ctr"/>
        <a:lstStyle xmlns:a="http://schemas.openxmlformats.org/drawingml/2006/main"/>
        <a:p xmlns:a="http://schemas.openxmlformats.org/drawingml/2006/main">
          <a:pPr algn="ctr"/>
          <a:r>
            <a:rPr lang="en-AU" sz="1100"/>
            <a:t>Visitor</a:t>
          </a:r>
          <a:r>
            <a:rPr lang="en-AU" sz="1100" baseline="0"/>
            <a:t> nights (millions)</a:t>
          </a:r>
          <a:endParaRPr lang="en-AU" sz="1100"/>
        </a:p>
      </cdr:txBody>
    </cdr:sp>
  </cdr:relSizeAnchor>
  <cdr:relSizeAnchor xmlns:cdr="http://schemas.openxmlformats.org/drawingml/2006/chartDrawing">
    <cdr:from>
      <cdr:x>0.11944</cdr:x>
      <cdr:y>0.92154</cdr:y>
    </cdr:from>
    <cdr:to>
      <cdr:x>0.67737</cdr:x>
      <cdr:y>1</cdr:y>
    </cdr:to>
    <cdr:sp macro="" textlink="">
      <cdr:nvSpPr>
        <cdr:cNvPr id="4" name="TextBox 1">
          <a:extLst xmlns:a="http://schemas.openxmlformats.org/drawingml/2006/main">
            <a:ext uri="{FF2B5EF4-FFF2-40B4-BE49-F238E27FC236}">
              <a16:creationId xmlns:a16="http://schemas.microsoft.com/office/drawing/2014/main" id="{C214FBF8-B644-47A2-BEFB-9ED985A06B0A}"/>
            </a:ext>
          </a:extLst>
        </cdr:cNvPr>
        <cdr:cNvSpPr txBox="1"/>
      </cdr:nvSpPr>
      <cdr:spPr>
        <a:xfrm xmlns:a="http://schemas.openxmlformats.org/drawingml/2006/main">
          <a:off x="546100" y="2536759"/>
          <a:ext cx="2550819" cy="215966"/>
        </a:xfrm>
        <a:prstGeom xmlns:a="http://schemas.openxmlformats.org/drawingml/2006/main" prst="rect">
          <a:avLst/>
        </a:prstGeom>
      </cdr:spPr>
      <cdr:txBody>
        <a:bodyPr xmlns:a="http://schemas.openxmlformats.org/drawingml/2006/main" wrap="square" rtlCol="0" anchor="b"/>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en-AU" sz="800">
              <a:solidFill>
                <a:srgbClr val="595959"/>
              </a:solidFill>
            </a:rPr>
            <a:t>Source: Tourism Research Australia</a:t>
          </a:r>
        </a:p>
      </cdr:txBody>
    </cdr:sp>
  </cdr:relSizeAnchor>
</c:userShapes>
</file>

<file path=word/drawings/drawing13.xml><?xml version="1.0" encoding="utf-8"?>
<c:userShapes xmlns:c="http://schemas.openxmlformats.org/drawingml/2006/chart">
  <cdr:relSizeAnchor xmlns:cdr="http://schemas.openxmlformats.org/drawingml/2006/chartDrawing">
    <cdr:from>
      <cdr:x>0.00625</cdr:x>
      <cdr:y>0.13437</cdr:y>
    </cdr:from>
    <cdr:to>
      <cdr:x>0.06042</cdr:x>
      <cdr:y>0.79527</cdr:y>
    </cdr:to>
    <cdr:sp macro="" textlink="">
      <cdr:nvSpPr>
        <cdr:cNvPr id="2" name="TextBox 1">
          <a:extLst xmlns:a="http://schemas.openxmlformats.org/drawingml/2006/main">
            <a:ext uri="{FF2B5EF4-FFF2-40B4-BE49-F238E27FC236}">
              <a16:creationId xmlns:a16="http://schemas.microsoft.com/office/drawing/2014/main" id="{BCF95B67-F506-452C-894A-42340A841938}"/>
            </a:ext>
          </a:extLst>
        </cdr:cNvPr>
        <cdr:cNvSpPr txBox="1"/>
      </cdr:nvSpPr>
      <cdr:spPr>
        <a:xfrm xmlns:a="http://schemas.openxmlformats.org/drawingml/2006/main">
          <a:off x="28576" y="369889"/>
          <a:ext cx="247650" cy="1819274"/>
        </a:xfrm>
        <a:prstGeom xmlns:a="http://schemas.openxmlformats.org/drawingml/2006/main" prst="rect">
          <a:avLst/>
        </a:prstGeom>
      </cdr:spPr>
      <cdr:txBody>
        <a:bodyPr xmlns:a="http://schemas.openxmlformats.org/drawingml/2006/main" vertOverflow="clip" vert="vert270" wrap="square" rtlCol="0" anchor="ctr"/>
        <a:lstStyle xmlns:a="http://schemas.openxmlformats.org/drawingml/2006/main"/>
        <a:p xmlns:a="http://schemas.openxmlformats.org/drawingml/2006/main">
          <a:pPr algn="ctr"/>
          <a:r>
            <a:rPr lang="en-AU" sz="1100"/>
            <a:t>Visitor</a:t>
          </a:r>
          <a:r>
            <a:rPr lang="en-AU" sz="1100" baseline="0"/>
            <a:t> nights (millions)</a:t>
          </a:r>
          <a:endParaRPr lang="en-AU" sz="1100"/>
        </a:p>
      </cdr:txBody>
    </cdr:sp>
  </cdr:relSizeAnchor>
  <cdr:relSizeAnchor xmlns:cdr="http://schemas.openxmlformats.org/drawingml/2006/chartDrawing">
    <cdr:from>
      <cdr:x>0.11944</cdr:x>
      <cdr:y>0.92154</cdr:y>
    </cdr:from>
    <cdr:to>
      <cdr:x>0.67737</cdr:x>
      <cdr:y>1</cdr:y>
    </cdr:to>
    <cdr:sp macro="" textlink="">
      <cdr:nvSpPr>
        <cdr:cNvPr id="4" name="TextBox 1">
          <a:extLst xmlns:a="http://schemas.openxmlformats.org/drawingml/2006/main">
            <a:ext uri="{FF2B5EF4-FFF2-40B4-BE49-F238E27FC236}">
              <a16:creationId xmlns:a16="http://schemas.microsoft.com/office/drawing/2014/main" id="{C214FBF8-B644-47A2-BEFB-9ED985A06B0A}"/>
            </a:ext>
          </a:extLst>
        </cdr:cNvPr>
        <cdr:cNvSpPr txBox="1"/>
      </cdr:nvSpPr>
      <cdr:spPr>
        <a:xfrm xmlns:a="http://schemas.openxmlformats.org/drawingml/2006/main">
          <a:off x="546100" y="2536759"/>
          <a:ext cx="2550819" cy="215966"/>
        </a:xfrm>
        <a:prstGeom xmlns:a="http://schemas.openxmlformats.org/drawingml/2006/main" prst="rect">
          <a:avLst/>
        </a:prstGeom>
      </cdr:spPr>
      <cdr:txBody>
        <a:bodyPr xmlns:a="http://schemas.openxmlformats.org/drawingml/2006/main" wrap="square" rtlCol="0" anchor="b"/>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en-AU" sz="800">
              <a:solidFill>
                <a:srgbClr val="595959"/>
              </a:solidFill>
            </a:rPr>
            <a:t>Source: Tourism Research Australia</a:t>
          </a:r>
        </a:p>
      </cdr:txBody>
    </cdr:sp>
  </cdr:relSizeAnchor>
</c:userShapes>
</file>

<file path=word/drawings/drawing14.xml><?xml version="1.0" encoding="utf-8"?>
<c:userShapes xmlns:c="http://schemas.openxmlformats.org/drawingml/2006/chart">
  <cdr:relSizeAnchor xmlns:cdr="http://schemas.openxmlformats.org/drawingml/2006/chartDrawing">
    <cdr:from>
      <cdr:x>0.00625</cdr:x>
      <cdr:y>0.13437</cdr:y>
    </cdr:from>
    <cdr:to>
      <cdr:x>0.06042</cdr:x>
      <cdr:y>0.79527</cdr:y>
    </cdr:to>
    <cdr:sp macro="" textlink="">
      <cdr:nvSpPr>
        <cdr:cNvPr id="2" name="TextBox 1">
          <a:extLst xmlns:a="http://schemas.openxmlformats.org/drawingml/2006/main">
            <a:ext uri="{FF2B5EF4-FFF2-40B4-BE49-F238E27FC236}">
              <a16:creationId xmlns:a16="http://schemas.microsoft.com/office/drawing/2014/main" id="{BCF95B67-F506-452C-894A-42340A841938}"/>
            </a:ext>
          </a:extLst>
        </cdr:cNvPr>
        <cdr:cNvSpPr txBox="1"/>
      </cdr:nvSpPr>
      <cdr:spPr>
        <a:xfrm xmlns:a="http://schemas.openxmlformats.org/drawingml/2006/main">
          <a:off x="28576" y="369889"/>
          <a:ext cx="247650" cy="1819274"/>
        </a:xfrm>
        <a:prstGeom xmlns:a="http://schemas.openxmlformats.org/drawingml/2006/main" prst="rect">
          <a:avLst/>
        </a:prstGeom>
      </cdr:spPr>
      <cdr:txBody>
        <a:bodyPr xmlns:a="http://schemas.openxmlformats.org/drawingml/2006/main" vertOverflow="clip" vert="vert270" wrap="square" rtlCol="0" anchor="ctr"/>
        <a:lstStyle xmlns:a="http://schemas.openxmlformats.org/drawingml/2006/main"/>
        <a:p xmlns:a="http://schemas.openxmlformats.org/drawingml/2006/main">
          <a:pPr algn="ctr"/>
          <a:r>
            <a:rPr lang="en-AU" sz="1100"/>
            <a:t>Visitor</a:t>
          </a:r>
          <a:r>
            <a:rPr lang="en-AU" sz="1100" baseline="0"/>
            <a:t> nights (millions)</a:t>
          </a:r>
          <a:endParaRPr lang="en-AU" sz="1100"/>
        </a:p>
      </cdr:txBody>
    </cdr:sp>
  </cdr:relSizeAnchor>
  <cdr:relSizeAnchor xmlns:cdr="http://schemas.openxmlformats.org/drawingml/2006/chartDrawing">
    <cdr:from>
      <cdr:x>0.11944</cdr:x>
      <cdr:y>0.92154</cdr:y>
    </cdr:from>
    <cdr:to>
      <cdr:x>0.67737</cdr:x>
      <cdr:y>1</cdr:y>
    </cdr:to>
    <cdr:sp macro="" textlink="">
      <cdr:nvSpPr>
        <cdr:cNvPr id="4" name="TextBox 1">
          <a:extLst xmlns:a="http://schemas.openxmlformats.org/drawingml/2006/main">
            <a:ext uri="{FF2B5EF4-FFF2-40B4-BE49-F238E27FC236}">
              <a16:creationId xmlns:a16="http://schemas.microsoft.com/office/drawing/2014/main" id="{C214FBF8-B644-47A2-BEFB-9ED985A06B0A}"/>
            </a:ext>
          </a:extLst>
        </cdr:cNvPr>
        <cdr:cNvSpPr txBox="1"/>
      </cdr:nvSpPr>
      <cdr:spPr>
        <a:xfrm xmlns:a="http://schemas.openxmlformats.org/drawingml/2006/main">
          <a:off x="546100" y="2536759"/>
          <a:ext cx="2550819" cy="215966"/>
        </a:xfrm>
        <a:prstGeom xmlns:a="http://schemas.openxmlformats.org/drawingml/2006/main" prst="rect">
          <a:avLst/>
        </a:prstGeom>
      </cdr:spPr>
      <cdr:txBody>
        <a:bodyPr xmlns:a="http://schemas.openxmlformats.org/drawingml/2006/main" wrap="square" rtlCol="0" anchor="b"/>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en-AU" sz="800">
              <a:solidFill>
                <a:srgbClr val="595959"/>
              </a:solidFill>
            </a:rPr>
            <a:t>Source: Tourism Research Australia</a:t>
          </a:r>
        </a:p>
      </cdr:txBody>
    </cdr:sp>
  </cdr:relSizeAnchor>
</c:userShapes>
</file>

<file path=word/drawings/drawing15.xml><?xml version="1.0" encoding="utf-8"?>
<c:userShapes xmlns:c="http://schemas.openxmlformats.org/drawingml/2006/chart">
  <cdr:relSizeAnchor xmlns:cdr="http://schemas.openxmlformats.org/drawingml/2006/chartDrawing">
    <cdr:from>
      <cdr:x>0.00625</cdr:x>
      <cdr:y>0.13437</cdr:y>
    </cdr:from>
    <cdr:to>
      <cdr:x>0.06042</cdr:x>
      <cdr:y>0.79527</cdr:y>
    </cdr:to>
    <cdr:sp macro="" textlink="">
      <cdr:nvSpPr>
        <cdr:cNvPr id="2" name="TextBox 1">
          <a:extLst xmlns:a="http://schemas.openxmlformats.org/drawingml/2006/main">
            <a:ext uri="{FF2B5EF4-FFF2-40B4-BE49-F238E27FC236}">
              <a16:creationId xmlns:a16="http://schemas.microsoft.com/office/drawing/2014/main" id="{BCF95B67-F506-452C-894A-42340A841938}"/>
            </a:ext>
          </a:extLst>
        </cdr:cNvPr>
        <cdr:cNvSpPr txBox="1"/>
      </cdr:nvSpPr>
      <cdr:spPr>
        <a:xfrm xmlns:a="http://schemas.openxmlformats.org/drawingml/2006/main">
          <a:off x="28576" y="369889"/>
          <a:ext cx="247650" cy="1819274"/>
        </a:xfrm>
        <a:prstGeom xmlns:a="http://schemas.openxmlformats.org/drawingml/2006/main" prst="rect">
          <a:avLst/>
        </a:prstGeom>
      </cdr:spPr>
      <cdr:txBody>
        <a:bodyPr xmlns:a="http://schemas.openxmlformats.org/drawingml/2006/main" vertOverflow="clip" vert="vert270" wrap="square" rtlCol="0" anchor="ctr"/>
        <a:lstStyle xmlns:a="http://schemas.openxmlformats.org/drawingml/2006/main"/>
        <a:p xmlns:a="http://schemas.openxmlformats.org/drawingml/2006/main">
          <a:pPr algn="ctr"/>
          <a:r>
            <a:rPr lang="en-AU" sz="1100"/>
            <a:t>Visitor</a:t>
          </a:r>
          <a:r>
            <a:rPr lang="en-AU" sz="1100" baseline="0"/>
            <a:t> nights (millions)</a:t>
          </a:r>
          <a:endParaRPr lang="en-AU" sz="1100"/>
        </a:p>
      </cdr:txBody>
    </cdr:sp>
  </cdr:relSizeAnchor>
  <cdr:relSizeAnchor xmlns:cdr="http://schemas.openxmlformats.org/drawingml/2006/chartDrawing">
    <cdr:from>
      <cdr:x>0.11944</cdr:x>
      <cdr:y>0.92154</cdr:y>
    </cdr:from>
    <cdr:to>
      <cdr:x>0.67737</cdr:x>
      <cdr:y>1</cdr:y>
    </cdr:to>
    <cdr:sp macro="" textlink="">
      <cdr:nvSpPr>
        <cdr:cNvPr id="4" name="TextBox 1">
          <a:extLst xmlns:a="http://schemas.openxmlformats.org/drawingml/2006/main">
            <a:ext uri="{FF2B5EF4-FFF2-40B4-BE49-F238E27FC236}">
              <a16:creationId xmlns:a16="http://schemas.microsoft.com/office/drawing/2014/main" id="{C214FBF8-B644-47A2-BEFB-9ED985A06B0A}"/>
            </a:ext>
          </a:extLst>
        </cdr:cNvPr>
        <cdr:cNvSpPr txBox="1"/>
      </cdr:nvSpPr>
      <cdr:spPr>
        <a:xfrm xmlns:a="http://schemas.openxmlformats.org/drawingml/2006/main">
          <a:off x="546100" y="2536759"/>
          <a:ext cx="2550819" cy="215966"/>
        </a:xfrm>
        <a:prstGeom xmlns:a="http://schemas.openxmlformats.org/drawingml/2006/main" prst="rect">
          <a:avLst/>
        </a:prstGeom>
      </cdr:spPr>
      <cdr:txBody>
        <a:bodyPr xmlns:a="http://schemas.openxmlformats.org/drawingml/2006/main" wrap="square" rtlCol="0" anchor="b"/>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en-AU" sz="800">
              <a:solidFill>
                <a:srgbClr val="595959"/>
              </a:solidFill>
            </a:rPr>
            <a:t>Source: Tourism Research Australia</a:t>
          </a:r>
        </a:p>
      </cdr:txBody>
    </cdr:sp>
  </cdr:relSizeAnchor>
</c:userShapes>
</file>

<file path=word/drawings/drawing16.xml><?xml version="1.0" encoding="utf-8"?>
<c:userShapes xmlns:c="http://schemas.openxmlformats.org/drawingml/2006/chart">
  <cdr:relSizeAnchor xmlns:cdr="http://schemas.openxmlformats.org/drawingml/2006/chartDrawing">
    <cdr:from>
      <cdr:x>0.00625</cdr:x>
      <cdr:y>0.13437</cdr:y>
    </cdr:from>
    <cdr:to>
      <cdr:x>0.06042</cdr:x>
      <cdr:y>0.79527</cdr:y>
    </cdr:to>
    <cdr:sp macro="" textlink="">
      <cdr:nvSpPr>
        <cdr:cNvPr id="2" name="TextBox 1">
          <a:extLst xmlns:a="http://schemas.openxmlformats.org/drawingml/2006/main">
            <a:ext uri="{FF2B5EF4-FFF2-40B4-BE49-F238E27FC236}">
              <a16:creationId xmlns:a16="http://schemas.microsoft.com/office/drawing/2014/main" id="{BCF95B67-F506-452C-894A-42340A841938}"/>
            </a:ext>
          </a:extLst>
        </cdr:cNvPr>
        <cdr:cNvSpPr txBox="1"/>
      </cdr:nvSpPr>
      <cdr:spPr>
        <a:xfrm xmlns:a="http://schemas.openxmlformats.org/drawingml/2006/main">
          <a:off x="28576" y="369889"/>
          <a:ext cx="247650" cy="1819274"/>
        </a:xfrm>
        <a:prstGeom xmlns:a="http://schemas.openxmlformats.org/drawingml/2006/main" prst="rect">
          <a:avLst/>
        </a:prstGeom>
      </cdr:spPr>
      <cdr:txBody>
        <a:bodyPr xmlns:a="http://schemas.openxmlformats.org/drawingml/2006/main" vertOverflow="clip" vert="vert270" wrap="square" rtlCol="0" anchor="ctr"/>
        <a:lstStyle xmlns:a="http://schemas.openxmlformats.org/drawingml/2006/main"/>
        <a:p xmlns:a="http://schemas.openxmlformats.org/drawingml/2006/main">
          <a:pPr algn="ctr"/>
          <a:r>
            <a:rPr lang="en-AU" sz="1100"/>
            <a:t>Visitor</a:t>
          </a:r>
          <a:r>
            <a:rPr lang="en-AU" sz="1100" baseline="0"/>
            <a:t> nights (millions)</a:t>
          </a:r>
          <a:endParaRPr lang="en-AU" sz="1100"/>
        </a:p>
      </cdr:txBody>
    </cdr:sp>
  </cdr:relSizeAnchor>
  <cdr:relSizeAnchor xmlns:cdr="http://schemas.openxmlformats.org/drawingml/2006/chartDrawing">
    <cdr:from>
      <cdr:x>0.11944</cdr:x>
      <cdr:y>0.92154</cdr:y>
    </cdr:from>
    <cdr:to>
      <cdr:x>0.67737</cdr:x>
      <cdr:y>1</cdr:y>
    </cdr:to>
    <cdr:sp macro="" textlink="">
      <cdr:nvSpPr>
        <cdr:cNvPr id="4" name="TextBox 1">
          <a:extLst xmlns:a="http://schemas.openxmlformats.org/drawingml/2006/main">
            <a:ext uri="{FF2B5EF4-FFF2-40B4-BE49-F238E27FC236}">
              <a16:creationId xmlns:a16="http://schemas.microsoft.com/office/drawing/2014/main" id="{C214FBF8-B644-47A2-BEFB-9ED985A06B0A}"/>
            </a:ext>
          </a:extLst>
        </cdr:cNvPr>
        <cdr:cNvSpPr txBox="1"/>
      </cdr:nvSpPr>
      <cdr:spPr>
        <a:xfrm xmlns:a="http://schemas.openxmlformats.org/drawingml/2006/main">
          <a:off x="546100" y="2536759"/>
          <a:ext cx="2550819" cy="215966"/>
        </a:xfrm>
        <a:prstGeom xmlns:a="http://schemas.openxmlformats.org/drawingml/2006/main" prst="rect">
          <a:avLst/>
        </a:prstGeom>
      </cdr:spPr>
      <cdr:txBody>
        <a:bodyPr xmlns:a="http://schemas.openxmlformats.org/drawingml/2006/main" wrap="square" rtlCol="0" anchor="b"/>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en-AU" sz="800">
              <a:solidFill>
                <a:srgbClr val="595959"/>
              </a:solidFill>
            </a:rPr>
            <a:t>Source: Tourism Research Australia</a:t>
          </a:r>
        </a:p>
      </cdr:txBody>
    </cdr:sp>
  </cdr:relSizeAnchor>
</c:userShapes>
</file>

<file path=word/drawings/drawing2.xml><?xml version="1.0" encoding="utf-8"?>
<c:userShapes xmlns:c="http://schemas.openxmlformats.org/drawingml/2006/chart">
  <cdr:relSizeAnchor xmlns:cdr="http://schemas.openxmlformats.org/drawingml/2006/chartDrawing">
    <cdr:from>
      <cdr:x>0.94983</cdr:x>
      <cdr:y>0.35761</cdr:y>
    </cdr:from>
    <cdr:to>
      <cdr:x>0.99436</cdr:x>
      <cdr:y>0.64647</cdr:y>
    </cdr:to>
    <cdr:sp macro="" textlink="">
      <cdr:nvSpPr>
        <cdr:cNvPr id="2" name="TextBox 1">
          <a:extLst xmlns:a="http://schemas.openxmlformats.org/drawingml/2006/main">
            <a:ext uri="{FF2B5EF4-FFF2-40B4-BE49-F238E27FC236}">
              <a16:creationId xmlns:a16="http://schemas.microsoft.com/office/drawing/2014/main" id="{36B7D90B-BFC9-453F-94BF-8A3C8110AA7A}"/>
            </a:ext>
          </a:extLst>
        </cdr:cNvPr>
        <cdr:cNvSpPr txBox="1"/>
      </cdr:nvSpPr>
      <cdr:spPr>
        <a:xfrm xmlns:a="http://schemas.openxmlformats.org/drawingml/2006/main">
          <a:off x="4808564" y="1216596"/>
          <a:ext cx="225435" cy="982705"/>
        </a:xfrm>
        <a:prstGeom xmlns:a="http://schemas.openxmlformats.org/drawingml/2006/main" prst="rect">
          <a:avLst/>
        </a:prstGeom>
      </cdr:spPr>
      <cdr:txBody>
        <a:bodyPr xmlns:a="http://schemas.openxmlformats.org/drawingml/2006/main" vertOverflow="clip" vert="vert270" wrap="square" rtlCol="0" anchor="ctr"/>
        <a:lstStyle xmlns:a="http://schemas.openxmlformats.org/drawingml/2006/main"/>
        <a:p xmlns:a="http://schemas.openxmlformats.org/drawingml/2006/main">
          <a:pPr algn="ctr"/>
          <a:r>
            <a:rPr lang="en-AU" sz="1050">
              <a:solidFill>
                <a:srgbClr val="595959"/>
              </a:solidFill>
            </a:rPr>
            <a:t>Growth (%)</a:t>
          </a:r>
        </a:p>
      </cdr:txBody>
    </cdr:sp>
  </cdr:relSizeAnchor>
  <cdr:relSizeAnchor xmlns:cdr="http://schemas.openxmlformats.org/drawingml/2006/chartDrawing">
    <cdr:from>
      <cdr:x>0.10975</cdr:x>
      <cdr:y>0.93887</cdr:y>
    </cdr:from>
    <cdr:to>
      <cdr:x>0.61257</cdr:x>
      <cdr:y>0.99882</cdr:y>
    </cdr:to>
    <cdr:sp macro="" textlink="">
      <cdr:nvSpPr>
        <cdr:cNvPr id="3" name="TextBox 1">
          <a:extLst xmlns:a="http://schemas.openxmlformats.org/drawingml/2006/main">
            <a:ext uri="{FF2B5EF4-FFF2-40B4-BE49-F238E27FC236}">
              <a16:creationId xmlns:a16="http://schemas.microsoft.com/office/drawing/2014/main" id="{C9BF663F-0B4D-44F3-B808-F8C8899B2494}"/>
            </a:ext>
          </a:extLst>
        </cdr:cNvPr>
        <cdr:cNvSpPr txBox="1"/>
      </cdr:nvSpPr>
      <cdr:spPr>
        <a:xfrm xmlns:a="http://schemas.openxmlformats.org/drawingml/2006/main">
          <a:off x="555625" y="3194050"/>
          <a:ext cx="2545529" cy="20396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en-AU" sz="800">
              <a:solidFill>
                <a:srgbClr val="595959"/>
              </a:solidFill>
            </a:rPr>
            <a:t>Source: Tourism Research Australia</a:t>
          </a:r>
        </a:p>
      </cdr:txBody>
    </cdr:sp>
  </cdr:relSizeAnchor>
</c:userShapes>
</file>

<file path=word/drawings/drawing3.xml><?xml version="1.0" encoding="utf-8"?>
<c:userShapes xmlns:c="http://schemas.openxmlformats.org/drawingml/2006/chart">
  <cdr:relSizeAnchor xmlns:cdr="http://schemas.openxmlformats.org/drawingml/2006/chartDrawing">
    <cdr:from>
      <cdr:x>0.09358</cdr:x>
      <cdr:y>0.93656</cdr:y>
    </cdr:from>
    <cdr:to>
      <cdr:x>0.52232</cdr:x>
      <cdr:y>0.98901</cdr:y>
    </cdr:to>
    <cdr:sp macro="" textlink="">
      <cdr:nvSpPr>
        <cdr:cNvPr id="2" name="TextBox 1">
          <a:extLst xmlns:a="http://schemas.openxmlformats.org/drawingml/2006/main">
            <a:ext uri="{FF2B5EF4-FFF2-40B4-BE49-F238E27FC236}">
              <a16:creationId xmlns:a16="http://schemas.microsoft.com/office/drawing/2014/main" id="{21D1E784-9197-4E68-A854-7A51726EC356}"/>
            </a:ext>
          </a:extLst>
        </cdr:cNvPr>
        <cdr:cNvSpPr txBox="1"/>
      </cdr:nvSpPr>
      <cdr:spPr>
        <a:xfrm xmlns:a="http://schemas.openxmlformats.org/drawingml/2006/main">
          <a:off x="555625" y="3641725"/>
          <a:ext cx="2545529" cy="20396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en-AU" sz="800">
              <a:solidFill>
                <a:srgbClr val="595959"/>
              </a:solidFill>
            </a:rPr>
            <a:t>Source: Tourism Research Australia</a:t>
          </a:r>
        </a:p>
      </cdr:txBody>
    </cdr:sp>
  </cdr:relSizeAnchor>
</c:userShapes>
</file>

<file path=word/drawings/drawing4.xml><?xml version="1.0" encoding="utf-8"?>
<c:userShapes xmlns:c="http://schemas.openxmlformats.org/drawingml/2006/chart">
  <cdr:relSizeAnchor xmlns:cdr="http://schemas.openxmlformats.org/drawingml/2006/chartDrawing">
    <cdr:from>
      <cdr:x>0.09861</cdr:x>
      <cdr:y>0.9253</cdr:y>
    </cdr:from>
    <cdr:to>
      <cdr:x>0.65538</cdr:x>
      <cdr:y>1</cdr:y>
    </cdr:to>
    <cdr:sp macro="" textlink="">
      <cdr:nvSpPr>
        <cdr:cNvPr id="2" name="TextBox 1">
          <a:extLst xmlns:a="http://schemas.openxmlformats.org/drawingml/2006/main">
            <a:ext uri="{FF2B5EF4-FFF2-40B4-BE49-F238E27FC236}">
              <a16:creationId xmlns:a16="http://schemas.microsoft.com/office/drawing/2014/main" id="{8AA1B56D-31B9-4C07-84A4-F28F44D4F3A6}"/>
            </a:ext>
          </a:extLst>
        </cdr:cNvPr>
        <cdr:cNvSpPr txBox="1"/>
      </cdr:nvSpPr>
      <cdr:spPr>
        <a:xfrm xmlns:a="http://schemas.openxmlformats.org/drawingml/2006/main">
          <a:off x="450850" y="2526539"/>
          <a:ext cx="2545529" cy="20396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en-AU" sz="800">
              <a:solidFill>
                <a:srgbClr val="595959"/>
              </a:solidFill>
            </a:rPr>
            <a:t>Source: Tourism Research Australia</a:t>
          </a:r>
        </a:p>
      </cdr:txBody>
    </cdr:sp>
  </cdr:relSizeAnchor>
</c:userShapes>
</file>

<file path=word/drawings/drawing5.xml><?xml version="1.0" encoding="utf-8"?>
<c:userShapes xmlns:c="http://schemas.openxmlformats.org/drawingml/2006/chart">
  <cdr:relSizeAnchor xmlns:cdr="http://schemas.openxmlformats.org/drawingml/2006/chartDrawing">
    <cdr:from>
      <cdr:x>0</cdr:x>
      <cdr:y>0.16775</cdr:y>
    </cdr:from>
    <cdr:to>
      <cdr:x>0.05694</cdr:x>
      <cdr:y>0.76984</cdr:y>
    </cdr:to>
    <cdr:sp macro="" textlink="">
      <cdr:nvSpPr>
        <cdr:cNvPr id="2" name="TextBox 1">
          <a:extLst xmlns:a="http://schemas.openxmlformats.org/drawingml/2006/main">
            <a:ext uri="{FF2B5EF4-FFF2-40B4-BE49-F238E27FC236}">
              <a16:creationId xmlns:a16="http://schemas.microsoft.com/office/drawing/2014/main" id="{8A7B507C-CC35-453D-8C0F-6B9B159AD810}"/>
            </a:ext>
          </a:extLst>
        </cdr:cNvPr>
        <cdr:cNvSpPr txBox="1"/>
      </cdr:nvSpPr>
      <cdr:spPr>
        <a:xfrm xmlns:a="http://schemas.openxmlformats.org/drawingml/2006/main">
          <a:off x="0" y="458034"/>
          <a:ext cx="269188" cy="1644007"/>
        </a:xfrm>
        <a:prstGeom xmlns:a="http://schemas.openxmlformats.org/drawingml/2006/main" prst="rect">
          <a:avLst/>
        </a:prstGeom>
      </cdr:spPr>
      <cdr:txBody>
        <a:bodyPr xmlns:a="http://schemas.openxmlformats.org/drawingml/2006/main" vertOverflow="clip" vert="vert270" wrap="square" rtlCol="0"/>
        <a:lstStyle xmlns:a="http://schemas.openxmlformats.org/drawingml/2006/main"/>
        <a:p xmlns:a="http://schemas.openxmlformats.org/drawingml/2006/main">
          <a:r>
            <a:rPr lang="en-AU" sz="1100"/>
            <a:t>Number of trips (millions)</a:t>
          </a:r>
        </a:p>
      </cdr:txBody>
    </cdr:sp>
  </cdr:relSizeAnchor>
  <cdr:relSizeAnchor xmlns:cdr="http://schemas.openxmlformats.org/drawingml/2006/chartDrawing">
    <cdr:from>
      <cdr:x>0.94713</cdr:x>
      <cdr:y>0.20523</cdr:y>
    </cdr:from>
    <cdr:to>
      <cdr:x>0.99799</cdr:x>
      <cdr:y>0.6064</cdr:y>
    </cdr:to>
    <cdr:sp macro="" textlink="">
      <cdr:nvSpPr>
        <cdr:cNvPr id="3" name="TextBox 2">
          <a:extLst xmlns:a="http://schemas.openxmlformats.org/drawingml/2006/main">
            <a:ext uri="{FF2B5EF4-FFF2-40B4-BE49-F238E27FC236}">
              <a16:creationId xmlns:a16="http://schemas.microsoft.com/office/drawing/2014/main" id="{D1B030DF-CA6A-41C9-9206-C61CA0FC1A55}"/>
            </a:ext>
          </a:extLst>
        </cdr:cNvPr>
        <cdr:cNvSpPr txBox="1"/>
      </cdr:nvSpPr>
      <cdr:spPr>
        <a:xfrm xmlns:a="http://schemas.openxmlformats.org/drawingml/2006/main">
          <a:off x="4477606" y="560378"/>
          <a:ext cx="240444" cy="1095385"/>
        </a:xfrm>
        <a:prstGeom xmlns:a="http://schemas.openxmlformats.org/drawingml/2006/main" prst="rect">
          <a:avLst/>
        </a:prstGeom>
      </cdr:spPr>
      <cdr:txBody>
        <a:bodyPr xmlns:a="http://schemas.openxmlformats.org/drawingml/2006/main" vertOverflow="clip" vert="vert270" wrap="square" rtlCol="0"/>
        <a:lstStyle xmlns:a="http://schemas.openxmlformats.org/drawingml/2006/main"/>
        <a:p xmlns:a="http://schemas.openxmlformats.org/drawingml/2006/main">
          <a:r>
            <a:rPr lang="en-AU" sz="1100"/>
            <a:t>Trip rate (%)</a:t>
          </a:r>
        </a:p>
      </cdr:txBody>
    </cdr:sp>
  </cdr:relSizeAnchor>
  <cdr:relSizeAnchor xmlns:cdr="http://schemas.openxmlformats.org/drawingml/2006/chartDrawing">
    <cdr:from>
      <cdr:x>0.09738</cdr:x>
      <cdr:y>0.9253</cdr:y>
    </cdr:from>
    <cdr:to>
      <cdr:x>0.63582</cdr:x>
      <cdr:y>1</cdr:y>
    </cdr:to>
    <cdr:sp macro="" textlink="">
      <cdr:nvSpPr>
        <cdr:cNvPr id="4" name="TextBox 1">
          <a:extLst xmlns:a="http://schemas.openxmlformats.org/drawingml/2006/main">
            <a:ext uri="{FF2B5EF4-FFF2-40B4-BE49-F238E27FC236}">
              <a16:creationId xmlns:a16="http://schemas.microsoft.com/office/drawing/2014/main" id="{2A11E8E6-238C-424F-B4D8-CE331CEDC733}"/>
            </a:ext>
          </a:extLst>
        </cdr:cNvPr>
        <cdr:cNvSpPr txBox="1"/>
      </cdr:nvSpPr>
      <cdr:spPr>
        <a:xfrm xmlns:a="http://schemas.openxmlformats.org/drawingml/2006/main">
          <a:off x="460375" y="2526539"/>
          <a:ext cx="2545529" cy="20396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en-AU" sz="800">
              <a:solidFill>
                <a:srgbClr val="595959"/>
              </a:solidFill>
            </a:rPr>
            <a:t>Source: Tourism Research Australia</a:t>
          </a:r>
        </a:p>
      </cdr:txBody>
    </cdr:sp>
  </cdr:relSizeAnchor>
</c:userShapes>
</file>

<file path=word/drawings/drawing6.xml><?xml version="1.0" encoding="utf-8"?>
<c:userShapes xmlns:c="http://schemas.openxmlformats.org/drawingml/2006/chart">
  <cdr:relSizeAnchor xmlns:cdr="http://schemas.openxmlformats.org/drawingml/2006/chartDrawing">
    <cdr:from>
      <cdr:x>0.13877</cdr:x>
      <cdr:y>0.25197</cdr:y>
    </cdr:from>
    <cdr:to>
      <cdr:x>0.98044</cdr:x>
      <cdr:y>0.25197</cdr:y>
    </cdr:to>
    <cdr:cxnSp macro="">
      <cdr:nvCxnSpPr>
        <cdr:cNvPr id="3" name="Straight Connector 2">
          <a:extLst xmlns:a="http://schemas.openxmlformats.org/drawingml/2006/main">
            <a:ext uri="{FF2B5EF4-FFF2-40B4-BE49-F238E27FC236}">
              <a16:creationId xmlns:a16="http://schemas.microsoft.com/office/drawing/2014/main" id="{9CD839A2-19B0-4125-A484-3C9EBB1EC119}"/>
            </a:ext>
          </a:extLst>
        </cdr:cNvPr>
        <cdr:cNvCxnSpPr/>
      </cdr:nvCxnSpPr>
      <cdr:spPr>
        <a:xfrm xmlns:a="http://schemas.openxmlformats.org/drawingml/2006/main" flipV="1">
          <a:off x="878971" y="940809"/>
          <a:ext cx="5331243" cy="0"/>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0.01053</cdr:x>
      <cdr:y>0.10336</cdr:y>
    </cdr:from>
    <cdr:to>
      <cdr:x>0.07928</cdr:x>
      <cdr:y>0.76753</cdr:y>
    </cdr:to>
    <cdr:sp macro="" textlink="">
      <cdr:nvSpPr>
        <cdr:cNvPr id="4" name="TextBox 3" descr="This graph shows three bars for each state and territory representing the forecast level of domestic tourism in the state for that year (2021-22, 2022-23 and 2023-24) as a proportion of the 2018-19 level (pre-pandemic level). It shows that all states and territories return to 100 per cent of their previous level in either 2022-23 or 2023-24.">
          <a:extLst xmlns:a="http://schemas.openxmlformats.org/drawingml/2006/main">
            <a:ext uri="{FF2B5EF4-FFF2-40B4-BE49-F238E27FC236}">
              <a16:creationId xmlns:a16="http://schemas.microsoft.com/office/drawing/2014/main" id="{30F8709F-65F5-4497-9258-A80EFC338A60}"/>
            </a:ext>
          </a:extLst>
        </cdr:cNvPr>
        <cdr:cNvSpPr txBox="1"/>
      </cdr:nvSpPr>
      <cdr:spPr>
        <a:xfrm xmlns:a="http://schemas.openxmlformats.org/drawingml/2006/main">
          <a:off x="66675" y="385919"/>
          <a:ext cx="435471" cy="2479878"/>
        </a:xfrm>
        <a:prstGeom xmlns:a="http://schemas.openxmlformats.org/drawingml/2006/main" prst="rect">
          <a:avLst/>
        </a:prstGeom>
      </cdr:spPr>
      <cdr:txBody>
        <a:bodyPr xmlns:a="http://schemas.openxmlformats.org/drawingml/2006/main" vertOverflow="clip" vert="vert270" wrap="square" rtlCol="0"/>
        <a:lstStyle xmlns:a="http://schemas.openxmlformats.org/drawingml/2006/main"/>
        <a:p xmlns:a="http://schemas.openxmlformats.org/drawingml/2006/main">
          <a:r>
            <a:rPr lang="en-AU" sz="1100"/>
            <a:t>Relative to 2018-19 level</a:t>
          </a:r>
          <a:r>
            <a:rPr lang="en-AU" sz="1100" baseline="0"/>
            <a:t> (%)</a:t>
          </a:r>
          <a:endParaRPr lang="en-AU" sz="1100"/>
        </a:p>
      </cdr:txBody>
    </cdr:sp>
  </cdr:relSizeAnchor>
  <cdr:relSizeAnchor xmlns:cdr="http://schemas.openxmlformats.org/drawingml/2006/chartDrawing">
    <cdr:from>
      <cdr:x>0.11319</cdr:x>
      <cdr:y>0.92599</cdr:y>
    </cdr:from>
    <cdr:to>
      <cdr:x>0.66996</cdr:x>
      <cdr:y>1</cdr:y>
    </cdr:to>
    <cdr:sp macro="" textlink="">
      <cdr:nvSpPr>
        <cdr:cNvPr id="5" name="TextBox 1">
          <a:extLst xmlns:a="http://schemas.openxmlformats.org/drawingml/2006/main">
            <a:ext uri="{FF2B5EF4-FFF2-40B4-BE49-F238E27FC236}">
              <a16:creationId xmlns:a16="http://schemas.microsoft.com/office/drawing/2014/main" id="{554A3066-012B-4912-A3CB-6954FC8C5D0A}"/>
            </a:ext>
          </a:extLst>
        </cdr:cNvPr>
        <cdr:cNvSpPr txBox="1"/>
      </cdr:nvSpPr>
      <cdr:spPr>
        <a:xfrm xmlns:a="http://schemas.openxmlformats.org/drawingml/2006/main">
          <a:off x="517525" y="2551939"/>
          <a:ext cx="2545529" cy="203961"/>
        </a:xfrm>
        <a:prstGeom xmlns:a="http://schemas.openxmlformats.org/drawingml/2006/main" prst="rect">
          <a:avLst/>
        </a:prstGeom>
      </cdr:spPr>
      <cdr:txBody>
        <a:bodyPr xmlns:a="http://schemas.openxmlformats.org/drawingml/2006/main" wrap="square" rtlCol="0" anchor="b"/>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en-AU" sz="800">
              <a:solidFill>
                <a:srgbClr val="595959"/>
              </a:solidFill>
            </a:rPr>
            <a:t>Source: Tourism Research Australia</a:t>
          </a:r>
        </a:p>
      </cdr:txBody>
    </cdr:sp>
  </cdr:relSizeAnchor>
</c:userShapes>
</file>

<file path=word/drawings/drawing7.xml><?xml version="1.0" encoding="utf-8"?>
<c:userShapes xmlns:c="http://schemas.openxmlformats.org/drawingml/2006/chart">
  <cdr:relSizeAnchor xmlns:cdr="http://schemas.openxmlformats.org/drawingml/2006/chartDrawing">
    <cdr:from>
      <cdr:x>0.06997</cdr:x>
      <cdr:y>0.9386</cdr:y>
    </cdr:from>
    <cdr:to>
      <cdr:x>0.50148</cdr:x>
      <cdr:y>0.99836</cdr:y>
    </cdr:to>
    <cdr:sp macro="" textlink="">
      <cdr:nvSpPr>
        <cdr:cNvPr id="4" name="TextBox 1">
          <a:extLst xmlns:a="http://schemas.openxmlformats.org/drawingml/2006/main">
            <a:ext uri="{FF2B5EF4-FFF2-40B4-BE49-F238E27FC236}">
              <a16:creationId xmlns:a16="http://schemas.microsoft.com/office/drawing/2014/main" id="{E496C8EF-C6BC-4F1A-BF57-2D7B102790F6}"/>
            </a:ext>
          </a:extLst>
        </cdr:cNvPr>
        <cdr:cNvSpPr txBox="1"/>
      </cdr:nvSpPr>
      <cdr:spPr>
        <a:xfrm xmlns:a="http://schemas.openxmlformats.org/drawingml/2006/main">
          <a:off x="412750" y="3203575"/>
          <a:ext cx="2545529" cy="20396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en-AU" sz="800">
              <a:solidFill>
                <a:srgbClr val="595959"/>
              </a:solidFill>
            </a:rPr>
            <a:t>Source: Tourism Research Australia</a:t>
          </a:r>
        </a:p>
      </cdr:txBody>
    </cdr:sp>
  </cdr:relSizeAnchor>
</c:userShapes>
</file>

<file path=word/drawings/drawing8.xml><?xml version="1.0" encoding="utf-8"?>
<c:userShapes xmlns:c="http://schemas.openxmlformats.org/drawingml/2006/chart">
  <cdr:relSizeAnchor xmlns:cdr="http://schemas.openxmlformats.org/drawingml/2006/chartDrawing">
    <cdr:from>
      <cdr:x>0.38565</cdr:x>
      <cdr:y>0.86032</cdr:y>
    </cdr:from>
    <cdr:to>
      <cdr:x>0.61494</cdr:x>
      <cdr:y>0.93016</cdr:y>
    </cdr:to>
    <cdr:sp macro="" textlink="">
      <cdr:nvSpPr>
        <cdr:cNvPr id="2" name="TextBox 1">
          <a:extLst xmlns:a="http://schemas.openxmlformats.org/drawingml/2006/main">
            <a:ext uri="{FF2B5EF4-FFF2-40B4-BE49-F238E27FC236}">
              <a16:creationId xmlns:a16="http://schemas.microsoft.com/office/drawing/2014/main" id="{E46A3F73-D423-4E03-BC00-68698C66E4C7}"/>
            </a:ext>
          </a:extLst>
        </cdr:cNvPr>
        <cdr:cNvSpPr txBox="1"/>
      </cdr:nvSpPr>
      <cdr:spPr>
        <a:xfrm xmlns:a="http://schemas.openxmlformats.org/drawingml/2006/main">
          <a:off x="2098675" y="2581277"/>
          <a:ext cx="1247775" cy="2095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lvl="0" indent="0" defTabSz="914400" rtl="0" eaLnBrk="1" fontAlgn="auto" latinLnBrk="0" hangingPunct="1">
            <a:lnSpc>
              <a:spcPct val="100000"/>
            </a:lnSpc>
            <a:spcBef>
              <a:spcPts val="0"/>
            </a:spcBef>
            <a:spcAft>
              <a:spcPts val="0"/>
            </a:spcAft>
            <a:buClrTx/>
            <a:buSzTx/>
            <a:buFontTx/>
            <a:buNone/>
            <a:tabLst/>
            <a:defRPr/>
          </a:pPr>
          <a:r>
            <a:rPr lang="en-AU" sz="1000" b="1" i="0" baseline="0">
              <a:effectLst/>
              <a:latin typeface="+mn-lt"/>
              <a:ea typeface="+mn-ea"/>
              <a:cs typeface="+mn-cs"/>
            </a:rPr>
            <a:t>Age group</a:t>
          </a:r>
          <a:endParaRPr lang="en-AU" sz="1000" b="1">
            <a:effectLst/>
          </a:endParaRPr>
        </a:p>
        <a:p xmlns:a="http://schemas.openxmlformats.org/drawingml/2006/main">
          <a:endParaRPr lang="en-AU" sz="1000" b="1"/>
        </a:p>
      </cdr:txBody>
    </cdr:sp>
  </cdr:relSizeAnchor>
</c:userShapes>
</file>

<file path=word/drawings/drawing9.xml><?xml version="1.0" encoding="utf-8"?>
<c:userShapes xmlns:c="http://schemas.openxmlformats.org/drawingml/2006/chart">
  <cdr:relSizeAnchor xmlns:cdr="http://schemas.openxmlformats.org/drawingml/2006/chartDrawing">
    <cdr:from>
      <cdr:x>0.00625</cdr:x>
      <cdr:y>0.13437</cdr:y>
    </cdr:from>
    <cdr:to>
      <cdr:x>0.06042</cdr:x>
      <cdr:y>0.79527</cdr:y>
    </cdr:to>
    <cdr:sp macro="" textlink="">
      <cdr:nvSpPr>
        <cdr:cNvPr id="2" name="TextBox 1">
          <a:extLst xmlns:a="http://schemas.openxmlformats.org/drawingml/2006/main">
            <a:ext uri="{FF2B5EF4-FFF2-40B4-BE49-F238E27FC236}">
              <a16:creationId xmlns:a16="http://schemas.microsoft.com/office/drawing/2014/main" id="{BCF95B67-F506-452C-894A-42340A841938}"/>
            </a:ext>
          </a:extLst>
        </cdr:cNvPr>
        <cdr:cNvSpPr txBox="1"/>
      </cdr:nvSpPr>
      <cdr:spPr>
        <a:xfrm xmlns:a="http://schemas.openxmlformats.org/drawingml/2006/main">
          <a:off x="28576" y="369889"/>
          <a:ext cx="247650" cy="1819274"/>
        </a:xfrm>
        <a:prstGeom xmlns:a="http://schemas.openxmlformats.org/drawingml/2006/main" prst="rect">
          <a:avLst/>
        </a:prstGeom>
      </cdr:spPr>
      <cdr:txBody>
        <a:bodyPr xmlns:a="http://schemas.openxmlformats.org/drawingml/2006/main" vertOverflow="clip" vert="vert270" wrap="square" rtlCol="0" anchor="ctr"/>
        <a:lstStyle xmlns:a="http://schemas.openxmlformats.org/drawingml/2006/main"/>
        <a:p xmlns:a="http://schemas.openxmlformats.org/drawingml/2006/main">
          <a:pPr algn="ctr"/>
          <a:r>
            <a:rPr lang="en-AU" sz="1100"/>
            <a:t>Visitor</a:t>
          </a:r>
          <a:r>
            <a:rPr lang="en-AU" sz="1100" baseline="0"/>
            <a:t> nights (millions)</a:t>
          </a:r>
          <a:endParaRPr lang="en-AU" sz="1100"/>
        </a:p>
      </cdr:txBody>
    </cdr:sp>
  </cdr:relSizeAnchor>
  <cdr:relSizeAnchor xmlns:cdr="http://schemas.openxmlformats.org/drawingml/2006/chartDrawing">
    <cdr:from>
      <cdr:x>0.11944</cdr:x>
      <cdr:y>0.92154</cdr:y>
    </cdr:from>
    <cdr:to>
      <cdr:x>0.67737</cdr:x>
      <cdr:y>1</cdr:y>
    </cdr:to>
    <cdr:sp macro="" textlink="">
      <cdr:nvSpPr>
        <cdr:cNvPr id="4" name="TextBox 1">
          <a:extLst xmlns:a="http://schemas.openxmlformats.org/drawingml/2006/main">
            <a:ext uri="{FF2B5EF4-FFF2-40B4-BE49-F238E27FC236}">
              <a16:creationId xmlns:a16="http://schemas.microsoft.com/office/drawing/2014/main" id="{C214FBF8-B644-47A2-BEFB-9ED985A06B0A}"/>
            </a:ext>
          </a:extLst>
        </cdr:cNvPr>
        <cdr:cNvSpPr txBox="1"/>
      </cdr:nvSpPr>
      <cdr:spPr>
        <a:xfrm xmlns:a="http://schemas.openxmlformats.org/drawingml/2006/main">
          <a:off x="546100" y="2536759"/>
          <a:ext cx="2550819" cy="215966"/>
        </a:xfrm>
        <a:prstGeom xmlns:a="http://schemas.openxmlformats.org/drawingml/2006/main" prst="rect">
          <a:avLst/>
        </a:prstGeom>
      </cdr:spPr>
      <cdr:txBody>
        <a:bodyPr xmlns:a="http://schemas.openxmlformats.org/drawingml/2006/main" wrap="square" rtlCol="0" anchor="b"/>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en-AU" sz="800">
              <a:solidFill>
                <a:srgbClr val="595959"/>
              </a:solidFill>
            </a:rPr>
            <a:t>Source: Tourism Research Australia</a:t>
          </a:r>
        </a:p>
      </cdr:txBody>
    </cdr:sp>
  </cdr:relSizeAnchor>
</c:userShapes>
</file>

<file path=word/theme/theme1.xml><?xml version="1.0" encoding="utf-8"?>
<a:theme xmlns:a="http://schemas.openxmlformats.org/drawingml/2006/main" name="Austrade">
  <a:themeElements>
    <a:clrScheme name="Austrade">
      <a:dk1>
        <a:srgbClr val="000000"/>
      </a:dk1>
      <a:lt1>
        <a:sysClr val="window" lastClr="FFFFFF"/>
      </a:lt1>
      <a:dk2>
        <a:srgbClr val="2E1A47"/>
      </a:dk2>
      <a:lt2>
        <a:srgbClr val="1E988A"/>
      </a:lt2>
      <a:accent1>
        <a:srgbClr val="7A4282"/>
      </a:accent1>
      <a:accent2>
        <a:srgbClr val="2E1A47"/>
      </a:accent2>
      <a:accent3>
        <a:srgbClr val="1E988A"/>
      </a:accent3>
      <a:accent4>
        <a:srgbClr val="F1D184"/>
      </a:accent4>
      <a:accent5>
        <a:srgbClr val="877B77"/>
      </a:accent5>
      <a:accent6>
        <a:srgbClr val="E4E1DC"/>
      </a:accent6>
      <a:hlink>
        <a:srgbClr val="2E1A47"/>
      </a:hlink>
      <a:folHlink>
        <a:srgbClr val="2E1A47"/>
      </a:folHlink>
    </a:clrScheme>
    <a:fontScheme name="Austrad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ustrade" id="{B81E4F4F-1983-42C4-94AF-E5F032ED062C}" vid="{34FFB722-9E4F-471D-B97E-885BFC42BA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roduct xmlns="c6215fba-df62-4d66-b0b8-48fe9a1fd12f">Template</Product>
    <nf7721a2bf6741678a34670e75d66499 xmlns="2124141f-bf93-4eca-8662-34a4511e35c8">
      <Terms xmlns="http://schemas.microsoft.com/office/infopath/2007/PartnerControls"/>
    </nf7721a2bf6741678a34670e75d66499>
    <Record_x0020_ID xmlns="2124141f-bf93-4eca-8662-34a4511e35c8" xsi:nil="true"/>
    <Operational-Site-Doc-URL xmlns="2124141f-bf93-4eca-8662-34a4511e35c8" xsi:nil="true"/>
    <Project xmlns="c6215fba-df62-4d66-b0b8-48fe9a1fd12f">AustradeGovAu</Project>
    <Tradestart-Access xmlns="2124141f-bf93-4eca-8662-34a4511e35c8">true</Tradestart-Access>
    <TaxCatchAll xmlns="2124141f-bf93-4eca-8662-34a4511e35c8"/>
    <Operational-Doc-Desc xmlns="2124141f-bf93-4eca-8662-34a4511e35c8" xsi:nil="true"/>
    <_dlc_DocId xmlns="29ff9cd8-bf2e-4523-8fd5-254dd68a43c6">HUB01-2142452017-267</_dlc_DocId>
    <_dlc_DocIdUrl xmlns="29ff9cd8-bf2e-4523-8fd5-254dd68a43c6">
      <Url>http://thehub/ws/ao/cm/_layouts/15/DocIdRedir.aspx?ID=HUB01-2142452017-267</Url>
      <Description>HUB01-2142452017-267</Description>
    </_dlc_DocIdUrl>
    <Subject_x0020_matter_x0020_expert xmlns="c6215fba-df62-4d66-b0b8-48fe9a1fd12f">
      <UserInfo>
        <DisplayName/>
        <AccountId xsi:nil="true"/>
        <AccountType/>
      </UserInfo>
    </Subject_x0020_matter_x0020_expert>
    <EL2_x0020_validator xmlns="c6215fba-df62-4d66-b0b8-48fe9a1fd12f">
      <UserInfo>
        <DisplayName/>
        <AccountId xsi:nil="true"/>
        <AccountType/>
      </UserInfo>
    </EL2_x0020_validato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66d92cf1-08e1-41e5-92d3-0cdcdb1e2433" ContentTypeId="0x01010004862C10171BD149BCA86DC4F354848008" PreviousValue="false"/>
</file>

<file path=customXml/item6.xml><?xml version="1.0" encoding="utf-8"?>
<ct:contentTypeSchema xmlns:ct="http://schemas.microsoft.com/office/2006/metadata/contentType" xmlns:ma="http://schemas.microsoft.com/office/2006/metadata/properties/metaAttributes" ct:_="" ma:_="" ma:contentTypeName="Operational-Document-BS" ma:contentTypeID="0x01010004862C10171BD149BCA86DC4F35484800800976467FC898D7945B95D3EE9111C463D" ma:contentTypeVersion="43" ma:contentTypeDescription="" ma:contentTypeScope="" ma:versionID="547e072fb8b011aa4f20dbde0de99988">
  <xsd:schema xmlns:xsd="http://www.w3.org/2001/XMLSchema" xmlns:xs="http://www.w3.org/2001/XMLSchema" xmlns:p="http://schemas.microsoft.com/office/2006/metadata/properties" xmlns:ns2="2124141f-bf93-4eca-8662-34a4511e35c8" xmlns:ns3="29ff9cd8-bf2e-4523-8fd5-254dd68a43c6" xmlns:ns4="c6215fba-df62-4d66-b0b8-48fe9a1fd12f" targetNamespace="http://schemas.microsoft.com/office/2006/metadata/properties" ma:root="true" ma:fieldsID="8fc65b18fc165c98b1a3cafcda50ef66" ns2:_="" ns3:_="" ns4:_="">
    <xsd:import namespace="2124141f-bf93-4eca-8662-34a4511e35c8"/>
    <xsd:import namespace="29ff9cd8-bf2e-4523-8fd5-254dd68a43c6"/>
    <xsd:import namespace="c6215fba-df62-4d66-b0b8-48fe9a1fd12f"/>
    <xsd:element name="properties">
      <xsd:complexType>
        <xsd:sequence>
          <xsd:element name="documentManagement">
            <xsd:complexType>
              <xsd:all>
                <xsd:element ref="ns2:Operational-Doc-Desc" minOccurs="0"/>
                <xsd:element ref="ns2:Operational-Site-Doc-URL" minOccurs="0"/>
                <xsd:element ref="ns2:nf7721a2bf6741678a34670e75d66499" minOccurs="0"/>
                <xsd:element ref="ns2:TaxCatchAll" minOccurs="0"/>
                <xsd:element ref="ns2:TaxCatchAllLabel" minOccurs="0"/>
                <xsd:element ref="ns2:Tradestart-Access" minOccurs="0"/>
                <xsd:element ref="ns2:Record_x0020_ID" minOccurs="0"/>
                <xsd:element ref="ns3:_dlc_DocId" minOccurs="0"/>
                <xsd:element ref="ns3:_dlc_DocIdUrl" minOccurs="0"/>
                <xsd:element ref="ns3:_dlc_DocIdPersistId" minOccurs="0"/>
                <xsd:element ref="ns4:Project"/>
                <xsd:element ref="ns4:Product"/>
                <xsd:element ref="ns4:Subject_x0020_matter_x0020_expert" minOccurs="0"/>
                <xsd:element ref="ns4:EL2_x0020_valida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4141f-bf93-4eca-8662-34a4511e35c8" elementFormDefault="qualified">
    <xsd:import namespace="http://schemas.microsoft.com/office/2006/documentManagement/types"/>
    <xsd:import namespace="http://schemas.microsoft.com/office/infopath/2007/PartnerControls"/>
    <xsd:element name="Operational-Doc-Desc" ma:index="8" nillable="true" ma:displayName="Operational Description" ma:internalName="Operational_x002d_Doc_x002d_Desc" ma:readOnly="false">
      <xsd:simpleType>
        <xsd:restriction base="dms:Note">
          <xsd:maxLength value="255"/>
        </xsd:restriction>
      </xsd:simpleType>
    </xsd:element>
    <xsd:element name="Operational-Site-Doc-URL" ma:index="9" nillable="true" ma:displayName="Operational-Site-Doc-URL" ma:description="This column will store which site the document belongs to and using this information we can do routing on Record Centre" ma:hidden="true" ma:internalName="Operational_x002d_Site_x002d_Doc_x002d_URL" ma:readOnly="false">
      <xsd:simpleType>
        <xsd:restriction base="dms:Text">
          <xsd:maxLength value="255"/>
        </xsd:restriction>
      </xsd:simpleType>
    </xsd:element>
    <xsd:element name="nf7721a2bf6741678a34670e75d66499" ma:index="10" nillable="true" ma:taxonomy="true" ma:internalName="nf7721a2bf6741678a34670e75d66499" ma:taxonomyFieldName="Protective_x0020_Markings" ma:displayName="Protective Markings" ma:default="" ma:fieldId="{7f7721a2-bf67-4167-8a34-670e75d66499}" ma:sspId="66d92cf1-08e1-41e5-92d3-0cdcdb1e2433" ma:termSetId="093f376a-84bf-4617-8e0b-bd9905d38462"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626f64b0-2248-4865-bfbc-6e6cbd80c93c}" ma:internalName="TaxCatchAll" ma:showField="CatchAllData" ma:web="29ff9cd8-bf2e-4523-8fd5-254dd68a43c6">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26f64b0-2248-4865-bfbc-6e6cbd80c93c}" ma:internalName="TaxCatchAllLabel" ma:readOnly="true" ma:showField="CatchAllDataLabel" ma:web="29ff9cd8-bf2e-4523-8fd5-254dd68a43c6">
      <xsd:complexType>
        <xsd:complexContent>
          <xsd:extension base="dms:MultiChoiceLookup">
            <xsd:sequence>
              <xsd:element name="Value" type="dms:Lookup" maxOccurs="unbounded" minOccurs="0" nillable="true"/>
            </xsd:sequence>
          </xsd:extension>
        </xsd:complexContent>
      </xsd:complexType>
    </xsd:element>
    <xsd:element name="Tradestart-Access" ma:index="14" nillable="true" ma:displayName="Tradestart-Access" ma:default="1" ma:internalName="Tradestart_x002d_Access">
      <xsd:simpleType>
        <xsd:restriction base="dms:Boolean"/>
      </xsd:simpleType>
    </xsd:element>
    <xsd:element name="Record_x0020_ID" ma:index="15" nillable="true" ma:displayName="Record ID" ma:internalName="Record_x0020_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ff9cd8-bf2e-4523-8fd5-254dd68a43c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215fba-df62-4d66-b0b8-48fe9a1fd12f" elementFormDefault="qualified">
    <xsd:import namespace="http://schemas.microsoft.com/office/2006/documentManagement/types"/>
    <xsd:import namespace="http://schemas.microsoft.com/office/infopath/2007/PartnerControls"/>
    <xsd:element name="Project" ma:index="19" ma:displayName="Product" ma:format="Dropdown" ma:internalName="Project">
      <xsd:simpleType>
        <xsd:union memberTypes="dms:Text">
          <xsd:simpleType>
            <xsd:restriction base="dms:Choice">
              <xsd:enumeration value="AustradeGovAu"/>
              <xsd:enumeration value="CMS"/>
              <xsd:enumeration value="EMP"/>
              <xsd:enumeration value="Governance"/>
              <xsd:enumeration value="Team admin"/>
              <xsd:enumeration value="TRA"/>
            </xsd:restriction>
          </xsd:simpleType>
        </xsd:union>
      </xsd:simpleType>
    </xsd:element>
    <xsd:element name="Product" ma:index="20" ma:displayName="Content" ma:description="Choose the relevant product" ma:format="Dropdown" ma:internalName="Product">
      <xsd:simpleType>
        <xsd:restriction base="dms:Choice">
          <xsd:enumeration value="Benchmark report"/>
          <xsd:enumeration value="Content management"/>
          <xsd:enumeration value="Exporting to India"/>
          <xsd:enumeration value="Governance"/>
          <xsd:enumeration value="IVS quarterly"/>
          <xsd:enumeration value="NVS monthly snapshot"/>
          <xsd:enumeration value="NVS quarterly"/>
          <xsd:enumeration value="Schedule"/>
          <xsd:enumeration value="Selling online overseas"/>
          <xsd:enumeration value="Services page"/>
          <xsd:enumeration value="State of the industry"/>
          <xsd:enumeration value="Team processes"/>
          <xsd:enumeration value="Template"/>
          <xsd:enumeration value="Tourism businesses"/>
          <xsd:enumeration value="Tourism investment"/>
          <xsd:enumeration value="Tourism satellite account"/>
          <xsd:enumeration value="Tourism scenarios"/>
          <xsd:enumeration value="User research"/>
        </xsd:restriction>
      </xsd:simpleType>
    </xsd:element>
    <xsd:element name="Subject_x0020_matter_x0020_expert" ma:index="21" nillable="true" ma:displayName="Subject matter expert" ma:list="UserInfo" ma:SharePointGroup="0" ma:internalName="Subject_x0020_matter_x0020_exper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L2_x0020_validator" ma:index="22" nillable="true" ma:displayName="EL2 validator" ma:list="UserInfo" ma:SharePointGroup="0" ma:internalName="EL2_x0020_valid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FE75B8-1135-4512-93FA-FCDD832F13E7}">
  <ds:schemaRefs>
    <ds:schemaRef ds:uri="http://schemas.openxmlformats.org/package/2006/metadata/core-properties"/>
    <ds:schemaRef ds:uri="http://schemas.microsoft.com/office/2006/documentManagement/types"/>
    <ds:schemaRef ds:uri="http://www.w3.org/XML/1998/namespace"/>
    <ds:schemaRef ds:uri="c6215fba-df62-4d66-b0b8-48fe9a1fd12f"/>
    <ds:schemaRef ds:uri="http://purl.org/dc/elements/1.1/"/>
    <ds:schemaRef ds:uri="29ff9cd8-bf2e-4523-8fd5-254dd68a43c6"/>
    <ds:schemaRef ds:uri="http://purl.org/dc/terms/"/>
    <ds:schemaRef ds:uri="http://purl.org/dc/dcmitype/"/>
    <ds:schemaRef ds:uri="http://schemas.microsoft.com/office/2006/metadata/properties"/>
    <ds:schemaRef ds:uri="http://schemas.microsoft.com/office/infopath/2007/PartnerControls"/>
    <ds:schemaRef ds:uri="2124141f-bf93-4eca-8662-34a4511e35c8"/>
  </ds:schemaRefs>
</ds:datastoreItem>
</file>

<file path=customXml/itemProps2.xml><?xml version="1.0" encoding="utf-8"?>
<ds:datastoreItem xmlns:ds="http://schemas.openxmlformats.org/officeDocument/2006/customXml" ds:itemID="{1EFDA419-6733-483D-ABCC-A84EEDE3704E}">
  <ds:schemaRefs>
    <ds:schemaRef ds:uri="http://schemas.microsoft.com/sharepoint/v3/contenttype/forms"/>
  </ds:schemaRefs>
</ds:datastoreItem>
</file>

<file path=customXml/itemProps3.xml><?xml version="1.0" encoding="utf-8"?>
<ds:datastoreItem xmlns:ds="http://schemas.openxmlformats.org/officeDocument/2006/customXml" ds:itemID="{00189CA5-7BBF-457D-BDE5-3EDFAFC8EABE}">
  <ds:schemaRefs>
    <ds:schemaRef ds:uri="http://schemas.microsoft.com/sharepoint/events"/>
  </ds:schemaRefs>
</ds:datastoreItem>
</file>

<file path=customXml/itemProps4.xml><?xml version="1.0" encoding="utf-8"?>
<ds:datastoreItem xmlns:ds="http://schemas.openxmlformats.org/officeDocument/2006/customXml" ds:itemID="{5CABF944-022C-4692-9B43-06A2CEB685A9}">
  <ds:schemaRefs>
    <ds:schemaRef ds:uri="http://schemas.openxmlformats.org/officeDocument/2006/bibliography"/>
  </ds:schemaRefs>
</ds:datastoreItem>
</file>

<file path=customXml/itemProps5.xml><?xml version="1.0" encoding="utf-8"?>
<ds:datastoreItem xmlns:ds="http://schemas.openxmlformats.org/officeDocument/2006/customXml" ds:itemID="{C6AF7610-FA67-401E-A5DC-36498E152A66}">
  <ds:schemaRefs>
    <ds:schemaRef ds:uri="Microsoft.SharePoint.Taxonomy.ContentTypeSync"/>
  </ds:schemaRefs>
</ds:datastoreItem>
</file>

<file path=customXml/itemProps6.xml><?xml version="1.0" encoding="utf-8"?>
<ds:datastoreItem xmlns:ds="http://schemas.openxmlformats.org/officeDocument/2006/customXml" ds:itemID="{92713792-239D-4744-A6FC-C636EB651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4141f-bf93-4eca-8662-34a4511e35c8"/>
    <ds:schemaRef ds:uri="29ff9cd8-bf2e-4523-8fd5-254dd68a43c6"/>
    <ds:schemaRef ds:uri="c6215fba-df62-4d66-b0b8-48fe9a1fd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Austrade Brand Website Publications.dotx</Template>
  <TotalTime>0</TotalTime>
  <Pages>21</Pages>
  <Words>4903</Words>
  <Characters>27951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2023-11-22T00:44:00Z</dcterms:created>
  <dcterms:modified xsi:type="dcterms:W3CDTF">2023-11-22T00:44:00Z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0x01010004862C10171BD149BCA86DC4F35484800800976467FC898D7945B95D3EE9111C463D</vt:lpwstr>
  </property>
  <property fmtid="{D5CDD505-2E9C-101B-9397-08002B2CF9AE}" pid="3" name="_dlc_DocIdItemGuid">
    <vt:lpwstr>88b9502c-3f8a-4026-8045-1aaba0925f53</vt:lpwstr>
  </property>
  <property fmtid="{D5CDD505-2E9C-101B-9397-08002B2CF9AE}" pid="4" name="Protective Markings">
    <vt:lpwstr/>
  </property>
</Properties>
</file>