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="SimSun" w:cs="Times New Roman"/>
          <w:b/>
          <w:bCs/>
          <w:color w:val="2E1A47"/>
          <w:sz w:val="44"/>
          <w:szCs w:val="44"/>
          <w:lang w:eastAsia="zh-CN"/>
        </w:rPr>
        <w:id w:val="-1649280474"/>
        <w:docPartObj>
          <w:docPartGallery w:val="Cover Pages"/>
          <w:docPartUnique/>
        </w:docPartObj>
      </w:sdtPr>
      <w:sdtEndPr>
        <w:rPr>
          <w:b w:val="0"/>
          <w:color w:val="441D4A" w:themeColor="accent1" w:themeShade="80"/>
          <w:sz w:val="32"/>
          <w:szCs w:val="26"/>
        </w:rPr>
      </w:sdtEndPr>
      <w:sdtContent>
        <w:p w14:paraId="2DE24A55" w14:textId="77777777" w:rsidR="003A58AB" w:rsidRPr="00FC500B" w:rsidRDefault="00F427E4" w:rsidP="009E6DB3">
          <w:r>
            <w:rPr>
              <w:noProof/>
            </w:rPr>
            <w:drawing>
              <wp:anchor distT="0" distB="0" distL="114300" distR="114300" simplePos="0" relativeHeight="251658751" behindDoc="0" locked="1" layoutInCell="1" allowOverlap="1" wp14:anchorId="36C30ECE" wp14:editId="49C8DBB9">
                <wp:simplePos x="0" y="0"/>
                <wp:positionH relativeFrom="column">
                  <wp:posOffset>-49530</wp:posOffset>
                </wp:positionH>
                <wp:positionV relativeFrom="page">
                  <wp:posOffset>376555</wp:posOffset>
                </wp:positionV>
                <wp:extent cx="3340800" cy="1105200"/>
                <wp:effectExtent l="0" t="0" r="0" b="0"/>
                <wp:wrapNone/>
                <wp:docPr id="1592260426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260426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800" cy="11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23E6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9E2F3DF" wp14:editId="42B29D3C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10095" cy="1569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45C8AE5" w14:textId="77777777" w:rsidR="002041CA" w:rsidRDefault="002041CA" w:rsidP="002041CA">
          <w:pPr>
            <w:pStyle w:val="Heading1"/>
          </w:pPr>
          <w:bookmarkStart w:id="0" w:name="_Toc208502382"/>
          <w:bookmarkStart w:id="1" w:name="_Toc210834125"/>
          <w:bookmarkStart w:id="2" w:name="_Toc210834156"/>
        </w:p>
        <w:p w14:paraId="3BFE0D0B" w14:textId="77777777" w:rsidR="002041CA" w:rsidRDefault="002041CA" w:rsidP="002041CA">
          <w:pPr>
            <w:pStyle w:val="Heading1"/>
          </w:pPr>
        </w:p>
        <w:p w14:paraId="5D0B050F" w14:textId="7E94DCFF" w:rsidR="002041CA" w:rsidRPr="00C279D9" w:rsidRDefault="00E00D7B" w:rsidP="002041CA">
          <w:pPr>
            <w:pStyle w:val="Heading1"/>
            <w:rPr>
              <w:rStyle w:val="Heading1Char"/>
              <w:bCs/>
            </w:rPr>
          </w:pPr>
          <w:bookmarkStart w:id="3" w:name="_Toc211341046"/>
          <w:r>
            <w:t>Cycle tourism</w:t>
          </w:r>
          <w:r w:rsidR="002041CA">
            <w:t xml:space="preserve"> in Australia</w:t>
          </w:r>
          <w:bookmarkEnd w:id="0"/>
          <w:bookmarkEnd w:id="1"/>
          <w:bookmarkEnd w:id="2"/>
          <w:bookmarkEnd w:id="3"/>
        </w:p>
        <w:p w14:paraId="17E43318" w14:textId="77777777" w:rsidR="002041CA" w:rsidRPr="000E357A" w:rsidRDefault="002041CA" w:rsidP="002041CA">
          <w:pPr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0E357A"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  <w:t>October 2025</w:t>
          </w:r>
        </w:p>
        <w:p w14:paraId="0512255A" w14:textId="77777777" w:rsidR="00E62495" w:rsidRDefault="00E62495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>
            <w:br w:type="page"/>
          </w:r>
        </w:p>
        <w:sdt>
          <w:sdtPr>
            <w:rPr>
              <w:rFonts w:ascii="Verdana" w:eastAsiaTheme="minorHAnsi" w:hAnsi="Verdana" w:cstheme="minorBidi"/>
              <w:color w:val="000000" w:themeColor="text1"/>
              <w:sz w:val="20"/>
              <w:szCs w:val="20"/>
              <w:lang w:val="en-AU"/>
            </w:rPr>
            <w:id w:val="1594740509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70DB45FE" w14:textId="4304F064" w:rsidR="00C51F19" w:rsidRDefault="00C51F19">
              <w:pPr>
                <w:pStyle w:val="TOCHeading"/>
              </w:pPr>
              <w:r>
                <w:t>Table of Contents</w:t>
              </w:r>
            </w:p>
            <w:p w14:paraId="084CCBEB" w14:textId="2E65CB91" w:rsidR="0010557F" w:rsidRDefault="00C51F19">
              <w:pPr>
                <w:pStyle w:val="TOC1"/>
                <w:tabs>
                  <w:tab w:val="right" w:leader="dot" w:pos="9958"/>
                </w:tabs>
                <w:rPr>
                  <w:rFonts w:asciiTheme="minorHAnsi" w:eastAsiaTheme="minorEastAsia" w:hAnsiTheme="minorHAnsi"/>
                  <w:noProof/>
                  <w:color w:val="auto"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211341046" w:history="1"/>
            </w:p>
            <w:p w14:paraId="0537BE15" w14:textId="7C7E2394" w:rsidR="0010557F" w:rsidRDefault="0010557F">
              <w:pPr>
                <w:pStyle w:val="TOC2"/>
                <w:tabs>
                  <w:tab w:val="right" w:leader="dot" w:pos="9958"/>
                </w:tabs>
                <w:rPr>
                  <w:rFonts w:asciiTheme="minorHAnsi" w:eastAsiaTheme="minorEastAsia" w:hAnsiTheme="minorHAnsi"/>
                  <w:noProof/>
                  <w:color w:val="auto"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211341047" w:history="1">
                <w:r w:rsidRPr="00B23A43">
                  <w:rPr>
                    <w:rStyle w:val="Hyperlink"/>
                    <w:noProof/>
                  </w:rPr>
                  <w:t xml:space="preserve">Executive summary  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_Toc211341047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683D896" w14:textId="2BF7EAE0" w:rsidR="0010557F" w:rsidRDefault="0010557F">
              <w:pPr>
                <w:pStyle w:val="TOC2"/>
                <w:tabs>
                  <w:tab w:val="right" w:leader="dot" w:pos="9958"/>
                </w:tabs>
                <w:rPr>
                  <w:rFonts w:asciiTheme="minorHAnsi" w:eastAsiaTheme="minorEastAsia" w:hAnsiTheme="minorHAnsi"/>
                  <w:noProof/>
                  <w:color w:val="auto"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211341048" w:history="1">
                <w:r w:rsidRPr="00B23A43">
                  <w:rPr>
                    <w:rStyle w:val="Hyperlink"/>
                    <w:noProof/>
                  </w:rPr>
                  <w:t>Pedal performance: Cycle tourism by the numbers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_Toc211341048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14CAB97" w14:textId="71D6EEAF" w:rsidR="0010557F" w:rsidRDefault="0010557F">
              <w:pPr>
                <w:pStyle w:val="TOC2"/>
                <w:tabs>
                  <w:tab w:val="right" w:leader="dot" w:pos="9958"/>
                </w:tabs>
                <w:rPr>
                  <w:rFonts w:asciiTheme="minorHAnsi" w:eastAsiaTheme="minorEastAsia" w:hAnsiTheme="minorHAnsi"/>
                  <w:noProof/>
                  <w:color w:val="auto"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211341050" w:history="1">
                <w:r w:rsidRPr="00B23A43">
                  <w:rPr>
                    <w:rStyle w:val="Hyperlink"/>
                    <w:noProof/>
                  </w:rPr>
                  <w:t>Pedal personas: Profiling road, mountain, trail, and events cyclists in 2024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_Toc211341050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55F6D7D" w14:textId="6C6B5635" w:rsidR="0010557F" w:rsidRDefault="0010557F">
              <w:pPr>
                <w:pStyle w:val="TOC2"/>
                <w:tabs>
                  <w:tab w:val="right" w:leader="dot" w:pos="9958"/>
                </w:tabs>
                <w:rPr>
                  <w:rFonts w:asciiTheme="minorHAnsi" w:eastAsiaTheme="minorEastAsia" w:hAnsiTheme="minorHAnsi"/>
                  <w:noProof/>
                  <w:color w:val="auto"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211341051" w:history="1">
                <w:r w:rsidRPr="00B23A43">
                  <w:rPr>
                    <w:rStyle w:val="Hyperlink"/>
                    <w:noProof/>
                  </w:rPr>
                  <w:t>Conclusion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_Toc211341051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719229A" w14:textId="78F81FA3" w:rsidR="00C51F19" w:rsidRDefault="00C51F19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  <w:p w14:paraId="725794B3" w14:textId="64338035" w:rsidR="00501469" w:rsidRPr="00932884" w:rsidRDefault="00E00D7B" w:rsidP="00193433">
          <w:pPr>
            <w:pStyle w:val="Heading2"/>
          </w:pPr>
          <w:r>
            <w:br w:type="page"/>
          </w:r>
          <w:bookmarkStart w:id="4" w:name="_Toc211341047"/>
          <w:r w:rsidR="00193433">
            <w:lastRenderedPageBreak/>
            <w:t xml:space="preserve">Executive summary </w:t>
          </w:r>
          <w:r w:rsidR="00836AF2" w:rsidRPr="00932884">
            <w:t xml:space="preserve"> </w:t>
          </w:r>
        </w:p>
      </w:sdtContent>
    </w:sdt>
    <w:bookmarkEnd w:id="4" w:displacedByCustomXml="prev"/>
    <w:p w14:paraId="52D16AAC" w14:textId="6FEF135A" w:rsidR="00FB2D7A" w:rsidRPr="00FB2D7A" w:rsidRDefault="00FB2D7A" w:rsidP="00B11D49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FB2D7A">
        <w:rPr>
          <w:rFonts w:asciiTheme="minorHAnsi" w:eastAsia="Verdana"/>
          <w:kern w:val="24"/>
          <w:sz w:val="20"/>
          <w:szCs w:val="20"/>
        </w:rPr>
        <w:t>This report provide insights on cycle tourism in Australia,</w:t>
      </w:r>
      <w:r w:rsidR="00134B80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shining a spotlight on the engagement and impact of trips</w:t>
      </w:r>
      <w:r w:rsidR="00134B80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that involved a cycling activity in 2024, using Tourism</w:t>
      </w:r>
      <w:r w:rsidR="00134B80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Research Australia (TRA) data.</w:t>
      </w:r>
    </w:p>
    <w:p w14:paraId="1F6A5E4B" w14:textId="0397FCFB" w:rsidR="00FB2D7A" w:rsidRPr="00FB2D7A" w:rsidRDefault="00FB2D7A" w:rsidP="00B11D49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FB2D7A">
        <w:rPr>
          <w:rFonts w:asciiTheme="minorHAnsi" w:eastAsia="Verdana"/>
          <w:kern w:val="24"/>
          <w:sz w:val="20"/>
          <w:szCs w:val="20"/>
        </w:rPr>
        <w:t>In 2024, there were 4.6 million trips, 42 million nights, and</w:t>
      </w:r>
      <w:r w:rsidR="00134B80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$6.0 billion in spend attributed to trips involving a cycling</w:t>
      </w:r>
      <w:r w:rsidR="00134B80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 xml:space="preserve">activity. Domestic overnight travellers accounted for </w:t>
      </w:r>
      <w:proofErr w:type="gramStart"/>
      <w:r w:rsidRPr="00FB2D7A">
        <w:rPr>
          <w:rFonts w:asciiTheme="minorHAnsi" w:eastAsia="Verdana"/>
          <w:kern w:val="24"/>
          <w:sz w:val="20"/>
          <w:szCs w:val="20"/>
        </w:rPr>
        <w:t>the</w:t>
      </w:r>
      <w:r w:rsidR="00134B80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majority of</w:t>
      </w:r>
      <w:proofErr w:type="gramEnd"/>
      <w:r w:rsidRPr="00FB2D7A">
        <w:rPr>
          <w:rFonts w:asciiTheme="minorHAnsi" w:eastAsia="Verdana"/>
          <w:kern w:val="24"/>
          <w:sz w:val="20"/>
          <w:szCs w:val="20"/>
        </w:rPr>
        <w:t xml:space="preserve"> trips, while international visitors </w:t>
      </w:r>
      <w:r w:rsidRPr="00FB2D7A">
        <w:rPr>
          <w:rFonts w:asciiTheme="minorHAnsi" w:eastAsia="Verdana"/>
          <w:kern w:val="24"/>
          <w:sz w:val="20"/>
          <w:szCs w:val="20"/>
        </w:rPr>
        <w:t>–</w:t>
      </w:r>
      <w:r w:rsidRPr="00FB2D7A">
        <w:rPr>
          <w:rFonts w:asciiTheme="minorHAnsi" w:eastAsia="Verdana"/>
          <w:kern w:val="24"/>
          <w:sz w:val="20"/>
          <w:szCs w:val="20"/>
        </w:rPr>
        <w:t xml:space="preserve"> though fewer</w:t>
      </w:r>
      <w:r w:rsidR="00134B80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 xml:space="preserve">in number </w:t>
      </w:r>
      <w:r w:rsidRPr="00FB2D7A">
        <w:rPr>
          <w:rFonts w:asciiTheme="minorHAnsi" w:eastAsia="Verdana"/>
          <w:kern w:val="24"/>
          <w:sz w:val="20"/>
          <w:szCs w:val="20"/>
        </w:rPr>
        <w:t>–</w:t>
      </w:r>
      <w:r w:rsidRPr="00FB2D7A">
        <w:rPr>
          <w:rFonts w:asciiTheme="minorHAnsi" w:eastAsia="Verdana"/>
          <w:kern w:val="24"/>
          <w:sz w:val="20"/>
          <w:szCs w:val="20"/>
        </w:rPr>
        <w:t xml:space="preserve"> contributed a substantial share of expenditure,</w:t>
      </w:r>
      <w:r w:rsidR="00134B80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highlighting a key opportunity for future growth.</w:t>
      </w:r>
    </w:p>
    <w:p w14:paraId="55438321" w14:textId="4C6A8DB7" w:rsidR="00FB2D7A" w:rsidRPr="00FB2D7A" w:rsidRDefault="00FB2D7A" w:rsidP="00B11D49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FB2D7A">
        <w:rPr>
          <w:rFonts w:asciiTheme="minorHAnsi" w:eastAsia="Verdana"/>
          <w:kern w:val="24"/>
          <w:sz w:val="20"/>
          <w:szCs w:val="20"/>
        </w:rPr>
        <w:t>7 in 10 trips involving a cycling activity occurred in regional</w:t>
      </w:r>
      <w:r w:rsidR="00134B80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Australia and captured 41% of the $6 billion spend.</w:t>
      </w:r>
      <w:r w:rsidR="00134B80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Victoria and New South Wales are the top states and</w:t>
      </w:r>
      <w:r w:rsidR="00134B80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territories for trips involving a cycling activity. Queensland,</w:t>
      </w:r>
      <w:r w:rsidR="00134B80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while attracting fewer trips, delivered a higher proportion</w:t>
      </w:r>
      <w:r w:rsidR="00134B80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of nights and spend, indicating its appeal as a cycling</w:t>
      </w:r>
      <w:r w:rsidR="00134B80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destination.</w:t>
      </w:r>
    </w:p>
    <w:p w14:paraId="4CEFB945" w14:textId="2A01A33C" w:rsidR="00992786" w:rsidRDefault="00FB2D7A" w:rsidP="00B11D49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FB2D7A">
        <w:rPr>
          <w:rFonts w:asciiTheme="minorHAnsi" w:eastAsia="Verdana"/>
          <w:kern w:val="24"/>
          <w:sz w:val="20"/>
          <w:szCs w:val="20"/>
        </w:rPr>
        <w:t>Profiling of travellers on trips involving a cycling activity</w:t>
      </w:r>
      <w:r w:rsidR="00134B80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reveals a strong propensity to engage in multiple</w:t>
      </w:r>
      <w:r w:rsidR="00134B80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experiences, from eating out and bushwalking to</w:t>
      </w:r>
      <w:r w:rsidR="00134B80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sightseeing and shopping, further amplifying their</w:t>
      </w:r>
      <w:r w:rsidR="00992786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economic impact.</w:t>
      </w:r>
    </w:p>
    <w:p w14:paraId="4783A3A8" w14:textId="77777777" w:rsidR="00835715" w:rsidRDefault="00FB2D7A" w:rsidP="00B11D49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FB2D7A">
        <w:rPr>
          <w:rFonts w:asciiTheme="minorHAnsi" w:eastAsia="Verdana"/>
          <w:kern w:val="24"/>
          <w:sz w:val="20"/>
          <w:szCs w:val="20"/>
        </w:rPr>
        <w:t>Road cycling, mountain biking, rail trails, and cycling events</w:t>
      </w:r>
      <w:r w:rsidR="00992786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each brings unique characteristics and opportunities.</w:t>
      </w:r>
      <w:r w:rsidR="00992786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Road cycling dominates in trip numbers and spend, while</w:t>
      </w:r>
      <w:r w:rsidR="00992786">
        <w:rPr>
          <w:rFonts w:asciiTheme="minorHAnsi" w:eastAsia="Verdana"/>
          <w:kern w:val="24"/>
          <w:sz w:val="20"/>
          <w:szCs w:val="20"/>
        </w:rPr>
        <w:t xml:space="preserve"> </w:t>
      </w:r>
      <w:r w:rsidRPr="00FB2D7A">
        <w:rPr>
          <w:rFonts w:asciiTheme="minorHAnsi" w:eastAsia="Verdana"/>
          <w:kern w:val="24"/>
          <w:sz w:val="20"/>
          <w:szCs w:val="20"/>
        </w:rPr>
        <w:t>mountain biking and rail trails contribute to regional</w:t>
      </w:r>
      <w:r w:rsidR="00992786">
        <w:rPr>
          <w:rFonts w:asciiTheme="minorHAnsi" w:eastAsia="Verdana"/>
          <w:kern w:val="24"/>
          <w:sz w:val="20"/>
          <w:szCs w:val="20"/>
        </w:rPr>
        <w:t xml:space="preserve"> </w:t>
      </w:r>
      <w:r w:rsidRPr="00835715">
        <w:rPr>
          <w:rFonts w:asciiTheme="minorHAnsi" w:eastAsia="Verdana"/>
          <w:kern w:val="24"/>
          <w:sz w:val="20"/>
          <w:szCs w:val="20"/>
        </w:rPr>
        <w:t>dispersal and niche growth.</w:t>
      </w:r>
    </w:p>
    <w:p w14:paraId="088A807A" w14:textId="33505971" w:rsidR="00C6288E" w:rsidRDefault="00835715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835715">
        <w:rPr>
          <w:rFonts w:asciiTheme="minorHAnsi" w:eastAsia="Verdana"/>
          <w:kern w:val="24"/>
          <w:sz w:val="20"/>
          <w:szCs w:val="20"/>
        </w:rPr>
        <w:t>Due to data collection methods, the numbers used in this report relate to trips that include one or more cycling activities. If any cycling activity takes place on a trip, all nights and spend for that trip are counted in the figures reported. The contribution of cycling activities specifically cannot be captured due to the way the data is collected.</w:t>
      </w:r>
    </w:p>
    <w:p w14:paraId="2C840C95" w14:textId="77777777" w:rsidR="00C6288E" w:rsidRDefault="00C6288E">
      <w:pPr>
        <w:spacing w:before="0" w:after="160" w:line="259" w:lineRule="auto"/>
        <w:rPr>
          <w:rFonts w:asciiTheme="minorHAnsi" w:eastAsia="Verdana" w:hAnsi="Times New Roman" w:cs="Times New Roman"/>
          <w:color w:val="auto"/>
          <w:kern w:val="24"/>
          <w:lang w:eastAsia="en-AU"/>
        </w:rPr>
      </w:pPr>
      <w:r>
        <w:rPr>
          <w:rFonts w:asciiTheme="minorHAnsi" w:eastAsia="Verdana"/>
          <w:kern w:val="24"/>
        </w:rPr>
        <w:br w:type="page"/>
      </w:r>
    </w:p>
    <w:p w14:paraId="711E1FF9" w14:textId="54BA769F" w:rsidR="00992786" w:rsidRPr="00FB2D7A" w:rsidRDefault="00992786" w:rsidP="00992786">
      <w:pPr>
        <w:pStyle w:val="Heading2"/>
      </w:pPr>
      <w:bookmarkStart w:id="5" w:name="_Toc211341048"/>
      <w:r>
        <w:lastRenderedPageBreak/>
        <w:t>Pedal performance</w:t>
      </w:r>
      <w:r w:rsidR="008F11F3">
        <w:t>: Cycle tourism by the numbers</w:t>
      </w:r>
      <w:bookmarkEnd w:id="5"/>
    </w:p>
    <w:p w14:paraId="24AAC1F1" w14:textId="7CDD9609" w:rsidR="00294CFF" w:rsidRPr="00EE587D" w:rsidRDefault="00294CFF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 xml:space="preserve">In 2024, there were 4.6 million trips that included a cycling activity, with travellers spending a total of $6 billion on cycling-inclusive trips. Regional Australia </w:t>
      </w:r>
      <w:r w:rsidR="00F9685A" w:rsidRPr="00EE587D">
        <w:rPr>
          <w:rFonts w:asciiTheme="minorHAnsi" w:eastAsia="Verdana"/>
          <w:kern w:val="24"/>
          <w:sz w:val="20"/>
          <w:szCs w:val="20"/>
        </w:rPr>
        <w:t>contributed</w:t>
      </w:r>
      <w:r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="00F9685A" w:rsidRPr="00EE587D">
        <w:rPr>
          <w:rFonts w:asciiTheme="minorHAnsi" w:eastAsia="Verdana"/>
          <w:kern w:val="24"/>
          <w:sz w:val="20"/>
          <w:szCs w:val="20"/>
        </w:rPr>
        <w:t>in</w:t>
      </w:r>
      <w:r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="00F9685A" w:rsidRPr="00EE587D">
        <w:rPr>
          <w:rFonts w:asciiTheme="minorHAnsi" w:eastAsia="Verdana"/>
          <w:kern w:val="24"/>
          <w:sz w:val="20"/>
          <w:szCs w:val="20"/>
        </w:rPr>
        <w:t>72% of</w:t>
      </w:r>
      <w:r w:rsidRPr="00EE587D">
        <w:rPr>
          <w:rFonts w:asciiTheme="minorHAnsi" w:eastAsia="Verdana"/>
          <w:kern w:val="24"/>
          <w:sz w:val="20"/>
          <w:szCs w:val="20"/>
        </w:rPr>
        <w:t xml:space="preserve"> trips involving cycling and captured</w:t>
      </w:r>
      <w:r w:rsidR="00F9685A" w:rsidRPr="00EE587D">
        <w:rPr>
          <w:rFonts w:asciiTheme="minorHAnsi" w:eastAsia="Verdana"/>
          <w:kern w:val="24"/>
          <w:sz w:val="20"/>
          <w:szCs w:val="20"/>
        </w:rPr>
        <w:t xml:space="preserve"> 34% of nights </w:t>
      </w:r>
      <w:r w:rsidR="001961AC" w:rsidRPr="00EE587D">
        <w:rPr>
          <w:rFonts w:asciiTheme="minorHAnsi" w:eastAsia="Verdana"/>
          <w:kern w:val="24"/>
          <w:sz w:val="20"/>
          <w:szCs w:val="20"/>
        </w:rPr>
        <w:t>involving</w:t>
      </w:r>
      <w:r w:rsidR="00F9685A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="001961AC" w:rsidRPr="00EE587D">
        <w:rPr>
          <w:rFonts w:asciiTheme="minorHAnsi" w:eastAsia="Verdana"/>
          <w:kern w:val="24"/>
          <w:sz w:val="20"/>
          <w:szCs w:val="20"/>
        </w:rPr>
        <w:t>cycling, and</w:t>
      </w:r>
      <w:r w:rsidRPr="00EE587D">
        <w:rPr>
          <w:rFonts w:asciiTheme="minorHAnsi" w:eastAsia="Verdana"/>
          <w:kern w:val="24"/>
          <w:sz w:val="20"/>
          <w:szCs w:val="20"/>
        </w:rPr>
        <w:t xml:space="preserve"> 41% of the $6 billion spend.</w:t>
      </w:r>
    </w:p>
    <w:tbl>
      <w:tblPr>
        <w:tblW w:w="9902" w:type="dxa"/>
        <w:tblLayout w:type="fixed"/>
        <w:tblLook w:val="04A0" w:firstRow="1" w:lastRow="0" w:firstColumn="1" w:lastColumn="0" w:noHBand="0" w:noVBand="1"/>
      </w:tblPr>
      <w:tblGrid>
        <w:gridCol w:w="3300"/>
        <w:gridCol w:w="3301"/>
        <w:gridCol w:w="3301"/>
      </w:tblGrid>
      <w:tr w:rsidR="00294CFF" w:rsidRPr="0031166C" w14:paraId="01720B33" w14:textId="77777777" w:rsidTr="002C60A7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</w:tcPr>
          <w:p w14:paraId="45DEFA64" w14:textId="77777777" w:rsidR="00294CFF" w:rsidRPr="0031166C" w:rsidRDefault="00294CFF" w:rsidP="002C60A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Trips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</w:tcPr>
          <w:p w14:paraId="16389EE1" w14:textId="77777777" w:rsidR="00294CFF" w:rsidRPr="0031166C" w:rsidRDefault="00294CFF" w:rsidP="002C60A7">
            <w:pPr>
              <w:jc w:val="center"/>
              <w:rPr>
                <w:b/>
                <w:color w:val="FFFFFF" w:themeColor="background1"/>
              </w:rPr>
            </w:pPr>
            <w:r w:rsidRPr="0031166C">
              <w:rPr>
                <w:b/>
                <w:color w:val="FFFFFF" w:themeColor="background1"/>
              </w:rPr>
              <w:t>Nights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</w:tcPr>
          <w:p w14:paraId="1533DB55" w14:textId="77777777" w:rsidR="00294CFF" w:rsidRPr="0031166C" w:rsidRDefault="00294CFF" w:rsidP="002C60A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Total trip spend </w:t>
            </w:r>
          </w:p>
        </w:tc>
      </w:tr>
      <w:tr w:rsidR="00294CFF" w:rsidRPr="005B452D" w14:paraId="66018D7A" w14:textId="77777777" w:rsidTr="002C60A7">
        <w:trPr>
          <w:trHeight w:val="7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4434D" w14:textId="77777777" w:rsidR="00294CFF" w:rsidRPr="00FD063D" w:rsidRDefault="00294CFF" w:rsidP="002C60A7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en-AU"/>
              </w:rPr>
            </w:pPr>
            <w:r w:rsidRPr="00FD063D">
              <w:rPr>
                <w:rFonts w:asciiTheme="minorHAnsi" w:eastAsia="Verdana"/>
                <w:kern w:val="24"/>
                <w:sz w:val="32"/>
                <w:szCs w:val="32"/>
              </w:rPr>
              <w:t>4.6 million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6950C" w14:textId="77777777" w:rsidR="00294CFF" w:rsidRPr="00FD063D" w:rsidRDefault="00294CFF" w:rsidP="002C60A7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en-AU"/>
              </w:rPr>
            </w:pPr>
            <w:r w:rsidRPr="00FD063D">
              <w:rPr>
                <w:rFonts w:asciiTheme="minorHAnsi" w:eastAsia="Verdana"/>
                <w:kern w:val="24"/>
                <w:sz w:val="32"/>
                <w:szCs w:val="32"/>
              </w:rPr>
              <w:t>42 million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0DBEB" w14:textId="77777777" w:rsidR="00294CFF" w:rsidRPr="00FD063D" w:rsidRDefault="00294CFF" w:rsidP="002C60A7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en-AU"/>
              </w:rPr>
            </w:pPr>
            <w:r w:rsidRPr="00FD063D">
              <w:rPr>
                <w:rFonts w:asciiTheme="minorHAnsi" w:eastAsia="Verdana"/>
                <w:kern w:val="24"/>
                <w:sz w:val="32"/>
                <w:szCs w:val="32"/>
              </w:rPr>
              <w:t>$6.0 billion</w:t>
            </w:r>
          </w:p>
        </w:tc>
      </w:tr>
    </w:tbl>
    <w:p w14:paraId="649D699E" w14:textId="77777777" w:rsidR="00294CFF" w:rsidRDefault="00294CFF" w:rsidP="00294CFF">
      <w:pPr>
        <w:pStyle w:val="NormalWeb"/>
        <w:spacing w:before="0" w:beforeAutospacing="0" w:after="160" w:afterAutospacing="0" w:line="264" w:lineRule="auto"/>
        <w:rPr>
          <w:rFonts w:asciiTheme="minorHAnsi" w:eastAsia="Verdana" w:hAnsi="Verdana" w:cstheme="minorBidi"/>
          <w:color w:val="000000" w:themeColor="text1"/>
          <w:kern w:val="24"/>
          <w:sz w:val="21"/>
          <w:szCs w:val="21"/>
        </w:rPr>
      </w:pPr>
    </w:p>
    <w:p w14:paraId="6CD2D719" w14:textId="3650481E" w:rsidR="0087624F" w:rsidRPr="00EE587D" w:rsidRDefault="00FD063D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 xml:space="preserve">Domestic overnight travellers accounted for </w:t>
      </w:r>
      <w:proofErr w:type="gramStart"/>
      <w:r w:rsidRPr="00EE587D">
        <w:rPr>
          <w:rFonts w:asciiTheme="minorHAnsi" w:eastAsia="Verdana"/>
          <w:kern w:val="24"/>
          <w:sz w:val="20"/>
          <w:szCs w:val="20"/>
        </w:rPr>
        <w:t>the majority of</w:t>
      </w:r>
      <w:proofErr w:type="gramEnd"/>
      <w:r w:rsidRPr="00EE587D">
        <w:rPr>
          <w:rFonts w:asciiTheme="minorHAnsi" w:eastAsia="Verdana"/>
          <w:kern w:val="24"/>
          <w:sz w:val="20"/>
          <w:szCs w:val="20"/>
        </w:rPr>
        <w:t xml:space="preserve"> trips, while international visitors </w:t>
      </w:r>
      <w:r w:rsidRPr="00EE587D">
        <w:rPr>
          <w:rFonts w:asciiTheme="minorHAnsi" w:eastAsia="Verdana"/>
          <w:kern w:val="24"/>
          <w:sz w:val="20"/>
          <w:szCs w:val="20"/>
        </w:rPr>
        <w:t>–</w:t>
      </w:r>
      <w:r w:rsidRPr="00EE587D">
        <w:rPr>
          <w:rFonts w:asciiTheme="minorHAnsi" w:eastAsia="Verdana"/>
          <w:kern w:val="24"/>
          <w:sz w:val="20"/>
          <w:szCs w:val="20"/>
        </w:rPr>
        <w:t xml:space="preserve"> though fewer in number </w:t>
      </w:r>
      <w:r w:rsidRPr="00EE587D">
        <w:rPr>
          <w:rFonts w:asciiTheme="minorHAnsi" w:eastAsia="Verdana"/>
          <w:kern w:val="24"/>
          <w:sz w:val="20"/>
          <w:szCs w:val="20"/>
        </w:rPr>
        <w:t>–</w:t>
      </w:r>
      <w:r w:rsidRPr="00EE587D">
        <w:rPr>
          <w:rFonts w:asciiTheme="minorHAnsi" w:eastAsia="Verdana"/>
          <w:kern w:val="24"/>
          <w:sz w:val="20"/>
          <w:szCs w:val="20"/>
        </w:rPr>
        <w:t xml:space="preserve"> contributed a substantial share of expenditure, highlighting a key opportunity for future growth.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2417"/>
        <w:gridCol w:w="2414"/>
        <w:gridCol w:w="2414"/>
      </w:tblGrid>
      <w:tr w:rsidR="00E6045E" w:rsidRPr="00E6045E" w14:paraId="3D1020ED" w14:textId="77777777" w:rsidTr="00E6045E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</w:tcPr>
          <w:p w14:paraId="6EF78FE1" w14:textId="77777777" w:rsidR="00E6045E" w:rsidRPr="00E6045E" w:rsidRDefault="00E6045E" w:rsidP="00E6045E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</w:tcPr>
          <w:p w14:paraId="2A57A76C" w14:textId="77777777" w:rsidR="00E6045E" w:rsidRPr="00E6045E" w:rsidRDefault="00E6045E" w:rsidP="00E6045E">
            <w:pPr>
              <w:jc w:val="center"/>
              <w:rPr>
                <w:b/>
                <w:color w:val="FFFFFF" w:themeColor="background1"/>
              </w:rPr>
            </w:pPr>
            <w:r w:rsidRPr="00E6045E">
              <w:rPr>
                <w:b/>
                <w:color w:val="FFFFFF" w:themeColor="background1"/>
              </w:rPr>
              <w:t>Domestic overnight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</w:tcPr>
          <w:p w14:paraId="7FBE974C" w14:textId="77777777" w:rsidR="00E6045E" w:rsidRPr="00E6045E" w:rsidRDefault="00E6045E" w:rsidP="00E6045E">
            <w:pPr>
              <w:jc w:val="center"/>
              <w:rPr>
                <w:b/>
                <w:color w:val="FFFFFF" w:themeColor="background1"/>
              </w:rPr>
            </w:pPr>
            <w:r w:rsidRPr="00E6045E">
              <w:rPr>
                <w:b/>
                <w:color w:val="FFFFFF" w:themeColor="background1"/>
              </w:rPr>
              <w:t>Domestic day trip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</w:tcPr>
          <w:p w14:paraId="4DBF403C" w14:textId="77777777" w:rsidR="00E6045E" w:rsidRPr="00E6045E" w:rsidRDefault="00E6045E" w:rsidP="00E6045E">
            <w:pPr>
              <w:jc w:val="center"/>
              <w:rPr>
                <w:b/>
                <w:color w:val="FFFFFF" w:themeColor="background1"/>
              </w:rPr>
            </w:pPr>
            <w:r w:rsidRPr="00E6045E">
              <w:rPr>
                <w:b/>
                <w:color w:val="FFFFFF" w:themeColor="background1"/>
              </w:rPr>
              <w:t>International</w:t>
            </w:r>
          </w:p>
        </w:tc>
      </w:tr>
      <w:tr w:rsidR="00E6045E" w:rsidRPr="00E6045E" w14:paraId="3BEFF34E" w14:textId="77777777" w:rsidTr="003F2D57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vAlign w:val="center"/>
          </w:tcPr>
          <w:p w14:paraId="2ECC09DA" w14:textId="77777777" w:rsidR="00E6045E" w:rsidRPr="003F2D57" w:rsidRDefault="00E6045E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Trips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64A2BD4B" w14:textId="77777777" w:rsidR="00E6045E" w:rsidRPr="00E6045E" w:rsidRDefault="00E6045E" w:rsidP="00E6045E">
            <w:pPr>
              <w:pStyle w:val="NormalWeb"/>
              <w:spacing w:after="160" w:line="264" w:lineRule="auto"/>
              <w:jc w:val="center"/>
              <w:rPr>
                <w:rFonts w:asciiTheme="minorHAnsi" w:eastAsia="Verdana" w:hAnsi="Verdana" w:cstheme="minorBidi"/>
                <w:color w:val="000000" w:themeColor="text1"/>
                <w:kern w:val="24"/>
                <w:sz w:val="20"/>
                <w:szCs w:val="20"/>
              </w:rPr>
            </w:pPr>
            <w:r w:rsidRPr="00E6045E">
              <w:rPr>
                <w:rFonts w:asciiTheme="minorHAnsi" w:eastAsia="Verdana" w:hAnsi="Verdana" w:cstheme="minorBidi"/>
                <w:color w:val="000000" w:themeColor="text1"/>
                <w:kern w:val="24"/>
                <w:sz w:val="20"/>
                <w:szCs w:val="20"/>
              </w:rPr>
              <w:t>55%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5244E2ED" w14:textId="77777777" w:rsidR="00E6045E" w:rsidRPr="00E6045E" w:rsidRDefault="00E6045E" w:rsidP="00E6045E">
            <w:pPr>
              <w:pStyle w:val="NormalWeb"/>
              <w:spacing w:after="160" w:line="264" w:lineRule="auto"/>
              <w:jc w:val="center"/>
              <w:rPr>
                <w:rFonts w:asciiTheme="minorHAnsi" w:eastAsia="Verdana" w:hAnsi="Verdana" w:cstheme="minorBidi"/>
                <w:color w:val="000000" w:themeColor="text1"/>
                <w:kern w:val="24"/>
                <w:sz w:val="20"/>
                <w:szCs w:val="20"/>
              </w:rPr>
            </w:pPr>
            <w:r w:rsidRPr="00E6045E">
              <w:rPr>
                <w:rFonts w:asciiTheme="minorHAnsi" w:eastAsia="Verdana" w:hAnsi="Verdana" w:cstheme="minorBidi"/>
                <w:color w:val="000000" w:themeColor="text1"/>
                <w:kern w:val="24"/>
                <w:sz w:val="20"/>
                <w:szCs w:val="20"/>
              </w:rPr>
              <w:t>38%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37C28187" w14:textId="77777777" w:rsidR="00E6045E" w:rsidRPr="00E6045E" w:rsidRDefault="00E6045E" w:rsidP="00E6045E">
            <w:pPr>
              <w:pStyle w:val="NormalWeb"/>
              <w:spacing w:after="160" w:line="264" w:lineRule="auto"/>
              <w:jc w:val="center"/>
              <w:rPr>
                <w:rFonts w:asciiTheme="minorHAnsi" w:eastAsia="Verdana" w:hAnsi="Verdana" w:cstheme="minorBidi"/>
                <w:color w:val="000000" w:themeColor="text1"/>
                <w:kern w:val="24"/>
                <w:sz w:val="20"/>
                <w:szCs w:val="20"/>
              </w:rPr>
            </w:pPr>
            <w:r w:rsidRPr="00E6045E">
              <w:rPr>
                <w:rFonts w:asciiTheme="minorHAnsi" w:eastAsia="Verdana" w:hAnsi="Verdana" w:cstheme="minorBidi"/>
                <w:color w:val="000000" w:themeColor="text1"/>
                <w:kern w:val="24"/>
                <w:sz w:val="20"/>
                <w:szCs w:val="20"/>
              </w:rPr>
              <w:t>8%</w:t>
            </w:r>
          </w:p>
        </w:tc>
      </w:tr>
      <w:tr w:rsidR="00E6045E" w:rsidRPr="00E6045E" w14:paraId="3953D274" w14:textId="77777777" w:rsidTr="003F2D57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vAlign w:val="center"/>
          </w:tcPr>
          <w:p w14:paraId="7F55DA50" w14:textId="77777777" w:rsidR="00E6045E" w:rsidRPr="003F2D57" w:rsidRDefault="00E6045E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Nights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1BA52D3F" w14:textId="77777777" w:rsidR="00E6045E" w:rsidRPr="00E6045E" w:rsidRDefault="00E6045E" w:rsidP="00E6045E">
            <w:pPr>
              <w:pStyle w:val="NormalWeb"/>
              <w:spacing w:after="160" w:line="264" w:lineRule="auto"/>
              <w:jc w:val="center"/>
              <w:rPr>
                <w:rFonts w:asciiTheme="minorHAnsi" w:eastAsia="Verdana" w:hAnsi="Verdana" w:cstheme="minorBidi"/>
                <w:color w:val="000000" w:themeColor="text1"/>
                <w:kern w:val="24"/>
                <w:sz w:val="20"/>
                <w:szCs w:val="20"/>
              </w:rPr>
            </w:pPr>
            <w:r w:rsidRPr="00E6045E">
              <w:rPr>
                <w:rFonts w:asciiTheme="minorHAnsi" w:eastAsia="Verdana" w:hAnsi="Verdana" w:cstheme="minorBidi"/>
                <w:color w:val="000000" w:themeColor="text1"/>
                <w:kern w:val="24"/>
                <w:sz w:val="20"/>
                <w:szCs w:val="20"/>
              </w:rPr>
              <w:t>24%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2AC578DE" w14:textId="77777777" w:rsidR="00E6045E" w:rsidRPr="00E6045E" w:rsidRDefault="00E6045E" w:rsidP="00E6045E">
            <w:pPr>
              <w:pStyle w:val="NormalWeb"/>
              <w:spacing w:after="160" w:line="264" w:lineRule="auto"/>
              <w:jc w:val="center"/>
              <w:rPr>
                <w:rFonts w:asciiTheme="minorHAnsi" w:eastAsia="Verdana" w:hAnsi="Verdana" w:cstheme="minorBidi"/>
                <w:color w:val="000000" w:themeColor="text1"/>
                <w:kern w:val="24"/>
                <w:sz w:val="20"/>
                <w:szCs w:val="20"/>
              </w:rPr>
            </w:pPr>
            <w:r w:rsidRPr="00E6045E">
              <w:rPr>
                <w:rFonts w:asciiTheme="minorHAnsi" w:eastAsia="Verdana" w:hAnsi="Verdana" w:cstheme="minorBidi"/>
                <w:color w:val="000000" w:themeColor="text1"/>
                <w:kern w:val="24"/>
                <w:sz w:val="20"/>
                <w:szCs w:val="20"/>
              </w:rPr>
              <w:t>0%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74BAB237" w14:textId="77777777" w:rsidR="00E6045E" w:rsidRPr="00E6045E" w:rsidRDefault="00E6045E" w:rsidP="00E6045E">
            <w:pPr>
              <w:pStyle w:val="NormalWeb"/>
              <w:spacing w:after="160" w:line="264" w:lineRule="auto"/>
              <w:jc w:val="center"/>
              <w:rPr>
                <w:rFonts w:asciiTheme="minorHAnsi" w:eastAsia="Verdana" w:hAnsi="Verdana" w:cstheme="minorBidi"/>
                <w:color w:val="000000" w:themeColor="text1"/>
                <w:kern w:val="24"/>
                <w:sz w:val="20"/>
                <w:szCs w:val="20"/>
              </w:rPr>
            </w:pPr>
            <w:r w:rsidRPr="00E6045E">
              <w:rPr>
                <w:rFonts w:asciiTheme="minorHAnsi" w:eastAsia="Verdana" w:hAnsi="Verdana" w:cstheme="minorBidi"/>
                <w:color w:val="000000" w:themeColor="text1"/>
                <w:kern w:val="24"/>
                <w:sz w:val="20"/>
                <w:szCs w:val="20"/>
              </w:rPr>
              <w:t>76%</w:t>
            </w:r>
          </w:p>
        </w:tc>
      </w:tr>
      <w:tr w:rsidR="00E6045E" w:rsidRPr="00E6045E" w14:paraId="50477904" w14:textId="77777777" w:rsidTr="003F2D57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vAlign w:val="center"/>
          </w:tcPr>
          <w:p w14:paraId="5FBD8A53" w14:textId="77777777" w:rsidR="00E6045E" w:rsidRPr="003F2D57" w:rsidRDefault="00E6045E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Spend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0570785C" w14:textId="77777777" w:rsidR="00E6045E" w:rsidRPr="00E6045E" w:rsidRDefault="00E6045E" w:rsidP="00E6045E">
            <w:pPr>
              <w:pStyle w:val="NormalWeb"/>
              <w:spacing w:after="160" w:line="264" w:lineRule="auto"/>
              <w:jc w:val="center"/>
              <w:rPr>
                <w:rFonts w:asciiTheme="minorHAnsi" w:eastAsia="Verdana" w:hAnsi="Verdana" w:cstheme="minorBidi"/>
                <w:color w:val="000000" w:themeColor="text1"/>
                <w:kern w:val="24"/>
                <w:sz w:val="20"/>
                <w:szCs w:val="20"/>
              </w:rPr>
            </w:pPr>
            <w:r w:rsidRPr="00E6045E">
              <w:rPr>
                <w:rFonts w:asciiTheme="minorHAnsi" w:eastAsia="Verdana" w:hAnsi="Verdana" w:cstheme="minorBidi"/>
                <w:color w:val="000000" w:themeColor="text1"/>
                <w:kern w:val="24"/>
                <w:sz w:val="20"/>
                <w:szCs w:val="20"/>
              </w:rPr>
              <w:t>42%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46C60B9B" w14:textId="77777777" w:rsidR="00E6045E" w:rsidRPr="00E6045E" w:rsidRDefault="00E6045E" w:rsidP="00E6045E">
            <w:pPr>
              <w:pStyle w:val="NormalWeb"/>
              <w:spacing w:after="160" w:line="264" w:lineRule="auto"/>
              <w:jc w:val="center"/>
              <w:rPr>
                <w:rFonts w:asciiTheme="minorHAnsi" w:eastAsia="Verdana" w:hAnsi="Verdana" w:cstheme="minorBidi"/>
                <w:color w:val="000000" w:themeColor="text1"/>
                <w:kern w:val="24"/>
                <w:sz w:val="20"/>
                <w:szCs w:val="20"/>
              </w:rPr>
            </w:pPr>
            <w:r w:rsidRPr="00E6045E">
              <w:rPr>
                <w:rFonts w:asciiTheme="minorHAnsi" w:eastAsia="Verdana" w:hAnsi="Verdana" w:cstheme="minorBidi"/>
                <w:color w:val="000000" w:themeColor="text1"/>
                <w:kern w:val="24"/>
                <w:sz w:val="20"/>
                <w:szCs w:val="20"/>
              </w:rPr>
              <w:t>3%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36B81D44" w14:textId="77777777" w:rsidR="00E6045E" w:rsidRPr="00E6045E" w:rsidRDefault="00E6045E" w:rsidP="00E6045E">
            <w:pPr>
              <w:pStyle w:val="NormalWeb"/>
              <w:spacing w:after="160" w:line="264" w:lineRule="auto"/>
              <w:jc w:val="center"/>
              <w:rPr>
                <w:rFonts w:asciiTheme="minorHAnsi" w:eastAsia="Verdana" w:hAnsi="Verdana" w:cstheme="minorBidi"/>
                <w:color w:val="000000" w:themeColor="text1"/>
                <w:kern w:val="24"/>
                <w:sz w:val="20"/>
                <w:szCs w:val="20"/>
              </w:rPr>
            </w:pPr>
            <w:r w:rsidRPr="00E6045E">
              <w:rPr>
                <w:rFonts w:asciiTheme="minorHAnsi" w:eastAsia="Verdana" w:hAnsi="Verdana" w:cstheme="minorBidi"/>
                <w:color w:val="000000" w:themeColor="text1"/>
                <w:kern w:val="24"/>
                <w:sz w:val="20"/>
                <w:szCs w:val="20"/>
              </w:rPr>
              <w:t>55%</w:t>
            </w:r>
          </w:p>
        </w:tc>
      </w:tr>
    </w:tbl>
    <w:p w14:paraId="1A8B9A40" w14:textId="77777777" w:rsidR="00E6045E" w:rsidRPr="001C255E" w:rsidRDefault="00E6045E" w:rsidP="00282397">
      <w:pPr>
        <w:pStyle w:val="NormalWeb"/>
        <w:spacing w:before="0" w:beforeAutospacing="0" w:after="160" w:afterAutospacing="0" w:line="264" w:lineRule="auto"/>
        <w:rPr>
          <w:rFonts w:asciiTheme="minorHAnsi" w:eastAsia="Verdana" w:hAnsi="Verdana" w:cstheme="minorBidi"/>
          <w:color w:val="000000" w:themeColor="text1"/>
          <w:kern w:val="24"/>
          <w:sz w:val="20"/>
          <w:szCs w:val="20"/>
        </w:rPr>
      </w:pPr>
    </w:p>
    <w:p w14:paraId="649C4081" w14:textId="77777777" w:rsidR="00835715" w:rsidRDefault="00835715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8F11F3">
        <w:rPr>
          <w:rFonts w:asciiTheme="minorHAnsi" w:eastAsia="Verdana"/>
          <w:kern w:val="24"/>
          <w:sz w:val="20"/>
          <w:szCs w:val="20"/>
        </w:rPr>
        <w:t>Cycling tourism in Australia is driven largely by domestic overnight travellers</w:t>
      </w:r>
      <w:r>
        <w:rPr>
          <w:rFonts w:asciiTheme="minorHAnsi" w:eastAsia="Verdana"/>
          <w:kern w:val="24"/>
          <w:sz w:val="20"/>
          <w:szCs w:val="20"/>
        </w:rPr>
        <w:t xml:space="preserve"> </w:t>
      </w:r>
      <w:r w:rsidRPr="008F11F3">
        <w:rPr>
          <w:rFonts w:asciiTheme="minorHAnsi" w:eastAsia="Verdana"/>
          <w:kern w:val="24"/>
          <w:sz w:val="20"/>
          <w:szCs w:val="20"/>
        </w:rPr>
        <w:t>however international travellers, despite lower trip numbers, make up a</w:t>
      </w:r>
      <w:r>
        <w:rPr>
          <w:rFonts w:asciiTheme="minorHAnsi" w:eastAsia="Verdana"/>
          <w:kern w:val="24"/>
          <w:sz w:val="20"/>
          <w:szCs w:val="20"/>
        </w:rPr>
        <w:t xml:space="preserve"> </w:t>
      </w:r>
      <w:r w:rsidRPr="008F11F3">
        <w:rPr>
          <w:rFonts w:asciiTheme="minorHAnsi" w:eastAsia="Verdana"/>
          <w:kern w:val="24"/>
          <w:sz w:val="20"/>
          <w:szCs w:val="20"/>
        </w:rPr>
        <w:t>significant portion of spend, making them a key market</w:t>
      </w:r>
    </w:p>
    <w:p w14:paraId="596385EE" w14:textId="77777777" w:rsidR="00835715" w:rsidRPr="00EE587D" w:rsidRDefault="00835715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>1 in 45 domestic travellers participated in a cycling activity while on their trip.</w:t>
      </w:r>
    </w:p>
    <w:p w14:paraId="5A15D8F8" w14:textId="77777777" w:rsidR="00835715" w:rsidRPr="00EE587D" w:rsidRDefault="00835715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>$1 in every $36 spent on domestic trips was by travellers who took part in a cycling activity during their trip.</w:t>
      </w:r>
    </w:p>
    <w:p w14:paraId="13319650" w14:textId="77777777" w:rsidR="00835715" w:rsidRPr="00EE587D" w:rsidRDefault="00835715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 xml:space="preserve">1 in 20 international visitors to Australia participated in a cycling activity while on their trip. </w:t>
      </w:r>
    </w:p>
    <w:p w14:paraId="706023F9" w14:textId="77777777" w:rsidR="00835715" w:rsidRPr="00EE587D" w:rsidRDefault="00835715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>$1 in every $10 of international spend was by travellers who took part in a cycling activity during their trip.</w:t>
      </w:r>
    </w:p>
    <w:p w14:paraId="4B545515" w14:textId="2827B148" w:rsidR="005B452D" w:rsidRPr="00EE587D" w:rsidRDefault="00835715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>Trips including cycling activities have much higher spend and nights per trip than overall travellers in 2024, making them great contributors to Australia</w:t>
      </w:r>
      <w:r w:rsidRPr="00EE587D">
        <w:rPr>
          <w:rFonts w:asciiTheme="minorHAnsi" w:eastAsia="Verdana"/>
          <w:kern w:val="24"/>
          <w:sz w:val="20"/>
          <w:szCs w:val="20"/>
        </w:rPr>
        <w:t>’</w:t>
      </w:r>
      <w:r w:rsidRPr="00EE587D">
        <w:rPr>
          <w:rFonts w:asciiTheme="minorHAnsi" w:eastAsia="Verdana"/>
          <w:kern w:val="24"/>
          <w:sz w:val="20"/>
          <w:szCs w:val="20"/>
        </w:rPr>
        <w:t>s visitor economy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969"/>
        <w:gridCol w:w="4009"/>
      </w:tblGrid>
      <w:tr w:rsidR="008A21C9" w14:paraId="244585AB" w14:textId="77777777" w:rsidTr="00C6288E">
        <w:tc>
          <w:tcPr>
            <w:tcW w:w="1980" w:type="dxa"/>
            <w:shd w:val="clear" w:color="auto" w:fill="300050" w:themeFill="text2"/>
            <w:vAlign w:val="center"/>
          </w:tcPr>
          <w:p w14:paraId="6FBF54E1" w14:textId="77777777" w:rsidR="008A21C9" w:rsidRPr="00C47DAB" w:rsidRDefault="008A21C9" w:rsidP="00C47DAB">
            <w:pPr>
              <w:spacing w:before="0" w:after="160" w:line="259" w:lineRule="auto"/>
              <w:rPr>
                <w:rFonts w:asciiTheme="minorHAnsi" w:eastAsia="Verdana"/>
                <w:kern w:val="24"/>
                <w:lang w:eastAsia="en-AU"/>
              </w:rPr>
            </w:pPr>
          </w:p>
        </w:tc>
        <w:tc>
          <w:tcPr>
            <w:tcW w:w="3969" w:type="dxa"/>
            <w:shd w:val="clear" w:color="auto" w:fill="300050" w:themeFill="text2"/>
            <w:vAlign w:val="center"/>
          </w:tcPr>
          <w:p w14:paraId="3D42A260" w14:textId="5786F705" w:rsidR="008A21C9" w:rsidRPr="00C6288E" w:rsidRDefault="008A21C9" w:rsidP="00C6288E">
            <w:pPr>
              <w:jc w:val="center"/>
              <w:rPr>
                <w:b/>
                <w:color w:val="FFFFFF" w:themeColor="background1"/>
              </w:rPr>
            </w:pPr>
            <w:r w:rsidRPr="00C6288E">
              <w:rPr>
                <w:b/>
                <w:color w:val="FFFFFF" w:themeColor="background1"/>
              </w:rPr>
              <w:t>Domestic overnight trips including cycling activities</w:t>
            </w:r>
          </w:p>
        </w:tc>
        <w:tc>
          <w:tcPr>
            <w:tcW w:w="4009" w:type="dxa"/>
            <w:shd w:val="clear" w:color="auto" w:fill="300050" w:themeFill="text2"/>
            <w:vAlign w:val="center"/>
          </w:tcPr>
          <w:p w14:paraId="405BFEAA" w14:textId="63FCAEA1" w:rsidR="008A21C9" w:rsidRPr="00C6288E" w:rsidRDefault="008A21C9" w:rsidP="00C6288E">
            <w:pPr>
              <w:jc w:val="center"/>
              <w:rPr>
                <w:b/>
                <w:color w:val="FFFFFF" w:themeColor="background1"/>
              </w:rPr>
            </w:pPr>
            <w:r w:rsidRPr="00C6288E">
              <w:rPr>
                <w:b/>
                <w:color w:val="FFFFFF" w:themeColor="background1"/>
              </w:rPr>
              <w:t>International trips including cycling activities</w:t>
            </w:r>
          </w:p>
        </w:tc>
      </w:tr>
      <w:tr w:rsidR="008A21C9" w14:paraId="43586DA7" w14:textId="77777777" w:rsidTr="002C4467">
        <w:tc>
          <w:tcPr>
            <w:tcW w:w="1980" w:type="dxa"/>
            <w:shd w:val="clear" w:color="auto" w:fill="300050" w:themeFill="text2"/>
            <w:vAlign w:val="center"/>
          </w:tcPr>
          <w:p w14:paraId="01C0F3DB" w14:textId="61CE87AA" w:rsidR="008A21C9" w:rsidRPr="003F2D57" w:rsidRDefault="008A21C9" w:rsidP="00C47DAB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Average spend per trip</w:t>
            </w:r>
          </w:p>
        </w:tc>
        <w:tc>
          <w:tcPr>
            <w:tcW w:w="3969" w:type="dxa"/>
            <w:vAlign w:val="center"/>
          </w:tcPr>
          <w:p w14:paraId="1A25B6A8" w14:textId="2BD105F3" w:rsidR="008A21C9" w:rsidRPr="008A21C9" w:rsidRDefault="008A21C9" w:rsidP="006B4D3D">
            <w:pPr>
              <w:spacing w:before="0" w:after="160" w:line="259" w:lineRule="auto"/>
              <w:rPr>
                <w:rFonts w:asciiTheme="minorHAnsi" w:eastAsia="Verdana"/>
                <w:kern w:val="24"/>
                <w:lang w:eastAsia="en-AU"/>
              </w:rPr>
            </w:pPr>
            <w:r w:rsidRPr="008A21C9">
              <w:rPr>
                <w:rFonts w:asciiTheme="minorHAnsi" w:eastAsia="Verdana"/>
                <w:kern w:val="24"/>
                <w:lang w:eastAsia="en-AU"/>
              </w:rPr>
              <w:t>$998</w:t>
            </w:r>
            <w:r w:rsidR="006B4D3D">
              <w:rPr>
                <w:rFonts w:asciiTheme="minorHAnsi" w:eastAsia="Verdana"/>
                <w:kern w:val="24"/>
                <w:lang w:eastAsia="en-AU"/>
              </w:rPr>
              <w:br/>
            </w:r>
            <w:r w:rsidRPr="008A21C9">
              <w:rPr>
                <w:rFonts w:asciiTheme="minorHAnsi" w:eastAsia="Verdana"/>
                <w:kern w:val="24"/>
                <w:lang w:eastAsia="en-AU"/>
              </w:rPr>
              <w:t>($959 overall travellers in 2024)</w:t>
            </w:r>
          </w:p>
        </w:tc>
        <w:tc>
          <w:tcPr>
            <w:tcW w:w="4009" w:type="dxa"/>
            <w:vAlign w:val="center"/>
          </w:tcPr>
          <w:p w14:paraId="33DD1416" w14:textId="43E14B6F" w:rsidR="008A21C9" w:rsidRPr="008A21C9" w:rsidRDefault="007F5791" w:rsidP="006B4D3D">
            <w:pPr>
              <w:spacing w:before="0" w:after="160" w:line="259" w:lineRule="auto"/>
              <w:rPr>
                <w:rFonts w:asciiTheme="minorHAnsi" w:eastAsia="Verdana"/>
                <w:kern w:val="24"/>
                <w:lang w:eastAsia="en-AU"/>
              </w:rPr>
            </w:pPr>
            <w:r w:rsidRPr="007F5791">
              <w:rPr>
                <w:rFonts w:asciiTheme="minorHAnsi" w:eastAsia="Verdana"/>
                <w:kern w:val="24"/>
                <w:lang w:eastAsia="en-AU"/>
              </w:rPr>
              <w:t>$9,223</w:t>
            </w:r>
            <w:r w:rsidR="006B4D3D">
              <w:rPr>
                <w:rFonts w:asciiTheme="minorHAnsi" w:eastAsia="Verdana"/>
                <w:kern w:val="24"/>
                <w:lang w:eastAsia="en-AU"/>
              </w:rPr>
              <w:br/>
            </w:r>
            <w:r w:rsidRPr="007F5791">
              <w:rPr>
                <w:rFonts w:asciiTheme="minorHAnsi" w:eastAsia="Verdana"/>
                <w:kern w:val="24"/>
                <w:lang w:eastAsia="en-AU"/>
              </w:rPr>
              <w:t>($4,311 overall travellers in 2024)</w:t>
            </w:r>
          </w:p>
        </w:tc>
      </w:tr>
      <w:tr w:rsidR="008A21C9" w14:paraId="1858AF1B" w14:textId="77777777" w:rsidTr="002C4467">
        <w:tc>
          <w:tcPr>
            <w:tcW w:w="1980" w:type="dxa"/>
            <w:shd w:val="clear" w:color="auto" w:fill="300050" w:themeFill="text2"/>
            <w:vAlign w:val="center"/>
          </w:tcPr>
          <w:p w14:paraId="32D2ABED" w14:textId="52B139F8" w:rsidR="008A21C9" w:rsidRPr="003F2D57" w:rsidRDefault="007F5791" w:rsidP="00C47DAB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Average spend per night</w:t>
            </w:r>
          </w:p>
        </w:tc>
        <w:tc>
          <w:tcPr>
            <w:tcW w:w="3969" w:type="dxa"/>
            <w:vAlign w:val="center"/>
          </w:tcPr>
          <w:p w14:paraId="32737B75" w14:textId="25C99290" w:rsidR="008A21C9" w:rsidRPr="008A21C9" w:rsidRDefault="007F5791" w:rsidP="006B4D3D">
            <w:pPr>
              <w:spacing w:after="160" w:line="259" w:lineRule="auto"/>
              <w:rPr>
                <w:rFonts w:asciiTheme="minorHAnsi" w:eastAsia="Verdana"/>
                <w:kern w:val="24"/>
              </w:rPr>
            </w:pPr>
            <w:r>
              <w:rPr>
                <w:rFonts w:asciiTheme="minorHAnsi" w:eastAsia="Verdana"/>
                <w:kern w:val="24"/>
                <w:lang w:eastAsia="en-AU"/>
              </w:rPr>
              <w:t>$</w:t>
            </w:r>
            <w:r w:rsidRPr="00C47DAB">
              <w:rPr>
                <w:rFonts w:asciiTheme="minorHAnsi" w:eastAsia="Verdana"/>
                <w:kern w:val="24"/>
                <w:lang w:eastAsia="en-AU"/>
              </w:rPr>
              <w:t>246</w:t>
            </w:r>
            <w:r w:rsidR="006B4D3D">
              <w:rPr>
                <w:rFonts w:asciiTheme="minorHAnsi" w:eastAsia="Verdana"/>
                <w:kern w:val="24"/>
                <w:lang w:eastAsia="en-AU"/>
              </w:rPr>
              <w:br/>
            </w:r>
            <w:r w:rsidR="006B4D3D" w:rsidRPr="006B4D3D">
              <w:rPr>
                <w:rFonts w:asciiTheme="minorHAnsi" w:eastAsia="Verdana"/>
                <w:kern w:val="24"/>
              </w:rPr>
              <w:t>($278 overall travellers in 2024)</w:t>
            </w:r>
          </w:p>
        </w:tc>
        <w:tc>
          <w:tcPr>
            <w:tcW w:w="4009" w:type="dxa"/>
            <w:vAlign w:val="center"/>
          </w:tcPr>
          <w:p w14:paraId="1353FE8A" w14:textId="217084E4" w:rsidR="008A21C9" w:rsidRPr="008A21C9" w:rsidRDefault="007F5791" w:rsidP="006B4D3D">
            <w:pPr>
              <w:tabs>
                <w:tab w:val="left" w:pos="1379"/>
              </w:tabs>
              <w:spacing w:after="160" w:line="259" w:lineRule="auto"/>
              <w:rPr>
                <w:rFonts w:asciiTheme="minorHAnsi" w:eastAsia="Verdana"/>
                <w:kern w:val="24"/>
              </w:rPr>
            </w:pPr>
            <w:r>
              <w:rPr>
                <w:rFonts w:asciiTheme="minorHAnsi" w:eastAsia="Verdana"/>
                <w:kern w:val="24"/>
                <w:lang w:eastAsia="en-AU"/>
              </w:rPr>
              <w:t>$</w:t>
            </w:r>
            <w:r w:rsidRPr="00C47DAB">
              <w:rPr>
                <w:rFonts w:asciiTheme="minorHAnsi" w:eastAsia="Verdana"/>
                <w:kern w:val="24"/>
                <w:lang w:eastAsia="en-AU"/>
              </w:rPr>
              <w:t>104</w:t>
            </w:r>
            <w:r w:rsidR="006B4D3D">
              <w:rPr>
                <w:rFonts w:asciiTheme="minorHAnsi" w:eastAsia="Verdana"/>
                <w:kern w:val="24"/>
                <w:lang w:eastAsia="en-AU"/>
              </w:rPr>
              <w:br/>
            </w:r>
            <w:r w:rsidR="006B4D3D" w:rsidRPr="006B4D3D">
              <w:rPr>
                <w:rFonts w:asciiTheme="minorHAnsi" w:eastAsia="Verdana"/>
                <w:kern w:val="24"/>
              </w:rPr>
              <w:t>($112 overall travellers in 2024)</w:t>
            </w:r>
          </w:p>
        </w:tc>
      </w:tr>
      <w:tr w:rsidR="008A21C9" w14:paraId="523DB5EC" w14:textId="77777777" w:rsidTr="002C4467">
        <w:tc>
          <w:tcPr>
            <w:tcW w:w="1980" w:type="dxa"/>
            <w:shd w:val="clear" w:color="auto" w:fill="300050" w:themeFill="text2"/>
            <w:vAlign w:val="center"/>
          </w:tcPr>
          <w:p w14:paraId="63FF635D" w14:textId="4C95F136" w:rsidR="008A21C9" w:rsidRPr="00C47DAB" w:rsidRDefault="00C47DAB" w:rsidP="00C47DAB">
            <w:pPr>
              <w:spacing w:before="0" w:after="160" w:line="259" w:lineRule="auto"/>
              <w:rPr>
                <w:rFonts w:asciiTheme="minorHAnsi" w:eastAsia="Verdana"/>
                <w:color w:val="FFFFFF" w:themeColor="background1"/>
                <w:kern w:val="24"/>
                <w:lang w:eastAsia="en-AU"/>
              </w:rPr>
            </w:pPr>
            <w:r w:rsidRPr="00C47DAB">
              <w:rPr>
                <w:rFonts w:asciiTheme="minorHAnsi" w:eastAsia="Verdana"/>
                <w:color w:val="FFFFFF" w:themeColor="background1"/>
                <w:kern w:val="24"/>
                <w:lang w:eastAsia="en-AU"/>
              </w:rPr>
              <w:lastRenderedPageBreak/>
              <w:t>Average nights per trip</w:t>
            </w:r>
          </w:p>
        </w:tc>
        <w:tc>
          <w:tcPr>
            <w:tcW w:w="3969" w:type="dxa"/>
            <w:vAlign w:val="center"/>
          </w:tcPr>
          <w:p w14:paraId="1D42506A" w14:textId="6C4CC0B5" w:rsidR="002C4467" w:rsidRPr="008A21C9" w:rsidRDefault="00C47DAB" w:rsidP="002C4467">
            <w:pPr>
              <w:spacing w:before="0" w:after="160" w:line="259" w:lineRule="auto"/>
              <w:rPr>
                <w:rFonts w:asciiTheme="minorHAnsi" w:eastAsia="Verdana"/>
                <w:kern w:val="24"/>
                <w:lang w:eastAsia="en-AU"/>
              </w:rPr>
            </w:pPr>
            <w:r>
              <w:rPr>
                <w:rFonts w:asciiTheme="minorHAnsi" w:eastAsia="Verdana"/>
                <w:kern w:val="24"/>
                <w:lang w:eastAsia="en-AU"/>
              </w:rPr>
              <w:t>4 nights</w:t>
            </w:r>
            <w:r w:rsidR="002C4467">
              <w:rPr>
                <w:rFonts w:asciiTheme="minorHAnsi" w:eastAsia="Verdana"/>
                <w:kern w:val="24"/>
                <w:lang w:eastAsia="en-AU"/>
              </w:rPr>
              <w:br/>
            </w:r>
            <w:r w:rsidR="002C4467" w:rsidRPr="002C4467">
              <w:rPr>
                <w:rFonts w:asciiTheme="minorHAnsi" w:eastAsia="Verdana"/>
                <w:kern w:val="24"/>
                <w:lang w:eastAsia="en-AU"/>
              </w:rPr>
              <w:t>(3.5 nights overall travellers in 2024)</w:t>
            </w:r>
          </w:p>
        </w:tc>
        <w:tc>
          <w:tcPr>
            <w:tcW w:w="4009" w:type="dxa"/>
            <w:vAlign w:val="center"/>
          </w:tcPr>
          <w:p w14:paraId="1413AF6D" w14:textId="3DA3CD88" w:rsidR="008A21C9" w:rsidRPr="008A21C9" w:rsidRDefault="00C47DAB" w:rsidP="006B4D3D">
            <w:pPr>
              <w:spacing w:after="160" w:line="259" w:lineRule="auto"/>
              <w:rPr>
                <w:rFonts w:asciiTheme="minorHAnsi" w:eastAsia="Verdana"/>
                <w:kern w:val="24"/>
              </w:rPr>
            </w:pPr>
            <w:r>
              <w:rPr>
                <w:rFonts w:asciiTheme="minorHAnsi" w:eastAsia="Verdana"/>
                <w:kern w:val="24"/>
                <w:lang w:eastAsia="en-AU"/>
              </w:rPr>
              <w:t>89 nights</w:t>
            </w:r>
            <w:r w:rsidR="006B4D3D">
              <w:rPr>
                <w:rFonts w:asciiTheme="minorHAnsi" w:eastAsia="Verdana"/>
                <w:kern w:val="24"/>
                <w:lang w:eastAsia="en-AU"/>
              </w:rPr>
              <w:br/>
            </w:r>
            <w:r w:rsidR="006B4D3D" w:rsidRPr="006B4D3D">
              <w:rPr>
                <w:rFonts w:asciiTheme="minorHAnsi" w:eastAsia="Verdana"/>
                <w:kern w:val="24"/>
              </w:rPr>
              <w:t>(39 nights overall travellers in 2024)</w:t>
            </w:r>
          </w:p>
        </w:tc>
      </w:tr>
    </w:tbl>
    <w:p w14:paraId="2699FFEE" w14:textId="77777777" w:rsidR="0020702F" w:rsidRDefault="0020702F" w:rsidP="0020702F">
      <w:pPr>
        <w:spacing w:before="0" w:after="160" w:line="259" w:lineRule="auto"/>
        <w:rPr>
          <w:lang w:eastAsia="zh-CN"/>
        </w:rPr>
      </w:pPr>
    </w:p>
    <w:p w14:paraId="5A9236CB" w14:textId="506750F7" w:rsidR="006D76C2" w:rsidRPr="0020702F" w:rsidRDefault="0020702F" w:rsidP="0020702F">
      <w:pPr>
        <w:spacing w:before="0" w:after="160" w:line="259" w:lineRule="auto"/>
        <w:rPr>
          <w:lang w:eastAsia="zh-CN"/>
        </w:rPr>
      </w:pPr>
      <w:r w:rsidRPr="0020702F">
        <w:rPr>
          <w:lang w:eastAsia="zh-CN"/>
        </w:rPr>
        <w:t>Higher spend and nights are due to the larger</w:t>
      </w:r>
      <w:r>
        <w:rPr>
          <w:lang w:eastAsia="zh-CN"/>
        </w:rPr>
        <w:t xml:space="preserve"> </w:t>
      </w:r>
      <w:r w:rsidRPr="0020702F">
        <w:rPr>
          <w:lang w:eastAsia="zh-CN"/>
        </w:rPr>
        <w:t>number of international travellers in Australia</w:t>
      </w:r>
      <w:r>
        <w:rPr>
          <w:lang w:eastAsia="zh-CN"/>
        </w:rPr>
        <w:t xml:space="preserve"> </w:t>
      </w:r>
      <w:r w:rsidRPr="0020702F">
        <w:rPr>
          <w:lang w:eastAsia="zh-CN"/>
        </w:rPr>
        <w:t>for short term education.</w:t>
      </w:r>
    </w:p>
    <w:p w14:paraId="424A5A8E" w14:textId="57DF8071" w:rsidR="006D76C2" w:rsidRDefault="00D46C76" w:rsidP="00B801A3">
      <w:pPr>
        <w:pStyle w:val="Heading4"/>
      </w:pPr>
      <w:r w:rsidRPr="00D46C76">
        <w:t>Those on a trip that</w:t>
      </w:r>
      <w:r w:rsidR="00B801A3">
        <w:t xml:space="preserve"> </w:t>
      </w:r>
      <w:r w:rsidRPr="00D46C76">
        <w:t>includes cycling are</w:t>
      </w:r>
      <w:r w:rsidR="00B801A3">
        <w:t xml:space="preserve"> </w:t>
      </w:r>
      <w:r w:rsidRPr="00D46C76">
        <w:t>much more likely to</w:t>
      </w:r>
      <w:r w:rsidR="00B801A3">
        <w:t xml:space="preserve"> </w:t>
      </w:r>
      <w:r w:rsidRPr="00D46C76">
        <w:t>spend money on</w:t>
      </w:r>
      <w:r w:rsidR="00B801A3">
        <w:t xml:space="preserve"> </w:t>
      </w:r>
      <w:r w:rsidRPr="00D46C76">
        <w:t>accommodation,</w:t>
      </w:r>
      <w:r w:rsidR="00B801A3">
        <w:t xml:space="preserve"> and </w:t>
      </w:r>
      <w:r w:rsidRPr="00D46C76">
        <w:t>food and drink than</w:t>
      </w:r>
      <w:r w:rsidR="00B801A3">
        <w:t xml:space="preserve"> </w:t>
      </w:r>
      <w:r w:rsidRPr="00D46C76">
        <w:t>overall travellers</w:t>
      </w:r>
    </w:p>
    <w:p w14:paraId="3D4E7180" w14:textId="0855D8AB" w:rsidR="00254A1A" w:rsidRPr="00EE587D" w:rsidRDefault="00254A1A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>The spending habits of travellers on trips that involve cycling indicate that cycling tourism supports a diverse range of local industries.</w:t>
      </w:r>
    </w:p>
    <w:p w14:paraId="77B9368A" w14:textId="208E280D" w:rsidR="00254A1A" w:rsidRPr="00EE587D" w:rsidRDefault="00254A1A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>Domestic overnight travellers that cycle on trips spend more on accommodation at 36% and food and drink at 34% than other traveller types. Domestic day trip travellers that cycle on their trips are much more likely to spend on transportation at 31%, food and drink at 48% and entertainment at 11%.</w:t>
      </w:r>
    </w:p>
    <w:p w14:paraId="63F93E7A" w14:textId="6BDB7DD2" w:rsidR="00B801A3" w:rsidRPr="00EE587D" w:rsidRDefault="00254A1A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>International travellers that cycle on their trip over index in spending on education at 23%. 1 in 7 international travellers that cycle on their trip are travelling for short term education, which accounts for the spend on education.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119"/>
        <w:gridCol w:w="2870"/>
      </w:tblGrid>
      <w:tr w:rsidR="00DC4C05" w:rsidRPr="006B7C76" w14:paraId="19286405" w14:textId="77777777" w:rsidTr="00DC4C05">
        <w:tc>
          <w:tcPr>
            <w:tcW w:w="3969" w:type="dxa"/>
            <w:shd w:val="clear" w:color="auto" w:fill="300050" w:themeFill="text2"/>
            <w:vAlign w:val="bottom"/>
          </w:tcPr>
          <w:p w14:paraId="1D6CEBCD" w14:textId="524DF98A" w:rsidR="00DC4C05" w:rsidRPr="006B7C76" w:rsidRDefault="00DC4C05" w:rsidP="00DC4C05">
            <w:pPr>
              <w:spacing w:before="0" w:after="160" w:line="259" w:lineRule="auto"/>
              <w:rPr>
                <w:rFonts w:asciiTheme="majorHAnsi" w:eastAsia="Verdana" w:hAnsiTheme="majorHAnsi"/>
                <w:color w:val="FFFFFF" w:themeColor="background1"/>
                <w:kern w:val="24"/>
                <w:lang w:eastAsia="en-AU"/>
              </w:rPr>
            </w:pPr>
            <w:r w:rsidRPr="006B7C76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3119" w:type="dxa"/>
            <w:shd w:val="clear" w:color="auto" w:fill="300050" w:themeFill="text2"/>
            <w:vAlign w:val="bottom"/>
          </w:tcPr>
          <w:p w14:paraId="769EE16D" w14:textId="673E30B7" w:rsidR="00DC4C05" w:rsidRPr="00C6288E" w:rsidRDefault="00DC4C05" w:rsidP="00C6288E">
            <w:pPr>
              <w:jc w:val="center"/>
              <w:rPr>
                <w:b/>
                <w:color w:val="FFFFFF" w:themeColor="background1"/>
              </w:rPr>
            </w:pPr>
            <w:r w:rsidRPr="00C6288E">
              <w:rPr>
                <w:b/>
                <w:color w:val="FFFFFF" w:themeColor="background1"/>
              </w:rPr>
              <w:t>Trips including cycling</w:t>
            </w:r>
          </w:p>
        </w:tc>
        <w:tc>
          <w:tcPr>
            <w:tcW w:w="2870" w:type="dxa"/>
            <w:shd w:val="clear" w:color="auto" w:fill="300050" w:themeFill="text2"/>
            <w:vAlign w:val="bottom"/>
          </w:tcPr>
          <w:p w14:paraId="483AF727" w14:textId="3D2B7069" w:rsidR="00DC4C05" w:rsidRPr="00C6288E" w:rsidRDefault="00DC4C05" w:rsidP="00C6288E">
            <w:pPr>
              <w:jc w:val="center"/>
              <w:rPr>
                <w:b/>
                <w:color w:val="FFFFFF" w:themeColor="background1"/>
              </w:rPr>
            </w:pPr>
            <w:r w:rsidRPr="00C6288E">
              <w:rPr>
                <w:b/>
                <w:color w:val="FFFFFF" w:themeColor="background1"/>
              </w:rPr>
              <w:t>Total trips in 2024</w:t>
            </w:r>
          </w:p>
        </w:tc>
      </w:tr>
      <w:tr w:rsidR="00DC4C05" w:rsidRPr="006B7C76" w14:paraId="240C270E" w14:textId="77777777" w:rsidTr="003F2D57">
        <w:trPr>
          <w:trHeight w:val="622"/>
        </w:trPr>
        <w:tc>
          <w:tcPr>
            <w:tcW w:w="3969" w:type="dxa"/>
            <w:shd w:val="clear" w:color="auto" w:fill="300050" w:themeFill="text2"/>
            <w:vAlign w:val="center"/>
          </w:tcPr>
          <w:p w14:paraId="3D91C6EB" w14:textId="586FC965" w:rsidR="00DC4C05" w:rsidRPr="006B7C76" w:rsidRDefault="00DC4C05" w:rsidP="003F2D57">
            <w:pPr>
              <w:spacing w:before="0" w:after="160" w:line="259" w:lineRule="auto"/>
              <w:rPr>
                <w:rFonts w:asciiTheme="majorHAnsi" w:eastAsia="Verdana" w:hAnsiTheme="majorHAnsi"/>
                <w:color w:val="FFFFFF" w:themeColor="background1"/>
                <w:kern w:val="24"/>
                <w:lang w:eastAsia="en-AU"/>
              </w:rPr>
            </w:pPr>
            <w:r w:rsidRPr="006B7C76">
              <w:rPr>
                <w:rFonts w:asciiTheme="majorHAnsi" w:hAnsiTheme="majorHAnsi"/>
                <w:color w:val="FFFFFF" w:themeColor="background1"/>
              </w:rPr>
              <w:t>Accommodation</w:t>
            </w:r>
          </w:p>
        </w:tc>
        <w:tc>
          <w:tcPr>
            <w:tcW w:w="3119" w:type="dxa"/>
            <w:vAlign w:val="bottom"/>
          </w:tcPr>
          <w:p w14:paraId="1C88FA91" w14:textId="0B0E4260" w:rsidR="00DC4C05" w:rsidRPr="006B7C76" w:rsidRDefault="00DC4C05" w:rsidP="0010557F">
            <w:pPr>
              <w:spacing w:before="0" w:after="160" w:line="259" w:lineRule="auto"/>
              <w:jc w:val="center"/>
              <w:rPr>
                <w:rFonts w:asciiTheme="majorHAnsi" w:eastAsia="Verdana" w:hAnsiTheme="majorHAnsi"/>
                <w:kern w:val="24"/>
                <w:lang w:eastAsia="en-AU"/>
              </w:rPr>
            </w:pPr>
            <w:r w:rsidRPr="006B7C76">
              <w:rPr>
                <w:rFonts w:asciiTheme="majorHAnsi" w:hAnsiTheme="majorHAnsi"/>
                <w:color w:val="000000"/>
              </w:rPr>
              <w:t>31%</w:t>
            </w:r>
          </w:p>
        </w:tc>
        <w:tc>
          <w:tcPr>
            <w:tcW w:w="2870" w:type="dxa"/>
            <w:vAlign w:val="bottom"/>
          </w:tcPr>
          <w:p w14:paraId="4E01544F" w14:textId="69D6B8BF" w:rsidR="00DC4C05" w:rsidRPr="006B7C76" w:rsidRDefault="00DC4C05" w:rsidP="0010557F">
            <w:pPr>
              <w:spacing w:before="0" w:after="160" w:line="259" w:lineRule="auto"/>
              <w:jc w:val="center"/>
              <w:rPr>
                <w:rFonts w:asciiTheme="majorHAnsi" w:eastAsia="Verdana" w:hAnsiTheme="majorHAnsi"/>
                <w:kern w:val="24"/>
                <w:lang w:eastAsia="en-AU"/>
              </w:rPr>
            </w:pPr>
            <w:r w:rsidRPr="006B7C76">
              <w:rPr>
                <w:rFonts w:asciiTheme="majorHAnsi" w:hAnsiTheme="majorHAnsi"/>
                <w:color w:val="000000"/>
              </w:rPr>
              <w:t>23%</w:t>
            </w:r>
          </w:p>
        </w:tc>
      </w:tr>
      <w:tr w:rsidR="00DC4C05" w:rsidRPr="006B7C76" w14:paraId="14975672" w14:textId="77777777" w:rsidTr="003F2D57">
        <w:trPr>
          <w:trHeight w:val="622"/>
        </w:trPr>
        <w:tc>
          <w:tcPr>
            <w:tcW w:w="3969" w:type="dxa"/>
            <w:shd w:val="clear" w:color="auto" w:fill="300050" w:themeFill="text2"/>
            <w:vAlign w:val="center"/>
          </w:tcPr>
          <w:p w14:paraId="0142FB16" w14:textId="0DBAF3FF" w:rsidR="00DC4C05" w:rsidRPr="006B7C76" w:rsidRDefault="00DC4C05" w:rsidP="003F2D57">
            <w:pPr>
              <w:spacing w:before="0" w:after="160" w:line="259" w:lineRule="auto"/>
              <w:rPr>
                <w:rFonts w:asciiTheme="majorHAnsi" w:eastAsia="Verdana" w:hAnsiTheme="majorHAnsi"/>
                <w:color w:val="FFFFFF" w:themeColor="background1"/>
                <w:kern w:val="24"/>
                <w:lang w:eastAsia="en-AU"/>
              </w:rPr>
            </w:pPr>
            <w:r w:rsidRPr="006B7C76">
              <w:rPr>
                <w:rFonts w:asciiTheme="majorHAnsi" w:hAnsiTheme="majorHAnsi"/>
                <w:color w:val="FFFFFF" w:themeColor="background1"/>
              </w:rPr>
              <w:t>Food and drink</w:t>
            </w:r>
          </w:p>
        </w:tc>
        <w:tc>
          <w:tcPr>
            <w:tcW w:w="3119" w:type="dxa"/>
            <w:vAlign w:val="bottom"/>
          </w:tcPr>
          <w:p w14:paraId="01A73AE9" w14:textId="278CDF6A" w:rsidR="00DC4C05" w:rsidRPr="006B7C76" w:rsidRDefault="00DC4C05" w:rsidP="0010557F">
            <w:pPr>
              <w:spacing w:after="160" w:line="259" w:lineRule="auto"/>
              <w:jc w:val="center"/>
              <w:rPr>
                <w:rFonts w:asciiTheme="majorHAnsi" w:eastAsia="Verdana" w:hAnsiTheme="majorHAnsi"/>
                <w:kern w:val="24"/>
              </w:rPr>
            </w:pPr>
            <w:r w:rsidRPr="006B7C76">
              <w:rPr>
                <w:rFonts w:asciiTheme="majorHAnsi" w:hAnsiTheme="majorHAnsi"/>
                <w:color w:val="000000"/>
              </w:rPr>
              <w:t>29%</w:t>
            </w:r>
          </w:p>
        </w:tc>
        <w:tc>
          <w:tcPr>
            <w:tcW w:w="2870" w:type="dxa"/>
            <w:vAlign w:val="bottom"/>
          </w:tcPr>
          <w:p w14:paraId="078BADCD" w14:textId="23387E7A" w:rsidR="00DC4C05" w:rsidRPr="006B7C76" w:rsidRDefault="00DC4C05" w:rsidP="0010557F">
            <w:pPr>
              <w:tabs>
                <w:tab w:val="left" w:pos="1379"/>
              </w:tabs>
              <w:spacing w:after="160" w:line="259" w:lineRule="auto"/>
              <w:jc w:val="center"/>
              <w:rPr>
                <w:rFonts w:asciiTheme="majorHAnsi" w:eastAsia="Verdana" w:hAnsiTheme="majorHAnsi"/>
                <w:kern w:val="24"/>
              </w:rPr>
            </w:pPr>
            <w:r w:rsidRPr="006B7C76">
              <w:rPr>
                <w:rFonts w:asciiTheme="majorHAnsi" w:hAnsiTheme="majorHAnsi"/>
                <w:color w:val="000000"/>
              </w:rPr>
              <w:t>28%</w:t>
            </w:r>
          </w:p>
        </w:tc>
      </w:tr>
      <w:tr w:rsidR="00DC4C05" w:rsidRPr="006B7C76" w14:paraId="06425D70" w14:textId="77777777" w:rsidTr="003F2D57">
        <w:trPr>
          <w:trHeight w:val="622"/>
        </w:trPr>
        <w:tc>
          <w:tcPr>
            <w:tcW w:w="3969" w:type="dxa"/>
            <w:shd w:val="clear" w:color="auto" w:fill="300050" w:themeFill="text2"/>
            <w:vAlign w:val="center"/>
          </w:tcPr>
          <w:p w14:paraId="0CDC0AC3" w14:textId="7153CFA2" w:rsidR="00DC4C05" w:rsidRPr="006B7C76" w:rsidRDefault="00DC4C05" w:rsidP="003F2D57">
            <w:pPr>
              <w:spacing w:before="0" w:after="160" w:line="259" w:lineRule="auto"/>
              <w:rPr>
                <w:rFonts w:asciiTheme="majorHAnsi" w:eastAsia="Verdana" w:hAnsiTheme="majorHAnsi"/>
                <w:color w:val="FFFFFF" w:themeColor="background1"/>
                <w:kern w:val="24"/>
                <w:lang w:eastAsia="en-AU"/>
              </w:rPr>
            </w:pPr>
            <w:r w:rsidRPr="006B7C76">
              <w:rPr>
                <w:rFonts w:asciiTheme="majorHAnsi" w:hAnsiTheme="majorHAnsi"/>
                <w:color w:val="FFFFFF" w:themeColor="background1"/>
              </w:rPr>
              <w:t>Education</w:t>
            </w:r>
          </w:p>
        </w:tc>
        <w:tc>
          <w:tcPr>
            <w:tcW w:w="3119" w:type="dxa"/>
            <w:vAlign w:val="bottom"/>
          </w:tcPr>
          <w:p w14:paraId="70958FD0" w14:textId="4CBB71B6" w:rsidR="00DC4C05" w:rsidRPr="006B7C76" w:rsidRDefault="00DC4C05" w:rsidP="0010557F">
            <w:pPr>
              <w:spacing w:before="0" w:after="160" w:line="259" w:lineRule="auto"/>
              <w:jc w:val="center"/>
              <w:rPr>
                <w:rFonts w:asciiTheme="majorHAnsi" w:eastAsia="Verdana" w:hAnsiTheme="majorHAnsi"/>
                <w:kern w:val="24"/>
                <w:lang w:eastAsia="en-AU"/>
              </w:rPr>
            </w:pPr>
            <w:r w:rsidRPr="006B7C76">
              <w:rPr>
                <w:rFonts w:asciiTheme="majorHAnsi" w:hAnsiTheme="majorHAnsi"/>
                <w:color w:val="000000"/>
              </w:rPr>
              <w:t>12%</w:t>
            </w:r>
          </w:p>
        </w:tc>
        <w:tc>
          <w:tcPr>
            <w:tcW w:w="2870" w:type="dxa"/>
            <w:vAlign w:val="bottom"/>
          </w:tcPr>
          <w:p w14:paraId="34BB0883" w14:textId="5D92E933" w:rsidR="00DC4C05" w:rsidRPr="006B7C76" w:rsidRDefault="00DC4C05" w:rsidP="0010557F">
            <w:pPr>
              <w:spacing w:after="160" w:line="259" w:lineRule="auto"/>
              <w:jc w:val="center"/>
              <w:rPr>
                <w:rFonts w:asciiTheme="majorHAnsi" w:eastAsia="Verdana" w:hAnsiTheme="majorHAnsi"/>
                <w:kern w:val="24"/>
              </w:rPr>
            </w:pPr>
            <w:r w:rsidRPr="006B7C76">
              <w:rPr>
                <w:rFonts w:asciiTheme="majorHAnsi" w:hAnsiTheme="majorHAnsi"/>
                <w:color w:val="000000"/>
              </w:rPr>
              <w:t>4%</w:t>
            </w:r>
          </w:p>
        </w:tc>
      </w:tr>
      <w:tr w:rsidR="006B7C76" w:rsidRPr="006B7C76" w14:paraId="56E53A24" w14:textId="77777777" w:rsidTr="003F2D57">
        <w:trPr>
          <w:trHeight w:val="622"/>
        </w:trPr>
        <w:tc>
          <w:tcPr>
            <w:tcW w:w="3969" w:type="dxa"/>
            <w:shd w:val="clear" w:color="auto" w:fill="300050" w:themeFill="text2"/>
            <w:vAlign w:val="center"/>
          </w:tcPr>
          <w:p w14:paraId="7421AED3" w14:textId="04321170" w:rsidR="006B7C76" w:rsidRPr="006B7C76" w:rsidRDefault="006B7C76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6B7C76">
              <w:rPr>
                <w:rFonts w:asciiTheme="majorHAnsi" w:hAnsiTheme="majorHAnsi"/>
                <w:color w:val="FFFFFF" w:themeColor="background1"/>
              </w:rPr>
              <w:t>Transportation</w:t>
            </w:r>
          </w:p>
        </w:tc>
        <w:tc>
          <w:tcPr>
            <w:tcW w:w="3119" w:type="dxa"/>
            <w:vAlign w:val="bottom"/>
          </w:tcPr>
          <w:p w14:paraId="4B3CC173" w14:textId="0FD3AC77" w:rsidR="006B7C76" w:rsidRPr="006B7C76" w:rsidRDefault="006B7C76" w:rsidP="0010557F">
            <w:pPr>
              <w:spacing w:before="0" w:after="160" w:line="259" w:lineRule="auto"/>
              <w:jc w:val="center"/>
              <w:rPr>
                <w:rFonts w:asciiTheme="majorHAnsi" w:hAnsiTheme="majorHAnsi"/>
                <w:color w:val="000000"/>
              </w:rPr>
            </w:pPr>
            <w:r w:rsidRPr="006B7C76">
              <w:rPr>
                <w:rFonts w:asciiTheme="majorHAnsi" w:hAnsiTheme="majorHAnsi"/>
                <w:color w:val="000000"/>
              </w:rPr>
              <w:t>11%</w:t>
            </w:r>
          </w:p>
        </w:tc>
        <w:tc>
          <w:tcPr>
            <w:tcW w:w="2870" w:type="dxa"/>
            <w:vAlign w:val="bottom"/>
          </w:tcPr>
          <w:p w14:paraId="74D628B9" w14:textId="468BFC3D" w:rsidR="006B7C76" w:rsidRPr="006B7C76" w:rsidRDefault="006B7C76" w:rsidP="0010557F">
            <w:pPr>
              <w:spacing w:after="160" w:line="259" w:lineRule="auto"/>
              <w:jc w:val="center"/>
              <w:rPr>
                <w:rFonts w:asciiTheme="majorHAnsi" w:hAnsiTheme="majorHAnsi"/>
                <w:color w:val="000000"/>
              </w:rPr>
            </w:pPr>
            <w:r w:rsidRPr="006B7C76">
              <w:rPr>
                <w:rFonts w:asciiTheme="majorHAnsi" w:hAnsiTheme="majorHAnsi"/>
                <w:color w:val="000000"/>
              </w:rPr>
              <w:t>15%</w:t>
            </w:r>
          </w:p>
        </w:tc>
      </w:tr>
      <w:tr w:rsidR="006B7C76" w:rsidRPr="006B7C76" w14:paraId="69F75C94" w14:textId="77777777" w:rsidTr="003F2D57">
        <w:trPr>
          <w:trHeight w:val="623"/>
        </w:trPr>
        <w:tc>
          <w:tcPr>
            <w:tcW w:w="3969" w:type="dxa"/>
            <w:shd w:val="clear" w:color="auto" w:fill="300050" w:themeFill="text2"/>
            <w:vAlign w:val="center"/>
          </w:tcPr>
          <w:p w14:paraId="614255B7" w14:textId="0358940B" w:rsidR="006B7C76" w:rsidRPr="006B7C76" w:rsidRDefault="006B7C76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6B7C76">
              <w:rPr>
                <w:rFonts w:asciiTheme="majorHAnsi" w:hAnsiTheme="majorHAnsi"/>
                <w:color w:val="FFFFFF" w:themeColor="background1"/>
              </w:rPr>
              <w:t>Shopping</w:t>
            </w:r>
          </w:p>
        </w:tc>
        <w:tc>
          <w:tcPr>
            <w:tcW w:w="3119" w:type="dxa"/>
            <w:vAlign w:val="bottom"/>
          </w:tcPr>
          <w:p w14:paraId="48DF3E66" w14:textId="78342257" w:rsidR="006B7C76" w:rsidRPr="006B7C76" w:rsidRDefault="006B7C76" w:rsidP="0010557F">
            <w:pPr>
              <w:spacing w:before="0" w:after="160" w:line="259" w:lineRule="auto"/>
              <w:jc w:val="center"/>
              <w:rPr>
                <w:rFonts w:asciiTheme="majorHAnsi" w:hAnsiTheme="majorHAnsi"/>
                <w:color w:val="000000"/>
              </w:rPr>
            </w:pPr>
            <w:r w:rsidRPr="006B7C76">
              <w:rPr>
                <w:rFonts w:asciiTheme="majorHAnsi" w:hAnsiTheme="majorHAnsi"/>
                <w:color w:val="000000"/>
              </w:rPr>
              <w:t>7%</w:t>
            </w:r>
          </w:p>
        </w:tc>
        <w:tc>
          <w:tcPr>
            <w:tcW w:w="2870" w:type="dxa"/>
            <w:vAlign w:val="bottom"/>
          </w:tcPr>
          <w:p w14:paraId="37699EA1" w14:textId="0316543A" w:rsidR="006B7C76" w:rsidRPr="006B7C76" w:rsidRDefault="006B7C76" w:rsidP="0010557F">
            <w:pPr>
              <w:spacing w:after="160" w:line="259" w:lineRule="auto"/>
              <w:jc w:val="center"/>
              <w:rPr>
                <w:rFonts w:asciiTheme="majorHAnsi" w:hAnsiTheme="majorHAnsi"/>
                <w:color w:val="000000"/>
              </w:rPr>
            </w:pPr>
            <w:r w:rsidRPr="006B7C76">
              <w:rPr>
                <w:rFonts w:asciiTheme="majorHAnsi" w:hAnsiTheme="majorHAnsi"/>
                <w:color w:val="000000"/>
              </w:rPr>
              <w:t>11%</w:t>
            </w:r>
          </w:p>
        </w:tc>
      </w:tr>
      <w:tr w:rsidR="006B7C76" w:rsidRPr="006B7C76" w14:paraId="31E9BFFC" w14:textId="77777777" w:rsidTr="003F2D57">
        <w:trPr>
          <w:trHeight w:val="622"/>
        </w:trPr>
        <w:tc>
          <w:tcPr>
            <w:tcW w:w="3969" w:type="dxa"/>
            <w:shd w:val="clear" w:color="auto" w:fill="300050" w:themeFill="text2"/>
            <w:vAlign w:val="center"/>
          </w:tcPr>
          <w:p w14:paraId="4882B52E" w14:textId="0AA9E8D9" w:rsidR="006B7C76" w:rsidRPr="006B7C76" w:rsidRDefault="006B7C76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6B7C76">
              <w:rPr>
                <w:rFonts w:asciiTheme="majorHAnsi" w:hAnsiTheme="majorHAnsi"/>
                <w:color w:val="FFFFFF" w:themeColor="background1"/>
              </w:rPr>
              <w:t>Airfares</w:t>
            </w:r>
          </w:p>
        </w:tc>
        <w:tc>
          <w:tcPr>
            <w:tcW w:w="3119" w:type="dxa"/>
            <w:vAlign w:val="bottom"/>
          </w:tcPr>
          <w:p w14:paraId="596D744F" w14:textId="33569404" w:rsidR="006B7C76" w:rsidRPr="006B7C76" w:rsidRDefault="006B7C76" w:rsidP="0010557F">
            <w:pPr>
              <w:spacing w:before="0" w:after="160" w:line="259" w:lineRule="auto"/>
              <w:jc w:val="center"/>
              <w:rPr>
                <w:rFonts w:asciiTheme="majorHAnsi" w:hAnsiTheme="majorHAnsi"/>
                <w:color w:val="000000"/>
              </w:rPr>
            </w:pPr>
            <w:r w:rsidRPr="006B7C76">
              <w:rPr>
                <w:rFonts w:asciiTheme="majorHAnsi" w:hAnsiTheme="majorHAnsi"/>
                <w:color w:val="000000"/>
              </w:rPr>
              <w:t>4%</w:t>
            </w:r>
          </w:p>
        </w:tc>
        <w:tc>
          <w:tcPr>
            <w:tcW w:w="2870" w:type="dxa"/>
            <w:vAlign w:val="bottom"/>
          </w:tcPr>
          <w:p w14:paraId="5713E94B" w14:textId="1B793D5B" w:rsidR="006B7C76" w:rsidRPr="006B7C76" w:rsidRDefault="006B7C76" w:rsidP="0010557F">
            <w:pPr>
              <w:spacing w:after="160" w:line="259" w:lineRule="auto"/>
              <w:jc w:val="center"/>
              <w:rPr>
                <w:rFonts w:asciiTheme="majorHAnsi" w:hAnsiTheme="majorHAnsi"/>
                <w:color w:val="000000"/>
              </w:rPr>
            </w:pPr>
            <w:r w:rsidRPr="006B7C76">
              <w:rPr>
                <w:rFonts w:asciiTheme="majorHAnsi" w:hAnsiTheme="majorHAnsi"/>
                <w:color w:val="000000"/>
              </w:rPr>
              <w:t>10%</w:t>
            </w:r>
          </w:p>
        </w:tc>
      </w:tr>
      <w:tr w:rsidR="006B7C76" w:rsidRPr="006B7C76" w14:paraId="76D0C0EE" w14:textId="77777777" w:rsidTr="003F2D57">
        <w:trPr>
          <w:trHeight w:val="622"/>
        </w:trPr>
        <w:tc>
          <w:tcPr>
            <w:tcW w:w="3969" w:type="dxa"/>
            <w:shd w:val="clear" w:color="auto" w:fill="300050" w:themeFill="text2"/>
            <w:vAlign w:val="center"/>
          </w:tcPr>
          <w:p w14:paraId="0B04B1E7" w14:textId="15338379" w:rsidR="006B7C76" w:rsidRPr="006B7C76" w:rsidRDefault="006B7C76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6B7C76">
              <w:rPr>
                <w:rFonts w:asciiTheme="majorHAnsi" w:hAnsiTheme="majorHAnsi"/>
                <w:color w:val="FFFFFF" w:themeColor="background1"/>
              </w:rPr>
              <w:t>Entertainment</w:t>
            </w:r>
          </w:p>
        </w:tc>
        <w:tc>
          <w:tcPr>
            <w:tcW w:w="3119" w:type="dxa"/>
            <w:vAlign w:val="bottom"/>
          </w:tcPr>
          <w:p w14:paraId="4E29B060" w14:textId="744765A6" w:rsidR="006B7C76" w:rsidRPr="006B7C76" w:rsidRDefault="006B7C76" w:rsidP="0010557F">
            <w:pPr>
              <w:spacing w:before="0" w:after="160" w:line="259" w:lineRule="auto"/>
              <w:jc w:val="center"/>
              <w:rPr>
                <w:rFonts w:asciiTheme="majorHAnsi" w:hAnsiTheme="majorHAnsi"/>
                <w:color w:val="000000"/>
              </w:rPr>
            </w:pPr>
            <w:r w:rsidRPr="006B7C76">
              <w:rPr>
                <w:rFonts w:asciiTheme="majorHAnsi" w:hAnsiTheme="majorHAnsi"/>
                <w:color w:val="000000"/>
              </w:rPr>
              <w:t>3%</w:t>
            </w:r>
          </w:p>
        </w:tc>
        <w:tc>
          <w:tcPr>
            <w:tcW w:w="2870" w:type="dxa"/>
            <w:vAlign w:val="bottom"/>
          </w:tcPr>
          <w:p w14:paraId="30603B54" w14:textId="72138BB3" w:rsidR="006B7C76" w:rsidRPr="006B7C76" w:rsidRDefault="006B7C76" w:rsidP="0010557F">
            <w:pPr>
              <w:spacing w:after="160" w:line="259" w:lineRule="auto"/>
              <w:jc w:val="center"/>
              <w:rPr>
                <w:rFonts w:asciiTheme="majorHAnsi" w:hAnsiTheme="majorHAnsi"/>
                <w:color w:val="000000"/>
              </w:rPr>
            </w:pPr>
            <w:r w:rsidRPr="006B7C76">
              <w:rPr>
                <w:rFonts w:asciiTheme="majorHAnsi" w:hAnsiTheme="majorHAnsi"/>
                <w:color w:val="000000"/>
              </w:rPr>
              <w:t>4%</w:t>
            </w:r>
          </w:p>
        </w:tc>
      </w:tr>
      <w:tr w:rsidR="006B7C76" w:rsidRPr="006B7C76" w14:paraId="6048E2E4" w14:textId="77777777" w:rsidTr="003F2D57">
        <w:trPr>
          <w:trHeight w:val="622"/>
        </w:trPr>
        <w:tc>
          <w:tcPr>
            <w:tcW w:w="3969" w:type="dxa"/>
            <w:shd w:val="clear" w:color="auto" w:fill="300050" w:themeFill="text2"/>
            <w:vAlign w:val="center"/>
          </w:tcPr>
          <w:p w14:paraId="3CDC7C26" w14:textId="72E333F5" w:rsidR="006B7C76" w:rsidRPr="006B7C76" w:rsidRDefault="006B7C76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6B7C76">
              <w:rPr>
                <w:rFonts w:asciiTheme="majorHAnsi" w:hAnsiTheme="majorHAnsi"/>
                <w:color w:val="FFFFFF" w:themeColor="background1"/>
              </w:rPr>
              <w:t>Tours</w:t>
            </w:r>
          </w:p>
        </w:tc>
        <w:tc>
          <w:tcPr>
            <w:tcW w:w="3119" w:type="dxa"/>
            <w:vAlign w:val="bottom"/>
          </w:tcPr>
          <w:p w14:paraId="7193A521" w14:textId="114D276E" w:rsidR="006B7C76" w:rsidRPr="006B7C76" w:rsidRDefault="006B7C76" w:rsidP="0010557F">
            <w:pPr>
              <w:spacing w:before="0" w:after="160" w:line="259" w:lineRule="auto"/>
              <w:jc w:val="center"/>
              <w:rPr>
                <w:rFonts w:asciiTheme="majorHAnsi" w:hAnsiTheme="majorHAnsi"/>
                <w:color w:val="000000"/>
              </w:rPr>
            </w:pPr>
            <w:r w:rsidRPr="006B7C76">
              <w:rPr>
                <w:rFonts w:asciiTheme="majorHAnsi" w:hAnsiTheme="majorHAnsi"/>
                <w:color w:val="000000"/>
              </w:rPr>
              <w:t>2%</w:t>
            </w:r>
          </w:p>
        </w:tc>
        <w:tc>
          <w:tcPr>
            <w:tcW w:w="2870" w:type="dxa"/>
            <w:vAlign w:val="bottom"/>
          </w:tcPr>
          <w:p w14:paraId="4832CF56" w14:textId="57EE7051" w:rsidR="006B7C76" w:rsidRPr="006B7C76" w:rsidRDefault="006B7C76" w:rsidP="0010557F">
            <w:pPr>
              <w:spacing w:after="160" w:line="259" w:lineRule="auto"/>
              <w:jc w:val="center"/>
              <w:rPr>
                <w:rFonts w:asciiTheme="majorHAnsi" w:hAnsiTheme="majorHAnsi"/>
                <w:color w:val="000000"/>
              </w:rPr>
            </w:pPr>
            <w:r w:rsidRPr="006B7C76">
              <w:rPr>
                <w:rFonts w:asciiTheme="majorHAnsi" w:hAnsiTheme="majorHAnsi"/>
                <w:color w:val="000000"/>
              </w:rPr>
              <w:t>3%</w:t>
            </w:r>
          </w:p>
        </w:tc>
      </w:tr>
      <w:tr w:rsidR="006B7C76" w:rsidRPr="006B7C76" w14:paraId="4E8371BB" w14:textId="77777777" w:rsidTr="003F2D57">
        <w:trPr>
          <w:trHeight w:val="623"/>
        </w:trPr>
        <w:tc>
          <w:tcPr>
            <w:tcW w:w="3969" w:type="dxa"/>
            <w:shd w:val="clear" w:color="auto" w:fill="300050" w:themeFill="text2"/>
            <w:vAlign w:val="center"/>
          </w:tcPr>
          <w:p w14:paraId="5F76BCCD" w14:textId="7157A698" w:rsidR="006B7C76" w:rsidRPr="006B7C76" w:rsidRDefault="006B7C76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6B7C76">
              <w:rPr>
                <w:rFonts w:asciiTheme="majorHAnsi" w:hAnsiTheme="majorHAnsi"/>
                <w:color w:val="FFFFFF" w:themeColor="background1"/>
              </w:rPr>
              <w:t>Other Expenditure</w:t>
            </w:r>
          </w:p>
        </w:tc>
        <w:tc>
          <w:tcPr>
            <w:tcW w:w="3119" w:type="dxa"/>
            <w:vAlign w:val="bottom"/>
          </w:tcPr>
          <w:p w14:paraId="6935FC6E" w14:textId="4A9F06E2" w:rsidR="006B7C76" w:rsidRPr="006B7C76" w:rsidRDefault="006B7C76" w:rsidP="0010557F">
            <w:pPr>
              <w:spacing w:before="0" w:after="160" w:line="259" w:lineRule="auto"/>
              <w:jc w:val="center"/>
              <w:rPr>
                <w:rFonts w:asciiTheme="majorHAnsi" w:hAnsiTheme="majorHAnsi"/>
                <w:color w:val="000000"/>
              </w:rPr>
            </w:pPr>
            <w:r w:rsidRPr="006B7C76">
              <w:rPr>
                <w:rFonts w:asciiTheme="majorHAnsi" w:hAnsiTheme="majorHAnsi"/>
                <w:color w:val="000000"/>
              </w:rPr>
              <w:t>2%</w:t>
            </w:r>
          </w:p>
        </w:tc>
        <w:tc>
          <w:tcPr>
            <w:tcW w:w="2870" w:type="dxa"/>
            <w:vAlign w:val="bottom"/>
          </w:tcPr>
          <w:p w14:paraId="572200BF" w14:textId="51D7FB12" w:rsidR="006B7C76" w:rsidRPr="006B7C76" w:rsidRDefault="006B7C76" w:rsidP="0010557F">
            <w:pPr>
              <w:spacing w:after="160" w:line="259" w:lineRule="auto"/>
              <w:jc w:val="center"/>
              <w:rPr>
                <w:rFonts w:asciiTheme="majorHAnsi" w:hAnsiTheme="majorHAnsi"/>
                <w:color w:val="000000"/>
              </w:rPr>
            </w:pPr>
            <w:r w:rsidRPr="006B7C76">
              <w:rPr>
                <w:rFonts w:asciiTheme="majorHAnsi" w:hAnsiTheme="majorHAnsi"/>
                <w:color w:val="000000"/>
              </w:rPr>
              <w:t>2%</w:t>
            </w:r>
          </w:p>
        </w:tc>
      </w:tr>
    </w:tbl>
    <w:p w14:paraId="10B59C1C" w14:textId="77777777" w:rsidR="00254A1A" w:rsidRPr="00B801A3" w:rsidRDefault="00254A1A" w:rsidP="00254A1A"/>
    <w:p w14:paraId="43CBF870" w14:textId="77777777" w:rsidR="00282397" w:rsidRPr="00282397" w:rsidRDefault="00282397" w:rsidP="009261B7">
      <w:pPr>
        <w:pStyle w:val="Heading4"/>
        <w:rPr>
          <w:lang w:eastAsia="zh-CN"/>
        </w:rPr>
      </w:pPr>
      <w:r w:rsidRPr="00282397">
        <w:rPr>
          <w:lang w:eastAsia="zh-CN"/>
        </w:rPr>
        <w:t>Victoria and New South Wales are the primary states visited for trips including cycling experiences</w:t>
      </w:r>
    </w:p>
    <w:p w14:paraId="44068469" w14:textId="0963383C" w:rsidR="00282397" w:rsidRPr="00EE587D" w:rsidRDefault="00282397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 xml:space="preserve">Victoria is a key destination attracting among the highest numbers of trips involving cycling in 2024. Despite these high trip numbers, there were a lower proportion of nights and spend on trips </w:t>
      </w:r>
      <w:r w:rsidRPr="00EE587D">
        <w:rPr>
          <w:rFonts w:asciiTheme="minorHAnsi" w:eastAsia="Verdana"/>
          <w:kern w:val="24"/>
          <w:sz w:val="20"/>
          <w:szCs w:val="20"/>
        </w:rPr>
        <w:lastRenderedPageBreak/>
        <w:t>involving cycling activities</w:t>
      </w:r>
      <w:r w:rsidR="00650E42" w:rsidRPr="00EE587D">
        <w:rPr>
          <w:rFonts w:asciiTheme="minorHAnsi" w:eastAsia="Verdana"/>
          <w:kern w:val="24"/>
          <w:sz w:val="20"/>
          <w:szCs w:val="20"/>
        </w:rPr>
        <w:t xml:space="preserve"> in Victoria</w:t>
      </w:r>
      <w:r w:rsidR="00142C68" w:rsidRPr="00EE587D">
        <w:rPr>
          <w:rFonts w:asciiTheme="minorHAnsi" w:eastAsia="Verdana"/>
          <w:kern w:val="24"/>
          <w:sz w:val="20"/>
          <w:szCs w:val="20"/>
        </w:rPr>
        <w:t xml:space="preserve"> due to the </w:t>
      </w:r>
      <w:r w:rsidR="00FE3F15" w:rsidRPr="00EE587D">
        <w:rPr>
          <w:rFonts w:asciiTheme="minorHAnsi" w:eastAsia="Verdana"/>
          <w:kern w:val="24"/>
          <w:sz w:val="20"/>
          <w:szCs w:val="20"/>
        </w:rPr>
        <w:t xml:space="preserve">number of domestic overnight leisure travellers who have shorter average trip length and </w:t>
      </w:r>
      <w:r w:rsidR="00216393" w:rsidRPr="00EE587D">
        <w:rPr>
          <w:rFonts w:asciiTheme="minorHAnsi" w:eastAsia="Verdana"/>
          <w:kern w:val="24"/>
          <w:sz w:val="20"/>
          <w:szCs w:val="20"/>
        </w:rPr>
        <w:t xml:space="preserve">overall trip expenditure. </w:t>
      </w:r>
    </w:p>
    <w:p w14:paraId="217C4A3A" w14:textId="106100E8" w:rsidR="00282397" w:rsidRPr="00EE587D" w:rsidRDefault="00282397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>Queensland made up only 16% of trips involving cycling activities, however accounts for 1 in 5 nights and dollars spent.</w:t>
      </w:r>
      <w:r w:rsidR="00320E0B" w:rsidRPr="00EE587D">
        <w:rPr>
          <w:rFonts w:asciiTheme="minorHAnsi" w:eastAsia="Verdana"/>
          <w:kern w:val="24"/>
          <w:sz w:val="20"/>
          <w:szCs w:val="20"/>
        </w:rPr>
        <w:t xml:space="preserve"> Queensland </w:t>
      </w:r>
      <w:r w:rsidR="007F68A9" w:rsidRPr="00EE587D">
        <w:rPr>
          <w:rFonts w:asciiTheme="minorHAnsi" w:eastAsia="Verdana"/>
          <w:kern w:val="24"/>
          <w:sz w:val="20"/>
          <w:szCs w:val="20"/>
        </w:rPr>
        <w:t xml:space="preserve">attracted a higher proportion of </w:t>
      </w:r>
      <w:r w:rsidR="00216393" w:rsidRPr="00EE587D">
        <w:rPr>
          <w:rFonts w:asciiTheme="minorHAnsi" w:eastAsia="Verdana"/>
          <w:kern w:val="24"/>
          <w:sz w:val="20"/>
          <w:szCs w:val="20"/>
        </w:rPr>
        <w:t>international</w:t>
      </w:r>
      <w:r w:rsidR="007F68A9" w:rsidRPr="00EE587D">
        <w:rPr>
          <w:rFonts w:asciiTheme="minorHAnsi" w:eastAsia="Verdana"/>
          <w:kern w:val="24"/>
          <w:sz w:val="20"/>
          <w:szCs w:val="20"/>
        </w:rPr>
        <w:t xml:space="preserve"> visitors on their trip in 2024, who spend more and </w:t>
      </w:r>
      <w:r w:rsidR="005A7ED9" w:rsidRPr="00EE587D">
        <w:rPr>
          <w:rFonts w:asciiTheme="minorHAnsi" w:eastAsia="Verdana"/>
          <w:kern w:val="24"/>
          <w:sz w:val="20"/>
          <w:szCs w:val="20"/>
        </w:rPr>
        <w:t xml:space="preserve">stay longer, but represent a smaller number of trips. </w:t>
      </w:r>
    </w:p>
    <w:p w14:paraId="7F28E08F" w14:textId="4EBFAA3A" w:rsidR="00282397" w:rsidRPr="00282397" w:rsidRDefault="00282397" w:rsidP="00282397">
      <w:pPr>
        <w:spacing w:before="0" w:after="160" w:line="259" w:lineRule="auto"/>
        <w:rPr>
          <w:rFonts w:asciiTheme="minorHAnsi" w:eastAsia="Verdana"/>
          <w:b/>
          <w:bCs/>
          <w:color w:val="300050" w:themeColor="text2"/>
          <w:kern w:val="24"/>
          <w:sz w:val="21"/>
          <w:szCs w:val="21"/>
        </w:rPr>
      </w:pPr>
      <w:r w:rsidRPr="00282397">
        <w:rPr>
          <w:rFonts w:asciiTheme="minorHAnsi" w:eastAsia="Verdana"/>
          <w:b/>
          <w:bCs/>
          <w:color w:val="300050" w:themeColor="text2"/>
          <w:kern w:val="24"/>
          <w:sz w:val="21"/>
          <w:szCs w:val="21"/>
        </w:rPr>
        <w:t>Number of trips, nights and spend</w:t>
      </w:r>
      <w:r w:rsidR="007C498C">
        <w:rPr>
          <w:rFonts w:asciiTheme="minorHAnsi" w:eastAsia="Verdana"/>
          <w:b/>
          <w:bCs/>
          <w:color w:val="300050" w:themeColor="text2"/>
          <w:kern w:val="24"/>
          <w:sz w:val="21"/>
          <w:szCs w:val="21"/>
        </w:rPr>
        <w:t xml:space="preserve"> in Australia</w:t>
      </w:r>
      <w:r w:rsidR="00BF524B">
        <w:rPr>
          <w:rFonts w:asciiTheme="minorHAnsi" w:eastAsia="Verdana"/>
          <w:b/>
          <w:bCs/>
          <w:color w:val="300050" w:themeColor="text2"/>
          <w:kern w:val="24"/>
          <w:sz w:val="21"/>
          <w:szCs w:val="21"/>
        </w:rPr>
        <w:t xml:space="preserve"> on trips</w:t>
      </w:r>
      <w:r w:rsidRPr="00282397">
        <w:rPr>
          <w:rFonts w:asciiTheme="minorHAnsi" w:eastAsia="Verdana"/>
          <w:b/>
          <w:bCs/>
          <w:color w:val="300050" w:themeColor="text2"/>
          <w:kern w:val="24"/>
          <w:sz w:val="21"/>
          <w:szCs w:val="21"/>
        </w:rPr>
        <w:t xml:space="preserve"> involving a cycling experience by state and territory</w:t>
      </w:r>
    </w:p>
    <w:tbl>
      <w:tblPr>
        <w:tblW w:w="9443" w:type="dxa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2213"/>
      </w:tblGrid>
      <w:tr w:rsidR="0031166C" w:rsidRPr="00BF524B" w14:paraId="2CDC0BA0" w14:textId="77777777" w:rsidTr="00BF524B">
        <w:trPr>
          <w:trHeight w:val="29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</w:tcPr>
          <w:p w14:paraId="53F6321A" w14:textId="77777777" w:rsidR="0031166C" w:rsidRPr="00BF524B" w:rsidRDefault="0031166C" w:rsidP="0031166C">
            <w:pPr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</w:tcPr>
          <w:p w14:paraId="6D8FBB38" w14:textId="00BCFF3B" w:rsidR="0031166C" w:rsidRPr="00BF524B" w:rsidRDefault="0031166C" w:rsidP="005E2EE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F524B">
              <w:rPr>
                <w:rFonts w:asciiTheme="minorHAnsi" w:hAnsiTheme="minorHAnsi"/>
                <w:b/>
                <w:color w:val="FFFFFF" w:themeColor="background1"/>
              </w:rPr>
              <w:t>Visitors (000)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</w:tcPr>
          <w:p w14:paraId="3E0E3F04" w14:textId="6D983819" w:rsidR="0031166C" w:rsidRPr="00BF524B" w:rsidRDefault="0031166C" w:rsidP="005E2EE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proofErr w:type="spellStart"/>
            <w:r w:rsidRPr="00BF524B">
              <w:rPr>
                <w:rFonts w:asciiTheme="minorHAnsi" w:hAnsiTheme="minorHAnsi"/>
                <w:b/>
                <w:color w:val="FFFFFF" w:themeColor="background1"/>
              </w:rPr>
              <w:t>Nights</w:t>
            </w:r>
            <w:proofErr w:type="spellEnd"/>
            <w:r w:rsidRPr="00BF524B">
              <w:rPr>
                <w:rFonts w:asciiTheme="minorHAnsi" w:hAnsiTheme="minorHAnsi"/>
                <w:b/>
                <w:color w:val="FFFFFF" w:themeColor="background1"/>
              </w:rPr>
              <w:t xml:space="preserve"> (000)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</w:tcPr>
          <w:p w14:paraId="4394570B" w14:textId="70EDCF41" w:rsidR="0031166C" w:rsidRPr="00BF524B" w:rsidRDefault="0031166C" w:rsidP="005E2EE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F524B">
              <w:rPr>
                <w:rFonts w:asciiTheme="minorHAnsi" w:hAnsiTheme="minorHAnsi"/>
                <w:b/>
                <w:color w:val="FFFFFF" w:themeColor="background1"/>
              </w:rPr>
              <w:t>Expenditure</w:t>
            </w:r>
          </w:p>
        </w:tc>
      </w:tr>
      <w:tr w:rsidR="00890989" w:rsidRPr="00BF524B" w14:paraId="64FDB291" w14:textId="77777777" w:rsidTr="00890989">
        <w:trPr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</w:tcPr>
          <w:p w14:paraId="679532DD" w14:textId="13AAEBA3" w:rsidR="00890989" w:rsidRPr="003F2D57" w:rsidRDefault="00890989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Victoria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A5189" w14:textId="1F1E7ABF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         1,544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6C012" w14:textId="6F57C381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           9,811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3616E" w14:textId="58AC0751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$         1</w:t>
            </w:r>
            <w:r w:rsidR="00E74A19">
              <w:rPr>
                <w:rFonts w:asciiTheme="minorHAnsi" w:eastAsia="Verdana" w:hAnsiTheme="minorHAnsi"/>
                <w:kern w:val="24"/>
                <w:sz w:val="21"/>
                <w:szCs w:val="21"/>
              </w:rPr>
              <w:t>.</w:t>
            </w: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>5</w:t>
            </w:r>
            <w:r w:rsidR="001028A3">
              <w:rPr>
                <w:rFonts w:asciiTheme="minorHAnsi" w:eastAsia="Verdana" w:hAnsiTheme="minorHAnsi"/>
                <w:kern w:val="24"/>
                <w:sz w:val="21"/>
                <w:szCs w:val="21"/>
              </w:rPr>
              <w:t>b</w:t>
            </w: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</w:t>
            </w:r>
          </w:p>
        </w:tc>
      </w:tr>
      <w:tr w:rsidR="00890989" w:rsidRPr="00BF524B" w14:paraId="7212D17F" w14:textId="77777777" w:rsidTr="00BF524B">
        <w:trPr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</w:tcPr>
          <w:p w14:paraId="137AA351" w14:textId="5AED0BFE" w:rsidR="00890989" w:rsidRPr="003F2D57" w:rsidRDefault="00890989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New South Wales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828A6" w14:textId="52F1FA6C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         1,478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C5A6C" w14:textId="2820D156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         13,126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5AD37" w14:textId="15159BAC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$         1</w:t>
            </w:r>
            <w:r w:rsidR="00E74A19">
              <w:rPr>
                <w:rFonts w:asciiTheme="minorHAnsi" w:eastAsia="Verdana" w:hAnsiTheme="minorHAnsi"/>
                <w:kern w:val="24"/>
                <w:sz w:val="21"/>
                <w:szCs w:val="21"/>
              </w:rPr>
              <w:t>.</w:t>
            </w: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>8</w:t>
            </w:r>
            <w:r w:rsidR="001028A3">
              <w:rPr>
                <w:rFonts w:asciiTheme="minorHAnsi" w:eastAsia="Verdana" w:hAnsiTheme="minorHAnsi"/>
                <w:kern w:val="24"/>
                <w:sz w:val="21"/>
                <w:szCs w:val="21"/>
              </w:rPr>
              <w:t>b</w:t>
            </w:r>
          </w:p>
        </w:tc>
      </w:tr>
      <w:tr w:rsidR="00890989" w:rsidRPr="00BF524B" w14:paraId="7C154E5C" w14:textId="77777777" w:rsidTr="00BF524B">
        <w:trPr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23D92050" w14:textId="77777777" w:rsidR="00890989" w:rsidRPr="003F2D57" w:rsidRDefault="00890989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Queensland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4226" w14:textId="69457F5C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            762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EA2" w14:textId="77777777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           8,754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3605" w14:textId="18C6AFF7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$         1</w:t>
            </w:r>
            <w:r w:rsidR="00267C10">
              <w:rPr>
                <w:rFonts w:asciiTheme="minorHAnsi" w:eastAsia="Verdana" w:hAnsiTheme="minorHAnsi"/>
                <w:kern w:val="24"/>
                <w:sz w:val="21"/>
                <w:szCs w:val="21"/>
              </w:rPr>
              <w:t>.</w:t>
            </w: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>2</w:t>
            </w:r>
            <w:r w:rsidR="001028A3">
              <w:rPr>
                <w:rFonts w:asciiTheme="minorHAnsi" w:eastAsia="Verdana" w:hAnsiTheme="minorHAnsi"/>
                <w:kern w:val="24"/>
                <w:sz w:val="21"/>
                <w:szCs w:val="21"/>
              </w:rPr>
              <w:t>b</w:t>
            </w: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</w:t>
            </w:r>
          </w:p>
        </w:tc>
      </w:tr>
      <w:tr w:rsidR="00890989" w:rsidRPr="00BF524B" w14:paraId="7090349D" w14:textId="77777777" w:rsidTr="00584531">
        <w:trPr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507D12D8" w14:textId="77777777" w:rsidR="00890989" w:rsidRPr="003F2D57" w:rsidRDefault="00890989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Western Australia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48C454" w14:textId="77777777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            553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A0BEE2" w14:textId="77777777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           6,216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C79AF3" w14:textId="6802108A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$         799</w:t>
            </w:r>
            <w:r w:rsidR="001028A3">
              <w:rPr>
                <w:rFonts w:asciiTheme="minorHAnsi" w:eastAsia="Verdana" w:hAnsiTheme="minorHAnsi"/>
                <w:kern w:val="24"/>
                <w:sz w:val="21"/>
                <w:szCs w:val="21"/>
              </w:rPr>
              <w:t>m</w:t>
            </w: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</w:t>
            </w:r>
          </w:p>
        </w:tc>
      </w:tr>
      <w:tr w:rsidR="00890989" w:rsidRPr="00BF524B" w14:paraId="20C569EB" w14:textId="77777777" w:rsidTr="00BF524B">
        <w:trPr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</w:tcPr>
          <w:p w14:paraId="44D991B5" w14:textId="172E421F" w:rsidR="00890989" w:rsidRPr="003F2D57" w:rsidRDefault="00890989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South Australia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79FB3" w14:textId="64AB5090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            266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672CA" w14:textId="1B3E9216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           1,547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E8448" w14:textId="01CD04D0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$         229</w:t>
            </w:r>
            <w:r w:rsidR="00B90F2A">
              <w:rPr>
                <w:rFonts w:asciiTheme="minorHAnsi" w:eastAsia="Verdana" w:hAnsiTheme="minorHAnsi"/>
                <w:kern w:val="24"/>
                <w:sz w:val="21"/>
                <w:szCs w:val="21"/>
              </w:rPr>
              <w:t>m</w:t>
            </w: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</w:t>
            </w:r>
          </w:p>
        </w:tc>
      </w:tr>
      <w:tr w:rsidR="00890989" w:rsidRPr="00BF524B" w14:paraId="5197A2BB" w14:textId="77777777" w:rsidTr="00890989">
        <w:trPr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</w:tcPr>
          <w:p w14:paraId="586C0985" w14:textId="544B6B69" w:rsidR="00890989" w:rsidRPr="003F2D57" w:rsidRDefault="00890989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Tasmania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E7BC1" w14:textId="6C64804C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            178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E6DE9" w14:textId="669AC5B0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           1,118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B5277" w14:textId="02EBFC3D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$         160</w:t>
            </w:r>
            <w:r w:rsidR="00B90F2A">
              <w:rPr>
                <w:rFonts w:asciiTheme="minorHAnsi" w:eastAsia="Verdana" w:hAnsiTheme="minorHAnsi"/>
                <w:kern w:val="24"/>
                <w:sz w:val="21"/>
                <w:szCs w:val="21"/>
              </w:rPr>
              <w:t>m</w:t>
            </w: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</w:t>
            </w:r>
          </w:p>
        </w:tc>
      </w:tr>
      <w:tr w:rsidR="00890989" w:rsidRPr="00BF524B" w14:paraId="39490B76" w14:textId="77777777" w:rsidTr="00890989">
        <w:trPr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</w:tcPr>
          <w:p w14:paraId="35DCDB27" w14:textId="4F0E9AFC" w:rsidR="00890989" w:rsidRPr="003F2D57" w:rsidRDefault="00890989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Australian Capital Territory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54670CA" w14:textId="7E5C8A4A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              74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61FC7B" w14:textId="3F32236E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              776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C1FC158" w14:textId="7ED6001B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$         </w:t>
            </w:r>
            <w:r w:rsidR="00B90F2A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</w:t>
            </w: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97</w:t>
            </w:r>
            <w:r w:rsidR="00B90F2A">
              <w:rPr>
                <w:rFonts w:asciiTheme="minorHAnsi" w:eastAsia="Verdana" w:hAnsiTheme="minorHAnsi"/>
                <w:kern w:val="24"/>
                <w:sz w:val="21"/>
                <w:szCs w:val="21"/>
              </w:rPr>
              <w:t>m</w:t>
            </w: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</w:t>
            </w:r>
          </w:p>
        </w:tc>
      </w:tr>
      <w:tr w:rsidR="00890989" w:rsidRPr="00BF524B" w14:paraId="54750A15" w14:textId="77777777" w:rsidTr="00BF524B">
        <w:trPr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42497413" w14:textId="77777777" w:rsidR="00890989" w:rsidRPr="003F2D57" w:rsidRDefault="00890989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Northern Territory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BB5BA3" w14:textId="0B482FC3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              36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B73504" w14:textId="2CF01115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              674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7981CA" w14:textId="4E3B3141" w:rsidR="00890989" w:rsidRPr="00BF524B" w:rsidRDefault="00890989" w:rsidP="00890989">
            <w:pPr>
              <w:spacing w:before="0" w:after="0" w:line="240" w:lineRule="auto"/>
              <w:rPr>
                <w:rFonts w:asciiTheme="minorHAnsi" w:eastAsia="Verdana" w:hAnsiTheme="minorHAnsi"/>
                <w:kern w:val="24"/>
                <w:sz w:val="21"/>
                <w:szCs w:val="21"/>
              </w:rPr>
            </w:pP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$         104</w:t>
            </w:r>
            <w:r w:rsidR="00B90F2A">
              <w:rPr>
                <w:rFonts w:asciiTheme="minorHAnsi" w:eastAsia="Verdana" w:hAnsiTheme="minorHAnsi"/>
                <w:kern w:val="24"/>
                <w:sz w:val="21"/>
                <w:szCs w:val="21"/>
              </w:rPr>
              <w:t>m</w:t>
            </w:r>
            <w:r w:rsidRPr="00BF524B">
              <w:rPr>
                <w:rFonts w:asciiTheme="minorHAnsi" w:eastAsia="Verdana" w:hAnsiTheme="minorHAnsi"/>
                <w:kern w:val="24"/>
                <w:sz w:val="21"/>
                <w:szCs w:val="21"/>
              </w:rPr>
              <w:t xml:space="preserve"> </w:t>
            </w:r>
          </w:p>
        </w:tc>
      </w:tr>
    </w:tbl>
    <w:p w14:paraId="7BBC9AA3" w14:textId="77777777" w:rsidR="001867A5" w:rsidRDefault="001867A5">
      <w:pPr>
        <w:spacing w:before="0" w:after="160" w:line="259" w:lineRule="auto"/>
        <w:rPr>
          <w:rFonts w:asciiTheme="minorHAnsi" w:eastAsia="Verdana"/>
          <w:kern w:val="24"/>
          <w:sz w:val="21"/>
          <w:szCs w:val="21"/>
        </w:rPr>
      </w:pPr>
    </w:p>
    <w:p w14:paraId="7EA5B74D" w14:textId="64201ACB" w:rsidR="00BE4754" w:rsidRDefault="00BE4754" w:rsidP="00C25A43">
      <w:pPr>
        <w:pStyle w:val="Heading4"/>
        <w:rPr>
          <w:lang w:eastAsia="zh-CN"/>
        </w:rPr>
      </w:pPr>
      <w:r w:rsidRPr="00C25A43">
        <w:rPr>
          <w:rStyle w:val="Heading4Char"/>
          <w:lang w:eastAsia="zh-CN"/>
        </w:rPr>
        <w:t>Those cycling on trips</w:t>
      </w:r>
      <w:r w:rsidRPr="00C25A43">
        <w:rPr>
          <w:rStyle w:val="Heading4Char"/>
        </w:rPr>
        <w:t xml:space="preserve"> </w:t>
      </w:r>
      <w:r w:rsidRPr="00C25A43">
        <w:rPr>
          <w:rStyle w:val="Heading4Char"/>
          <w:lang w:eastAsia="zh-CN"/>
        </w:rPr>
        <w:t>do more activities on</w:t>
      </w:r>
      <w:r w:rsidRPr="00C25A43">
        <w:rPr>
          <w:rStyle w:val="Heading4Char"/>
        </w:rPr>
        <w:t xml:space="preserve"> </w:t>
      </w:r>
      <w:r w:rsidRPr="00C25A43">
        <w:rPr>
          <w:rStyle w:val="Heading4Char"/>
          <w:lang w:eastAsia="zh-CN"/>
        </w:rPr>
        <w:t>their trips than average</w:t>
      </w:r>
      <w:r>
        <w:rPr>
          <w:lang w:eastAsia="zh-CN"/>
        </w:rPr>
        <w:t xml:space="preserve"> </w:t>
      </w:r>
      <w:r w:rsidRPr="00BE4754">
        <w:rPr>
          <w:lang w:eastAsia="zh-CN"/>
        </w:rPr>
        <w:t>including eating out,</w:t>
      </w:r>
      <w:r>
        <w:rPr>
          <w:lang w:eastAsia="zh-CN"/>
        </w:rPr>
        <w:t xml:space="preserve"> </w:t>
      </w:r>
      <w:r w:rsidRPr="00BE4754">
        <w:rPr>
          <w:lang w:eastAsia="zh-CN"/>
        </w:rPr>
        <w:t>going to the beach,</w:t>
      </w:r>
      <w:r>
        <w:rPr>
          <w:lang w:eastAsia="zh-CN"/>
        </w:rPr>
        <w:t xml:space="preserve"> </w:t>
      </w:r>
      <w:r w:rsidRPr="00BE4754">
        <w:rPr>
          <w:lang w:eastAsia="zh-CN"/>
        </w:rPr>
        <w:t>and visiting national or</w:t>
      </w:r>
      <w:r>
        <w:rPr>
          <w:lang w:eastAsia="zh-CN"/>
        </w:rPr>
        <w:t xml:space="preserve"> </w:t>
      </w:r>
      <w:r w:rsidRPr="00BE4754">
        <w:rPr>
          <w:lang w:eastAsia="zh-CN"/>
        </w:rPr>
        <w:t>state parks</w:t>
      </w:r>
    </w:p>
    <w:p w14:paraId="3C44F33A" w14:textId="7CBF829C" w:rsidR="00BE4754" w:rsidRPr="00EE587D" w:rsidRDefault="00BE4754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>Travellers who participate in cycling activities are adventure seekers, engaging in more activities per trip, suggesting that cycling tourism can be a catalyst for broader visitor engagement.</w:t>
      </w:r>
    </w:p>
    <w:p w14:paraId="2C431919" w14:textId="6475677D" w:rsidR="00BE4754" w:rsidRPr="00EE587D" w:rsidRDefault="00BE4754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>Domestic overnight travellers that cycle on trips are more likely to eat out (72%), do bushwalking/ rainforest walks (31%), and go sightseeing/ looking around (34%).</w:t>
      </w:r>
    </w:p>
    <w:p w14:paraId="67BF7279" w14:textId="37FD42B0" w:rsidR="00CF5A8C" w:rsidRDefault="00BE4754" w:rsidP="00EE587D">
      <w:pPr>
        <w:pStyle w:val="NormalWeb"/>
        <w:rPr>
          <w:rFonts w:asciiTheme="minorHAnsi" w:eastAsia="Verdana"/>
          <w:kern w:val="24"/>
          <w:sz w:val="21"/>
          <w:szCs w:val="21"/>
        </w:rPr>
      </w:pPr>
      <w:r w:rsidRPr="00EE587D">
        <w:rPr>
          <w:rFonts w:asciiTheme="minorHAnsi" w:eastAsia="Verdana"/>
          <w:kern w:val="24"/>
          <w:sz w:val="20"/>
          <w:szCs w:val="20"/>
        </w:rPr>
        <w:t>International travellers that cycle on their trip report above average numbers in going shopping for pleasure (90%), sightseeing (90%), and going</w:t>
      </w:r>
      <w:r w:rsidRPr="00BE4754">
        <w:rPr>
          <w:rFonts w:asciiTheme="minorHAnsi" w:eastAsia="Verdana"/>
          <w:kern w:val="24"/>
        </w:rPr>
        <w:t xml:space="preserve"> to markets (75%).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962"/>
        <w:gridCol w:w="2551"/>
        <w:gridCol w:w="2410"/>
      </w:tblGrid>
      <w:tr w:rsidR="00CF5A8C" w:rsidRPr="00CF5A8C" w14:paraId="73691C54" w14:textId="77777777" w:rsidTr="008358FB">
        <w:trPr>
          <w:trHeight w:val="5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center"/>
            <w:hideMark/>
          </w:tcPr>
          <w:p w14:paraId="2CCCCC73" w14:textId="356D650D" w:rsidR="00CF5A8C" w:rsidRPr="00CF5A8C" w:rsidRDefault="00CF5A8C" w:rsidP="008358FB">
            <w:pPr>
              <w:spacing w:before="0" w:after="0" w:line="240" w:lineRule="auto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center"/>
            <w:hideMark/>
          </w:tcPr>
          <w:p w14:paraId="47CC2661" w14:textId="77777777" w:rsidR="00CF5A8C" w:rsidRPr="00C6288E" w:rsidRDefault="00CF5A8C" w:rsidP="00C6288E">
            <w:pPr>
              <w:jc w:val="center"/>
              <w:rPr>
                <w:b/>
                <w:color w:val="FFFFFF" w:themeColor="background1"/>
              </w:rPr>
            </w:pPr>
            <w:r w:rsidRPr="00C6288E">
              <w:rPr>
                <w:b/>
                <w:color w:val="FFFFFF" w:themeColor="background1"/>
              </w:rPr>
              <w:t>Trips including cycling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center"/>
            <w:hideMark/>
          </w:tcPr>
          <w:p w14:paraId="7DE91F77" w14:textId="77777777" w:rsidR="00CF5A8C" w:rsidRPr="00C6288E" w:rsidRDefault="00CF5A8C" w:rsidP="00C6288E">
            <w:pPr>
              <w:jc w:val="center"/>
              <w:rPr>
                <w:b/>
                <w:color w:val="FFFFFF" w:themeColor="background1"/>
              </w:rPr>
            </w:pPr>
            <w:r w:rsidRPr="00C6288E">
              <w:rPr>
                <w:b/>
                <w:color w:val="FFFFFF" w:themeColor="background1"/>
              </w:rPr>
              <w:t>Total trips in 2024</w:t>
            </w:r>
          </w:p>
        </w:tc>
      </w:tr>
      <w:tr w:rsidR="00CF5A8C" w:rsidRPr="00CF5A8C" w14:paraId="1994639A" w14:textId="77777777" w:rsidTr="008358FB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2270A559" w14:textId="77777777" w:rsidR="00CF5A8C" w:rsidRPr="003F2D57" w:rsidRDefault="00CF5A8C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Eat out / dine at a restaurant and/or cafe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1149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63%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0213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53%</w:t>
            </w:r>
          </w:p>
        </w:tc>
      </w:tr>
      <w:tr w:rsidR="00CF5A8C" w:rsidRPr="00CF5A8C" w14:paraId="585DC4AB" w14:textId="77777777" w:rsidTr="008358FB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6CBDD678" w14:textId="77777777" w:rsidR="00CF5A8C" w:rsidRPr="003F2D57" w:rsidRDefault="00CF5A8C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Go to the beach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BD64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41%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92A6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19%</w:t>
            </w:r>
          </w:p>
        </w:tc>
      </w:tr>
      <w:tr w:rsidR="00CF5A8C" w:rsidRPr="00CF5A8C" w14:paraId="3C52377D" w14:textId="77777777" w:rsidTr="008358FB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204EB036" w14:textId="77777777" w:rsidR="00CF5A8C" w:rsidRPr="003F2D57" w:rsidRDefault="00CF5A8C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Visit national parks / state parks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C42A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29%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29BE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10%</w:t>
            </w:r>
          </w:p>
        </w:tc>
      </w:tr>
      <w:tr w:rsidR="00CF5A8C" w:rsidRPr="00CF5A8C" w14:paraId="74E9A047" w14:textId="77777777" w:rsidTr="008358FB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39278B9B" w14:textId="77777777" w:rsidR="00CF5A8C" w:rsidRPr="003F2D57" w:rsidRDefault="00CF5A8C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Sightseeing/looking around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80F1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28%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69E8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17%</w:t>
            </w:r>
          </w:p>
        </w:tc>
      </w:tr>
      <w:tr w:rsidR="00CF5A8C" w:rsidRPr="00CF5A8C" w14:paraId="602D4B50" w14:textId="77777777" w:rsidTr="008358FB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41B6AA12" w14:textId="77777777" w:rsidR="00CF5A8C" w:rsidRPr="003F2D57" w:rsidRDefault="00CF5A8C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Visit friends &amp; relatives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4C22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28%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74CB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32%</w:t>
            </w:r>
          </w:p>
        </w:tc>
      </w:tr>
      <w:tr w:rsidR="00CF5A8C" w:rsidRPr="00CF5A8C" w14:paraId="02CEFB17" w14:textId="77777777" w:rsidTr="008358FB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44AF2569" w14:textId="77777777" w:rsidR="00CF5A8C" w:rsidRPr="003F2D57" w:rsidRDefault="00CF5A8C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Pubs, clubs, discos etc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15D3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25%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E99E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15%</w:t>
            </w:r>
          </w:p>
        </w:tc>
      </w:tr>
      <w:tr w:rsidR="00CF5A8C" w:rsidRPr="00CF5A8C" w14:paraId="2BAE8DBC" w14:textId="77777777" w:rsidTr="008358FB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598346AB" w14:textId="77777777" w:rsidR="00CF5A8C" w:rsidRPr="003F2D57" w:rsidRDefault="00CF5A8C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Bushwalking / rainforest walks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F980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25%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52C8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9%</w:t>
            </w:r>
          </w:p>
        </w:tc>
      </w:tr>
      <w:tr w:rsidR="00CF5A8C" w:rsidRPr="00CF5A8C" w14:paraId="28736FC4" w14:textId="77777777" w:rsidTr="008358FB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62803F49" w14:textId="77777777" w:rsidR="00CF5A8C" w:rsidRPr="003F2D57" w:rsidRDefault="00CF5A8C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lastRenderedPageBreak/>
              <w:t>Go shopping for pleasure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B320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21%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CA24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20%</w:t>
            </w:r>
          </w:p>
        </w:tc>
      </w:tr>
      <w:tr w:rsidR="00CF5A8C" w:rsidRPr="00CF5A8C" w14:paraId="09A255EE" w14:textId="77777777" w:rsidTr="008358FB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6F937DE1" w14:textId="77777777" w:rsidR="00CF5A8C" w:rsidRPr="003F2D57" w:rsidRDefault="00CF5A8C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Go to markets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231E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14%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EB79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6%</w:t>
            </w:r>
          </w:p>
        </w:tc>
      </w:tr>
      <w:tr w:rsidR="00CF5A8C" w:rsidRPr="00CF5A8C" w14:paraId="0111D457" w14:textId="77777777" w:rsidTr="008358FB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33C73E30" w14:textId="77777777" w:rsidR="00CF5A8C" w:rsidRPr="003F2D57" w:rsidRDefault="00CF5A8C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Visit botanical or other public gardens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9026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11%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0467" w14:textId="77777777" w:rsidR="00CF5A8C" w:rsidRPr="00CF5A8C" w:rsidRDefault="00CF5A8C" w:rsidP="0010557F">
            <w:pPr>
              <w:spacing w:before="0" w:after="0" w:line="240" w:lineRule="auto"/>
              <w:jc w:val="center"/>
            </w:pPr>
            <w:r w:rsidRPr="00CF5A8C">
              <w:t>5%</w:t>
            </w:r>
          </w:p>
        </w:tc>
      </w:tr>
    </w:tbl>
    <w:p w14:paraId="75E0E894" w14:textId="77777777" w:rsidR="00CF5A8C" w:rsidRDefault="00CF5A8C" w:rsidP="00BE4754">
      <w:pPr>
        <w:spacing w:before="0" w:after="160" w:line="259" w:lineRule="auto"/>
        <w:rPr>
          <w:rFonts w:asciiTheme="minorHAnsi" w:eastAsia="Verdana"/>
          <w:kern w:val="24"/>
          <w:sz w:val="21"/>
          <w:szCs w:val="21"/>
        </w:rPr>
      </w:pPr>
    </w:p>
    <w:p w14:paraId="43D1F74D" w14:textId="1B9A1FF6" w:rsidR="000B04C3" w:rsidRDefault="000B04C3" w:rsidP="000B04C3">
      <w:pPr>
        <w:pStyle w:val="Heading3"/>
      </w:pPr>
      <w:bookmarkStart w:id="6" w:name="_Toc211341049"/>
      <w:r>
        <w:t>International travellers</w:t>
      </w:r>
      <w:bookmarkEnd w:id="6"/>
    </w:p>
    <w:p w14:paraId="5C74923D" w14:textId="4382BCFC" w:rsidR="00CC23DF" w:rsidRPr="000B04C3" w:rsidRDefault="00CC23DF" w:rsidP="000B04C3">
      <w:pPr>
        <w:pStyle w:val="Heading4"/>
        <w:rPr>
          <w:lang w:eastAsia="zh-CN"/>
        </w:rPr>
      </w:pPr>
      <w:r w:rsidRPr="000B04C3">
        <w:rPr>
          <w:lang w:eastAsia="zh-CN"/>
        </w:rPr>
        <w:t>The United Kingdom, New Zealand, China</w:t>
      </w:r>
      <w:r w:rsidR="003877E6">
        <w:rPr>
          <w:lang w:eastAsia="zh-CN"/>
        </w:rPr>
        <w:t>, India and USA</w:t>
      </w:r>
      <w:r w:rsidRPr="000B04C3">
        <w:rPr>
          <w:lang w:eastAsia="zh-CN"/>
        </w:rPr>
        <w:t xml:space="preserve"> were the top </w:t>
      </w:r>
      <w:r w:rsidR="003877E6">
        <w:rPr>
          <w:lang w:eastAsia="zh-CN"/>
        </w:rPr>
        <w:t>5</w:t>
      </w:r>
      <w:r w:rsidRPr="000B04C3">
        <w:rPr>
          <w:lang w:eastAsia="zh-CN"/>
        </w:rPr>
        <w:t xml:space="preserve"> markets for </w:t>
      </w:r>
      <w:r w:rsidR="003877E6">
        <w:rPr>
          <w:lang w:eastAsia="zh-CN"/>
        </w:rPr>
        <w:t xml:space="preserve">trips involving </w:t>
      </w:r>
      <w:r w:rsidRPr="000B04C3">
        <w:rPr>
          <w:lang w:eastAsia="zh-CN"/>
        </w:rPr>
        <w:t>cycling in 2024</w:t>
      </w:r>
    </w:p>
    <w:p w14:paraId="117D71DA" w14:textId="04DCA15F" w:rsidR="00CC23DF" w:rsidRPr="00EE587D" w:rsidRDefault="005C49B7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 xml:space="preserve">The </w:t>
      </w:r>
      <w:r w:rsidR="000A1F2A" w:rsidRPr="00EE587D">
        <w:rPr>
          <w:rFonts w:asciiTheme="minorHAnsi" w:eastAsia="Verdana"/>
          <w:kern w:val="24"/>
          <w:sz w:val="20"/>
          <w:szCs w:val="20"/>
        </w:rPr>
        <w:t>United Kingdom, New Zealand, China alone</w:t>
      </w:r>
      <w:r w:rsidR="00CC23DF" w:rsidRPr="00EE587D">
        <w:rPr>
          <w:rFonts w:asciiTheme="minorHAnsi" w:eastAsia="Verdana"/>
          <w:kern w:val="24"/>
          <w:sz w:val="20"/>
          <w:szCs w:val="20"/>
        </w:rPr>
        <w:t xml:space="preserve"> account</w:t>
      </w:r>
      <w:r w:rsidR="000A1F2A" w:rsidRPr="00EE587D">
        <w:rPr>
          <w:rFonts w:asciiTheme="minorHAnsi" w:eastAsia="Verdana"/>
          <w:kern w:val="24"/>
          <w:sz w:val="20"/>
          <w:szCs w:val="20"/>
        </w:rPr>
        <w:t>ed</w:t>
      </w:r>
      <w:r w:rsidR="00CC23DF" w:rsidRPr="00EE587D">
        <w:rPr>
          <w:rFonts w:asciiTheme="minorHAnsi" w:eastAsia="Verdana"/>
          <w:kern w:val="24"/>
          <w:sz w:val="20"/>
          <w:szCs w:val="20"/>
        </w:rPr>
        <w:t xml:space="preserve"> for 1 in 3 international trips that include</w:t>
      </w:r>
      <w:r w:rsidR="000A1F2A" w:rsidRPr="00EE587D">
        <w:rPr>
          <w:rFonts w:asciiTheme="minorHAnsi" w:eastAsia="Verdana"/>
          <w:kern w:val="24"/>
          <w:sz w:val="20"/>
          <w:szCs w:val="20"/>
        </w:rPr>
        <w:t>d</w:t>
      </w:r>
      <w:r w:rsidR="00CC23DF" w:rsidRPr="00EE587D">
        <w:rPr>
          <w:rFonts w:asciiTheme="minorHAnsi" w:eastAsia="Verdana"/>
          <w:kern w:val="24"/>
          <w:sz w:val="20"/>
          <w:szCs w:val="20"/>
        </w:rPr>
        <w:t xml:space="preserve"> cycling and almost $1 in $4 dollars spent by international visitors in Australia on trips involving cycling</w:t>
      </w:r>
      <w:r w:rsidR="000A1F2A" w:rsidRPr="00EE587D">
        <w:rPr>
          <w:rFonts w:asciiTheme="minorHAnsi" w:eastAsia="Verdana"/>
          <w:kern w:val="24"/>
          <w:sz w:val="20"/>
          <w:szCs w:val="20"/>
        </w:rPr>
        <w:t xml:space="preserve"> in 2024</w:t>
      </w:r>
      <w:r w:rsidR="00CC23DF" w:rsidRPr="00EE587D">
        <w:rPr>
          <w:rFonts w:asciiTheme="minorHAnsi" w:eastAsia="Verdana"/>
          <w:kern w:val="24"/>
          <w:sz w:val="20"/>
          <w:szCs w:val="20"/>
        </w:rPr>
        <w:t>.</w:t>
      </w:r>
    </w:p>
    <w:p w14:paraId="14856D8C" w14:textId="0BFEEE9C" w:rsidR="00CC23DF" w:rsidRPr="00EE587D" w:rsidRDefault="00CC23DF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>In 2024, these 3 markets contributed $1.25 b</w:t>
      </w:r>
      <w:r w:rsidR="005C49B7" w:rsidRPr="00EE587D">
        <w:rPr>
          <w:rFonts w:asciiTheme="minorHAnsi" w:eastAsia="Verdana"/>
          <w:kern w:val="24"/>
          <w:sz w:val="20"/>
          <w:szCs w:val="20"/>
        </w:rPr>
        <w:t>illion</w:t>
      </w:r>
      <w:r w:rsidR="007E50CC" w:rsidRPr="00EE587D">
        <w:rPr>
          <w:rFonts w:asciiTheme="minorHAnsi" w:eastAsia="Verdana"/>
          <w:kern w:val="24"/>
          <w:sz w:val="20"/>
          <w:szCs w:val="20"/>
        </w:rPr>
        <w:t xml:space="preserve"> in spend</w:t>
      </w:r>
      <w:r w:rsidRPr="00EE587D">
        <w:rPr>
          <w:rFonts w:asciiTheme="minorHAnsi" w:eastAsia="Verdana"/>
          <w:kern w:val="24"/>
          <w:sz w:val="20"/>
          <w:szCs w:val="20"/>
        </w:rPr>
        <w:t xml:space="preserve"> to Australia through trips that included cycling.</w:t>
      </w:r>
    </w:p>
    <w:p w14:paraId="7AB908AE" w14:textId="77777777" w:rsidR="00CC23DF" w:rsidRPr="00EE587D" w:rsidRDefault="00CC23DF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>International visitors who enjoy cycling on their trips are mostly visiting Australia for a holiday (43%), or to visit friends and family (29%).</w:t>
      </w:r>
    </w:p>
    <w:p w14:paraId="278EEE9A" w14:textId="6DE271BC" w:rsidR="00CC23DF" w:rsidRPr="00EE587D" w:rsidRDefault="00CC23DF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>Short term international students accounted for 13% of visitors cycling in 2024, a much higher proportion than total international visitors in 2024, contributing to the overall higher spend in Australia</w:t>
      </w:r>
      <w:r w:rsidR="007D29F2" w:rsidRPr="00EE587D">
        <w:rPr>
          <w:rFonts w:asciiTheme="minorHAnsi" w:eastAsia="Verdana"/>
          <w:kern w:val="24"/>
          <w:sz w:val="20"/>
          <w:szCs w:val="20"/>
        </w:rPr>
        <w:t xml:space="preserve"> of trips involving cycling</w:t>
      </w:r>
      <w:r w:rsidRPr="00EE587D">
        <w:rPr>
          <w:rFonts w:asciiTheme="minorHAnsi" w:eastAsia="Verdana"/>
          <w:kern w:val="24"/>
          <w:sz w:val="20"/>
          <w:szCs w:val="20"/>
        </w:rPr>
        <w:t>.</w:t>
      </w:r>
    </w:p>
    <w:tbl>
      <w:tblPr>
        <w:tblW w:w="9912" w:type="dxa"/>
        <w:tblCellSpacing w:w="1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53"/>
        <w:gridCol w:w="2744"/>
        <w:gridCol w:w="2915"/>
      </w:tblGrid>
      <w:tr w:rsidR="00CC23DF" w:rsidRPr="00CC23DF" w14:paraId="6C8EE935" w14:textId="77777777" w:rsidTr="008358FB">
        <w:trPr>
          <w:trHeight w:val="555"/>
          <w:tblHeader/>
          <w:tblCellSpacing w:w="11" w:type="dxa"/>
        </w:trPr>
        <w:tc>
          <w:tcPr>
            <w:tcW w:w="4220" w:type="dxa"/>
            <w:shd w:val="clear" w:color="auto" w:fill="300050" w:themeFill="tex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CD8431" w14:textId="77777777" w:rsidR="00CC23DF" w:rsidRPr="00CC23DF" w:rsidRDefault="00CC23DF" w:rsidP="00C6288E">
            <w:pPr>
              <w:jc w:val="center"/>
              <w:rPr>
                <w:b/>
                <w:color w:val="FFFFFF" w:themeColor="background1"/>
              </w:rPr>
            </w:pPr>
            <w:r w:rsidRPr="00CC23DF">
              <w:rPr>
                <w:b/>
                <w:color w:val="FFFFFF" w:themeColor="background1"/>
              </w:rPr>
              <w:t>Top 5 markets of origin for agritourism</w:t>
            </w:r>
          </w:p>
        </w:tc>
        <w:tc>
          <w:tcPr>
            <w:tcW w:w="2722" w:type="dxa"/>
            <w:shd w:val="clear" w:color="auto" w:fill="300050" w:themeFill="tex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539B8" w14:textId="77777777" w:rsidR="00CC23DF" w:rsidRPr="00CC23DF" w:rsidRDefault="00CC23DF" w:rsidP="00C6288E">
            <w:pPr>
              <w:jc w:val="center"/>
              <w:rPr>
                <w:b/>
                <w:color w:val="FFFFFF" w:themeColor="background1"/>
              </w:rPr>
            </w:pPr>
            <w:r w:rsidRPr="00CC23DF">
              <w:rPr>
                <w:b/>
                <w:color w:val="FFFFFF" w:themeColor="background1"/>
              </w:rPr>
              <w:t>Visitors</w:t>
            </w:r>
          </w:p>
        </w:tc>
        <w:tc>
          <w:tcPr>
            <w:tcW w:w="2882" w:type="dxa"/>
            <w:shd w:val="clear" w:color="auto" w:fill="300050" w:themeFill="tex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9433AA" w14:textId="77777777" w:rsidR="00CC23DF" w:rsidRPr="00CC23DF" w:rsidRDefault="00CC23DF" w:rsidP="00C6288E">
            <w:pPr>
              <w:jc w:val="center"/>
              <w:rPr>
                <w:b/>
                <w:color w:val="FFFFFF" w:themeColor="background1"/>
              </w:rPr>
            </w:pPr>
            <w:r w:rsidRPr="00CC23DF">
              <w:rPr>
                <w:b/>
                <w:color w:val="FFFFFF" w:themeColor="background1"/>
              </w:rPr>
              <w:t>Expenditure ($M)</w:t>
            </w:r>
          </w:p>
        </w:tc>
      </w:tr>
      <w:tr w:rsidR="00CC23DF" w:rsidRPr="00CC23DF" w14:paraId="2D52CB74" w14:textId="77777777" w:rsidTr="000F3617">
        <w:trPr>
          <w:trHeight w:val="255"/>
          <w:tblCellSpacing w:w="11" w:type="dxa"/>
        </w:trPr>
        <w:tc>
          <w:tcPr>
            <w:tcW w:w="4220" w:type="dxa"/>
            <w:shd w:val="clear" w:color="auto" w:fill="300050" w:themeFill="tex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957809" w14:textId="77777777" w:rsidR="00CC23DF" w:rsidRPr="003F2D57" w:rsidRDefault="00CC23DF" w:rsidP="00CC23DF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United Kingdom</w:t>
            </w:r>
          </w:p>
        </w:tc>
        <w:tc>
          <w:tcPr>
            <w:tcW w:w="272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2ACCC2" w14:textId="77777777" w:rsidR="00CC23DF" w:rsidRPr="00CC23DF" w:rsidRDefault="00CC23DF" w:rsidP="00B86092">
            <w:pPr>
              <w:spacing w:before="0" w:after="160" w:line="259" w:lineRule="auto"/>
              <w:jc w:val="center"/>
              <w:rPr>
                <w:rFonts w:asciiTheme="minorHAnsi" w:eastAsia="Verdana"/>
                <w:kern w:val="24"/>
                <w:sz w:val="21"/>
                <w:szCs w:val="21"/>
              </w:rPr>
            </w:pPr>
            <w:r w:rsidRPr="00CC23DF">
              <w:rPr>
                <w:rFonts w:asciiTheme="minorHAnsi" w:eastAsia="Verdana"/>
                <w:kern w:val="24"/>
                <w:sz w:val="21"/>
                <w:szCs w:val="21"/>
              </w:rPr>
              <w:t>44,300</w:t>
            </w:r>
          </w:p>
        </w:tc>
        <w:tc>
          <w:tcPr>
            <w:tcW w:w="288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FDFFFF" w14:textId="45F029C1" w:rsidR="00CC23DF" w:rsidRPr="00CC23DF" w:rsidRDefault="00CC23DF" w:rsidP="00B86092">
            <w:pPr>
              <w:spacing w:before="0" w:after="160" w:line="259" w:lineRule="auto"/>
              <w:jc w:val="center"/>
              <w:rPr>
                <w:rFonts w:asciiTheme="minorHAnsi" w:eastAsia="Verdana"/>
                <w:kern w:val="24"/>
                <w:sz w:val="21"/>
                <w:szCs w:val="21"/>
              </w:rPr>
            </w:pPr>
            <w:r w:rsidRPr="00CC23DF">
              <w:rPr>
                <w:rFonts w:asciiTheme="minorHAnsi" w:eastAsia="Verdana"/>
                <w:kern w:val="24"/>
                <w:sz w:val="21"/>
                <w:szCs w:val="21"/>
              </w:rPr>
              <w:t>$274</w:t>
            </w:r>
          </w:p>
        </w:tc>
      </w:tr>
      <w:tr w:rsidR="00CC23DF" w:rsidRPr="00CC23DF" w14:paraId="4FA87195" w14:textId="77777777" w:rsidTr="000F3617">
        <w:trPr>
          <w:trHeight w:val="255"/>
          <w:tblCellSpacing w:w="11" w:type="dxa"/>
        </w:trPr>
        <w:tc>
          <w:tcPr>
            <w:tcW w:w="4220" w:type="dxa"/>
            <w:shd w:val="clear" w:color="auto" w:fill="300050" w:themeFill="tex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3F7AE" w14:textId="77777777" w:rsidR="00CC23DF" w:rsidRPr="003F2D57" w:rsidRDefault="00CC23DF" w:rsidP="00CC23DF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New Zealand</w:t>
            </w:r>
          </w:p>
        </w:tc>
        <w:tc>
          <w:tcPr>
            <w:tcW w:w="272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51C68C" w14:textId="77777777" w:rsidR="00CC23DF" w:rsidRPr="00CC23DF" w:rsidRDefault="00CC23DF" w:rsidP="00B86092">
            <w:pPr>
              <w:spacing w:before="0" w:after="160" w:line="259" w:lineRule="auto"/>
              <w:jc w:val="center"/>
              <w:rPr>
                <w:rFonts w:asciiTheme="minorHAnsi" w:eastAsia="Verdana"/>
                <w:kern w:val="24"/>
                <w:sz w:val="21"/>
                <w:szCs w:val="21"/>
              </w:rPr>
            </w:pPr>
            <w:r w:rsidRPr="00CC23DF">
              <w:rPr>
                <w:rFonts w:asciiTheme="minorHAnsi" w:eastAsia="Verdana"/>
                <w:kern w:val="24"/>
                <w:sz w:val="21"/>
                <w:szCs w:val="21"/>
              </w:rPr>
              <w:t>38,200</w:t>
            </w:r>
          </w:p>
        </w:tc>
        <w:tc>
          <w:tcPr>
            <w:tcW w:w="288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3AB7C3" w14:textId="7AEFCA21" w:rsidR="00CC23DF" w:rsidRPr="00CC23DF" w:rsidRDefault="00CC23DF" w:rsidP="00B86092">
            <w:pPr>
              <w:spacing w:before="0" w:after="160" w:line="259" w:lineRule="auto"/>
              <w:jc w:val="center"/>
              <w:rPr>
                <w:rFonts w:asciiTheme="minorHAnsi" w:eastAsia="Verdana"/>
                <w:kern w:val="24"/>
                <w:sz w:val="21"/>
                <w:szCs w:val="21"/>
              </w:rPr>
            </w:pPr>
            <w:r w:rsidRPr="00CC23DF">
              <w:rPr>
                <w:rFonts w:asciiTheme="minorHAnsi" w:eastAsia="Verdana"/>
                <w:kern w:val="24"/>
                <w:sz w:val="21"/>
                <w:szCs w:val="21"/>
              </w:rPr>
              <w:t>$107</w:t>
            </w:r>
          </w:p>
        </w:tc>
      </w:tr>
      <w:tr w:rsidR="00CC23DF" w:rsidRPr="00CC23DF" w14:paraId="21158062" w14:textId="77777777" w:rsidTr="000F3617">
        <w:trPr>
          <w:trHeight w:val="255"/>
          <w:tblCellSpacing w:w="11" w:type="dxa"/>
        </w:trPr>
        <w:tc>
          <w:tcPr>
            <w:tcW w:w="4220" w:type="dxa"/>
            <w:shd w:val="clear" w:color="auto" w:fill="300050" w:themeFill="tex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1A2E62" w14:textId="77777777" w:rsidR="00CC23DF" w:rsidRPr="003F2D57" w:rsidRDefault="00CC23DF" w:rsidP="00CC23DF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China</w:t>
            </w:r>
          </w:p>
        </w:tc>
        <w:tc>
          <w:tcPr>
            <w:tcW w:w="272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72237E" w14:textId="77777777" w:rsidR="00CC23DF" w:rsidRPr="00CC23DF" w:rsidRDefault="00CC23DF" w:rsidP="00B86092">
            <w:pPr>
              <w:spacing w:before="0" w:after="160" w:line="259" w:lineRule="auto"/>
              <w:jc w:val="center"/>
              <w:rPr>
                <w:rFonts w:asciiTheme="minorHAnsi" w:eastAsia="Verdana"/>
                <w:kern w:val="24"/>
                <w:sz w:val="21"/>
                <w:szCs w:val="21"/>
              </w:rPr>
            </w:pPr>
            <w:r w:rsidRPr="00CC23DF">
              <w:rPr>
                <w:rFonts w:asciiTheme="minorHAnsi" w:eastAsia="Verdana"/>
                <w:kern w:val="24"/>
                <w:sz w:val="21"/>
                <w:szCs w:val="21"/>
              </w:rPr>
              <w:t>37,000</w:t>
            </w:r>
          </w:p>
        </w:tc>
        <w:tc>
          <w:tcPr>
            <w:tcW w:w="288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C873F6" w14:textId="5DE7193D" w:rsidR="00CC23DF" w:rsidRPr="00CC23DF" w:rsidRDefault="00CC23DF" w:rsidP="00B86092">
            <w:pPr>
              <w:spacing w:before="0" w:after="160" w:line="259" w:lineRule="auto"/>
              <w:jc w:val="center"/>
              <w:rPr>
                <w:rFonts w:asciiTheme="minorHAnsi" w:eastAsia="Verdana"/>
                <w:kern w:val="24"/>
                <w:sz w:val="21"/>
                <w:szCs w:val="21"/>
              </w:rPr>
            </w:pPr>
            <w:r w:rsidRPr="00CC23DF">
              <w:rPr>
                <w:rFonts w:asciiTheme="minorHAnsi" w:eastAsia="Verdana"/>
                <w:kern w:val="24"/>
                <w:sz w:val="21"/>
                <w:szCs w:val="21"/>
              </w:rPr>
              <w:t>$876</w:t>
            </w:r>
          </w:p>
        </w:tc>
      </w:tr>
      <w:tr w:rsidR="00CC23DF" w:rsidRPr="00CC23DF" w14:paraId="620010AB" w14:textId="77777777" w:rsidTr="000F3617">
        <w:trPr>
          <w:trHeight w:val="255"/>
          <w:tblCellSpacing w:w="11" w:type="dxa"/>
        </w:trPr>
        <w:tc>
          <w:tcPr>
            <w:tcW w:w="4220" w:type="dxa"/>
            <w:shd w:val="clear" w:color="auto" w:fill="300050" w:themeFill="tex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EAE52D" w14:textId="77777777" w:rsidR="00CC23DF" w:rsidRPr="003F2D57" w:rsidRDefault="00CC23DF" w:rsidP="00CC23DF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India</w:t>
            </w:r>
          </w:p>
        </w:tc>
        <w:tc>
          <w:tcPr>
            <w:tcW w:w="272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66C451" w14:textId="77777777" w:rsidR="00CC23DF" w:rsidRPr="00CC23DF" w:rsidRDefault="00CC23DF" w:rsidP="00B86092">
            <w:pPr>
              <w:spacing w:before="0" w:after="160" w:line="259" w:lineRule="auto"/>
              <w:jc w:val="center"/>
              <w:rPr>
                <w:rFonts w:asciiTheme="minorHAnsi" w:eastAsia="Verdana"/>
                <w:kern w:val="24"/>
                <w:sz w:val="21"/>
                <w:szCs w:val="21"/>
              </w:rPr>
            </w:pPr>
            <w:r w:rsidRPr="00CC23DF">
              <w:rPr>
                <w:rFonts w:asciiTheme="minorHAnsi" w:eastAsia="Verdana"/>
                <w:kern w:val="24"/>
                <w:sz w:val="21"/>
                <w:szCs w:val="21"/>
              </w:rPr>
              <w:t>22,700</w:t>
            </w:r>
          </w:p>
        </w:tc>
        <w:tc>
          <w:tcPr>
            <w:tcW w:w="288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863084" w14:textId="3909A61B" w:rsidR="00CC23DF" w:rsidRPr="00CC23DF" w:rsidRDefault="00CC23DF" w:rsidP="00B86092">
            <w:pPr>
              <w:spacing w:before="0" w:after="160" w:line="259" w:lineRule="auto"/>
              <w:jc w:val="center"/>
              <w:rPr>
                <w:rFonts w:asciiTheme="minorHAnsi" w:eastAsia="Verdana"/>
                <w:kern w:val="24"/>
                <w:sz w:val="21"/>
                <w:szCs w:val="21"/>
              </w:rPr>
            </w:pPr>
            <w:r w:rsidRPr="00CC23DF">
              <w:rPr>
                <w:rFonts w:asciiTheme="minorHAnsi" w:eastAsia="Verdana"/>
                <w:kern w:val="24"/>
                <w:sz w:val="21"/>
                <w:szCs w:val="21"/>
              </w:rPr>
              <w:t>$243</w:t>
            </w:r>
          </w:p>
        </w:tc>
      </w:tr>
      <w:tr w:rsidR="00CC23DF" w:rsidRPr="00CC23DF" w14:paraId="6CFEE3E4" w14:textId="77777777" w:rsidTr="000F3617">
        <w:trPr>
          <w:trHeight w:val="255"/>
          <w:tblCellSpacing w:w="11" w:type="dxa"/>
        </w:trPr>
        <w:tc>
          <w:tcPr>
            <w:tcW w:w="4220" w:type="dxa"/>
            <w:shd w:val="clear" w:color="auto" w:fill="300050" w:themeFill="tex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8C4C5C" w14:textId="77777777" w:rsidR="00CC23DF" w:rsidRPr="003F2D57" w:rsidRDefault="00CC23DF" w:rsidP="00CC23DF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United States of America</w:t>
            </w:r>
          </w:p>
        </w:tc>
        <w:tc>
          <w:tcPr>
            <w:tcW w:w="272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5A2FE7" w14:textId="77777777" w:rsidR="00CC23DF" w:rsidRPr="00CC23DF" w:rsidRDefault="00CC23DF" w:rsidP="00B86092">
            <w:pPr>
              <w:spacing w:before="0" w:after="160" w:line="259" w:lineRule="auto"/>
              <w:jc w:val="center"/>
              <w:rPr>
                <w:rFonts w:asciiTheme="minorHAnsi" w:eastAsia="Verdana"/>
                <w:kern w:val="24"/>
                <w:sz w:val="21"/>
                <w:szCs w:val="21"/>
              </w:rPr>
            </w:pPr>
            <w:r w:rsidRPr="00CC23DF">
              <w:rPr>
                <w:rFonts w:asciiTheme="minorHAnsi" w:eastAsia="Verdana"/>
                <w:kern w:val="24"/>
                <w:sz w:val="21"/>
                <w:szCs w:val="21"/>
              </w:rPr>
              <w:t>20,900</w:t>
            </w:r>
          </w:p>
        </w:tc>
        <w:tc>
          <w:tcPr>
            <w:tcW w:w="288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EC7986" w14:textId="345419E2" w:rsidR="00CC23DF" w:rsidRPr="00CC23DF" w:rsidRDefault="00CC23DF" w:rsidP="00B86092">
            <w:pPr>
              <w:spacing w:before="0" w:after="160" w:line="259" w:lineRule="auto"/>
              <w:jc w:val="center"/>
              <w:rPr>
                <w:rFonts w:asciiTheme="minorHAnsi" w:eastAsia="Verdana"/>
                <w:kern w:val="24"/>
                <w:sz w:val="21"/>
                <w:szCs w:val="21"/>
              </w:rPr>
            </w:pPr>
            <w:r w:rsidRPr="00CC23DF">
              <w:rPr>
                <w:rFonts w:asciiTheme="minorHAnsi" w:eastAsia="Verdana"/>
                <w:kern w:val="24"/>
                <w:sz w:val="21"/>
                <w:szCs w:val="21"/>
              </w:rPr>
              <w:t>$93</w:t>
            </w:r>
          </w:p>
        </w:tc>
      </w:tr>
    </w:tbl>
    <w:p w14:paraId="2A268984" w14:textId="0742669B" w:rsidR="00C12BDE" w:rsidRPr="00C25A43" w:rsidRDefault="002264EA" w:rsidP="00C25A43">
      <w:pPr>
        <w:pStyle w:val="Heading2"/>
      </w:pPr>
      <w:bookmarkStart w:id="7" w:name="_Toc211341050"/>
      <w:r w:rsidRPr="00C25A43">
        <w:t xml:space="preserve">Pedal personas: </w:t>
      </w:r>
      <w:proofErr w:type="gramStart"/>
      <w:r w:rsidRPr="00C25A43">
        <w:t>Profiling road</w:t>
      </w:r>
      <w:proofErr w:type="gramEnd"/>
      <w:r w:rsidRPr="00C25A43">
        <w:t>, mountain</w:t>
      </w:r>
      <w:r w:rsidR="00F54788" w:rsidRPr="00C25A43">
        <w:t>, trail, and events cyclists in 2024</w:t>
      </w:r>
      <w:bookmarkEnd w:id="7"/>
    </w:p>
    <w:p w14:paraId="67061C96" w14:textId="016296AF" w:rsidR="00366FC6" w:rsidRDefault="00C25A43" w:rsidP="00C25A43">
      <w:pPr>
        <w:pStyle w:val="Heading4"/>
        <w:rPr>
          <w:lang w:eastAsia="zh-CN"/>
        </w:rPr>
      </w:pPr>
      <w:r w:rsidRPr="00C25A43">
        <w:rPr>
          <w:lang w:eastAsia="zh-CN"/>
        </w:rPr>
        <w:t>Cycle tourism offers a year-round activity, with different peaks and troughs by cycle sub-groups</w:t>
      </w:r>
    </w:p>
    <w:p w14:paraId="335EA3BD" w14:textId="5228808C" w:rsidR="00C6288E" w:rsidRPr="00C6288E" w:rsidRDefault="00A55449" w:rsidP="00C6288E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>Road cycling peaks in December and March, mountain biking in June and March, while rail trail cycling sees more consistent engagement throughout the year</w:t>
      </w:r>
    </w:p>
    <w:p w14:paraId="617DF3F2" w14:textId="355C5CBE" w:rsidR="00C12BDE" w:rsidRPr="00D47DC8" w:rsidRDefault="00C12BDE" w:rsidP="00C12BDE">
      <w:pPr>
        <w:spacing w:before="0" w:after="160" w:line="259" w:lineRule="auto"/>
        <w:rPr>
          <w:bCs/>
          <w:color w:val="300050" w:themeColor="text2"/>
          <w:sz w:val="28"/>
          <w:szCs w:val="32"/>
        </w:rPr>
      </w:pPr>
      <w:r w:rsidRPr="00D47DC8">
        <w:rPr>
          <w:bCs/>
          <w:color w:val="300050" w:themeColor="text2"/>
          <w:sz w:val="28"/>
          <w:szCs w:val="32"/>
        </w:rPr>
        <w:lastRenderedPageBreak/>
        <w:t>Cycle tourism impact and opportunity</w:t>
      </w:r>
    </w:p>
    <w:p w14:paraId="3804777C" w14:textId="77777777" w:rsidR="00C12BDE" w:rsidRPr="00EE587D" w:rsidRDefault="00C12BDE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 xml:space="preserve">With millions of dollars invested in cycling infrastructure, and more planned, cycle tourism is well positioned for continued expansion, offering benefits to regional Australia and the broader visitor economy. </w:t>
      </w:r>
    </w:p>
    <w:tbl>
      <w:tblPr>
        <w:tblW w:w="9901" w:type="dxa"/>
        <w:tblLayout w:type="fixed"/>
        <w:tblLook w:val="04A0" w:firstRow="1" w:lastRow="0" w:firstColumn="1" w:lastColumn="0" w:noHBand="0" w:noVBand="1"/>
      </w:tblPr>
      <w:tblGrid>
        <w:gridCol w:w="2835"/>
        <w:gridCol w:w="1766"/>
        <w:gridCol w:w="1767"/>
        <w:gridCol w:w="1766"/>
        <w:gridCol w:w="1767"/>
      </w:tblGrid>
      <w:tr w:rsidR="00915D7D" w:rsidRPr="0010557F" w14:paraId="3FDC413F" w14:textId="77777777" w:rsidTr="0010557F">
        <w:trPr>
          <w:trHeight w:val="29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4E96BCDC" w14:textId="77777777" w:rsidR="00915D7D" w:rsidRPr="0010557F" w:rsidRDefault="00915D7D" w:rsidP="00915D7D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FFFFFF" w:themeColor="background1"/>
                <w:sz w:val="22"/>
                <w:szCs w:val="22"/>
                <w:lang w:eastAsia="en-A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center"/>
            <w:hideMark/>
          </w:tcPr>
          <w:p w14:paraId="07D82901" w14:textId="0807D186" w:rsidR="00915D7D" w:rsidRPr="00C6288E" w:rsidRDefault="00915D7D" w:rsidP="00C6288E">
            <w:pPr>
              <w:jc w:val="center"/>
              <w:rPr>
                <w:b/>
                <w:color w:val="FFFFFF" w:themeColor="background1"/>
              </w:rPr>
            </w:pPr>
            <w:r w:rsidRPr="00C6288E">
              <w:rPr>
                <w:b/>
                <w:color w:val="FFFFFF" w:themeColor="background1"/>
              </w:rPr>
              <w:t>March quarter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center"/>
            <w:hideMark/>
          </w:tcPr>
          <w:p w14:paraId="0AA9C01E" w14:textId="2EFDABF1" w:rsidR="00915D7D" w:rsidRPr="00C6288E" w:rsidRDefault="00915D7D" w:rsidP="00C6288E">
            <w:pPr>
              <w:jc w:val="center"/>
              <w:rPr>
                <w:b/>
                <w:color w:val="FFFFFF" w:themeColor="background1"/>
              </w:rPr>
            </w:pPr>
            <w:r w:rsidRPr="00C6288E">
              <w:rPr>
                <w:b/>
                <w:color w:val="FFFFFF" w:themeColor="background1"/>
              </w:rPr>
              <w:t>June quarter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center"/>
            <w:hideMark/>
          </w:tcPr>
          <w:p w14:paraId="2D3BED95" w14:textId="54BA011C" w:rsidR="00915D7D" w:rsidRPr="00C6288E" w:rsidRDefault="00915D7D" w:rsidP="00C6288E">
            <w:pPr>
              <w:jc w:val="center"/>
              <w:rPr>
                <w:b/>
                <w:color w:val="FFFFFF" w:themeColor="background1"/>
              </w:rPr>
            </w:pPr>
            <w:r w:rsidRPr="00C6288E">
              <w:rPr>
                <w:b/>
                <w:color w:val="FFFFFF" w:themeColor="background1"/>
              </w:rPr>
              <w:t>September quarter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center"/>
            <w:hideMark/>
          </w:tcPr>
          <w:p w14:paraId="6F1626D2" w14:textId="7EC970BA" w:rsidR="00915D7D" w:rsidRPr="00C6288E" w:rsidRDefault="00915D7D" w:rsidP="00C6288E">
            <w:pPr>
              <w:jc w:val="center"/>
              <w:rPr>
                <w:b/>
                <w:color w:val="FFFFFF" w:themeColor="background1"/>
              </w:rPr>
            </w:pPr>
            <w:r w:rsidRPr="00C6288E">
              <w:rPr>
                <w:b/>
                <w:color w:val="FFFFFF" w:themeColor="background1"/>
              </w:rPr>
              <w:t>December quarter</w:t>
            </w:r>
          </w:p>
        </w:tc>
      </w:tr>
      <w:tr w:rsidR="00915D7D" w:rsidRPr="0010557F" w14:paraId="0B83CF03" w14:textId="77777777" w:rsidTr="0010557F">
        <w:trPr>
          <w:trHeight w:val="29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7FBFEA92" w14:textId="77777777" w:rsidR="00915D7D" w:rsidRPr="003F2D57" w:rsidRDefault="00915D7D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Road cycling (2023)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6D755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686,791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F87C2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547,741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7F9F0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479,325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C5709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694,560</w:t>
            </w:r>
          </w:p>
        </w:tc>
      </w:tr>
      <w:tr w:rsidR="00915D7D" w:rsidRPr="0010557F" w14:paraId="0CADEAD6" w14:textId="77777777" w:rsidTr="0010557F">
        <w:trPr>
          <w:trHeight w:val="29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5AA9584A" w14:textId="77777777" w:rsidR="00915D7D" w:rsidRPr="003F2D57" w:rsidRDefault="00915D7D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Road cycling (2024)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D038C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669,569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DE494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588,981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6EFFC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435,774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177CD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666,405</w:t>
            </w:r>
          </w:p>
        </w:tc>
      </w:tr>
      <w:tr w:rsidR="00915D7D" w:rsidRPr="0010557F" w14:paraId="781CD1E9" w14:textId="77777777" w:rsidTr="0010557F">
        <w:trPr>
          <w:trHeight w:val="29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0716D4C9" w14:textId="77777777" w:rsidR="00915D7D" w:rsidRPr="003F2D57" w:rsidRDefault="00915D7D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Mountain biking (2023)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DC99C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574,991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C2E0D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574,365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F9464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397,152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CC135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373,149</w:t>
            </w:r>
          </w:p>
        </w:tc>
      </w:tr>
      <w:tr w:rsidR="00915D7D" w:rsidRPr="0010557F" w14:paraId="54F4B39B" w14:textId="77777777" w:rsidTr="0010557F">
        <w:trPr>
          <w:trHeight w:val="29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04ADD8AD" w14:textId="77777777" w:rsidR="00915D7D" w:rsidRPr="003F2D57" w:rsidRDefault="00915D7D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Mountain biking (2024)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E103C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539,318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187CA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610,804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340D9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356,696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BB752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323,752</w:t>
            </w:r>
          </w:p>
        </w:tc>
      </w:tr>
      <w:tr w:rsidR="00915D7D" w:rsidRPr="0010557F" w14:paraId="5556C41F" w14:textId="77777777" w:rsidTr="0010557F">
        <w:trPr>
          <w:trHeight w:val="29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4A9B3406" w14:textId="77777777" w:rsidR="00915D7D" w:rsidRPr="003F2D57" w:rsidRDefault="00915D7D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Rail trails (2023)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7A78A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244,249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33F68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270,947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476A9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263,143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9113B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173,077</w:t>
            </w:r>
          </w:p>
        </w:tc>
      </w:tr>
      <w:tr w:rsidR="00915D7D" w:rsidRPr="0010557F" w14:paraId="0CFBA72E" w14:textId="77777777" w:rsidTr="0010557F">
        <w:trPr>
          <w:trHeight w:val="29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300050" w:themeFill="text2"/>
            <w:noWrap/>
            <w:vAlign w:val="bottom"/>
            <w:hideMark/>
          </w:tcPr>
          <w:p w14:paraId="7CAEC23C" w14:textId="77777777" w:rsidR="00915D7D" w:rsidRPr="003F2D57" w:rsidRDefault="00915D7D" w:rsidP="003F2D57">
            <w:pPr>
              <w:spacing w:before="0" w:after="160" w:line="259" w:lineRule="auto"/>
              <w:rPr>
                <w:rFonts w:asciiTheme="majorHAnsi" w:hAnsiTheme="majorHAnsi"/>
                <w:color w:val="FFFFFF" w:themeColor="background1"/>
              </w:rPr>
            </w:pPr>
            <w:r w:rsidRPr="003F2D57">
              <w:rPr>
                <w:rFonts w:asciiTheme="majorHAnsi" w:hAnsiTheme="majorHAnsi"/>
                <w:color w:val="FFFFFF" w:themeColor="background1"/>
              </w:rPr>
              <w:t>Rail trails (2024)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E63FE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285,750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EEC33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257,493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85411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235,554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DED76" w14:textId="77777777" w:rsidR="00915D7D" w:rsidRPr="0010557F" w:rsidRDefault="00915D7D" w:rsidP="00915D7D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</w:pPr>
            <w:r w:rsidRPr="0010557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eastAsia="en-AU"/>
              </w:rPr>
              <w:t>272,898</w:t>
            </w:r>
          </w:p>
        </w:tc>
      </w:tr>
    </w:tbl>
    <w:p w14:paraId="3521C718" w14:textId="77777777" w:rsidR="00593CA2" w:rsidRDefault="00593CA2" w:rsidP="00C12BDE">
      <w:pPr>
        <w:spacing w:before="0" w:after="160" w:line="259" w:lineRule="auto"/>
        <w:rPr>
          <w:rFonts w:asciiTheme="minorHAnsi" w:eastAsia="Verdana"/>
          <w:kern w:val="24"/>
        </w:rPr>
      </w:pPr>
    </w:p>
    <w:p w14:paraId="6963E376" w14:textId="13C47D56" w:rsidR="00EC7D5B" w:rsidRDefault="00EC7D5B" w:rsidP="00EC7D5B">
      <w:pPr>
        <w:pStyle w:val="Heading4"/>
      </w:pPr>
      <w:r w:rsidRPr="00EC7D5B">
        <w:t>Trips that included road cycling accounted for 2.4 million trips and $3.8 billion in spending in 2024, with NSW and VIC being top destinations</w:t>
      </w:r>
    </w:p>
    <w:p w14:paraId="3FC6FDCA" w14:textId="65A6B285" w:rsidR="00A4260E" w:rsidRPr="00A4260E" w:rsidRDefault="00E62C14" w:rsidP="00A4260E">
      <w:r>
        <w:t xml:space="preserve">Trips including road cycling accounted </w:t>
      </w:r>
      <w:r w:rsidR="0025658B">
        <w:t xml:space="preserve">for </w:t>
      </w:r>
      <w:r w:rsidR="00A4260E" w:rsidRPr="00A4260E">
        <w:t>2.4 million</w:t>
      </w:r>
      <w:r w:rsidR="0025658B">
        <w:t xml:space="preserve"> trips.</w:t>
      </w:r>
    </w:p>
    <w:p w14:paraId="5528CC7D" w14:textId="77777777" w:rsidR="00A9506C" w:rsidRDefault="00A4260E" w:rsidP="0025658B">
      <w:pPr>
        <w:pStyle w:val="ListParagraph"/>
        <w:numPr>
          <w:ilvl w:val="0"/>
          <w:numId w:val="10"/>
        </w:numPr>
      </w:pPr>
      <w:r w:rsidRPr="00A4260E">
        <w:t xml:space="preserve">223k International </w:t>
      </w:r>
    </w:p>
    <w:p w14:paraId="40AFDE88" w14:textId="77777777" w:rsidR="00A9506C" w:rsidRDefault="00A4260E" w:rsidP="0025658B">
      <w:pPr>
        <w:pStyle w:val="ListParagraph"/>
        <w:numPr>
          <w:ilvl w:val="0"/>
          <w:numId w:val="10"/>
        </w:numPr>
      </w:pPr>
      <w:r w:rsidRPr="00A4260E">
        <w:t>1.26m Domestic overnight</w:t>
      </w:r>
    </w:p>
    <w:p w14:paraId="500316AF" w14:textId="551278C4" w:rsidR="00A4260E" w:rsidRPr="00A4260E" w:rsidRDefault="00A4260E" w:rsidP="0025658B">
      <w:pPr>
        <w:pStyle w:val="ListParagraph"/>
        <w:numPr>
          <w:ilvl w:val="0"/>
          <w:numId w:val="10"/>
        </w:numPr>
      </w:pPr>
      <w:r w:rsidRPr="00A4260E">
        <w:t xml:space="preserve">878k Domestic day trip </w:t>
      </w:r>
    </w:p>
    <w:p w14:paraId="19FDEF3F" w14:textId="77777777" w:rsidR="00121168" w:rsidRDefault="00121168" w:rsidP="00121168">
      <w:pPr>
        <w:pStyle w:val="ListParagraph"/>
      </w:pPr>
    </w:p>
    <w:p w14:paraId="3A41B9F9" w14:textId="2D791A97" w:rsidR="00406975" w:rsidRDefault="00406975" w:rsidP="00406975">
      <w:pPr>
        <w:pStyle w:val="ListParagraph"/>
        <w:numPr>
          <w:ilvl w:val="0"/>
          <w:numId w:val="10"/>
        </w:numPr>
      </w:pPr>
      <w:r>
        <w:t>69% of trips went to regional Australia.</w:t>
      </w:r>
    </w:p>
    <w:p w14:paraId="1A689C52" w14:textId="6CE0833B" w:rsidR="00406975" w:rsidRDefault="00406975" w:rsidP="00302EBB">
      <w:pPr>
        <w:pStyle w:val="ListParagraph"/>
        <w:numPr>
          <w:ilvl w:val="0"/>
          <w:numId w:val="10"/>
        </w:numPr>
      </w:pPr>
      <w:r>
        <w:t xml:space="preserve">34% of trips went to capital cities. </w:t>
      </w:r>
    </w:p>
    <w:p w14:paraId="1765119D" w14:textId="6BFD906D" w:rsidR="00406975" w:rsidRDefault="00406975" w:rsidP="00406975">
      <w:r>
        <w:t xml:space="preserve">There were 28 million nights on trips that included road cycling. </w:t>
      </w:r>
    </w:p>
    <w:p w14:paraId="38F4E7F8" w14:textId="48FB9340" w:rsidR="00406975" w:rsidRDefault="00D054DF" w:rsidP="00406975">
      <w:pPr>
        <w:pStyle w:val="ListParagraph"/>
        <w:numPr>
          <w:ilvl w:val="0"/>
          <w:numId w:val="11"/>
        </w:numPr>
      </w:pPr>
      <w:r>
        <w:t>22.3 million international nights</w:t>
      </w:r>
    </w:p>
    <w:p w14:paraId="512FD2D4" w14:textId="1942891C" w:rsidR="00D054DF" w:rsidRDefault="00D054DF" w:rsidP="00406975">
      <w:pPr>
        <w:pStyle w:val="ListParagraph"/>
        <w:numPr>
          <w:ilvl w:val="0"/>
          <w:numId w:val="11"/>
        </w:numPr>
      </w:pPr>
      <w:r>
        <w:t xml:space="preserve">5.7 million </w:t>
      </w:r>
      <w:r w:rsidR="00B2249E">
        <w:t xml:space="preserve">domestic </w:t>
      </w:r>
      <w:r>
        <w:t>overnight nights</w:t>
      </w:r>
    </w:p>
    <w:p w14:paraId="67886354" w14:textId="04C2E8A6" w:rsidR="00D054DF" w:rsidRDefault="00D054DF" w:rsidP="00D054DF">
      <w:r>
        <w:t>Total trips expendit</w:t>
      </w:r>
      <w:r w:rsidR="00DD0460">
        <w:t>ure on trips that include road cycling was $3.8 billion.</w:t>
      </w:r>
    </w:p>
    <w:p w14:paraId="479146B4" w14:textId="5818AFD7" w:rsidR="00DD0460" w:rsidRDefault="00DD0460" w:rsidP="00DD0460">
      <w:pPr>
        <w:pStyle w:val="ListParagraph"/>
        <w:numPr>
          <w:ilvl w:val="0"/>
          <w:numId w:val="12"/>
        </w:numPr>
      </w:pPr>
      <w:r>
        <w:t>$2.1 billion internation</w:t>
      </w:r>
      <w:r w:rsidR="002619BD">
        <w:t>al</w:t>
      </w:r>
      <w:r>
        <w:t xml:space="preserve"> total trip spend</w:t>
      </w:r>
    </w:p>
    <w:p w14:paraId="25EE87CD" w14:textId="6B88A0A1" w:rsidR="00DD0460" w:rsidRDefault="00DD0460" w:rsidP="00DD0460">
      <w:pPr>
        <w:pStyle w:val="ListParagraph"/>
        <w:numPr>
          <w:ilvl w:val="0"/>
          <w:numId w:val="12"/>
        </w:numPr>
      </w:pPr>
      <w:r>
        <w:t xml:space="preserve">$1.6 billion </w:t>
      </w:r>
      <w:r w:rsidR="002619BD">
        <w:t>domestic overnight total trip spend</w:t>
      </w:r>
    </w:p>
    <w:p w14:paraId="238DBD4C" w14:textId="0DD92EF4" w:rsidR="002619BD" w:rsidRDefault="002619BD" w:rsidP="00DD0460">
      <w:pPr>
        <w:pStyle w:val="ListParagraph"/>
        <w:numPr>
          <w:ilvl w:val="0"/>
          <w:numId w:val="12"/>
        </w:numPr>
      </w:pPr>
      <w:r>
        <w:t xml:space="preserve">$52,000 </w:t>
      </w:r>
      <w:r w:rsidR="00121168">
        <w:t>domestic day total trip spend</w:t>
      </w:r>
    </w:p>
    <w:p w14:paraId="388D36FC" w14:textId="691FB8DD" w:rsidR="00121168" w:rsidRDefault="00121168" w:rsidP="00121168">
      <w:r>
        <w:t>The top destinations for road cycling (based on domestic travellers only) were</w:t>
      </w:r>
    </w:p>
    <w:p w14:paraId="0F2275F3" w14:textId="0ECEC18B" w:rsidR="00121168" w:rsidRDefault="00121168" w:rsidP="00121168">
      <w:pPr>
        <w:pStyle w:val="ListParagraph"/>
        <w:numPr>
          <w:ilvl w:val="0"/>
          <w:numId w:val="13"/>
        </w:numPr>
      </w:pPr>
      <w:r>
        <w:t>New South Wales, 32%</w:t>
      </w:r>
    </w:p>
    <w:p w14:paraId="34341685" w14:textId="5549F644" w:rsidR="00121168" w:rsidRDefault="00121168" w:rsidP="00121168">
      <w:pPr>
        <w:pStyle w:val="ListParagraph"/>
        <w:numPr>
          <w:ilvl w:val="0"/>
          <w:numId w:val="13"/>
        </w:numPr>
      </w:pPr>
      <w:r>
        <w:t>Victoria, 30%</w:t>
      </w:r>
    </w:p>
    <w:p w14:paraId="29273F39" w14:textId="189C52C7" w:rsidR="008443B2" w:rsidRDefault="008443B2" w:rsidP="008443B2">
      <w:pPr>
        <w:pStyle w:val="ListParagraph"/>
        <w:numPr>
          <w:ilvl w:val="0"/>
          <w:numId w:val="13"/>
        </w:numPr>
      </w:pPr>
      <w:r>
        <w:t>Western Australia, 13%, &amp; Queensland, 13%</w:t>
      </w:r>
    </w:p>
    <w:p w14:paraId="04AD1582" w14:textId="77777777" w:rsidR="00742E29" w:rsidRDefault="00742E29" w:rsidP="00742E29">
      <w:pPr>
        <w:rPr>
          <w:bCs/>
          <w:sz w:val="26"/>
          <w:szCs w:val="24"/>
        </w:rPr>
      </w:pPr>
      <w:r w:rsidRPr="00742E29">
        <w:rPr>
          <w:bCs/>
          <w:sz w:val="26"/>
          <w:szCs w:val="24"/>
        </w:rPr>
        <w:t>Trips that included</w:t>
      </w:r>
      <w:r>
        <w:rPr>
          <w:bCs/>
          <w:sz w:val="26"/>
          <w:szCs w:val="24"/>
        </w:rPr>
        <w:t xml:space="preserve"> </w:t>
      </w:r>
      <w:r w:rsidRPr="00742E29">
        <w:rPr>
          <w:bCs/>
          <w:sz w:val="26"/>
          <w:szCs w:val="24"/>
        </w:rPr>
        <w:t>mountain biking accounted</w:t>
      </w:r>
      <w:r>
        <w:rPr>
          <w:bCs/>
          <w:sz w:val="26"/>
          <w:szCs w:val="24"/>
        </w:rPr>
        <w:t xml:space="preserve"> </w:t>
      </w:r>
      <w:r w:rsidRPr="00742E29">
        <w:rPr>
          <w:bCs/>
          <w:sz w:val="26"/>
          <w:szCs w:val="24"/>
        </w:rPr>
        <w:t>for 1.8 million trips and</w:t>
      </w:r>
      <w:r>
        <w:rPr>
          <w:bCs/>
          <w:sz w:val="26"/>
          <w:szCs w:val="24"/>
        </w:rPr>
        <w:t xml:space="preserve"> </w:t>
      </w:r>
      <w:r w:rsidRPr="00742E29">
        <w:rPr>
          <w:bCs/>
          <w:sz w:val="26"/>
          <w:szCs w:val="24"/>
        </w:rPr>
        <w:t>$1.5 billion in spending in2024, with VIC and NSW</w:t>
      </w:r>
      <w:r>
        <w:rPr>
          <w:bCs/>
          <w:sz w:val="26"/>
          <w:szCs w:val="24"/>
        </w:rPr>
        <w:t xml:space="preserve"> </w:t>
      </w:r>
      <w:r w:rsidRPr="00742E29">
        <w:rPr>
          <w:bCs/>
          <w:sz w:val="26"/>
          <w:szCs w:val="24"/>
        </w:rPr>
        <w:t>being top destinations</w:t>
      </w:r>
    </w:p>
    <w:p w14:paraId="627117CB" w14:textId="37B3B9D3" w:rsidR="008443B2" w:rsidRPr="00A4260E" w:rsidRDefault="008443B2" w:rsidP="00742E29">
      <w:r>
        <w:t xml:space="preserve">Trips including </w:t>
      </w:r>
      <w:r w:rsidR="00742E29">
        <w:t>mountain biking</w:t>
      </w:r>
      <w:r>
        <w:t xml:space="preserve"> accounted for </w:t>
      </w:r>
      <w:r w:rsidR="00742E29">
        <w:t>1.8</w:t>
      </w:r>
      <w:r w:rsidRPr="00A4260E">
        <w:t xml:space="preserve"> million</w:t>
      </w:r>
      <w:r>
        <w:t xml:space="preserve"> trips.</w:t>
      </w:r>
    </w:p>
    <w:p w14:paraId="27AAB8CA" w14:textId="76390BBE" w:rsidR="008443B2" w:rsidRDefault="00742E29" w:rsidP="008443B2">
      <w:pPr>
        <w:pStyle w:val="ListParagraph"/>
        <w:numPr>
          <w:ilvl w:val="0"/>
          <w:numId w:val="10"/>
        </w:numPr>
      </w:pPr>
      <w:r>
        <w:lastRenderedPageBreak/>
        <w:t>30k</w:t>
      </w:r>
      <w:r w:rsidR="008443B2" w:rsidRPr="00A4260E">
        <w:t xml:space="preserve"> International </w:t>
      </w:r>
    </w:p>
    <w:p w14:paraId="5B7FE264" w14:textId="2D15127A" w:rsidR="008443B2" w:rsidRDefault="008443B2" w:rsidP="008443B2">
      <w:pPr>
        <w:pStyle w:val="ListParagraph"/>
        <w:numPr>
          <w:ilvl w:val="0"/>
          <w:numId w:val="10"/>
        </w:numPr>
      </w:pPr>
      <w:r w:rsidRPr="00A4260E">
        <w:t>1.</w:t>
      </w:r>
      <w:r w:rsidR="00742E29">
        <w:t>0m</w:t>
      </w:r>
      <w:r w:rsidRPr="00A4260E">
        <w:t xml:space="preserve"> Domestic overnight</w:t>
      </w:r>
    </w:p>
    <w:p w14:paraId="541CFB55" w14:textId="2244C621" w:rsidR="008443B2" w:rsidRPr="00A4260E" w:rsidRDefault="00742E29" w:rsidP="008443B2">
      <w:pPr>
        <w:pStyle w:val="ListParagraph"/>
        <w:numPr>
          <w:ilvl w:val="0"/>
          <w:numId w:val="10"/>
        </w:numPr>
      </w:pPr>
      <w:r>
        <w:t>766</w:t>
      </w:r>
      <w:r w:rsidR="00B3688C">
        <w:t>k</w:t>
      </w:r>
      <w:r w:rsidR="008443B2" w:rsidRPr="00A4260E">
        <w:t xml:space="preserve"> Domestic day trip </w:t>
      </w:r>
    </w:p>
    <w:p w14:paraId="76E2C005" w14:textId="77777777" w:rsidR="008443B2" w:rsidRDefault="008443B2" w:rsidP="008443B2">
      <w:pPr>
        <w:pStyle w:val="ListParagraph"/>
      </w:pPr>
    </w:p>
    <w:p w14:paraId="73ED7F57" w14:textId="683691DD" w:rsidR="008443B2" w:rsidRDefault="00B3688C" w:rsidP="008443B2">
      <w:pPr>
        <w:pStyle w:val="ListParagraph"/>
        <w:numPr>
          <w:ilvl w:val="0"/>
          <w:numId w:val="10"/>
        </w:numPr>
      </w:pPr>
      <w:r>
        <w:t>78</w:t>
      </w:r>
      <w:r w:rsidR="008443B2">
        <w:t>% of trips went to regional Australia.</w:t>
      </w:r>
    </w:p>
    <w:p w14:paraId="793B32CD" w14:textId="09EF3552" w:rsidR="008443B2" w:rsidRDefault="00B3688C" w:rsidP="008443B2">
      <w:pPr>
        <w:pStyle w:val="ListParagraph"/>
        <w:numPr>
          <w:ilvl w:val="0"/>
          <w:numId w:val="10"/>
        </w:numPr>
      </w:pPr>
      <w:r>
        <w:t>24</w:t>
      </w:r>
      <w:r w:rsidR="008443B2">
        <w:t xml:space="preserve">% of trips went to capital cities. </w:t>
      </w:r>
    </w:p>
    <w:p w14:paraId="6F18C899" w14:textId="7B21BE88" w:rsidR="008443B2" w:rsidRDefault="008443B2" w:rsidP="008443B2">
      <w:r>
        <w:t xml:space="preserve">There were </w:t>
      </w:r>
      <w:r w:rsidR="00B3688C">
        <w:t>7.5</w:t>
      </w:r>
      <w:r>
        <w:t xml:space="preserve"> million nights on trips that included </w:t>
      </w:r>
      <w:r w:rsidR="001B3A66">
        <w:t>mountain biking</w:t>
      </w:r>
      <w:r>
        <w:t xml:space="preserve">. </w:t>
      </w:r>
    </w:p>
    <w:p w14:paraId="24D4859A" w14:textId="50FF494C" w:rsidR="008443B2" w:rsidRDefault="008443B2" w:rsidP="008443B2">
      <w:pPr>
        <w:pStyle w:val="ListParagraph"/>
        <w:numPr>
          <w:ilvl w:val="0"/>
          <w:numId w:val="11"/>
        </w:numPr>
      </w:pPr>
      <w:r>
        <w:t>3</w:t>
      </w:r>
      <w:r w:rsidR="00B3688C">
        <w:t>.1</w:t>
      </w:r>
      <w:r>
        <w:t xml:space="preserve"> million international nights</w:t>
      </w:r>
    </w:p>
    <w:p w14:paraId="08162DB4" w14:textId="672C76E4" w:rsidR="008443B2" w:rsidRDefault="00B3688C" w:rsidP="008443B2">
      <w:pPr>
        <w:pStyle w:val="ListParagraph"/>
        <w:numPr>
          <w:ilvl w:val="0"/>
          <w:numId w:val="11"/>
        </w:numPr>
      </w:pPr>
      <w:r>
        <w:t>4.4</w:t>
      </w:r>
      <w:r w:rsidR="008443B2">
        <w:t xml:space="preserve"> million </w:t>
      </w:r>
      <w:r w:rsidR="00B2249E">
        <w:t xml:space="preserve">domestic </w:t>
      </w:r>
      <w:r w:rsidR="008443B2">
        <w:t>overnight nights</w:t>
      </w:r>
    </w:p>
    <w:p w14:paraId="55E4142D" w14:textId="28032D9B" w:rsidR="008443B2" w:rsidRDefault="008443B2" w:rsidP="008443B2">
      <w:r>
        <w:t xml:space="preserve">Total trips expenditure on trips that include </w:t>
      </w:r>
      <w:r w:rsidR="001B3A66">
        <w:t xml:space="preserve">mountain biking </w:t>
      </w:r>
      <w:r>
        <w:t>was $</w:t>
      </w:r>
      <w:r w:rsidR="00B3688C">
        <w:t>1.5</w:t>
      </w:r>
      <w:r>
        <w:t xml:space="preserve"> billion.</w:t>
      </w:r>
    </w:p>
    <w:p w14:paraId="29E6EE9F" w14:textId="40BFFD6B" w:rsidR="008443B2" w:rsidRDefault="008443B2" w:rsidP="008443B2">
      <w:pPr>
        <w:pStyle w:val="ListParagraph"/>
        <w:numPr>
          <w:ilvl w:val="0"/>
          <w:numId w:val="12"/>
        </w:numPr>
      </w:pPr>
      <w:r>
        <w:t>$</w:t>
      </w:r>
      <w:r w:rsidR="002662F9">
        <w:t>321</w:t>
      </w:r>
      <w:r w:rsidR="005E2834">
        <w:t>m</w:t>
      </w:r>
      <w:r>
        <w:t xml:space="preserve"> international total trip spend</w:t>
      </w:r>
    </w:p>
    <w:p w14:paraId="1B5D0F4C" w14:textId="275D5935" w:rsidR="008443B2" w:rsidRDefault="008443B2" w:rsidP="008443B2">
      <w:pPr>
        <w:pStyle w:val="ListParagraph"/>
        <w:numPr>
          <w:ilvl w:val="0"/>
          <w:numId w:val="12"/>
        </w:numPr>
      </w:pPr>
      <w:r>
        <w:t>$1.</w:t>
      </w:r>
      <w:r w:rsidR="002662F9">
        <w:t>1</w:t>
      </w:r>
      <w:r>
        <w:t xml:space="preserve"> billion domestic overnight total trip spend</w:t>
      </w:r>
    </w:p>
    <w:p w14:paraId="5C209FAA" w14:textId="13857024" w:rsidR="008443B2" w:rsidRDefault="008443B2" w:rsidP="008443B2">
      <w:pPr>
        <w:pStyle w:val="ListParagraph"/>
        <w:numPr>
          <w:ilvl w:val="0"/>
          <w:numId w:val="12"/>
        </w:numPr>
      </w:pPr>
      <w:r>
        <w:t>$</w:t>
      </w:r>
      <w:r w:rsidR="002662F9">
        <w:t>94</w:t>
      </w:r>
      <w:r w:rsidR="005E2834">
        <w:t>m</w:t>
      </w:r>
      <w:r w:rsidR="002662F9">
        <w:t xml:space="preserve"> </w:t>
      </w:r>
      <w:r>
        <w:t>domestic day total trip spend</w:t>
      </w:r>
    </w:p>
    <w:p w14:paraId="6A9A1A6A" w14:textId="19EF0779" w:rsidR="008443B2" w:rsidRDefault="008443B2" w:rsidP="008443B2">
      <w:r>
        <w:t xml:space="preserve">The top destinations for </w:t>
      </w:r>
      <w:r w:rsidR="001B3A66">
        <w:t xml:space="preserve">mountain biking </w:t>
      </w:r>
      <w:r>
        <w:t>(based on domestic travellers only) were</w:t>
      </w:r>
    </w:p>
    <w:p w14:paraId="3B65024F" w14:textId="16D097A3" w:rsidR="002662F9" w:rsidRDefault="002662F9" w:rsidP="002B76A7">
      <w:pPr>
        <w:pStyle w:val="ListParagraph"/>
        <w:numPr>
          <w:ilvl w:val="0"/>
          <w:numId w:val="14"/>
        </w:numPr>
        <w:spacing w:before="0" w:after="0" w:line="240" w:lineRule="auto"/>
        <w:ind w:left="714" w:hanging="357"/>
      </w:pPr>
      <w:r>
        <w:t>Victoria</w:t>
      </w:r>
      <w:r w:rsidR="00643DA5">
        <w:t>,</w:t>
      </w:r>
      <w:r w:rsidR="00F34AAE">
        <w:t xml:space="preserve"> 29%</w:t>
      </w:r>
    </w:p>
    <w:p w14:paraId="34F456A9" w14:textId="5958F641" w:rsidR="008443B2" w:rsidRDefault="002B76A7" w:rsidP="002B76A7">
      <w:pPr>
        <w:spacing w:before="0" w:after="0" w:line="240" w:lineRule="auto"/>
        <w:ind w:left="357"/>
      </w:pPr>
      <w:r>
        <w:t xml:space="preserve">=. </w:t>
      </w:r>
      <w:r w:rsidR="008443B2">
        <w:t xml:space="preserve">New South Wales, </w:t>
      </w:r>
      <w:r w:rsidR="00F34AAE">
        <w:t>29</w:t>
      </w:r>
      <w:r w:rsidR="008443B2">
        <w:t>%</w:t>
      </w:r>
    </w:p>
    <w:p w14:paraId="7D423FF3" w14:textId="77777777" w:rsidR="0083784C" w:rsidRDefault="008443B2" w:rsidP="0083784C">
      <w:pPr>
        <w:pStyle w:val="ListParagraph"/>
        <w:numPr>
          <w:ilvl w:val="0"/>
          <w:numId w:val="15"/>
        </w:numPr>
        <w:spacing w:before="0" w:after="0" w:line="240" w:lineRule="auto"/>
        <w:ind w:left="714" w:hanging="357"/>
      </w:pPr>
      <w:r>
        <w:t xml:space="preserve">Western Australia, </w:t>
      </w:r>
      <w:r w:rsidR="00F34AAE">
        <w:t>14</w:t>
      </w:r>
      <w:r>
        <w:t>%</w:t>
      </w:r>
    </w:p>
    <w:p w14:paraId="41262EEE" w14:textId="5B95B630" w:rsidR="008443B2" w:rsidRPr="00A4260E" w:rsidRDefault="0083784C" w:rsidP="0083784C">
      <w:pPr>
        <w:spacing w:before="0" w:line="240" w:lineRule="auto"/>
        <w:ind w:left="360"/>
      </w:pPr>
      <w:r>
        <w:t xml:space="preserve">=. </w:t>
      </w:r>
      <w:r w:rsidR="008443B2">
        <w:t xml:space="preserve">Queensland, </w:t>
      </w:r>
      <w:r w:rsidR="00F34AAE">
        <w:t>14</w:t>
      </w:r>
      <w:r w:rsidR="008443B2">
        <w:t>%</w:t>
      </w:r>
    </w:p>
    <w:p w14:paraId="753E17B3" w14:textId="3F8252E4" w:rsidR="00F34AAE" w:rsidRDefault="00F34AAE" w:rsidP="00F34AAE">
      <w:pPr>
        <w:rPr>
          <w:bCs/>
          <w:sz w:val="26"/>
          <w:szCs w:val="24"/>
        </w:rPr>
      </w:pPr>
      <w:r w:rsidRPr="00742E29">
        <w:rPr>
          <w:bCs/>
          <w:sz w:val="26"/>
          <w:szCs w:val="24"/>
        </w:rPr>
        <w:t>Trips that included</w:t>
      </w:r>
      <w:r>
        <w:rPr>
          <w:bCs/>
          <w:sz w:val="26"/>
          <w:szCs w:val="24"/>
        </w:rPr>
        <w:t xml:space="preserve"> </w:t>
      </w:r>
      <w:r w:rsidR="000432C2">
        <w:rPr>
          <w:bCs/>
          <w:sz w:val="26"/>
          <w:szCs w:val="24"/>
        </w:rPr>
        <w:t>rail trail cycling</w:t>
      </w:r>
      <w:r w:rsidRPr="00742E29">
        <w:rPr>
          <w:bCs/>
          <w:sz w:val="26"/>
          <w:szCs w:val="24"/>
        </w:rPr>
        <w:t xml:space="preserve"> accounted</w:t>
      </w:r>
      <w:r>
        <w:rPr>
          <w:bCs/>
          <w:sz w:val="26"/>
          <w:szCs w:val="24"/>
        </w:rPr>
        <w:t xml:space="preserve"> </w:t>
      </w:r>
      <w:r w:rsidRPr="00742E29">
        <w:rPr>
          <w:bCs/>
          <w:sz w:val="26"/>
          <w:szCs w:val="24"/>
        </w:rPr>
        <w:t>for 1.</w:t>
      </w:r>
      <w:r w:rsidR="000432C2">
        <w:rPr>
          <w:bCs/>
          <w:sz w:val="26"/>
          <w:szCs w:val="24"/>
        </w:rPr>
        <w:t>1</w:t>
      </w:r>
      <w:r w:rsidRPr="00742E29">
        <w:rPr>
          <w:bCs/>
          <w:sz w:val="26"/>
          <w:szCs w:val="24"/>
        </w:rPr>
        <w:t xml:space="preserve"> million trips and</w:t>
      </w:r>
      <w:r>
        <w:rPr>
          <w:bCs/>
          <w:sz w:val="26"/>
          <w:szCs w:val="24"/>
        </w:rPr>
        <w:t xml:space="preserve"> </w:t>
      </w:r>
      <w:r w:rsidRPr="00742E29">
        <w:rPr>
          <w:bCs/>
          <w:sz w:val="26"/>
          <w:szCs w:val="24"/>
        </w:rPr>
        <w:t>$</w:t>
      </w:r>
      <w:r w:rsidR="000432C2">
        <w:rPr>
          <w:bCs/>
          <w:sz w:val="26"/>
          <w:szCs w:val="24"/>
        </w:rPr>
        <w:t>862 m</w:t>
      </w:r>
      <w:r w:rsidRPr="00742E29">
        <w:rPr>
          <w:bCs/>
          <w:sz w:val="26"/>
          <w:szCs w:val="24"/>
        </w:rPr>
        <w:t xml:space="preserve">illion in spending in2024, with VIC being </w:t>
      </w:r>
      <w:r w:rsidR="000432C2">
        <w:rPr>
          <w:bCs/>
          <w:sz w:val="26"/>
          <w:szCs w:val="24"/>
        </w:rPr>
        <w:t xml:space="preserve">a </w:t>
      </w:r>
      <w:r w:rsidRPr="00742E29">
        <w:rPr>
          <w:bCs/>
          <w:sz w:val="26"/>
          <w:szCs w:val="24"/>
        </w:rPr>
        <w:t>top destinations</w:t>
      </w:r>
    </w:p>
    <w:p w14:paraId="6A20199F" w14:textId="441E9F68" w:rsidR="00F34AAE" w:rsidRPr="00A4260E" w:rsidRDefault="00F34AAE" w:rsidP="00F34AAE">
      <w:r>
        <w:t xml:space="preserve">Trips including </w:t>
      </w:r>
      <w:r w:rsidR="000432C2">
        <w:t>rail trail cycling</w:t>
      </w:r>
      <w:r>
        <w:t xml:space="preserve"> accounted for 1.</w:t>
      </w:r>
      <w:r w:rsidR="00196F8C">
        <w:t>1</w:t>
      </w:r>
      <w:r w:rsidRPr="00A4260E">
        <w:t xml:space="preserve"> million</w:t>
      </w:r>
      <w:r>
        <w:t xml:space="preserve"> trips.</w:t>
      </w:r>
    </w:p>
    <w:p w14:paraId="6C83E2AB" w14:textId="003359D2" w:rsidR="00F34AAE" w:rsidRDefault="007064A4" w:rsidP="00F34AAE">
      <w:pPr>
        <w:pStyle w:val="ListParagraph"/>
        <w:numPr>
          <w:ilvl w:val="0"/>
          <w:numId w:val="10"/>
        </w:numPr>
      </w:pPr>
      <w:r>
        <w:t>21.7</w:t>
      </w:r>
      <w:r w:rsidR="00F34AAE">
        <w:t>k</w:t>
      </w:r>
      <w:r w:rsidR="00F34AAE" w:rsidRPr="00A4260E">
        <w:t xml:space="preserve"> International </w:t>
      </w:r>
    </w:p>
    <w:p w14:paraId="1A9BA845" w14:textId="7D42583C" w:rsidR="00F34AAE" w:rsidRDefault="007064A4" w:rsidP="00F34AAE">
      <w:pPr>
        <w:pStyle w:val="ListParagraph"/>
        <w:numPr>
          <w:ilvl w:val="0"/>
          <w:numId w:val="10"/>
        </w:numPr>
      </w:pPr>
      <w:r>
        <w:t>605k</w:t>
      </w:r>
      <w:r w:rsidR="00F34AAE" w:rsidRPr="00A4260E">
        <w:t xml:space="preserve"> Domestic overnight</w:t>
      </w:r>
    </w:p>
    <w:p w14:paraId="60931324" w14:textId="7E0BA8B6" w:rsidR="00F34AAE" w:rsidRPr="00A4260E" w:rsidRDefault="007064A4" w:rsidP="00F34AAE">
      <w:pPr>
        <w:pStyle w:val="ListParagraph"/>
        <w:numPr>
          <w:ilvl w:val="0"/>
          <w:numId w:val="10"/>
        </w:numPr>
      </w:pPr>
      <w:r>
        <w:t>425k</w:t>
      </w:r>
      <w:r w:rsidR="00F34AAE" w:rsidRPr="00A4260E">
        <w:t xml:space="preserve"> Domestic day trip </w:t>
      </w:r>
    </w:p>
    <w:p w14:paraId="05522F23" w14:textId="77777777" w:rsidR="00F34AAE" w:rsidRDefault="00F34AAE" w:rsidP="00F34AAE">
      <w:pPr>
        <w:pStyle w:val="ListParagraph"/>
      </w:pPr>
    </w:p>
    <w:p w14:paraId="3CE70A23" w14:textId="5A08F718" w:rsidR="00F34AAE" w:rsidRDefault="00F34AAE" w:rsidP="00F34AAE">
      <w:pPr>
        <w:pStyle w:val="ListParagraph"/>
        <w:numPr>
          <w:ilvl w:val="0"/>
          <w:numId w:val="10"/>
        </w:numPr>
      </w:pPr>
      <w:r>
        <w:t>7</w:t>
      </w:r>
      <w:r w:rsidR="007064A4">
        <w:t>7</w:t>
      </w:r>
      <w:r>
        <w:t>% of trips went to regional Australia.</w:t>
      </w:r>
    </w:p>
    <w:p w14:paraId="067CB1F1" w14:textId="7AD9A832" w:rsidR="00F34AAE" w:rsidRDefault="00F34AAE" w:rsidP="00F34AAE">
      <w:pPr>
        <w:pStyle w:val="ListParagraph"/>
        <w:numPr>
          <w:ilvl w:val="0"/>
          <w:numId w:val="10"/>
        </w:numPr>
      </w:pPr>
      <w:r>
        <w:t>2</w:t>
      </w:r>
      <w:r w:rsidR="007064A4">
        <w:t>3</w:t>
      </w:r>
      <w:r>
        <w:t xml:space="preserve">% of trips went to capital cities. </w:t>
      </w:r>
    </w:p>
    <w:p w14:paraId="78C31A21" w14:textId="72832AFD" w:rsidR="00F34AAE" w:rsidRDefault="00F34AAE" w:rsidP="00F34AAE">
      <w:r>
        <w:t xml:space="preserve">There were </w:t>
      </w:r>
      <w:r w:rsidR="007064A4">
        <w:t>4</w:t>
      </w:r>
      <w:r>
        <w:t xml:space="preserve">.5 million nights on trips that included </w:t>
      </w:r>
      <w:r w:rsidR="00196F8C">
        <w:t>rail trail cycling</w:t>
      </w:r>
      <w:r>
        <w:t xml:space="preserve">. </w:t>
      </w:r>
    </w:p>
    <w:p w14:paraId="6FCE4AF0" w14:textId="389154DC" w:rsidR="00F34AAE" w:rsidRDefault="007064A4" w:rsidP="00F34AAE">
      <w:pPr>
        <w:pStyle w:val="ListParagraph"/>
        <w:numPr>
          <w:ilvl w:val="0"/>
          <w:numId w:val="11"/>
        </w:numPr>
      </w:pPr>
      <w:r>
        <w:t>1.5</w:t>
      </w:r>
      <w:r w:rsidR="00F34AAE">
        <w:t xml:space="preserve"> million international nights</w:t>
      </w:r>
    </w:p>
    <w:p w14:paraId="581DC934" w14:textId="50F7D71B" w:rsidR="00F34AAE" w:rsidRDefault="00B2249E" w:rsidP="00F34AAE">
      <w:pPr>
        <w:pStyle w:val="ListParagraph"/>
        <w:numPr>
          <w:ilvl w:val="0"/>
          <w:numId w:val="11"/>
        </w:numPr>
      </w:pPr>
      <w:r>
        <w:t>3.0</w:t>
      </w:r>
      <w:r w:rsidR="00F34AAE">
        <w:t xml:space="preserve"> million </w:t>
      </w:r>
      <w:r>
        <w:t xml:space="preserve">domestic </w:t>
      </w:r>
      <w:r w:rsidR="00F34AAE">
        <w:t>overnight nights</w:t>
      </w:r>
    </w:p>
    <w:p w14:paraId="09BCBF03" w14:textId="65027722" w:rsidR="00F34AAE" w:rsidRDefault="00F34AAE" w:rsidP="00F34AAE">
      <w:r>
        <w:t xml:space="preserve">Total trips expenditure on trips that include </w:t>
      </w:r>
      <w:r w:rsidR="00196F8C">
        <w:t xml:space="preserve">rail trail cycling </w:t>
      </w:r>
      <w:r>
        <w:t>was $</w:t>
      </w:r>
      <w:r w:rsidR="00E319A8">
        <w:t>862 m</w:t>
      </w:r>
      <w:r>
        <w:t>illion.</w:t>
      </w:r>
    </w:p>
    <w:p w14:paraId="28F897E1" w14:textId="064B1D0B" w:rsidR="00F34AAE" w:rsidRDefault="00F34AAE" w:rsidP="00F34AAE">
      <w:pPr>
        <w:pStyle w:val="ListParagraph"/>
        <w:numPr>
          <w:ilvl w:val="0"/>
          <w:numId w:val="12"/>
        </w:numPr>
      </w:pPr>
      <w:r>
        <w:t>$</w:t>
      </w:r>
      <w:r w:rsidR="00E319A8">
        <w:t>111m</w:t>
      </w:r>
      <w:r>
        <w:t xml:space="preserve"> international total trip spend</w:t>
      </w:r>
    </w:p>
    <w:p w14:paraId="63E758A5" w14:textId="1A231BE7" w:rsidR="00F34AAE" w:rsidRDefault="00F34AAE" w:rsidP="00F34AAE">
      <w:pPr>
        <w:pStyle w:val="ListParagraph"/>
        <w:numPr>
          <w:ilvl w:val="0"/>
          <w:numId w:val="12"/>
        </w:numPr>
      </w:pPr>
      <w:r>
        <w:t>$</w:t>
      </w:r>
      <w:r w:rsidR="00E319A8">
        <w:t>699m</w:t>
      </w:r>
      <w:r>
        <w:t xml:space="preserve"> domestic overnight total trip spend</w:t>
      </w:r>
    </w:p>
    <w:p w14:paraId="3D409DD7" w14:textId="2775F7EA" w:rsidR="00F34AAE" w:rsidRDefault="00F34AAE" w:rsidP="00F34AAE">
      <w:pPr>
        <w:pStyle w:val="ListParagraph"/>
        <w:numPr>
          <w:ilvl w:val="0"/>
          <w:numId w:val="12"/>
        </w:numPr>
      </w:pPr>
      <w:r>
        <w:t>$</w:t>
      </w:r>
      <w:r w:rsidR="00F000F6">
        <w:t>52m</w:t>
      </w:r>
      <w:r>
        <w:t xml:space="preserve"> domestic day total trip spend</w:t>
      </w:r>
    </w:p>
    <w:p w14:paraId="72F40A28" w14:textId="2F0D37B7" w:rsidR="00F34AAE" w:rsidRDefault="00F34AAE" w:rsidP="00F34AAE">
      <w:r>
        <w:t xml:space="preserve">The top destinations for </w:t>
      </w:r>
      <w:r w:rsidR="00F000F6">
        <w:t xml:space="preserve">rail trail cycling </w:t>
      </w:r>
      <w:r>
        <w:t>(based on domestic travellers only) were</w:t>
      </w:r>
    </w:p>
    <w:p w14:paraId="1736A48F" w14:textId="5E38783D" w:rsidR="00F34AAE" w:rsidRDefault="00F34AAE" w:rsidP="0083784C">
      <w:pPr>
        <w:pStyle w:val="ListParagraph"/>
        <w:numPr>
          <w:ilvl w:val="0"/>
          <w:numId w:val="16"/>
        </w:numPr>
      </w:pPr>
      <w:r>
        <w:t xml:space="preserve">Victoria, </w:t>
      </w:r>
      <w:r w:rsidR="00F000F6">
        <w:t>48</w:t>
      </w:r>
      <w:r>
        <w:t>%</w:t>
      </w:r>
    </w:p>
    <w:p w14:paraId="363600FC" w14:textId="196CBDF4" w:rsidR="008443B2" w:rsidRDefault="00C270E7" w:rsidP="008443B2">
      <w:pPr>
        <w:rPr>
          <w:bCs/>
          <w:sz w:val="26"/>
          <w:szCs w:val="24"/>
        </w:rPr>
      </w:pPr>
      <w:r w:rsidRPr="00742E29">
        <w:rPr>
          <w:bCs/>
          <w:sz w:val="26"/>
          <w:szCs w:val="24"/>
        </w:rPr>
        <w:t>Trips that included</w:t>
      </w:r>
      <w:r>
        <w:rPr>
          <w:bCs/>
          <w:sz w:val="26"/>
          <w:szCs w:val="24"/>
        </w:rPr>
        <w:t xml:space="preserve"> cycling</w:t>
      </w:r>
      <w:r w:rsidRPr="00742E29">
        <w:rPr>
          <w:bCs/>
          <w:sz w:val="26"/>
          <w:szCs w:val="24"/>
        </w:rPr>
        <w:t xml:space="preserve"> </w:t>
      </w:r>
      <w:r>
        <w:rPr>
          <w:bCs/>
          <w:sz w:val="26"/>
          <w:szCs w:val="24"/>
        </w:rPr>
        <w:t xml:space="preserve">events </w:t>
      </w:r>
      <w:r w:rsidRPr="00742E29">
        <w:rPr>
          <w:bCs/>
          <w:sz w:val="26"/>
          <w:szCs w:val="24"/>
        </w:rPr>
        <w:t>accounted</w:t>
      </w:r>
      <w:r>
        <w:rPr>
          <w:bCs/>
          <w:sz w:val="26"/>
          <w:szCs w:val="24"/>
        </w:rPr>
        <w:t xml:space="preserve"> </w:t>
      </w:r>
      <w:r w:rsidRPr="00742E29">
        <w:rPr>
          <w:bCs/>
          <w:sz w:val="26"/>
          <w:szCs w:val="24"/>
        </w:rPr>
        <w:t xml:space="preserve">for </w:t>
      </w:r>
      <w:r>
        <w:rPr>
          <w:bCs/>
          <w:sz w:val="26"/>
          <w:szCs w:val="24"/>
        </w:rPr>
        <w:t>almost 400,000</w:t>
      </w:r>
      <w:r w:rsidRPr="00742E29">
        <w:rPr>
          <w:bCs/>
          <w:sz w:val="26"/>
          <w:szCs w:val="24"/>
        </w:rPr>
        <w:t xml:space="preserve"> trips</w:t>
      </w:r>
      <w:r w:rsidR="00ED3DE0">
        <w:rPr>
          <w:bCs/>
          <w:sz w:val="26"/>
          <w:szCs w:val="24"/>
        </w:rPr>
        <w:t>, 1 million nights,</w:t>
      </w:r>
      <w:r w:rsidRPr="00742E29">
        <w:rPr>
          <w:bCs/>
          <w:sz w:val="26"/>
          <w:szCs w:val="24"/>
        </w:rPr>
        <w:t xml:space="preserve"> and</w:t>
      </w:r>
      <w:r>
        <w:rPr>
          <w:bCs/>
          <w:sz w:val="26"/>
          <w:szCs w:val="24"/>
        </w:rPr>
        <w:t xml:space="preserve"> </w:t>
      </w:r>
      <w:r w:rsidRPr="00742E29">
        <w:rPr>
          <w:bCs/>
          <w:sz w:val="26"/>
          <w:szCs w:val="24"/>
        </w:rPr>
        <w:t>$</w:t>
      </w:r>
      <w:r>
        <w:rPr>
          <w:bCs/>
          <w:sz w:val="26"/>
          <w:szCs w:val="24"/>
        </w:rPr>
        <w:t>259 m</w:t>
      </w:r>
      <w:r w:rsidRPr="00742E29">
        <w:rPr>
          <w:bCs/>
          <w:sz w:val="26"/>
          <w:szCs w:val="24"/>
        </w:rPr>
        <w:t xml:space="preserve">illion in spending </w:t>
      </w:r>
      <w:r w:rsidR="00ED3DE0">
        <w:rPr>
          <w:bCs/>
          <w:sz w:val="26"/>
          <w:szCs w:val="24"/>
        </w:rPr>
        <w:t>i</w:t>
      </w:r>
      <w:r w:rsidRPr="00742E29">
        <w:rPr>
          <w:bCs/>
          <w:sz w:val="26"/>
          <w:szCs w:val="24"/>
        </w:rPr>
        <w:t>n</w:t>
      </w:r>
      <w:r w:rsidR="00ED3DE0">
        <w:rPr>
          <w:bCs/>
          <w:sz w:val="26"/>
          <w:szCs w:val="24"/>
        </w:rPr>
        <w:t xml:space="preserve"> </w:t>
      </w:r>
      <w:r w:rsidRPr="00742E29">
        <w:rPr>
          <w:bCs/>
          <w:sz w:val="26"/>
          <w:szCs w:val="24"/>
        </w:rPr>
        <w:t>2024</w:t>
      </w:r>
      <w:r w:rsidR="00AF75C2">
        <w:rPr>
          <w:bCs/>
          <w:sz w:val="26"/>
          <w:szCs w:val="24"/>
        </w:rPr>
        <w:t>.</w:t>
      </w:r>
    </w:p>
    <w:p w14:paraId="0CECEA17" w14:textId="58B313A0" w:rsidR="00AF75C2" w:rsidRDefault="00AF75C2" w:rsidP="00AF75C2">
      <w:pPr>
        <w:pStyle w:val="Heading2"/>
      </w:pPr>
      <w:bookmarkStart w:id="8" w:name="_Toc211341051"/>
      <w:r>
        <w:lastRenderedPageBreak/>
        <w:t>Conclusion</w:t>
      </w:r>
      <w:bookmarkEnd w:id="8"/>
      <w:r>
        <w:t xml:space="preserve"> </w:t>
      </w:r>
    </w:p>
    <w:p w14:paraId="3051CB89" w14:textId="5D081C77" w:rsidR="004710F2" w:rsidRPr="00EE587D" w:rsidRDefault="004710F2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 xml:space="preserve">With millions of dollars invested in cycling infrastructure, and more planned </w:t>
      </w:r>
      <w:proofErr w:type="gramStart"/>
      <w:r w:rsidRPr="00EE587D">
        <w:rPr>
          <w:rFonts w:asciiTheme="minorHAnsi" w:eastAsia="Verdana"/>
          <w:kern w:val="24"/>
          <w:sz w:val="20"/>
          <w:szCs w:val="20"/>
        </w:rPr>
        <w:t>in the near future</w:t>
      </w:r>
      <w:proofErr w:type="gramEnd"/>
      <w:r w:rsidRPr="00EE587D">
        <w:rPr>
          <w:rFonts w:asciiTheme="minorHAnsi" w:eastAsia="Verdana"/>
          <w:kern w:val="24"/>
          <w:sz w:val="20"/>
          <w:szCs w:val="20"/>
        </w:rPr>
        <w:t>,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cycle tourism is well positioned for continued expansion, offering benefits to regional Australia and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the broader visitor economy.</w:t>
      </w:r>
    </w:p>
    <w:p w14:paraId="015A243A" w14:textId="0455328A" w:rsidR="004710F2" w:rsidRPr="00EE587D" w:rsidRDefault="004710F2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>In 2024, trips including a cycling activity accounted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for 4.6 million trips, 42 million nights, and $6.0 billion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in spend. Seven in ten trips involving cycling took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place in regional Australia, and 41% of total spend was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generated in these areas, highlighting the sector</w:t>
      </w:r>
      <w:r w:rsidRPr="00EE587D">
        <w:rPr>
          <w:rFonts w:asciiTheme="minorHAnsi" w:eastAsia="Verdana"/>
          <w:kern w:val="24"/>
          <w:sz w:val="20"/>
          <w:szCs w:val="20"/>
        </w:rPr>
        <w:t>’</w:t>
      </w:r>
      <w:r w:rsidRPr="00EE587D">
        <w:rPr>
          <w:rFonts w:asciiTheme="minorHAnsi" w:eastAsia="Verdana"/>
          <w:kern w:val="24"/>
          <w:sz w:val="20"/>
          <w:szCs w:val="20"/>
        </w:rPr>
        <w:t>s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importance for regional communities.</w:t>
      </w:r>
    </w:p>
    <w:p w14:paraId="24978BD9" w14:textId="025979EC" w:rsidR="004710F2" w:rsidRPr="00EE587D" w:rsidRDefault="004710F2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>Each cycling sub-group brings its own flavour to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Australia</w:t>
      </w:r>
      <w:r w:rsidRPr="00EE587D">
        <w:rPr>
          <w:rFonts w:asciiTheme="minorHAnsi" w:eastAsia="Verdana"/>
          <w:kern w:val="24"/>
          <w:sz w:val="20"/>
          <w:szCs w:val="20"/>
        </w:rPr>
        <w:t>’</w:t>
      </w:r>
      <w:r w:rsidRPr="00EE587D">
        <w:rPr>
          <w:rFonts w:asciiTheme="minorHAnsi" w:eastAsia="Verdana"/>
          <w:kern w:val="24"/>
          <w:sz w:val="20"/>
          <w:szCs w:val="20"/>
        </w:rPr>
        <w:t xml:space="preserve">s tourism landscape </w:t>
      </w:r>
      <w:r w:rsidRPr="00EE587D">
        <w:rPr>
          <w:rFonts w:asciiTheme="minorHAnsi" w:eastAsia="Verdana"/>
          <w:kern w:val="24"/>
          <w:sz w:val="20"/>
          <w:szCs w:val="20"/>
        </w:rPr>
        <w:t>–</w:t>
      </w:r>
      <w:r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="00DE1C64" w:rsidRPr="00EE587D">
        <w:rPr>
          <w:rFonts w:asciiTheme="minorHAnsi" w:eastAsia="Verdana"/>
          <w:kern w:val="24"/>
          <w:sz w:val="20"/>
          <w:szCs w:val="20"/>
        </w:rPr>
        <w:t>from the endurance of road cyclists</w:t>
      </w:r>
      <w:r w:rsidRPr="00EE587D">
        <w:rPr>
          <w:rFonts w:asciiTheme="minorHAnsi" w:eastAsia="Verdana"/>
          <w:kern w:val="24"/>
          <w:sz w:val="20"/>
          <w:szCs w:val="20"/>
        </w:rPr>
        <w:t xml:space="preserve"> to the thrill of mountain bikers, the scenic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journeys of rail trail riders, and the community spirit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of event participants. While trips involving a cycling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activity attract visitors year-round, trips involving road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cycling peak in December and March, trips involving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mountain biking sees its highest engagement in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June and March, and trips involving rail trail cycling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maintains consistent participation throughout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the year.</w:t>
      </w:r>
    </w:p>
    <w:p w14:paraId="3D7BFD59" w14:textId="2900948E" w:rsidR="00AF75C2" w:rsidRPr="00EE587D" w:rsidRDefault="004710F2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EE587D">
        <w:rPr>
          <w:rFonts w:asciiTheme="minorHAnsi" w:eastAsia="Verdana"/>
          <w:kern w:val="24"/>
          <w:sz w:val="20"/>
          <w:szCs w:val="20"/>
        </w:rPr>
        <w:t>Engagement with cycle tourism in 2024 highlights the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potential of trips involving a cycling activity to drive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future growth, diversify tourism offerings, and support</w:t>
      </w:r>
      <w:r w:rsidR="005A2EB0"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EE587D">
        <w:rPr>
          <w:rFonts w:asciiTheme="minorHAnsi" w:eastAsia="Verdana"/>
          <w:kern w:val="24"/>
          <w:sz w:val="20"/>
          <w:szCs w:val="20"/>
        </w:rPr>
        <w:t>local communities across Australia.</w:t>
      </w:r>
    </w:p>
    <w:p w14:paraId="4CD109D7" w14:textId="71C6AA63" w:rsidR="00DE1C64" w:rsidRPr="00EE587D" w:rsidRDefault="00DE1C64" w:rsidP="00EE587D">
      <w:pPr>
        <w:pStyle w:val="NormalWeb"/>
        <w:rPr>
          <w:rFonts w:asciiTheme="minorHAnsi" w:eastAsia="Verdana"/>
          <w:kern w:val="24"/>
          <w:sz w:val="20"/>
          <w:szCs w:val="20"/>
        </w:rPr>
      </w:pPr>
      <w:r w:rsidRPr="00DE1C64">
        <w:rPr>
          <w:rFonts w:asciiTheme="minorHAnsi" w:eastAsia="Verdana"/>
          <w:kern w:val="24"/>
          <w:sz w:val="20"/>
          <w:szCs w:val="20"/>
        </w:rPr>
        <w:t>Cycle tourism plays a key</w:t>
      </w:r>
      <w:r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DE1C64">
        <w:rPr>
          <w:rFonts w:asciiTheme="minorHAnsi" w:eastAsia="Verdana"/>
          <w:kern w:val="24"/>
          <w:sz w:val="20"/>
          <w:szCs w:val="20"/>
        </w:rPr>
        <w:t>role in Australia</w:t>
      </w:r>
      <w:r w:rsidRPr="00DE1C64">
        <w:rPr>
          <w:rFonts w:asciiTheme="minorHAnsi" w:eastAsia="Verdana"/>
          <w:kern w:val="24"/>
          <w:sz w:val="20"/>
          <w:szCs w:val="20"/>
        </w:rPr>
        <w:t>’</w:t>
      </w:r>
      <w:r w:rsidRPr="00DE1C64">
        <w:rPr>
          <w:rFonts w:asciiTheme="minorHAnsi" w:eastAsia="Verdana"/>
          <w:kern w:val="24"/>
          <w:sz w:val="20"/>
          <w:szCs w:val="20"/>
        </w:rPr>
        <w:t>s economy,</w:t>
      </w:r>
      <w:r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DE1C64">
        <w:rPr>
          <w:rFonts w:asciiTheme="minorHAnsi" w:eastAsia="Verdana"/>
          <w:kern w:val="24"/>
          <w:sz w:val="20"/>
          <w:szCs w:val="20"/>
        </w:rPr>
        <w:t>with each trip contributing</w:t>
      </w:r>
      <w:r w:rsidRPr="00EE587D">
        <w:rPr>
          <w:rFonts w:asciiTheme="minorHAnsi" w:eastAsia="Verdana"/>
          <w:kern w:val="24"/>
          <w:sz w:val="20"/>
          <w:szCs w:val="20"/>
        </w:rPr>
        <w:t xml:space="preserve"> </w:t>
      </w:r>
      <w:r w:rsidRPr="00DE1C64">
        <w:rPr>
          <w:rFonts w:asciiTheme="minorHAnsi" w:eastAsia="Verdana"/>
          <w:kern w:val="24"/>
          <w:sz w:val="20"/>
          <w:szCs w:val="20"/>
        </w:rPr>
        <w:t>to local businesses and</w:t>
      </w:r>
      <w:r w:rsidRPr="00EE587D">
        <w:rPr>
          <w:rFonts w:asciiTheme="minorHAnsi" w:eastAsia="Verdana"/>
          <w:kern w:val="24"/>
          <w:sz w:val="20"/>
          <w:szCs w:val="20"/>
        </w:rPr>
        <w:t xml:space="preserve"> communities.</w:t>
      </w:r>
    </w:p>
    <w:sectPr w:rsidR="00DE1C64" w:rsidRPr="00EE587D" w:rsidSect="00B558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C7A8" w14:textId="77777777" w:rsidR="005D0431" w:rsidRDefault="005D0431" w:rsidP="007B0021">
      <w:r>
        <w:separator/>
      </w:r>
    </w:p>
    <w:p w14:paraId="35146CEC" w14:textId="77777777" w:rsidR="005D0431" w:rsidRDefault="005D0431" w:rsidP="007B0021"/>
  </w:endnote>
  <w:endnote w:type="continuationSeparator" w:id="0">
    <w:p w14:paraId="785C22A8" w14:textId="77777777" w:rsidR="005D0431" w:rsidRDefault="005D0431" w:rsidP="007B0021">
      <w:r>
        <w:continuationSeparator/>
      </w:r>
    </w:p>
    <w:p w14:paraId="01AA8CA2" w14:textId="77777777" w:rsidR="005D0431" w:rsidRDefault="005D0431" w:rsidP="007B00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B341" w14:textId="5B750591" w:rsidR="00A33447" w:rsidRDefault="00A334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6385BC" wp14:editId="4463BA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24173053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80E5E" w14:textId="06FC0C23" w:rsidR="00A33447" w:rsidRPr="00A33447" w:rsidRDefault="00A33447" w:rsidP="00A334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344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385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40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" filled="f" stroked="f">
              <v:textbox style="mso-fit-shape-to-text:t" inset="0,0,0,15pt">
                <w:txbxContent>
                  <w:p w14:paraId="64680E5E" w14:textId="06FC0C23" w:rsidR="00A33447" w:rsidRPr="00A33447" w:rsidRDefault="00A33447" w:rsidP="00A334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344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41B4" w14:textId="7D4E9BF5" w:rsidR="00A33447" w:rsidRDefault="00A334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BC1F832" wp14:editId="21317B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36214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12CDF" w14:textId="0BE320B6" w:rsidR="00A33447" w:rsidRPr="00A33447" w:rsidRDefault="00A33447" w:rsidP="00A334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344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1F8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40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" filled="f" stroked="f">
              <v:textbox style="mso-fit-shape-to-text:t" inset="0,0,0,15pt">
                <w:txbxContent>
                  <w:p w14:paraId="16C12CDF" w14:textId="0BE320B6" w:rsidR="00A33447" w:rsidRPr="00A33447" w:rsidRDefault="00A33447" w:rsidP="00A334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344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8142" w14:textId="3441D780" w:rsidR="00A33447" w:rsidRDefault="00A334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CF505E4" wp14:editId="2C947A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6745917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0C49D" w14:textId="372389B6" w:rsidR="00A33447" w:rsidRPr="00A33447" w:rsidRDefault="00A33447" w:rsidP="00A334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344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505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40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" filled="f" stroked="f">
              <v:textbox style="mso-fit-shape-to-text:t" inset="0,0,0,15pt">
                <w:txbxContent>
                  <w:p w14:paraId="4F20C49D" w14:textId="372389B6" w:rsidR="00A33447" w:rsidRPr="00A33447" w:rsidRDefault="00A33447" w:rsidP="00A334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344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A84E" w14:textId="77777777" w:rsidR="005D0431" w:rsidRDefault="005D0431" w:rsidP="007B0021">
      <w:r>
        <w:separator/>
      </w:r>
    </w:p>
    <w:p w14:paraId="12B2A86F" w14:textId="77777777" w:rsidR="005D0431" w:rsidRDefault="005D0431" w:rsidP="007B0021"/>
  </w:footnote>
  <w:footnote w:type="continuationSeparator" w:id="0">
    <w:p w14:paraId="3A3864BC" w14:textId="77777777" w:rsidR="005D0431" w:rsidRDefault="005D0431" w:rsidP="007B0021">
      <w:r>
        <w:continuationSeparator/>
      </w:r>
    </w:p>
    <w:p w14:paraId="207D4ADA" w14:textId="77777777" w:rsidR="005D0431" w:rsidRDefault="005D0431" w:rsidP="007B00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7459" w14:textId="682B28ED" w:rsidR="00A33447" w:rsidRDefault="00A334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CDFB4A" wp14:editId="4D9C21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81184298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B8313" w14:textId="31005BCD" w:rsidR="00A33447" w:rsidRPr="00A33447" w:rsidRDefault="00A33447" w:rsidP="00A334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344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DFB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40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689B8313" w14:textId="31005BCD" w:rsidR="00A33447" w:rsidRPr="00A33447" w:rsidRDefault="00A33447" w:rsidP="00A334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344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81D5" w14:textId="22C05002" w:rsidR="00A33447" w:rsidRDefault="00A334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CA257B" wp14:editId="7ABC09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0169549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D2635" w14:textId="12BF61F3" w:rsidR="00A33447" w:rsidRPr="00A33447" w:rsidRDefault="00A33447" w:rsidP="00A334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344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A25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40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" filled="f" stroked="f">
              <v:textbox style="mso-fit-shape-to-text:t" inset="0,15pt,0,0">
                <w:txbxContent>
                  <w:p w14:paraId="084D2635" w14:textId="12BF61F3" w:rsidR="00A33447" w:rsidRPr="00A33447" w:rsidRDefault="00A33447" w:rsidP="00A334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344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6E7B" w14:textId="589150D6" w:rsidR="003A58AB" w:rsidRDefault="00A33447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D70CD0" wp14:editId="6238E1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48365810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B9C25" w14:textId="21B22537" w:rsidR="00A33447" w:rsidRPr="00A33447" w:rsidRDefault="00A33447" w:rsidP="00A334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344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70C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" filled="f" stroked="f">
              <v:textbox style="mso-fit-shape-to-text:t" inset="0,15pt,0,0">
                <w:txbxContent>
                  <w:p w14:paraId="5A4B9C25" w14:textId="21B22537" w:rsidR="00A33447" w:rsidRPr="00A33447" w:rsidRDefault="00A33447" w:rsidP="00A334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344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5C9426C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31A"/>
    <w:multiLevelType w:val="hybridMultilevel"/>
    <w:tmpl w:val="3FD07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2673"/>
    <w:multiLevelType w:val="hybridMultilevel"/>
    <w:tmpl w:val="885A5E62"/>
    <w:lvl w:ilvl="0" w:tplc="1EACF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776C2"/>
    <w:multiLevelType w:val="hybridMultilevel"/>
    <w:tmpl w:val="8FC29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A2C8F"/>
    <w:multiLevelType w:val="hybridMultilevel"/>
    <w:tmpl w:val="DB027A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981EB1"/>
    <w:multiLevelType w:val="hybridMultilevel"/>
    <w:tmpl w:val="25581624"/>
    <w:lvl w:ilvl="0" w:tplc="E362D4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74242"/>
    <w:multiLevelType w:val="hybridMultilevel"/>
    <w:tmpl w:val="54D255B0"/>
    <w:lvl w:ilvl="0" w:tplc="BCEC3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D0E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C29F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94E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8632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DC85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70F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811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6E1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E214750"/>
    <w:multiLevelType w:val="hybridMultilevel"/>
    <w:tmpl w:val="DB027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77C221D3"/>
    <w:multiLevelType w:val="hybridMultilevel"/>
    <w:tmpl w:val="43406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9102">
    <w:abstractNumId w:val="5"/>
  </w:num>
  <w:num w:numId="2" w16cid:durableId="784662544">
    <w:abstractNumId w:val="7"/>
  </w:num>
  <w:num w:numId="3" w16cid:durableId="1442451738">
    <w:abstractNumId w:val="7"/>
    <w:lvlOverride w:ilvl="0">
      <w:startOverride w:val="1"/>
    </w:lvlOverride>
  </w:num>
  <w:num w:numId="4" w16cid:durableId="1562522304">
    <w:abstractNumId w:val="7"/>
    <w:lvlOverride w:ilvl="0">
      <w:startOverride w:val="1"/>
    </w:lvlOverride>
  </w:num>
  <w:num w:numId="5" w16cid:durableId="1125929345">
    <w:abstractNumId w:val="7"/>
    <w:lvlOverride w:ilvl="0">
      <w:startOverride w:val="1"/>
    </w:lvlOverride>
  </w:num>
  <w:num w:numId="6" w16cid:durableId="641621793">
    <w:abstractNumId w:val="3"/>
  </w:num>
  <w:num w:numId="7" w16cid:durableId="2117015349">
    <w:abstractNumId w:val="11"/>
  </w:num>
  <w:num w:numId="8" w16cid:durableId="116532335">
    <w:abstractNumId w:val="9"/>
  </w:num>
  <w:num w:numId="9" w16cid:durableId="256330880">
    <w:abstractNumId w:val="8"/>
  </w:num>
  <w:num w:numId="10" w16cid:durableId="1721972532">
    <w:abstractNumId w:val="12"/>
  </w:num>
  <w:num w:numId="11" w16cid:durableId="1667980374">
    <w:abstractNumId w:val="2"/>
  </w:num>
  <w:num w:numId="12" w16cid:durableId="700983949">
    <w:abstractNumId w:val="0"/>
  </w:num>
  <w:num w:numId="13" w16cid:durableId="2132287912">
    <w:abstractNumId w:val="4"/>
  </w:num>
  <w:num w:numId="14" w16cid:durableId="498690490">
    <w:abstractNumId w:val="10"/>
  </w:num>
  <w:num w:numId="15" w16cid:durableId="395006959">
    <w:abstractNumId w:val="6"/>
  </w:num>
  <w:num w:numId="16" w16cid:durableId="95446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DF"/>
    <w:rsid w:val="000003F7"/>
    <w:rsid w:val="0001118C"/>
    <w:rsid w:val="00042B36"/>
    <w:rsid w:val="000432C2"/>
    <w:rsid w:val="000673DC"/>
    <w:rsid w:val="00083905"/>
    <w:rsid w:val="000A1F2A"/>
    <w:rsid w:val="000B04C3"/>
    <w:rsid w:val="000C783F"/>
    <w:rsid w:val="000E7E86"/>
    <w:rsid w:val="000F3617"/>
    <w:rsid w:val="001028A3"/>
    <w:rsid w:val="001036A0"/>
    <w:rsid w:val="0010557F"/>
    <w:rsid w:val="00117092"/>
    <w:rsid w:val="00121168"/>
    <w:rsid w:val="0012425F"/>
    <w:rsid w:val="00134B80"/>
    <w:rsid w:val="00142C68"/>
    <w:rsid w:val="00147D40"/>
    <w:rsid w:val="0015714A"/>
    <w:rsid w:val="00164B77"/>
    <w:rsid w:val="00174B43"/>
    <w:rsid w:val="001755B7"/>
    <w:rsid w:val="001867A5"/>
    <w:rsid w:val="00193433"/>
    <w:rsid w:val="001961AC"/>
    <w:rsid w:val="00196F8C"/>
    <w:rsid w:val="001B0BDD"/>
    <w:rsid w:val="001B3A66"/>
    <w:rsid w:val="001C255E"/>
    <w:rsid w:val="001C4F78"/>
    <w:rsid w:val="001E186F"/>
    <w:rsid w:val="001F2E09"/>
    <w:rsid w:val="001F603E"/>
    <w:rsid w:val="002041CA"/>
    <w:rsid w:val="0020702F"/>
    <w:rsid w:val="00212AA0"/>
    <w:rsid w:val="00216393"/>
    <w:rsid w:val="002264EA"/>
    <w:rsid w:val="00243F5F"/>
    <w:rsid w:val="00245E86"/>
    <w:rsid w:val="00253226"/>
    <w:rsid w:val="002535CA"/>
    <w:rsid w:val="00254A1A"/>
    <w:rsid w:val="0025658B"/>
    <w:rsid w:val="002619BD"/>
    <w:rsid w:val="00261F28"/>
    <w:rsid w:val="002662F9"/>
    <w:rsid w:val="00267C10"/>
    <w:rsid w:val="00272CDE"/>
    <w:rsid w:val="002749C0"/>
    <w:rsid w:val="0028112D"/>
    <w:rsid w:val="00282397"/>
    <w:rsid w:val="00282C92"/>
    <w:rsid w:val="0028696F"/>
    <w:rsid w:val="0029071D"/>
    <w:rsid w:val="00294CFF"/>
    <w:rsid w:val="002A3533"/>
    <w:rsid w:val="002B76A7"/>
    <w:rsid w:val="002C1F51"/>
    <w:rsid w:val="002C4467"/>
    <w:rsid w:val="002C6DF6"/>
    <w:rsid w:val="002E1BC7"/>
    <w:rsid w:val="002E309C"/>
    <w:rsid w:val="002E7D8B"/>
    <w:rsid w:val="002F454A"/>
    <w:rsid w:val="002F71E3"/>
    <w:rsid w:val="00302EBB"/>
    <w:rsid w:val="0031166C"/>
    <w:rsid w:val="00320E0B"/>
    <w:rsid w:val="00321E47"/>
    <w:rsid w:val="00322818"/>
    <w:rsid w:val="00326B31"/>
    <w:rsid w:val="003551E4"/>
    <w:rsid w:val="00366FC6"/>
    <w:rsid w:val="003877E6"/>
    <w:rsid w:val="00390F9A"/>
    <w:rsid w:val="003A58AB"/>
    <w:rsid w:val="003B0D9C"/>
    <w:rsid w:val="003B2746"/>
    <w:rsid w:val="003C3B0A"/>
    <w:rsid w:val="003D0704"/>
    <w:rsid w:val="003D65E7"/>
    <w:rsid w:val="003D6946"/>
    <w:rsid w:val="003E38E3"/>
    <w:rsid w:val="003E5497"/>
    <w:rsid w:val="003F2D57"/>
    <w:rsid w:val="00406975"/>
    <w:rsid w:val="004122E0"/>
    <w:rsid w:val="00414084"/>
    <w:rsid w:val="0043062E"/>
    <w:rsid w:val="00442524"/>
    <w:rsid w:val="00447284"/>
    <w:rsid w:val="0045192E"/>
    <w:rsid w:val="00460A41"/>
    <w:rsid w:val="004710F2"/>
    <w:rsid w:val="004767E6"/>
    <w:rsid w:val="00482520"/>
    <w:rsid w:val="004B6747"/>
    <w:rsid w:val="004C6441"/>
    <w:rsid w:val="004D06AF"/>
    <w:rsid w:val="004D6F59"/>
    <w:rsid w:val="004F414C"/>
    <w:rsid w:val="00501469"/>
    <w:rsid w:val="00517DF6"/>
    <w:rsid w:val="005202C7"/>
    <w:rsid w:val="005227DF"/>
    <w:rsid w:val="00560C33"/>
    <w:rsid w:val="00561542"/>
    <w:rsid w:val="00571BDC"/>
    <w:rsid w:val="00586DE3"/>
    <w:rsid w:val="00593CA2"/>
    <w:rsid w:val="005A2EB0"/>
    <w:rsid w:val="005A6F23"/>
    <w:rsid w:val="005A7ED9"/>
    <w:rsid w:val="005B452D"/>
    <w:rsid w:val="005C223D"/>
    <w:rsid w:val="005C49B7"/>
    <w:rsid w:val="005D0431"/>
    <w:rsid w:val="005D3E5E"/>
    <w:rsid w:val="005D4B4E"/>
    <w:rsid w:val="005E2834"/>
    <w:rsid w:val="005E2EE1"/>
    <w:rsid w:val="005E3C36"/>
    <w:rsid w:val="005F06FD"/>
    <w:rsid w:val="006016EF"/>
    <w:rsid w:val="006211DC"/>
    <w:rsid w:val="006261A0"/>
    <w:rsid w:val="00643DA5"/>
    <w:rsid w:val="00650E42"/>
    <w:rsid w:val="0065148D"/>
    <w:rsid w:val="00664683"/>
    <w:rsid w:val="0069014A"/>
    <w:rsid w:val="00692C3A"/>
    <w:rsid w:val="00694AAD"/>
    <w:rsid w:val="00696F9E"/>
    <w:rsid w:val="006B3731"/>
    <w:rsid w:val="006B4D3D"/>
    <w:rsid w:val="006B65BD"/>
    <w:rsid w:val="006B7C76"/>
    <w:rsid w:val="006C35D7"/>
    <w:rsid w:val="006D4C12"/>
    <w:rsid w:val="006D76C2"/>
    <w:rsid w:val="006E5730"/>
    <w:rsid w:val="006F4DE3"/>
    <w:rsid w:val="006F7525"/>
    <w:rsid w:val="007064A4"/>
    <w:rsid w:val="00741836"/>
    <w:rsid w:val="00742E29"/>
    <w:rsid w:val="0075440F"/>
    <w:rsid w:val="0075711A"/>
    <w:rsid w:val="00774485"/>
    <w:rsid w:val="007754F8"/>
    <w:rsid w:val="00776A9A"/>
    <w:rsid w:val="0078435A"/>
    <w:rsid w:val="007866C2"/>
    <w:rsid w:val="007A0FC3"/>
    <w:rsid w:val="007B0021"/>
    <w:rsid w:val="007C498C"/>
    <w:rsid w:val="007D29F2"/>
    <w:rsid w:val="007D36A2"/>
    <w:rsid w:val="007E1DB7"/>
    <w:rsid w:val="007E50CC"/>
    <w:rsid w:val="007F2E41"/>
    <w:rsid w:val="007F5791"/>
    <w:rsid w:val="007F68A9"/>
    <w:rsid w:val="00835715"/>
    <w:rsid w:val="008358FB"/>
    <w:rsid w:val="00836AF2"/>
    <w:rsid w:val="0083784C"/>
    <w:rsid w:val="008407EC"/>
    <w:rsid w:val="008443B2"/>
    <w:rsid w:val="008514EC"/>
    <w:rsid w:val="00857A0A"/>
    <w:rsid w:val="00862E61"/>
    <w:rsid w:val="00865233"/>
    <w:rsid w:val="0087624F"/>
    <w:rsid w:val="00877D9B"/>
    <w:rsid w:val="00885CC1"/>
    <w:rsid w:val="00890989"/>
    <w:rsid w:val="008A21C9"/>
    <w:rsid w:val="008B099B"/>
    <w:rsid w:val="008B1442"/>
    <w:rsid w:val="008B6033"/>
    <w:rsid w:val="008B74F6"/>
    <w:rsid w:val="008E03EE"/>
    <w:rsid w:val="008F11F3"/>
    <w:rsid w:val="008F4FD7"/>
    <w:rsid w:val="008F7022"/>
    <w:rsid w:val="00904581"/>
    <w:rsid w:val="00915D7D"/>
    <w:rsid w:val="00917A25"/>
    <w:rsid w:val="00921435"/>
    <w:rsid w:val="009261B7"/>
    <w:rsid w:val="0092648B"/>
    <w:rsid w:val="00932884"/>
    <w:rsid w:val="0094463A"/>
    <w:rsid w:val="00945D44"/>
    <w:rsid w:val="00951286"/>
    <w:rsid w:val="0096640D"/>
    <w:rsid w:val="00972855"/>
    <w:rsid w:val="0098379B"/>
    <w:rsid w:val="009873AB"/>
    <w:rsid w:val="00992786"/>
    <w:rsid w:val="00996B27"/>
    <w:rsid w:val="009B1878"/>
    <w:rsid w:val="009D2D62"/>
    <w:rsid w:val="009D6B24"/>
    <w:rsid w:val="009D70B3"/>
    <w:rsid w:val="009E1D4B"/>
    <w:rsid w:val="009E6DB3"/>
    <w:rsid w:val="00A00806"/>
    <w:rsid w:val="00A04EC6"/>
    <w:rsid w:val="00A25637"/>
    <w:rsid w:val="00A33447"/>
    <w:rsid w:val="00A4260E"/>
    <w:rsid w:val="00A46D3B"/>
    <w:rsid w:val="00A545DB"/>
    <w:rsid w:val="00A55449"/>
    <w:rsid w:val="00A657A3"/>
    <w:rsid w:val="00A80680"/>
    <w:rsid w:val="00A9506C"/>
    <w:rsid w:val="00AB149B"/>
    <w:rsid w:val="00AB3D00"/>
    <w:rsid w:val="00AC0F96"/>
    <w:rsid w:val="00AC40CD"/>
    <w:rsid w:val="00AD6A63"/>
    <w:rsid w:val="00AE3D08"/>
    <w:rsid w:val="00AF75C2"/>
    <w:rsid w:val="00B1175C"/>
    <w:rsid w:val="00B11D49"/>
    <w:rsid w:val="00B2249E"/>
    <w:rsid w:val="00B3688C"/>
    <w:rsid w:val="00B54801"/>
    <w:rsid w:val="00B55852"/>
    <w:rsid w:val="00B63F9F"/>
    <w:rsid w:val="00B66105"/>
    <w:rsid w:val="00B704A3"/>
    <w:rsid w:val="00B77A56"/>
    <w:rsid w:val="00B801A3"/>
    <w:rsid w:val="00B84CE6"/>
    <w:rsid w:val="00B86092"/>
    <w:rsid w:val="00B90F2A"/>
    <w:rsid w:val="00B91AB4"/>
    <w:rsid w:val="00B96CEF"/>
    <w:rsid w:val="00BA48E9"/>
    <w:rsid w:val="00BC5C77"/>
    <w:rsid w:val="00BE1C64"/>
    <w:rsid w:val="00BE4754"/>
    <w:rsid w:val="00BF524B"/>
    <w:rsid w:val="00C06C20"/>
    <w:rsid w:val="00C06E8C"/>
    <w:rsid w:val="00C12BDE"/>
    <w:rsid w:val="00C25A43"/>
    <w:rsid w:val="00C270E7"/>
    <w:rsid w:val="00C279D9"/>
    <w:rsid w:val="00C27BF9"/>
    <w:rsid w:val="00C3141D"/>
    <w:rsid w:val="00C348BC"/>
    <w:rsid w:val="00C44557"/>
    <w:rsid w:val="00C455DA"/>
    <w:rsid w:val="00C47DAB"/>
    <w:rsid w:val="00C51F19"/>
    <w:rsid w:val="00C6288E"/>
    <w:rsid w:val="00C71DC0"/>
    <w:rsid w:val="00C94549"/>
    <w:rsid w:val="00CA1E35"/>
    <w:rsid w:val="00CC23DF"/>
    <w:rsid w:val="00CC461D"/>
    <w:rsid w:val="00CD0CE5"/>
    <w:rsid w:val="00CD1BE3"/>
    <w:rsid w:val="00CF4F9D"/>
    <w:rsid w:val="00CF5A8C"/>
    <w:rsid w:val="00D054DF"/>
    <w:rsid w:val="00D267BE"/>
    <w:rsid w:val="00D46C76"/>
    <w:rsid w:val="00D47DC8"/>
    <w:rsid w:val="00D679BD"/>
    <w:rsid w:val="00D76AE4"/>
    <w:rsid w:val="00D82FCD"/>
    <w:rsid w:val="00D83142"/>
    <w:rsid w:val="00D871C3"/>
    <w:rsid w:val="00D93830"/>
    <w:rsid w:val="00DB21A7"/>
    <w:rsid w:val="00DC13DA"/>
    <w:rsid w:val="00DC23E6"/>
    <w:rsid w:val="00DC4C05"/>
    <w:rsid w:val="00DD0460"/>
    <w:rsid w:val="00DE1BA3"/>
    <w:rsid w:val="00DE1C64"/>
    <w:rsid w:val="00DE31B4"/>
    <w:rsid w:val="00E00D7B"/>
    <w:rsid w:val="00E23866"/>
    <w:rsid w:val="00E24D12"/>
    <w:rsid w:val="00E26422"/>
    <w:rsid w:val="00E319A8"/>
    <w:rsid w:val="00E6045E"/>
    <w:rsid w:val="00E62495"/>
    <w:rsid w:val="00E62890"/>
    <w:rsid w:val="00E62C14"/>
    <w:rsid w:val="00E74A19"/>
    <w:rsid w:val="00E902C6"/>
    <w:rsid w:val="00E92346"/>
    <w:rsid w:val="00EA372A"/>
    <w:rsid w:val="00EA4240"/>
    <w:rsid w:val="00EC306F"/>
    <w:rsid w:val="00EC7D5B"/>
    <w:rsid w:val="00ED3DE0"/>
    <w:rsid w:val="00EE05FC"/>
    <w:rsid w:val="00EE4027"/>
    <w:rsid w:val="00EE587D"/>
    <w:rsid w:val="00F000F6"/>
    <w:rsid w:val="00F007D8"/>
    <w:rsid w:val="00F04E42"/>
    <w:rsid w:val="00F23FEC"/>
    <w:rsid w:val="00F343AB"/>
    <w:rsid w:val="00F34AAE"/>
    <w:rsid w:val="00F3737A"/>
    <w:rsid w:val="00F427E4"/>
    <w:rsid w:val="00F45775"/>
    <w:rsid w:val="00F45A2B"/>
    <w:rsid w:val="00F54788"/>
    <w:rsid w:val="00F57F70"/>
    <w:rsid w:val="00F85A20"/>
    <w:rsid w:val="00F8629F"/>
    <w:rsid w:val="00F955C1"/>
    <w:rsid w:val="00F9685A"/>
    <w:rsid w:val="00FB2D7A"/>
    <w:rsid w:val="00FB606A"/>
    <w:rsid w:val="00FC1ABB"/>
    <w:rsid w:val="00FC500B"/>
    <w:rsid w:val="00FD063D"/>
    <w:rsid w:val="00FD6F93"/>
    <w:rsid w:val="00FE14DA"/>
    <w:rsid w:val="00FE3F15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340348"/>
  <w15:docId w15:val="{53E455BD-FFC6-41B3-BDB6-D66D0E38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0E7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C2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75440F"/>
    <w:pPr>
      <w:spacing w:after="0" w:line="240" w:lineRule="auto"/>
    </w:pPr>
    <w:rPr>
      <w:rFonts w:ascii="Verdana" w:hAnsi="Verdana"/>
      <w:color w:val="000000" w:themeColor="text1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51F19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662C6E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51F1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1F1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51F19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TRA%20Website%20Publications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3d32-96af-42bb-9a8d-e389b6b013dc">
      <Terms xmlns="http://schemas.microsoft.com/office/infopath/2007/PartnerControls"/>
    </lcf76f155ced4ddcb4097134ff3c332f>
    <TaxCatchAll xmlns="932d29ee-28c9-41bc-b9e4-7f2eba331d2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9075CB8AAE4281923CD804FF4F41" ma:contentTypeVersion="18" ma:contentTypeDescription="Create a new document." ma:contentTypeScope="" ma:versionID="66fe7816eb518ad386b95b1a3cc7f7ad">
  <xsd:schema xmlns:xsd="http://www.w3.org/2001/XMLSchema" xmlns:xs="http://www.w3.org/2001/XMLSchema" xmlns:p="http://schemas.microsoft.com/office/2006/metadata/properties" xmlns:ns2="84193d32-96af-42bb-9a8d-e389b6b013dc" xmlns:ns3="932d29ee-28c9-41bc-b9e4-7f2eba331d28" targetNamespace="http://schemas.microsoft.com/office/2006/metadata/properties" ma:root="true" ma:fieldsID="a6ccc5dc2d543b47127149831d2e33f9" ns2:_="" ns3:_="">
    <xsd:import namespace="84193d32-96af-42bb-9a8d-e389b6b013dc"/>
    <xsd:import namespace="932d29ee-28c9-41bc-b9e4-7f2eba331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3d32-96af-42bb-9a8d-e389b6b0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29ee-28c9-41bc-b9e4-7f2eba331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bbb1a7-ebd1-464a-bd5b-b0b856b08cda}" ma:internalName="TaxCatchAll" ma:showField="CatchAllData" ma:web="932d29ee-28c9-41bc-b9e4-7f2eba331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E75B8-1135-4512-93FA-FCDD832F13E7}">
  <ds:schemaRefs>
    <ds:schemaRef ds:uri="http://schemas.microsoft.com/office/2006/metadata/properties"/>
    <ds:schemaRef ds:uri="http://schemas.microsoft.com/office/infopath/2007/PartnerControls"/>
    <ds:schemaRef ds:uri="84193d32-96af-42bb-9a8d-e389b6b013dc"/>
    <ds:schemaRef ds:uri="932d29ee-28c9-41bc-b9e4-7f2eba331d28"/>
  </ds:schemaRefs>
</ds:datastoreItem>
</file>

<file path=customXml/itemProps2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611E7-1EEC-4281-9AE3-F1C1858C6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3d32-96af-42bb-9a8d-e389b6b013dc"/>
    <ds:schemaRef ds:uri="932d29ee-28c9-41bc-b9e4-7f2eba331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 Website Publications.dotx</Template>
  <TotalTime>0</TotalTime>
  <Pages>10</Pages>
  <Words>2098</Words>
  <Characters>11964</Characters>
  <Application>Microsoft Office Word</Application>
  <DocSecurity>4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Bronte-Rice-Jenkins [Sydney]</dc:creator>
  <cp:keywords/>
  <dc:description/>
  <cp:lastModifiedBy>Silas-Irvine [Canberra]</cp:lastModifiedBy>
  <cp:revision>2</cp:revision>
  <dcterms:created xsi:type="dcterms:W3CDTF">2025-10-17T05:00:00Z</dcterms:created>
  <dcterms:modified xsi:type="dcterms:W3CDTF">2025-10-17T05:00:00Z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0x010100BCE59075CB8AAE4281923CD804FF4F41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586ed376,6bfe87ad,78384a43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405586a,e6883ea,586a0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2025-09-25T00:44:12Z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a274bfdd-4ef4-4d8c-b01f-07a8cd0436fa</vt:lpwstr>
  </property>
  <property fmtid="{D5CDD505-2E9C-101B-9397-08002B2CF9AE}" pid="33" name="MSIP_Label_72160a83-df68-4146-9dd5-ccaae79426db_ContentBits">
    <vt:lpwstr>3</vt:lpwstr>
  </property>
  <property fmtid="{D5CDD505-2E9C-101B-9397-08002B2CF9AE}" pid="34" name="MSIP_Label_72160a83-df68-4146-9dd5-ccaae79426db_Tag">
    <vt:lpwstr>10, 0, 1, 1</vt:lpwstr>
  </property>
</Properties>
</file>