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3A60B" w14:textId="20029A3C" w:rsidR="005C50D8" w:rsidRDefault="005C50D8" w:rsidP="005C50D8">
      <w:pPr>
        <w:pStyle w:val="Heading1"/>
      </w:pPr>
      <w:r>
        <w:t>Australian Tourism in 2020</w:t>
      </w:r>
    </w:p>
    <w:p w14:paraId="5DFA5782" w14:textId="77777777" w:rsidR="002A46AC" w:rsidRDefault="002223D5" w:rsidP="002A46AC">
      <w:pPr>
        <w:pStyle w:val="Heading2"/>
      </w:pPr>
      <w:r>
        <w:t>Introduction</w:t>
      </w:r>
    </w:p>
    <w:p w14:paraId="4A9C86A9" w14:textId="3B24BD5A" w:rsidR="002A46AC" w:rsidRPr="00D32A2F" w:rsidRDefault="002A46AC" w:rsidP="002A46AC">
      <w:r>
        <w:t xml:space="preserve">2020 was a year of environmental, </w:t>
      </w:r>
      <w:proofErr w:type="gramStart"/>
      <w:r>
        <w:t>epidemiological</w:t>
      </w:r>
      <w:proofErr w:type="gramEnd"/>
      <w:r>
        <w:t xml:space="preserve"> and economic disruption for Australia’s </w:t>
      </w:r>
      <w:r w:rsidR="004D7A84">
        <w:t>visitor economy</w:t>
      </w:r>
      <w:r w:rsidR="008323A2">
        <w:t>.</w:t>
      </w:r>
      <w:r>
        <w:t xml:space="preserve"> </w:t>
      </w:r>
      <w:r w:rsidR="002B22CF">
        <w:t>While Covid-19 dominated global events,</w:t>
      </w:r>
      <w:r w:rsidRPr="00616DF4">
        <w:t xml:space="preserve"> the </w:t>
      </w:r>
      <w:r>
        <w:t>start of 2020 was dominated by some of the most devastating</w:t>
      </w:r>
      <w:r w:rsidRPr="00616DF4">
        <w:t xml:space="preserve"> bushfires in</w:t>
      </w:r>
      <w:r>
        <w:t xml:space="preserve"> </w:t>
      </w:r>
      <w:r w:rsidR="002B22CF">
        <w:t>Australia’s</w:t>
      </w:r>
      <w:r>
        <w:t xml:space="preserve"> h</w:t>
      </w:r>
      <w:r w:rsidRPr="00616DF4">
        <w:t>istory</w:t>
      </w:r>
      <w:r>
        <w:t xml:space="preserve">. </w:t>
      </w:r>
    </w:p>
    <w:p w14:paraId="71E6EC17" w14:textId="77777777" w:rsidR="002A46AC" w:rsidRPr="00616DF4" w:rsidRDefault="002A46AC" w:rsidP="002A46AC">
      <w:r w:rsidRPr="00616DF4">
        <w:t xml:space="preserve">As the bushfires were finally beginning to be controlled and recovery was in reach, the Covid-19 pandemic took hold. Australia began to restrict arrivals from countries with high Covid-19 cases from February 2020, and closed borders to all international tourists on the 20 March 2020. This was followed by a national lockdown to limit the spread of Covid-19. As a result, the </w:t>
      </w:r>
      <w:r w:rsidR="004D7A84">
        <w:t>i</w:t>
      </w:r>
      <w:r w:rsidRPr="00616DF4">
        <w:t xml:space="preserve">ndustry faced sharp declines across all sectors, with </w:t>
      </w:r>
      <w:r w:rsidR="006522AC">
        <w:t xml:space="preserve">the deepest impacts occurring </w:t>
      </w:r>
      <w:r w:rsidRPr="00616DF4">
        <w:t>in April 2020.</w:t>
      </w:r>
    </w:p>
    <w:p w14:paraId="42FC215F" w14:textId="0837B27B" w:rsidR="009C70D1" w:rsidRDefault="002A46AC" w:rsidP="002A46AC">
      <w:r>
        <w:t>Despite th</w:t>
      </w:r>
      <w:r w:rsidR="009C70D1">
        <w:t>is</w:t>
      </w:r>
      <w:r w:rsidRPr="00616DF4">
        <w:t xml:space="preserve">, </w:t>
      </w:r>
      <w:r>
        <w:t>t</w:t>
      </w:r>
      <w:r w:rsidR="004D7A84">
        <w:t xml:space="preserve">ourism </w:t>
      </w:r>
      <w:r w:rsidRPr="00616DF4">
        <w:t>experienced a tentative</w:t>
      </w:r>
      <w:r>
        <w:t>, domestic</w:t>
      </w:r>
      <w:r w:rsidR="008D1C23">
        <w:t>-</w:t>
      </w:r>
      <w:r>
        <w:t>led</w:t>
      </w:r>
      <w:r w:rsidRPr="00616DF4">
        <w:t xml:space="preserve"> recovery</w:t>
      </w:r>
      <w:r>
        <w:t xml:space="preserve"> in </w:t>
      </w:r>
      <w:r w:rsidR="009C70D1">
        <w:t xml:space="preserve">the months that followed. </w:t>
      </w:r>
    </w:p>
    <w:p w14:paraId="5D990C75" w14:textId="77777777" w:rsidR="009C53A2" w:rsidRDefault="002A46AC" w:rsidP="002A46AC">
      <w:r>
        <w:t xml:space="preserve">Australian tourism </w:t>
      </w:r>
      <w:r w:rsidR="6D22D6D0">
        <w:t xml:space="preserve">is </w:t>
      </w:r>
      <w:r>
        <w:t xml:space="preserve">underpinned by </w:t>
      </w:r>
      <w:r w:rsidR="009C70D1">
        <w:t xml:space="preserve">a </w:t>
      </w:r>
      <w:r>
        <w:t xml:space="preserve">strong domestic </w:t>
      </w:r>
      <w:r w:rsidR="00F84F3C">
        <w:t>sector</w:t>
      </w:r>
      <w:r>
        <w:t xml:space="preserve">. </w:t>
      </w:r>
      <w:r w:rsidR="5512DBF8">
        <w:t xml:space="preserve">For instance, in </w:t>
      </w:r>
      <w:r>
        <w:t>2019, 77</w:t>
      </w:r>
      <w:r w:rsidR="008F05B6">
        <w:t xml:space="preserve"> per cent</w:t>
      </w:r>
      <w:r>
        <w:t xml:space="preserve"> of </w:t>
      </w:r>
      <w:r w:rsidR="007B00AC">
        <w:t xml:space="preserve">visitor </w:t>
      </w:r>
      <w:r>
        <w:t xml:space="preserve">spend came from </w:t>
      </w:r>
      <w:r w:rsidR="00F84F3C">
        <w:t xml:space="preserve">Australians </w:t>
      </w:r>
      <w:r w:rsidR="3B4DE862">
        <w:t>seeing Australia</w:t>
      </w:r>
      <w:r>
        <w:t xml:space="preserve">. </w:t>
      </w:r>
      <w:proofErr w:type="gramStart"/>
      <w:r w:rsidR="33EB7D13">
        <w:t>This strong domestic demand,</w:t>
      </w:r>
      <w:proofErr w:type="gramEnd"/>
      <w:r w:rsidR="33EB7D13">
        <w:t xml:space="preserve"> c</w:t>
      </w:r>
      <w:r w:rsidR="009C53A2">
        <w:t>ombined with o</w:t>
      </w:r>
      <w:r w:rsidR="00F84F3C">
        <w:t xml:space="preserve">ur </w:t>
      </w:r>
      <w:r>
        <w:t xml:space="preserve">success in limiting the spread of </w:t>
      </w:r>
      <w:r w:rsidR="008579C0">
        <w:t xml:space="preserve">the </w:t>
      </w:r>
      <w:r w:rsidR="495143BA">
        <w:t xml:space="preserve">virus </w:t>
      </w:r>
      <w:r w:rsidR="008579C0">
        <w:t xml:space="preserve">and growth in traveller confidence </w:t>
      </w:r>
      <w:r w:rsidR="0FC5895C">
        <w:t xml:space="preserve">was </w:t>
      </w:r>
      <w:r w:rsidR="009C53A2">
        <w:t xml:space="preserve">critical to </w:t>
      </w:r>
      <w:r w:rsidR="004D7A84">
        <w:t xml:space="preserve">tourism </w:t>
      </w:r>
      <w:r w:rsidR="009C53A2">
        <w:t>recovery.</w:t>
      </w:r>
    </w:p>
    <w:p w14:paraId="537FC144" w14:textId="77777777" w:rsidR="002A46AC" w:rsidRPr="00616DF4" w:rsidRDefault="00F84F3C" w:rsidP="002A46AC">
      <w:r>
        <w:t xml:space="preserve">However, the </w:t>
      </w:r>
      <w:r w:rsidR="002A46AC">
        <w:t xml:space="preserve">recovery of tourism </w:t>
      </w:r>
      <w:r w:rsidR="008579C0">
        <w:t>was uneven</w:t>
      </w:r>
      <w:r w:rsidR="002A46AC">
        <w:t>. Some businesses rebound</w:t>
      </w:r>
      <w:r w:rsidR="00D01BC9">
        <w:t>ed</w:t>
      </w:r>
      <w:r w:rsidR="002A46AC">
        <w:t xml:space="preserve"> relatively quickly, </w:t>
      </w:r>
      <w:r>
        <w:t>while o</w:t>
      </w:r>
      <w:r w:rsidR="002A46AC">
        <w:t xml:space="preserve">thers faced prolonged downturns. </w:t>
      </w:r>
      <w:r w:rsidR="740F15A7">
        <w:t xml:space="preserve">Factors affecting </w:t>
      </w:r>
      <w:r w:rsidR="729F1917">
        <w:t xml:space="preserve">business </w:t>
      </w:r>
      <w:r w:rsidR="740F15A7">
        <w:t>recovery included</w:t>
      </w:r>
      <w:r w:rsidR="00E66F76">
        <w:t>:</w:t>
      </w:r>
    </w:p>
    <w:p w14:paraId="67262298" w14:textId="5BC6C3B1" w:rsidR="002A46AC" w:rsidRPr="00713670" w:rsidRDefault="230CA8B7" w:rsidP="00713670">
      <w:pPr>
        <w:pStyle w:val="ListParagraph"/>
      </w:pPr>
      <w:r w:rsidRPr="00713670">
        <w:t>location and business activities</w:t>
      </w:r>
      <w:r w:rsidR="7E35F9AF" w:rsidRPr="00713670">
        <w:t xml:space="preserve"> </w:t>
      </w:r>
    </w:p>
    <w:p w14:paraId="3D0A19B4" w14:textId="77777777" w:rsidR="002A46AC" w:rsidRPr="00713670" w:rsidRDefault="00302368" w:rsidP="00713670">
      <w:pPr>
        <w:pStyle w:val="ListParagraph"/>
      </w:pPr>
      <w:r w:rsidRPr="00713670">
        <w:t>r</w:t>
      </w:r>
      <w:r w:rsidR="002A46AC" w:rsidRPr="00713670">
        <w:t>eliance on international tourists</w:t>
      </w:r>
    </w:p>
    <w:p w14:paraId="4788EB3A" w14:textId="77777777" w:rsidR="002A46AC" w:rsidRPr="00713670" w:rsidRDefault="00302368" w:rsidP="00713670">
      <w:pPr>
        <w:pStyle w:val="ListParagraph"/>
      </w:pPr>
      <w:r w:rsidRPr="00713670">
        <w:t>o</w:t>
      </w:r>
      <w:r w:rsidR="002A46AC" w:rsidRPr="00713670">
        <w:t>utbreaks of Covid-19</w:t>
      </w:r>
      <w:r w:rsidR="008579C0" w:rsidRPr="00713670">
        <w:t xml:space="preserve"> and resultant lockdowns</w:t>
      </w:r>
    </w:p>
    <w:p w14:paraId="6AB4EBEE" w14:textId="734E412D" w:rsidR="002A46AC" w:rsidRPr="00616DF4" w:rsidRDefault="008579C0" w:rsidP="00713670">
      <w:pPr>
        <w:pStyle w:val="ListParagraph"/>
      </w:pPr>
      <w:r w:rsidRPr="00713670">
        <w:t xml:space="preserve">effectiveness </w:t>
      </w:r>
      <w:r>
        <w:t xml:space="preserve">of </w:t>
      </w:r>
      <w:proofErr w:type="spellStart"/>
      <w:r w:rsidR="002A46AC" w:rsidRPr="00616DF4">
        <w:t>Covid</w:t>
      </w:r>
      <w:proofErr w:type="spellEnd"/>
      <w:r w:rsidR="002A46AC" w:rsidRPr="00616DF4">
        <w:t>-safe restrictions</w:t>
      </w:r>
      <w:r w:rsidR="008D1C23">
        <w:t>.</w:t>
      </w:r>
    </w:p>
    <w:p w14:paraId="39CBFDD3" w14:textId="77777777" w:rsidR="002A46AC" w:rsidRPr="00616DF4" w:rsidRDefault="002A46AC" w:rsidP="002A46AC">
      <w:r>
        <w:t>Th</w:t>
      </w:r>
      <w:r w:rsidR="2B619A07">
        <w:t>ese fac</w:t>
      </w:r>
      <w:r w:rsidR="34016444">
        <w:t>t</w:t>
      </w:r>
      <w:r w:rsidR="2B619A07">
        <w:t xml:space="preserve">ors </w:t>
      </w:r>
      <w:r>
        <w:t xml:space="preserve">led to </w:t>
      </w:r>
      <w:r w:rsidR="13D0D8A1">
        <w:t>additional challenge</w:t>
      </w:r>
      <w:r w:rsidR="7D78AFEB">
        <w:t>s</w:t>
      </w:r>
      <w:r w:rsidR="13D0D8A1">
        <w:t xml:space="preserve"> </w:t>
      </w:r>
      <w:r>
        <w:t xml:space="preserve">for businesses that had already faced difficulties </w:t>
      </w:r>
      <w:r w:rsidR="14ED438A">
        <w:t xml:space="preserve">because of </w:t>
      </w:r>
      <w:r>
        <w:t xml:space="preserve">bushfires and lockdowns. Many relied on </w:t>
      </w:r>
      <w:proofErr w:type="spellStart"/>
      <w:r>
        <w:t>JobKeeper</w:t>
      </w:r>
      <w:proofErr w:type="spellEnd"/>
      <w:r>
        <w:t xml:space="preserve"> to remain operational. </w:t>
      </w:r>
    </w:p>
    <w:p w14:paraId="61D564DD" w14:textId="4E126A4D" w:rsidR="00A305FD" w:rsidRDefault="002A46AC" w:rsidP="004F061B">
      <w:r>
        <w:t>The events of 2020 and their unparalleled impacts on Australia</w:t>
      </w:r>
      <w:r w:rsidR="007B00AC">
        <w:t>’s visitor economy</w:t>
      </w:r>
      <w:r>
        <w:t xml:space="preserve"> are complex</w:t>
      </w:r>
      <w:r w:rsidR="00713670">
        <w:t>,</w:t>
      </w:r>
      <w:r>
        <w:t xml:space="preserve"> and </w:t>
      </w:r>
      <w:r w:rsidR="3286E0EF">
        <w:t>in some ca</w:t>
      </w:r>
      <w:r w:rsidR="00A4239F">
        <w:t>ses</w:t>
      </w:r>
      <w:r w:rsidR="00713670">
        <w:t>,</w:t>
      </w:r>
      <w:r w:rsidR="00A4239F">
        <w:t xml:space="preserve"> </w:t>
      </w:r>
      <w:r w:rsidR="00121C90">
        <w:t>long lasting.</w:t>
      </w:r>
      <w:r>
        <w:t xml:space="preserve"> This report </w:t>
      </w:r>
      <w:r w:rsidR="00121C90">
        <w:t>loo</w:t>
      </w:r>
      <w:r w:rsidR="009C53A2">
        <w:t>k</w:t>
      </w:r>
      <w:r w:rsidR="102CC1C9">
        <w:t>s</w:t>
      </w:r>
      <w:r w:rsidR="008915F4">
        <w:t xml:space="preserve"> </w:t>
      </w:r>
      <w:r w:rsidR="00121C90">
        <w:t xml:space="preserve">back on </w:t>
      </w:r>
      <w:r w:rsidR="009C53A2">
        <w:t>what happened during the year</w:t>
      </w:r>
      <w:r w:rsidR="008915F4">
        <w:t xml:space="preserve">, </w:t>
      </w:r>
      <w:r w:rsidR="1353D6DD">
        <w:t xml:space="preserve">the </w:t>
      </w:r>
      <w:r w:rsidR="00D01BC9">
        <w:t>impacts to the</w:t>
      </w:r>
      <w:r w:rsidR="008915F4">
        <w:t xml:space="preserve"> different parts of the visitor economy</w:t>
      </w:r>
      <w:r w:rsidR="008579C0">
        <w:t xml:space="preserve">, </w:t>
      </w:r>
      <w:r w:rsidR="008915F4">
        <w:t xml:space="preserve">and the challenges </w:t>
      </w:r>
      <w:r w:rsidR="52AFA2C0">
        <w:t xml:space="preserve">currently </w:t>
      </w:r>
      <w:r w:rsidR="008579C0">
        <w:t xml:space="preserve">being faced by the </w:t>
      </w:r>
      <w:r w:rsidR="008915F4">
        <w:t>industry.</w:t>
      </w:r>
      <w:r>
        <w:t xml:space="preserve"> </w:t>
      </w:r>
    </w:p>
    <w:p w14:paraId="44BABBE2" w14:textId="77777777" w:rsidR="002A46AC" w:rsidRPr="00616DF4" w:rsidRDefault="002A46AC" w:rsidP="00F135CE">
      <w:pPr>
        <w:pStyle w:val="Heading2"/>
      </w:pPr>
      <w:r>
        <w:t xml:space="preserve">A devastating bushfire </w:t>
      </w:r>
      <w:proofErr w:type="gramStart"/>
      <w:r>
        <w:t>season</w:t>
      </w:r>
      <w:proofErr w:type="gramEnd"/>
    </w:p>
    <w:p w14:paraId="4AC6AC2F" w14:textId="2DAAD97D" w:rsidR="00D01BC9" w:rsidRDefault="002A46AC" w:rsidP="002A46AC">
      <w:r>
        <w:t xml:space="preserve">The start of 2020 was dominated by some of the worst bushfires in </w:t>
      </w:r>
      <w:r w:rsidR="00A305FD">
        <w:t xml:space="preserve">Australia’s </w:t>
      </w:r>
      <w:r>
        <w:t>history</w:t>
      </w:r>
      <w:r w:rsidR="00A305FD">
        <w:t xml:space="preserve">. </w:t>
      </w:r>
      <w:r w:rsidR="00D01BC9">
        <w:t>Australia suffered loss of life,</w:t>
      </w:r>
      <w:r w:rsidR="00B630E8">
        <w:t xml:space="preserve"> d</w:t>
      </w:r>
      <w:r w:rsidR="004D7A84">
        <w:t>amage to property</w:t>
      </w:r>
      <w:r w:rsidR="00D01BC9">
        <w:t>,</w:t>
      </w:r>
      <w:r w:rsidR="004D7A84">
        <w:t xml:space="preserve"> and devastation </w:t>
      </w:r>
      <w:r w:rsidR="00D01BC9">
        <w:t>to</w:t>
      </w:r>
      <w:r w:rsidR="004D7A84">
        <w:t xml:space="preserve"> wildlife and natural landscapes</w:t>
      </w:r>
      <w:r w:rsidR="00D01BC9">
        <w:t xml:space="preserve">. </w:t>
      </w:r>
    </w:p>
    <w:p w14:paraId="42C8742C" w14:textId="77777777" w:rsidR="000E40C7" w:rsidRDefault="00D01BC9" w:rsidP="002A46AC">
      <w:r>
        <w:t>The bushfires were</w:t>
      </w:r>
      <w:r w:rsidR="00A305FD">
        <w:t xml:space="preserve"> reported </w:t>
      </w:r>
      <w:r w:rsidR="00455E67">
        <w:t xml:space="preserve">extensively </w:t>
      </w:r>
      <w:r w:rsidR="00A305FD">
        <w:t>by international media</w:t>
      </w:r>
      <w:r w:rsidR="002F32E8">
        <w:t>,</w:t>
      </w:r>
      <w:r w:rsidR="00B630E8">
        <w:t xml:space="preserve"> with 80</w:t>
      </w:r>
      <w:r w:rsidR="008F05B6">
        <w:t xml:space="preserve"> per cent</w:t>
      </w:r>
      <w:r w:rsidR="00B630E8">
        <w:t xml:space="preserve"> of coverage featur</w:t>
      </w:r>
      <w:r w:rsidR="002F32E8">
        <w:t>ing</w:t>
      </w:r>
      <w:r w:rsidR="00B630E8">
        <w:t xml:space="preserve"> photos and videos</w:t>
      </w:r>
      <w:r>
        <w:t xml:space="preserve">. While these </w:t>
      </w:r>
      <w:r w:rsidR="002A46AC" w:rsidRPr="00616DF4">
        <w:t>elicited sympathy and donations</w:t>
      </w:r>
      <w:r w:rsidR="00E66F76">
        <w:t xml:space="preserve"> from across the globe</w:t>
      </w:r>
      <w:r w:rsidR="00B630E8">
        <w:t xml:space="preserve">, </w:t>
      </w:r>
      <w:r w:rsidR="00225685">
        <w:t xml:space="preserve">it </w:t>
      </w:r>
      <w:r w:rsidR="00455E67">
        <w:t xml:space="preserve">also led </w:t>
      </w:r>
      <w:r w:rsidR="002A46AC">
        <w:t>to perceptions</w:t>
      </w:r>
      <w:r w:rsidR="00455E67">
        <w:t xml:space="preserve"> </w:t>
      </w:r>
      <w:r w:rsidR="002A46AC">
        <w:t xml:space="preserve">that the bushfires </w:t>
      </w:r>
      <w:r w:rsidR="00E66F76">
        <w:t xml:space="preserve">were more widespread </w:t>
      </w:r>
      <w:r w:rsidR="004D7A84">
        <w:t>t</w:t>
      </w:r>
      <w:r w:rsidR="002A46AC">
        <w:t xml:space="preserve">han they </w:t>
      </w:r>
      <w:proofErr w:type="gramStart"/>
      <w:r w:rsidR="002A46AC">
        <w:t>actually were</w:t>
      </w:r>
      <w:proofErr w:type="gramEnd"/>
      <w:r w:rsidR="00B630E8">
        <w:t>, damag</w:t>
      </w:r>
      <w:r w:rsidR="00E66F76">
        <w:t xml:space="preserve">ing </w:t>
      </w:r>
      <w:r w:rsidR="00B630E8">
        <w:t>Australia’s reputation as</w:t>
      </w:r>
      <w:r w:rsidR="0059167E">
        <w:t xml:space="preserve"> a</w:t>
      </w:r>
      <w:r w:rsidR="00B630E8">
        <w:t xml:space="preserve"> pristine tourism destination.</w:t>
      </w:r>
      <w:r w:rsidR="002A46AC">
        <w:t xml:space="preserve">  </w:t>
      </w:r>
    </w:p>
    <w:p w14:paraId="1F1D8172" w14:textId="77777777" w:rsidR="000E40C7" w:rsidRDefault="00D01BC9" w:rsidP="002A46AC">
      <w:proofErr w:type="gramStart"/>
      <w:r>
        <w:t>In reality,</w:t>
      </w:r>
      <w:r w:rsidR="004D7A84">
        <w:t xml:space="preserve"> the</w:t>
      </w:r>
      <w:proofErr w:type="gramEnd"/>
      <w:r w:rsidR="004D7A84">
        <w:t xml:space="preserve"> </w:t>
      </w:r>
      <w:r w:rsidR="000E40C7">
        <w:t xml:space="preserve">bushfires spanned 110 </w:t>
      </w:r>
      <w:r w:rsidR="71BC9DE1">
        <w:t xml:space="preserve">of Australia’s 537 </w:t>
      </w:r>
      <w:r w:rsidR="000E40C7">
        <w:t>local government areas</w:t>
      </w:r>
      <w:r w:rsidR="00DD1E27">
        <w:t xml:space="preserve"> and burnt 6</w:t>
      </w:r>
      <w:r w:rsidR="008F05B6">
        <w:t xml:space="preserve"> per cent</w:t>
      </w:r>
      <w:r w:rsidR="00DD1E27">
        <w:t xml:space="preserve"> of Australia’s forest</w:t>
      </w:r>
      <w:r w:rsidR="004D7A84">
        <w:t xml:space="preserve">, with varying impacts across Australia’s </w:t>
      </w:r>
      <w:r w:rsidR="000E40C7">
        <w:t xml:space="preserve">states and territories. </w:t>
      </w:r>
      <w:r w:rsidR="002F32E8">
        <w:t>States and territories</w:t>
      </w:r>
      <w:r w:rsidR="004D7A84">
        <w:t xml:space="preserve"> </w:t>
      </w:r>
      <w:r w:rsidR="000E40C7">
        <w:t>most affected include</w:t>
      </w:r>
      <w:r w:rsidR="004D7A84">
        <w:t>d</w:t>
      </w:r>
      <w:r w:rsidR="000E40C7">
        <w:t>:</w:t>
      </w:r>
    </w:p>
    <w:p w14:paraId="49FBB480" w14:textId="77777777" w:rsidR="000E40C7" w:rsidRDefault="000E40C7" w:rsidP="00713670">
      <w:pPr>
        <w:pStyle w:val="ListParagraph"/>
        <w:numPr>
          <w:ilvl w:val="0"/>
          <w:numId w:val="32"/>
        </w:numPr>
      </w:pPr>
      <w:r>
        <w:lastRenderedPageBreak/>
        <w:t>New South Wales – 25</w:t>
      </w:r>
      <w:r w:rsidR="008F05B6">
        <w:t xml:space="preserve"> per cent</w:t>
      </w:r>
      <w:r>
        <w:t xml:space="preserve"> of total forest area burned</w:t>
      </w:r>
    </w:p>
    <w:p w14:paraId="58487448" w14:textId="77777777" w:rsidR="000E40C7" w:rsidRDefault="000E40C7" w:rsidP="00713670">
      <w:pPr>
        <w:pStyle w:val="ListParagraph"/>
        <w:numPr>
          <w:ilvl w:val="0"/>
          <w:numId w:val="32"/>
        </w:numPr>
      </w:pPr>
      <w:r>
        <w:t>Victoria – 18</w:t>
      </w:r>
      <w:r w:rsidR="008F05B6">
        <w:t xml:space="preserve"> per cent</w:t>
      </w:r>
      <w:r>
        <w:t xml:space="preserve"> of total forest area burned</w:t>
      </w:r>
    </w:p>
    <w:p w14:paraId="6EA1C991" w14:textId="77777777" w:rsidR="000E40C7" w:rsidRDefault="008D1C23" w:rsidP="00713670">
      <w:pPr>
        <w:pStyle w:val="ListParagraph"/>
        <w:numPr>
          <w:ilvl w:val="0"/>
          <w:numId w:val="32"/>
        </w:numPr>
      </w:pPr>
      <w:r>
        <w:t xml:space="preserve">The </w:t>
      </w:r>
      <w:r w:rsidR="000E40C7">
        <w:t>Australian Capital Territory – 58</w:t>
      </w:r>
      <w:r w:rsidR="008F05B6">
        <w:t xml:space="preserve"> per cent</w:t>
      </w:r>
      <w:r w:rsidR="000E40C7">
        <w:t xml:space="preserve"> of total forest area burn</w:t>
      </w:r>
      <w:r w:rsidR="090BF494">
        <w:t>ed</w:t>
      </w:r>
      <w:r>
        <w:t>.</w:t>
      </w:r>
    </w:p>
    <w:p w14:paraId="618986DE" w14:textId="77777777" w:rsidR="006C0725" w:rsidRPr="005961BD" w:rsidRDefault="006C0725" w:rsidP="006C0725">
      <w:pPr>
        <w:pStyle w:val="Caption"/>
        <w:rPr>
          <w:b/>
          <w:i w:val="0"/>
          <w:iCs w:val="0"/>
          <w:sz w:val="22"/>
          <w:szCs w:val="22"/>
        </w:rPr>
      </w:pPr>
      <w:r w:rsidRPr="005961BD">
        <w:rPr>
          <w:b/>
          <w:i w:val="0"/>
          <w:iCs w:val="0"/>
          <w:sz w:val="22"/>
          <w:szCs w:val="22"/>
        </w:rPr>
        <w:t xml:space="preserve">Table </w:t>
      </w:r>
      <w:r w:rsidRPr="005961BD">
        <w:rPr>
          <w:b/>
          <w:i w:val="0"/>
          <w:iCs w:val="0"/>
          <w:sz w:val="22"/>
          <w:szCs w:val="22"/>
        </w:rPr>
        <w:fldChar w:fldCharType="begin"/>
      </w:r>
      <w:r w:rsidRPr="005961BD">
        <w:rPr>
          <w:b/>
          <w:i w:val="0"/>
          <w:iCs w:val="0"/>
          <w:sz w:val="22"/>
          <w:szCs w:val="22"/>
        </w:rPr>
        <w:instrText xml:space="preserve"> SEQ Table \* ARABIC </w:instrText>
      </w:r>
      <w:r w:rsidRPr="005961BD">
        <w:rPr>
          <w:b/>
          <w:i w:val="0"/>
          <w:iCs w:val="0"/>
          <w:sz w:val="22"/>
          <w:szCs w:val="22"/>
        </w:rPr>
        <w:fldChar w:fldCharType="separate"/>
      </w:r>
      <w:r w:rsidR="00B11C6D" w:rsidRPr="005961BD">
        <w:rPr>
          <w:b/>
          <w:i w:val="0"/>
          <w:iCs w:val="0"/>
          <w:noProof/>
          <w:sz w:val="22"/>
          <w:szCs w:val="22"/>
        </w:rPr>
        <w:t>1</w:t>
      </w:r>
      <w:r w:rsidRPr="005961BD">
        <w:rPr>
          <w:b/>
          <w:i w:val="0"/>
          <w:iCs w:val="0"/>
          <w:sz w:val="22"/>
          <w:szCs w:val="22"/>
        </w:rPr>
        <w:fldChar w:fldCharType="end"/>
      </w:r>
      <w:r w:rsidRPr="005961BD">
        <w:rPr>
          <w:b/>
          <w:i w:val="0"/>
          <w:iCs w:val="0"/>
          <w:sz w:val="22"/>
          <w:szCs w:val="22"/>
        </w:rPr>
        <w:t xml:space="preserve"> – </w:t>
      </w:r>
      <w:r w:rsidR="008915F4" w:rsidRPr="005961BD">
        <w:rPr>
          <w:b/>
          <w:i w:val="0"/>
          <w:iCs w:val="0"/>
          <w:sz w:val="22"/>
          <w:szCs w:val="22"/>
        </w:rPr>
        <w:t>Im</w:t>
      </w:r>
      <w:r w:rsidR="00DD1E27" w:rsidRPr="005961BD">
        <w:rPr>
          <w:b/>
          <w:i w:val="0"/>
          <w:iCs w:val="0"/>
          <w:sz w:val="22"/>
          <w:szCs w:val="22"/>
        </w:rPr>
        <w:t xml:space="preserve">pact of </w:t>
      </w:r>
      <w:r w:rsidR="00360567" w:rsidRPr="005961BD">
        <w:rPr>
          <w:b/>
          <w:i w:val="0"/>
          <w:iCs w:val="0"/>
          <w:sz w:val="22"/>
          <w:szCs w:val="22"/>
        </w:rPr>
        <w:t xml:space="preserve">2019 and 2020 </w:t>
      </w:r>
      <w:r w:rsidR="00DD1E27" w:rsidRPr="005961BD">
        <w:rPr>
          <w:b/>
          <w:i w:val="0"/>
          <w:iCs w:val="0"/>
          <w:sz w:val="22"/>
          <w:szCs w:val="22"/>
        </w:rPr>
        <w:t>bushfires o</w:t>
      </w:r>
      <w:r w:rsidR="00360567" w:rsidRPr="005961BD">
        <w:rPr>
          <w:b/>
          <w:i w:val="0"/>
          <w:iCs w:val="0"/>
          <w:sz w:val="22"/>
          <w:szCs w:val="22"/>
        </w:rPr>
        <w:t>n</w:t>
      </w:r>
      <w:r w:rsidR="00DD1E27" w:rsidRPr="005961BD">
        <w:rPr>
          <w:b/>
          <w:i w:val="0"/>
          <w:iCs w:val="0"/>
          <w:sz w:val="22"/>
          <w:szCs w:val="22"/>
        </w:rPr>
        <w:t xml:space="preserve"> </w:t>
      </w:r>
      <w:r w:rsidR="00360567" w:rsidRPr="005961BD">
        <w:rPr>
          <w:b/>
          <w:i w:val="0"/>
          <w:iCs w:val="0"/>
          <w:sz w:val="22"/>
          <w:szCs w:val="22"/>
        </w:rPr>
        <w:t xml:space="preserve">State and Territory </w:t>
      </w:r>
      <w:r w:rsidR="00DD1E27" w:rsidRPr="005961BD">
        <w:rPr>
          <w:b/>
          <w:i w:val="0"/>
          <w:iCs w:val="0"/>
          <w:sz w:val="22"/>
          <w:szCs w:val="22"/>
        </w:rPr>
        <w:t>forests</w:t>
      </w:r>
    </w:p>
    <w:tbl>
      <w:tblPr>
        <w:tblStyle w:val="GridTable1Light"/>
        <w:tblW w:w="9400" w:type="dxa"/>
        <w:tblLook w:val="04A0" w:firstRow="1" w:lastRow="0" w:firstColumn="1" w:lastColumn="0" w:noHBand="0" w:noVBand="1"/>
      </w:tblPr>
      <w:tblGrid>
        <w:gridCol w:w="2825"/>
        <w:gridCol w:w="2895"/>
        <w:gridCol w:w="3680"/>
      </w:tblGrid>
      <w:tr w:rsidR="007B2D02" w:rsidRPr="007B2D02" w14:paraId="26F13AA2" w14:textId="77777777" w:rsidTr="007B2D02">
        <w:trPr>
          <w:cnfStyle w:val="100000000000" w:firstRow="1" w:lastRow="0" w:firstColumn="0" w:lastColumn="0" w:oddVBand="0" w:evenVBand="0" w:oddHBand="0"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825" w:type="dxa"/>
            <w:noWrap/>
            <w:hideMark/>
          </w:tcPr>
          <w:p w14:paraId="7407CFB5" w14:textId="77777777" w:rsidR="00F41EB8" w:rsidRPr="007B2D02" w:rsidRDefault="00F41EB8" w:rsidP="004F061B">
            <w:pPr>
              <w:jc w:val="center"/>
              <w:rPr>
                <w:rFonts w:ascii="Calibri" w:eastAsia="Times New Roman" w:hAnsi="Calibri" w:cs="Times New Roman"/>
                <w:b w:val="0"/>
                <w:bCs w:val="0"/>
                <w:color w:val="000000" w:themeColor="text1"/>
                <w:lang w:eastAsia="en-AU"/>
              </w:rPr>
            </w:pPr>
            <w:r w:rsidRPr="007B2D02">
              <w:rPr>
                <w:rFonts w:ascii="Calibri" w:eastAsia="Times New Roman" w:hAnsi="Calibri" w:cs="Times New Roman"/>
                <w:b w:val="0"/>
                <w:bCs w:val="0"/>
                <w:color w:val="000000" w:themeColor="text1"/>
                <w:lang w:eastAsia="en-AU"/>
              </w:rPr>
              <w:t>State</w:t>
            </w:r>
          </w:p>
        </w:tc>
        <w:tc>
          <w:tcPr>
            <w:tcW w:w="2895" w:type="dxa"/>
            <w:hideMark/>
          </w:tcPr>
          <w:p w14:paraId="6AB84385" w14:textId="77777777" w:rsidR="00F41EB8" w:rsidRPr="007B2D02" w:rsidRDefault="00F41EB8" w:rsidP="004F06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themeColor="text1"/>
                <w:lang w:eastAsia="en-AU"/>
              </w:rPr>
            </w:pPr>
            <w:r w:rsidRPr="007B2D02">
              <w:rPr>
                <w:rFonts w:ascii="Calibri" w:eastAsia="Times New Roman" w:hAnsi="Calibri" w:cs="Times New Roman"/>
                <w:b w:val="0"/>
                <w:bCs w:val="0"/>
                <w:color w:val="000000" w:themeColor="text1"/>
                <w:lang w:eastAsia="en-AU"/>
              </w:rPr>
              <w:t>Total forest hectares burnt</w:t>
            </w:r>
          </w:p>
        </w:tc>
        <w:tc>
          <w:tcPr>
            <w:tcW w:w="3680" w:type="dxa"/>
            <w:hideMark/>
          </w:tcPr>
          <w:p w14:paraId="3A032D64" w14:textId="77777777" w:rsidR="00F41EB8" w:rsidRPr="007B2D02" w:rsidRDefault="00F41EB8" w:rsidP="004F061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themeColor="text1"/>
                <w:lang w:eastAsia="en-AU"/>
              </w:rPr>
            </w:pPr>
            <w:r w:rsidRPr="007B2D02">
              <w:rPr>
                <w:rFonts w:ascii="Calibri" w:eastAsia="Times New Roman" w:hAnsi="Calibri" w:cs="Times New Roman"/>
                <w:b w:val="0"/>
                <w:bCs w:val="0"/>
                <w:color w:val="000000" w:themeColor="text1"/>
                <w:lang w:eastAsia="en-AU"/>
              </w:rPr>
              <w:t>Proportion of total forest area burnt</w:t>
            </w:r>
          </w:p>
        </w:tc>
      </w:tr>
      <w:tr w:rsidR="00F41EB8" w:rsidRPr="00F41EB8" w14:paraId="6E36D542" w14:textId="77777777" w:rsidTr="007B2D02">
        <w:trPr>
          <w:trHeight w:val="300"/>
        </w:trPr>
        <w:tc>
          <w:tcPr>
            <w:cnfStyle w:val="001000000000" w:firstRow="0" w:lastRow="0" w:firstColumn="1" w:lastColumn="0" w:oddVBand="0" w:evenVBand="0" w:oddHBand="0" w:evenHBand="0" w:firstRowFirstColumn="0" w:firstRowLastColumn="0" w:lastRowFirstColumn="0" w:lastRowLastColumn="0"/>
            <w:tcW w:w="2825" w:type="dxa"/>
            <w:noWrap/>
            <w:hideMark/>
          </w:tcPr>
          <w:p w14:paraId="0F632282" w14:textId="77777777" w:rsidR="00F41EB8" w:rsidRPr="00F41EB8" w:rsidRDefault="00F41EB8" w:rsidP="004F061B">
            <w:pPr>
              <w:jc w:val="center"/>
              <w:rPr>
                <w:rFonts w:ascii="Calibri" w:eastAsia="Times New Roman" w:hAnsi="Calibri" w:cs="Times New Roman"/>
                <w:color w:val="000000"/>
                <w:lang w:eastAsia="en-AU"/>
              </w:rPr>
            </w:pPr>
            <w:r w:rsidRPr="00F41EB8">
              <w:rPr>
                <w:rFonts w:ascii="Calibri" w:eastAsia="Times New Roman" w:hAnsi="Calibri" w:cs="Times New Roman"/>
                <w:color w:val="000000"/>
                <w:lang w:eastAsia="en-AU"/>
              </w:rPr>
              <w:t>New South Wales</w:t>
            </w:r>
          </w:p>
        </w:tc>
        <w:tc>
          <w:tcPr>
            <w:tcW w:w="2895" w:type="dxa"/>
            <w:noWrap/>
            <w:hideMark/>
          </w:tcPr>
          <w:p w14:paraId="692F9DE8" w14:textId="77777777" w:rsidR="00F41EB8" w:rsidRPr="00F41EB8" w:rsidRDefault="00F41EB8" w:rsidP="004F06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F41EB8">
              <w:rPr>
                <w:rFonts w:ascii="Calibri" w:eastAsia="Times New Roman" w:hAnsi="Calibri" w:cs="Times New Roman"/>
                <w:color w:val="000000"/>
                <w:lang w:eastAsia="en-AU"/>
              </w:rPr>
              <w:t>5,123,000</w:t>
            </w:r>
          </w:p>
        </w:tc>
        <w:tc>
          <w:tcPr>
            <w:tcW w:w="3680" w:type="dxa"/>
            <w:noWrap/>
            <w:hideMark/>
          </w:tcPr>
          <w:p w14:paraId="62C9AE76" w14:textId="77777777" w:rsidR="00F41EB8" w:rsidRPr="00F41EB8" w:rsidRDefault="00F41EB8" w:rsidP="004F06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F41EB8">
              <w:rPr>
                <w:rFonts w:ascii="Calibri" w:eastAsia="Times New Roman" w:hAnsi="Calibri" w:cs="Times New Roman"/>
                <w:color w:val="000000"/>
                <w:lang w:eastAsia="en-AU"/>
              </w:rPr>
              <w:t>25%</w:t>
            </w:r>
          </w:p>
        </w:tc>
      </w:tr>
      <w:tr w:rsidR="00F41EB8" w:rsidRPr="00F41EB8" w14:paraId="0444776E" w14:textId="77777777" w:rsidTr="007B2D02">
        <w:trPr>
          <w:trHeight w:val="300"/>
        </w:trPr>
        <w:tc>
          <w:tcPr>
            <w:cnfStyle w:val="001000000000" w:firstRow="0" w:lastRow="0" w:firstColumn="1" w:lastColumn="0" w:oddVBand="0" w:evenVBand="0" w:oddHBand="0" w:evenHBand="0" w:firstRowFirstColumn="0" w:firstRowLastColumn="0" w:lastRowFirstColumn="0" w:lastRowLastColumn="0"/>
            <w:tcW w:w="2825" w:type="dxa"/>
            <w:noWrap/>
            <w:hideMark/>
          </w:tcPr>
          <w:p w14:paraId="48A03080" w14:textId="77777777" w:rsidR="00F41EB8" w:rsidRPr="00F41EB8" w:rsidRDefault="00F41EB8" w:rsidP="004F061B">
            <w:pPr>
              <w:jc w:val="center"/>
              <w:rPr>
                <w:rFonts w:ascii="Calibri" w:eastAsia="Times New Roman" w:hAnsi="Calibri" w:cs="Times New Roman"/>
                <w:color w:val="000000"/>
                <w:lang w:eastAsia="en-AU"/>
              </w:rPr>
            </w:pPr>
            <w:r w:rsidRPr="00F41EB8">
              <w:rPr>
                <w:rFonts w:ascii="Calibri" w:eastAsia="Times New Roman" w:hAnsi="Calibri" w:cs="Times New Roman"/>
                <w:color w:val="000000"/>
                <w:lang w:eastAsia="en-AU"/>
              </w:rPr>
              <w:t>Victoria</w:t>
            </w:r>
          </w:p>
        </w:tc>
        <w:tc>
          <w:tcPr>
            <w:tcW w:w="2895" w:type="dxa"/>
            <w:noWrap/>
            <w:hideMark/>
          </w:tcPr>
          <w:p w14:paraId="44716B27" w14:textId="77777777" w:rsidR="00F41EB8" w:rsidRPr="00F41EB8" w:rsidRDefault="00F41EB8" w:rsidP="004F06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F41EB8">
              <w:rPr>
                <w:rFonts w:ascii="Calibri" w:eastAsia="Times New Roman" w:hAnsi="Calibri" w:cs="Times New Roman"/>
                <w:color w:val="000000"/>
                <w:lang w:eastAsia="en-AU"/>
              </w:rPr>
              <w:t>1,457,000</w:t>
            </w:r>
          </w:p>
        </w:tc>
        <w:tc>
          <w:tcPr>
            <w:tcW w:w="3680" w:type="dxa"/>
            <w:noWrap/>
            <w:hideMark/>
          </w:tcPr>
          <w:p w14:paraId="4E288A0A" w14:textId="77777777" w:rsidR="00F41EB8" w:rsidRPr="00F41EB8" w:rsidRDefault="00F41EB8" w:rsidP="004F06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F41EB8">
              <w:rPr>
                <w:rFonts w:ascii="Calibri" w:eastAsia="Times New Roman" w:hAnsi="Calibri" w:cs="Times New Roman"/>
                <w:color w:val="000000"/>
                <w:lang w:eastAsia="en-AU"/>
              </w:rPr>
              <w:t>18%</w:t>
            </w:r>
          </w:p>
        </w:tc>
      </w:tr>
      <w:tr w:rsidR="00F41EB8" w:rsidRPr="00F41EB8" w14:paraId="479D5DB5" w14:textId="77777777" w:rsidTr="007B2D02">
        <w:trPr>
          <w:trHeight w:val="300"/>
        </w:trPr>
        <w:tc>
          <w:tcPr>
            <w:cnfStyle w:val="001000000000" w:firstRow="0" w:lastRow="0" w:firstColumn="1" w:lastColumn="0" w:oddVBand="0" w:evenVBand="0" w:oddHBand="0" w:evenHBand="0" w:firstRowFirstColumn="0" w:firstRowLastColumn="0" w:lastRowFirstColumn="0" w:lastRowLastColumn="0"/>
            <w:tcW w:w="2825" w:type="dxa"/>
            <w:noWrap/>
            <w:hideMark/>
          </w:tcPr>
          <w:p w14:paraId="51A6699D" w14:textId="77777777" w:rsidR="00F41EB8" w:rsidRPr="00F41EB8" w:rsidRDefault="00F41EB8" w:rsidP="004F061B">
            <w:pPr>
              <w:jc w:val="center"/>
              <w:rPr>
                <w:rFonts w:ascii="Calibri" w:eastAsia="Times New Roman" w:hAnsi="Calibri" w:cs="Times New Roman"/>
                <w:color w:val="000000"/>
                <w:lang w:eastAsia="en-AU"/>
              </w:rPr>
            </w:pPr>
            <w:r w:rsidRPr="00F41EB8">
              <w:rPr>
                <w:rFonts w:ascii="Calibri" w:eastAsia="Times New Roman" w:hAnsi="Calibri" w:cs="Times New Roman"/>
                <w:color w:val="000000"/>
                <w:lang w:eastAsia="en-AU"/>
              </w:rPr>
              <w:t>Western Australia</w:t>
            </w:r>
          </w:p>
        </w:tc>
        <w:tc>
          <w:tcPr>
            <w:tcW w:w="2895" w:type="dxa"/>
            <w:noWrap/>
            <w:hideMark/>
          </w:tcPr>
          <w:p w14:paraId="782E7DC7" w14:textId="77777777" w:rsidR="00F41EB8" w:rsidRPr="00F41EB8" w:rsidRDefault="00F41EB8" w:rsidP="004F06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F41EB8">
              <w:rPr>
                <w:rFonts w:ascii="Calibri" w:eastAsia="Times New Roman" w:hAnsi="Calibri" w:cs="Times New Roman"/>
                <w:color w:val="000000"/>
                <w:lang w:eastAsia="en-AU"/>
              </w:rPr>
              <w:t>1,144,000</w:t>
            </w:r>
          </w:p>
        </w:tc>
        <w:tc>
          <w:tcPr>
            <w:tcW w:w="3680" w:type="dxa"/>
            <w:noWrap/>
            <w:hideMark/>
          </w:tcPr>
          <w:p w14:paraId="2A9C4204" w14:textId="77777777" w:rsidR="00F41EB8" w:rsidRPr="00F41EB8" w:rsidRDefault="00F41EB8" w:rsidP="004F06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F41EB8">
              <w:rPr>
                <w:rFonts w:ascii="Calibri" w:eastAsia="Times New Roman" w:hAnsi="Calibri" w:cs="Times New Roman"/>
                <w:color w:val="000000"/>
                <w:lang w:eastAsia="en-AU"/>
              </w:rPr>
              <w:t>6%</w:t>
            </w:r>
          </w:p>
        </w:tc>
      </w:tr>
      <w:tr w:rsidR="00F41EB8" w:rsidRPr="00F41EB8" w14:paraId="6307990C" w14:textId="77777777" w:rsidTr="007B2D02">
        <w:trPr>
          <w:trHeight w:val="300"/>
        </w:trPr>
        <w:tc>
          <w:tcPr>
            <w:cnfStyle w:val="001000000000" w:firstRow="0" w:lastRow="0" w:firstColumn="1" w:lastColumn="0" w:oddVBand="0" w:evenVBand="0" w:oddHBand="0" w:evenHBand="0" w:firstRowFirstColumn="0" w:firstRowLastColumn="0" w:lastRowFirstColumn="0" w:lastRowLastColumn="0"/>
            <w:tcW w:w="2825" w:type="dxa"/>
            <w:noWrap/>
            <w:hideMark/>
          </w:tcPr>
          <w:p w14:paraId="7B20C2D0" w14:textId="77777777" w:rsidR="00F41EB8" w:rsidRPr="00F41EB8" w:rsidRDefault="00F41EB8" w:rsidP="004F061B">
            <w:pPr>
              <w:jc w:val="center"/>
              <w:rPr>
                <w:rFonts w:ascii="Calibri" w:eastAsia="Times New Roman" w:hAnsi="Calibri" w:cs="Times New Roman"/>
                <w:color w:val="000000"/>
                <w:lang w:eastAsia="en-AU"/>
              </w:rPr>
            </w:pPr>
            <w:r w:rsidRPr="00F41EB8">
              <w:rPr>
                <w:rFonts w:ascii="Calibri" w:eastAsia="Times New Roman" w:hAnsi="Calibri" w:cs="Times New Roman"/>
                <w:color w:val="000000"/>
                <w:lang w:eastAsia="en-AU"/>
              </w:rPr>
              <w:t>Queensland</w:t>
            </w:r>
          </w:p>
        </w:tc>
        <w:tc>
          <w:tcPr>
            <w:tcW w:w="2895" w:type="dxa"/>
            <w:noWrap/>
            <w:hideMark/>
          </w:tcPr>
          <w:p w14:paraId="32DEB281" w14:textId="77777777" w:rsidR="00F41EB8" w:rsidRPr="00F41EB8" w:rsidRDefault="00F41EB8" w:rsidP="004F06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F41EB8">
              <w:rPr>
                <w:rFonts w:ascii="Calibri" w:eastAsia="Times New Roman" w:hAnsi="Calibri" w:cs="Times New Roman"/>
                <w:color w:val="000000"/>
                <w:lang w:eastAsia="en-AU"/>
              </w:rPr>
              <w:t>514,000</w:t>
            </w:r>
          </w:p>
        </w:tc>
        <w:tc>
          <w:tcPr>
            <w:tcW w:w="3680" w:type="dxa"/>
            <w:noWrap/>
            <w:hideMark/>
          </w:tcPr>
          <w:p w14:paraId="2472CBF7" w14:textId="77777777" w:rsidR="00F41EB8" w:rsidRPr="00F41EB8" w:rsidRDefault="00F41EB8" w:rsidP="004F06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F41EB8">
              <w:rPr>
                <w:rFonts w:ascii="Calibri" w:eastAsia="Times New Roman" w:hAnsi="Calibri" w:cs="Times New Roman"/>
                <w:color w:val="000000"/>
                <w:lang w:eastAsia="en-AU"/>
              </w:rPr>
              <w:t>1%</w:t>
            </w:r>
          </w:p>
        </w:tc>
      </w:tr>
      <w:tr w:rsidR="00F41EB8" w:rsidRPr="00F41EB8" w14:paraId="5D42558D" w14:textId="77777777" w:rsidTr="007B2D02">
        <w:trPr>
          <w:trHeight w:val="300"/>
        </w:trPr>
        <w:tc>
          <w:tcPr>
            <w:cnfStyle w:val="001000000000" w:firstRow="0" w:lastRow="0" w:firstColumn="1" w:lastColumn="0" w:oddVBand="0" w:evenVBand="0" w:oddHBand="0" w:evenHBand="0" w:firstRowFirstColumn="0" w:firstRowLastColumn="0" w:lastRowFirstColumn="0" w:lastRowLastColumn="0"/>
            <w:tcW w:w="2825" w:type="dxa"/>
            <w:noWrap/>
            <w:hideMark/>
          </w:tcPr>
          <w:p w14:paraId="358744CA" w14:textId="77777777" w:rsidR="00F41EB8" w:rsidRPr="00F41EB8" w:rsidRDefault="00F41EB8" w:rsidP="004F061B">
            <w:pPr>
              <w:jc w:val="center"/>
              <w:rPr>
                <w:rFonts w:ascii="Calibri" w:eastAsia="Times New Roman" w:hAnsi="Calibri" w:cs="Times New Roman"/>
                <w:color w:val="000000"/>
                <w:lang w:eastAsia="en-AU"/>
              </w:rPr>
            </w:pPr>
            <w:r w:rsidRPr="00F41EB8">
              <w:rPr>
                <w:rFonts w:ascii="Calibri" w:eastAsia="Times New Roman" w:hAnsi="Calibri" w:cs="Times New Roman"/>
                <w:color w:val="000000"/>
                <w:lang w:eastAsia="en-AU"/>
              </w:rPr>
              <w:t>South Australia</w:t>
            </w:r>
          </w:p>
        </w:tc>
        <w:tc>
          <w:tcPr>
            <w:tcW w:w="2895" w:type="dxa"/>
            <w:noWrap/>
            <w:hideMark/>
          </w:tcPr>
          <w:p w14:paraId="2166D4A6" w14:textId="77777777" w:rsidR="00F41EB8" w:rsidRPr="00F41EB8" w:rsidRDefault="00F41EB8" w:rsidP="004F06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F41EB8">
              <w:rPr>
                <w:rFonts w:ascii="Calibri" w:eastAsia="Times New Roman" w:hAnsi="Calibri" w:cs="Times New Roman"/>
                <w:color w:val="000000"/>
                <w:lang w:eastAsia="en-AU"/>
              </w:rPr>
              <w:t>137,000</w:t>
            </w:r>
          </w:p>
        </w:tc>
        <w:tc>
          <w:tcPr>
            <w:tcW w:w="3680" w:type="dxa"/>
            <w:noWrap/>
            <w:hideMark/>
          </w:tcPr>
          <w:p w14:paraId="00F8A0ED" w14:textId="77777777" w:rsidR="00F41EB8" w:rsidRPr="00F41EB8" w:rsidRDefault="00F41EB8" w:rsidP="004F06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F41EB8">
              <w:rPr>
                <w:rFonts w:ascii="Calibri" w:eastAsia="Times New Roman" w:hAnsi="Calibri" w:cs="Times New Roman"/>
                <w:color w:val="000000"/>
                <w:lang w:eastAsia="en-AU"/>
              </w:rPr>
              <w:t>3%</w:t>
            </w:r>
          </w:p>
        </w:tc>
      </w:tr>
      <w:tr w:rsidR="00F41EB8" w:rsidRPr="00F41EB8" w14:paraId="2DB88505" w14:textId="77777777" w:rsidTr="007B2D02">
        <w:trPr>
          <w:trHeight w:val="300"/>
        </w:trPr>
        <w:tc>
          <w:tcPr>
            <w:cnfStyle w:val="001000000000" w:firstRow="0" w:lastRow="0" w:firstColumn="1" w:lastColumn="0" w:oddVBand="0" w:evenVBand="0" w:oddHBand="0" w:evenHBand="0" w:firstRowFirstColumn="0" w:firstRowLastColumn="0" w:lastRowFirstColumn="0" w:lastRowLastColumn="0"/>
            <w:tcW w:w="2825" w:type="dxa"/>
            <w:noWrap/>
            <w:hideMark/>
          </w:tcPr>
          <w:p w14:paraId="54D8D791" w14:textId="77777777" w:rsidR="00F41EB8" w:rsidRPr="00F41EB8" w:rsidRDefault="00F41EB8" w:rsidP="004F061B">
            <w:pPr>
              <w:jc w:val="center"/>
              <w:rPr>
                <w:rFonts w:ascii="Calibri" w:eastAsia="Times New Roman" w:hAnsi="Calibri" w:cs="Times New Roman"/>
                <w:color w:val="000000"/>
                <w:lang w:eastAsia="en-AU"/>
              </w:rPr>
            </w:pPr>
            <w:r w:rsidRPr="00F41EB8">
              <w:rPr>
                <w:rFonts w:ascii="Calibri" w:eastAsia="Times New Roman" w:hAnsi="Calibri" w:cs="Times New Roman"/>
                <w:color w:val="000000"/>
                <w:lang w:eastAsia="en-AU"/>
              </w:rPr>
              <w:t>Australian Capital Territory</w:t>
            </w:r>
          </w:p>
        </w:tc>
        <w:tc>
          <w:tcPr>
            <w:tcW w:w="2895" w:type="dxa"/>
            <w:noWrap/>
            <w:hideMark/>
          </w:tcPr>
          <w:p w14:paraId="1DD2B6B6" w14:textId="77777777" w:rsidR="00F41EB8" w:rsidRPr="00F41EB8" w:rsidRDefault="00F41EB8" w:rsidP="004F06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F41EB8">
              <w:rPr>
                <w:rFonts w:ascii="Calibri" w:eastAsia="Times New Roman" w:hAnsi="Calibri" w:cs="Times New Roman"/>
                <w:color w:val="000000"/>
                <w:lang w:eastAsia="en-AU"/>
              </w:rPr>
              <w:t>83,000</w:t>
            </w:r>
          </w:p>
        </w:tc>
        <w:tc>
          <w:tcPr>
            <w:tcW w:w="3680" w:type="dxa"/>
            <w:noWrap/>
            <w:hideMark/>
          </w:tcPr>
          <w:p w14:paraId="37B82036" w14:textId="77777777" w:rsidR="00F41EB8" w:rsidRPr="00F41EB8" w:rsidRDefault="00F41EB8" w:rsidP="004F06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F41EB8">
              <w:rPr>
                <w:rFonts w:ascii="Calibri" w:eastAsia="Times New Roman" w:hAnsi="Calibri" w:cs="Times New Roman"/>
                <w:color w:val="000000"/>
                <w:lang w:eastAsia="en-AU"/>
              </w:rPr>
              <w:t>58%</w:t>
            </w:r>
          </w:p>
        </w:tc>
      </w:tr>
      <w:tr w:rsidR="00F41EB8" w:rsidRPr="00F41EB8" w14:paraId="4B5D7AF7" w14:textId="77777777" w:rsidTr="007B2D02">
        <w:trPr>
          <w:trHeight w:val="300"/>
        </w:trPr>
        <w:tc>
          <w:tcPr>
            <w:cnfStyle w:val="001000000000" w:firstRow="0" w:lastRow="0" w:firstColumn="1" w:lastColumn="0" w:oddVBand="0" w:evenVBand="0" w:oddHBand="0" w:evenHBand="0" w:firstRowFirstColumn="0" w:firstRowLastColumn="0" w:lastRowFirstColumn="0" w:lastRowLastColumn="0"/>
            <w:tcW w:w="2825" w:type="dxa"/>
            <w:noWrap/>
            <w:hideMark/>
          </w:tcPr>
          <w:p w14:paraId="1AD3DCA5" w14:textId="77777777" w:rsidR="00F41EB8" w:rsidRPr="00F41EB8" w:rsidRDefault="00F41EB8" w:rsidP="004F061B">
            <w:pPr>
              <w:jc w:val="center"/>
              <w:rPr>
                <w:rFonts w:ascii="Calibri" w:eastAsia="Times New Roman" w:hAnsi="Calibri" w:cs="Times New Roman"/>
                <w:color w:val="000000"/>
                <w:lang w:eastAsia="en-AU"/>
              </w:rPr>
            </w:pPr>
            <w:r w:rsidRPr="00F41EB8">
              <w:rPr>
                <w:rFonts w:ascii="Calibri" w:eastAsia="Times New Roman" w:hAnsi="Calibri" w:cs="Times New Roman"/>
                <w:color w:val="000000"/>
                <w:lang w:eastAsia="en-AU"/>
              </w:rPr>
              <w:t>Tasmania</w:t>
            </w:r>
          </w:p>
        </w:tc>
        <w:tc>
          <w:tcPr>
            <w:tcW w:w="2895" w:type="dxa"/>
            <w:noWrap/>
            <w:hideMark/>
          </w:tcPr>
          <w:p w14:paraId="4CC478E3" w14:textId="77777777" w:rsidR="00F41EB8" w:rsidRPr="00F41EB8" w:rsidRDefault="00F41EB8" w:rsidP="004F06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F41EB8">
              <w:rPr>
                <w:rFonts w:ascii="Calibri" w:eastAsia="Times New Roman" w:hAnsi="Calibri" w:cs="Times New Roman"/>
                <w:color w:val="000000"/>
                <w:lang w:eastAsia="en-AU"/>
              </w:rPr>
              <w:t>30,000</w:t>
            </w:r>
          </w:p>
        </w:tc>
        <w:tc>
          <w:tcPr>
            <w:tcW w:w="3680" w:type="dxa"/>
            <w:noWrap/>
            <w:hideMark/>
          </w:tcPr>
          <w:p w14:paraId="285E793A" w14:textId="77777777" w:rsidR="00F41EB8" w:rsidRPr="00F41EB8" w:rsidRDefault="00F41EB8" w:rsidP="004F06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sidRPr="00F41EB8">
              <w:rPr>
                <w:rFonts w:ascii="Calibri" w:eastAsia="Times New Roman" w:hAnsi="Calibri" w:cs="Times New Roman"/>
                <w:color w:val="000000"/>
                <w:lang w:eastAsia="en-AU"/>
              </w:rPr>
              <w:t>1%</w:t>
            </w:r>
          </w:p>
        </w:tc>
      </w:tr>
      <w:tr w:rsidR="00F41EB8" w:rsidRPr="00F41EB8" w14:paraId="5A48F491" w14:textId="77777777" w:rsidTr="007B2D02">
        <w:trPr>
          <w:trHeight w:val="315"/>
        </w:trPr>
        <w:tc>
          <w:tcPr>
            <w:cnfStyle w:val="001000000000" w:firstRow="0" w:lastRow="0" w:firstColumn="1" w:lastColumn="0" w:oddVBand="0" w:evenVBand="0" w:oddHBand="0" w:evenHBand="0" w:firstRowFirstColumn="0" w:firstRowLastColumn="0" w:lastRowFirstColumn="0" w:lastRowLastColumn="0"/>
            <w:tcW w:w="2825" w:type="dxa"/>
            <w:noWrap/>
            <w:hideMark/>
          </w:tcPr>
          <w:p w14:paraId="5C4327DA" w14:textId="77777777" w:rsidR="00F41EB8" w:rsidRPr="00F41EB8" w:rsidRDefault="00F41EB8" w:rsidP="004F061B">
            <w:pPr>
              <w:jc w:val="center"/>
              <w:rPr>
                <w:rFonts w:ascii="Calibri" w:eastAsia="Times New Roman" w:hAnsi="Calibri" w:cs="Times New Roman"/>
                <w:color w:val="000000"/>
                <w:lang w:eastAsia="en-AU"/>
              </w:rPr>
            </w:pPr>
            <w:r w:rsidRPr="00F41EB8">
              <w:rPr>
                <w:rFonts w:ascii="Calibri" w:eastAsia="Times New Roman" w:hAnsi="Calibri" w:cs="Times New Roman"/>
                <w:color w:val="000000"/>
                <w:lang w:eastAsia="en-AU"/>
              </w:rPr>
              <w:t>Northern Territory</w:t>
            </w:r>
          </w:p>
        </w:tc>
        <w:tc>
          <w:tcPr>
            <w:tcW w:w="2895" w:type="dxa"/>
            <w:noWrap/>
            <w:hideMark/>
          </w:tcPr>
          <w:p w14:paraId="175CB309" w14:textId="77777777" w:rsidR="00F41EB8" w:rsidRPr="00F41EB8" w:rsidRDefault="00DD1E27" w:rsidP="00DD1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0</w:t>
            </w:r>
          </w:p>
        </w:tc>
        <w:tc>
          <w:tcPr>
            <w:tcW w:w="3680" w:type="dxa"/>
            <w:noWrap/>
            <w:hideMark/>
          </w:tcPr>
          <w:p w14:paraId="5A4D15C4" w14:textId="77777777" w:rsidR="00F41EB8" w:rsidRPr="00F41EB8" w:rsidRDefault="00DD1E27" w:rsidP="00DD1E2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0</w:t>
            </w:r>
            <w:r w:rsidR="008915F4">
              <w:rPr>
                <w:rFonts w:ascii="Calibri" w:eastAsia="Times New Roman" w:hAnsi="Calibri" w:cs="Times New Roman"/>
                <w:color w:val="000000"/>
                <w:lang w:eastAsia="en-AU"/>
              </w:rPr>
              <w:t>%</w:t>
            </w:r>
          </w:p>
        </w:tc>
      </w:tr>
      <w:tr w:rsidR="008915F4" w:rsidRPr="00F41EB8" w14:paraId="1ED28F4E" w14:textId="77777777" w:rsidTr="007B2D02">
        <w:trPr>
          <w:trHeight w:val="315"/>
        </w:trPr>
        <w:tc>
          <w:tcPr>
            <w:cnfStyle w:val="001000000000" w:firstRow="0" w:lastRow="0" w:firstColumn="1" w:lastColumn="0" w:oddVBand="0" w:evenVBand="0" w:oddHBand="0" w:evenHBand="0" w:firstRowFirstColumn="0" w:firstRowLastColumn="0" w:lastRowFirstColumn="0" w:lastRowLastColumn="0"/>
            <w:tcW w:w="2825" w:type="dxa"/>
            <w:noWrap/>
          </w:tcPr>
          <w:p w14:paraId="3BDB3BE3" w14:textId="77777777" w:rsidR="008915F4" w:rsidRPr="00F41EB8" w:rsidRDefault="008915F4" w:rsidP="004F061B">
            <w:pPr>
              <w:jc w:val="center"/>
              <w:rPr>
                <w:rFonts w:ascii="Calibri" w:eastAsia="Times New Roman" w:hAnsi="Calibri" w:cs="Times New Roman"/>
                <w:color w:val="000000"/>
                <w:lang w:eastAsia="en-AU"/>
              </w:rPr>
            </w:pPr>
            <w:r>
              <w:rPr>
                <w:rFonts w:ascii="Calibri" w:eastAsia="Times New Roman" w:hAnsi="Calibri" w:cs="Times New Roman"/>
                <w:color w:val="000000"/>
                <w:lang w:eastAsia="en-AU"/>
              </w:rPr>
              <w:t>Total</w:t>
            </w:r>
          </w:p>
        </w:tc>
        <w:tc>
          <w:tcPr>
            <w:tcW w:w="2895" w:type="dxa"/>
            <w:noWrap/>
          </w:tcPr>
          <w:p w14:paraId="64954BCE" w14:textId="77777777" w:rsidR="008915F4" w:rsidRPr="00F41EB8" w:rsidRDefault="00DD1E27" w:rsidP="004F06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8,488,000</w:t>
            </w:r>
          </w:p>
        </w:tc>
        <w:tc>
          <w:tcPr>
            <w:tcW w:w="3680" w:type="dxa"/>
            <w:noWrap/>
          </w:tcPr>
          <w:p w14:paraId="4E89FD98" w14:textId="77777777" w:rsidR="008915F4" w:rsidRPr="00F41EB8" w:rsidRDefault="00DD1E27" w:rsidP="004F061B">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en-AU"/>
              </w:rPr>
            </w:pPr>
            <w:r>
              <w:rPr>
                <w:rFonts w:ascii="Calibri" w:eastAsia="Times New Roman" w:hAnsi="Calibri" w:cs="Times New Roman"/>
                <w:color w:val="000000"/>
                <w:lang w:eastAsia="en-AU"/>
              </w:rPr>
              <w:t>6%</w:t>
            </w:r>
          </w:p>
        </w:tc>
      </w:tr>
    </w:tbl>
    <w:p w14:paraId="0ED06A12" w14:textId="77777777" w:rsidR="00271757" w:rsidRPr="00271757" w:rsidRDefault="00271757" w:rsidP="002A46AC">
      <w:pPr>
        <w:rPr>
          <w:i/>
          <w:sz w:val="18"/>
          <w:szCs w:val="18"/>
        </w:rPr>
      </w:pPr>
      <w:r w:rsidRPr="00271757">
        <w:rPr>
          <w:i/>
          <w:sz w:val="18"/>
          <w:szCs w:val="18"/>
        </w:rPr>
        <w:t xml:space="preserve">(Source: Department of Agriculture, </w:t>
      </w:r>
      <w:proofErr w:type="gramStart"/>
      <w:r w:rsidRPr="00271757">
        <w:rPr>
          <w:i/>
          <w:sz w:val="18"/>
          <w:szCs w:val="18"/>
        </w:rPr>
        <w:t>Water</w:t>
      </w:r>
      <w:proofErr w:type="gramEnd"/>
      <w:r w:rsidRPr="00271757">
        <w:rPr>
          <w:i/>
          <w:sz w:val="18"/>
          <w:szCs w:val="18"/>
        </w:rPr>
        <w:t xml:space="preserve"> and the Environment, </w:t>
      </w:r>
      <w:hyperlink r:id="rId13" w:history="1">
        <w:r w:rsidRPr="00271757">
          <w:rPr>
            <w:rStyle w:val="Hyperlink"/>
            <w:i/>
            <w:sz w:val="18"/>
            <w:szCs w:val="18"/>
          </w:rPr>
          <w:t>Forest fire data</w:t>
        </w:r>
      </w:hyperlink>
      <w:r w:rsidRPr="00271757">
        <w:rPr>
          <w:i/>
          <w:sz w:val="18"/>
          <w:szCs w:val="18"/>
        </w:rPr>
        <w:t xml:space="preserve">, </w:t>
      </w:r>
      <w:r>
        <w:rPr>
          <w:i/>
          <w:sz w:val="18"/>
          <w:szCs w:val="18"/>
        </w:rPr>
        <w:t>accessed June 2021</w:t>
      </w:r>
      <w:r w:rsidRPr="00271757">
        <w:rPr>
          <w:i/>
          <w:sz w:val="18"/>
          <w:szCs w:val="18"/>
        </w:rPr>
        <w:t>)</w:t>
      </w:r>
    </w:p>
    <w:p w14:paraId="51609416" w14:textId="0D8D05AB" w:rsidR="006C0725" w:rsidRPr="005961BD" w:rsidRDefault="006C0725" w:rsidP="006C0725">
      <w:pPr>
        <w:pStyle w:val="Caption"/>
        <w:rPr>
          <w:b/>
          <w:i w:val="0"/>
          <w:iCs w:val="0"/>
          <w:sz w:val="22"/>
          <w:szCs w:val="22"/>
        </w:rPr>
      </w:pPr>
      <w:r w:rsidRPr="005961BD">
        <w:rPr>
          <w:b/>
          <w:i w:val="0"/>
          <w:iCs w:val="0"/>
          <w:sz w:val="22"/>
          <w:szCs w:val="22"/>
        </w:rPr>
        <w:t xml:space="preserve">Figure </w:t>
      </w:r>
      <w:r w:rsidRPr="005961BD">
        <w:rPr>
          <w:b/>
          <w:i w:val="0"/>
          <w:iCs w:val="0"/>
          <w:sz w:val="22"/>
          <w:szCs w:val="22"/>
        </w:rPr>
        <w:fldChar w:fldCharType="begin"/>
      </w:r>
      <w:r w:rsidRPr="005961BD">
        <w:rPr>
          <w:b/>
          <w:i w:val="0"/>
          <w:iCs w:val="0"/>
          <w:sz w:val="22"/>
          <w:szCs w:val="22"/>
        </w:rPr>
        <w:instrText xml:space="preserve"> SEQ Figure \* ARABIC </w:instrText>
      </w:r>
      <w:r w:rsidRPr="005961BD">
        <w:rPr>
          <w:b/>
          <w:i w:val="0"/>
          <w:iCs w:val="0"/>
          <w:sz w:val="22"/>
          <w:szCs w:val="22"/>
        </w:rPr>
        <w:fldChar w:fldCharType="separate"/>
      </w:r>
      <w:r w:rsidR="00705122" w:rsidRPr="005961BD">
        <w:rPr>
          <w:b/>
          <w:i w:val="0"/>
          <w:iCs w:val="0"/>
          <w:noProof/>
          <w:sz w:val="22"/>
          <w:szCs w:val="22"/>
        </w:rPr>
        <w:t>1</w:t>
      </w:r>
      <w:r w:rsidRPr="005961BD">
        <w:rPr>
          <w:b/>
          <w:i w:val="0"/>
          <w:iCs w:val="0"/>
          <w:sz w:val="22"/>
          <w:szCs w:val="22"/>
        </w:rPr>
        <w:fldChar w:fldCharType="end"/>
      </w:r>
      <w:r w:rsidR="00547A9E" w:rsidRPr="005961BD">
        <w:rPr>
          <w:b/>
          <w:i w:val="0"/>
          <w:iCs w:val="0"/>
          <w:sz w:val="22"/>
          <w:szCs w:val="22"/>
        </w:rPr>
        <w:t xml:space="preserve"> – </w:t>
      </w:r>
      <w:r w:rsidR="00D84A99" w:rsidRPr="005961BD">
        <w:rPr>
          <w:b/>
          <w:i w:val="0"/>
          <w:iCs w:val="0"/>
          <w:sz w:val="22"/>
          <w:szCs w:val="22"/>
        </w:rPr>
        <w:t>B</w:t>
      </w:r>
      <w:r w:rsidRPr="005961BD">
        <w:rPr>
          <w:b/>
          <w:i w:val="0"/>
          <w:iCs w:val="0"/>
          <w:sz w:val="22"/>
          <w:szCs w:val="22"/>
        </w:rPr>
        <w:t xml:space="preserve">ushfire impact </w:t>
      </w:r>
      <w:r w:rsidR="00D84A99" w:rsidRPr="005961BD">
        <w:rPr>
          <w:b/>
          <w:i w:val="0"/>
          <w:iCs w:val="0"/>
          <w:sz w:val="22"/>
          <w:szCs w:val="22"/>
        </w:rPr>
        <w:t>by</w:t>
      </w:r>
      <w:r w:rsidRPr="005961BD">
        <w:rPr>
          <w:b/>
          <w:i w:val="0"/>
          <w:iCs w:val="0"/>
          <w:sz w:val="22"/>
          <w:szCs w:val="22"/>
        </w:rPr>
        <w:t xml:space="preserve"> local government areas</w:t>
      </w:r>
      <w:r w:rsidR="00D84A99" w:rsidRPr="005961BD">
        <w:rPr>
          <w:b/>
          <w:i w:val="0"/>
          <w:iCs w:val="0"/>
          <w:sz w:val="22"/>
          <w:szCs w:val="22"/>
        </w:rPr>
        <w:t xml:space="preserve"> 2020</w:t>
      </w:r>
      <w:r w:rsidRPr="005961BD">
        <w:rPr>
          <w:b/>
          <w:i w:val="0"/>
          <w:iCs w:val="0"/>
          <w:sz w:val="22"/>
          <w:szCs w:val="22"/>
        </w:rPr>
        <w:t xml:space="preserve"> </w:t>
      </w:r>
    </w:p>
    <w:p w14:paraId="011DF1ED" w14:textId="77777777" w:rsidR="00466C76" w:rsidRDefault="5A634CC8" w:rsidP="005144F6">
      <w:r>
        <w:rPr>
          <w:noProof/>
          <w:lang w:eastAsia="en-AU"/>
        </w:rPr>
        <w:drawing>
          <wp:inline distT="0" distB="0" distL="0" distR="0" wp14:anchorId="4D5B0706" wp14:editId="26EDDCDD">
            <wp:extent cx="4214344" cy="2804160"/>
            <wp:effectExtent l="0" t="0" r="0" b="0"/>
            <wp:docPr id="11" name="Picture 11" descr="Chart to show bushfire affected local government areas by percentage of land bur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to show bushfire affected local government areas by percentage of land burnt"/>
                    <pic:cNvPicPr/>
                  </pic:nvPicPr>
                  <pic:blipFill>
                    <a:blip r:embed="rId14">
                      <a:extLst>
                        <a:ext uri="{28A0092B-C50C-407E-A947-70E740481C1C}">
                          <a14:useLocalDpi xmlns:a14="http://schemas.microsoft.com/office/drawing/2010/main" val="0"/>
                        </a:ext>
                      </a:extLst>
                    </a:blip>
                    <a:stretch>
                      <a:fillRect/>
                    </a:stretch>
                  </pic:blipFill>
                  <pic:spPr>
                    <a:xfrm>
                      <a:off x="0" y="0"/>
                      <a:ext cx="4214344" cy="2804160"/>
                    </a:xfrm>
                    <a:prstGeom prst="rect">
                      <a:avLst/>
                    </a:prstGeom>
                  </pic:spPr>
                </pic:pic>
              </a:graphicData>
            </a:graphic>
          </wp:inline>
        </w:drawing>
      </w:r>
    </w:p>
    <w:p w14:paraId="74D6D415" w14:textId="77777777" w:rsidR="00271757" w:rsidRPr="00271757" w:rsidRDefault="00271757" w:rsidP="005144F6">
      <w:pPr>
        <w:rPr>
          <w:i/>
          <w:sz w:val="18"/>
          <w:szCs w:val="18"/>
        </w:rPr>
      </w:pPr>
      <w:r>
        <w:rPr>
          <w:i/>
          <w:sz w:val="18"/>
          <w:szCs w:val="18"/>
        </w:rPr>
        <w:t>(Source: National Recovery and Resilience Agency</w:t>
      </w:r>
      <w:r w:rsidRPr="00271757">
        <w:rPr>
          <w:i/>
          <w:sz w:val="18"/>
          <w:szCs w:val="18"/>
        </w:rPr>
        <w:t xml:space="preserve">, </w:t>
      </w:r>
      <w:hyperlink r:id="rId15" w:history="1">
        <w:r w:rsidRPr="00271757">
          <w:rPr>
            <w:rStyle w:val="Hyperlink"/>
            <w:i/>
            <w:sz w:val="18"/>
            <w:szCs w:val="18"/>
          </w:rPr>
          <w:t>Local Area Profiles for 2019-20 Bushfires</w:t>
        </w:r>
      </w:hyperlink>
      <w:r w:rsidRPr="00271757">
        <w:rPr>
          <w:i/>
          <w:sz w:val="18"/>
          <w:szCs w:val="18"/>
        </w:rPr>
        <w:t xml:space="preserve">, </w:t>
      </w:r>
      <w:r>
        <w:rPr>
          <w:i/>
          <w:sz w:val="18"/>
          <w:szCs w:val="18"/>
        </w:rPr>
        <w:t>accessed</w:t>
      </w:r>
      <w:r w:rsidRPr="00271757">
        <w:rPr>
          <w:i/>
          <w:sz w:val="18"/>
          <w:szCs w:val="18"/>
        </w:rPr>
        <w:t xml:space="preserve"> </w:t>
      </w:r>
      <w:r>
        <w:rPr>
          <w:i/>
          <w:sz w:val="18"/>
          <w:szCs w:val="18"/>
        </w:rPr>
        <w:t xml:space="preserve">May </w:t>
      </w:r>
      <w:r w:rsidR="00616C9E">
        <w:rPr>
          <w:i/>
          <w:sz w:val="18"/>
          <w:szCs w:val="18"/>
        </w:rPr>
        <w:t>2021</w:t>
      </w:r>
      <w:r w:rsidRPr="00271757">
        <w:rPr>
          <w:i/>
          <w:sz w:val="18"/>
          <w:szCs w:val="18"/>
        </w:rPr>
        <w:t>)</w:t>
      </w:r>
    </w:p>
    <w:p w14:paraId="7093124D" w14:textId="77777777" w:rsidR="005144F6" w:rsidRDefault="004D7A84" w:rsidP="005144F6">
      <w:r>
        <w:t xml:space="preserve">From </w:t>
      </w:r>
      <w:r w:rsidR="00E66F76">
        <w:t xml:space="preserve">the </w:t>
      </w:r>
      <w:r>
        <w:t>perspective</w:t>
      </w:r>
      <w:r w:rsidR="00E66F76">
        <w:t xml:space="preserve"> of Australia’s visitor economy, t</w:t>
      </w:r>
      <w:r w:rsidR="005144F6">
        <w:t xml:space="preserve">he fires had the greatest impact in </w:t>
      </w:r>
      <w:r w:rsidR="00360567">
        <w:t xml:space="preserve">the </w:t>
      </w:r>
      <w:r w:rsidR="005144F6">
        <w:t xml:space="preserve">following </w:t>
      </w:r>
      <w:r w:rsidR="002C43F2">
        <w:t>ten</w:t>
      </w:r>
      <w:r w:rsidR="00360567">
        <w:t xml:space="preserve"> tourism </w:t>
      </w:r>
      <w:r w:rsidR="005144F6">
        <w:t xml:space="preserve">regions: </w:t>
      </w:r>
    </w:p>
    <w:p w14:paraId="55321646" w14:textId="77777777" w:rsidR="00904B99" w:rsidRDefault="005144F6" w:rsidP="00713670">
      <w:pPr>
        <w:pStyle w:val="ListParagraph"/>
        <w:numPr>
          <w:ilvl w:val="0"/>
          <w:numId w:val="29"/>
        </w:numPr>
      </w:pPr>
      <w:r>
        <w:t>North Coast (NSW)</w:t>
      </w:r>
    </w:p>
    <w:p w14:paraId="7D8D5078" w14:textId="77777777" w:rsidR="00904B99" w:rsidRDefault="005144F6" w:rsidP="00713670">
      <w:pPr>
        <w:pStyle w:val="ListParagraph"/>
        <w:numPr>
          <w:ilvl w:val="0"/>
          <w:numId w:val="29"/>
        </w:numPr>
      </w:pPr>
      <w:r>
        <w:t>South Coast (NSW)</w:t>
      </w:r>
    </w:p>
    <w:p w14:paraId="31551204" w14:textId="77777777" w:rsidR="00904B99" w:rsidRDefault="005144F6" w:rsidP="00713670">
      <w:pPr>
        <w:pStyle w:val="ListParagraph"/>
        <w:numPr>
          <w:ilvl w:val="0"/>
          <w:numId w:val="29"/>
        </w:numPr>
      </w:pPr>
      <w:r>
        <w:t>Central Coast (NSW)</w:t>
      </w:r>
    </w:p>
    <w:p w14:paraId="27A0F833" w14:textId="77777777" w:rsidR="00904B99" w:rsidRDefault="005144F6" w:rsidP="00713670">
      <w:pPr>
        <w:pStyle w:val="ListParagraph"/>
        <w:numPr>
          <w:ilvl w:val="0"/>
          <w:numId w:val="29"/>
        </w:numPr>
      </w:pPr>
      <w:r>
        <w:t>Blue Mountains (NSW)</w:t>
      </w:r>
    </w:p>
    <w:p w14:paraId="655E80B6" w14:textId="77777777" w:rsidR="00904B99" w:rsidRDefault="005144F6" w:rsidP="00713670">
      <w:pPr>
        <w:pStyle w:val="ListParagraph"/>
        <w:numPr>
          <w:ilvl w:val="0"/>
          <w:numId w:val="29"/>
        </w:numPr>
      </w:pPr>
      <w:r>
        <w:lastRenderedPageBreak/>
        <w:t>Snowy Mountains (NSW)</w:t>
      </w:r>
    </w:p>
    <w:p w14:paraId="757CAB31" w14:textId="77777777" w:rsidR="00904B99" w:rsidRDefault="005144F6" w:rsidP="00713670">
      <w:pPr>
        <w:pStyle w:val="ListParagraph"/>
        <w:numPr>
          <w:ilvl w:val="0"/>
          <w:numId w:val="29"/>
        </w:numPr>
      </w:pPr>
      <w:r>
        <w:t>High Country (Victoria)</w:t>
      </w:r>
    </w:p>
    <w:p w14:paraId="4AC07847" w14:textId="77777777" w:rsidR="00904B99" w:rsidRDefault="00904B99" w:rsidP="00713670">
      <w:pPr>
        <w:pStyle w:val="ListParagraph"/>
        <w:numPr>
          <w:ilvl w:val="0"/>
          <w:numId w:val="29"/>
        </w:numPr>
      </w:pPr>
      <w:r>
        <w:t>Lakes (Victoria)</w:t>
      </w:r>
    </w:p>
    <w:p w14:paraId="54D310D6" w14:textId="77777777" w:rsidR="00904B99" w:rsidRDefault="00904B99" w:rsidP="00713670">
      <w:pPr>
        <w:pStyle w:val="ListParagraph"/>
        <w:numPr>
          <w:ilvl w:val="0"/>
          <w:numId w:val="29"/>
        </w:numPr>
      </w:pPr>
      <w:r>
        <w:t>Kangaroo Island (SA)</w:t>
      </w:r>
    </w:p>
    <w:p w14:paraId="4039C1CD" w14:textId="77777777" w:rsidR="00904B99" w:rsidRDefault="00904B99" w:rsidP="00713670">
      <w:pPr>
        <w:pStyle w:val="ListParagraph"/>
        <w:numPr>
          <w:ilvl w:val="0"/>
          <w:numId w:val="29"/>
        </w:numPr>
      </w:pPr>
      <w:r>
        <w:t>Adelaide Hills (SA)</w:t>
      </w:r>
    </w:p>
    <w:p w14:paraId="02CCAA12" w14:textId="77777777" w:rsidR="00E450E7" w:rsidRDefault="005144F6" w:rsidP="00713670">
      <w:pPr>
        <w:pStyle w:val="ListParagraph"/>
        <w:numPr>
          <w:ilvl w:val="0"/>
          <w:numId w:val="29"/>
        </w:numPr>
      </w:pPr>
      <w:r>
        <w:t>Canberra (ACT)</w:t>
      </w:r>
    </w:p>
    <w:p w14:paraId="00A52ACB" w14:textId="77777777" w:rsidR="00103A6A" w:rsidRDefault="61CC70ED" w:rsidP="003F24DF">
      <w:r>
        <w:t>I</w:t>
      </w:r>
      <w:r w:rsidR="00E66F76">
        <w:t xml:space="preserve">mpacts </w:t>
      </w:r>
      <w:r w:rsidR="009142E7">
        <w:t>on tourism differed widely between the</w:t>
      </w:r>
      <w:r w:rsidR="00E66F76">
        <w:t>se</w:t>
      </w:r>
      <w:r w:rsidR="00EA77CA">
        <w:t xml:space="preserve"> </w:t>
      </w:r>
      <w:r w:rsidR="009142E7">
        <w:t>regions</w:t>
      </w:r>
      <w:r w:rsidR="00EA77CA">
        <w:t>. Some regions experienced minimal falls in spend. Factors impacting demand include</w:t>
      </w:r>
      <w:r w:rsidR="00103A6A">
        <w:t>:</w:t>
      </w:r>
    </w:p>
    <w:p w14:paraId="5B674E57" w14:textId="77777777" w:rsidR="00826C1A" w:rsidRDefault="008D1C23" w:rsidP="00713670">
      <w:pPr>
        <w:pStyle w:val="ListParagraph"/>
        <w:numPr>
          <w:ilvl w:val="0"/>
          <w:numId w:val="29"/>
        </w:numPr>
      </w:pPr>
      <w:r>
        <w:t xml:space="preserve">the </w:t>
      </w:r>
      <w:r w:rsidR="009142E7">
        <w:t xml:space="preserve">duration </w:t>
      </w:r>
      <w:r w:rsidR="00826C1A">
        <w:t>and severity o</w:t>
      </w:r>
      <w:r w:rsidR="009142E7">
        <w:t>f the fires</w:t>
      </w:r>
    </w:p>
    <w:p w14:paraId="253550F8" w14:textId="77777777" w:rsidR="00103A6A" w:rsidRDefault="00EA77CA" w:rsidP="00713670">
      <w:pPr>
        <w:pStyle w:val="ListParagraph"/>
        <w:numPr>
          <w:ilvl w:val="0"/>
          <w:numId w:val="29"/>
        </w:numPr>
      </w:pPr>
      <w:r>
        <w:t>proximity to population centres</w:t>
      </w:r>
    </w:p>
    <w:p w14:paraId="096FFA03" w14:textId="77777777" w:rsidR="00103A6A" w:rsidRDefault="00103A6A" w:rsidP="00713670">
      <w:pPr>
        <w:pStyle w:val="ListParagraph"/>
        <w:numPr>
          <w:ilvl w:val="0"/>
          <w:numId w:val="29"/>
        </w:numPr>
      </w:pPr>
      <w:r>
        <w:t>whether the fires coincided with peak holiday periods</w:t>
      </w:r>
    </w:p>
    <w:p w14:paraId="27D6F63F" w14:textId="77777777" w:rsidR="00AC52D0" w:rsidRDefault="00AC52D0" w:rsidP="00713670">
      <w:pPr>
        <w:pStyle w:val="ListParagraph"/>
        <w:numPr>
          <w:ilvl w:val="0"/>
          <w:numId w:val="29"/>
        </w:numPr>
      </w:pPr>
      <w:r>
        <w:t>access to alternative tourism destinations within the region</w:t>
      </w:r>
      <w:r w:rsidR="008D1C23">
        <w:t>.</w:t>
      </w:r>
    </w:p>
    <w:p w14:paraId="7CB1885A" w14:textId="77777777" w:rsidR="003F24DF" w:rsidRDefault="67C1311F" w:rsidP="00103A6A">
      <w:r>
        <w:t xml:space="preserve">To illustrate this, </w:t>
      </w:r>
      <w:r w:rsidR="002C43F2">
        <w:t xml:space="preserve">in the </w:t>
      </w:r>
      <w:r w:rsidR="00DB704C">
        <w:t>March quarter 2020</w:t>
      </w:r>
      <w:r w:rsidR="002C43F2">
        <w:t xml:space="preserve"> </w:t>
      </w:r>
      <w:r w:rsidR="00050F5D">
        <w:t xml:space="preserve">when holiday travel </w:t>
      </w:r>
      <w:r w:rsidR="2E284F3A">
        <w:t>would have been at i</w:t>
      </w:r>
      <w:r w:rsidR="00050F5D">
        <w:t xml:space="preserve">ts peak, </w:t>
      </w:r>
      <w:r w:rsidR="007B00AC">
        <w:t xml:space="preserve">visitor </w:t>
      </w:r>
      <w:r w:rsidR="003F24DF">
        <w:t xml:space="preserve">spend varied </w:t>
      </w:r>
      <w:r w:rsidR="18949298">
        <w:t xml:space="preserve">from March 2019 </w:t>
      </w:r>
      <w:r w:rsidR="003F24DF">
        <w:t>as follows:</w:t>
      </w:r>
    </w:p>
    <w:p w14:paraId="41C8F11C" w14:textId="77777777" w:rsidR="00541CC5" w:rsidRDefault="00DB704C" w:rsidP="00713670">
      <w:pPr>
        <w:pStyle w:val="ListParagraph"/>
        <w:numPr>
          <w:ilvl w:val="0"/>
          <w:numId w:val="42"/>
        </w:numPr>
      </w:pPr>
      <w:r>
        <w:t xml:space="preserve">High Country </w:t>
      </w:r>
      <w:r w:rsidR="00237537">
        <w:t xml:space="preserve">(Victoria) </w:t>
      </w:r>
      <w:r>
        <w:t xml:space="preserve">– down </w:t>
      </w:r>
      <w:r w:rsidR="00050F5D">
        <w:t>29</w:t>
      </w:r>
      <w:r w:rsidR="008F05B6">
        <w:t xml:space="preserve"> per cent</w:t>
      </w:r>
      <w:r>
        <w:t xml:space="preserve"> </w:t>
      </w:r>
      <w:r w:rsidR="6B56EA6D">
        <w:t>(</w:t>
      </w:r>
      <w:r>
        <w:t>$</w:t>
      </w:r>
      <w:r w:rsidR="00050F5D">
        <w:t>89</w:t>
      </w:r>
      <w:r>
        <w:t xml:space="preserve"> million</w:t>
      </w:r>
      <w:r w:rsidR="00541CC5">
        <w:t>)</w:t>
      </w:r>
    </w:p>
    <w:p w14:paraId="54D6A84C" w14:textId="77777777" w:rsidR="00050F5D" w:rsidRDefault="00050F5D" w:rsidP="00713670">
      <w:pPr>
        <w:pStyle w:val="ListParagraph"/>
        <w:numPr>
          <w:ilvl w:val="0"/>
          <w:numId w:val="42"/>
        </w:numPr>
      </w:pPr>
      <w:r>
        <w:t>South Coast (NSW) – down 23</w:t>
      </w:r>
      <w:r w:rsidR="008F05B6">
        <w:t xml:space="preserve"> per cent</w:t>
      </w:r>
      <w:r>
        <w:t xml:space="preserve"> ($251 million)</w:t>
      </w:r>
    </w:p>
    <w:p w14:paraId="4A033F61" w14:textId="77777777" w:rsidR="003F24DF" w:rsidRDefault="003F24DF" w:rsidP="00713670">
      <w:pPr>
        <w:pStyle w:val="ListParagraph"/>
        <w:numPr>
          <w:ilvl w:val="0"/>
          <w:numId w:val="42"/>
        </w:numPr>
      </w:pPr>
      <w:r>
        <w:t xml:space="preserve">Kangaroo Island (SA) – down </w:t>
      </w:r>
      <w:r w:rsidR="00050F5D">
        <w:t>13</w:t>
      </w:r>
      <w:r w:rsidR="008F05B6">
        <w:t xml:space="preserve"> per cent</w:t>
      </w:r>
      <w:r>
        <w:t xml:space="preserve"> ($</w:t>
      </w:r>
      <w:r w:rsidR="00050F5D">
        <w:t>9</w:t>
      </w:r>
      <w:r>
        <w:t xml:space="preserve"> million)</w:t>
      </w:r>
    </w:p>
    <w:p w14:paraId="79A348EC" w14:textId="1B2938AB" w:rsidR="00050F5D" w:rsidRDefault="00050F5D" w:rsidP="00713670">
      <w:pPr>
        <w:pStyle w:val="ListParagraph"/>
        <w:numPr>
          <w:ilvl w:val="0"/>
          <w:numId w:val="42"/>
        </w:numPr>
      </w:pPr>
      <w:r>
        <w:t>Canberra – down 10</w:t>
      </w:r>
      <w:r w:rsidR="008F05B6">
        <w:t xml:space="preserve"> per cent</w:t>
      </w:r>
      <w:r>
        <w:t xml:space="preserve"> ($56 million)</w:t>
      </w:r>
    </w:p>
    <w:p w14:paraId="08317A07" w14:textId="77777777" w:rsidR="00050F5D" w:rsidRDefault="00050F5D" w:rsidP="00713670">
      <w:pPr>
        <w:pStyle w:val="ListParagraph"/>
        <w:numPr>
          <w:ilvl w:val="0"/>
          <w:numId w:val="42"/>
        </w:numPr>
      </w:pPr>
      <w:r>
        <w:t>Central Coast (NSW) – down 7</w:t>
      </w:r>
      <w:r w:rsidR="008F05B6">
        <w:t xml:space="preserve"> per cent</w:t>
      </w:r>
      <w:r>
        <w:t xml:space="preserve"> ($23 million)</w:t>
      </w:r>
    </w:p>
    <w:p w14:paraId="6D230E6B" w14:textId="77777777" w:rsidR="00050F5D" w:rsidRDefault="00050F5D" w:rsidP="00713670">
      <w:pPr>
        <w:pStyle w:val="ListParagraph"/>
        <w:numPr>
          <w:ilvl w:val="0"/>
          <w:numId w:val="42"/>
        </w:numPr>
      </w:pPr>
      <w:r>
        <w:t>Snowy Mountains (NSW) – down 6</w:t>
      </w:r>
      <w:r w:rsidR="008F05B6">
        <w:t xml:space="preserve"> per cent</w:t>
      </w:r>
      <w:r>
        <w:t xml:space="preserve"> ($7 million)</w:t>
      </w:r>
    </w:p>
    <w:p w14:paraId="74ED21B1" w14:textId="77777777" w:rsidR="003F24DF" w:rsidRDefault="003F24DF" w:rsidP="00713670">
      <w:pPr>
        <w:pStyle w:val="ListParagraph"/>
        <w:numPr>
          <w:ilvl w:val="0"/>
          <w:numId w:val="42"/>
        </w:numPr>
      </w:pPr>
      <w:r>
        <w:t xml:space="preserve">Blue Mountains (NSW) – down </w:t>
      </w:r>
      <w:r w:rsidR="00ED6A81">
        <w:t>2</w:t>
      </w:r>
      <w:r w:rsidR="008F05B6">
        <w:t xml:space="preserve"> per cent</w:t>
      </w:r>
      <w:r>
        <w:t xml:space="preserve"> ($</w:t>
      </w:r>
      <w:r w:rsidR="00ED6A81">
        <w:t>4</w:t>
      </w:r>
      <w:r>
        <w:t xml:space="preserve"> million)</w:t>
      </w:r>
    </w:p>
    <w:p w14:paraId="48328933" w14:textId="77777777" w:rsidR="00050F5D" w:rsidRDefault="00050F5D" w:rsidP="00713670">
      <w:pPr>
        <w:pStyle w:val="ListParagraph"/>
        <w:numPr>
          <w:ilvl w:val="0"/>
          <w:numId w:val="42"/>
        </w:numPr>
      </w:pPr>
      <w:r>
        <w:t>North Coast (NSW) – down 0.1</w:t>
      </w:r>
      <w:r w:rsidR="008F05B6">
        <w:t xml:space="preserve"> per cent</w:t>
      </w:r>
      <w:r>
        <w:t xml:space="preserve"> ($1 million)</w:t>
      </w:r>
    </w:p>
    <w:p w14:paraId="55C633C8" w14:textId="77777777" w:rsidR="003F24DF" w:rsidRDefault="003F24DF" w:rsidP="00713670">
      <w:pPr>
        <w:pStyle w:val="ListParagraph"/>
        <w:numPr>
          <w:ilvl w:val="0"/>
          <w:numId w:val="42"/>
        </w:numPr>
      </w:pPr>
      <w:r>
        <w:t xml:space="preserve">Lakes (Victoria) – </w:t>
      </w:r>
      <w:r w:rsidR="00050F5D">
        <w:t xml:space="preserve">up </w:t>
      </w:r>
      <w:r>
        <w:t>1</w:t>
      </w:r>
      <w:r w:rsidR="00050F5D">
        <w:t>3</w:t>
      </w:r>
      <w:r w:rsidR="008F05B6">
        <w:t xml:space="preserve"> per cent</w:t>
      </w:r>
      <w:r>
        <w:t xml:space="preserve"> ($2</w:t>
      </w:r>
      <w:r w:rsidR="00050F5D">
        <w:t>0</w:t>
      </w:r>
      <w:r>
        <w:t xml:space="preserve"> million) </w:t>
      </w:r>
    </w:p>
    <w:p w14:paraId="2FBD59B9" w14:textId="77777777" w:rsidR="003F24DF" w:rsidRDefault="003F24DF" w:rsidP="00713670">
      <w:pPr>
        <w:pStyle w:val="ListParagraph"/>
        <w:numPr>
          <w:ilvl w:val="0"/>
          <w:numId w:val="33"/>
        </w:numPr>
      </w:pPr>
      <w:r>
        <w:t>Adelaide Hills</w:t>
      </w:r>
      <w:r w:rsidR="541FA5E5">
        <w:t xml:space="preserve"> </w:t>
      </w:r>
      <w:r w:rsidR="0049709D">
        <w:t xml:space="preserve">(SA) </w:t>
      </w:r>
      <w:r>
        <w:t>– up 1</w:t>
      </w:r>
      <w:r w:rsidR="00050F5D">
        <w:t>4</w:t>
      </w:r>
      <w:r w:rsidR="008F05B6">
        <w:t xml:space="preserve"> per cent</w:t>
      </w:r>
      <w:r>
        <w:t xml:space="preserve"> ($</w:t>
      </w:r>
      <w:r w:rsidR="00050F5D">
        <w:t>7</w:t>
      </w:r>
      <w:r>
        <w:t xml:space="preserve"> million)</w:t>
      </w:r>
    </w:p>
    <w:p w14:paraId="2826D243" w14:textId="77777777" w:rsidR="00B07F98" w:rsidRDefault="003E2C7E" w:rsidP="00DB704C">
      <w:r>
        <w:t xml:space="preserve">While the fires significantly altered the travel plans of </w:t>
      </w:r>
      <w:r w:rsidR="2A5D0FBA">
        <w:t xml:space="preserve">some </w:t>
      </w:r>
      <w:r>
        <w:t xml:space="preserve">Australian travellers during the peak holiday season, there were no immediate impacts </w:t>
      </w:r>
      <w:r w:rsidR="00237537">
        <w:t xml:space="preserve">on overseas </w:t>
      </w:r>
      <w:r>
        <w:t>demand</w:t>
      </w:r>
      <w:r w:rsidR="00A81609">
        <w:t xml:space="preserve">. </w:t>
      </w:r>
      <w:r w:rsidR="000F3D92">
        <w:t>For instance</w:t>
      </w:r>
      <w:r>
        <w:t xml:space="preserve">, </w:t>
      </w:r>
      <w:r w:rsidR="000F3D92">
        <w:t>at the peak of the fires in December 2019 and January 2020 there were</w:t>
      </w:r>
      <w:r w:rsidR="00522361">
        <w:t xml:space="preserve"> 1.8 million</w:t>
      </w:r>
      <w:r w:rsidR="000F3D92">
        <w:t xml:space="preserve"> </w:t>
      </w:r>
      <w:r w:rsidR="05978940">
        <w:t xml:space="preserve">international </w:t>
      </w:r>
      <w:r w:rsidR="000F3D92">
        <w:t xml:space="preserve">short term </w:t>
      </w:r>
      <w:r w:rsidR="00522361">
        <w:t>visitor</w:t>
      </w:r>
      <w:r w:rsidR="000F3D92">
        <w:t xml:space="preserve"> arrivals</w:t>
      </w:r>
      <w:r w:rsidR="00522361">
        <w:t>, a</w:t>
      </w:r>
      <w:r w:rsidR="000F3D92">
        <w:t xml:space="preserve"> </w:t>
      </w:r>
      <w:r w:rsidR="00522361">
        <w:t>3</w:t>
      </w:r>
      <w:r w:rsidR="008F05B6">
        <w:t xml:space="preserve"> per cent</w:t>
      </w:r>
      <w:r w:rsidR="00522361">
        <w:t xml:space="preserve"> increase over the same months in the previous years</w:t>
      </w:r>
      <w:r w:rsidR="000F3D92">
        <w:t xml:space="preserve">. </w:t>
      </w:r>
      <w:r w:rsidR="00050F5D">
        <w:t xml:space="preserve">It is likely that overseas demand </w:t>
      </w:r>
      <w:r w:rsidR="66669E07">
        <w:t xml:space="preserve">held </w:t>
      </w:r>
      <w:r w:rsidR="00050F5D">
        <w:t>up over this period because</w:t>
      </w:r>
      <w:r w:rsidR="00B07F98">
        <w:t>:</w:t>
      </w:r>
    </w:p>
    <w:p w14:paraId="745D23B0" w14:textId="77777777" w:rsidR="00522361" w:rsidRDefault="00237537" w:rsidP="00713670">
      <w:pPr>
        <w:pStyle w:val="ListParagraph"/>
        <w:numPr>
          <w:ilvl w:val="0"/>
          <w:numId w:val="33"/>
        </w:numPr>
      </w:pPr>
      <w:r>
        <w:t>overseas trips</w:t>
      </w:r>
      <w:r w:rsidR="00522361">
        <w:t xml:space="preserve"> are planned </w:t>
      </w:r>
      <w:r w:rsidR="00636695">
        <w:t xml:space="preserve">well </w:t>
      </w:r>
      <w:r w:rsidR="00522361">
        <w:t>in advance</w:t>
      </w:r>
    </w:p>
    <w:p w14:paraId="342EFE7D" w14:textId="77777777" w:rsidR="00522361" w:rsidRDefault="00237537" w:rsidP="00713670">
      <w:pPr>
        <w:pStyle w:val="ListParagraph"/>
        <w:numPr>
          <w:ilvl w:val="0"/>
          <w:numId w:val="33"/>
        </w:numPr>
      </w:pPr>
      <w:r>
        <w:t>cancellations are expensive</w:t>
      </w:r>
    </w:p>
    <w:p w14:paraId="09E5DC74" w14:textId="52D34222" w:rsidR="00DB704C" w:rsidRDefault="00110A0A" w:rsidP="00713670">
      <w:pPr>
        <w:pStyle w:val="ListParagraph"/>
        <w:numPr>
          <w:ilvl w:val="0"/>
          <w:numId w:val="33"/>
        </w:numPr>
      </w:pPr>
      <w:r>
        <w:t xml:space="preserve">overseas visitors </w:t>
      </w:r>
      <w:r w:rsidR="397015FA">
        <w:t>mainly v</w:t>
      </w:r>
      <w:r w:rsidR="00522361">
        <w:t>isit capital cities</w:t>
      </w:r>
      <w:r w:rsidR="003E2C7E">
        <w:t>, which</w:t>
      </w:r>
      <w:r w:rsidR="00826C1A">
        <w:t xml:space="preserve">, </w:t>
      </w:r>
      <w:r w:rsidR="003E2C7E">
        <w:t xml:space="preserve">aside from instances of smoke haze </w:t>
      </w:r>
      <w:r w:rsidR="00826C1A">
        <w:t xml:space="preserve">from surrounding regions, </w:t>
      </w:r>
      <w:r w:rsidR="003E2C7E">
        <w:t xml:space="preserve">were relatively unaffected. </w:t>
      </w:r>
      <w:r w:rsidR="00E450E7">
        <w:t>In 2</w:t>
      </w:r>
      <w:r w:rsidR="00B07F98">
        <w:t xml:space="preserve">019, </w:t>
      </w:r>
      <w:r w:rsidR="00F63234">
        <w:t>93</w:t>
      </w:r>
      <w:r w:rsidR="008F05B6">
        <w:t xml:space="preserve"> per cent</w:t>
      </w:r>
      <w:r w:rsidR="00B07F98">
        <w:t xml:space="preserve"> of </w:t>
      </w:r>
      <w:r w:rsidR="00F63234">
        <w:t>international tourists visited capital cities, compared with 33</w:t>
      </w:r>
      <w:r w:rsidR="008F05B6">
        <w:t xml:space="preserve"> per cent</w:t>
      </w:r>
      <w:r w:rsidR="00F63234">
        <w:t xml:space="preserve"> visitation to regional destinations.</w:t>
      </w:r>
    </w:p>
    <w:p w14:paraId="05798719" w14:textId="77777777" w:rsidR="002A46AC" w:rsidRPr="00616DF4" w:rsidRDefault="4C1FA704" w:rsidP="00F135CE">
      <w:pPr>
        <w:pStyle w:val="Heading2"/>
      </w:pPr>
      <w:r>
        <w:t>A</w:t>
      </w:r>
      <w:r w:rsidR="00195D40">
        <w:t xml:space="preserve"> sudden halt in international visitors</w:t>
      </w:r>
    </w:p>
    <w:p w14:paraId="200F1DC3" w14:textId="6F027E21" w:rsidR="002A46AC" w:rsidRPr="00616DF4" w:rsidRDefault="00D84A99" w:rsidP="002A46AC">
      <w:r>
        <w:t>I</w:t>
      </w:r>
      <w:r w:rsidR="64177D1E">
        <w:t xml:space="preserve">nternational </w:t>
      </w:r>
      <w:r w:rsidR="00A4239F">
        <w:t xml:space="preserve">disruption </w:t>
      </w:r>
      <w:r>
        <w:t xml:space="preserve">from Covid-19 </w:t>
      </w:r>
      <w:r w:rsidR="7E82BC82">
        <w:t>started</w:t>
      </w:r>
      <w:r w:rsidR="00CF1CA6">
        <w:t xml:space="preserve"> on 1 February 2020 when </w:t>
      </w:r>
      <w:r w:rsidR="00722CAC" w:rsidRPr="00616DF4">
        <w:t>Aust</w:t>
      </w:r>
      <w:r w:rsidR="00A56CC2">
        <w:t>ralia closed</w:t>
      </w:r>
      <w:r w:rsidR="00722CAC">
        <w:t xml:space="preserve"> </w:t>
      </w:r>
      <w:r w:rsidR="13D31F1D">
        <w:t xml:space="preserve">its </w:t>
      </w:r>
      <w:r w:rsidR="00722CAC" w:rsidRPr="00616DF4">
        <w:t xml:space="preserve">border with China </w:t>
      </w:r>
      <w:r w:rsidR="00CF1CA6">
        <w:t xml:space="preserve">in line with recommendations by Australia’s chief medical officer. As the </w:t>
      </w:r>
      <w:r w:rsidR="002A46AC" w:rsidRPr="00616DF4">
        <w:t xml:space="preserve">pandemic began to </w:t>
      </w:r>
      <w:r w:rsidR="002A46AC">
        <w:t>spread</w:t>
      </w:r>
      <w:r w:rsidR="00CF1CA6">
        <w:t>, t</w:t>
      </w:r>
      <w:r w:rsidR="002A46AC" w:rsidRPr="00616DF4">
        <w:t>ravel was blocked from Iran (29 February 2020), South Korea (5 March 2020)</w:t>
      </w:r>
      <w:r w:rsidR="00CF1CA6">
        <w:t xml:space="preserve"> and </w:t>
      </w:r>
      <w:r w:rsidR="002A46AC" w:rsidRPr="00616DF4">
        <w:t>Italy (11 March 2020), bef</w:t>
      </w:r>
      <w:r w:rsidR="00872964">
        <w:t xml:space="preserve">ore international borders </w:t>
      </w:r>
      <w:r w:rsidR="002A46AC" w:rsidRPr="00616DF4">
        <w:t xml:space="preserve">closed to all arrivals except </w:t>
      </w:r>
      <w:r w:rsidR="002A46AC">
        <w:t xml:space="preserve">Australian </w:t>
      </w:r>
      <w:r w:rsidR="002A46AC" w:rsidRPr="00616DF4">
        <w:t xml:space="preserve">citizens and </w:t>
      </w:r>
      <w:r w:rsidR="002A46AC">
        <w:lastRenderedPageBreak/>
        <w:t xml:space="preserve">permanent </w:t>
      </w:r>
      <w:r w:rsidR="002A46AC" w:rsidRPr="00616DF4">
        <w:t xml:space="preserve">residents on </w:t>
      </w:r>
      <w:r w:rsidR="00713670">
        <w:t>2</w:t>
      </w:r>
      <w:r w:rsidR="002A46AC" w:rsidRPr="00616DF4">
        <w:t>0 March 2020. Hotel quarantine became mandatory for all overseas arrivals from 28 March 2020.</w:t>
      </w:r>
    </w:p>
    <w:p w14:paraId="7EF573F7" w14:textId="507CA4D5" w:rsidR="002A46AC" w:rsidRDefault="002A46AC" w:rsidP="002A46AC">
      <w:r>
        <w:t>The result of th</w:t>
      </w:r>
      <w:r w:rsidR="1476F0F1">
        <w:t>e</w:t>
      </w:r>
      <w:r w:rsidR="2AF517D9">
        <w:t>se</w:t>
      </w:r>
      <w:r w:rsidR="1476F0F1">
        <w:t xml:space="preserve"> border closures</w:t>
      </w:r>
      <w:r>
        <w:t xml:space="preserve"> w</w:t>
      </w:r>
      <w:r w:rsidR="0059167E">
        <w:t>as</w:t>
      </w:r>
      <w:r>
        <w:t xml:space="preserve"> </w:t>
      </w:r>
      <w:r w:rsidR="46B33BCA">
        <w:t xml:space="preserve">a </w:t>
      </w:r>
      <w:r>
        <w:t>rapid fall</w:t>
      </w:r>
      <w:r w:rsidRPr="00616DF4">
        <w:t xml:space="preserve"> in s</w:t>
      </w:r>
      <w:r>
        <w:t xml:space="preserve">hort term visitor arrivals </w:t>
      </w:r>
      <w:r w:rsidR="01F92C45">
        <w:t>in</w:t>
      </w:r>
      <w:r>
        <w:t xml:space="preserve"> February 2020</w:t>
      </w:r>
      <w:r w:rsidR="43F5D5CF">
        <w:t xml:space="preserve">. Visitor arrivals fell further through March </w:t>
      </w:r>
      <w:r w:rsidR="2D36D16A">
        <w:t>2020</w:t>
      </w:r>
      <w:r>
        <w:t xml:space="preserve"> before </w:t>
      </w:r>
      <w:proofErr w:type="gramStart"/>
      <w:r>
        <w:t>flat</w:t>
      </w:r>
      <w:r w:rsidR="16FF4DC2">
        <w:t>-</w:t>
      </w:r>
      <w:r>
        <w:t>lining</w:t>
      </w:r>
      <w:proofErr w:type="gramEnd"/>
      <w:r>
        <w:t xml:space="preserve"> </w:t>
      </w:r>
      <w:r w:rsidR="0745BF2B">
        <w:t>at</w:t>
      </w:r>
      <w:r>
        <w:t xml:space="preserve"> historically low levels from April 2020 onwards. </w:t>
      </w:r>
    </w:p>
    <w:p w14:paraId="33F49A98" w14:textId="77777777" w:rsidR="00743844" w:rsidRDefault="00743844" w:rsidP="00743844">
      <w:r>
        <w:t xml:space="preserve">The impacts of the sudden loss of international visitors were felt immediately, especially by parts of the industry that had a high reliance on international tourism. These included the events and aviation sector, travel agencies, tour operators and cruise lines. </w:t>
      </w:r>
    </w:p>
    <w:p w14:paraId="296EB86D" w14:textId="77777777" w:rsidR="006C0725" w:rsidRPr="005961BD" w:rsidRDefault="006C0725" w:rsidP="006C0725">
      <w:pPr>
        <w:pStyle w:val="Caption"/>
        <w:rPr>
          <w:b/>
          <w:i w:val="0"/>
          <w:iCs w:val="0"/>
          <w:sz w:val="22"/>
          <w:szCs w:val="22"/>
        </w:rPr>
      </w:pPr>
      <w:r w:rsidRPr="005961BD">
        <w:rPr>
          <w:b/>
          <w:i w:val="0"/>
          <w:iCs w:val="0"/>
          <w:sz w:val="22"/>
          <w:szCs w:val="22"/>
        </w:rPr>
        <w:t xml:space="preserve">Figure </w:t>
      </w:r>
      <w:r w:rsidR="00CF1CA6" w:rsidRPr="005961BD">
        <w:rPr>
          <w:b/>
          <w:i w:val="0"/>
          <w:iCs w:val="0"/>
          <w:sz w:val="22"/>
          <w:szCs w:val="22"/>
        </w:rPr>
        <w:t>2</w:t>
      </w:r>
      <w:r w:rsidRPr="005961BD">
        <w:rPr>
          <w:b/>
          <w:i w:val="0"/>
          <w:iCs w:val="0"/>
          <w:sz w:val="22"/>
          <w:szCs w:val="22"/>
        </w:rPr>
        <w:t xml:space="preserve"> </w:t>
      </w:r>
      <w:r w:rsidR="007F37CE" w:rsidRPr="005961BD">
        <w:rPr>
          <w:b/>
          <w:i w:val="0"/>
          <w:iCs w:val="0"/>
          <w:sz w:val="22"/>
          <w:szCs w:val="22"/>
        </w:rPr>
        <w:t>–</w:t>
      </w:r>
      <w:r w:rsidRPr="005961BD">
        <w:rPr>
          <w:b/>
          <w:i w:val="0"/>
          <w:iCs w:val="0"/>
          <w:sz w:val="22"/>
          <w:szCs w:val="22"/>
        </w:rPr>
        <w:t xml:space="preserve"> Short term visitor arrivals in 2020 compared with </w:t>
      </w:r>
      <w:r w:rsidR="00BC74BC" w:rsidRPr="005961BD">
        <w:rPr>
          <w:b/>
          <w:i w:val="0"/>
          <w:iCs w:val="0"/>
          <w:sz w:val="22"/>
          <w:szCs w:val="22"/>
        </w:rPr>
        <w:t>corresponding period in 2019</w:t>
      </w:r>
    </w:p>
    <w:p w14:paraId="17A60471" w14:textId="07073DE2" w:rsidR="002A46AC" w:rsidRPr="00616DF4" w:rsidRDefault="002341A6" w:rsidP="002A46AC">
      <w:r>
        <w:rPr>
          <w:noProof/>
          <w:lang w:eastAsia="en-AU"/>
        </w:rPr>
        <w:drawing>
          <wp:inline distT="0" distB="0" distL="0" distR="0" wp14:anchorId="67435F95" wp14:editId="4155C662">
            <wp:extent cx="5565064" cy="2249406"/>
            <wp:effectExtent l="0" t="0" r="0" b="0"/>
            <wp:docPr id="19" name="Picture 19" descr="Figure 2 showing fall in short term visitor arrivals from February 2020 to December 2020. Between the months of April 2020 to December 2020, falls were close to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Figure 2 showing fall in short term visitor arrivals from February 2020 to December 2020. Between the months of April 2020 to December 2020, falls were close to 1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4123" cy="2265194"/>
                    </a:xfrm>
                    <a:prstGeom prst="rect">
                      <a:avLst/>
                    </a:prstGeom>
                    <a:noFill/>
                  </pic:spPr>
                </pic:pic>
              </a:graphicData>
            </a:graphic>
          </wp:inline>
        </w:drawing>
      </w:r>
    </w:p>
    <w:p w14:paraId="57052A88" w14:textId="77777777" w:rsidR="002A46AC" w:rsidRPr="00616C9E" w:rsidRDefault="00616C9E" w:rsidP="002A46AC">
      <w:pPr>
        <w:rPr>
          <w:i/>
          <w:sz w:val="18"/>
          <w:szCs w:val="18"/>
        </w:rPr>
      </w:pPr>
      <w:r>
        <w:rPr>
          <w:i/>
          <w:sz w:val="18"/>
          <w:szCs w:val="18"/>
        </w:rPr>
        <w:t>(Source:</w:t>
      </w:r>
      <w:r w:rsidR="00AD0706">
        <w:rPr>
          <w:i/>
          <w:sz w:val="18"/>
          <w:szCs w:val="18"/>
        </w:rPr>
        <w:t xml:space="preserve"> Australian Bureau of Statistics</w:t>
      </w:r>
      <w:r w:rsidRPr="00271757">
        <w:rPr>
          <w:i/>
          <w:sz w:val="18"/>
          <w:szCs w:val="18"/>
        </w:rPr>
        <w:t xml:space="preserve">, </w:t>
      </w:r>
      <w:hyperlink r:id="rId17" w:history="1">
        <w:r w:rsidR="00AD0706" w:rsidRPr="00AD0706">
          <w:rPr>
            <w:rStyle w:val="Hyperlink"/>
            <w:i/>
            <w:sz w:val="18"/>
            <w:szCs w:val="18"/>
          </w:rPr>
          <w:t>Overseas Arrivals and Departures, Australia</w:t>
        </w:r>
      </w:hyperlink>
      <w:r w:rsidRPr="00271757">
        <w:rPr>
          <w:i/>
          <w:sz w:val="18"/>
          <w:szCs w:val="18"/>
        </w:rPr>
        <w:t xml:space="preserve">, </w:t>
      </w:r>
      <w:r>
        <w:rPr>
          <w:i/>
          <w:sz w:val="18"/>
          <w:szCs w:val="18"/>
        </w:rPr>
        <w:t>accessed</w:t>
      </w:r>
      <w:r w:rsidRPr="00271757">
        <w:rPr>
          <w:i/>
          <w:sz w:val="18"/>
          <w:szCs w:val="18"/>
        </w:rPr>
        <w:t xml:space="preserve"> </w:t>
      </w:r>
      <w:r w:rsidR="00AD0706">
        <w:rPr>
          <w:i/>
          <w:sz w:val="18"/>
          <w:szCs w:val="18"/>
        </w:rPr>
        <w:t>June</w:t>
      </w:r>
      <w:r>
        <w:rPr>
          <w:i/>
          <w:sz w:val="18"/>
          <w:szCs w:val="18"/>
        </w:rPr>
        <w:t xml:space="preserve"> 2021</w:t>
      </w:r>
      <w:r w:rsidRPr="00271757">
        <w:rPr>
          <w:i/>
          <w:sz w:val="18"/>
          <w:szCs w:val="18"/>
        </w:rPr>
        <w:t>)</w:t>
      </w:r>
    </w:p>
    <w:p w14:paraId="4306BC01" w14:textId="0B30E160" w:rsidR="006D3D00" w:rsidRPr="006D3D00" w:rsidRDefault="006D3D00" w:rsidP="00713670">
      <w:pPr>
        <w:pStyle w:val="Heading3"/>
      </w:pPr>
      <w:r>
        <w:t xml:space="preserve">Impact on </w:t>
      </w:r>
      <w:r w:rsidR="00743844">
        <w:t>A</w:t>
      </w:r>
      <w:r>
        <w:t>irfreight</w:t>
      </w:r>
    </w:p>
    <w:p w14:paraId="746754AB" w14:textId="4A9BDD52" w:rsidR="006D3D00" w:rsidRDefault="006D3D00" w:rsidP="006D3D00">
      <w:r>
        <w:t xml:space="preserve">The freeze on international visitors and resultant halt of international flights had a devastating flow-on affect to global trade. Before the pandemic, over 80% of Australia’s airfreight was carried in the cargo </w:t>
      </w:r>
      <w:r w:rsidR="00E83297">
        <w:t>hold</w:t>
      </w:r>
      <w:r>
        <w:t xml:space="preserve"> of passenger aircraft with the remaining 20% carried by dedicated cargo aircraft. The sudden cessation of international passenger movements meant that exports such as animal products, vegetable products, beverage</w:t>
      </w:r>
      <w:r w:rsidR="00E83297">
        <w:t>s</w:t>
      </w:r>
      <w:r>
        <w:t xml:space="preserve"> and gold were at risk, especially to Asian markets. </w:t>
      </w:r>
    </w:p>
    <w:p w14:paraId="3B2809F3" w14:textId="77777777" w:rsidR="00D774E3" w:rsidRPr="00616C9E" w:rsidRDefault="00D774E3" w:rsidP="00D774E3">
      <w:pPr>
        <w:rPr>
          <w:i/>
          <w:sz w:val="18"/>
          <w:szCs w:val="18"/>
        </w:rPr>
      </w:pPr>
      <w:r>
        <w:rPr>
          <w:i/>
          <w:sz w:val="18"/>
          <w:szCs w:val="18"/>
        </w:rPr>
        <w:t>(Source: Infrastructure Partnerships Australia</w:t>
      </w:r>
      <w:r w:rsidRPr="00271757">
        <w:rPr>
          <w:i/>
          <w:sz w:val="18"/>
          <w:szCs w:val="18"/>
        </w:rPr>
        <w:t xml:space="preserve">, </w:t>
      </w:r>
      <w:hyperlink r:id="rId18" w:history="1">
        <w:r w:rsidRPr="00D774E3">
          <w:rPr>
            <w:rStyle w:val="Hyperlink"/>
            <w:i/>
            <w:sz w:val="18"/>
            <w:szCs w:val="18"/>
          </w:rPr>
          <w:t>2019 International Airfreight Indicator</w:t>
        </w:r>
      </w:hyperlink>
      <w:r w:rsidRPr="00271757">
        <w:rPr>
          <w:i/>
          <w:sz w:val="18"/>
          <w:szCs w:val="18"/>
        </w:rPr>
        <w:t xml:space="preserve">, </w:t>
      </w:r>
      <w:r>
        <w:rPr>
          <w:i/>
          <w:sz w:val="18"/>
          <w:szCs w:val="18"/>
        </w:rPr>
        <w:t>accessed</w:t>
      </w:r>
      <w:r w:rsidRPr="00271757">
        <w:rPr>
          <w:i/>
          <w:sz w:val="18"/>
          <w:szCs w:val="18"/>
        </w:rPr>
        <w:t xml:space="preserve"> </w:t>
      </w:r>
      <w:r>
        <w:rPr>
          <w:i/>
          <w:sz w:val="18"/>
          <w:szCs w:val="18"/>
        </w:rPr>
        <w:t>June 2021</w:t>
      </w:r>
      <w:r w:rsidRPr="00271757">
        <w:rPr>
          <w:i/>
          <w:sz w:val="18"/>
          <w:szCs w:val="18"/>
        </w:rPr>
        <w:t>)</w:t>
      </w:r>
    </w:p>
    <w:p w14:paraId="03489F67" w14:textId="0A0F8A8A" w:rsidR="004B2B81" w:rsidRDefault="006D3D00" w:rsidP="006D3D00">
      <w:r>
        <w:t>The Australian Government’s International Freight Assistance Mechanism (IFAM) was established to keep global air links open in response to the C</w:t>
      </w:r>
      <w:r w:rsidR="0098577A">
        <w:t>ovid</w:t>
      </w:r>
      <w:r>
        <w:t>-19 pandemic. Since April 2020, IFAM has reconnected 9 Australian ports to 58 international destinations and helped the movement of high-value perishable Australian products reach existing international customers. The program has also enabled the import of nationally important goods, aiding Australia’s pandemic response. IFAM has helped protect hard fought market share for Australian businesses, while providing them with time to align their operating models to ‘new-look’ supply chains.</w:t>
      </w:r>
    </w:p>
    <w:p w14:paraId="74BB89C6" w14:textId="16779253" w:rsidR="002A46AC" w:rsidRDefault="00EB537E" w:rsidP="002A46AC">
      <w:r>
        <w:t>T</w:t>
      </w:r>
      <w:r w:rsidR="002A46AC">
        <w:t xml:space="preserve">he downturn </w:t>
      </w:r>
      <w:r w:rsidR="4C8766F2">
        <w:t xml:space="preserve">in </w:t>
      </w:r>
      <w:r>
        <w:t xml:space="preserve">international </w:t>
      </w:r>
      <w:r w:rsidR="00167770">
        <w:t>visitors</w:t>
      </w:r>
      <w:r w:rsidR="2588AC9F">
        <w:t xml:space="preserve"> </w:t>
      </w:r>
      <w:r w:rsidR="6AE18733">
        <w:t>impacted the industry</w:t>
      </w:r>
      <w:r w:rsidR="002A46AC">
        <w:t xml:space="preserve"> in different ways. </w:t>
      </w:r>
      <w:r w:rsidR="002A46AC" w:rsidRPr="0015761A">
        <w:t>There was particular concern for businesses in bushfire</w:t>
      </w:r>
      <w:r w:rsidR="00E83297">
        <w:t>-</w:t>
      </w:r>
      <w:r w:rsidR="002A46AC" w:rsidRPr="0015761A">
        <w:t>affected regions that had already faced prolonged loss of income</w:t>
      </w:r>
      <w:r w:rsidR="363FC5FB">
        <w:t>,</w:t>
      </w:r>
      <w:r w:rsidR="002A46AC">
        <w:t xml:space="preserve"> and in many cases had missed out on their peak holiday season</w:t>
      </w:r>
      <w:r w:rsidR="002A46AC" w:rsidRPr="0015761A">
        <w:t xml:space="preserve">. </w:t>
      </w:r>
      <w:r w:rsidR="0E6DE441">
        <w:t>Domestic and international v</w:t>
      </w:r>
      <w:r w:rsidR="564806BC">
        <w:t>isi</w:t>
      </w:r>
      <w:r w:rsidR="7F14D6CB">
        <w:t>t</w:t>
      </w:r>
      <w:r w:rsidR="564806BC">
        <w:t>ation</w:t>
      </w:r>
      <w:r w:rsidR="00DE617F">
        <w:t xml:space="preserve"> to </w:t>
      </w:r>
      <w:r w:rsidR="00660935">
        <w:lastRenderedPageBreak/>
        <w:t xml:space="preserve">Australia’s </w:t>
      </w:r>
      <w:r w:rsidR="00DE617F">
        <w:t xml:space="preserve">gateway cities </w:t>
      </w:r>
      <w:r w:rsidR="00660935">
        <w:t xml:space="preserve">of </w:t>
      </w:r>
      <w:r w:rsidR="00DE617F">
        <w:t xml:space="preserve">Sydney, Melbourne, </w:t>
      </w:r>
      <w:proofErr w:type="gramStart"/>
      <w:r w:rsidR="00DE617F">
        <w:t>Brisbane</w:t>
      </w:r>
      <w:proofErr w:type="gramEnd"/>
      <w:r w:rsidR="00DE617F">
        <w:t xml:space="preserve"> and Perth</w:t>
      </w:r>
      <w:r w:rsidR="002A46AC">
        <w:t xml:space="preserve"> slumped as international tourism came to a standstill</w:t>
      </w:r>
      <w:r w:rsidR="00E83297">
        <w:t>,</w:t>
      </w:r>
      <w:r w:rsidR="002A46AC">
        <w:t xml:space="preserve"> and sporting</w:t>
      </w:r>
      <w:r w:rsidR="00BF5D5B">
        <w:t xml:space="preserve"> and business</w:t>
      </w:r>
      <w:r w:rsidR="002A46AC">
        <w:t xml:space="preserve"> events were cancelled. Internationally connected regional </w:t>
      </w:r>
      <w:r w:rsidR="002A46AC" w:rsidRPr="0015761A">
        <w:t>destinations</w:t>
      </w:r>
      <w:r w:rsidR="002A46AC">
        <w:t xml:space="preserve"> were also highly vulnerable</w:t>
      </w:r>
      <w:r w:rsidR="00743844">
        <w:t>, with some</w:t>
      </w:r>
      <w:r w:rsidR="002A46AC">
        <w:t xml:space="preserve"> </w:t>
      </w:r>
      <w:proofErr w:type="gramStart"/>
      <w:r w:rsidR="00743844">
        <w:t>h</w:t>
      </w:r>
      <w:r w:rsidR="002A46AC" w:rsidRPr="0015761A">
        <w:t>otels  advertising</w:t>
      </w:r>
      <w:proofErr w:type="gramEnd"/>
      <w:r w:rsidR="002A46AC" w:rsidRPr="0015761A">
        <w:t xml:space="preserve"> rooms at half the normal</w:t>
      </w:r>
      <w:r w:rsidR="000F3D92">
        <w:t xml:space="preserve"> </w:t>
      </w:r>
      <w:r w:rsidR="000F3D92" w:rsidRPr="00616C9E">
        <w:t>price</w:t>
      </w:r>
      <w:r w:rsidR="002A46AC">
        <w:t xml:space="preserve">. </w:t>
      </w:r>
    </w:p>
    <w:p w14:paraId="0FEE7C9D" w14:textId="77777777" w:rsidR="00BA3724" w:rsidRPr="005961BD" w:rsidRDefault="00A56811" w:rsidP="00BA3724">
      <w:pPr>
        <w:pStyle w:val="Caption"/>
        <w:rPr>
          <w:b/>
          <w:i w:val="0"/>
          <w:iCs w:val="0"/>
          <w:sz w:val="22"/>
          <w:szCs w:val="22"/>
        </w:rPr>
      </w:pPr>
      <w:r w:rsidRPr="005961BD">
        <w:rPr>
          <w:b/>
          <w:i w:val="0"/>
          <w:iCs w:val="0"/>
          <w:sz w:val="22"/>
          <w:szCs w:val="22"/>
        </w:rPr>
        <w:t>Table 2</w:t>
      </w:r>
      <w:r w:rsidR="00BA3724" w:rsidRPr="005961BD">
        <w:rPr>
          <w:b/>
          <w:i w:val="0"/>
          <w:iCs w:val="0"/>
          <w:sz w:val="22"/>
          <w:szCs w:val="22"/>
        </w:rPr>
        <w:t xml:space="preserve"> </w:t>
      </w:r>
      <w:r w:rsidR="00ED6A81" w:rsidRPr="005961BD">
        <w:rPr>
          <w:b/>
          <w:i w:val="0"/>
          <w:iCs w:val="0"/>
          <w:sz w:val="22"/>
          <w:szCs w:val="22"/>
        </w:rPr>
        <w:t>–</w:t>
      </w:r>
      <w:r w:rsidR="00BA3724" w:rsidRPr="005961BD">
        <w:rPr>
          <w:b/>
          <w:i w:val="0"/>
          <w:iCs w:val="0"/>
          <w:sz w:val="22"/>
          <w:szCs w:val="22"/>
        </w:rPr>
        <w:t xml:space="preserve"> </w:t>
      </w:r>
      <w:r w:rsidR="00C7323E" w:rsidRPr="005961BD">
        <w:rPr>
          <w:b/>
          <w:i w:val="0"/>
          <w:iCs w:val="0"/>
          <w:sz w:val="22"/>
          <w:szCs w:val="22"/>
        </w:rPr>
        <w:t xml:space="preserve">Reliance on </w:t>
      </w:r>
      <w:r w:rsidR="00ED6A81" w:rsidRPr="005961BD">
        <w:rPr>
          <w:b/>
          <w:i w:val="0"/>
          <w:iCs w:val="0"/>
          <w:sz w:val="22"/>
          <w:szCs w:val="22"/>
        </w:rPr>
        <w:t>international tourism</w:t>
      </w:r>
      <w:r w:rsidR="00C7323E" w:rsidRPr="005961BD">
        <w:rPr>
          <w:b/>
          <w:i w:val="0"/>
          <w:iCs w:val="0"/>
          <w:sz w:val="22"/>
          <w:szCs w:val="22"/>
        </w:rPr>
        <w:t xml:space="preserve"> for selected regions</w:t>
      </w:r>
      <w:r w:rsidR="00BC74BC" w:rsidRPr="005961BD">
        <w:rPr>
          <w:b/>
          <w:i w:val="0"/>
          <w:iCs w:val="0"/>
          <w:sz w:val="22"/>
          <w:szCs w:val="22"/>
        </w:rPr>
        <w:t>, 2019</w:t>
      </w:r>
    </w:p>
    <w:tbl>
      <w:tblPr>
        <w:tblStyle w:val="GridTable1Light"/>
        <w:tblW w:w="9918" w:type="dxa"/>
        <w:tblLook w:val="04A0" w:firstRow="1" w:lastRow="0" w:firstColumn="1" w:lastColumn="0" w:noHBand="0" w:noVBand="1"/>
      </w:tblPr>
      <w:tblGrid>
        <w:gridCol w:w="3681"/>
        <w:gridCol w:w="2835"/>
        <w:gridCol w:w="1701"/>
        <w:gridCol w:w="1701"/>
      </w:tblGrid>
      <w:tr w:rsidR="007B2D02" w:rsidRPr="007B2D02" w14:paraId="5ED19A25" w14:textId="77777777" w:rsidTr="00D84A99">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4B2F5ABE" w14:textId="231AA703" w:rsidR="007B2D02" w:rsidRPr="007B2D02" w:rsidRDefault="007B2D02" w:rsidP="00843D79">
            <w:pPr>
              <w:jc w:val="center"/>
              <w:rPr>
                <w:rFonts w:ascii="Calibri" w:eastAsia="Times New Roman" w:hAnsi="Calibri" w:cs="Times New Roman"/>
                <w:b w:val="0"/>
                <w:color w:val="000000" w:themeColor="text1"/>
                <w:lang w:eastAsia="en-AU"/>
              </w:rPr>
            </w:pPr>
            <w:r w:rsidRPr="007B2D02">
              <w:rPr>
                <w:rFonts w:ascii="Calibri" w:eastAsia="Times New Roman" w:hAnsi="Calibri" w:cs="Times New Roman"/>
                <w:b w:val="0"/>
                <w:color w:val="000000" w:themeColor="text1"/>
                <w:lang w:eastAsia="en-AU"/>
              </w:rPr>
              <w:t>Region type</w:t>
            </w:r>
          </w:p>
        </w:tc>
        <w:tc>
          <w:tcPr>
            <w:tcW w:w="2835" w:type="dxa"/>
            <w:noWrap/>
            <w:hideMark/>
          </w:tcPr>
          <w:p w14:paraId="72B8FE57" w14:textId="77777777" w:rsidR="007B2D02" w:rsidRPr="007B2D02" w:rsidRDefault="007B2D02" w:rsidP="00843D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themeColor="text1"/>
                <w:lang w:eastAsia="en-AU"/>
              </w:rPr>
            </w:pPr>
            <w:r w:rsidRPr="007B2D02">
              <w:rPr>
                <w:rFonts w:ascii="Calibri" w:eastAsia="Times New Roman" w:hAnsi="Calibri" w:cs="Times New Roman"/>
                <w:b w:val="0"/>
                <w:color w:val="000000" w:themeColor="text1"/>
                <w:lang w:eastAsia="en-AU"/>
              </w:rPr>
              <w:t>Region name</w:t>
            </w:r>
          </w:p>
        </w:tc>
        <w:tc>
          <w:tcPr>
            <w:tcW w:w="1701" w:type="dxa"/>
            <w:hideMark/>
          </w:tcPr>
          <w:p w14:paraId="3E024F35" w14:textId="77777777" w:rsidR="007B2D02" w:rsidRPr="007B2D02" w:rsidRDefault="007B2D02" w:rsidP="00843D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themeColor="text1"/>
                <w:lang w:eastAsia="en-AU"/>
              </w:rPr>
            </w:pPr>
            <w:proofErr w:type="gramStart"/>
            <w:r w:rsidRPr="007B2D02">
              <w:rPr>
                <w:rFonts w:ascii="Calibri" w:eastAsia="Times New Roman" w:hAnsi="Calibri" w:cs="Times New Roman"/>
                <w:b w:val="0"/>
                <w:color w:val="000000" w:themeColor="text1"/>
                <w:lang w:eastAsia="en-AU"/>
              </w:rPr>
              <w:t>Total</w:t>
            </w:r>
            <w:proofErr w:type="gramEnd"/>
            <w:r w:rsidRPr="007B2D02">
              <w:rPr>
                <w:rFonts w:ascii="Calibri" w:eastAsia="Times New Roman" w:hAnsi="Calibri" w:cs="Times New Roman"/>
                <w:b w:val="0"/>
                <w:color w:val="000000" w:themeColor="text1"/>
                <w:lang w:eastAsia="en-AU"/>
              </w:rPr>
              <w:t xml:space="preserve"> spend </w:t>
            </w:r>
            <w:r w:rsidRPr="007B2D02">
              <w:rPr>
                <w:rFonts w:ascii="Calibri" w:eastAsia="Times New Roman" w:hAnsi="Calibri" w:cs="Times New Roman"/>
                <w:b w:val="0"/>
                <w:bCs w:val="0"/>
                <w:color w:val="000000" w:themeColor="text1"/>
                <w:lang w:eastAsia="en-AU"/>
              </w:rPr>
              <w:t>in</w:t>
            </w:r>
            <w:r w:rsidRPr="007B2D02">
              <w:rPr>
                <w:rFonts w:ascii="Calibri" w:eastAsia="Times New Roman" w:hAnsi="Calibri" w:cs="Times New Roman"/>
                <w:b w:val="0"/>
                <w:color w:val="000000" w:themeColor="text1"/>
                <w:lang w:eastAsia="en-AU"/>
              </w:rPr>
              <w:t xml:space="preserve"> 2019 ($m)</w:t>
            </w:r>
          </w:p>
        </w:tc>
        <w:tc>
          <w:tcPr>
            <w:tcW w:w="1701" w:type="dxa"/>
            <w:hideMark/>
          </w:tcPr>
          <w:p w14:paraId="79A58AFA" w14:textId="77777777" w:rsidR="007B2D02" w:rsidRPr="007B2D02" w:rsidRDefault="007B2D02" w:rsidP="00843D7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themeColor="text1"/>
                <w:lang w:eastAsia="en-AU"/>
              </w:rPr>
            </w:pPr>
            <w:r w:rsidRPr="007B2D02">
              <w:rPr>
                <w:rFonts w:ascii="Calibri" w:eastAsia="Times New Roman" w:hAnsi="Calibri" w:cs="Times New Roman"/>
                <w:b w:val="0"/>
                <w:color w:val="000000" w:themeColor="text1"/>
                <w:lang w:eastAsia="en-AU"/>
              </w:rPr>
              <w:t>Share of spend from international</w:t>
            </w:r>
          </w:p>
        </w:tc>
      </w:tr>
      <w:tr w:rsidR="00AB3A23" w:rsidRPr="007B2D02" w14:paraId="651AA1E4" w14:textId="77777777" w:rsidTr="00D84A99">
        <w:trPr>
          <w:trHeight w:val="300"/>
        </w:trPr>
        <w:tc>
          <w:tcPr>
            <w:cnfStyle w:val="001000000000" w:firstRow="0" w:lastRow="0" w:firstColumn="1" w:lastColumn="0" w:oddVBand="0" w:evenVBand="0" w:oddHBand="0" w:evenHBand="0" w:firstRowFirstColumn="0" w:firstRowLastColumn="0" w:lastRowFirstColumn="0" w:lastRowLastColumn="0"/>
            <w:tcW w:w="3681" w:type="dxa"/>
            <w:vMerge w:val="restart"/>
            <w:hideMark/>
          </w:tcPr>
          <w:p w14:paraId="78BCBCF8" w14:textId="77777777" w:rsidR="00AB3A23" w:rsidRPr="007B2D02" w:rsidRDefault="00AB3A23">
            <w:pPr>
              <w:rPr>
                <w:rFonts w:ascii="Calibri" w:eastAsia="Times New Roman" w:hAnsi="Calibri" w:cs="Times New Roman"/>
                <w:b w:val="0"/>
                <w:bCs w:val="0"/>
                <w:color w:val="000000" w:themeColor="text1"/>
                <w:lang w:eastAsia="en-AU"/>
              </w:rPr>
            </w:pPr>
            <w:r w:rsidRPr="007B2D02">
              <w:rPr>
                <w:rFonts w:ascii="Calibri" w:eastAsia="Times New Roman" w:hAnsi="Calibri" w:cs="Times New Roman"/>
                <w:color w:val="000000" w:themeColor="text1"/>
                <w:lang w:eastAsia="en-AU"/>
              </w:rPr>
              <w:t>Regions with over 20% reliance on international spend – 10 regions</w:t>
            </w:r>
          </w:p>
          <w:p w14:paraId="2A136B10" w14:textId="7BAA64AF" w:rsidR="00AB3A23" w:rsidRPr="007B2D02" w:rsidRDefault="00AB3A23" w:rsidP="00C7323E">
            <w:pPr>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 </w:t>
            </w:r>
          </w:p>
        </w:tc>
        <w:tc>
          <w:tcPr>
            <w:tcW w:w="2835" w:type="dxa"/>
            <w:noWrap/>
            <w:hideMark/>
          </w:tcPr>
          <w:p w14:paraId="45FF14B0" w14:textId="77777777" w:rsidR="00AB3A23" w:rsidRPr="007B2D02" w:rsidRDefault="00AB3A23" w:rsidP="00C732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Sydney</w:t>
            </w:r>
          </w:p>
        </w:tc>
        <w:tc>
          <w:tcPr>
            <w:tcW w:w="1701" w:type="dxa"/>
            <w:noWrap/>
            <w:hideMark/>
          </w:tcPr>
          <w:p w14:paraId="65C96F8A" w14:textId="77777777" w:rsidR="00AB3A23" w:rsidRPr="007B2D02" w:rsidRDefault="00AB3A23" w:rsidP="00C7323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22,814</w:t>
            </w:r>
          </w:p>
        </w:tc>
        <w:tc>
          <w:tcPr>
            <w:tcW w:w="1701" w:type="dxa"/>
            <w:noWrap/>
            <w:hideMark/>
          </w:tcPr>
          <w:p w14:paraId="7BC8E589" w14:textId="77777777" w:rsidR="00AB3A23" w:rsidRPr="007B2D02" w:rsidRDefault="00AB3A23" w:rsidP="00C7323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45%</w:t>
            </w:r>
          </w:p>
        </w:tc>
      </w:tr>
      <w:tr w:rsidR="00AB3A23" w:rsidRPr="007B2D02" w14:paraId="74C667B5" w14:textId="77777777" w:rsidTr="00D84A99">
        <w:trPr>
          <w:trHeight w:val="30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49C1A209" w14:textId="58A623EA" w:rsidR="00AB3A23" w:rsidRPr="007B2D02" w:rsidRDefault="00AB3A23" w:rsidP="00C7323E">
            <w:pPr>
              <w:rPr>
                <w:rFonts w:ascii="Calibri" w:eastAsia="Times New Roman" w:hAnsi="Calibri" w:cs="Times New Roman"/>
                <w:color w:val="000000" w:themeColor="text1"/>
                <w:lang w:eastAsia="en-AU"/>
              </w:rPr>
            </w:pPr>
          </w:p>
        </w:tc>
        <w:tc>
          <w:tcPr>
            <w:tcW w:w="2835" w:type="dxa"/>
            <w:noWrap/>
            <w:hideMark/>
          </w:tcPr>
          <w:p w14:paraId="247216ED" w14:textId="77777777" w:rsidR="00AB3A23" w:rsidRPr="007B2D02" w:rsidRDefault="00AB3A23" w:rsidP="00C732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Melbourne</w:t>
            </w:r>
          </w:p>
        </w:tc>
        <w:tc>
          <w:tcPr>
            <w:tcW w:w="1701" w:type="dxa"/>
            <w:noWrap/>
            <w:hideMark/>
          </w:tcPr>
          <w:p w14:paraId="47E64BE7" w14:textId="77777777" w:rsidR="00AB3A23" w:rsidRPr="007B2D02" w:rsidRDefault="00AB3A23" w:rsidP="00C7323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20,336</w:t>
            </w:r>
          </w:p>
        </w:tc>
        <w:tc>
          <w:tcPr>
            <w:tcW w:w="1701" w:type="dxa"/>
            <w:noWrap/>
            <w:hideMark/>
          </w:tcPr>
          <w:p w14:paraId="68FAB388" w14:textId="77777777" w:rsidR="00AB3A23" w:rsidRPr="007B2D02" w:rsidRDefault="00AB3A23" w:rsidP="00C7323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40%</w:t>
            </w:r>
          </w:p>
        </w:tc>
      </w:tr>
      <w:tr w:rsidR="00AB3A23" w:rsidRPr="007B2D02" w14:paraId="73FC24B7" w14:textId="77777777" w:rsidTr="007B2D02">
        <w:trPr>
          <w:trHeight w:val="300"/>
        </w:trPr>
        <w:tc>
          <w:tcPr>
            <w:cnfStyle w:val="001000000000" w:firstRow="0" w:lastRow="0" w:firstColumn="1" w:lastColumn="0" w:oddVBand="0" w:evenVBand="0" w:oddHBand="0" w:evenHBand="0" w:firstRowFirstColumn="0" w:firstRowLastColumn="0" w:lastRowFirstColumn="0" w:lastRowLastColumn="0"/>
            <w:tcW w:w="3681" w:type="dxa"/>
            <w:vMerge/>
            <w:noWrap/>
            <w:hideMark/>
          </w:tcPr>
          <w:p w14:paraId="7A857BE4" w14:textId="395A41C5" w:rsidR="00AB3A23" w:rsidRPr="007B2D02" w:rsidRDefault="00AB3A23" w:rsidP="00C7323E">
            <w:pPr>
              <w:rPr>
                <w:rFonts w:ascii="Calibri" w:eastAsia="Times New Roman" w:hAnsi="Calibri" w:cs="Times New Roman"/>
                <w:color w:val="000000" w:themeColor="text1"/>
                <w:lang w:eastAsia="en-AU"/>
              </w:rPr>
            </w:pPr>
          </w:p>
        </w:tc>
        <w:tc>
          <w:tcPr>
            <w:tcW w:w="2835" w:type="dxa"/>
            <w:noWrap/>
            <w:hideMark/>
          </w:tcPr>
          <w:p w14:paraId="6DEEE4D1" w14:textId="77777777" w:rsidR="00AB3A23" w:rsidRPr="007B2D02" w:rsidRDefault="00AB3A23" w:rsidP="00C732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 xml:space="preserve">Lasseter </w:t>
            </w:r>
          </w:p>
        </w:tc>
        <w:tc>
          <w:tcPr>
            <w:tcW w:w="1701" w:type="dxa"/>
            <w:noWrap/>
            <w:hideMark/>
          </w:tcPr>
          <w:p w14:paraId="00CD2409" w14:textId="77777777" w:rsidR="00AB3A23" w:rsidRPr="007B2D02" w:rsidRDefault="00AB3A23" w:rsidP="00C7323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539</w:t>
            </w:r>
          </w:p>
        </w:tc>
        <w:tc>
          <w:tcPr>
            <w:tcW w:w="1701" w:type="dxa"/>
            <w:noWrap/>
            <w:hideMark/>
          </w:tcPr>
          <w:p w14:paraId="58EC155B" w14:textId="77777777" w:rsidR="00AB3A23" w:rsidRPr="007B2D02" w:rsidRDefault="00AB3A23" w:rsidP="00C7323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34%</w:t>
            </w:r>
          </w:p>
        </w:tc>
      </w:tr>
      <w:tr w:rsidR="00AB3A23" w:rsidRPr="007B2D02" w14:paraId="551FAB48" w14:textId="77777777" w:rsidTr="007B2D02">
        <w:trPr>
          <w:trHeight w:val="30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2B1971EC" w14:textId="77777777" w:rsidR="00AB3A23" w:rsidRPr="007B2D02" w:rsidRDefault="00AB3A23" w:rsidP="00CB0606">
            <w:pPr>
              <w:rPr>
                <w:rFonts w:ascii="Calibri" w:eastAsia="Times New Roman" w:hAnsi="Calibri" w:cs="Times New Roman"/>
                <w:i/>
                <w:iCs/>
                <w:color w:val="000000" w:themeColor="text1"/>
                <w:lang w:eastAsia="en-AU"/>
              </w:rPr>
            </w:pPr>
          </w:p>
        </w:tc>
        <w:tc>
          <w:tcPr>
            <w:tcW w:w="2835" w:type="dxa"/>
            <w:noWrap/>
            <w:hideMark/>
          </w:tcPr>
          <w:p w14:paraId="0A3444E0" w14:textId="77777777" w:rsidR="00AB3A23" w:rsidRPr="007B2D02" w:rsidRDefault="00AB3A23" w:rsidP="00C732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Kangaroo Island</w:t>
            </w:r>
          </w:p>
        </w:tc>
        <w:tc>
          <w:tcPr>
            <w:tcW w:w="1701" w:type="dxa"/>
            <w:noWrap/>
            <w:hideMark/>
          </w:tcPr>
          <w:p w14:paraId="12430C8F" w14:textId="77777777" w:rsidR="00AB3A23" w:rsidRPr="007B2D02" w:rsidRDefault="00AB3A23" w:rsidP="00C7323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191</w:t>
            </w:r>
          </w:p>
        </w:tc>
        <w:tc>
          <w:tcPr>
            <w:tcW w:w="1701" w:type="dxa"/>
            <w:noWrap/>
            <w:hideMark/>
          </w:tcPr>
          <w:p w14:paraId="314592DB" w14:textId="77777777" w:rsidR="00AB3A23" w:rsidRPr="007B2D02" w:rsidRDefault="00AB3A23" w:rsidP="00C7323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28%</w:t>
            </w:r>
          </w:p>
        </w:tc>
      </w:tr>
      <w:tr w:rsidR="00AB3A23" w:rsidRPr="007B2D02" w14:paraId="78548410" w14:textId="77777777" w:rsidTr="007B2D02">
        <w:trPr>
          <w:trHeight w:val="30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3AFACD30" w14:textId="77777777" w:rsidR="00AB3A23" w:rsidRPr="007B2D02" w:rsidRDefault="00AB3A23" w:rsidP="00C7323E">
            <w:pPr>
              <w:rPr>
                <w:rFonts w:ascii="Calibri" w:eastAsia="Times New Roman" w:hAnsi="Calibri" w:cs="Times New Roman"/>
                <w:i/>
                <w:iCs/>
                <w:color w:val="000000" w:themeColor="text1"/>
                <w:lang w:eastAsia="en-AU"/>
              </w:rPr>
            </w:pPr>
          </w:p>
        </w:tc>
        <w:tc>
          <w:tcPr>
            <w:tcW w:w="2835" w:type="dxa"/>
            <w:noWrap/>
            <w:hideMark/>
          </w:tcPr>
          <w:p w14:paraId="429E70B8" w14:textId="77777777" w:rsidR="00AB3A23" w:rsidRPr="007B2D02" w:rsidRDefault="00AB3A23" w:rsidP="00C732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Tropical North Queensland</w:t>
            </w:r>
          </w:p>
        </w:tc>
        <w:tc>
          <w:tcPr>
            <w:tcW w:w="1701" w:type="dxa"/>
            <w:noWrap/>
            <w:hideMark/>
          </w:tcPr>
          <w:p w14:paraId="53572B38" w14:textId="77777777" w:rsidR="00AB3A23" w:rsidRPr="007B2D02" w:rsidRDefault="00AB3A23" w:rsidP="00C7323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3,964</w:t>
            </w:r>
          </w:p>
        </w:tc>
        <w:tc>
          <w:tcPr>
            <w:tcW w:w="1701" w:type="dxa"/>
            <w:noWrap/>
            <w:hideMark/>
          </w:tcPr>
          <w:p w14:paraId="5221DE28" w14:textId="77777777" w:rsidR="00AB3A23" w:rsidRPr="007B2D02" w:rsidRDefault="00AB3A23" w:rsidP="00C7323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26%</w:t>
            </w:r>
          </w:p>
        </w:tc>
      </w:tr>
      <w:tr w:rsidR="00AB3A23" w:rsidRPr="007B2D02" w14:paraId="58E9343F" w14:textId="77777777" w:rsidTr="007B2D02">
        <w:trPr>
          <w:trHeight w:val="30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5D5B4A5A" w14:textId="77777777" w:rsidR="00AB3A23" w:rsidRPr="007B2D02" w:rsidRDefault="00AB3A23" w:rsidP="00C7323E">
            <w:pPr>
              <w:rPr>
                <w:rFonts w:ascii="Calibri" w:eastAsia="Times New Roman" w:hAnsi="Calibri" w:cs="Times New Roman"/>
                <w:i/>
                <w:iCs/>
                <w:color w:val="000000" w:themeColor="text1"/>
                <w:lang w:eastAsia="en-AU"/>
              </w:rPr>
            </w:pPr>
          </w:p>
        </w:tc>
        <w:tc>
          <w:tcPr>
            <w:tcW w:w="2835" w:type="dxa"/>
            <w:noWrap/>
            <w:hideMark/>
          </w:tcPr>
          <w:p w14:paraId="1240584F" w14:textId="77777777" w:rsidR="00AB3A23" w:rsidRPr="007B2D02" w:rsidRDefault="00AB3A23" w:rsidP="00C732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Gold Coast</w:t>
            </w:r>
          </w:p>
        </w:tc>
        <w:tc>
          <w:tcPr>
            <w:tcW w:w="1701" w:type="dxa"/>
            <w:noWrap/>
            <w:hideMark/>
          </w:tcPr>
          <w:p w14:paraId="49887A9B" w14:textId="77777777" w:rsidR="00AB3A23" w:rsidRPr="007B2D02" w:rsidRDefault="00AB3A23" w:rsidP="00C7323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5,937</w:t>
            </w:r>
          </w:p>
        </w:tc>
        <w:tc>
          <w:tcPr>
            <w:tcW w:w="1701" w:type="dxa"/>
            <w:noWrap/>
            <w:hideMark/>
          </w:tcPr>
          <w:p w14:paraId="13D47716" w14:textId="77777777" w:rsidR="00AB3A23" w:rsidRPr="007B2D02" w:rsidRDefault="00AB3A23" w:rsidP="00C7323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23%</w:t>
            </w:r>
          </w:p>
        </w:tc>
      </w:tr>
      <w:tr w:rsidR="00AB3A23" w:rsidRPr="007B2D02" w14:paraId="6EACBC6F" w14:textId="77777777" w:rsidTr="007B2D02">
        <w:trPr>
          <w:trHeight w:val="300"/>
        </w:trPr>
        <w:tc>
          <w:tcPr>
            <w:cnfStyle w:val="001000000000" w:firstRow="0" w:lastRow="0" w:firstColumn="1" w:lastColumn="0" w:oddVBand="0" w:evenVBand="0" w:oddHBand="0" w:evenHBand="0" w:firstRowFirstColumn="0" w:firstRowLastColumn="0" w:lastRowFirstColumn="0" w:lastRowLastColumn="0"/>
            <w:tcW w:w="3681" w:type="dxa"/>
            <w:vMerge w:val="restart"/>
            <w:hideMark/>
          </w:tcPr>
          <w:p w14:paraId="7934D93D" w14:textId="77777777" w:rsidR="00AB3A23" w:rsidRPr="007B2D02" w:rsidRDefault="00AB3A23" w:rsidP="00C7323E">
            <w:pPr>
              <w:rPr>
                <w:rFonts w:ascii="Calibri" w:eastAsia="Times New Roman" w:hAnsi="Calibri" w:cs="Times New Roman"/>
                <w:b w:val="0"/>
                <w:bCs w:val="0"/>
                <w:color w:val="000000" w:themeColor="text1"/>
                <w:lang w:eastAsia="en-AU"/>
              </w:rPr>
            </w:pPr>
            <w:r w:rsidRPr="007B2D02">
              <w:rPr>
                <w:rFonts w:ascii="Calibri" w:eastAsia="Times New Roman" w:hAnsi="Calibri" w:cs="Times New Roman"/>
                <w:color w:val="000000" w:themeColor="text1"/>
                <w:lang w:eastAsia="en-AU"/>
              </w:rPr>
              <w:t>Regions with 10 – 20% reliance on international spend – 8 regions</w:t>
            </w:r>
          </w:p>
          <w:p w14:paraId="7B7F0340" w14:textId="77777777" w:rsidR="00AB3A23" w:rsidRPr="007B2D02" w:rsidRDefault="00AB3A23" w:rsidP="00C7323E">
            <w:pPr>
              <w:rPr>
                <w:rFonts w:ascii="Calibri" w:eastAsia="Times New Roman" w:hAnsi="Calibri" w:cs="Times New Roman"/>
                <w:b w:val="0"/>
                <w:bCs w:val="0"/>
                <w:color w:val="000000" w:themeColor="text1"/>
                <w:lang w:eastAsia="en-AU"/>
              </w:rPr>
            </w:pPr>
            <w:r w:rsidRPr="007B2D02">
              <w:rPr>
                <w:rFonts w:ascii="Calibri" w:eastAsia="Times New Roman" w:hAnsi="Calibri" w:cs="Times New Roman"/>
                <w:color w:val="000000" w:themeColor="text1"/>
                <w:lang w:eastAsia="en-AU"/>
              </w:rPr>
              <w:t> </w:t>
            </w:r>
          </w:p>
          <w:p w14:paraId="72B8F124" w14:textId="52ACA576" w:rsidR="00AB3A23" w:rsidRPr="007B2D02" w:rsidRDefault="00AB3A23" w:rsidP="00C7323E">
            <w:pPr>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 </w:t>
            </w:r>
          </w:p>
        </w:tc>
        <w:tc>
          <w:tcPr>
            <w:tcW w:w="2835" w:type="dxa"/>
            <w:noWrap/>
            <w:hideMark/>
          </w:tcPr>
          <w:p w14:paraId="3C07F0A2" w14:textId="77777777" w:rsidR="00AB3A23" w:rsidRPr="007B2D02" w:rsidRDefault="00AB3A23" w:rsidP="00C732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Whitsundays</w:t>
            </w:r>
          </w:p>
        </w:tc>
        <w:tc>
          <w:tcPr>
            <w:tcW w:w="1701" w:type="dxa"/>
            <w:noWrap/>
            <w:hideMark/>
          </w:tcPr>
          <w:p w14:paraId="17A748C0" w14:textId="77777777" w:rsidR="00AB3A23" w:rsidRPr="007B2D02" w:rsidRDefault="00AB3A23" w:rsidP="00C7323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808</w:t>
            </w:r>
          </w:p>
        </w:tc>
        <w:tc>
          <w:tcPr>
            <w:tcW w:w="1701" w:type="dxa"/>
            <w:noWrap/>
            <w:hideMark/>
          </w:tcPr>
          <w:p w14:paraId="079EB5AF" w14:textId="77777777" w:rsidR="00AB3A23" w:rsidRPr="007B2D02" w:rsidRDefault="00AB3A23" w:rsidP="00C7323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19%</w:t>
            </w:r>
          </w:p>
        </w:tc>
      </w:tr>
      <w:tr w:rsidR="00AB3A23" w:rsidRPr="007B2D02" w14:paraId="7E71DB85" w14:textId="77777777" w:rsidTr="007B2D02">
        <w:trPr>
          <w:trHeight w:val="30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73C5E190" w14:textId="799C389D" w:rsidR="00AB3A23" w:rsidRPr="007B2D02" w:rsidRDefault="00AB3A23" w:rsidP="00C7323E">
            <w:pPr>
              <w:rPr>
                <w:rFonts w:ascii="Calibri" w:eastAsia="Times New Roman" w:hAnsi="Calibri" w:cs="Times New Roman"/>
                <w:color w:val="000000" w:themeColor="text1"/>
                <w:lang w:eastAsia="en-AU"/>
              </w:rPr>
            </w:pPr>
          </w:p>
        </w:tc>
        <w:tc>
          <w:tcPr>
            <w:tcW w:w="2835" w:type="dxa"/>
            <w:noWrap/>
            <w:hideMark/>
          </w:tcPr>
          <w:p w14:paraId="096B393E" w14:textId="77777777" w:rsidR="00AB3A23" w:rsidRPr="007B2D02" w:rsidRDefault="00AB3A23" w:rsidP="00C732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Hobart and the South</w:t>
            </w:r>
          </w:p>
        </w:tc>
        <w:tc>
          <w:tcPr>
            <w:tcW w:w="1701" w:type="dxa"/>
            <w:noWrap/>
            <w:hideMark/>
          </w:tcPr>
          <w:p w14:paraId="717FB099" w14:textId="77777777" w:rsidR="00AB3A23" w:rsidRPr="007B2D02" w:rsidRDefault="00AB3A23" w:rsidP="00C7323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2,192</w:t>
            </w:r>
          </w:p>
        </w:tc>
        <w:tc>
          <w:tcPr>
            <w:tcW w:w="1701" w:type="dxa"/>
            <w:noWrap/>
            <w:hideMark/>
          </w:tcPr>
          <w:p w14:paraId="4AA6DCCF" w14:textId="77777777" w:rsidR="00AB3A23" w:rsidRPr="007B2D02" w:rsidRDefault="00AB3A23" w:rsidP="00C7323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17%</w:t>
            </w:r>
          </w:p>
        </w:tc>
      </w:tr>
      <w:tr w:rsidR="00AB3A23" w:rsidRPr="007B2D02" w14:paraId="355CCEFA" w14:textId="77777777" w:rsidTr="007B2D02">
        <w:trPr>
          <w:trHeight w:val="300"/>
        </w:trPr>
        <w:tc>
          <w:tcPr>
            <w:cnfStyle w:val="001000000000" w:firstRow="0" w:lastRow="0" w:firstColumn="1" w:lastColumn="0" w:oddVBand="0" w:evenVBand="0" w:oddHBand="0" w:evenHBand="0" w:firstRowFirstColumn="0" w:firstRowLastColumn="0" w:lastRowFirstColumn="0" w:lastRowLastColumn="0"/>
            <w:tcW w:w="3681" w:type="dxa"/>
            <w:vMerge/>
            <w:noWrap/>
            <w:hideMark/>
          </w:tcPr>
          <w:p w14:paraId="70FF73DA" w14:textId="6E6BBC79" w:rsidR="00AB3A23" w:rsidRPr="007B2D02" w:rsidRDefault="00AB3A23" w:rsidP="00C7323E">
            <w:pPr>
              <w:rPr>
                <w:rFonts w:ascii="Calibri" w:eastAsia="Times New Roman" w:hAnsi="Calibri" w:cs="Times New Roman"/>
                <w:color w:val="000000" w:themeColor="text1"/>
                <w:lang w:eastAsia="en-AU"/>
              </w:rPr>
            </w:pPr>
          </w:p>
        </w:tc>
        <w:tc>
          <w:tcPr>
            <w:tcW w:w="2835" w:type="dxa"/>
            <w:noWrap/>
            <w:hideMark/>
          </w:tcPr>
          <w:p w14:paraId="130C59D3" w14:textId="77777777" w:rsidR="00AB3A23" w:rsidRPr="007B2D02" w:rsidRDefault="00AB3A23" w:rsidP="00C732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Alice Springs</w:t>
            </w:r>
          </w:p>
        </w:tc>
        <w:tc>
          <w:tcPr>
            <w:tcW w:w="1701" w:type="dxa"/>
            <w:noWrap/>
            <w:hideMark/>
          </w:tcPr>
          <w:p w14:paraId="5BDEAF38" w14:textId="77777777" w:rsidR="00AB3A23" w:rsidRPr="007B2D02" w:rsidRDefault="00AB3A23" w:rsidP="00C7323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434</w:t>
            </w:r>
          </w:p>
        </w:tc>
        <w:tc>
          <w:tcPr>
            <w:tcW w:w="1701" w:type="dxa"/>
            <w:noWrap/>
            <w:hideMark/>
          </w:tcPr>
          <w:p w14:paraId="08F4E0B2" w14:textId="77777777" w:rsidR="00AB3A23" w:rsidRPr="007B2D02" w:rsidRDefault="00AB3A23" w:rsidP="00C7323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15%</w:t>
            </w:r>
          </w:p>
        </w:tc>
      </w:tr>
      <w:tr w:rsidR="00AB3A23" w:rsidRPr="007B2D02" w14:paraId="1CE405E3" w14:textId="77777777" w:rsidTr="007B2D02">
        <w:trPr>
          <w:trHeight w:val="30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447D1D25" w14:textId="4120B4A0" w:rsidR="00AB3A23" w:rsidRPr="007B2D02" w:rsidRDefault="00AB3A23" w:rsidP="00C7323E">
            <w:pPr>
              <w:rPr>
                <w:rFonts w:ascii="Calibri" w:eastAsia="Times New Roman" w:hAnsi="Calibri" w:cs="Times New Roman"/>
                <w:i/>
                <w:color w:val="000000" w:themeColor="text1"/>
                <w:lang w:eastAsia="en-AU"/>
              </w:rPr>
            </w:pPr>
          </w:p>
        </w:tc>
        <w:tc>
          <w:tcPr>
            <w:tcW w:w="2835" w:type="dxa"/>
            <w:noWrap/>
            <w:hideMark/>
          </w:tcPr>
          <w:p w14:paraId="0ED3E37E" w14:textId="77777777" w:rsidR="00AB3A23" w:rsidRPr="007B2D02" w:rsidRDefault="00AB3A23" w:rsidP="00C732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Litchfield Kakadu Arnhem</w:t>
            </w:r>
          </w:p>
        </w:tc>
        <w:tc>
          <w:tcPr>
            <w:tcW w:w="1701" w:type="dxa"/>
            <w:noWrap/>
            <w:hideMark/>
          </w:tcPr>
          <w:p w14:paraId="71CB2473" w14:textId="77777777" w:rsidR="00AB3A23" w:rsidRPr="007B2D02" w:rsidRDefault="00AB3A23" w:rsidP="00C7323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267</w:t>
            </w:r>
          </w:p>
        </w:tc>
        <w:tc>
          <w:tcPr>
            <w:tcW w:w="1701" w:type="dxa"/>
            <w:noWrap/>
            <w:hideMark/>
          </w:tcPr>
          <w:p w14:paraId="19423B27" w14:textId="77777777" w:rsidR="00AB3A23" w:rsidRPr="007B2D02" w:rsidRDefault="00AB3A23" w:rsidP="00C7323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12%</w:t>
            </w:r>
          </w:p>
        </w:tc>
      </w:tr>
      <w:tr w:rsidR="00AB3A23" w:rsidRPr="007B2D02" w14:paraId="23D3C99E" w14:textId="77777777" w:rsidTr="007B2D02">
        <w:trPr>
          <w:trHeight w:val="30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72C28A36" w14:textId="21B50BD8" w:rsidR="00AB3A23" w:rsidRPr="007B2D02" w:rsidRDefault="00AB3A23" w:rsidP="00C7323E">
            <w:pPr>
              <w:rPr>
                <w:rFonts w:ascii="Calibri" w:eastAsia="Times New Roman" w:hAnsi="Calibri" w:cs="Times New Roman"/>
                <w:color w:val="000000" w:themeColor="text1"/>
                <w:lang w:eastAsia="en-AU"/>
              </w:rPr>
            </w:pPr>
          </w:p>
        </w:tc>
        <w:tc>
          <w:tcPr>
            <w:tcW w:w="2835" w:type="dxa"/>
            <w:noWrap/>
            <w:hideMark/>
          </w:tcPr>
          <w:p w14:paraId="2C3D3507" w14:textId="77777777" w:rsidR="00AB3A23" w:rsidRPr="007B2D02" w:rsidRDefault="00AB3A23" w:rsidP="00C732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 xml:space="preserve">Australia's Coral Coast </w:t>
            </w:r>
          </w:p>
        </w:tc>
        <w:tc>
          <w:tcPr>
            <w:tcW w:w="1701" w:type="dxa"/>
            <w:noWrap/>
            <w:hideMark/>
          </w:tcPr>
          <w:p w14:paraId="43280750" w14:textId="77777777" w:rsidR="00AB3A23" w:rsidRPr="007B2D02" w:rsidRDefault="00AB3A23" w:rsidP="00C7323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936</w:t>
            </w:r>
          </w:p>
        </w:tc>
        <w:tc>
          <w:tcPr>
            <w:tcW w:w="1701" w:type="dxa"/>
            <w:noWrap/>
            <w:hideMark/>
          </w:tcPr>
          <w:p w14:paraId="71AD639F" w14:textId="77777777" w:rsidR="00AB3A23" w:rsidRPr="007B2D02" w:rsidRDefault="00AB3A23" w:rsidP="00C7323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14%</w:t>
            </w:r>
          </w:p>
        </w:tc>
      </w:tr>
      <w:tr w:rsidR="00AB3A23" w:rsidRPr="007B2D02" w14:paraId="2BCE62BA" w14:textId="77777777" w:rsidTr="007B2D02">
        <w:trPr>
          <w:trHeight w:val="300"/>
        </w:trPr>
        <w:tc>
          <w:tcPr>
            <w:cnfStyle w:val="001000000000" w:firstRow="0" w:lastRow="0" w:firstColumn="1" w:lastColumn="0" w:oddVBand="0" w:evenVBand="0" w:oddHBand="0" w:evenHBand="0" w:firstRowFirstColumn="0" w:firstRowLastColumn="0" w:lastRowFirstColumn="0" w:lastRowLastColumn="0"/>
            <w:tcW w:w="3681" w:type="dxa"/>
            <w:vMerge/>
            <w:noWrap/>
            <w:hideMark/>
          </w:tcPr>
          <w:p w14:paraId="0EEA79CF" w14:textId="0EE849D1" w:rsidR="00AB3A23" w:rsidRPr="007B2D02" w:rsidRDefault="00AB3A23" w:rsidP="00C7323E">
            <w:pPr>
              <w:rPr>
                <w:rFonts w:ascii="Calibri" w:eastAsia="Times New Roman" w:hAnsi="Calibri" w:cs="Times New Roman"/>
                <w:color w:val="000000" w:themeColor="text1"/>
                <w:lang w:eastAsia="en-AU"/>
              </w:rPr>
            </w:pPr>
          </w:p>
        </w:tc>
        <w:tc>
          <w:tcPr>
            <w:tcW w:w="2835" w:type="dxa"/>
            <w:noWrap/>
            <w:hideMark/>
          </w:tcPr>
          <w:p w14:paraId="544FB1A5" w14:textId="77777777" w:rsidR="00AB3A23" w:rsidRPr="007B2D02" w:rsidRDefault="00AB3A23" w:rsidP="00C732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 </w:t>
            </w:r>
          </w:p>
        </w:tc>
        <w:tc>
          <w:tcPr>
            <w:tcW w:w="1701" w:type="dxa"/>
            <w:noWrap/>
            <w:hideMark/>
          </w:tcPr>
          <w:p w14:paraId="105EF0AB" w14:textId="77777777" w:rsidR="00AB3A23" w:rsidRPr="007B2D02" w:rsidRDefault="00AB3A23" w:rsidP="00C732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 </w:t>
            </w:r>
          </w:p>
        </w:tc>
        <w:tc>
          <w:tcPr>
            <w:tcW w:w="1701" w:type="dxa"/>
            <w:noWrap/>
            <w:hideMark/>
          </w:tcPr>
          <w:p w14:paraId="25438EEA" w14:textId="77777777" w:rsidR="00AB3A23" w:rsidRPr="007B2D02" w:rsidRDefault="00AB3A23" w:rsidP="00C732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 </w:t>
            </w:r>
          </w:p>
        </w:tc>
      </w:tr>
      <w:tr w:rsidR="00AB3A23" w:rsidRPr="007B2D02" w14:paraId="0E118983" w14:textId="77777777" w:rsidTr="007B2D02">
        <w:trPr>
          <w:trHeight w:val="300"/>
        </w:trPr>
        <w:tc>
          <w:tcPr>
            <w:cnfStyle w:val="001000000000" w:firstRow="0" w:lastRow="0" w:firstColumn="1" w:lastColumn="0" w:oddVBand="0" w:evenVBand="0" w:oddHBand="0" w:evenHBand="0" w:firstRowFirstColumn="0" w:firstRowLastColumn="0" w:lastRowFirstColumn="0" w:lastRowLastColumn="0"/>
            <w:tcW w:w="3681" w:type="dxa"/>
            <w:vMerge w:val="restart"/>
            <w:hideMark/>
          </w:tcPr>
          <w:p w14:paraId="3B9B7822" w14:textId="77777777" w:rsidR="00AB3A23" w:rsidRPr="007B2D02" w:rsidRDefault="00AB3A23">
            <w:pPr>
              <w:rPr>
                <w:rFonts w:ascii="Calibri" w:eastAsia="Times New Roman" w:hAnsi="Calibri" w:cs="Times New Roman"/>
                <w:b w:val="0"/>
                <w:bCs w:val="0"/>
                <w:color w:val="000000" w:themeColor="text1"/>
                <w:lang w:eastAsia="en-AU"/>
              </w:rPr>
            </w:pPr>
            <w:r w:rsidRPr="007B2D02">
              <w:rPr>
                <w:rFonts w:ascii="Calibri" w:eastAsia="Times New Roman" w:hAnsi="Calibri" w:cs="Times New Roman"/>
                <w:color w:val="000000" w:themeColor="text1"/>
                <w:lang w:eastAsia="en-AU"/>
              </w:rPr>
              <w:t> Regions with under 10% reliance on international spend – 58 regions</w:t>
            </w:r>
          </w:p>
          <w:p w14:paraId="27AE4A7F" w14:textId="565C8A7D" w:rsidR="00AB3A23" w:rsidRPr="007B2D02" w:rsidRDefault="00AB3A23" w:rsidP="00C7323E">
            <w:pPr>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 </w:t>
            </w:r>
          </w:p>
        </w:tc>
        <w:tc>
          <w:tcPr>
            <w:tcW w:w="2835" w:type="dxa"/>
            <w:noWrap/>
            <w:hideMark/>
          </w:tcPr>
          <w:p w14:paraId="646CA434" w14:textId="77777777" w:rsidR="00AB3A23" w:rsidRPr="007B2D02" w:rsidRDefault="00AB3A23" w:rsidP="00C732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South Coast NSW</w:t>
            </w:r>
          </w:p>
        </w:tc>
        <w:tc>
          <w:tcPr>
            <w:tcW w:w="1701" w:type="dxa"/>
            <w:noWrap/>
            <w:hideMark/>
          </w:tcPr>
          <w:p w14:paraId="36E45654" w14:textId="77777777" w:rsidR="00AB3A23" w:rsidRPr="007B2D02" w:rsidRDefault="00AB3A23" w:rsidP="00C7323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3,257</w:t>
            </w:r>
          </w:p>
        </w:tc>
        <w:tc>
          <w:tcPr>
            <w:tcW w:w="1701" w:type="dxa"/>
            <w:noWrap/>
            <w:hideMark/>
          </w:tcPr>
          <w:p w14:paraId="70D09C85" w14:textId="77777777" w:rsidR="00AB3A23" w:rsidRPr="007B2D02" w:rsidRDefault="00AB3A23" w:rsidP="00C7323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8%</w:t>
            </w:r>
          </w:p>
        </w:tc>
      </w:tr>
      <w:tr w:rsidR="00AB3A23" w:rsidRPr="007B2D02" w14:paraId="69DD3A3D" w14:textId="77777777" w:rsidTr="007B2D02">
        <w:trPr>
          <w:trHeight w:val="300"/>
        </w:trPr>
        <w:tc>
          <w:tcPr>
            <w:cnfStyle w:val="001000000000" w:firstRow="0" w:lastRow="0" w:firstColumn="1" w:lastColumn="0" w:oddVBand="0" w:evenVBand="0" w:oddHBand="0" w:evenHBand="0" w:firstRowFirstColumn="0" w:firstRowLastColumn="0" w:lastRowFirstColumn="0" w:lastRowLastColumn="0"/>
            <w:tcW w:w="3681" w:type="dxa"/>
            <w:vMerge/>
            <w:noWrap/>
            <w:hideMark/>
          </w:tcPr>
          <w:p w14:paraId="51D52F58" w14:textId="773EB465" w:rsidR="00AB3A23" w:rsidRPr="007B2D02" w:rsidRDefault="00AB3A23" w:rsidP="00C7323E">
            <w:pPr>
              <w:rPr>
                <w:rFonts w:ascii="Calibri" w:eastAsia="Times New Roman" w:hAnsi="Calibri" w:cs="Times New Roman"/>
                <w:color w:val="000000" w:themeColor="text1"/>
                <w:lang w:eastAsia="en-AU"/>
              </w:rPr>
            </w:pPr>
          </w:p>
        </w:tc>
        <w:tc>
          <w:tcPr>
            <w:tcW w:w="2835" w:type="dxa"/>
            <w:noWrap/>
            <w:hideMark/>
          </w:tcPr>
          <w:p w14:paraId="7A862B1E" w14:textId="77777777" w:rsidR="00AB3A23" w:rsidRPr="007B2D02" w:rsidRDefault="00AB3A23" w:rsidP="00C732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 xml:space="preserve">Central Highlands </w:t>
            </w:r>
          </w:p>
        </w:tc>
        <w:tc>
          <w:tcPr>
            <w:tcW w:w="1701" w:type="dxa"/>
            <w:noWrap/>
            <w:hideMark/>
          </w:tcPr>
          <w:p w14:paraId="08310A2C" w14:textId="77777777" w:rsidR="00AB3A23" w:rsidRPr="007B2D02" w:rsidRDefault="00AB3A23" w:rsidP="00C7323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199</w:t>
            </w:r>
          </w:p>
        </w:tc>
        <w:tc>
          <w:tcPr>
            <w:tcW w:w="1701" w:type="dxa"/>
            <w:noWrap/>
            <w:hideMark/>
          </w:tcPr>
          <w:p w14:paraId="5C5FFF97" w14:textId="77777777" w:rsidR="00AB3A23" w:rsidRPr="007B2D02" w:rsidRDefault="00AB3A23" w:rsidP="00C7323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8%</w:t>
            </w:r>
          </w:p>
        </w:tc>
      </w:tr>
      <w:tr w:rsidR="00AB3A23" w:rsidRPr="007B2D02" w14:paraId="620F9E04" w14:textId="77777777" w:rsidTr="007B2D02">
        <w:trPr>
          <w:trHeight w:val="30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67103610" w14:textId="77777777" w:rsidR="00AB3A23" w:rsidRPr="007B2D02" w:rsidRDefault="00AB3A23" w:rsidP="00C7323E">
            <w:pPr>
              <w:rPr>
                <w:rFonts w:ascii="Calibri" w:eastAsia="Times New Roman" w:hAnsi="Calibri" w:cs="Times New Roman"/>
                <w:i/>
                <w:iCs/>
                <w:color w:val="000000" w:themeColor="text1"/>
                <w:lang w:eastAsia="en-AU"/>
              </w:rPr>
            </w:pPr>
          </w:p>
        </w:tc>
        <w:tc>
          <w:tcPr>
            <w:tcW w:w="2835" w:type="dxa"/>
            <w:noWrap/>
            <w:hideMark/>
          </w:tcPr>
          <w:p w14:paraId="73F6DFF9" w14:textId="77777777" w:rsidR="00AB3A23" w:rsidRPr="007B2D02" w:rsidRDefault="00AB3A23" w:rsidP="00C732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Blue Mountains</w:t>
            </w:r>
          </w:p>
        </w:tc>
        <w:tc>
          <w:tcPr>
            <w:tcW w:w="1701" w:type="dxa"/>
            <w:noWrap/>
            <w:hideMark/>
          </w:tcPr>
          <w:p w14:paraId="60FB3D54" w14:textId="77777777" w:rsidR="00AB3A23" w:rsidRPr="007B2D02" w:rsidRDefault="00AB3A23" w:rsidP="00C7323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796</w:t>
            </w:r>
          </w:p>
        </w:tc>
        <w:tc>
          <w:tcPr>
            <w:tcW w:w="1701" w:type="dxa"/>
            <w:noWrap/>
            <w:hideMark/>
          </w:tcPr>
          <w:p w14:paraId="216CB2AF" w14:textId="77777777" w:rsidR="00AB3A23" w:rsidRPr="007B2D02" w:rsidRDefault="00AB3A23" w:rsidP="00C7323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7%</w:t>
            </w:r>
          </w:p>
        </w:tc>
      </w:tr>
      <w:tr w:rsidR="00AB3A23" w:rsidRPr="007B2D02" w14:paraId="5DB4A656" w14:textId="77777777" w:rsidTr="007B2D02">
        <w:trPr>
          <w:trHeight w:val="30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0C2DF35F" w14:textId="77777777" w:rsidR="00AB3A23" w:rsidRPr="007B2D02" w:rsidRDefault="00AB3A23" w:rsidP="00C7323E">
            <w:pPr>
              <w:rPr>
                <w:rFonts w:ascii="Calibri" w:eastAsia="Times New Roman" w:hAnsi="Calibri" w:cs="Times New Roman"/>
                <w:i/>
                <w:iCs/>
                <w:color w:val="000000" w:themeColor="text1"/>
                <w:lang w:eastAsia="en-AU"/>
              </w:rPr>
            </w:pPr>
          </w:p>
        </w:tc>
        <w:tc>
          <w:tcPr>
            <w:tcW w:w="2835" w:type="dxa"/>
            <w:noWrap/>
            <w:hideMark/>
          </w:tcPr>
          <w:p w14:paraId="59DE36E9" w14:textId="77777777" w:rsidR="00AB3A23" w:rsidRPr="007B2D02" w:rsidRDefault="00AB3A23" w:rsidP="00C732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 xml:space="preserve">Great Ocean Road </w:t>
            </w:r>
          </w:p>
        </w:tc>
        <w:tc>
          <w:tcPr>
            <w:tcW w:w="1701" w:type="dxa"/>
            <w:noWrap/>
            <w:hideMark/>
          </w:tcPr>
          <w:p w14:paraId="3CED79B6" w14:textId="77777777" w:rsidR="00AB3A23" w:rsidRPr="007B2D02" w:rsidRDefault="00AB3A23" w:rsidP="00C7323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1,576</w:t>
            </w:r>
          </w:p>
        </w:tc>
        <w:tc>
          <w:tcPr>
            <w:tcW w:w="1701" w:type="dxa"/>
            <w:noWrap/>
            <w:hideMark/>
          </w:tcPr>
          <w:p w14:paraId="7D6318A0" w14:textId="77777777" w:rsidR="00AB3A23" w:rsidRPr="007B2D02" w:rsidRDefault="00AB3A23" w:rsidP="00C7323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7%</w:t>
            </w:r>
          </w:p>
        </w:tc>
      </w:tr>
      <w:tr w:rsidR="00AB3A23" w:rsidRPr="007B2D02" w14:paraId="7CF696E3" w14:textId="77777777" w:rsidTr="007B2D02">
        <w:trPr>
          <w:trHeight w:val="30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765E26F4" w14:textId="77777777" w:rsidR="00AB3A23" w:rsidRPr="007B2D02" w:rsidRDefault="00AB3A23" w:rsidP="00C7323E">
            <w:pPr>
              <w:rPr>
                <w:rFonts w:ascii="Calibri" w:eastAsia="Times New Roman" w:hAnsi="Calibri" w:cs="Times New Roman"/>
                <w:i/>
                <w:iCs/>
                <w:color w:val="000000" w:themeColor="text1"/>
                <w:lang w:eastAsia="en-AU"/>
              </w:rPr>
            </w:pPr>
          </w:p>
        </w:tc>
        <w:tc>
          <w:tcPr>
            <w:tcW w:w="2835" w:type="dxa"/>
            <w:noWrap/>
            <w:hideMark/>
          </w:tcPr>
          <w:p w14:paraId="15094632" w14:textId="77777777" w:rsidR="00AB3A23" w:rsidRPr="007B2D02" w:rsidRDefault="00AB3A23" w:rsidP="00C732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North Coast NSW</w:t>
            </w:r>
          </w:p>
        </w:tc>
        <w:tc>
          <w:tcPr>
            <w:tcW w:w="1701" w:type="dxa"/>
            <w:noWrap/>
            <w:hideMark/>
          </w:tcPr>
          <w:p w14:paraId="1FD6A0D7" w14:textId="77777777" w:rsidR="00AB3A23" w:rsidRPr="007B2D02" w:rsidRDefault="00AB3A23" w:rsidP="00C7323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5,174</w:t>
            </w:r>
          </w:p>
        </w:tc>
        <w:tc>
          <w:tcPr>
            <w:tcW w:w="1701" w:type="dxa"/>
            <w:noWrap/>
            <w:hideMark/>
          </w:tcPr>
          <w:p w14:paraId="07E5262F" w14:textId="77777777" w:rsidR="00AB3A23" w:rsidRPr="007B2D02" w:rsidRDefault="00AB3A23" w:rsidP="00C7323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5%</w:t>
            </w:r>
          </w:p>
        </w:tc>
      </w:tr>
      <w:tr w:rsidR="00AB3A23" w:rsidRPr="007B2D02" w14:paraId="78C9B0A0" w14:textId="77777777" w:rsidTr="007B2D02">
        <w:trPr>
          <w:trHeight w:val="300"/>
        </w:trPr>
        <w:tc>
          <w:tcPr>
            <w:cnfStyle w:val="001000000000" w:firstRow="0" w:lastRow="0" w:firstColumn="1" w:lastColumn="0" w:oddVBand="0" w:evenVBand="0" w:oddHBand="0" w:evenHBand="0" w:firstRowFirstColumn="0" w:firstRowLastColumn="0" w:lastRowFirstColumn="0" w:lastRowLastColumn="0"/>
            <w:tcW w:w="3681" w:type="dxa"/>
            <w:vMerge/>
            <w:hideMark/>
          </w:tcPr>
          <w:p w14:paraId="1B077D0D" w14:textId="77777777" w:rsidR="00AB3A23" w:rsidRPr="007B2D02" w:rsidRDefault="00AB3A23" w:rsidP="00C7323E">
            <w:pPr>
              <w:rPr>
                <w:rFonts w:ascii="Calibri" w:eastAsia="Times New Roman" w:hAnsi="Calibri" w:cs="Times New Roman"/>
                <w:i/>
                <w:iCs/>
                <w:color w:val="000000" w:themeColor="text1"/>
                <w:lang w:eastAsia="en-AU"/>
              </w:rPr>
            </w:pPr>
          </w:p>
        </w:tc>
        <w:tc>
          <w:tcPr>
            <w:tcW w:w="2835" w:type="dxa"/>
            <w:noWrap/>
            <w:hideMark/>
          </w:tcPr>
          <w:p w14:paraId="0955157F" w14:textId="77777777" w:rsidR="00AB3A23" w:rsidRPr="007B2D02" w:rsidRDefault="00AB3A23" w:rsidP="00C732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Mackay</w:t>
            </w:r>
          </w:p>
        </w:tc>
        <w:tc>
          <w:tcPr>
            <w:tcW w:w="1701" w:type="dxa"/>
            <w:noWrap/>
            <w:hideMark/>
          </w:tcPr>
          <w:p w14:paraId="20265E57" w14:textId="77777777" w:rsidR="00AB3A23" w:rsidRPr="007B2D02" w:rsidRDefault="00AB3A23" w:rsidP="00C7323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658</w:t>
            </w:r>
          </w:p>
        </w:tc>
        <w:tc>
          <w:tcPr>
            <w:tcW w:w="1701" w:type="dxa"/>
            <w:noWrap/>
            <w:hideMark/>
          </w:tcPr>
          <w:p w14:paraId="7AFDE1BB" w14:textId="77777777" w:rsidR="00AB3A23" w:rsidRPr="007B2D02" w:rsidRDefault="00AB3A23" w:rsidP="00C7323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3%</w:t>
            </w:r>
          </w:p>
        </w:tc>
      </w:tr>
    </w:tbl>
    <w:p w14:paraId="6C89E754" w14:textId="77777777" w:rsidR="00C7323E" w:rsidRPr="00843D79" w:rsidRDefault="00C7323E" w:rsidP="00843D79"/>
    <w:p w14:paraId="017C6F71" w14:textId="114276CD" w:rsidR="002E2C7A" w:rsidRDefault="002A46AC" w:rsidP="002A46AC">
      <w:r>
        <w:t>Industry and Gover</w:t>
      </w:r>
      <w:r w:rsidR="00D67EE8">
        <w:t>nment w</w:t>
      </w:r>
      <w:r w:rsidR="0059167E">
        <w:t>ere</w:t>
      </w:r>
      <w:r w:rsidR="00D774E3">
        <w:t xml:space="preserve"> quick to react</w:t>
      </w:r>
      <w:r w:rsidRPr="0015761A">
        <w:t>.</w:t>
      </w:r>
      <w:r>
        <w:t xml:space="preserve"> </w:t>
      </w:r>
      <w:r w:rsidR="00B1743A" w:rsidRPr="0015761A">
        <w:t xml:space="preserve">The </w:t>
      </w:r>
      <w:r w:rsidR="00B1743A">
        <w:t>Commonwealth</w:t>
      </w:r>
      <w:r w:rsidR="00B1743A" w:rsidRPr="0015761A">
        <w:t xml:space="preserve"> </w:t>
      </w:r>
      <w:r w:rsidR="00E83297">
        <w:t>G</w:t>
      </w:r>
      <w:r w:rsidR="00B1743A" w:rsidRPr="0015761A">
        <w:t xml:space="preserve">overnment announced </w:t>
      </w:r>
      <w:r w:rsidR="00B1743A">
        <w:t>the</w:t>
      </w:r>
      <w:r w:rsidR="00B1743A" w:rsidRPr="0015761A">
        <w:t xml:space="preserve"> $1 billion </w:t>
      </w:r>
      <w:r w:rsidR="00B1743A">
        <w:t>COVID-19 Relief and Recovery Fund which rolled out a series of support measures for the industry including</w:t>
      </w:r>
      <w:r w:rsidR="002E2C7A">
        <w:t>:</w:t>
      </w:r>
      <w:r w:rsidR="00B1743A">
        <w:t xml:space="preserve"> </w:t>
      </w:r>
    </w:p>
    <w:p w14:paraId="1DCBE126" w14:textId="77777777" w:rsidR="002E2C7A" w:rsidRDefault="00B1743A" w:rsidP="00713670">
      <w:pPr>
        <w:pStyle w:val="ListParagraph"/>
        <w:numPr>
          <w:ilvl w:val="0"/>
          <w:numId w:val="44"/>
        </w:numPr>
      </w:pPr>
      <w:r>
        <w:t>the Recovery for Regional Tourism Program ($50 million)</w:t>
      </w:r>
    </w:p>
    <w:p w14:paraId="318930E5" w14:textId="77777777" w:rsidR="002E2C7A" w:rsidRDefault="00B1743A" w:rsidP="00713670">
      <w:pPr>
        <w:pStyle w:val="ListParagraph"/>
        <w:numPr>
          <w:ilvl w:val="0"/>
          <w:numId w:val="44"/>
        </w:numPr>
      </w:pPr>
      <w:r>
        <w:t>the Zoos and Aquariums su</w:t>
      </w:r>
      <w:r w:rsidR="002E2C7A">
        <w:t>pport program ($95 million)</w:t>
      </w:r>
    </w:p>
    <w:p w14:paraId="7725881C" w14:textId="77777777" w:rsidR="002E2C7A" w:rsidRDefault="00B1743A" w:rsidP="00713670">
      <w:pPr>
        <w:pStyle w:val="ListParagraph"/>
        <w:numPr>
          <w:ilvl w:val="0"/>
          <w:numId w:val="44"/>
        </w:numPr>
      </w:pPr>
      <w:r>
        <w:t xml:space="preserve">the Business Events Grant program ($50 million). </w:t>
      </w:r>
    </w:p>
    <w:p w14:paraId="75E3843B" w14:textId="0EEC57CD" w:rsidR="002A46AC" w:rsidRDefault="00B1743A" w:rsidP="002E2C7A">
      <w:r>
        <w:t>This was in addition to the $76 million allocated for bushfire recovery in the tourism sector</w:t>
      </w:r>
      <w:r w:rsidR="00972917">
        <w:t>. W</w:t>
      </w:r>
      <w:r>
        <w:t>hole</w:t>
      </w:r>
      <w:r w:rsidR="00E83297">
        <w:t>-</w:t>
      </w:r>
      <w:r>
        <w:t>of</w:t>
      </w:r>
      <w:r w:rsidR="00E83297">
        <w:t>-</w:t>
      </w:r>
      <w:r>
        <w:t>economy measures such as</w:t>
      </w:r>
      <w:r w:rsidR="00E83297">
        <w:t xml:space="preserve"> the</w:t>
      </w:r>
      <w:r>
        <w:t xml:space="preserve"> </w:t>
      </w:r>
      <w:proofErr w:type="spellStart"/>
      <w:r>
        <w:t>JobKeeper</w:t>
      </w:r>
      <w:proofErr w:type="spellEnd"/>
      <w:r w:rsidR="00972917">
        <w:t xml:space="preserve"> </w:t>
      </w:r>
      <w:r w:rsidR="004E583D">
        <w:t>wage subsidy</w:t>
      </w:r>
      <w:r w:rsidR="00E83297">
        <w:t xml:space="preserve"> </w:t>
      </w:r>
      <w:r w:rsidR="00972917">
        <w:t xml:space="preserve">and boosting cash flow for </w:t>
      </w:r>
      <w:proofErr w:type="gramStart"/>
      <w:r w:rsidR="00972917">
        <w:t>employers</w:t>
      </w:r>
      <w:proofErr w:type="gramEnd"/>
      <w:r>
        <w:t xml:space="preserve"> program</w:t>
      </w:r>
      <w:r w:rsidR="00972917">
        <w:t>s were</w:t>
      </w:r>
      <w:r>
        <w:t xml:space="preserve"> </w:t>
      </w:r>
      <w:r w:rsidR="00AB3A23">
        <w:t xml:space="preserve">also </w:t>
      </w:r>
      <w:r>
        <w:t>highly utilised by the tourism industry</w:t>
      </w:r>
      <w:r w:rsidR="00BF188C">
        <w:t>.</w:t>
      </w:r>
    </w:p>
    <w:p w14:paraId="3454BCCD" w14:textId="644FAB6C" w:rsidR="002223D5" w:rsidRDefault="002A46AC" w:rsidP="002A46AC">
      <w:r>
        <w:t>The sector</w:t>
      </w:r>
      <w:r w:rsidR="00D67EE8">
        <w:t xml:space="preserve">s that were immediately affected were those reliant </w:t>
      </w:r>
      <w:r w:rsidR="0059167E">
        <w:t xml:space="preserve">on </w:t>
      </w:r>
      <w:r w:rsidR="00611BD8">
        <w:t xml:space="preserve">international </w:t>
      </w:r>
      <w:r>
        <w:t xml:space="preserve">leisure travel. </w:t>
      </w:r>
      <w:r w:rsidR="00BF188C">
        <w:t xml:space="preserve">In 2019, </w:t>
      </w:r>
      <w:r w:rsidR="00EB42EA">
        <w:t xml:space="preserve">holidaymakers accounted for </w:t>
      </w:r>
      <w:r w:rsidR="00D67EE8">
        <w:t>33</w:t>
      </w:r>
      <w:r w:rsidR="008F05B6">
        <w:t xml:space="preserve"> per cent</w:t>
      </w:r>
      <w:r w:rsidR="00EB42EA">
        <w:t xml:space="preserve"> of all international spend in Australia, with travellers </w:t>
      </w:r>
      <w:r w:rsidR="0059167E">
        <w:t xml:space="preserve">who visit </w:t>
      </w:r>
      <w:r w:rsidR="0059167E">
        <w:lastRenderedPageBreak/>
        <w:t xml:space="preserve">friends and relatives </w:t>
      </w:r>
      <w:r w:rsidR="00EB42EA">
        <w:t xml:space="preserve">contributing another </w:t>
      </w:r>
      <w:r w:rsidR="00D67EE8">
        <w:t>13</w:t>
      </w:r>
      <w:r w:rsidR="008F05B6">
        <w:t xml:space="preserve"> per cent</w:t>
      </w:r>
      <w:r w:rsidR="00EB42EA">
        <w:t xml:space="preserve">. </w:t>
      </w:r>
      <w:r>
        <w:t xml:space="preserve">While education </w:t>
      </w:r>
      <w:r w:rsidR="00EB42EA">
        <w:t xml:space="preserve">accounts for a large share of </w:t>
      </w:r>
      <w:r w:rsidR="00573ABC">
        <w:t>international spend (39</w:t>
      </w:r>
      <w:r w:rsidR="008F05B6">
        <w:t xml:space="preserve"> per cent</w:t>
      </w:r>
      <w:r w:rsidR="00573ABC">
        <w:t>)</w:t>
      </w:r>
      <w:r w:rsidR="00EB42EA">
        <w:t>, the impacts t</w:t>
      </w:r>
      <w:r w:rsidR="00D67EE8">
        <w:t>ook</w:t>
      </w:r>
      <w:r w:rsidR="00EB42EA">
        <w:t xml:space="preserve"> longer to </w:t>
      </w:r>
      <w:r w:rsidR="00D67EE8">
        <w:t>materialise</w:t>
      </w:r>
      <w:r w:rsidR="00EB42EA">
        <w:t xml:space="preserve"> </w:t>
      </w:r>
      <w:r w:rsidR="00E83297">
        <w:t>because</w:t>
      </w:r>
      <w:r w:rsidR="002223D5">
        <w:t>:</w:t>
      </w:r>
    </w:p>
    <w:p w14:paraId="31DBD792" w14:textId="77777777" w:rsidR="002223D5" w:rsidRPr="00573ABC" w:rsidRDefault="00EB42EA" w:rsidP="00713670">
      <w:pPr>
        <w:pStyle w:val="ListParagraph"/>
        <w:numPr>
          <w:ilvl w:val="0"/>
          <w:numId w:val="33"/>
        </w:numPr>
        <w:rPr>
          <w:i/>
        </w:rPr>
      </w:pPr>
      <w:proofErr w:type="gramStart"/>
      <w:r>
        <w:t>the majori</w:t>
      </w:r>
      <w:r w:rsidR="00573ABC">
        <w:t>ty of</w:t>
      </w:r>
      <w:proofErr w:type="gramEnd"/>
      <w:r w:rsidR="00573ABC">
        <w:t xml:space="preserve"> international students were</w:t>
      </w:r>
      <w:r>
        <w:t xml:space="preserve"> already in Australia </w:t>
      </w:r>
      <w:r w:rsidR="00573ABC">
        <w:t>when the pandemic hit</w:t>
      </w:r>
    </w:p>
    <w:p w14:paraId="59E9C05F" w14:textId="77777777" w:rsidR="002223D5" w:rsidRPr="00573ABC" w:rsidRDefault="00573ABC" w:rsidP="00713670">
      <w:pPr>
        <w:pStyle w:val="ListParagraph"/>
        <w:numPr>
          <w:ilvl w:val="0"/>
          <w:numId w:val="33"/>
        </w:numPr>
        <w:rPr>
          <w:i/>
        </w:rPr>
      </w:pPr>
      <w:r>
        <w:t>students were able</w:t>
      </w:r>
      <w:r w:rsidR="002223D5">
        <w:t xml:space="preserve"> to stay in Australia until the completion of their studies</w:t>
      </w:r>
    </w:p>
    <w:p w14:paraId="7785EF86" w14:textId="77777777" w:rsidR="002223D5" w:rsidRPr="00573ABC" w:rsidRDefault="00054C2E" w:rsidP="00713670">
      <w:pPr>
        <w:pStyle w:val="ListParagraph"/>
        <w:numPr>
          <w:ilvl w:val="0"/>
          <w:numId w:val="33"/>
        </w:numPr>
        <w:rPr>
          <w:i/>
        </w:rPr>
      </w:pPr>
      <w:r>
        <w:t>outbound flights from Australia were limited</w:t>
      </w:r>
      <w:r w:rsidR="6D851D53">
        <w:t xml:space="preserve">, </w:t>
      </w:r>
      <w:r>
        <w:t xml:space="preserve">making it difficult for students to return to their home country. </w:t>
      </w:r>
    </w:p>
    <w:p w14:paraId="6842E0E9" w14:textId="2A42C9B7" w:rsidR="002A46AC" w:rsidRDefault="00054C2E">
      <w:r>
        <w:t>A</w:t>
      </w:r>
      <w:r w:rsidR="002223D5">
        <w:t xml:space="preserve">t </w:t>
      </w:r>
      <w:r w:rsidR="00002F43">
        <w:t>the end 2020 there were still 386</w:t>
      </w:r>
      <w:r w:rsidR="002223D5">
        <w:t>,000 student visa holders</w:t>
      </w:r>
      <w:r w:rsidR="00002F43">
        <w:t xml:space="preserve"> in Australia</w:t>
      </w:r>
      <w:r w:rsidR="3AC8F435">
        <w:t xml:space="preserve">. </w:t>
      </w:r>
    </w:p>
    <w:p w14:paraId="68BB46F3" w14:textId="77777777" w:rsidR="00A02A85" w:rsidRDefault="00A02A85" w:rsidP="00A02A85">
      <w:pPr>
        <w:rPr>
          <w:i/>
          <w:sz w:val="18"/>
          <w:szCs w:val="18"/>
        </w:rPr>
      </w:pPr>
      <w:r>
        <w:rPr>
          <w:i/>
          <w:sz w:val="18"/>
          <w:szCs w:val="18"/>
        </w:rPr>
        <w:t>(Source: Home Affairs</w:t>
      </w:r>
      <w:r w:rsidRPr="00271757">
        <w:rPr>
          <w:i/>
          <w:sz w:val="18"/>
          <w:szCs w:val="18"/>
        </w:rPr>
        <w:t xml:space="preserve">, </w:t>
      </w:r>
      <w:r w:rsidRPr="00A02A85">
        <w:rPr>
          <w:i/>
          <w:sz w:val="18"/>
          <w:szCs w:val="18"/>
        </w:rPr>
        <w:t>St</w:t>
      </w:r>
      <w:r w:rsidR="004B77C8">
        <w:rPr>
          <w:i/>
          <w:sz w:val="18"/>
          <w:szCs w:val="18"/>
        </w:rPr>
        <w:t>udent visa holders by location</w:t>
      </w:r>
      <w:r w:rsidRPr="00271757">
        <w:rPr>
          <w:i/>
          <w:sz w:val="18"/>
          <w:szCs w:val="18"/>
        </w:rPr>
        <w:t xml:space="preserve">, </w:t>
      </w:r>
      <w:r>
        <w:rPr>
          <w:i/>
          <w:sz w:val="18"/>
          <w:szCs w:val="18"/>
        </w:rPr>
        <w:t>accessed</w:t>
      </w:r>
      <w:r w:rsidRPr="00271757">
        <w:rPr>
          <w:i/>
          <w:sz w:val="18"/>
          <w:szCs w:val="18"/>
        </w:rPr>
        <w:t xml:space="preserve"> </w:t>
      </w:r>
      <w:r>
        <w:rPr>
          <w:i/>
          <w:sz w:val="18"/>
          <w:szCs w:val="18"/>
        </w:rPr>
        <w:t>June 2021</w:t>
      </w:r>
      <w:r w:rsidRPr="00271757">
        <w:rPr>
          <w:i/>
          <w:sz w:val="18"/>
          <w:szCs w:val="18"/>
        </w:rPr>
        <w:t>)</w:t>
      </w:r>
    </w:p>
    <w:p w14:paraId="05BE03F1" w14:textId="77777777" w:rsidR="000B5C38" w:rsidRDefault="000B5C38" w:rsidP="000D7598">
      <w:pPr>
        <w:pStyle w:val="Heading2"/>
      </w:pPr>
      <w:r>
        <w:t>The impact on international education</w:t>
      </w:r>
    </w:p>
    <w:p w14:paraId="65A9EF5E" w14:textId="5F704824" w:rsidR="000B5C38" w:rsidRPr="00DA6F2E" w:rsidRDefault="000B5C38" w:rsidP="000B5C38">
      <w:r w:rsidRPr="00DA6F2E">
        <w:t xml:space="preserve">There is an overlap between international education and tourism. International students are counted as part of Australia’s Visitor Economy if their stay in Australia on any given visit is less than 12 months.  Therefore, it will include students taking short courses in Australia as well as those doing longer courses but returning during academic breaks. </w:t>
      </w:r>
    </w:p>
    <w:p w14:paraId="4350D98A" w14:textId="356013FF" w:rsidR="000B5C38" w:rsidRPr="00DA6F2E" w:rsidRDefault="000B5C38" w:rsidP="000B5C38">
      <w:r w:rsidRPr="00DA6F2E">
        <w:t xml:space="preserve">Prior to </w:t>
      </w:r>
      <w:r w:rsidR="000D5315">
        <w:t>Covid-19</w:t>
      </w:r>
      <w:r w:rsidRPr="00DA6F2E">
        <w:t xml:space="preserve">, Australia enjoyed consistent international student growth </w:t>
      </w:r>
      <w:r w:rsidR="00E83297">
        <w:t>from</w:t>
      </w:r>
      <w:r w:rsidRPr="00DA6F2E">
        <w:t xml:space="preserve"> 2013. In 2020, enrolments fell by 7.3</w:t>
      </w:r>
      <w:r w:rsidR="008F05B6">
        <w:t xml:space="preserve"> per cent</w:t>
      </w:r>
      <w:r w:rsidRPr="00DA6F2E">
        <w:t xml:space="preserve"> to 882,482 (</w:t>
      </w:r>
      <w:r w:rsidR="00611BD8">
        <w:t xml:space="preserve">down </w:t>
      </w:r>
      <w:r w:rsidRPr="00DA6F2E">
        <w:t>69,789), but this was 10,158 more enrolments than in 2018. Enrolments held up due to various factors:</w:t>
      </w:r>
    </w:p>
    <w:p w14:paraId="0FB66EA8" w14:textId="77777777" w:rsidR="000B5C38" w:rsidRPr="00DA6F2E" w:rsidRDefault="000B5C38" w:rsidP="00713670">
      <w:pPr>
        <w:pStyle w:val="ListParagraph"/>
        <w:numPr>
          <w:ilvl w:val="0"/>
          <w:numId w:val="33"/>
        </w:numPr>
      </w:pPr>
      <w:r w:rsidRPr="00DA6F2E">
        <w:t>At the time of border restrictions in March 2020, most international students (81</w:t>
      </w:r>
      <w:r w:rsidR="008F05B6">
        <w:t xml:space="preserve"> per cent</w:t>
      </w:r>
      <w:r w:rsidRPr="00DA6F2E">
        <w:t>) were already in Australia.</w:t>
      </w:r>
    </w:p>
    <w:p w14:paraId="64BFEF9B" w14:textId="77777777" w:rsidR="000B5C38" w:rsidRPr="00DA6F2E" w:rsidRDefault="000B5C38" w:rsidP="00713670">
      <w:pPr>
        <w:pStyle w:val="ListParagraph"/>
        <w:numPr>
          <w:ilvl w:val="0"/>
          <w:numId w:val="33"/>
        </w:numPr>
      </w:pPr>
      <w:r w:rsidRPr="00DA6F2E">
        <w:t>Enrolment growth in VET (</w:t>
      </w:r>
      <w:r w:rsidR="00611BD8">
        <w:t>up 2</w:t>
      </w:r>
      <w:r w:rsidRPr="00DA6F2E">
        <w:t>5,958) helped offset declines in key markets. It was the only sector to experience growth, appearing to be an attractive option to upskill and/or remain in Australia as a student.</w:t>
      </w:r>
    </w:p>
    <w:p w14:paraId="3257FF93" w14:textId="77777777" w:rsidR="000B5C38" w:rsidRPr="00DA6F2E" w:rsidRDefault="000B5C38" w:rsidP="00713670">
      <w:pPr>
        <w:pStyle w:val="ListParagraph"/>
        <w:numPr>
          <w:ilvl w:val="0"/>
          <w:numId w:val="33"/>
        </w:numPr>
      </w:pPr>
      <w:r w:rsidRPr="00DA6F2E">
        <w:t xml:space="preserve">Institutions developed online courses for enrolled students that were outside Australia. While many students have undertaken these online courses, others have decided to defer their studies to a later date. </w:t>
      </w:r>
    </w:p>
    <w:p w14:paraId="74F48450" w14:textId="77777777" w:rsidR="000B5C38" w:rsidRPr="005961BD" w:rsidRDefault="00A13FC4" w:rsidP="00A13FC4">
      <w:pPr>
        <w:pStyle w:val="Caption"/>
        <w:rPr>
          <w:b/>
          <w:i w:val="0"/>
          <w:iCs w:val="0"/>
          <w:sz w:val="22"/>
          <w:szCs w:val="22"/>
        </w:rPr>
      </w:pPr>
      <w:r w:rsidRPr="005961BD">
        <w:rPr>
          <w:b/>
          <w:i w:val="0"/>
          <w:iCs w:val="0"/>
          <w:sz w:val="22"/>
          <w:szCs w:val="22"/>
        </w:rPr>
        <w:t xml:space="preserve">Figure </w:t>
      </w:r>
      <w:r w:rsidR="00A56811" w:rsidRPr="005961BD">
        <w:rPr>
          <w:b/>
          <w:i w:val="0"/>
          <w:iCs w:val="0"/>
          <w:sz w:val="22"/>
          <w:szCs w:val="22"/>
        </w:rPr>
        <w:t>3</w:t>
      </w:r>
      <w:r w:rsidRPr="005961BD">
        <w:rPr>
          <w:b/>
          <w:i w:val="0"/>
          <w:iCs w:val="0"/>
          <w:sz w:val="22"/>
          <w:szCs w:val="22"/>
        </w:rPr>
        <w:t xml:space="preserve"> </w:t>
      </w:r>
      <w:r w:rsidR="007F37CE" w:rsidRPr="005961BD">
        <w:rPr>
          <w:b/>
          <w:i w:val="0"/>
          <w:iCs w:val="0"/>
          <w:sz w:val="22"/>
          <w:szCs w:val="22"/>
        </w:rPr>
        <w:t>–</w:t>
      </w:r>
      <w:r w:rsidRPr="005961BD">
        <w:rPr>
          <w:b/>
          <w:i w:val="0"/>
          <w:iCs w:val="0"/>
          <w:sz w:val="22"/>
          <w:szCs w:val="22"/>
        </w:rPr>
        <w:t xml:space="preserve"> International enrolments and commencements, 2013 to 2020</w:t>
      </w:r>
    </w:p>
    <w:p w14:paraId="6384F010" w14:textId="77777777" w:rsidR="000B5C38" w:rsidRPr="00DA6F2E" w:rsidRDefault="000B5C38" w:rsidP="000B5C38">
      <w:r>
        <w:rPr>
          <w:noProof/>
          <w:lang w:eastAsia="en-AU"/>
        </w:rPr>
        <w:drawing>
          <wp:inline distT="0" distB="0" distL="0" distR="0" wp14:anchorId="4FE7DB82" wp14:editId="08B9C6FE">
            <wp:extent cx="5943600" cy="2376173"/>
            <wp:effectExtent l="0" t="0" r="0" b="5080"/>
            <wp:docPr id="26" name="Chart 26" descr="Chart showing international enrolments and commencements, from 2013 to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DFA9184" w14:textId="63D7466B" w:rsidR="000B5C38" w:rsidRPr="00DA6F2E" w:rsidRDefault="000B5C38" w:rsidP="000B5C38">
      <w:r w:rsidRPr="00DA6F2E">
        <w:lastRenderedPageBreak/>
        <w:t>New enrolments were hard hit in 2020, declining by 21.9</w:t>
      </w:r>
      <w:r w:rsidR="008F05B6">
        <w:t xml:space="preserve"> per cent</w:t>
      </w:r>
      <w:r w:rsidRPr="00DA6F2E">
        <w:t xml:space="preserve"> on the previous year to 398,958. All sectors experienced declines, with </w:t>
      </w:r>
      <w:r w:rsidR="00E83297">
        <w:t>English language intensive courses for overseas students (</w:t>
      </w:r>
      <w:r w:rsidRPr="00DA6F2E">
        <w:t>ELICOS</w:t>
      </w:r>
      <w:r w:rsidR="00E83297">
        <w:t>)</w:t>
      </w:r>
      <w:r w:rsidRPr="00DA6F2E">
        <w:t xml:space="preserve"> falling the most. Declines in ELICOS are likely </w:t>
      </w:r>
      <w:r w:rsidR="00660935">
        <w:t xml:space="preserve">to impact </w:t>
      </w:r>
      <w:r w:rsidRPr="00DA6F2E">
        <w:t>other sectors</w:t>
      </w:r>
      <w:r w:rsidR="4AC0336C">
        <w:t xml:space="preserve"> eventually</w:t>
      </w:r>
      <w:r w:rsidRPr="00DA6F2E">
        <w:t xml:space="preserve">, due to its importance as a pathway </w:t>
      </w:r>
      <w:r w:rsidR="00660935">
        <w:t>to further study</w:t>
      </w:r>
      <w:r w:rsidRPr="00DA6F2E">
        <w:t xml:space="preserve">. Two thirds of students who completed an ELICOS course in 2019 </w:t>
      </w:r>
      <w:r w:rsidR="00611BD8">
        <w:t>undertook</w:t>
      </w:r>
      <w:r w:rsidRPr="00DA6F2E">
        <w:t xml:space="preserve"> subsequent study in another sector.</w:t>
      </w:r>
    </w:p>
    <w:p w14:paraId="10AD70E3" w14:textId="77777777" w:rsidR="000B5C38" w:rsidRDefault="000B5C38" w:rsidP="000B5C38">
      <w:r w:rsidRPr="00DA6F2E">
        <w:t>A year on from the border restrictions the proportion of student visa holders onshore has fallen to 68</w:t>
      </w:r>
      <w:r w:rsidR="008F05B6">
        <w:t xml:space="preserve"> per cent</w:t>
      </w:r>
      <w:r w:rsidRPr="00DA6F2E">
        <w:t>. Given students</w:t>
      </w:r>
      <w:r w:rsidR="00E83297">
        <w:t>’</w:t>
      </w:r>
      <w:r w:rsidRPr="00DA6F2E">
        <w:t xml:space="preserve"> preference to undertake courses face-to-face, industry feedback suggests that – due to border uncertainty – individuals keen to (re)commence their studies are considering other study destinations.</w:t>
      </w:r>
    </w:p>
    <w:p w14:paraId="20B43D42" w14:textId="77777777" w:rsidR="002A46AC" w:rsidRDefault="00AA4F8B" w:rsidP="00F135CE">
      <w:pPr>
        <w:pStyle w:val="Heading2"/>
      </w:pPr>
      <w:r>
        <w:t>National lockdown – the lowest point for tourism</w:t>
      </w:r>
    </w:p>
    <w:p w14:paraId="3D9EBD9B" w14:textId="7DD28175" w:rsidR="00794848" w:rsidRDefault="002A46AC" w:rsidP="002A46AC">
      <w:proofErr w:type="gramStart"/>
      <w:r>
        <w:t>In order to</w:t>
      </w:r>
      <w:proofErr w:type="gramEnd"/>
      <w:r>
        <w:t xml:space="preserve"> limit the spread of Covid-19, </w:t>
      </w:r>
      <w:r w:rsidRPr="0015761A">
        <w:t>Australia entered into</w:t>
      </w:r>
      <w:r>
        <w:t xml:space="preserve"> a national lockdown</w:t>
      </w:r>
      <w:r w:rsidRPr="0015761A">
        <w:t xml:space="preserve"> to ‘flatten the curve’</w:t>
      </w:r>
      <w:r>
        <w:t xml:space="preserve"> in April 2020</w:t>
      </w:r>
      <w:r w:rsidRPr="0015761A">
        <w:t>.</w:t>
      </w:r>
      <w:r w:rsidRPr="00F66C5C">
        <w:t xml:space="preserve"> </w:t>
      </w:r>
      <w:r w:rsidRPr="0015761A">
        <w:t xml:space="preserve">Australians were urged to stay at home unless it was </w:t>
      </w:r>
      <w:proofErr w:type="gramStart"/>
      <w:r w:rsidRPr="0015761A">
        <w:t>absolutely necessary</w:t>
      </w:r>
      <w:proofErr w:type="gramEnd"/>
      <w:r w:rsidRPr="0015761A">
        <w:t xml:space="preserve"> to leave the house. Acceptable reasons were limited to work, school, buying essentials, medical </w:t>
      </w:r>
      <w:proofErr w:type="gramStart"/>
      <w:r w:rsidRPr="0015761A">
        <w:t>care</w:t>
      </w:r>
      <w:proofErr w:type="gramEnd"/>
      <w:r w:rsidRPr="0015761A">
        <w:t xml:space="preserve"> and exercise. </w:t>
      </w:r>
      <w:proofErr w:type="gramStart"/>
      <w:r w:rsidRPr="0015761A">
        <w:t>A number of</w:t>
      </w:r>
      <w:proofErr w:type="gramEnd"/>
      <w:r w:rsidRPr="0015761A">
        <w:t xml:space="preserve"> other restrictions were enforced including limitations on gatherings, mobility restrictions, social distancing requirements</w:t>
      </w:r>
      <w:r w:rsidR="00E83297">
        <w:t>,</w:t>
      </w:r>
      <w:r>
        <w:t xml:space="preserve"> and strict capacity limits on venues and business premises</w:t>
      </w:r>
      <w:r w:rsidRPr="0015761A">
        <w:t xml:space="preserve">. </w:t>
      </w:r>
      <w:r w:rsidR="00794848">
        <w:t>Services that were considered non-essent</w:t>
      </w:r>
      <w:r w:rsidR="009B4A10">
        <w:t xml:space="preserve">ial were also limited. </w:t>
      </w:r>
      <w:r w:rsidR="0059167E">
        <w:t>Examples of c</w:t>
      </w:r>
      <w:r w:rsidR="009B4A10">
        <w:t xml:space="preserve">losures </w:t>
      </w:r>
      <w:r w:rsidR="00C75E32" w:rsidRPr="00C75E32">
        <w:t>included</w:t>
      </w:r>
      <w:r w:rsidR="00794848">
        <w:t>:</w:t>
      </w:r>
    </w:p>
    <w:p w14:paraId="0DDCB8BB" w14:textId="77777777" w:rsidR="00794848" w:rsidRDefault="00B71C61" w:rsidP="00713670">
      <w:pPr>
        <w:pStyle w:val="ListParagraph"/>
        <w:numPr>
          <w:ilvl w:val="0"/>
          <w:numId w:val="34"/>
        </w:numPr>
      </w:pPr>
      <w:r>
        <w:t>f</w:t>
      </w:r>
      <w:r w:rsidR="00EB537E">
        <w:t>ood and drink businesses being</w:t>
      </w:r>
      <w:r w:rsidR="009B4A10">
        <w:t xml:space="preserve"> limited to takeaway or home delivery</w:t>
      </w:r>
    </w:p>
    <w:p w14:paraId="67A7941B" w14:textId="0FBD518E" w:rsidR="009B4A10" w:rsidRDefault="00B71C61" w:rsidP="00713670">
      <w:pPr>
        <w:pStyle w:val="ListParagraph"/>
        <w:numPr>
          <w:ilvl w:val="0"/>
          <w:numId w:val="34"/>
        </w:numPr>
      </w:pPr>
      <w:r>
        <w:t>e</w:t>
      </w:r>
      <w:r w:rsidR="009B4A10">
        <w:t>ntertainment venues such as cinemas, nightc</w:t>
      </w:r>
      <w:r w:rsidR="00EB537E">
        <w:t>lubs and amusement parks closing</w:t>
      </w:r>
    </w:p>
    <w:p w14:paraId="22E9B62A" w14:textId="6CEE655D" w:rsidR="003C2AE9" w:rsidRDefault="00B71C61" w:rsidP="00713670">
      <w:pPr>
        <w:pStyle w:val="ListParagraph"/>
        <w:numPr>
          <w:ilvl w:val="0"/>
          <w:numId w:val="34"/>
        </w:numPr>
      </w:pPr>
      <w:r>
        <w:t>c</w:t>
      </w:r>
      <w:r w:rsidR="003C2AE9">
        <w:t>ultural experiences such as galleries, mu</w:t>
      </w:r>
      <w:r w:rsidR="00EB537E">
        <w:t>seums and historic sites closing.</w:t>
      </w:r>
    </w:p>
    <w:p w14:paraId="7AFE2160" w14:textId="77777777" w:rsidR="007E14C7" w:rsidRPr="0081355A" w:rsidRDefault="007E14C7" w:rsidP="007E14C7">
      <w:pPr>
        <w:rPr>
          <w:iCs/>
          <w:sz w:val="18"/>
          <w:szCs w:val="18"/>
        </w:rPr>
      </w:pPr>
      <w:r w:rsidRPr="0081355A">
        <w:rPr>
          <w:iCs/>
          <w:sz w:val="18"/>
          <w:szCs w:val="18"/>
        </w:rPr>
        <w:t xml:space="preserve">(Source: Prime Minister of Australia, </w:t>
      </w:r>
      <w:hyperlink r:id="rId20" w:history="1">
        <w:r w:rsidRPr="0081355A">
          <w:rPr>
            <w:rStyle w:val="Hyperlink"/>
            <w:iCs/>
            <w:sz w:val="18"/>
            <w:szCs w:val="18"/>
          </w:rPr>
          <w:t>Media statement</w:t>
        </w:r>
      </w:hyperlink>
      <w:r w:rsidRPr="0081355A">
        <w:rPr>
          <w:iCs/>
          <w:sz w:val="18"/>
          <w:szCs w:val="18"/>
        </w:rPr>
        <w:t>, statement made 24 March 2020)</w:t>
      </w:r>
    </w:p>
    <w:p w14:paraId="0F0617D9" w14:textId="48985425" w:rsidR="002A46AC" w:rsidRPr="00B543BF" w:rsidRDefault="003C2AE9" w:rsidP="002A46AC">
      <w:r>
        <w:t>State governments applied</w:t>
      </w:r>
      <w:r w:rsidR="002A46AC" w:rsidRPr="0015761A">
        <w:t xml:space="preserve"> the national health directives in different </w:t>
      </w:r>
      <w:r w:rsidR="002A46AC" w:rsidRPr="007E14C7">
        <w:t>ways</w:t>
      </w:r>
      <w:r w:rsidR="002A46AC" w:rsidRPr="0015761A">
        <w:t xml:space="preserve">. </w:t>
      </w:r>
      <w:r w:rsidR="00C75E32">
        <w:t>Except for</w:t>
      </w:r>
      <w:r w:rsidR="00EB537E">
        <w:t xml:space="preserve"> limited movement between New South Wales, </w:t>
      </w:r>
      <w:proofErr w:type="gramStart"/>
      <w:r w:rsidR="00EB537E">
        <w:t>Victoria</w:t>
      </w:r>
      <w:proofErr w:type="gramEnd"/>
      <w:r w:rsidR="00EB537E">
        <w:t xml:space="preserve"> and </w:t>
      </w:r>
      <w:r w:rsidR="00E83297">
        <w:t xml:space="preserve">the </w:t>
      </w:r>
      <w:r w:rsidR="00EB537E">
        <w:t>Australian Capital Territory</w:t>
      </w:r>
      <w:r w:rsidR="002A46AC">
        <w:t xml:space="preserve"> all o</w:t>
      </w:r>
      <w:r>
        <w:t xml:space="preserve">ther states and territories </w:t>
      </w:r>
      <w:r w:rsidR="002A46AC">
        <w:t xml:space="preserve">closed their borders to </w:t>
      </w:r>
      <w:r>
        <w:t>limit the spread of the</w:t>
      </w:r>
      <w:r w:rsidR="002A46AC">
        <w:t xml:space="preserve"> virus.</w:t>
      </w:r>
    </w:p>
    <w:p w14:paraId="77CDA80F" w14:textId="469C3C5B" w:rsidR="002A46AC" w:rsidRPr="0015761A" w:rsidRDefault="002A46AC" w:rsidP="002A46AC">
      <w:r>
        <w:t>As expected, l</w:t>
      </w:r>
      <w:r w:rsidRPr="0015761A">
        <w:t>ockdowns had a d</w:t>
      </w:r>
      <w:r>
        <w:t xml:space="preserve">evastating impact to </w:t>
      </w:r>
      <w:r w:rsidRPr="0015761A">
        <w:t>tourism. April 2020 became the most sev</w:t>
      </w:r>
      <w:r>
        <w:t>erely impacted mont</w:t>
      </w:r>
      <w:r w:rsidR="001D702E">
        <w:t>h.</w:t>
      </w:r>
    </w:p>
    <w:p w14:paraId="27B54B8D" w14:textId="77777777" w:rsidR="00FD479C" w:rsidRDefault="001D702E" w:rsidP="00713670">
      <w:pPr>
        <w:pStyle w:val="ListParagraph"/>
        <w:numPr>
          <w:ilvl w:val="0"/>
          <w:numId w:val="34"/>
        </w:numPr>
      </w:pPr>
      <w:r>
        <w:t xml:space="preserve">There was a </w:t>
      </w:r>
      <w:r w:rsidR="002A46AC" w:rsidRPr="0015761A">
        <w:t>91</w:t>
      </w:r>
      <w:r w:rsidR="008F05B6">
        <w:t xml:space="preserve"> per cent</w:t>
      </w:r>
      <w:r w:rsidR="002A46AC" w:rsidRPr="0015761A">
        <w:t xml:space="preserve"> drop in </w:t>
      </w:r>
      <w:r w:rsidR="007B00AC">
        <w:t xml:space="preserve">visitor </w:t>
      </w:r>
      <w:r w:rsidR="002A46AC" w:rsidRPr="0015761A">
        <w:t>spend</w:t>
      </w:r>
      <w:r w:rsidR="002A46AC">
        <w:t xml:space="preserve"> </w:t>
      </w:r>
      <w:r w:rsidR="003C2AE9">
        <w:t>(loss of $10.7 billion)</w:t>
      </w:r>
      <w:r>
        <w:t>.</w:t>
      </w:r>
    </w:p>
    <w:p w14:paraId="71201CB0" w14:textId="77777777" w:rsidR="00FD479C" w:rsidRDefault="001D702E" w:rsidP="00713670">
      <w:pPr>
        <w:pStyle w:val="ListParagraph"/>
        <w:numPr>
          <w:ilvl w:val="0"/>
          <w:numId w:val="34"/>
        </w:numPr>
      </w:pPr>
      <w:r>
        <w:t xml:space="preserve">There was a </w:t>
      </w:r>
      <w:r w:rsidR="002A46AC" w:rsidRPr="0015761A">
        <w:t>99</w:t>
      </w:r>
      <w:r w:rsidR="008F05B6">
        <w:t xml:space="preserve"> per cent</w:t>
      </w:r>
      <w:r w:rsidR="002A46AC" w:rsidRPr="0015761A">
        <w:t xml:space="preserve"> drop to international visitor spend </w:t>
      </w:r>
      <w:r w:rsidR="003C2AE9">
        <w:t>(loss of $1.9 billion)</w:t>
      </w:r>
      <w:r>
        <w:t>.</w:t>
      </w:r>
    </w:p>
    <w:p w14:paraId="77F97C2D" w14:textId="77777777" w:rsidR="00FD479C" w:rsidRDefault="001D702E" w:rsidP="00713670">
      <w:pPr>
        <w:pStyle w:val="ListParagraph"/>
        <w:numPr>
          <w:ilvl w:val="0"/>
          <w:numId w:val="34"/>
        </w:numPr>
      </w:pPr>
      <w:r>
        <w:t xml:space="preserve">There was a </w:t>
      </w:r>
      <w:r w:rsidR="002A46AC" w:rsidRPr="0015761A">
        <w:t>97</w:t>
      </w:r>
      <w:r w:rsidR="008F05B6">
        <w:t xml:space="preserve"> per cent</w:t>
      </w:r>
      <w:r w:rsidR="002A46AC" w:rsidRPr="0015761A">
        <w:t xml:space="preserve"> drop in domestic </w:t>
      </w:r>
      <w:r w:rsidR="002A46AC">
        <w:t>flight passengers (fare paying)</w:t>
      </w:r>
      <w:r>
        <w:t>.</w:t>
      </w:r>
      <w:r w:rsidR="00007683" w:rsidRPr="00007683">
        <w:rPr>
          <w:vertAlign w:val="superscript"/>
        </w:rPr>
        <w:t>1</w:t>
      </w:r>
    </w:p>
    <w:p w14:paraId="391DCE72" w14:textId="72C43E41" w:rsidR="00FD479C" w:rsidRDefault="001D702E" w:rsidP="00713670">
      <w:pPr>
        <w:pStyle w:val="ListParagraph"/>
        <w:numPr>
          <w:ilvl w:val="0"/>
          <w:numId w:val="34"/>
        </w:numPr>
      </w:pPr>
      <w:r>
        <w:t>H</w:t>
      </w:r>
      <w:r w:rsidR="002A46AC" w:rsidRPr="0015761A">
        <w:t>otel occupancy fell to just 20</w:t>
      </w:r>
      <w:r w:rsidR="008F05B6">
        <w:t xml:space="preserve"> per cent</w:t>
      </w:r>
      <w:r w:rsidR="002A46AC">
        <w:t xml:space="preserve"> with many businesses going into hibernation</w:t>
      </w:r>
      <w:r>
        <w:t>.</w:t>
      </w:r>
      <w:r w:rsidR="00007683" w:rsidRPr="00007683">
        <w:rPr>
          <w:vertAlign w:val="superscript"/>
        </w:rPr>
        <w:t>2</w:t>
      </w:r>
    </w:p>
    <w:p w14:paraId="4785CE3F" w14:textId="0698DEBC" w:rsidR="00FD479C" w:rsidRDefault="001D702E" w:rsidP="00713670">
      <w:pPr>
        <w:pStyle w:val="ListParagraph"/>
        <w:numPr>
          <w:ilvl w:val="0"/>
          <w:numId w:val="34"/>
        </w:numPr>
      </w:pPr>
      <w:r>
        <w:t>C</w:t>
      </w:r>
      <w:r w:rsidR="0058478F">
        <w:t>onsumer sentiment</w:t>
      </w:r>
      <w:r w:rsidR="002A46AC" w:rsidRPr="0015761A">
        <w:t xml:space="preserve"> hit a low point (19</w:t>
      </w:r>
      <w:r w:rsidR="008F05B6">
        <w:t xml:space="preserve"> per cent</w:t>
      </w:r>
      <w:r w:rsidR="002A46AC" w:rsidRPr="0015761A">
        <w:t xml:space="preserve"> drop compared to Jan</w:t>
      </w:r>
      <w:r w:rsidR="001206CA">
        <w:t>uary 2020</w:t>
      </w:r>
      <w:r w:rsidR="002A46AC" w:rsidRPr="0015761A">
        <w:t>)</w:t>
      </w:r>
      <w:r>
        <w:t>.</w:t>
      </w:r>
      <w:r w:rsidR="00007683" w:rsidRPr="00007683">
        <w:rPr>
          <w:vertAlign w:val="superscript"/>
        </w:rPr>
        <w:t>3</w:t>
      </w:r>
    </w:p>
    <w:p w14:paraId="734610C3" w14:textId="124EDAFD" w:rsidR="00FD479C" w:rsidRDefault="001D702E" w:rsidP="00713670">
      <w:pPr>
        <w:pStyle w:val="ListParagraph"/>
        <w:numPr>
          <w:ilvl w:val="0"/>
          <w:numId w:val="34"/>
        </w:numPr>
      </w:pPr>
      <w:r>
        <w:t>O</w:t>
      </w:r>
      <w:r w:rsidR="002A46AC" w:rsidRPr="0015761A">
        <w:t>nly 29</w:t>
      </w:r>
      <w:r w:rsidR="008F05B6">
        <w:t xml:space="preserve"> per cent</w:t>
      </w:r>
      <w:r w:rsidR="002A46AC" w:rsidRPr="0015761A">
        <w:t xml:space="preserve"> of people intended to travel in t</w:t>
      </w:r>
      <w:r w:rsidR="002A46AC">
        <w:t>he 6 months following April</w:t>
      </w:r>
      <w:r w:rsidR="00007683">
        <w:t xml:space="preserve"> 2020</w:t>
      </w:r>
      <w:r>
        <w:t>.</w:t>
      </w:r>
      <w:r w:rsidR="00007683" w:rsidRPr="00007683">
        <w:rPr>
          <w:vertAlign w:val="superscript"/>
        </w:rPr>
        <w:t>4</w:t>
      </w:r>
    </w:p>
    <w:p w14:paraId="61FE0CC9" w14:textId="3E73C5F2" w:rsidR="002A46AC" w:rsidRDefault="001D702E" w:rsidP="00713670">
      <w:pPr>
        <w:pStyle w:val="ListParagraph"/>
        <w:numPr>
          <w:ilvl w:val="0"/>
          <w:numId w:val="34"/>
        </w:numPr>
      </w:pPr>
      <w:r>
        <w:t>M</w:t>
      </w:r>
      <w:r w:rsidR="002A46AC" w:rsidRPr="0015761A">
        <w:t>ore than half of Australians wanted to travel domestically once restrictions w</w:t>
      </w:r>
      <w:r w:rsidR="00007683">
        <w:t>ere lifted</w:t>
      </w:r>
      <w:r>
        <w:t>.</w:t>
      </w:r>
      <w:r w:rsidR="00007683" w:rsidRPr="00007683">
        <w:rPr>
          <w:vertAlign w:val="superscript"/>
        </w:rPr>
        <w:t>5</w:t>
      </w:r>
    </w:p>
    <w:p w14:paraId="6A3D7646" w14:textId="4A484CE1" w:rsidR="00BE46E9" w:rsidRDefault="00BE46E9" w:rsidP="00BE46E9">
      <w:r w:rsidRPr="0015761A">
        <w:t>The shock to tourism was felt globally, with international tourist arrivals dropping by 97</w:t>
      </w:r>
      <w:r>
        <w:t xml:space="preserve"> per cent</w:t>
      </w:r>
      <w:r w:rsidRPr="0015761A">
        <w:t>, and global hotel occupancy rates falling to 22</w:t>
      </w:r>
      <w:r>
        <w:t xml:space="preserve"> per cent (April 2020)</w:t>
      </w:r>
      <w:r w:rsidR="001206CA" w:rsidRPr="001206CA">
        <w:rPr>
          <w:vertAlign w:val="superscript"/>
        </w:rPr>
        <w:t xml:space="preserve"> </w:t>
      </w:r>
      <w:r w:rsidR="001206CA">
        <w:rPr>
          <w:vertAlign w:val="superscript"/>
        </w:rPr>
        <w:t>6</w:t>
      </w:r>
      <w:r>
        <w:t>.</w:t>
      </w:r>
    </w:p>
    <w:p w14:paraId="427314D8" w14:textId="77777777" w:rsidR="0058478F" w:rsidRPr="005961BD" w:rsidRDefault="0058478F" w:rsidP="0058478F">
      <w:pPr>
        <w:rPr>
          <w:iCs/>
          <w:sz w:val="18"/>
          <w:szCs w:val="18"/>
        </w:rPr>
      </w:pPr>
      <w:r w:rsidRPr="005961BD">
        <w:rPr>
          <w:iCs/>
          <w:sz w:val="18"/>
          <w:szCs w:val="18"/>
        </w:rPr>
        <w:t>(Source</w:t>
      </w:r>
      <w:r w:rsidR="00007683" w:rsidRPr="005961BD">
        <w:rPr>
          <w:iCs/>
          <w:sz w:val="18"/>
          <w:szCs w:val="18"/>
        </w:rPr>
        <w:t xml:space="preserve"> 1</w:t>
      </w:r>
      <w:r w:rsidRPr="005961BD">
        <w:rPr>
          <w:iCs/>
          <w:sz w:val="18"/>
          <w:szCs w:val="18"/>
        </w:rPr>
        <w:t xml:space="preserve">: Department of Infrastructure, Transport, Regional Development and Communications, </w:t>
      </w:r>
      <w:hyperlink r:id="rId21" w:history="1">
        <w:r w:rsidRPr="005961BD">
          <w:rPr>
            <w:rStyle w:val="Hyperlink"/>
            <w:iCs/>
            <w:sz w:val="18"/>
            <w:szCs w:val="18"/>
          </w:rPr>
          <w:t>Domestic aviation activity</w:t>
        </w:r>
      </w:hyperlink>
      <w:r w:rsidRPr="005961BD">
        <w:rPr>
          <w:iCs/>
          <w:sz w:val="18"/>
          <w:szCs w:val="18"/>
        </w:rPr>
        <w:t>, accessed June 2021)</w:t>
      </w:r>
    </w:p>
    <w:p w14:paraId="53F37E54" w14:textId="76621D4F" w:rsidR="0058478F" w:rsidRPr="005961BD" w:rsidRDefault="0058478F" w:rsidP="0058478F">
      <w:pPr>
        <w:rPr>
          <w:iCs/>
          <w:sz w:val="18"/>
          <w:szCs w:val="18"/>
        </w:rPr>
      </w:pPr>
      <w:r w:rsidRPr="005961BD">
        <w:rPr>
          <w:iCs/>
          <w:sz w:val="18"/>
          <w:szCs w:val="18"/>
        </w:rPr>
        <w:t>(Source</w:t>
      </w:r>
      <w:r w:rsidR="00007683" w:rsidRPr="005961BD">
        <w:rPr>
          <w:iCs/>
          <w:sz w:val="18"/>
          <w:szCs w:val="18"/>
        </w:rPr>
        <w:t xml:space="preserve"> 2</w:t>
      </w:r>
      <w:r w:rsidRPr="005961BD">
        <w:rPr>
          <w:iCs/>
          <w:sz w:val="18"/>
          <w:szCs w:val="18"/>
        </w:rPr>
        <w:t xml:space="preserve">: STR, </w:t>
      </w:r>
      <w:hyperlink r:id="rId22" w:history="1">
        <w:r w:rsidRPr="005961BD">
          <w:rPr>
            <w:rStyle w:val="Hyperlink"/>
            <w:iCs/>
            <w:sz w:val="18"/>
            <w:szCs w:val="18"/>
          </w:rPr>
          <w:t>Australian Accommodation Monitor</w:t>
        </w:r>
      </w:hyperlink>
      <w:r w:rsidRPr="005961BD">
        <w:rPr>
          <w:iCs/>
          <w:sz w:val="18"/>
          <w:szCs w:val="18"/>
        </w:rPr>
        <w:t>, financial year 2019</w:t>
      </w:r>
      <w:r w:rsidR="001D702E" w:rsidRPr="005961BD">
        <w:rPr>
          <w:iCs/>
          <w:sz w:val="18"/>
          <w:szCs w:val="18"/>
        </w:rPr>
        <w:t>–</w:t>
      </w:r>
      <w:r w:rsidRPr="005961BD">
        <w:rPr>
          <w:iCs/>
          <w:sz w:val="18"/>
          <w:szCs w:val="18"/>
        </w:rPr>
        <w:t>20)</w:t>
      </w:r>
    </w:p>
    <w:p w14:paraId="3F4250E1" w14:textId="77777777" w:rsidR="003E6529" w:rsidRPr="005961BD" w:rsidRDefault="003E6529" w:rsidP="003E6529">
      <w:pPr>
        <w:rPr>
          <w:iCs/>
          <w:sz w:val="18"/>
          <w:szCs w:val="18"/>
        </w:rPr>
      </w:pPr>
      <w:r w:rsidRPr="005961BD">
        <w:rPr>
          <w:iCs/>
          <w:sz w:val="18"/>
          <w:szCs w:val="18"/>
        </w:rPr>
        <w:t>(Source</w:t>
      </w:r>
      <w:r w:rsidR="00007683" w:rsidRPr="005961BD">
        <w:rPr>
          <w:iCs/>
          <w:sz w:val="18"/>
          <w:szCs w:val="18"/>
        </w:rPr>
        <w:t xml:space="preserve"> 3</w:t>
      </w:r>
      <w:r w:rsidRPr="005961BD">
        <w:rPr>
          <w:iCs/>
          <w:sz w:val="18"/>
          <w:szCs w:val="18"/>
        </w:rPr>
        <w:t xml:space="preserve">: Melbourne Institute, </w:t>
      </w:r>
      <w:hyperlink r:id="rId23" w:history="1">
        <w:r w:rsidRPr="005961BD">
          <w:rPr>
            <w:rStyle w:val="Hyperlink"/>
            <w:iCs/>
            <w:sz w:val="18"/>
            <w:szCs w:val="18"/>
          </w:rPr>
          <w:t>Westpac-Melbourne Institute consumer sentiment index</w:t>
        </w:r>
      </w:hyperlink>
      <w:r w:rsidRPr="005961BD">
        <w:rPr>
          <w:iCs/>
          <w:sz w:val="18"/>
          <w:szCs w:val="18"/>
        </w:rPr>
        <w:t>, accessed April 2021 via RBA)</w:t>
      </w:r>
    </w:p>
    <w:p w14:paraId="6E25A4F2" w14:textId="77777777" w:rsidR="003E6529" w:rsidRPr="005961BD" w:rsidRDefault="003E6529" w:rsidP="003E6529">
      <w:pPr>
        <w:rPr>
          <w:iCs/>
          <w:sz w:val="18"/>
          <w:szCs w:val="18"/>
        </w:rPr>
      </w:pPr>
      <w:r w:rsidRPr="005961BD">
        <w:rPr>
          <w:iCs/>
          <w:sz w:val="18"/>
          <w:szCs w:val="18"/>
        </w:rPr>
        <w:lastRenderedPageBreak/>
        <w:t>(Source</w:t>
      </w:r>
      <w:r w:rsidR="00007683" w:rsidRPr="005961BD">
        <w:rPr>
          <w:iCs/>
          <w:sz w:val="18"/>
          <w:szCs w:val="18"/>
        </w:rPr>
        <w:t xml:space="preserve"> 4</w:t>
      </w:r>
      <w:r w:rsidRPr="005961BD">
        <w:rPr>
          <w:iCs/>
          <w:sz w:val="18"/>
          <w:szCs w:val="18"/>
        </w:rPr>
        <w:t xml:space="preserve">: Tourism Australia, </w:t>
      </w:r>
      <w:hyperlink r:id="rId24" w:history="1">
        <w:r w:rsidRPr="005961BD">
          <w:rPr>
            <w:rStyle w:val="Hyperlink"/>
            <w:iCs/>
            <w:sz w:val="18"/>
            <w:szCs w:val="18"/>
          </w:rPr>
          <w:t>Domestic Travel Sentiment Tracker</w:t>
        </w:r>
      </w:hyperlink>
      <w:r w:rsidRPr="005961BD">
        <w:rPr>
          <w:iCs/>
          <w:sz w:val="18"/>
          <w:szCs w:val="18"/>
        </w:rPr>
        <w:t>, accessed March 2021)</w:t>
      </w:r>
    </w:p>
    <w:p w14:paraId="3535D69E" w14:textId="77777777" w:rsidR="003E6529" w:rsidRPr="005961BD" w:rsidRDefault="003E6529" w:rsidP="003E6529">
      <w:pPr>
        <w:rPr>
          <w:iCs/>
          <w:sz w:val="18"/>
          <w:szCs w:val="18"/>
        </w:rPr>
      </w:pPr>
      <w:r w:rsidRPr="005961BD">
        <w:rPr>
          <w:iCs/>
          <w:sz w:val="18"/>
          <w:szCs w:val="18"/>
        </w:rPr>
        <w:t>(Source</w:t>
      </w:r>
      <w:r w:rsidR="00007683" w:rsidRPr="005961BD">
        <w:rPr>
          <w:iCs/>
          <w:sz w:val="18"/>
          <w:szCs w:val="18"/>
        </w:rPr>
        <w:t xml:space="preserve"> 5</w:t>
      </w:r>
      <w:r w:rsidRPr="005961BD">
        <w:rPr>
          <w:iCs/>
          <w:sz w:val="18"/>
          <w:szCs w:val="18"/>
        </w:rPr>
        <w:t>: The University of Queensland,</w:t>
      </w:r>
      <w:r w:rsidRPr="00B65010">
        <w:rPr>
          <w:iCs/>
        </w:rPr>
        <w:t xml:space="preserve"> </w:t>
      </w:r>
      <w:hyperlink r:id="rId25" w:history="1">
        <w:r w:rsidRPr="005961BD">
          <w:rPr>
            <w:rStyle w:val="Hyperlink"/>
            <w:iCs/>
            <w:sz w:val="18"/>
            <w:szCs w:val="18"/>
          </w:rPr>
          <w:t>Sunny outlook for domestic tourism post COVID-19 restrictions</w:t>
        </w:r>
      </w:hyperlink>
      <w:r w:rsidRPr="005961BD">
        <w:rPr>
          <w:iCs/>
          <w:sz w:val="18"/>
          <w:szCs w:val="18"/>
        </w:rPr>
        <w:t>, accessed June 2021)</w:t>
      </w:r>
    </w:p>
    <w:p w14:paraId="148DFC7D" w14:textId="4274C7D9" w:rsidR="00BE46E9" w:rsidRPr="005961BD" w:rsidRDefault="00BE46E9" w:rsidP="00BE46E9">
      <w:pPr>
        <w:rPr>
          <w:iCs/>
          <w:sz w:val="18"/>
          <w:szCs w:val="18"/>
        </w:rPr>
      </w:pPr>
      <w:r w:rsidRPr="005961BD">
        <w:rPr>
          <w:iCs/>
          <w:sz w:val="18"/>
          <w:szCs w:val="18"/>
        </w:rPr>
        <w:t xml:space="preserve">(Source </w:t>
      </w:r>
      <w:r w:rsidR="001206CA">
        <w:rPr>
          <w:iCs/>
          <w:sz w:val="18"/>
          <w:szCs w:val="18"/>
        </w:rPr>
        <w:t>6</w:t>
      </w:r>
      <w:r w:rsidRPr="005961BD">
        <w:rPr>
          <w:iCs/>
          <w:sz w:val="18"/>
          <w:szCs w:val="18"/>
        </w:rPr>
        <w:t xml:space="preserve">: UNWTO, </w:t>
      </w:r>
      <w:hyperlink r:id="rId26" w:history="1">
        <w:r w:rsidRPr="005961BD">
          <w:rPr>
            <w:rStyle w:val="Hyperlink"/>
            <w:iCs/>
            <w:sz w:val="18"/>
            <w:szCs w:val="18"/>
          </w:rPr>
          <w:t>UNWTO Tourism Recovery Tracker</w:t>
        </w:r>
      </w:hyperlink>
      <w:r w:rsidRPr="005961BD">
        <w:rPr>
          <w:iCs/>
          <w:sz w:val="18"/>
          <w:szCs w:val="18"/>
        </w:rPr>
        <w:t>, accessed April 2021)</w:t>
      </w:r>
    </w:p>
    <w:p w14:paraId="7EA36365" w14:textId="77777777" w:rsidR="00793F72" w:rsidRDefault="002A46AC" w:rsidP="002A46AC">
      <w:bookmarkStart w:id="0" w:name="_Hlk76055558"/>
      <w:r w:rsidRPr="0015761A">
        <w:t xml:space="preserve">Some businesses were able to use the lockdown as an opportunity to renovate their properties. </w:t>
      </w:r>
    </w:p>
    <w:p w14:paraId="5D29164C" w14:textId="77777777" w:rsidR="00793F72" w:rsidRDefault="002A46AC" w:rsidP="002A46AC">
      <w:r w:rsidRPr="0015761A">
        <w:t xml:space="preserve">The </w:t>
      </w:r>
      <w:proofErr w:type="spellStart"/>
      <w:r w:rsidRPr="0015761A">
        <w:t>Vinegrove</w:t>
      </w:r>
      <w:proofErr w:type="spellEnd"/>
      <w:r w:rsidRPr="0015761A">
        <w:t>, a popular wedding destination in Mudgee</w:t>
      </w:r>
      <w:r w:rsidR="001D702E">
        <w:t>,</w:t>
      </w:r>
      <w:r w:rsidRPr="0015761A">
        <w:t xml:space="preserve"> was forced to postpone bookings during peak period. Owners Sarah and Tim Ferris said</w:t>
      </w:r>
      <w:r w:rsidR="001D702E">
        <w:t>:</w:t>
      </w:r>
      <w:r w:rsidRPr="0015761A">
        <w:t xml:space="preserve"> “We’re painting those things that need painting and fixing up, propping up, and just making everything better again”.</w:t>
      </w:r>
    </w:p>
    <w:p w14:paraId="0C493E26" w14:textId="77777777" w:rsidR="00793F72" w:rsidRPr="005961BD" w:rsidRDefault="00793F72" w:rsidP="002A46AC">
      <w:pPr>
        <w:rPr>
          <w:iCs/>
          <w:sz w:val="18"/>
          <w:szCs w:val="18"/>
        </w:rPr>
      </w:pPr>
      <w:r w:rsidRPr="005961BD">
        <w:rPr>
          <w:iCs/>
          <w:sz w:val="18"/>
          <w:szCs w:val="18"/>
        </w:rPr>
        <w:t xml:space="preserve">(Source: SBS, </w:t>
      </w:r>
      <w:hyperlink r:id="rId27" w:history="1">
        <w:r w:rsidRPr="005961BD">
          <w:rPr>
            <w:rStyle w:val="Hyperlink"/>
            <w:iCs/>
            <w:sz w:val="18"/>
            <w:szCs w:val="18"/>
          </w:rPr>
          <w:t>After drought and bushfires, coronavirus is impacting tourism in Australia's regions</w:t>
        </w:r>
      </w:hyperlink>
      <w:r w:rsidRPr="005961BD">
        <w:rPr>
          <w:iCs/>
          <w:sz w:val="18"/>
          <w:szCs w:val="18"/>
        </w:rPr>
        <w:t>, accessed May 2020)</w:t>
      </w:r>
    </w:p>
    <w:p w14:paraId="70E1F7CA" w14:textId="77777777" w:rsidR="00793F72" w:rsidRDefault="002A46AC" w:rsidP="002A46AC">
      <w:r w:rsidRPr="0015761A">
        <w:t xml:space="preserve">However, not all businesses were in this position, with some new hotel openings postponed due to lack of financial viability. </w:t>
      </w:r>
    </w:p>
    <w:p w14:paraId="27EC053C" w14:textId="2AACDEFF" w:rsidR="002A46AC" w:rsidRDefault="002A46AC" w:rsidP="002A46AC">
      <w:r w:rsidRPr="0015761A">
        <w:t xml:space="preserve">Crowne Plaza Sydney Darling Harbour was expected to open in May </w:t>
      </w:r>
      <w:proofErr w:type="gramStart"/>
      <w:r w:rsidRPr="0015761A">
        <w:t>2020,</w:t>
      </w:r>
      <w:r w:rsidR="001206CA">
        <w:t>however</w:t>
      </w:r>
      <w:proofErr w:type="gramEnd"/>
      <w:r w:rsidRPr="0015761A">
        <w:t xml:space="preserve"> </w:t>
      </w:r>
      <w:r w:rsidR="001206CA">
        <w:t>did not</w:t>
      </w:r>
      <w:r w:rsidR="00793F72">
        <w:t xml:space="preserve"> open until September</w:t>
      </w:r>
      <w:r w:rsidRPr="0015761A">
        <w:t xml:space="preserve"> 2020.</w:t>
      </w:r>
    </w:p>
    <w:bookmarkEnd w:id="0"/>
    <w:p w14:paraId="383D9C51" w14:textId="4C19CD4E" w:rsidR="00B05C12" w:rsidRDefault="00AA4F8B" w:rsidP="009F174D">
      <w:pPr>
        <w:pStyle w:val="Heading2"/>
      </w:pPr>
      <w:r>
        <w:t>The beginning</w:t>
      </w:r>
      <w:r w:rsidR="00E47B5D">
        <w:t>s</w:t>
      </w:r>
      <w:r>
        <w:t xml:space="preserve"> of a domestic</w:t>
      </w:r>
      <w:r w:rsidR="001D702E">
        <w:t>-</w:t>
      </w:r>
      <w:r>
        <w:t>led tourism recovery</w:t>
      </w:r>
    </w:p>
    <w:p w14:paraId="2EA29350" w14:textId="77777777" w:rsidR="004370F4" w:rsidRDefault="004370F4" w:rsidP="004370F4">
      <w:r>
        <w:t xml:space="preserve">Closure of international borders meant </w:t>
      </w:r>
      <w:r w:rsidR="00611BD8">
        <w:t xml:space="preserve">Australia’s visitor economy </w:t>
      </w:r>
      <w:r>
        <w:t>relied on domestic travellers to lead the recovery. Australia's success in containing Covid-19 allowed for mobility – albeit with restrictions – facilitat</w:t>
      </w:r>
      <w:r w:rsidR="0059167E">
        <w:t>ing</w:t>
      </w:r>
      <w:r>
        <w:t xml:space="preserve"> the restart of domestic tourism. </w:t>
      </w:r>
    </w:p>
    <w:p w14:paraId="2DFA2D45" w14:textId="14E60367" w:rsidR="000C4F7F" w:rsidRDefault="00611BD8" w:rsidP="004370F4">
      <w:pPr>
        <w:rPr>
          <w:b/>
        </w:rPr>
      </w:pPr>
      <w:r>
        <w:t>Australia was fortunate in th</w:t>
      </w:r>
      <w:r w:rsidR="001D702E">
        <w:t>is</w:t>
      </w:r>
      <w:r>
        <w:t xml:space="preserve"> respect. </w:t>
      </w:r>
      <w:r w:rsidR="000C4F7F">
        <w:t>Aus</w:t>
      </w:r>
      <w:r>
        <w:t xml:space="preserve">tralians are keen travellers with </w:t>
      </w:r>
      <w:r w:rsidR="000C4F7F">
        <w:t>77</w:t>
      </w:r>
      <w:r w:rsidR="008F05B6">
        <w:t xml:space="preserve"> per cent</w:t>
      </w:r>
      <w:r w:rsidR="000C4F7F">
        <w:t xml:space="preserve"> of all </w:t>
      </w:r>
      <w:r w:rsidR="007B00AC">
        <w:t xml:space="preserve">visitor </w:t>
      </w:r>
      <w:r w:rsidR="000C4F7F">
        <w:t xml:space="preserve">spend in </w:t>
      </w:r>
      <w:r>
        <w:t>2019 coming from d</w:t>
      </w:r>
      <w:r w:rsidR="000C4F7F">
        <w:t>omestic travel. This share is even higher for regional destinations where domestic tourism accounts for more than 90</w:t>
      </w:r>
      <w:r w:rsidR="008F05B6">
        <w:t xml:space="preserve"> per cent</w:t>
      </w:r>
      <w:r w:rsidR="000C4F7F">
        <w:t xml:space="preserve"> of all visitor spend. The industry also sought to </w:t>
      </w:r>
      <w:r w:rsidR="0059167E">
        <w:t>capture</w:t>
      </w:r>
      <w:r w:rsidR="000C4F7F">
        <w:t xml:space="preserve"> domestic travellers that would have holidayed overseas. In 2019, Australians spent $65 billion travelling overseas, with $43 billion of this being for a holiday. </w:t>
      </w:r>
    </w:p>
    <w:p w14:paraId="71A7754C" w14:textId="77777777" w:rsidR="002A46AC" w:rsidRPr="000C4F7F" w:rsidRDefault="00611BD8" w:rsidP="004370F4">
      <w:pPr>
        <w:rPr>
          <w:b/>
        </w:rPr>
      </w:pPr>
      <w:r>
        <w:t>In</w:t>
      </w:r>
      <w:r w:rsidR="0099230C">
        <w:t xml:space="preserve">strumental to the return of domestic travel </w:t>
      </w:r>
      <w:r w:rsidR="00C76519">
        <w:t>was the</w:t>
      </w:r>
      <w:r w:rsidR="000D5315">
        <w:t xml:space="preserve"> three stage </w:t>
      </w:r>
      <w:proofErr w:type="spellStart"/>
      <w:r w:rsidR="000D5315">
        <w:t>Covid</w:t>
      </w:r>
      <w:r w:rsidR="002A46AC">
        <w:t>Safe</w:t>
      </w:r>
      <w:proofErr w:type="spellEnd"/>
      <w:r w:rsidR="002A46AC">
        <w:t xml:space="preserve"> roadmap to recovery</w:t>
      </w:r>
      <w:r w:rsidR="00D2428A">
        <w:t xml:space="preserve"> announced </w:t>
      </w:r>
      <w:r w:rsidR="00C76519">
        <w:t xml:space="preserve">by </w:t>
      </w:r>
      <w:r w:rsidR="0059167E">
        <w:t xml:space="preserve">the </w:t>
      </w:r>
      <w:r w:rsidR="00C76519">
        <w:t xml:space="preserve">Prime Minister </w:t>
      </w:r>
      <w:r w:rsidR="00D2428A">
        <w:t>in May 2020</w:t>
      </w:r>
      <w:r w:rsidR="002A46AC">
        <w:t>. Stage one included:</w:t>
      </w:r>
    </w:p>
    <w:p w14:paraId="404BDE85" w14:textId="6AFD21EB" w:rsidR="002A46AC" w:rsidRDefault="001D702E" w:rsidP="00713670">
      <w:pPr>
        <w:pStyle w:val="ListParagraph"/>
        <w:numPr>
          <w:ilvl w:val="0"/>
          <w:numId w:val="11"/>
        </w:numPr>
      </w:pPr>
      <w:r>
        <w:t>l</w:t>
      </w:r>
      <w:r w:rsidR="002A46AC">
        <w:t>ocal and regional travel</w:t>
      </w:r>
    </w:p>
    <w:p w14:paraId="39A45C2C" w14:textId="0C0B351A" w:rsidR="002A46AC" w:rsidRDefault="001D702E" w:rsidP="00713670">
      <w:pPr>
        <w:pStyle w:val="ListParagraph"/>
        <w:numPr>
          <w:ilvl w:val="0"/>
          <w:numId w:val="11"/>
        </w:numPr>
      </w:pPr>
      <w:r>
        <w:t>i</w:t>
      </w:r>
      <w:r w:rsidR="002A46AC">
        <w:t xml:space="preserve">ncreases in visitors </w:t>
      </w:r>
      <w:r w:rsidR="00660935">
        <w:t xml:space="preserve">allowed </w:t>
      </w:r>
      <w:r w:rsidR="002A46AC">
        <w:t>at home and in businesses</w:t>
      </w:r>
    </w:p>
    <w:p w14:paraId="7170E53D" w14:textId="2500DC52" w:rsidR="002A46AC" w:rsidRDefault="001D702E" w:rsidP="00713670">
      <w:pPr>
        <w:pStyle w:val="ListParagraph"/>
        <w:numPr>
          <w:ilvl w:val="0"/>
          <w:numId w:val="11"/>
        </w:numPr>
      </w:pPr>
      <w:r>
        <w:t>e</w:t>
      </w:r>
      <w:r w:rsidR="00660935">
        <w:t xml:space="preserve">ncouraging people to </w:t>
      </w:r>
      <w:r w:rsidR="002A46AC">
        <w:t>continue working from home unless it wasn’t feasible</w:t>
      </w:r>
    </w:p>
    <w:p w14:paraId="13174C86" w14:textId="00441FAD" w:rsidR="002A46AC" w:rsidRDefault="001D702E" w:rsidP="00713670">
      <w:pPr>
        <w:pStyle w:val="ListParagraph"/>
        <w:numPr>
          <w:ilvl w:val="0"/>
          <w:numId w:val="11"/>
        </w:numPr>
      </w:pPr>
      <w:r>
        <w:t>r</w:t>
      </w:r>
      <w:r w:rsidR="002A46AC">
        <w:t xml:space="preserve">estaurants, </w:t>
      </w:r>
      <w:proofErr w:type="gramStart"/>
      <w:r w:rsidR="002A46AC">
        <w:t>cafes</w:t>
      </w:r>
      <w:proofErr w:type="gramEnd"/>
      <w:r w:rsidR="002A46AC">
        <w:t xml:space="preserve"> and shopping centres </w:t>
      </w:r>
      <w:r>
        <w:t xml:space="preserve">being </w:t>
      </w:r>
      <w:r w:rsidR="002A46AC">
        <w:t>allowed to open</w:t>
      </w:r>
      <w:r>
        <w:t>.</w:t>
      </w:r>
    </w:p>
    <w:p w14:paraId="7FDF71CA" w14:textId="507FE3B3" w:rsidR="002A46AC" w:rsidRPr="0015761A" w:rsidRDefault="002A46AC" w:rsidP="002A46AC">
      <w:r>
        <w:t>Stage 2 included interstate travel and the opening of caravan and camping grounds</w:t>
      </w:r>
      <w:r w:rsidR="001D702E">
        <w:t xml:space="preserve">. </w:t>
      </w:r>
      <w:r>
        <w:t xml:space="preserve">Stage 3 included full interstate travel, and considerations on </w:t>
      </w:r>
      <w:r w:rsidR="00E85284">
        <w:t>T</w:t>
      </w:r>
      <w:r>
        <w:t xml:space="preserve">rans-Tasman, </w:t>
      </w:r>
      <w:r w:rsidR="00E85284">
        <w:t>P</w:t>
      </w:r>
      <w:r>
        <w:t xml:space="preserve">acific Island and international students travel. </w:t>
      </w:r>
    </w:p>
    <w:p w14:paraId="3A1D4CAB" w14:textId="50F9840B" w:rsidR="00547A9E" w:rsidRDefault="006D14C3">
      <w:r>
        <w:t>I</w:t>
      </w:r>
      <w:r w:rsidR="00993D94">
        <w:t>mplementation of the</w:t>
      </w:r>
      <w:r w:rsidR="0061201C">
        <w:t>se</w:t>
      </w:r>
      <w:r w:rsidR="00993D94">
        <w:t xml:space="preserve"> stages was </w:t>
      </w:r>
      <w:r w:rsidR="00907506">
        <w:t xml:space="preserve">the responsibility of </w:t>
      </w:r>
      <w:r w:rsidR="00993D94">
        <w:t xml:space="preserve">state and territory </w:t>
      </w:r>
      <w:r w:rsidR="00907506">
        <w:t>governments</w:t>
      </w:r>
      <w:r w:rsidR="0061201C">
        <w:t xml:space="preserve">. </w:t>
      </w:r>
      <w:r>
        <w:t>This saw</w:t>
      </w:r>
      <w:r w:rsidR="0061201C">
        <w:t xml:space="preserve"> </w:t>
      </w:r>
      <w:r>
        <w:t>interstate borders closing and re</w:t>
      </w:r>
      <w:r w:rsidR="0061201C">
        <w:t>open</w:t>
      </w:r>
      <w:r>
        <w:t xml:space="preserve">ing </w:t>
      </w:r>
      <w:r w:rsidR="0061201C">
        <w:t xml:space="preserve">at different stages to keep localised outbreaks under control and minimise </w:t>
      </w:r>
      <w:r w:rsidR="00DE7385">
        <w:t xml:space="preserve">the risk </w:t>
      </w:r>
      <w:r w:rsidR="0061201C">
        <w:t>of infections</w:t>
      </w:r>
      <w:r>
        <w:t xml:space="preserve"> from other jurisdictions</w:t>
      </w:r>
      <w:r w:rsidR="0061201C">
        <w:t>.</w:t>
      </w:r>
      <w:r w:rsidR="00A13FC4">
        <w:t xml:space="preserve"> </w:t>
      </w:r>
      <w:r w:rsidR="0061201C">
        <w:t>Th</w:t>
      </w:r>
      <w:r>
        <w:t xml:space="preserve">ese actions </w:t>
      </w:r>
      <w:r w:rsidR="002A46AC">
        <w:t>became a heavily debated topic</w:t>
      </w:r>
      <w:r w:rsidR="00304EF2">
        <w:t xml:space="preserve"> – particularly </w:t>
      </w:r>
      <w:r w:rsidR="00E85284">
        <w:t xml:space="preserve">within </w:t>
      </w:r>
      <w:r w:rsidR="00304EF2">
        <w:t>the tourism industry</w:t>
      </w:r>
      <w:r w:rsidR="00DE7385">
        <w:t xml:space="preserve">. </w:t>
      </w:r>
      <w:r w:rsidR="0059167E">
        <w:t xml:space="preserve">Many industry leaders urged </w:t>
      </w:r>
      <w:r w:rsidR="002A46AC">
        <w:t xml:space="preserve">state </w:t>
      </w:r>
      <w:r>
        <w:t xml:space="preserve">and territory </w:t>
      </w:r>
      <w:r w:rsidR="0059167E">
        <w:t>governments</w:t>
      </w:r>
      <w:r>
        <w:t xml:space="preserve"> </w:t>
      </w:r>
      <w:r w:rsidR="002A46AC">
        <w:t xml:space="preserve">to adopt a </w:t>
      </w:r>
      <w:r>
        <w:t>more</w:t>
      </w:r>
      <w:r w:rsidR="00DE7385">
        <w:t xml:space="preserve"> risk-based </w:t>
      </w:r>
      <w:r w:rsidR="00DB03EA">
        <w:t xml:space="preserve">and consistent </w:t>
      </w:r>
      <w:r w:rsidR="002A46AC">
        <w:t>approach to border management t</w:t>
      </w:r>
      <w:r>
        <w:t xml:space="preserve">hat considered </w:t>
      </w:r>
      <w:r w:rsidR="00E85284">
        <w:t xml:space="preserve">both </w:t>
      </w:r>
      <w:r>
        <w:t xml:space="preserve">economic </w:t>
      </w:r>
      <w:r w:rsidR="00E85284">
        <w:t xml:space="preserve">and </w:t>
      </w:r>
      <w:r>
        <w:t>public health concerns.</w:t>
      </w:r>
      <w:r w:rsidR="002A46AC">
        <w:t xml:space="preserve"> </w:t>
      </w:r>
      <w:r w:rsidR="00DE7385">
        <w:t xml:space="preserve"> </w:t>
      </w:r>
    </w:p>
    <w:p w14:paraId="11130062" w14:textId="77777777" w:rsidR="00B92511" w:rsidRPr="005961BD" w:rsidRDefault="00B92511" w:rsidP="00713670">
      <w:pPr>
        <w:rPr>
          <w:iCs/>
          <w:sz w:val="18"/>
          <w:szCs w:val="18"/>
        </w:rPr>
      </w:pPr>
      <w:r w:rsidRPr="005961BD">
        <w:rPr>
          <w:iCs/>
          <w:sz w:val="18"/>
          <w:szCs w:val="18"/>
        </w:rPr>
        <w:t xml:space="preserve">(Source: COVIDSAFE, </w:t>
      </w:r>
      <w:hyperlink r:id="rId28" w:history="1">
        <w:r w:rsidRPr="00713670">
          <w:rPr>
            <w:rStyle w:val="Hyperlink"/>
          </w:rPr>
          <w:t xml:space="preserve">Roadmap to a </w:t>
        </w:r>
        <w:proofErr w:type="spellStart"/>
        <w:r w:rsidRPr="00713670">
          <w:rPr>
            <w:rStyle w:val="Hyperlink"/>
          </w:rPr>
          <w:t>COVIDSafe</w:t>
        </w:r>
        <w:proofErr w:type="spellEnd"/>
        <w:r w:rsidRPr="00713670">
          <w:rPr>
            <w:rStyle w:val="Hyperlink"/>
          </w:rPr>
          <w:t xml:space="preserve"> Australia</w:t>
        </w:r>
      </w:hyperlink>
      <w:r w:rsidRPr="005961BD">
        <w:rPr>
          <w:iCs/>
          <w:sz w:val="18"/>
          <w:szCs w:val="18"/>
        </w:rPr>
        <w:t>, accessed June 2021)</w:t>
      </w:r>
    </w:p>
    <w:p w14:paraId="765A4882" w14:textId="77777777" w:rsidR="0042269F" w:rsidRDefault="0042269F" w:rsidP="0042269F">
      <w:pPr>
        <w:pStyle w:val="Heading2"/>
      </w:pPr>
      <w:r>
        <w:lastRenderedPageBreak/>
        <w:t>Domestic tourists have different travel patterns to international tourists</w:t>
      </w:r>
    </w:p>
    <w:p w14:paraId="009C9F03" w14:textId="77777777" w:rsidR="00B44B41" w:rsidRPr="00DA6F2E" w:rsidRDefault="00B44B41" w:rsidP="00B44B41">
      <w:r>
        <w:t>Although the recovery was led by domestic tourists,</w:t>
      </w:r>
      <w:r w:rsidRPr="00DA6F2E">
        <w:t xml:space="preserve"> </w:t>
      </w:r>
      <w:r>
        <w:t xml:space="preserve">travel </w:t>
      </w:r>
      <w:r w:rsidR="00BC24D7">
        <w:t xml:space="preserve">and spend </w:t>
      </w:r>
      <w:r>
        <w:t>patterns of domestic t</w:t>
      </w:r>
      <w:r w:rsidR="00BC24D7">
        <w:t xml:space="preserve">ourists </w:t>
      </w:r>
      <w:r w:rsidR="0099230C">
        <w:t>are vastly different to those of i</w:t>
      </w:r>
      <w:r>
        <w:t xml:space="preserve">nternational visitors. </w:t>
      </w:r>
      <w:r w:rsidRPr="00DA6F2E">
        <w:t>The average domestic overni</w:t>
      </w:r>
      <w:r w:rsidR="000D7598">
        <w:t xml:space="preserve">ght trip is less than four nights and average spend is under $700. </w:t>
      </w:r>
      <w:r w:rsidR="00422CC7">
        <w:t>By comparison, the</w:t>
      </w:r>
      <w:r w:rsidR="000D7598">
        <w:t xml:space="preserve"> average trip </w:t>
      </w:r>
      <w:r w:rsidR="00422CC7">
        <w:t xml:space="preserve">for an international tourist </w:t>
      </w:r>
      <w:r w:rsidR="000D7598">
        <w:t>is 18 nights, with spend of $6,500.</w:t>
      </w:r>
    </w:p>
    <w:p w14:paraId="138CEC44" w14:textId="7F06EA4F" w:rsidR="00B44B41" w:rsidRPr="00DA6F2E" w:rsidRDefault="00B44B41" w:rsidP="00B44B41">
      <w:pPr>
        <w:spacing w:after="120" w:line="240" w:lineRule="auto"/>
      </w:pPr>
      <w:r w:rsidRPr="00DA6F2E">
        <w:t xml:space="preserve">Domestic trips are concentrated </w:t>
      </w:r>
      <w:r w:rsidR="001D702E">
        <w:t>in</w:t>
      </w:r>
      <w:r w:rsidRPr="00DA6F2E">
        <w:t xml:space="preserve"> weekends</w:t>
      </w:r>
      <w:r w:rsidR="001D702E">
        <w:t>,</w:t>
      </w:r>
      <w:r w:rsidRPr="00DA6F2E">
        <w:t xml:space="preserve"> with </w:t>
      </w:r>
      <w:r w:rsidR="00BD1282" w:rsidRPr="00DA6F2E">
        <w:t>spikes</w:t>
      </w:r>
      <w:r w:rsidRPr="00DA6F2E">
        <w:t xml:space="preserve"> in demand around long weekends and school holiday periods. </w:t>
      </w:r>
      <w:r w:rsidR="00BC24D7">
        <w:t xml:space="preserve">Demand from international visitors is spread more evenly, meaning they play an important role in </w:t>
      </w:r>
      <w:r w:rsidR="0099230C">
        <w:t xml:space="preserve">supporting </w:t>
      </w:r>
      <w:r w:rsidRPr="00DA6F2E">
        <w:t xml:space="preserve">businesses during non-peak periods. </w:t>
      </w:r>
      <w:r>
        <w:t>The chart below shows the cyclical nature of domestic overnight leisure trips compared to the relatively stable flow of international visitors.</w:t>
      </w:r>
    </w:p>
    <w:p w14:paraId="51FDEC49" w14:textId="77777777" w:rsidR="00B44B41" w:rsidRPr="005961BD" w:rsidRDefault="00B44B41" w:rsidP="00B44B41">
      <w:pPr>
        <w:pStyle w:val="Caption"/>
        <w:rPr>
          <w:b/>
          <w:i w:val="0"/>
          <w:iCs w:val="0"/>
          <w:sz w:val="22"/>
          <w:szCs w:val="22"/>
        </w:rPr>
      </w:pPr>
      <w:r w:rsidRPr="005961BD">
        <w:rPr>
          <w:b/>
          <w:i w:val="0"/>
          <w:iCs w:val="0"/>
          <w:sz w:val="22"/>
          <w:szCs w:val="22"/>
        </w:rPr>
        <w:t xml:space="preserve">Figure </w:t>
      </w:r>
      <w:r w:rsidR="00A56811" w:rsidRPr="005961BD">
        <w:rPr>
          <w:b/>
          <w:i w:val="0"/>
          <w:iCs w:val="0"/>
          <w:sz w:val="22"/>
          <w:szCs w:val="22"/>
        </w:rPr>
        <w:t>4</w:t>
      </w:r>
      <w:r w:rsidRPr="005961BD">
        <w:rPr>
          <w:b/>
          <w:i w:val="0"/>
          <w:iCs w:val="0"/>
          <w:sz w:val="22"/>
          <w:szCs w:val="22"/>
        </w:rPr>
        <w:t xml:space="preserve"> </w:t>
      </w:r>
      <w:r w:rsidR="00A56811" w:rsidRPr="005961BD">
        <w:rPr>
          <w:b/>
          <w:i w:val="0"/>
          <w:iCs w:val="0"/>
          <w:sz w:val="22"/>
          <w:szCs w:val="22"/>
        </w:rPr>
        <w:t>–</w:t>
      </w:r>
      <w:r w:rsidRPr="005961BD">
        <w:rPr>
          <w:b/>
          <w:i w:val="0"/>
          <w:iCs w:val="0"/>
          <w:sz w:val="22"/>
          <w:szCs w:val="22"/>
        </w:rPr>
        <w:t xml:space="preserve"> </w:t>
      </w:r>
      <w:r w:rsidR="00A56811" w:rsidRPr="005961BD">
        <w:rPr>
          <w:b/>
          <w:i w:val="0"/>
          <w:iCs w:val="0"/>
          <w:sz w:val="22"/>
          <w:szCs w:val="22"/>
        </w:rPr>
        <w:t>D</w:t>
      </w:r>
      <w:r w:rsidRPr="005961BD">
        <w:rPr>
          <w:b/>
          <w:i w:val="0"/>
          <w:iCs w:val="0"/>
          <w:sz w:val="22"/>
          <w:szCs w:val="22"/>
        </w:rPr>
        <w:t xml:space="preserve">omestic overnight leisure </w:t>
      </w:r>
      <w:r w:rsidR="00A56811" w:rsidRPr="005961BD">
        <w:rPr>
          <w:b/>
          <w:i w:val="0"/>
          <w:iCs w:val="0"/>
          <w:sz w:val="22"/>
          <w:szCs w:val="22"/>
        </w:rPr>
        <w:t>trips versus in</w:t>
      </w:r>
      <w:r w:rsidRPr="005961BD">
        <w:rPr>
          <w:b/>
          <w:i w:val="0"/>
          <w:iCs w:val="0"/>
          <w:sz w:val="22"/>
          <w:szCs w:val="22"/>
        </w:rPr>
        <w:t>ternational leisure trips</w:t>
      </w:r>
      <w:r w:rsidR="00A56811" w:rsidRPr="005961BD">
        <w:rPr>
          <w:b/>
          <w:i w:val="0"/>
          <w:iCs w:val="0"/>
          <w:sz w:val="22"/>
          <w:szCs w:val="22"/>
        </w:rPr>
        <w:t>, 2019</w:t>
      </w:r>
    </w:p>
    <w:p w14:paraId="155E96E2" w14:textId="77777777" w:rsidR="00B44B41" w:rsidRPr="00B44B41" w:rsidRDefault="782DF727" w:rsidP="00B44B41">
      <w:pPr>
        <w:rPr>
          <w:sz w:val="18"/>
          <w:szCs w:val="18"/>
        </w:rPr>
      </w:pPr>
      <w:r>
        <w:rPr>
          <w:noProof/>
          <w:lang w:eastAsia="en-AU"/>
        </w:rPr>
        <w:drawing>
          <wp:inline distT="0" distB="0" distL="0" distR="0" wp14:anchorId="12AD2043" wp14:editId="560D50E7">
            <wp:extent cx="5834380" cy="3292125"/>
            <wp:effectExtent l="0" t="0" r="0" b="0"/>
            <wp:docPr id="29" name="Picture 3" descr="Chart showing domestic overnight leisure trips versus international leisure trips across months of 2019. Domestic trips are more cyclical than internat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3" descr="Chart showing domestic overnight leisure trips versus international leisure trips across months of 2019. Domestic trips are more cyclical than international."/>
                    <pic:cNvPicPr/>
                  </pic:nvPicPr>
                  <pic:blipFill>
                    <a:blip r:embed="rId29">
                      <a:extLst>
                        <a:ext uri="{28A0092B-C50C-407E-A947-70E740481C1C}">
                          <a14:useLocalDpi xmlns:a14="http://schemas.microsoft.com/office/drawing/2010/main" val="0"/>
                        </a:ext>
                      </a:extLst>
                    </a:blip>
                    <a:stretch>
                      <a:fillRect/>
                    </a:stretch>
                  </pic:blipFill>
                  <pic:spPr>
                    <a:xfrm>
                      <a:off x="0" y="0"/>
                      <a:ext cx="5834380" cy="3292125"/>
                    </a:xfrm>
                    <a:prstGeom prst="rect">
                      <a:avLst/>
                    </a:prstGeom>
                  </pic:spPr>
                </pic:pic>
              </a:graphicData>
            </a:graphic>
          </wp:inline>
        </w:drawing>
      </w:r>
    </w:p>
    <w:p w14:paraId="6C86BC10" w14:textId="77777777" w:rsidR="00B44B41" w:rsidRPr="00DA6F2E" w:rsidRDefault="00B44B41" w:rsidP="00B44B41">
      <w:r w:rsidRPr="00DA6F2E">
        <w:t>Other critical factors that are different between domestic and international visitors include:</w:t>
      </w:r>
    </w:p>
    <w:p w14:paraId="07E99B2A" w14:textId="4757D24F" w:rsidR="00B44B41" w:rsidRPr="00DA6F2E" w:rsidRDefault="001D702E" w:rsidP="00B44B41">
      <w:pPr>
        <w:pStyle w:val="NormalWeb"/>
        <w:numPr>
          <w:ilvl w:val="0"/>
          <w:numId w:val="17"/>
        </w:numPr>
        <w:shd w:val="clear" w:color="auto" w:fill="FFFFFF" w:themeFill="background1"/>
        <w:spacing w:before="120" w:beforeAutospacing="0" w:after="12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M</w:t>
      </w:r>
      <w:r w:rsidR="00B44B41" w:rsidRPr="00DA6F2E">
        <w:rPr>
          <w:rFonts w:asciiTheme="minorHAnsi" w:eastAsiaTheme="minorHAnsi" w:hAnsiTheme="minorHAnsi" w:cstheme="minorBidi"/>
          <w:sz w:val="22"/>
          <w:szCs w:val="22"/>
          <w:lang w:eastAsia="en-US"/>
        </w:rPr>
        <w:t>ore than 50</w:t>
      </w:r>
      <w:r w:rsidR="008F05B6">
        <w:rPr>
          <w:rFonts w:asciiTheme="minorHAnsi" w:eastAsiaTheme="minorHAnsi" w:hAnsiTheme="minorHAnsi" w:cstheme="minorBidi"/>
          <w:sz w:val="22"/>
          <w:szCs w:val="22"/>
          <w:lang w:eastAsia="en-US"/>
        </w:rPr>
        <w:t xml:space="preserve"> per cent</w:t>
      </w:r>
      <w:r w:rsidR="00B44B41" w:rsidRPr="00DA6F2E">
        <w:rPr>
          <w:rFonts w:asciiTheme="minorHAnsi" w:eastAsiaTheme="minorHAnsi" w:hAnsiTheme="minorHAnsi" w:cstheme="minorBidi"/>
          <w:sz w:val="22"/>
          <w:szCs w:val="22"/>
          <w:lang w:eastAsia="en-US"/>
        </w:rPr>
        <w:t xml:space="preserve"> of domestic spend goes to regional areas (compared to just 14</w:t>
      </w:r>
      <w:r w:rsidR="008F05B6">
        <w:rPr>
          <w:rFonts w:asciiTheme="minorHAnsi" w:eastAsiaTheme="minorHAnsi" w:hAnsiTheme="minorHAnsi" w:cstheme="minorBidi"/>
          <w:sz w:val="22"/>
          <w:szCs w:val="22"/>
          <w:lang w:eastAsia="en-US"/>
        </w:rPr>
        <w:t xml:space="preserve"> per cent</w:t>
      </w:r>
      <w:r w:rsidR="00B44B41" w:rsidRPr="00DA6F2E">
        <w:rPr>
          <w:rFonts w:asciiTheme="minorHAnsi" w:eastAsiaTheme="minorHAnsi" w:hAnsiTheme="minorHAnsi" w:cstheme="minorBidi"/>
          <w:sz w:val="22"/>
          <w:szCs w:val="22"/>
          <w:lang w:eastAsia="en-US"/>
        </w:rPr>
        <w:t xml:space="preserve"> for international visitors)</w:t>
      </w:r>
      <w:r>
        <w:rPr>
          <w:rFonts w:asciiTheme="minorHAnsi" w:eastAsiaTheme="minorHAnsi" w:hAnsiTheme="minorHAnsi" w:cstheme="minorBidi"/>
          <w:sz w:val="22"/>
          <w:szCs w:val="22"/>
          <w:lang w:eastAsia="en-US"/>
        </w:rPr>
        <w:t>.</w:t>
      </w:r>
    </w:p>
    <w:p w14:paraId="27F25CB9" w14:textId="77777777" w:rsidR="00B44B41" w:rsidRPr="00DA6F2E" w:rsidRDefault="00B44B41" w:rsidP="00B44B41">
      <w:pPr>
        <w:pStyle w:val="NormalWeb"/>
        <w:numPr>
          <w:ilvl w:val="0"/>
          <w:numId w:val="17"/>
        </w:numPr>
        <w:shd w:val="clear" w:color="auto" w:fill="FFFFFF" w:themeFill="background1"/>
        <w:spacing w:before="120" w:beforeAutospacing="0" w:after="120" w:afterAutospacing="0"/>
        <w:rPr>
          <w:rFonts w:asciiTheme="minorHAnsi" w:eastAsiaTheme="minorHAnsi" w:hAnsiTheme="minorHAnsi" w:cstheme="minorBidi"/>
          <w:sz w:val="22"/>
          <w:szCs w:val="22"/>
          <w:lang w:eastAsia="en-US"/>
        </w:rPr>
      </w:pPr>
      <w:r w:rsidRPr="00DA6F2E">
        <w:rPr>
          <w:rFonts w:asciiTheme="minorHAnsi" w:eastAsiaTheme="minorHAnsi" w:hAnsiTheme="minorHAnsi" w:cstheme="minorBidi"/>
          <w:sz w:val="22"/>
          <w:szCs w:val="22"/>
          <w:lang w:eastAsia="en-US"/>
        </w:rPr>
        <w:t>Domestic trips are nearby, with almost 70</w:t>
      </w:r>
      <w:r w:rsidR="008F05B6">
        <w:rPr>
          <w:rFonts w:asciiTheme="minorHAnsi" w:eastAsiaTheme="minorHAnsi" w:hAnsiTheme="minorHAnsi" w:cstheme="minorBidi"/>
          <w:sz w:val="22"/>
          <w:szCs w:val="22"/>
          <w:lang w:eastAsia="en-US"/>
        </w:rPr>
        <w:t xml:space="preserve"> per cent</w:t>
      </w:r>
      <w:r w:rsidRPr="00DA6F2E">
        <w:rPr>
          <w:rFonts w:asciiTheme="minorHAnsi" w:eastAsiaTheme="minorHAnsi" w:hAnsiTheme="minorHAnsi" w:cstheme="minorBidi"/>
          <w:sz w:val="22"/>
          <w:szCs w:val="22"/>
          <w:lang w:eastAsia="en-US"/>
        </w:rPr>
        <w:t xml:space="preserve"> of domestic overnight travel intrastate. </w:t>
      </w:r>
    </w:p>
    <w:p w14:paraId="17DBDD1B" w14:textId="77777777" w:rsidR="00B44B41" w:rsidRPr="00DA6F2E" w:rsidRDefault="00B44B41" w:rsidP="00B44B41">
      <w:pPr>
        <w:pStyle w:val="NormalWeb"/>
        <w:numPr>
          <w:ilvl w:val="0"/>
          <w:numId w:val="17"/>
        </w:numPr>
        <w:shd w:val="clear" w:color="auto" w:fill="FFFFFF" w:themeFill="background1"/>
        <w:spacing w:before="120" w:beforeAutospacing="0" w:after="120" w:afterAutospacing="0"/>
        <w:rPr>
          <w:rFonts w:asciiTheme="minorHAnsi" w:eastAsiaTheme="minorHAnsi" w:hAnsiTheme="minorHAnsi" w:cstheme="minorBidi"/>
          <w:sz w:val="22"/>
          <w:szCs w:val="22"/>
          <w:lang w:eastAsia="en-US"/>
        </w:rPr>
      </w:pPr>
      <w:r w:rsidRPr="00DA6F2E">
        <w:rPr>
          <w:rFonts w:asciiTheme="minorHAnsi" w:eastAsiaTheme="minorHAnsi" w:hAnsiTheme="minorHAnsi" w:cstheme="minorBidi"/>
          <w:sz w:val="22"/>
          <w:szCs w:val="22"/>
          <w:lang w:eastAsia="en-US"/>
        </w:rPr>
        <w:t xml:space="preserve">Domestic travellers are likely to only visit one location per trip </w:t>
      </w:r>
      <w:r w:rsidR="007F37CE">
        <w:rPr>
          <w:b/>
          <w:sz w:val="22"/>
          <w:szCs w:val="22"/>
        </w:rPr>
        <w:t>–</w:t>
      </w:r>
      <w:r w:rsidRPr="00DA6F2E">
        <w:rPr>
          <w:rFonts w:asciiTheme="minorHAnsi" w:eastAsiaTheme="minorHAnsi" w:hAnsiTheme="minorHAnsi" w:cstheme="minorBidi"/>
          <w:sz w:val="22"/>
          <w:szCs w:val="22"/>
          <w:lang w:eastAsia="en-US"/>
        </w:rPr>
        <w:t xml:space="preserve"> just 10</w:t>
      </w:r>
      <w:r w:rsidR="008F05B6">
        <w:rPr>
          <w:rFonts w:asciiTheme="minorHAnsi" w:eastAsiaTheme="minorHAnsi" w:hAnsiTheme="minorHAnsi" w:cstheme="minorBidi"/>
          <w:sz w:val="22"/>
          <w:szCs w:val="22"/>
          <w:lang w:eastAsia="en-US"/>
        </w:rPr>
        <w:t xml:space="preserve"> per cent</w:t>
      </w:r>
      <w:r w:rsidRPr="00DA6F2E">
        <w:rPr>
          <w:rFonts w:asciiTheme="minorHAnsi" w:eastAsiaTheme="minorHAnsi" w:hAnsiTheme="minorHAnsi" w:cstheme="minorBidi"/>
          <w:sz w:val="22"/>
          <w:szCs w:val="22"/>
          <w:lang w:eastAsia="en-US"/>
        </w:rPr>
        <w:t xml:space="preserve"> visited more than one destination on their trip</w:t>
      </w:r>
      <w:r w:rsidR="001D702E">
        <w:rPr>
          <w:rFonts w:asciiTheme="minorHAnsi" w:eastAsiaTheme="minorHAnsi" w:hAnsiTheme="minorHAnsi" w:cstheme="minorBidi"/>
          <w:sz w:val="22"/>
          <w:szCs w:val="22"/>
          <w:lang w:eastAsia="en-US"/>
        </w:rPr>
        <w:t>.</w:t>
      </w:r>
    </w:p>
    <w:p w14:paraId="68BE1B9D" w14:textId="77777777" w:rsidR="00B44B41" w:rsidRPr="00DA6F2E" w:rsidRDefault="00B44B41" w:rsidP="00713670">
      <w:pPr>
        <w:pStyle w:val="ListParagraph"/>
        <w:numPr>
          <w:ilvl w:val="0"/>
          <w:numId w:val="17"/>
        </w:numPr>
      </w:pPr>
      <w:r w:rsidRPr="00DA6F2E">
        <w:t>Domestic trips are also shorter with 57</w:t>
      </w:r>
      <w:r w:rsidR="008F05B6">
        <w:t xml:space="preserve"> per cent</w:t>
      </w:r>
      <w:r w:rsidRPr="00DA6F2E">
        <w:t xml:space="preserve"> of trips only one or two nights</w:t>
      </w:r>
      <w:r w:rsidR="001D702E">
        <w:t>.</w:t>
      </w:r>
    </w:p>
    <w:p w14:paraId="603648D3" w14:textId="77777777" w:rsidR="005248A0" w:rsidRPr="005248A0" w:rsidRDefault="00B44B41" w:rsidP="005248A0">
      <w:pPr>
        <w:pStyle w:val="NormalWeb"/>
        <w:numPr>
          <w:ilvl w:val="0"/>
          <w:numId w:val="17"/>
        </w:numPr>
        <w:spacing w:before="120" w:beforeAutospacing="0" w:after="120" w:afterAutospacing="0"/>
        <w:rPr>
          <w:rFonts w:asciiTheme="minorHAnsi" w:eastAsiaTheme="minorHAnsi" w:hAnsiTheme="minorHAnsi" w:cstheme="minorBidi"/>
          <w:sz w:val="22"/>
          <w:szCs w:val="22"/>
          <w:lang w:eastAsia="en-US"/>
        </w:rPr>
      </w:pPr>
      <w:r w:rsidRPr="00DA6F2E">
        <w:rPr>
          <w:rFonts w:asciiTheme="minorHAnsi" w:eastAsiaTheme="minorHAnsi" w:hAnsiTheme="minorHAnsi" w:cstheme="minorBidi"/>
          <w:sz w:val="22"/>
          <w:szCs w:val="22"/>
          <w:lang w:eastAsia="en-US"/>
        </w:rPr>
        <w:t xml:space="preserve">Domestic travel is weekend centric </w:t>
      </w:r>
      <w:r w:rsidR="007F37CE">
        <w:rPr>
          <w:b/>
          <w:sz w:val="22"/>
          <w:szCs w:val="22"/>
        </w:rPr>
        <w:t>–</w:t>
      </w:r>
      <w:r w:rsidRPr="00DA6F2E">
        <w:rPr>
          <w:rFonts w:asciiTheme="minorHAnsi" w:eastAsiaTheme="minorHAnsi" w:hAnsiTheme="minorHAnsi" w:cstheme="minorBidi"/>
          <w:sz w:val="22"/>
          <w:szCs w:val="22"/>
          <w:lang w:eastAsia="en-US"/>
        </w:rPr>
        <w:t xml:space="preserve"> 47</w:t>
      </w:r>
      <w:r w:rsidR="008F05B6">
        <w:rPr>
          <w:rFonts w:asciiTheme="minorHAnsi" w:eastAsiaTheme="minorHAnsi" w:hAnsiTheme="minorHAnsi" w:cstheme="minorBidi"/>
          <w:sz w:val="22"/>
          <w:szCs w:val="22"/>
          <w:lang w:eastAsia="en-US"/>
        </w:rPr>
        <w:t xml:space="preserve"> per cent</w:t>
      </w:r>
      <w:r w:rsidRPr="00DA6F2E">
        <w:rPr>
          <w:rFonts w:asciiTheme="minorHAnsi" w:eastAsiaTheme="minorHAnsi" w:hAnsiTheme="minorHAnsi" w:cstheme="minorBidi"/>
          <w:sz w:val="22"/>
          <w:szCs w:val="22"/>
          <w:lang w:eastAsia="en-US"/>
        </w:rPr>
        <w:t xml:space="preserve"> of all domestic overnight trips returned home </w:t>
      </w:r>
      <w:r w:rsidR="001D702E">
        <w:rPr>
          <w:rFonts w:asciiTheme="minorHAnsi" w:eastAsiaTheme="minorHAnsi" w:hAnsiTheme="minorHAnsi" w:cstheme="minorBidi"/>
          <w:sz w:val="22"/>
          <w:szCs w:val="22"/>
          <w:lang w:eastAsia="en-US"/>
        </w:rPr>
        <w:t xml:space="preserve">on </w:t>
      </w:r>
      <w:r w:rsidRPr="00DA6F2E">
        <w:rPr>
          <w:rFonts w:asciiTheme="minorHAnsi" w:eastAsiaTheme="minorHAnsi" w:hAnsiTheme="minorHAnsi" w:cstheme="minorBidi"/>
          <w:sz w:val="22"/>
          <w:szCs w:val="22"/>
          <w:lang w:eastAsia="en-US"/>
        </w:rPr>
        <w:t>Sunday or Monday. This increases to 57</w:t>
      </w:r>
      <w:r w:rsidR="008F05B6">
        <w:rPr>
          <w:rFonts w:asciiTheme="minorHAnsi" w:eastAsiaTheme="minorHAnsi" w:hAnsiTheme="minorHAnsi" w:cstheme="minorBidi"/>
          <w:sz w:val="22"/>
          <w:szCs w:val="22"/>
          <w:lang w:eastAsia="en-US"/>
        </w:rPr>
        <w:t xml:space="preserve"> per cent</w:t>
      </w:r>
      <w:r w:rsidRPr="00DA6F2E">
        <w:rPr>
          <w:rFonts w:asciiTheme="minorHAnsi" w:eastAsiaTheme="minorHAnsi" w:hAnsiTheme="minorHAnsi" w:cstheme="minorBidi"/>
          <w:sz w:val="22"/>
          <w:szCs w:val="22"/>
          <w:lang w:eastAsia="en-US"/>
        </w:rPr>
        <w:t xml:space="preserve"> when considering just holiday trips</w:t>
      </w:r>
      <w:r w:rsidR="001D702E">
        <w:rPr>
          <w:rFonts w:asciiTheme="minorHAnsi" w:eastAsiaTheme="minorHAnsi" w:hAnsiTheme="minorHAnsi" w:cstheme="minorBidi"/>
          <w:sz w:val="22"/>
          <w:szCs w:val="22"/>
          <w:lang w:eastAsia="en-US"/>
        </w:rPr>
        <w:t>.</w:t>
      </w:r>
    </w:p>
    <w:p w14:paraId="1D94AAFC" w14:textId="77777777" w:rsidR="00B44B41" w:rsidRPr="00B44B41" w:rsidRDefault="00B44B41" w:rsidP="00B44B41">
      <w:pPr>
        <w:pStyle w:val="NormalWeb"/>
        <w:numPr>
          <w:ilvl w:val="0"/>
          <w:numId w:val="17"/>
        </w:numPr>
        <w:spacing w:before="120" w:beforeAutospacing="0" w:after="120" w:afterAutospacing="0"/>
        <w:rPr>
          <w:rFonts w:asciiTheme="minorHAnsi" w:eastAsiaTheme="minorHAnsi" w:hAnsiTheme="minorHAnsi" w:cstheme="minorBidi"/>
          <w:sz w:val="22"/>
          <w:szCs w:val="22"/>
          <w:lang w:eastAsia="en-US"/>
        </w:rPr>
      </w:pPr>
      <w:r w:rsidRPr="00B44B41">
        <w:rPr>
          <w:rFonts w:asciiTheme="minorHAnsi" w:eastAsiaTheme="minorHAnsi" w:hAnsiTheme="minorHAnsi" w:cstheme="minorBidi"/>
          <w:sz w:val="22"/>
          <w:szCs w:val="22"/>
          <w:lang w:eastAsia="en-US"/>
        </w:rPr>
        <w:t>Domestic visitors have less reliance on commercial travel options, with 73</w:t>
      </w:r>
      <w:r w:rsidR="008F05B6">
        <w:rPr>
          <w:rFonts w:asciiTheme="minorHAnsi" w:eastAsiaTheme="minorHAnsi" w:hAnsiTheme="minorHAnsi" w:cstheme="minorBidi"/>
          <w:sz w:val="22"/>
          <w:szCs w:val="22"/>
          <w:lang w:eastAsia="en-US"/>
        </w:rPr>
        <w:t xml:space="preserve"> per cent</w:t>
      </w:r>
      <w:r w:rsidRPr="00B44B41">
        <w:rPr>
          <w:rFonts w:asciiTheme="minorHAnsi" w:eastAsiaTheme="minorHAnsi" w:hAnsiTheme="minorHAnsi" w:cstheme="minorBidi"/>
          <w:sz w:val="22"/>
          <w:szCs w:val="22"/>
          <w:lang w:eastAsia="en-US"/>
        </w:rPr>
        <w:t xml:space="preserve"> travelling by car. While domestic overnight visitors have a lower reliance on aviation (24</w:t>
      </w:r>
      <w:r w:rsidR="008F05B6">
        <w:rPr>
          <w:rFonts w:asciiTheme="minorHAnsi" w:eastAsiaTheme="minorHAnsi" w:hAnsiTheme="minorHAnsi" w:cstheme="minorBidi"/>
          <w:sz w:val="22"/>
          <w:szCs w:val="22"/>
          <w:lang w:eastAsia="en-US"/>
        </w:rPr>
        <w:t xml:space="preserve"> per cent</w:t>
      </w:r>
      <w:r w:rsidRPr="00B44B41">
        <w:rPr>
          <w:rFonts w:asciiTheme="minorHAnsi" w:eastAsiaTheme="minorHAnsi" w:hAnsiTheme="minorHAnsi" w:cstheme="minorBidi"/>
          <w:sz w:val="22"/>
          <w:szCs w:val="22"/>
          <w:lang w:eastAsia="en-US"/>
        </w:rPr>
        <w:t xml:space="preserve"> of trips), they currently account for 84</w:t>
      </w:r>
      <w:r w:rsidR="008F05B6">
        <w:rPr>
          <w:rFonts w:asciiTheme="minorHAnsi" w:eastAsiaTheme="minorHAnsi" w:hAnsiTheme="minorHAnsi" w:cstheme="minorBidi"/>
          <w:sz w:val="22"/>
          <w:szCs w:val="22"/>
          <w:lang w:eastAsia="en-US"/>
        </w:rPr>
        <w:t xml:space="preserve"> per cent</w:t>
      </w:r>
      <w:r w:rsidRPr="00B44B41">
        <w:rPr>
          <w:rFonts w:asciiTheme="minorHAnsi" w:eastAsiaTheme="minorHAnsi" w:hAnsiTheme="minorHAnsi" w:cstheme="minorBidi"/>
          <w:sz w:val="22"/>
          <w:szCs w:val="22"/>
          <w:lang w:eastAsia="en-US"/>
        </w:rPr>
        <w:t xml:space="preserve"> of trips on planes.</w:t>
      </w:r>
    </w:p>
    <w:p w14:paraId="4C877E7F" w14:textId="77777777" w:rsidR="00C611ED" w:rsidRDefault="00E47B5D" w:rsidP="009F174D">
      <w:pPr>
        <w:pStyle w:val="Heading2"/>
      </w:pPr>
      <w:r>
        <w:lastRenderedPageBreak/>
        <w:t>Challenges</w:t>
      </w:r>
      <w:r w:rsidR="0042269F">
        <w:t xml:space="preserve"> </w:t>
      </w:r>
      <w:r>
        <w:t xml:space="preserve">for a domestic led </w:t>
      </w:r>
      <w:r w:rsidR="0042269F">
        <w:t>recovery</w:t>
      </w:r>
    </w:p>
    <w:p w14:paraId="050CAA87" w14:textId="583210C2" w:rsidR="00E47B5D" w:rsidRPr="00DA6F2E" w:rsidRDefault="00E47B5D" w:rsidP="00E47B5D">
      <w:pPr>
        <w:spacing w:after="120" w:line="240" w:lineRule="auto"/>
      </w:pPr>
      <w:r>
        <w:t xml:space="preserve">The environment in which Australia’s visitor economy operated in 2020 was very different from other years. As a </w:t>
      </w:r>
      <w:r w:rsidR="00ED6A81">
        <w:t>result</w:t>
      </w:r>
      <w:r w:rsidR="0059167E">
        <w:t>,</w:t>
      </w:r>
      <w:r>
        <w:t xml:space="preserve"> domestic recovery was disrupted and challenged by </w:t>
      </w:r>
      <w:r w:rsidR="00AF06E5">
        <w:t>several</w:t>
      </w:r>
      <w:r w:rsidR="0059167E">
        <w:t xml:space="preserve"> key factors</w:t>
      </w:r>
      <w:r>
        <w:t>:</w:t>
      </w:r>
    </w:p>
    <w:p w14:paraId="51F6AF18" w14:textId="77777777" w:rsidR="00422CC7" w:rsidRPr="007F28D8" w:rsidRDefault="00E47B5D" w:rsidP="00713670">
      <w:pPr>
        <w:pStyle w:val="Heading3"/>
      </w:pPr>
      <w:bookmarkStart w:id="1" w:name="_Hlk76054973"/>
      <w:r>
        <w:t>Restrictions on trade</w:t>
      </w:r>
    </w:p>
    <w:p w14:paraId="7FA81271" w14:textId="611509E6" w:rsidR="00422CC7" w:rsidRDefault="1F52A14C" w:rsidP="00422CC7">
      <w:r>
        <w:t>For much of 2020</w:t>
      </w:r>
      <w:r w:rsidR="29322BB0">
        <w:t xml:space="preserve">, </w:t>
      </w:r>
      <w:r>
        <w:t>businesses were operating under strained circumstances. Venues h</w:t>
      </w:r>
      <w:r w:rsidR="29E4C141">
        <w:t>ad capacity restrictions</w:t>
      </w:r>
      <w:r>
        <w:t xml:space="preserve">, restaurants only offered takeaways, flights were reduced, attractions were </w:t>
      </w:r>
      <w:proofErr w:type="gramStart"/>
      <w:r>
        <w:t>closed</w:t>
      </w:r>
      <w:proofErr w:type="gramEnd"/>
      <w:r>
        <w:t xml:space="preserve"> and many hotels went into </w:t>
      </w:r>
      <w:r w:rsidR="14D633E5">
        <w:t>hibernation. These factors made planning travel difficult</w:t>
      </w:r>
      <w:r>
        <w:t xml:space="preserve">, </w:t>
      </w:r>
      <w:r w:rsidR="00DB03EA">
        <w:t xml:space="preserve">undermined confidence, </w:t>
      </w:r>
      <w:r>
        <w:t>reduce</w:t>
      </w:r>
      <w:r w:rsidR="14D633E5">
        <w:t>d</w:t>
      </w:r>
      <w:r>
        <w:t xml:space="preserve"> choice</w:t>
      </w:r>
      <w:r w:rsidR="14D633E5">
        <w:t>s</w:t>
      </w:r>
      <w:r>
        <w:t xml:space="preserve"> for consumers and detract</w:t>
      </w:r>
      <w:r w:rsidR="14D633E5">
        <w:t>ed</w:t>
      </w:r>
      <w:r>
        <w:t xml:space="preserve"> from the overall visitor experience. Interstate trips were especially difficult to </w:t>
      </w:r>
      <w:r w:rsidR="29E4C141">
        <w:t>plan due to</w:t>
      </w:r>
      <w:r>
        <w:t xml:space="preserve"> snap border closures and </w:t>
      </w:r>
      <w:r w:rsidR="29E4C141">
        <w:t xml:space="preserve">the </w:t>
      </w:r>
      <w:r>
        <w:t xml:space="preserve">resultant cancellation and reinstatement of flights. </w:t>
      </w:r>
    </w:p>
    <w:p w14:paraId="6DD87A60" w14:textId="77777777" w:rsidR="00422CC7" w:rsidRDefault="00FF526D" w:rsidP="00422CC7">
      <w:r>
        <w:t xml:space="preserve">Sudden border closures not only had severe impacts to tourism businesses, </w:t>
      </w:r>
      <w:proofErr w:type="gramStart"/>
      <w:r>
        <w:t>they</w:t>
      </w:r>
      <w:proofErr w:type="gramEnd"/>
      <w:r>
        <w:t xml:space="preserve"> also took an emotional toll on travellers. In November 2020, Western Australia suddenly closed borders with South Australia in response to the Covid-19 outbreak originating from the Woodville Pizza Bar. </w:t>
      </w:r>
      <w:r w:rsidR="00B94E0B">
        <w:t xml:space="preserve">Passengers on a flight from Adelaide to Perth were told they had to go into two weeks’ quarantine on arrival, despite the WA government only hours earlier assuring South Australians they could enter the state without having to isolate. </w:t>
      </w:r>
    </w:p>
    <w:p w14:paraId="18F5B217" w14:textId="5C2C783A" w:rsidR="00B94E0B" w:rsidRPr="009F3E4C" w:rsidRDefault="009F3E4C" w:rsidP="00422CC7">
      <w:pPr>
        <w:rPr>
          <w:color w:val="C00000"/>
        </w:rPr>
      </w:pPr>
      <w:r w:rsidRPr="009F3E4C">
        <w:rPr>
          <w:color w:val="C00000"/>
        </w:rPr>
        <w:t>&lt;&lt;</w:t>
      </w:r>
      <w:r w:rsidR="006F2C09">
        <w:rPr>
          <w:color w:val="C00000"/>
        </w:rPr>
        <w:t>MEDIA</w:t>
      </w:r>
      <w:r w:rsidRPr="009F3E4C">
        <w:rPr>
          <w:color w:val="C00000"/>
        </w:rPr>
        <w:t xml:space="preserve"> BOX</w:t>
      </w:r>
      <w:r w:rsidR="00B94E0B" w:rsidRPr="009F3E4C">
        <w:rPr>
          <w:color w:val="C00000"/>
        </w:rPr>
        <w:t>&gt;&gt;</w:t>
      </w:r>
    </w:p>
    <w:p w14:paraId="24BDC891" w14:textId="77777777" w:rsidR="00B94E0B" w:rsidRDefault="00B94E0B" w:rsidP="00B94E0B">
      <w:r>
        <w:t xml:space="preserve">Travellers from Adelaide to Perth on Sunday night broke down in tears as they were told mid-flight they would not be allowed to enter </w:t>
      </w:r>
      <w:proofErr w:type="gramStart"/>
      <w:r>
        <w:t>WA, and</w:t>
      </w:r>
      <w:proofErr w:type="gramEnd"/>
      <w:r>
        <w:t xml:space="preserve"> would need to pay</w:t>
      </w:r>
      <w:r w:rsidR="00587A72">
        <w:t xml:space="preserve"> for quarantine or turn around. </w:t>
      </w:r>
      <w:r>
        <w:t>The passengers — who included a jewellery tycoon and a grandmother who hadn’t seen her grandchildren for a year — were excited to make the trip, with the border</w:t>
      </w:r>
      <w:r w:rsidR="00587A72">
        <w:t xml:space="preserve"> opening just 48 hours earlier. </w:t>
      </w:r>
      <w:r>
        <w:t xml:space="preserve">But as the flight took off, three locally transmitted cases were announced in South Australia, forcing Western Australia to slam its border shut — even to those already </w:t>
      </w:r>
      <w:proofErr w:type="spellStart"/>
      <w:r>
        <w:t>en</w:t>
      </w:r>
      <w:proofErr w:type="spellEnd"/>
      <w:r w:rsidR="00ED6A81">
        <w:t>-</w:t>
      </w:r>
      <w:r>
        <w:t>route.</w:t>
      </w:r>
    </w:p>
    <w:p w14:paraId="1FC41C99" w14:textId="77777777" w:rsidR="00B94E0B" w:rsidRDefault="00B94E0B" w:rsidP="00B94E0B">
      <w:r>
        <w:t xml:space="preserve">South Australian businessman Albert Bensimon, who was on a Perth-bound flight, told NCA </w:t>
      </w:r>
      <w:proofErr w:type="spellStart"/>
      <w:r>
        <w:t>NewsWire</w:t>
      </w:r>
      <w:proofErr w:type="spellEnd"/>
      <w:r>
        <w:t xml:space="preserve"> a few people “broke out in t</w:t>
      </w:r>
      <w:r w:rsidR="00587A72">
        <w:t xml:space="preserve">ears” when they heard the news. </w:t>
      </w:r>
      <w:r>
        <w:t>“I don’t think they either had the money to fly back or to pay for quarantine for 14 days or perhaps they were unhappy they couldn’t see their loved ones,” the Shiels Jewellers owner said.</w:t>
      </w:r>
    </w:p>
    <w:p w14:paraId="4189DCB8" w14:textId="77777777" w:rsidR="00B94E0B" w:rsidRDefault="00B94E0B" w:rsidP="00B94E0B">
      <w:r>
        <w:t>Travelling over for business, Stefan Ahrens of Gilberton said he was on-board Sunday’s flight to Perth and was told about the</w:t>
      </w:r>
      <w:r w:rsidR="00587A72">
        <w:t xml:space="preserve"> border closure once he landed. </w:t>
      </w:r>
      <w:r>
        <w:t>The 52-year-old said passengers were given an ultimatum: to quarantine for 14 days or return to</w:t>
      </w:r>
      <w:r w:rsidR="00587A72">
        <w:t xml:space="preserve"> Adelaide. He chose the latter. </w:t>
      </w:r>
      <w:r>
        <w:t xml:space="preserve">“We landed and were about to get </w:t>
      </w:r>
      <w:proofErr w:type="gramStart"/>
      <w:r>
        <w:t>off</w:t>
      </w:r>
      <w:proofErr w:type="gramEnd"/>
      <w:r>
        <w:t xml:space="preserve"> but nobody knew what was going on and they asked us </w:t>
      </w:r>
      <w:r w:rsidR="00587A72">
        <w:t xml:space="preserve">to stay still,” Mr Ahrens said. </w:t>
      </w:r>
      <w:r>
        <w:t>“Then they said they’d take us off the plane and put us in a separate lounge for an hour or two and told us we had two options.</w:t>
      </w:r>
    </w:p>
    <w:p w14:paraId="60E54F17" w14:textId="77777777" w:rsidR="00B92511" w:rsidRPr="005961BD" w:rsidRDefault="00B92511" w:rsidP="00B94E0B">
      <w:pPr>
        <w:rPr>
          <w:iCs/>
          <w:sz w:val="18"/>
          <w:szCs w:val="18"/>
        </w:rPr>
      </w:pPr>
      <w:r w:rsidRPr="005961BD">
        <w:rPr>
          <w:iCs/>
          <w:sz w:val="18"/>
          <w:szCs w:val="18"/>
        </w:rPr>
        <w:t xml:space="preserve">(Source: The Australian, </w:t>
      </w:r>
      <w:hyperlink r:id="rId30" w:history="1">
        <w:r w:rsidR="007016EA" w:rsidRPr="005961BD">
          <w:rPr>
            <w:rStyle w:val="Hyperlink"/>
            <w:iCs/>
            <w:sz w:val="18"/>
            <w:szCs w:val="18"/>
          </w:rPr>
          <w:t>Travellers ‘broke out in tears’: Inside flight from Adelaide to Perth turned around at airport</w:t>
        </w:r>
      </w:hyperlink>
      <w:r w:rsidRPr="005961BD">
        <w:rPr>
          <w:iCs/>
          <w:sz w:val="18"/>
          <w:szCs w:val="18"/>
        </w:rPr>
        <w:t>, accessed June 2020)</w:t>
      </w:r>
      <w:bookmarkEnd w:id="1"/>
    </w:p>
    <w:p w14:paraId="581813CC" w14:textId="77777777" w:rsidR="00587A72" w:rsidRPr="009F3E4C" w:rsidRDefault="009F3E4C" w:rsidP="00B94E0B">
      <w:pPr>
        <w:rPr>
          <w:color w:val="C00000"/>
        </w:rPr>
      </w:pPr>
      <w:bookmarkStart w:id="2" w:name="_Hlk76054982"/>
      <w:r w:rsidRPr="009F3E4C">
        <w:rPr>
          <w:color w:val="C00000"/>
        </w:rPr>
        <w:t>&lt;&lt;END BOX</w:t>
      </w:r>
      <w:r w:rsidR="00587A72" w:rsidRPr="009F3E4C">
        <w:rPr>
          <w:color w:val="C00000"/>
        </w:rPr>
        <w:t>&gt;&gt;</w:t>
      </w:r>
    </w:p>
    <w:bookmarkEnd w:id="2"/>
    <w:p w14:paraId="0E059511" w14:textId="77777777" w:rsidR="00E47B5D" w:rsidRDefault="00016276" w:rsidP="00713670">
      <w:pPr>
        <w:pStyle w:val="Heading3"/>
      </w:pPr>
      <w:r>
        <w:t>The slow return of interstate travel</w:t>
      </w:r>
    </w:p>
    <w:p w14:paraId="07346F57" w14:textId="0DF57213" w:rsidR="00A13FC4" w:rsidRDefault="29E4C141" w:rsidP="00B32249">
      <w:r>
        <w:t>In 2019</w:t>
      </w:r>
      <w:r w:rsidR="2D28E992">
        <w:t>,</w:t>
      </w:r>
      <w:r>
        <w:t xml:space="preserve"> </w:t>
      </w:r>
      <w:r w:rsidR="41B051C5">
        <w:t xml:space="preserve">interstate travellers </w:t>
      </w:r>
      <w:r>
        <w:t>accounted for 37</w:t>
      </w:r>
      <w:r w:rsidR="008F05B6">
        <w:t xml:space="preserve"> per cent</w:t>
      </w:r>
      <w:r>
        <w:t xml:space="preserve"> of all domestic </w:t>
      </w:r>
      <w:proofErr w:type="gramStart"/>
      <w:r>
        <w:t>spend</w:t>
      </w:r>
      <w:r w:rsidR="41B051C5">
        <w:t>, and</w:t>
      </w:r>
      <w:proofErr w:type="gramEnd"/>
      <w:r w:rsidR="41B051C5">
        <w:t xml:space="preserve"> spent an average of $779 per trip. This was almost four times what was typically spent on intrastate trips. </w:t>
      </w:r>
      <w:r w:rsidR="4B669322">
        <w:t xml:space="preserve">Interstate </w:t>
      </w:r>
      <w:r w:rsidR="4B669322">
        <w:lastRenderedPageBreak/>
        <w:t>travellers are</w:t>
      </w:r>
      <w:r w:rsidR="2CA48548">
        <w:t xml:space="preserve"> also</w:t>
      </w:r>
      <w:r w:rsidR="4B669322">
        <w:t xml:space="preserve"> more likely to stay in commercial accommodation, eat at restaurants, catch a </w:t>
      </w:r>
      <w:proofErr w:type="gramStart"/>
      <w:r w:rsidR="4B669322">
        <w:t>plane</w:t>
      </w:r>
      <w:proofErr w:type="gramEnd"/>
      <w:r w:rsidR="4B669322">
        <w:t xml:space="preserve"> and participate in tourism experiences. For example:</w:t>
      </w:r>
    </w:p>
    <w:p w14:paraId="01A01EFF" w14:textId="77777777" w:rsidR="00A13FC4" w:rsidRDefault="00A13FC4" w:rsidP="00713670">
      <w:pPr>
        <w:pStyle w:val="ListParagraph"/>
        <w:numPr>
          <w:ilvl w:val="0"/>
          <w:numId w:val="14"/>
        </w:numPr>
      </w:pPr>
      <w:r>
        <w:t>62</w:t>
      </w:r>
      <w:r w:rsidR="008F05B6">
        <w:t xml:space="preserve"> per cent</w:t>
      </w:r>
      <w:r>
        <w:t xml:space="preserve"> of overnight interstate trips included commercial accommodation, compared with 41</w:t>
      </w:r>
      <w:r w:rsidR="008F05B6">
        <w:t xml:space="preserve"> per cent</w:t>
      </w:r>
      <w:r>
        <w:t xml:space="preserve"> of overnight intrastate trips. </w:t>
      </w:r>
    </w:p>
    <w:p w14:paraId="76D1CD90" w14:textId="77777777" w:rsidR="00A13FC4" w:rsidRDefault="00A13FC4" w:rsidP="00713670">
      <w:pPr>
        <w:pStyle w:val="ListParagraph"/>
        <w:numPr>
          <w:ilvl w:val="0"/>
          <w:numId w:val="14"/>
        </w:numPr>
      </w:pPr>
      <w:r>
        <w:t>61</w:t>
      </w:r>
      <w:r w:rsidR="008F05B6">
        <w:t xml:space="preserve"> per cent</w:t>
      </w:r>
      <w:r>
        <w:t xml:space="preserve"> of overnight interstate trips involved air travel (24 million trips), compared with only 6</w:t>
      </w:r>
      <w:r w:rsidR="008F05B6">
        <w:t xml:space="preserve"> per cent</w:t>
      </w:r>
      <w:r>
        <w:t xml:space="preserve"> of overnight intrastate trips</w:t>
      </w:r>
      <w:r w:rsidR="007016EA">
        <w:t>.</w:t>
      </w:r>
    </w:p>
    <w:p w14:paraId="69C7FE9A" w14:textId="281D9300" w:rsidR="00B32249" w:rsidRDefault="4A9C0F3A" w:rsidP="00B32249">
      <w:r>
        <w:t>However, b</w:t>
      </w:r>
      <w:r w:rsidR="2CA48548">
        <w:t>order closures, health concerns and reduced aviation</w:t>
      </w:r>
      <w:r w:rsidR="08D6D26A">
        <w:t xml:space="preserve"> capacity</w:t>
      </w:r>
      <w:r w:rsidR="2CA48548">
        <w:t xml:space="preserve"> all played a part in slowing the recovery of </w:t>
      </w:r>
      <w:r w:rsidR="41B051C5">
        <w:t>this important sector</w:t>
      </w:r>
      <w:r w:rsidR="2CA48548">
        <w:t xml:space="preserve">. </w:t>
      </w:r>
      <w:r w:rsidR="06060531">
        <w:t>By December 2020</w:t>
      </w:r>
      <w:r w:rsidR="6068B8F6">
        <w:t>,</w:t>
      </w:r>
      <w:r w:rsidR="06060531">
        <w:t xml:space="preserve"> </w:t>
      </w:r>
      <w:r w:rsidR="1C69488D">
        <w:t>spend on interstate trips</w:t>
      </w:r>
      <w:r w:rsidR="06060531">
        <w:t xml:space="preserve"> had recovered to $1.7 billion</w:t>
      </w:r>
      <w:r w:rsidR="1C69488D">
        <w:t>, 42</w:t>
      </w:r>
      <w:r w:rsidR="008F05B6">
        <w:t xml:space="preserve"> per cent</w:t>
      </w:r>
      <w:r w:rsidR="1C69488D">
        <w:t xml:space="preserve"> below </w:t>
      </w:r>
      <w:r w:rsidR="060EEA09">
        <w:t xml:space="preserve">the </w:t>
      </w:r>
      <w:r w:rsidR="1C69488D">
        <w:t xml:space="preserve">pre-pandemic spend of $2.9 billion. </w:t>
      </w:r>
    </w:p>
    <w:p w14:paraId="085BF95C" w14:textId="77777777" w:rsidR="00B32249" w:rsidRPr="005961BD" w:rsidRDefault="00B32249" w:rsidP="00B32249">
      <w:pPr>
        <w:pStyle w:val="Caption"/>
        <w:rPr>
          <w:b/>
          <w:i w:val="0"/>
          <w:iCs w:val="0"/>
          <w:sz w:val="22"/>
          <w:szCs w:val="22"/>
        </w:rPr>
      </w:pPr>
      <w:r w:rsidRPr="005961BD">
        <w:rPr>
          <w:b/>
          <w:i w:val="0"/>
          <w:iCs w:val="0"/>
          <w:sz w:val="22"/>
          <w:szCs w:val="22"/>
        </w:rPr>
        <w:t xml:space="preserve">Figure </w:t>
      </w:r>
      <w:r w:rsidR="00A56811" w:rsidRPr="005961BD">
        <w:rPr>
          <w:b/>
          <w:i w:val="0"/>
          <w:iCs w:val="0"/>
          <w:sz w:val="22"/>
          <w:szCs w:val="22"/>
        </w:rPr>
        <w:t>5</w:t>
      </w:r>
      <w:r w:rsidRPr="005961BD">
        <w:rPr>
          <w:b/>
          <w:i w:val="0"/>
          <w:iCs w:val="0"/>
          <w:sz w:val="22"/>
          <w:szCs w:val="22"/>
        </w:rPr>
        <w:t xml:space="preserve"> </w:t>
      </w:r>
      <w:r w:rsidR="007F37CE" w:rsidRPr="005961BD">
        <w:rPr>
          <w:b/>
          <w:i w:val="0"/>
          <w:iCs w:val="0"/>
          <w:sz w:val="22"/>
          <w:szCs w:val="22"/>
        </w:rPr>
        <w:t>–</w:t>
      </w:r>
      <w:r w:rsidRPr="005961BD">
        <w:rPr>
          <w:b/>
          <w:i w:val="0"/>
          <w:iCs w:val="0"/>
          <w:sz w:val="22"/>
          <w:szCs w:val="22"/>
        </w:rPr>
        <w:t xml:space="preserve"> Intrastate spend vs interstate spend, April to December 2020</w:t>
      </w:r>
    </w:p>
    <w:p w14:paraId="4B79F9FD" w14:textId="2FFDEFE7" w:rsidR="00B32249" w:rsidRDefault="00616B28" w:rsidP="00B32249">
      <w:r>
        <w:rPr>
          <w:noProof/>
          <w:lang w:eastAsia="en-AU"/>
        </w:rPr>
        <w:drawing>
          <wp:inline distT="0" distB="0" distL="0" distR="0" wp14:anchorId="00F88496" wp14:editId="53CA1B1A">
            <wp:extent cx="6188075" cy="2743200"/>
            <wp:effectExtent l="0" t="0" r="0" b="0"/>
            <wp:docPr id="10" name="Picture 10" descr="Figure 5 shows intrastate spend compared to interstate spend between months April 2020 and December 2020. Intrastate spend is significantly higher than inter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igure 5 shows intrastate spend compared to interstate spend between months April 2020 and December 2020. Intrastate spend is significantly higher than interstat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88075" cy="2743200"/>
                    </a:xfrm>
                    <a:prstGeom prst="rect">
                      <a:avLst/>
                    </a:prstGeom>
                    <a:noFill/>
                  </pic:spPr>
                </pic:pic>
              </a:graphicData>
            </a:graphic>
          </wp:inline>
        </w:drawing>
      </w:r>
    </w:p>
    <w:p w14:paraId="21784843" w14:textId="77777777" w:rsidR="00016276" w:rsidRPr="009F3E4C" w:rsidRDefault="009F3E4C">
      <w:pPr>
        <w:rPr>
          <w:color w:val="C00000"/>
        </w:rPr>
      </w:pPr>
      <w:r w:rsidRPr="009F3E4C">
        <w:rPr>
          <w:color w:val="C00000"/>
        </w:rPr>
        <w:t>&lt;&lt;START BOX</w:t>
      </w:r>
      <w:r w:rsidR="00016276" w:rsidRPr="009F3E4C">
        <w:rPr>
          <w:color w:val="C00000"/>
        </w:rPr>
        <w:t>&gt;&gt;</w:t>
      </w:r>
    </w:p>
    <w:p w14:paraId="1E78F4A7" w14:textId="77777777" w:rsidR="007016EA" w:rsidRDefault="00AB154F">
      <w:r>
        <w:t xml:space="preserve">The </w:t>
      </w:r>
      <w:r w:rsidR="00EA66DB">
        <w:t xml:space="preserve">gradual </w:t>
      </w:r>
      <w:r>
        <w:t xml:space="preserve">opening of state borders </w:t>
      </w:r>
      <w:r w:rsidR="00EA66DB">
        <w:t xml:space="preserve">in the latter half of 2020 </w:t>
      </w:r>
      <w:r>
        <w:t xml:space="preserve">led to reinstated flights being booked out within minutes and immediate spikes in accommodation bookings. </w:t>
      </w:r>
    </w:p>
    <w:p w14:paraId="214E7AFE" w14:textId="77777777" w:rsidR="00AB154F" w:rsidRDefault="00AB154F">
      <w:r>
        <w:t>When</w:t>
      </w:r>
      <w:r w:rsidR="00D82CA7">
        <w:t xml:space="preserve"> Queensland opened borders in July 2020</w:t>
      </w:r>
      <w:r>
        <w:t xml:space="preserve"> following an extended closure, travellers were cheering and waving as they crossed into the state. </w:t>
      </w:r>
      <w:r w:rsidR="00D82CA7">
        <w:t xml:space="preserve">Many travellers tried to </w:t>
      </w:r>
      <w:r w:rsidR="00EA66DB">
        <w:t xml:space="preserve">enter Queensland illegally </w:t>
      </w:r>
      <w:r w:rsidR="00D82CA7">
        <w:t xml:space="preserve">before the mid-day border reopening, with 700 vehicles being turned away. </w:t>
      </w:r>
    </w:p>
    <w:p w14:paraId="5AD13152" w14:textId="77777777" w:rsidR="007016EA" w:rsidRPr="005961BD" w:rsidRDefault="007016EA">
      <w:pPr>
        <w:rPr>
          <w:iCs/>
          <w:sz w:val="18"/>
          <w:szCs w:val="18"/>
        </w:rPr>
      </w:pPr>
      <w:r w:rsidRPr="005961BD">
        <w:rPr>
          <w:iCs/>
          <w:sz w:val="18"/>
          <w:szCs w:val="18"/>
        </w:rPr>
        <w:t>(</w:t>
      </w:r>
      <w:r w:rsidRPr="005961BD">
        <w:rPr>
          <w:b/>
          <w:iCs/>
          <w:color w:val="000000" w:themeColor="text1"/>
          <w:sz w:val="18"/>
          <w:szCs w:val="18"/>
        </w:rPr>
        <w:t>Source</w:t>
      </w:r>
      <w:r w:rsidRPr="005961BD">
        <w:rPr>
          <w:iCs/>
          <w:sz w:val="18"/>
          <w:szCs w:val="18"/>
        </w:rPr>
        <w:t xml:space="preserve">: Courier Mail, </w:t>
      </w:r>
      <w:hyperlink r:id="rId32" w:history="1">
        <w:r w:rsidRPr="005961BD">
          <w:rPr>
            <w:rStyle w:val="Hyperlink"/>
            <w:iCs/>
            <w:sz w:val="18"/>
            <w:szCs w:val="18"/>
          </w:rPr>
          <w:t>Heavy traffic as Queensland reopens to interstate travellers</w:t>
        </w:r>
      </w:hyperlink>
      <w:r w:rsidRPr="005961BD">
        <w:rPr>
          <w:iCs/>
          <w:sz w:val="18"/>
          <w:szCs w:val="18"/>
        </w:rPr>
        <w:t xml:space="preserve">, </w:t>
      </w:r>
      <w:r w:rsidR="00F34A2C" w:rsidRPr="005961BD">
        <w:rPr>
          <w:iCs/>
          <w:sz w:val="18"/>
          <w:szCs w:val="18"/>
        </w:rPr>
        <w:t>accessed July</w:t>
      </w:r>
      <w:r w:rsidRPr="005961BD">
        <w:rPr>
          <w:iCs/>
          <w:sz w:val="18"/>
          <w:szCs w:val="18"/>
        </w:rPr>
        <w:t xml:space="preserve"> 2020</w:t>
      </w:r>
      <w:r w:rsidR="00C04C4D" w:rsidRPr="005961BD">
        <w:rPr>
          <w:iCs/>
          <w:sz w:val="18"/>
          <w:szCs w:val="18"/>
        </w:rPr>
        <w:t xml:space="preserve"> through 9AM</w:t>
      </w:r>
      <w:r w:rsidR="00F34A2C" w:rsidRPr="005961BD">
        <w:rPr>
          <w:iCs/>
          <w:sz w:val="18"/>
          <w:szCs w:val="18"/>
        </w:rPr>
        <w:t xml:space="preserve"> GM Daily News</w:t>
      </w:r>
      <w:r w:rsidRPr="005961BD">
        <w:rPr>
          <w:iCs/>
          <w:sz w:val="18"/>
          <w:szCs w:val="18"/>
        </w:rPr>
        <w:t>)</w:t>
      </w:r>
    </w:p>
    <w:p w14:paraId="265E08D5" w14:textId="77777777" w:rsidR="00AB154F" w:rsidRDefault="009F3E4C">
      <w:pPr>
        <w:rPr>
          <w:color w:val="C00000"/>
        </w:rPr>
      </w:pPr>
      <w:r w:rsidRPr="009F3E4C">
        <w:rPr>
          <w:color w:val="C00000"/>
        </w:rPr>
        <w:t>&lt;&lt;END BOX</w:t>
      </w:r>
      <w:r w:rsidR="0059167E" w:rsidRPr="009F3E4C">
        <w:rPr>
          <w:color w:val="C00000"/>
        </w:rPr>
        <w:t>&gt;&gt;</w:t>
      </w:r>
    </w:p>
    <w:p w14:paraId="2033F2F8" w14:textId="77777777" w:rsidR="00F80984" w:rsidRPr="007F28D8" w:rsidRDefault="0073708C" w:rsidP="00713670">
      <w:pPr>
        <w:pStyle w:val="Heading3"/>
      </w:pPr>
      <w:r>
        <w:t xml:space="preserve">Ongoing </w:t>
      </w:r>
      <w:r w:rsidR="00F80984" w:rsidRPr="007F28D8">
        <w:t>h</w:t>
      </w:r>
      <w:r w:rsidR="00B2673B" w:rsidRPr="007F28D8">
        <w:t>ealth concerns</w:t>
      </w:r>
    </w:p>
    <w:p w14:paraId="03FCE83E" w14:textId="08DF9F14" w:rsidR="00F17226" w:rsidRPr="00F17226" w:rsidRDefault="621BC130" w:rsidP="4394C1AB">
      <w:pPr>
        <w:pStyle w:val="NormalWeb"/>
        <w:shd w:val="clear" w:color="auto" w:fill="FFFFFF" w:themeFill="background1"/>
        <w:spacing w:before="120" w:beforeAutospacing="0" w:after="120" w:afterAutospacing="0"/>
        <w:rPr>
          <w:rFonts w:asciiTheme="minorHAnsi" w:hAnsiTheme="minorHAnsi" w:cstheme="minorBidi"/>
          <w:sz w:val="22"/>
          <w:szCs w:val="22"/>
          <w:lang w:eastAsia="en-US"/>
        </w:rPr>
      </w:pPr>
      <w:r w:rsidRPr="4394C1AB">
        <w:rPr>
          <w:rFonts w:asciiTheme="minorHAnsi" w:hAnsiTheme="minorHAnsi"/>
          <w:sz w:val="22"/>
          <w:szCs w:val="22"/>
        </w:rPr>
        <w:t xml:space="preserve">The fear of contracting </w:t>
      </w:r>
      <w:r w:rsidR="5BDBA3B4" w:rsidRPr="4394C1AB">
        <w:rPr>
          <w:rFonts w:asciiTheme="minorHAnsi" w:hAnsiTheme="minorHAnsi"/>
          <w:sz w:val="22"/>
          <w:szCs w:val="22"/>
        </w:rPr>
        <w:t>Covid-19</w:t>
      </w:r>
      <w:r w:rsidRPr="4394C1AB">
        <w:rPr>
          <w:rFonts w:asciiTheme="minorHAnsi" w:hAnsiTheme="minorHAnsi"/>
          <w:sz w:val="22"/>
          <w:szCs w:val="22"/>
        </w:rPr>
        <w:t xml:space="preserve"> </w:t>
      </w:r>
      <w:r w:rsidRPr="4394C1AB">
        <w:rPr>
          <w:rFonts w:asciiTheme="minorHAnsi" w:hAnsiTheme="minorHAnsi" w:cstheme="minorBidi"/>
          <w:sz w:val="22"/>
          <w:szCs w:val="22"/>
          <w:lang w:eastAsia="en-US"/>
        </w:rPr>
        <w:t xml:space="preserve">was a </w:t>
      </w:r>
      <w:r w:rsidRPr="4394C1AB">
        <w:rPr>
          <w:rFonts w:asciiTheme="minorHAnsi" w:hAnsiTheme="minorHAnsi"/>
          <w:sz w:val="22"/>
          <w:szCs w:val="22"/>
        </w:rPr>
        <w:t xml:space="preserve">concern </w:t>
      </w:r>
      <w:r w:rsidRPr="4394C1AB">
        <w:rPr>
          <w:rFonts w:asciiTheme="minorHAnsi" w:hAnsiTheme="minorHAnsi" w:cstheme="minorBidi"/>
          <w:sz w:val="22"/>
          <w:szCs w:val="22"/>
          <w:lang w:eastAsia="en-US"/>
        </w:rPr>
        <w:t xml:space="preserve">faced by many Australians in 2020 and a significant travel disruptor. In a </w:t>
      </w:r>
      <w:r w:rsidR="2E3EF624" w:rsidRPr="4394C1AB">
        <w:rPr>
          <w:rFonts w:asciiTheme="minorHAnsi" w:hAnsiTheme="minorHAnsi" w:cstheme="minorBidi"/>
          <w:sz w:val="22"/>
          <w:szCs w:val="22"/>
          <w:lang w:eastAsia="en-US"/>
        </w:rPr>
        <w:t xml:space="preserve">Tourism Australia </w:t>
      </w:r>
      <w:r w:rsidRPr="4394C1AB">
        <w:rPr>
          <w:rFonts w:asciiTheme="minorHAnsi" w:hAnsiTheme="minorHAnsi" w:cstheme="minorBidi"/>
          <w:sz w:val="22"/>
          <w:szCs w:val="22"/>
          <w:lang w:eastAsia="en-US"/>
        </w:rPr>
        <w:t xml:space="preserve">survey questioning the main barriers to domestic travel, respondents </w:t>
      </w:r>
      <w:r w:rsidR="2E3EF624" w:rsidRPr="4394C1AB">
        <w:rPr>
          <w:rFonts w:asciiTheme="minorHAnsi" w:hAnsiTheme="minorHAnsi" w:cstheme="minorBidi"/>
          <w:sz w:val="22"/>
          <w:szCs w:val="22"/>
          <w:lang w:eastAsia="en-US"/>
        </w:rPr>
        <w:t xml:space="preserve">consistently </w:t>
      </w:r>
      <w:r w:rsidRPr="4394C1AB">
        <w:rPr>
          <w:rFonts w:asciiTheme="minorHAnsi" w:hAnsiTheme="minorHAnsi" w:cstheme="minorBidi"/>
          <w:sz w:val="22"/>
          <w:szCs w:val="22"/>
          <w:lang w:eastAsia="en-US"/>
        </w:rPr>
        <w:t xml:space="preserve">stated they were afraid of contracting </w:t>
      </w:r>
      <w:r w:rsidR="001D702E">
        <w:rPr>
          <w:rFonts w:asciiTheme="minorHAnsi" w:hAnsiTheme="minorHAnsi" w:cstheme="minorBidi"/>
          <w:sz w:val="22"/>
          <w:szCs w:val="22"/>
          <w:lang w:eastAsia="en-US"/>
        </w:rPr>
        <w:t>Covid-19</w:t>
      </w:r>
      <w:r w:rsidR="001D702E" w:rsidRPr="4394C1AB">
        <w:rPr>
          <w:rFonts w:asciiTheme="minorHAnsi" w:hAnsiTheme="minorHAnsi" w:cstheme="minorBidi"/>
          <w:sz w:val="22"/>
          <w:szCs w:val="22"/>
          <w:lang w:eastAsia="en-US"/>
        </w:rPr>
        <w:t xml:space="preserve"> </w:t>
      </w:r>
      <w:r w:rsidRPr="4394C1AB">
        <w:rPr>
          <w:rFonts w:asciiTheme="minorHAnsi" w:hAnsiTheme="minorHAnsi" w:cstheme="minorBidi"/>
          <w:sz w:val="22"/>
          <w:szCs w:val="22"/>
          <w:lang w:eastAsia="en-US"/>
        </w:rPr>
        <w:t>– a similar disruptive effect to mandated travel restrictions. This fear of catching the disease peaked</w:t>
      </w:r>
      <w:r w:rsidR="69D83066" w:rsidRPr="4394C1AB">
        <w:rPr>
          <w:rFonts w:asciiTheme="minorHAnsi" w:hAnsiTheme="minorHAnsi" w:cstheme="minorBidi"/>
          <w:sz w:val="22"/>
          <w:szCs w:val="22"/>
          <w:lang w:eastAsia="en-US"/>
        </w:rPr>
        <w:t xml:space="preserve"> </w:t>
      </w:r>
      <w:r w:rsidRPr="4394C1AB">
        <w:rPr>
          <w:rFonts w:asciiTheme="minorHAnsi" w:hAnsiTheme="minorHAnsi" w:cstheme="minorBidi"/>
          <w:sz w:val="22"/>
          <w:szCs w:val="22"/>
          <w:lang w:eastAsia="en-US"/>
        </w:rPr>
        <w:t xml:space="preserve">during the Covid-19 </w:t>
      </w:r>
      <w:r w:rsidR="2E3EF624" w:rsidRPr="4394C1AB">
        <w:rPr>
          <w:rFonts w:asciiTheme="minorHAnsi" w:hAnsiTheme="minorHAnsi" w:cstheme="minorBidi"/>
          <w:sz w:val="22"/>
          <w:szCs w:val="22"/>
          <w:lang w:eastAsia="en-US"/>
        </w:rPr>
        <w:t>outbreak</w:t>
      </w:r>
      <w:r w:rsidRPr="4394C1AB">
        <w:rPr>
          <w:rFonts w:asciiTheme="minorHAnsi" w:hAnsiTheme="minorHAnsi" w:cstheme="minorBidi"/>
          <w:sz w:val="22"/>
          <w:szCs w:val="22"/>
          <w:lang w:eastAsia="en-US"/>
        </w:rPr>
        <w:t xml:space="preserve"> in </w:t>
      </w:r>
      <w:r w:rsidRPr="4394C1AB">
        <w:rPr>
          <w:rFonts w:asciiTheme="minorHAnsi" w:hAnsiTheme="minorHAnsi" w:cstheme="minorBidi"/>
          <w:sz w:val="22"/>
          <w:szCs w:val="22"/>
          <w:lang w:eastAsia="en-US"/>
        </w:rPr>
        <w:lastRenderedPageBreak/>
        <w:t>Victoria (July to September 2020)</w:t>
      </w:r>
      <w:r w:rsidR="2E3EF624" w:rsidRPr="4394C1AB">
        <w:rPr>
          <w:rFonts w:asciiTheme="minorHAnsi" w:hAnsiTheme="minorHAnsi" w:cstheme="minorBidi"/>
          <w:sz w:val="22"/>
          <w:szCs w:val="22"/>
          <w:lang w:eastAsia="en-US"/>
        </w:rPr>
        <w:t xml:space="preserve">. In the months of August and September 2020, almost half of all respondents expressed this fear. This </w:t>
      </w:r>
      <w:r w:rsidR="1AD7C105" w:rsidRPr="4394C1AB">
        <w:rPr>
          <w:rFonts w:asciiTheme="minorHAnsi" w:hAnsiTheme="minorHAnsi" w:cstheme="minorBidi"/>
          <w:sz w:val="22"/>
          <w:szCs w:val="22"/>
          <w:lang w:eastAsia="en-US"/>
        </w:rPr>
        <w:t>was</w:t>
      </w:r>
      <w:r w:rsidR="2E3EF624" w:rsidRPr="4394C1AB">
        <w:rPr>
          <w:rFonts w:asciiTheme="minorHAnsi" w:hAnsiTheme="minorHAnsi" w:cstheme="minorBidi"/>
          <w:sz w:val="22"/>
          <w:szCs w:val="22"/>
          <w:lang w:eastAsia="en-US"/>
        </w:rPr>
        <w:t xml:space="preserve"> despite </w:t>
      </w:r>
      <w:r w:rsidR="5BDBA3B4" w:rsidRPr="4394C1AB">
        <w:rPr>
          <w:rFonts w:asciiTheme="minorHAnsi" w:hAnsiTheme="minorHAnsi" w:cstheme="minorBidi"/>
          <w:sz w:val="22"/>
          <w:szCs w:val="22"/>
          <w:lang w:eastAsia="en-US"/>
        </w:rPr>
        <w:t>case numbers in other states and territories</w:t>
      </w:r>
      <w:r w:rsidRPr="4394C1AB">
        <w:rPr>
          <w:rFonts w:asciiTheme="minorHAnsi" w:hAnsiTheme="minorHAnsi" w:cstheme="minorBidi"/>
          <w:sz w:val="22"/>
          <w:szCs w:val="22"/>
          <w:lang w:eastAsia="en-US"/>
        </w:rPr>
        <w:t xml:space="preserve"> </w:t>
      </w:r>
      <w:r w:rsidR="2E3EF624" w:rsidRPr="4394C1AB">
        <w:rPr>
          <w:rFonts w:asciiTheme="minorHAnsi" w:hAnsiTheme="minorHAnsi" w:cstheme="minorBidi"/>
          <w:sz w:val="22"/>
          <w:szCs w:val="22"/>
          <w:lang w:eastAsia="en-US"/>
        </w:rPr>
        <w:t>being at far</w:t>
      </w:r>
      <w:r w:rsidRPr="4394C1AB">
        <w:rPr>
          <w:rFonts w:asciiTheme="minorHAnsi" w:hAnsiTheme="minorHAnsi" w:cstheme="minorBidi"/>
          <w:sz w:val="22"/>
          <w:szCs w:val="22"/>
          <w:lang w:eastAsia="en-US"/>
        </w:rPr>
        <w:t xml:space="preserve"> lower levels.</w:t>
      </w:r>
    </w:p>
    <w:p w14:paraId="186650D4" w14:textId="77777777" w:rsidR="001F7205" w:rsidRPr="005961BD" w:rsidRDefault="001F7205" w:rsidP="001F7205">
      <w:pPr>
        <w:pStyle w:val="Caption"/>
        <w:rPr>
          <w:b/>
          <w:i w:val="0"/>
          <w:iCs w:val="0"/>
          <w:sz w:val="22"/>
          <w:szCs w:val="22"/>
        </w:rPr>
      </w:pPr>
      <w:r w:rsidRPr="005961BD">
        <w:rPr>
          <w:b/>
          <w:i w:val="0"/>
          <w:iCs w:val="0"/>
          <w:sz w:val="22"/>
          <w:szCs w:val="22"/>
        </w:rPr>
        <w:t xml:space="preserve">Figure </w:t>
      </w:r>
      <w:r w:rsidR="00A56811" w:rsidRPr="005961BD">
        <w:rPr>
          <w:b/>
          <w:i w:val="0"/>
          <w:iCs w:val="0"/>
          <w:sz w:val="22"/>
          <w:szCs w:val="22"/>
        </w:rPr>
        <w:t>6</w:t>
      </w:r>
      <w:r w:rsidRPr="005961BD">
        <w:rPr>
          <w:b/>
          <w:i w:val="0"/>
          <w:iCs w:val="0"/>
          <w:sz w:val="22"/>
          <w:szCs w:val="22"/>
        </w:rPr>
        <w:t xml:space="preserve"> </w:t>
      </w:r>
      <w:r w:rsidR="007F37CE" w:rsidRPr="005961BD">
        <w:rPr>
          <w:b/>
          <w:i w:val="0"/>
          <w:iCs w:val="0"/>
          <w:sz w:val="22"/>
          <w:szCs w:val="22"/>
        </w:rPr>
        <w:t>–</w:t>
      </w:r>
      <w:r w:rsidRPr="005961BD">
        <w:rPr>
          <w:b/>
          <w:i w:val="0"/>
          <w:iCs w:val="0"/>
          <w:sz w:val="22"/>
          <w:szCs w:val="22"/>
        </w:rPr>
        <w:t xml:space="preserve"> Tourism Australia survey on barriers to travel</w:t>
      </w:r>
      <w:r w:rsidR="00A56811" w:rsidRPr="005961BD">
        <w:rPr>
          <w:b/>
          <w:i w:val="0"/>
          <w:iCs w:val="0"/>
          <w:sz w:val="22"/>
          <w:szCs w:val="22"/>
        </w:rPr>
        <w:t>, April to November 2020</w:t>
      </w:r>
    </w:p>
    <w:p w14:paraId="28379CFC" w14:textId="37B28A45" w:rsidR="00F17226" w:rsidRDefault="003F0EB7" w:rsidP="00F17226">
      <w:pPr>
        <w:pStyle w:val="NormalWeb"/>
        <w:shd w:val="clear" w:color="auto" w:fill="FFFFFF" w:themeFill="background1"/>
        <w:spacing w:before="120" w:beforeAutospacing="0" w:after="120" w:afterAutospacing="0"/>
        <w:rPr>
          <w:rFonts w:asciiTheme="minorHAnsi" w:eastAsiaTheme="minorHAnsi" w:hAnsiTheme="minorHAnsi" w:cstheme="minorBidi"/>
          <w:sz w:val="22"/>
          <w:szCs w:val="22"/>
          <w:lang w:eastAsia="en-US"/>
        </w:rPr>
      </w:pPr>
      <w:r>
        <w:rPr>
          <w:rFonts w:asciiTheme="minorHAnsi" w:eastAsiaTheme="minorHAnsi" w:hAnsiTheme="minorHAnsi" w:cstheme="minorBidi"/>
          <w:noProof/>
          <w:sz w:val="22"/>
          <w:szCs w:val="22"/>
        </w:rPr>
        <w:drawing>
          <wp:inline distT="0" distB="0" distL="0" distR="0" wp14:anchorId="49B62621" wp14:editId="63CE347F">
            <wp:extent cx="5508346" cy="2264789"/>
            <wp:effectExtent l="0" t="0" r="0" b="0"/>
            <wp:docPr id="13" name="Picture 13" descr="Figure 6 shows Tourism Australia's survey on barriers to travel. Top barriers included travel restrictions and fear of contracting Covi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6 shows Tourism Australia's survey on barriers to travel. Top barriers included travel restrictions and fear of contracting Covid-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513523" cy="2266917"/>
                    </a:xfrm>
                    <a:prstGeom prst="rect">
                      <a:avLst/>
                    </a:prstGeom>
                    <a:noFill/>
                  </pic:spPr>
                </pic:pic>
              </a:graphicData>
            </a:graphic>
          </wp:inline>
        </w:drawing>
      </w:r>
    </w:p>
    <w:p w14:paraId="056FDEE7" w14:textId="77777777" w:rsidR="00164E53" w:rsidRPr="00DB0D46" w:rsidRDefault="00016276" w:rsidP="00713670">
      <w:pPr>
        <w:pStyle w:val="Heading3"/>
      </w:pPr>
      <w:r>
        <w:t>Consumer sentiment</w:t>
      </w:r>
    </w:p>
    <w:p w14:paraId="2FC705A2" w14:textId="0F2BF30C" w:rsidR="00B05DC6" w:rsidRDefault="00D7015C">
      <w:r>
        <w:t>Common to all border closures was</w:t>
      </w:r>
      <w:r w:rsidR="00B05DC6">
        <w:t xml:space="preserve"> a disruption </w:t>
      </w:r>
      <w:r w:rsidR="00EF3C46">
        <w:t xml:space="preserve">to </w:t>
      </w:r>
      <w:r w:rsidR="00B05DC6">
        <w:t xml:space="preserve">travel plans and the </w:t>
      </w:r>
      <w:r w:rsidR="00EF3C46">
        <w:t xml:space="preserve">possibility that </w:t>
      </w:r>
      <w:r>
        <w:t xml:space="preserve">consumers would lose </w:t>
      </w:r>
      <w:r w:rsidR="00B05DC6">
        <w:t xml:space="preserve">money paid in advance to </w:t>
      </w:r>
      <w:r w:rsidR="0059167E">
        <w:t>tourism</w:t>
      </w:r>
      <w:r w:rsidR="00B05DC6">
        <w:t xml:space="preserve"> operators.</w:t>
      </w:r>
      <w:r w:rsidR="00EF3C46">
        <w:t xml:space="preserve"> In the early stages of the pandemic these financial risks as well as health risks and restrictions weighed heavily on consumer sentiment. </w:t>
      </w:r>
    </w:p>
    <w:p w14:paraId="012FD6CC" w14:textId="2417DEBD" w:rsidR="00053A79" w:rsidRDefault="32DE6E8C" w:rsidP="00934115">
      <w:r>
        <w:t>As the year progress</w:t>
      </w:r>
      <w:r w:rsidR="18F4E7C8">
        <w:t>ed</w:t>
      </w:r>
      <w:r>
        <w:t xml:space="preserve">, </w:t>
      </w:r>
      <w:r w:rsidR="18F4E7C8">
        <w:t>there was greater understanding about how C</w:t>
      </w:r>
      <w:r w:rsidR="5BDBA3B4">
        <w:t>ovid-</w:t>
      </w:r>
      <w:r w:rsidR="18F4E7C8">
        <w:t>19 was transmitted as well as improved contact tracing. As a result</w:t>
      </w:r>
      <w:r w:rsidR="6853EED5">
        <w:t xml:space="preserve">, </w:t>
      </w:r>
      <w:r w:rsidR="18F4E7C8">
        <w:t xml:space="preserve">border </w:t>
      </w:r>
      <w:r w:rsidR="69D83066">
        <w:t>closures</w:t>
      </w:r>
      <w:r>
        <w:t xml:space="preserve"> </w:t>
      </w:r>
      <w:r w:rsidR="69D83066">
        <w:t xml:space="preserve">and lockdowns </w:t>
      </w:r>
      <w:r>
        <w:t>became shorter</w:t>
      </w:r>
      <w:r w:rsidR="12CE0BA5">
        <w:t xml:space="preserve">, </w:t>
      </w:r>
      <w:r w:rsidR="5BDBA3B4">
        <w:t>more</w:t>
      </w:r>
      <w:r w:rsidR="12CE0BA5">
        <w:t xml:space="preserve"> </w:t>
      </w:r>
      <w:proofErr w:type="gramStart"/>
      <w:r>
        <w:t>targeted</w:t>
      </w:r>
      <w:proofErr w:type="gramEnd"/>
      <w:r w:rsidR="12CE0BA5">
        <w:t xml:space="preserve"> and more decisive</w:t>
      </w:r>
      <w:r>
        <w:t xml:space="preserve">. </w:t>
      </w:r>
      <w:r w:rsidR="69D83066">
        <w:t xml:space="preserve">For example, in November 2020 </w:t>
      </w:r>
      <w:r w:rsidR="763630FD">
        <w:t>South Australia entered a 6</w:t>
      </w:r>
      <w:r w:rsidR="6E8B34BE">
        <w:t>-</w:t>
      </w:r>
      <w:r w:rsidR="763630FD">
        <w:t xml:space="preserve">day lockdown in response to an outbreak of Covid-19. When further information came to light, the lockdown was shortened by 3 days. </w:t>
      </w:r>
    </w:p>
    <w:p w14:paraId="234FF367" w14:textId="42C8C829" w:rsidR="00934115" w:rsidRDefault="00D7015C" w:rsidP="00934115">
      <w:pPr>
        <w:rPr>
          <w:b/>
        </w:rPr>
      </w:pPr>
      <w:r>
        <w:t xml:space="preserve">One positive impact </w:t>
      </w:r>
      <w:r w:rsidR="00C17AEA">
        <w:t xml:space="preserve">of this greater understanding </w:t>
      </w:r>
      <w:r>
        <w:t>was</w:t>
      </w:r>
      <w:r w:rsidR="00EF3C46">
        <w:t xml:space="preserve"> that </w:t>
      </w:r>
      <w:r w:rsidR="00DF6901">
        <w:t>people became</w:t>
      </w:r>
      <w:r w:rsidR="00772194">
        <w:t xml:space="preserve"> more confident in planning and booking trips</w:t>
      </w:r>
      <w:r w:rsidR="00EF3C46">
        <w:t xml:space="preserve">. </w:t>
      </w:r>
      <w:r w:rsidR="00C17AEA">
        <w:t>I</w:t>
      </w:r>
      <w:r w:rsidR="00934115">
        <w:t>n April 2020, 60</w:t>
      </w:r>
      <w:r w:rsidR="008F05B6">
        <w:t xml:space="preserve"> per cent</w:t>
      </w:r>
      <w:r w:rsidR="00934115">
        <w:t xml:space="preserve"> of participants in a Tourism Australia </w:t>
      </w:r>
      <w:r w:rsidR="00D75B76">
        <w:t>s</w:t>
      </w:r>
      <w:r w:rsidR="00934115">
        <w:t xml:space="preserve">urvey said they were not thinking about their next holiday. This was an all-time low for this </w:t>
      </w:r>
      <w:r w:rsidR="006728F7">
        <w:t>measure</w:t>
      </w:r>
      <w:r w:rsidR="00934115">
        <w:t>. Sentim</w:t>
      </w:r>
      <w:r>
        <w:t>ent improved through the year such</w:t>
      </w:r>
      <w:r w:rsidR="00934115">
        <w:t xml:space="preserve"> that by December 2020 only 38</w:t>
      </w:r>
      <w:r w:rsidR="008F05B6">
        <w:t xml:space="preserve"> per cent</w:t>
      </w:r>
      <w:r w:rsidR="00934115">
        <w:t xml:space="preserve"> were not thinking about their next holiday. </w:t>
      </w:r>
    </w:p>
    <w:p w14:paraId="4D397F19" w14:textId="77777777" w:rsidR="009009F6" w:rsidRPr="005961BD" w:rsidRDefault="006728F7" w:rsidP="006728F7">
      <w:pPr>
        <w:pStyle w:val="Caption"/>
        <w:rPr>
          <w:b/>
          <w:i w:val="0"/>
          <w:iCs w:val="0"/>
          <w:sz w:val="22"/>
          <w:szCs w:val="22"/>
        </w:rPr>
      </w:pPr>
      <w:r w:rsidRPr="005961BD">
        <w:rPr>
          <w:b/>
          <w:i w:val="0"/>
          <w:iCs w:val="0"/>
          <w:sz w:val="22"/>
          <w:szCs w:val="22"/>
        </w:rPr>
        <w:t xml:space="preserve">Figure </w:t>
      </w:r>
      <w:r w:rsidR="00A56811" w:rsidRPr="005961BD">
        <w:rPr>
          <w:b/>
          <w:i w:val="0"/>
          <w:iCs w:val="0"/>
          <w:sz w:val="22"/>
          <w:szCs w:val="22"/>
        </w:rPr>
        <w:t>7</w:t>
      </w:r>
      <w:r w:rsidRPr="005961BD">
        <w:rPr>
          <w:b/>
          <w:i w:val="0"/>
          <w:iCs w:val="0"/>
          <w:sz w:val="22"/>
          <w:szCs w:val="22"/>
        </w:rPr>
        <w:t xml:space="preserve"> </w:t>
      </w:r>
      <w:r w:rsidR="007F37CE" w:rsidRPr="005961BD">
        <w:rPr>
          <w:b/>
          <w:i w:val="0"/>
          <w:iCs w:val="0"/>
          <w:sz w:val="22"/>
          <w:szCs w:val="22"/>
        </w:rPr>
        <w:t>–</w:t>
      </w:r>
      <w:r w:rsidRPr="005961BD">
        <w:rPr>
          <w:b/>
          <w:i w:val="0"/>
          <w:iCs w:val="0"/>
          <w:sz w:val="22"/>
          <w:szCs w:val="22"/>
        </w:rPr>
        <w:t xml:space="preserve"> “Which of the following best describes your thinking around your next holiday”, Tourism Australia Survey of travel sentiment</w:t>
      </w:r>
      <w:r w:rsidR="00A56811" w:rsidRPr="005961BD">
        <w:rPr>
          <w:b/>
          <w:i w:val="0"/>
          <w:iCs w:val="0"/>
          <w:sz w:val="22"/>
          <w:szCs w:val="22"/>
        </w:rPr>
        <w:t>, April to November 2020</w:t>
      </w:r>
    </w:p>
    <w:p w14:paraId="31CDCEC4" w14:textId="77777777" w:rsidR="002A46AC" w:rsidRDefault="6FA8ADDD" w:rsidP="002A46AC">
      <w:r>
        <w:rPr>
          <w:noProof/>
          <w:lang w:eastAsia="en-AU"/>
        </w:rPr>
        <w:lastRenderedPageBreak/>
        <w:drawing>
          <wp:inline distT="0" distB="0" distL="0" distR="0" wp14:anchorId="3443FF58" wp14:editId="4CC33C8F">
            <wp:extent cx="5943600" cy="2670048"/>
            <wp:effectExtent l="0" t="0" r="0" b="0"/>
            <wp:docPr id="3" name="Picture 22" descr="Chart shows sentiments towards next holiday as per Tourism Australia survey. Sentiment gradually improved as year went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2" descr="Chart shows sentiments towards next holiday as per Tourism Australia survey. Sentiment gradually improved as year went on."/>
                    <pic:cNvPicPr/>
                  </pic:nvPicPr>
                  <pic:blipFill>
                    <a:blip r:embed="rId34">
                      <a:extLst>
                        <a:ext uri="{28A0092B-C50C-407E-A947-70E740481C1C}">
                          <a14:useLocalDpi xmlns:a14="http://schemas.microsoft.com/office/drawing/2010/main" val="0"/>
                        </a:ext>
                      </a:extLst>
                    </a:blip>
                    <a:stretch>
                      <a:fillRect/>
                    </a:stretch>
                  </pic:blipFill>
                  <pic:spPr>
                    <a:xfrm>
                      <a:off x="0" y="0"/>
                      <a:ext cx="5943600" cy="2670048"/>
                    </a:xfrm>
                    <a:prstGeom prst="rect">
                      <a:avLst/>
                    </a:prstGeom>
                  </pic:spPr>
                </pic:pic>
              </a:graphicData>
            </a:graphic>
          </wp:inline>
        </w:drawing>
      </w:r>
    </w:p>
    <w:p w14:paraId="3F820DEB" w14:textId="77777777" w:rsidR="0073708C" w:rsidRDefault="009F174D" w:rsidP="009F174D">
      <w:pPr>
        <w:pStyle w:val="Heading2"/>
      </w:pPr>
      <w:r>
        <w:t>Recovery of internationally reliant regions</w:t>
      </w:r>
    </w:p>
    <w:p w14:paraId="7B5CCC9B" w14:textId="2BB39C05" w:rsidR="002A46AC" w:rsidRDefault="2ED06AD7" w:rsidP="00A05E53">
      <w:r>
        <w:t>I</w:t>
      </w:r>
      <w:r w:rsidR="5F75A2A0">
        <w:t>nternational tourism made</w:t>
      </w:r>
      <w:r w:rsidR="12CE0BA5">
        <w:t xml:space="preserve"> up less than a quarter of all visitor spend</w:t>
      </w:r>
      <w:r w:rsidR="5F75A2A0">
        <w:t xml:space="preserve"> in 2019</w:t>
      </w:r>
      <w:r w:rsidR="12CE0BA5">
        <w:t xml:space="preserve"> – </w:t>
      </w:r>
      <w:r>
        <w:t xml:space="preserve">however </w:t>
      </w:r>
      <w:r w:rsidR="34AED9A4">
        <w:t>its significance varie</w:t>
      </w:r>
      <w:r w:rsidR="3585DB54">
        <w:t>d</w:t>
      </w:r>
      <w:r w:rsidR="12CE0BA5">
        <w:t xml:space="preserve"> widely across Australia. </w:t>
      </w:r>
      <w:r w:rsidR="17846582">
        <w:t>In 2019,</w:t>
      </w:r>
      <w:r>
        <w:t xml:space="preserve"> </w:t>
      </w:r>
      <w:r w:rsidR="17846582">
        <w:t>35</w:t>
      </w:r>
      <w:r w:rsidR="008F05B6">
        <w:t xml:space="preserve"> per cent</w:t>
      </w:r>
      <w:r>
        <w:t xml:space="preserve"> of all visitor spend </w:t>
      </w:r>
      <w:r w:rsidR="5BB44EE5">
        <w:t>in capital cities cam</w:t>
      </w:r>
      <w:r w:rsidR="55D8D844">
        <w:t xml:space="preserve">e from international tourists. This </w:t>
      </w:r>
      <w:r w:rsidR="354BB20B">
        <w:t>was</w:t>
      </w:r>
      <w:r w:rsidR="55D8D844">
        <w:t xml:space="preserve"> highest for gateway cities</w:t>
      </w:r>
      <w:r w:rsidR="12CE0BA5">
        <w:t xml:space="preserve"> such as Sydney </w:t>
      </w:r>
      <w:r w:rsidR="55D8D844">
        <w:t>and Melbourne (</w:t>
      </w:r>
      <w:r w:rsidR="5BB44EE5">
        <w:t>45</w:t>
      </w:r>
      <w:r w:rsidR="008F05B6">
        <w:t xml:space="preserve"> per cent</w:t>
      </w:r>
      <w:r w:rsidR="3FD56EB9">
        <w:t xml:space="preserve"> and </w:t>
      </w:r>
      <w:r w:rsidR="5BB44EE5">
        <w:t>40</w:t>
      </w:r>
      <w:r w:rsidR="008F05B6">
        <w:t xml:space="preserve"> per cent</w:t>
      </w:r>
      <w:r w:rsidR="3FD56EB9">
        <w:t xml:space="preserve"> of s</w:t>
      </w:r>
      <w:r w:rsidR="55D8D844">
        <w:t>pend coming from international)</w:t>
      </w:r>
      <w:r w:rsidR="3FD56EB9">
        <w:t>.</w:t>
      </w:r>
      <w:r w:rsidR="12CE0BA5">
        <w:t xml:space="preserve"> Away from the c</w:t>
      </w:r>
      <w:r w:rsidR="3FD56EB9">
        <w:t>apitals</w:t>
      </w:r>
      <w:r w:rsidR="5BB44EE5">
        <w:t>,</w:t>
      </w:r>
      <w:r w:rsidR="12CE0BA5">
        <w:t xml:space="preserve"> international tourism features strongly for </w:t>
      </w:r>
      <w:r w:rsidR="5BB44EE5">
        <w:t>the Gold Coast (23</w:t>
      </w:r>
      <w:r w:rsidR="008F05B6">
        <w:t xml:space="preserve"> per cent</w:t>
      </w:r>
      <w:r w:rsidR="5BB44EE5">
        <w:t>)</w:t>
      </w:r>
      <w:r w:rsidR="3FD56EB9">
        <w:t xml:space="preserve">, </w:t>
      </w:r>
      <w:r w:rsidR="5BB44EE5">
        <w:t>Lasseter (34</w:t>
      </w:r>
      <w:r w:rsidR="008F05B6">
        <w:t xml:space="preserve"> per cent</w:t>
      </w:r>
      <w:r w:rsidR="5BB44EE5">
        <w:t>)</w:t>
      </w:r>
      <w:r w:rsidR="3FD56EB9">
        <w:t xml:space="preserve">, </w:t>
      </w:r>
      <w:r w:rsidR="5BB44EE5">
        <w:t>Kangaroo Island (28</w:t>
      </w:r>
      <w:r w:rsidR="008F05B6">
        <w:t xml:space="preserve"> per cent</w:t>
      </w:r>
      <w:r w:rsidR="5BB44EE5">
        <w:t>)</w:t>
      </w:r>
      <w:r w:rsidR="3FD56EB9">
        <w:t xml:space="preserve"> and </w:t>
      </w:r>
      <w:r w:rsidR="55D8D844">
        <w:t>Tropical North Queensland</w:t>
      </w:r>
      <w:r w:rsidR="5BB44EE5">
        <w:t xml:space="preserve"> (26</w:t>
      </w:r>
      <w:r w:rsidR="008F05B6">
        <w:t xml:space="preserve"> per cent</w:t>
      </w:r>
      <w:r w:rsidR="5BB44EE5">
        <w:t>)</w:t>
      </w:r>
      <w:r w:rsidR="3FD56EB9">
        <w:t xml:space="preserve">.  </w:t>
      </w:r>
    </w:p>
    <w:p w14:paraId="32224727" w14:textId="77777777" w:rsidR="002A46AC" w:rsidRDefault="79D2FB7E" w:rsidP="002A46AC">
      <w:r>
        <w:t>A region’s reliance on international visitors was a key factor affecting the speed of recovery</w:t>
      </w:r>
      <w:r w:rsidR="3FD56EB9">
        <w:t xml:space="preserve">. </w:t>
      </w:r>
      <w:r w:rsidR="75C7990A">
        <w:t>Regions that had</w:t>
      </w:r>
      <w:r w:rsidR="24EFE466">
        <w:t xml:space="preserve"> a lower reliance (under 15</w:t>
      </w:r>
      <w:r w:rsidR="008F05B6">
        <w:t xml:space="preserve"> per cent</w:t>
      </w:r>
      <w:r w:rsidR="24EFE466">
        <w:t xml:space="preserve"> of spend) on international leisure tourism experienced a faster recovery than others. All regions experienced on average a 96</w:t>
      </w:r>
      <w:r w:rsidR="008F05B6">
        <w:t xml:space="preserve"> per cent</w:t>
      </w:r>
      <w:r w:rsidR="24EFE466">
        <w:t xml:space="preserve"> drop in leisure spend in April 2020 compared with the equivalent month in the previous year. Howeve</w:t>
      </w:r>
      <w:r w:rsidR="7D421EB3">
        <w:t>r,</w:t>
      </w:r>
      <w:r w:rsidR="24EFE466">
        <w:t xml:space="preserve"> by December 2020, regions that had a high reliance on international </w:t>
      </w:r>
      <w:r w:rsidR="75C7990A">
        <w:t xml:space="preserve">leisure </w:t>
      </w:r>
      <w:r w:rsidR="24EFE466">
        <w:t>spend were still down 51</w:t>
      </w:r>
      <w:r w:rsidR="008F05B6">
        <w:t xml:space="preserve"> per cent</w:t>
      </w:r>
      <w:r w:rsidR="24EFE466">
        <w:t>, whereas other regions were down 39</w:t>
      </w:r>
      <w:r w:rsidR="008F05B6">
        <w:t xml:space="preserve"> per cent</w:t>
      </w:r>
      <w:r w:rsidR="24EFE466">
        <w:t>.</w:t>
      </w:r>
    </w:p>
    <w:p w14:paraId="68106BEC" w14:textId="77777777" w:rsidR="006728F7" w:rsidRPr="005961BD" w:rsidRDefault="006728F7" w:rsidP="006728F7">
      <w:pPr>
        <w:pStyle w:val="Caption"/>
        <w:rPr>
          <w:b/>
          <w:i w:val="0"/>
          <w:iCs w:val="0"/>
          <w:sz w:val="22"/>
          <w:szCs w:val="22"/>
        </w:rPr>
      </w:pPr>
      <w:r w:rsidRPr="005961BD">
        <w:rPr>
          <w:b/>
          <w:i w:val="0"/>
          <w:iCs w:val="0"/>
          <w:sz w:val="22"/>
          <w:szCs w:val="22"/>
        </w:rPr>
        <w:t xml:space="preserve">Figure </w:t>
      </w:r>
      <w:r w:rsidR="00A56811" w:rsidRPr="005961BD">
        <w:rPr>
          <w:b/>
          <w:i w:val="0"/>
          <w:iCs w:val="0"/>
          <w:sz w:val="22"/>
          <w:szCs w:val="22"/>
        </w:rPr>
        <w:t>8</w:t>
      </w:r>
      <w:r w:rsidRPr="005961BD">
        <w:rPr>
          <w:b/>
          <w:i w:val="0"/>
          <w:iCs w:val="0"/>
          <w:sz w:val="22"/>
          <w:szCs w:val="22"/>
        </w:rPr>
        <w:t xml:space="preserve"> </w:t>
      </w:r>
      <w:r w:rsidR="007F37CE" w:rsidRPr="005961BD">
        <w:rPr>
          <w:b/>
          <w:i w:val="0"/>
          <w:iCs w:val="0"/>
          <w:sz w:val="22"/>
          <w:szCs w:val="22"/>
        </w:rPr>
        <w:t>–</w:t>
      </w:r>
      <w:r w:rsidRPr="005961BD">
        <w:rPr>
          <w:b/>
          <w:i w:val="0"/>
          <w:iCs w:val="0"/>
          <w:sz w:val="22"/>
          <w:szCs w:val="22"/>
        </w:rPr>
        <w:t xml:space="preserve"> Leisure </w:t>
      </w:r>
      <w:proofErr w:type="gramStart"/>
      <w:r w:rsidRPr="005961BD">
        <w:rPr>
          <w:b/>
          <w:i w:val="0"/>
          <w:iCs w:val="0"/>
          <w:sz w:val="22"/>
          <w:szCs w:val="22"/>
        </w:rPr>
        <w:t>spend</w:t>
      </w:r>
      <w:proofErr w:type="gramEnd"/>
      <w:r w:rsidR="00BC74BC" w:rsidRPr="005961BD">
        <w:rPr>
          <w:b/>
          <w:i w:val="0"/>
          <w:iCs w:val="0"/>
          <w:sz w:val="22"/>
          <w:szCs w:val="22"/>
        </w:rPr>
        <w:t xml:space="preserve">, </w:t>
      </w:r>
      <w:r w:rsidRPr="005961BD">
        <w:rPr>
          <w:b/>
          <w:i w:val="0"/>
          <w:iCs w:val="0"/>
          <w:sz w:val="22"/>
          <w:szCs w:val="22"/>
        </w:rPr>
        <w:t xml:space="preserve">regions with high </w:t>
      </w:r>
      <w:r w:rsidR="00BC74BC" w:rsidRPr="005961BD">
        <w:rPr>
          <w:b/>
          <w:i w:val="0"/>
          <w:iCs w:val="0"/>
          <w:sz w:val="22"/>
          <w:szCs w:val="22"/>
        </w:rPr>
        <w:t xml:space="preserve">international </w:t>
      </w:r>
      <w:r w:rsidRPr="005961BD">
        <w:rPr>
          <w:b/>
          <w:i w:val="0"/>
          <w:iCs w:val="0"/>
          <w:sz w:val="22"/>
          <w:szCs w:val="22"/>
        </w:rPr>
        <w:t xml:space="preserve">reliance </w:t>
      </w:r>
      <w:r w:rsidR="00BC74BC" w:rsidRPr="005961BD">
        <w:rPr>
          <w:b/>
          <w:i w:val="0"/>
          <w:iCs w:val="0"/>
          <w:sz w:val="22"/>
          <w:szCs w:val="22"/>
        </w:rPr>
        <w:t>versus other regions, February to December 2020</w:t>
      </w:r>
    </w:p>
    <w:p w14:paraId="590924E2" w14:textId="77777777" w:rsidR="002A46AC" w:rsidRDefault="24EFE466" w:rsidP="002A46AC">
      <w:r>
        <w:rPr>
          <w:noProof/>
          <w:lang w:eastAsia="en-AU"/>
        </w:rPr>
        <w:drawing>
          <wp:inline distT="0" distB="0" distL="0" distR="0" wp14:anchorId="4CA369A2" wp14:editId="73D75894">
            <wp:extent cx="5943600" cy="2218690"/>
            <wp:effectExtent l="0" t="0" r="0" b="0"/>
            <wp:docPr id="35" name="Picture 34" descr="Chart shows recovery in spend in regions with low and high reliance on international tou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descr="Chart shows recovery in spend in regions with low and high reliance on international tourism."/>
                    <pic:cNvPicPr/>
                  </pic:nvPicPr>
                  <pic:blipFill>
                    <a:blip r:embed="rId35">
                      <a:extLst>
                        <a:ext uri="{28A0092B-C50C-407E-A947-70E740481C1C}">
                          <a14:useLocalDpi xmlns:a14="http://schemas.microsoft.com/office/drawing/2010/main" val="0"/>
                        </a:ext>
                      </a:extLst>
                    </a:blip>
                    <a:stretch>
                      <a:fillRect/>
                    </a:stretch>
                  </pic:blipFill>
                  <pic:spPr>
                    <a:xfrm>
                      <a:off x="0" y="0"/>
                      <a:ext cx="5943600" cy="2218690"/>
                    </a:xfrm>
                    <a:prstGeom prst="rect">
                      <a:avLst/>
                    </a:prstGeom>
                  </pic:spPr>
                </pic:pic>
              </a:graphicData>
            </a:graphic>
          </wp:inline>
        </w:drawing>
      </w:r>
    </w:p>
    <w:p w14:paraId="70D7CE68" w14:textId="77777777" w:rsidR="002A46AC" w:rsidRDefault="00DF6263" w:rsidP="002A46AC">
      <w:pPr>
        <w:pStyle w:val="Heading3"/>
      </w:pPr>
      <w:r>
        <w:lastRenderedPageBreak/>
        <w:t>Shape of domestic r</w:t>
      </w:r>
      <w:r w:rsidR="0073708C">
        <w:t>ecovery</w:t>
      </w:r>
    </w:p>
    <w:p w14:paraId="4EB59143" w14:textId="02377481" w:rsidR="002364B5" w:rsidRDefault="3FCE3AE7" w:rsidP="002364B5">
      <w:r>
        <w:t xml:space="preserve">Domestic tourism started to recover from May 2020. </w:t>
      </w:r>
      <w:r w:rsidR="2E3EF624">
        <w:t xml:space="preserve">Day trips rebounded more quickly than overnight trips </w:t>
      </w:r>
      <w:r w:rsidR="00654C41">
        <w:t>as they need less</w:t>
      </w:r>
      <w:r w:rsidR="2E3EF624">
        <w:t xml:space="preserve"> planning</w:t>
      </w:r>
      <w:r>
        <w:t>.</w:t>
      </w:r>
    </w:p>
    <w:p w14:paraId="26929A19" w14:textId="041F9DE7" w:rsidR="002364B5" w:rsidRDefault="002364B5" w:rsidP="002364B5">
      <w:r>
        <w:t>However</w:t>
      </w:r>
      <w:r w:rsidR="00016276">
        <w:t xml:space="preserve">, </w:t>
      </w:r>
      <w:r>
        <w:t xml:space="preserve">recovery </w:t>
      </w:r>
      <w:r w:rsidR="0059167E">
        <w:t xml:space="preserve">of both day and overnight trips </w:t>
      </w:r>
      <w:r w:rsidR="00016276">
        <w:t xml:space="preserve">was </w:t>
      </w:r>
      <w:r>
        <w:t>disrupted by lockdowns and border closures.  The most notable of these occurred in July 2020 during the outbreak of Covid-19 in Victoria. While spend on day trip travel rebound</w:t>
      </w:r>
      <w:r w:rsidR="00016276">
        <w:t>ed</w:t>
      </w:r>
      <w:r>
        <w:t xml:space="preserve"> quickly, </w:t>
      </w:r>
      <w:r w:rsidR="00016276">
        <w:t xml:space="preserve">the recovery of </w:t>
      </w:r>
      <w:r>
        <w:t xml:space="preserve">domestic overnight </w:t>
      </w:r>
      <w:r w:rsidR="00016276">
        <w:t>travel was sl</w:t>
      </w:r>
      <w:r w:rsidR="0059167E">
        <w:t>ower</w:t>
      </w:r>
      <w:r>
        <w:t xml:space="preserve">. </w:t>
      </w:r>
    </w:p>
    <w:p w14:paraId="736C6A1F" w14:textId="77777777" w:rsidR="00654C41" w:rsidRDefault="00654C41" w:rsidP="00654C41">
      <w:r>
        <w:t xml:space="preserve">This reflected consumer sentiment. During the period July to September 2020, travel restrictions and fear of contracting Covid-19 were considered the top barriers to travel. </w:t>
      </w:r>
    </w:p>
    <w:p w14:paraId="2130278B" w14:textId="77777777" w:rsidR="00654C41" w:rsidRPr="00DA6F2E" w:rsidRDefault="00654C41" w:rsidP="00654C41">
      <w:r>
        <w:t xml:space="preserve">These sentiments along with pent-up demand also saw regions within a </w:t>
      </w:r>
      <w:proofErr w:type="gramStart"/>
      <w:r>
        <w:t>2 to 3 hour</w:t>
      </w:r>
      <w:proofErr w:type="gramEnd"/>
      <w:r>
        <w:t xml:space="preserve"> drive of capital cities recovering faster than other regions. During peak periods, businesses in these regions had phones ringing off the hooks, with occupancy rates higher than pre-pandemic levels. Unfortunately, with volatile state border closures, and the resulting cancellation and resumption of flights, remote regions that relied on air travel continued to suffer.</w:t>
      </w:r>
    </w:p>
    <w:p w14:paraId="612E73FE" w14:textId="77777777" w:rsidR="00B317E3" w:rsidRPr="005961BD" w:rsidRDefault="00B317E3" w:rsidP="00B317E3">
      <w:pPr>
        <w:pStyle w:val="Caption"/>
        <w:rPr>
          <w:b/>
          <w:i w:val="0"/>
          <w:iCs w:val="0"/>
          <w:sz w:val="22"/>
          <w:szCs w:val="22"/>
        </w:rPr>
      </w:pPr>
      <w:r w:rsidRPr="005961BD">
        <w:rPr>
          <w:b/>
          <w:i w:val="0"/>
          <w:iCs w:val="0"/>
          <w:sz w:val="22"/>
          <w:szCs w:val="22"/>
        </w:rPr>
        <w:t xml:space="preserve">Figure </w:t>
      </w:r>
      <w:r w:rsidR="00A56811" w:rsidRPr="005961BD">
        <w:rPr>
          <w:b/>
          <w:i w:val="0"/>
          <w:iCs w:val="0"/>
          <w:sz w:val="22"/>
          <w:szCs w:val="22"/>
        </w:rPr>
        <w:t>9</w:t>
      </w:r>
      <w:r w:rsidRPr="005961BD">
        <w:rPr>
          <w:b/>
          <w:i w:val="0"/>
          <w:iCs w:val="0"/>
          <w:sz w:val="22"/>
          <w:szCs w:val="22"/>
        </w:rPr>
        <w:t xml:space="preserve"> </w:t>
      </w:r>
      <w:r w:rsidR="007F37CE" w:rsidRPr="005961BD">
        <w:rPr>
          <w:b/>
          <w:i w:val="0"/>
          <w:iCs w:val="0"/>
          <w:sz w:val="22"/>
          <w:szCs w:val="22"/>
        </w:rPr>
        <w:t>–</w:t>
      </w:r>
      <w:r w:rsidRPr="005961BD">
        <w:rPr>
          <w:b/>
          <w:i w:val="0"/>
          <w:iCs w:val="0"/>
          <w:sz w:val="22"/>
          <w:szCs w:val="22"/>
        </w:rPr>
        <w:t xml:space="preserve"> Change in domestic day trip spend, </w:t>
      </w:r>
      <w:r w:rsidR="00BC74BC" w:rsidRPr="005961BD">
        <w:rPr>
          <w:b/>
          <w:i w:val="0"/>
          <w:iCs w:val="0"/>
          <w:sz w:val="22"/>
          <w:szCs w:val="22"/>
        </w:rPr>
        <w:t>2020 versus corresponding period in 2019</w:t>
      </w:r>
    </w:p>
    <w:p w14:paraId="4E24B8FB" w14:textId="77777777" w:rsidR="00B317E3" w:rsidRDefault="00B317E3" w:rsidP="00B317E3">
      <w:r>
        <w:rPr>
          <w:noProof/>
          <w:lang w:eastAsia="en-AU"/>
        </w:rPr>
        <w:drawing>
          <wp:inline distT="0" distB="0" distL="0" distR="0" wp14:anchorId="219B2FF5" wp14:editId="506AB382">
            <wp:extent cx="5943600" cy="1719072"/>
            <wp:effectExtent l="0" t="0" r="0" b="0"/>
            <wp:docPr id="30" name="Chart 30" descr="Chart shows change in domestic day trip spend from March 2020 to December 2020. "/>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1D949A0" w14:textId="77777777" w:rsidR="00BC74BC" w:rsidRPr="005961BD" w:rsidRDefault="00086589" w:rsidP="00BC74BC">
      <w:pPr>
        <w:pStyle w:val="Caption"/>
        <w:rPr>
          <w:b/>
          <w:i w:val="0"/>
          <w:iCs w:val="0"/>
          <w:sz w:val="22"/>
          <w:szCs w:val="22"/>
        </w:rPr>
      </w:pPr>
      <w:r w:rsidRPr="005961BD">
        <w:rPr>
          <w:b/>
          <w:i w:val="0"/>
          <w:iCs w:val="0"/>
          <w:sz w:val="22"/>
          <w:szCs w:val="22"/>
        </w:rPr>
        <w:t xml:space="preserve">Figure </w:t>
      </w:r>
      <w:r w:rsidR="00A56811" w:rsidRPr="005961BD">
        <w:rPr>
          <w:b/>
          <w:i w:val="0"/>
          <w:iCs w:val="0"/>
          <w:sz w:val="22"/>
          <w:szCs w:val="22"/>
        </w:rPr>
        <w:t xml:space="preserve">10 </w:t>
      </w:r>
      <w:r w:rsidR="007F37CE" w:rsidRPr="005961BD">
        <w:rPr>
          <w:b/>
          <w:i w:val="0"/>
          <w:iCs w:val="0"/>
          <w:sz w:val="22"/>
          <w:szCs w:val="22"/>
        </w:rPr>
        <w:t>–</w:t>
      </w:r>
      <w:r w:rsidRPr="005961BD">
        <w:rPr>
          <w:b/>
          <w:i w:val="0"/>
          <w:iCs w:val="0"/>
          <w:sz w:val="22"/>
          <w:szCs w:val="22"/>
        </w:rPr>
        <w:t xml:space="preserve"> Change in domestic overnight spend, </w:t>
      </w:r>
      <w:r w:rsidR="00BC74BC" w:rsidRPr="005961BD">
        <w:rPr>
          <w:b/>
          <w:i w:val="0"/>
          <w:iCs w:val="0"/>
          <w:sz w:val="22"/>
          <w:szCs w:val="22"/>
        </w:rPr>
        <w:t>2020 versus corresponding period in 2019</w:t>
      </w:r>
    </w:p>
    <w:p w14:paraId="38773E9C" w14:textId="77777777" w:rsidR="00583E74" w:rsidRDefault="00583E74" w:rsidP="00583E74">
      <w:r>
        <w:rPr>
          <w:noProof/>
          <w:lang w:eastAsia="en-AU"/>
        </w:rPr>
        <w:drawing>
          <wp:inline distT="0" distB="0" distL="0" distR="0" wp14:anchorId="5BE2F51B" wp14:editId="3605ACC0">
            <wp:extent cx="5943600" cy="1792224"/>
            <wp:effectExtent l="0" t="0" r="0" b="0"/>
            <wp:docPr id="1" name="Chart 1" descr="Chart shows change in domestic overnight trip spend from March 2020 to December 2020. "/>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1FCA4373" w14:textId="24753E77" w:rsidR="00934115" w:rsidRDefault="00033BD8" w:rsidP="00525880">
      <w:pPr>
        <w:pStyle w:val="Heading2"/>
      </w:pPr>
      <w:r>
        <w:t xml:space="preserve">Business </w:t>
      </w:r>
      <w:r w:rsidR="00D75B76">
        <w:t>p</w:t>
      </w:r>
      <w:r>
        <w:t>erformance</w:t>
      </w:r>
    </w:p>
    <w:p w14:paraId="2D8A6640" w14:textId="77777777" w:rsidR="005C5207" w:rsidRDefault="005C5207" w:rsidP="005C5207">
      <w:r>
        <w:t>When Covid-19 hit, the tourism industry experienced the effects immediately. In March 2020, 78</w:t>
      </w:r>
      <w:r w:rsidR="008F05B6">
        <w:t xml:space="preserve"> per cent</w:t>
      </w:r>
      <w:r>
        <w:t xml:space="preserve"> of businesses in the accommodation and food services sector reported that they were experiencing adverse impacts of Covid-19. This was 29</w:t>
      </w:r>
      <w:r w:rsidR="008F05B6">
        <w:t xml:space="preserve"> per cent</w:t>
      </w:r>
      <w:r>
        <w:t xml:space="preserve"> higher than the average for all industries of 49</w:t>
      </w:r>
      <w:r w:rsidR="008F05B6">
        <w:t xml:space="preserve"> per cent</w:t>
      </w:r>
      <w:r>
        <w:t xml:space="preserve">. The arts and recreation sector had similar results, with </w:t>
      </w:r>
      <w:r w:rsidR="00E10005">
        <w:t xml:space="preserve">a </w:t>
      </w:r>
      <w:r>
        <w:t>73</w:t>
      </w:r>
      <w:r w:rsidR="008F05B6">
        <w:t xml:space="preserve"> per cent</w:t>
      </w:r>
      <w:r w:rsidR="00E10005">
        <w:t xml:space="preserve"> experiencing adverse impact</w:t>
      </w:r>
      <w:r>
        <w:t xml:space="preserve">. </w:t>
      </w:r>
      <w:r>
        <w:lastRenderedPageBreak/>
        <w:t>The pronounced impact of the pandemic on these two sectors was evident throughout the months of 2020.</w:t>
      </w:r>
    </w:p>
    <w:p w14:paraId="31816610" w14:textId="40EA1C1E" w:rsidR="004F3CD2" w:rsidRDefault="005C5207" w:rsidP="00525880">
      <w:pPr>
        <w:pStyle w:val="Heading3"/>
      </w:pPr>
      <w:r>
        <w:t xml:space="preserve">Contributing </w:t>
      </w:r>
      <w:r w:rsidR="00D75B76">
        <w:t>f</w:t>
      </w:r>
      <w:r>
        <w:t>actors</w:t>
      </w:r>
    </w:p>
    <w:p w14:paraId="4C355239" w14:textId="77777777" w:rsidR="005C5207" w:rsidRDefault="00C2264F" w:rsidP="004F3CD2">
      <w:r>
        <w:t>T</w:t>
      </w:r>
      <w:r w:rsidR="004F3CD2">
        <w:t>he</w:t>
      </w:r>
      <w:r w:rsidR="005C4AF4">
        <w:t xml:space="preserve"> difficult </w:t>
      </w:r>
      <w:r w:rsidR="005C5207">
        <w:t>experience</w:t>
      </w:r>
      <w:r w:rsidR="005C4AF4">
        <w:t xml:space="preserve">s faced by </w:t>
      </w:r>
      <w:r w:rsidR="00DF12D5">
        <w:t xml:space="preserve">the </w:t>
      </w:r>
      <w:r w:rsidR="008123C7">
        <w:t xml:space="preserve">industry </w:t>
      </w:r>
      <w:r w:rsidR="005C4AF4">
        <w:t>came from a combination of factors.</w:t>
      </w:r>
    </w:p>
    <w:p w14:paraId="34A02974" w14:textId="5FC8016E" w:rsidR="00490F1D" w:rsidRDefault="11E7EF07" w:rsidP="00490F1D">
      <w:r w:rsidRPr="4394C1AB">
        <w:rPr>
          <w:b/>
          <w:bCs/>
        </w:rPr>
        <w:t xml:space="preserve">The nature of tourism </w:t>
      </w:r>
      <w:r w:rsidR="12B68137" w:rsidRPr="4394C1AB">
        <w:rPr>
          <w:b/>
          <w:bCs/>
        </w:rPr>
        <w:t>–</w:t>
      </w:r>
      <w:r>
        <w:t xml:space="preserve"> </w:t>
      </w:r>
      <w:r w:rsidR="68676C93">
        <w:t>T</w:t>
      </w:r>
      <w:r>
        <w:t xml:space="preserve">ourism is </w:t>
      </w:r>
      <w:r w:rsidR="68676C93">
        <w:t xml:space="preserve">dominated by service-oriented </w:t>
      </w:r>
      <w:r>
        <w:t>business</w:t>
      </w:r>
      <w:r w:rsidR="68676C93">
        <w:t>es</w:t>
      </w:r>
      <w:r>
        <w:t xml:space="preserve"> </w:t>
      </w:r>
      <w:r w:rsidR="68676C93">
        <w:t xml:space="preserve">that </w:t>
      </w:r>
      <w:r w:rsidR="7F9E2652">
        <w:t xml:space="preserve">are based on </w:t>
      </w:r>
      <w:r>
        <w:t>person</w:t>
      </w:r>
      <w:r w:rsidR="00D75B76">
        <w:t>-</w:t>
      </w:r>
      <w:r>
        <w:t>to</w:t>
      </w:r>
      <w:r w:rsidR="00D75B76">
        <w:t>-</w:t>
      </w:r>
      <w:r>
        <w:t>person interactions. This made business</w:t>
      </w:r>
      <w:r w:rsidR="5AE423E7">
        <w:t>es</w:t>
      </w:r>
      <w:r>
        <w:t xml:space="preserve"> highly vulnerable to the effects of travel restrictions, capacity constraints, social-</w:t>
      </w:r>
      <w:proofErr w:type="gramStart"/>
      <w:r>
        <w:t>distancing</w:t>
      </w:r>
      <w:proofErr w:type="gramEnd"/>
      <w:r>
        <w:t xml:space="preserve"> and the increased health risks from interacting with other people.</w:t>
      </w:r>
      <w:r w:rsidR="00490F1D">
        <w:t xml:space="preserve"> In April 2020, 84</w:t>
      </w:r>
      <w:r w:rsidR="008F05B6">
        <w:t xml:space="preserve"> per cent</w:t>
      </w:r>
      <w:r w:rsidR="00490F1D">
        <w:t xml:space="preserve"> of businesses in the accommodation and food services sector, and 94</w:t>
      </w:r>
      <w:r w:rsidR="008F05B6">
        <w:t xml:space="preserve"> per cent</w:t>
      </w:r>
      <w:r w:rsidR="00490F1D">
        <w:t xml:space="preserve"> in the </w:t>
      </w:r>
      <w:r w:rsidR="017D3832">
        <w:t>a</w:t>
      </w:r>
      <w:r w:rsidR="00490F1D">
        <w:t xml:space="preserve">rts and recreation services sector said that they anticipated government restrictions would have adverse impacts on their business. These sectors were ranked the </w:t>
      </w:r>
      <w:r w:rsidR="713A619F">
        <w:t>worst affected</w:t>
      </w:r>
      <w:r w:rsidR="00490F1D">
        <w:t>, with the national average being just 53</w:t>
      </w:r>
      <w:r w:rsidR="008F05B6">
        <w:t xml:space="preserve"> per cent</w:t>
      </w:r>
      <w:r w:rsidR="00490F1D">
        <w:t xml:space="preserve">. </w:t>
      </w:r>
    </w:p>
    <w:p w14:paraId="7F630B52" w14:textId="77777777" w:rsidR="00E617CF" w:rsidRPr="005961BD" w:rsidRDefault="00E617CF" w:rsidP="00490F1D">
      <w:pPr>
        <w:rPr>
          <w:iCs/>
          <w:sz w:val="18"/>
          <w:szCs w:val="18"/>
        </w:rPr>
      </w:pPr>
      <w:r w:rsidRPr="005961BD">
        <w:rPr>
          <w:iCs/>
          <w:sz w:val="18"/>
          <w:szCs w:val="18"/>
        </w:rPr>
        <w:t xml:space="preserve">(Source: Australian Bureau of Statistics, </w:t>
      </w:r>
      <w:hyperlink r:id="rId38" w:history="1">
        <w:r w:rsidRPr="005961BD">
          <w:rPr>
            <w:rStyle w:val="Hyperlink"/>
            <w:iCs/>
            <w:sz w:val="18"/>
            <w:szCs w:val="18"/>
          </w:rPr>
          <w:t>Business Conditions and Sentiments</w:t>
        </w:r>
      </w:hyperlink>
      <w:r w:rsidRPr="005961BD">
        <w:rPr>
          <w:iCs/>
          <w:sz w:val="18"/>
          <w:szCs w:val="18"/>
        </w:rPr>
        <w:t>, reference period – April 2020)</w:t>
      </w:r>
    </w:p>
    <w:p w14:paraId="15B6543C" w14:textId="16EBBA85" w:rsidR="00DA5DAE" w:rsidRDefault="11E7EF07" w:rsidP="004F3CD2">
      <w:r w:rsidRPr="4394C1AB">
        <w:rPr>
          <w:b/>
          <w:bCs/>
        </w:rPr>
        <w:t>Tourism businesse</w:t>
      </w:r>
      <w:r w:rsidR="2978B06D" w:rsidRPr="4394C1AB">
        <w:rPr>
          <w:b/>
          <w:bCs/>
        </w:rPr>
        <w:t>s</w:t>
      </w:r>
      <w:r w:rsidRPr="4394C1AB">
        <w:rPr>
          <w:b/>
          <w:bCs/>
        </w:rPr>
        <w:t xml:space="preserve"> are predominantly small</w:t>
      </w:r>
      <w:r>
        <w:t xml:space="preserve"> – There are </w:t>
      </w:r>
      <w:r w:rsidR="2F434721">
        <w:t xml:space="preserve">over </w:t>
      </w:r>
      <w:r w:rsidR="5524F1FA">
        <w:t xml:space="preserve">300,000 tourism businesses in Australia – with </w:t>
      </w:r>
      <w:r w:rsidR="5AE423E7">
        <w:t>almost 80</w:t>
      </w:r>
      <w:r w:rsidR="008F05B6">
        <w:t xml:space="preserve"> per cent</w:t>
      </w:r>
      <w:r w:rsidR="0A3C5B21">
        <w:t xml:space="preserve"> </w:t>
      </w:r>
      <w:r w:rsidR="2F434721">
        <w:t xml:space="preserve">having </w:t>
      </w:r>
      <w:r w:rsidR="5524F1FA">
        <w:t xml:space="preserve">fewer than </w:t>
      </w:r>
      <w:r w:rsidR="0A3C5B21">
        <w:t>5</w:t>
      </w:r>
      <w:r w:rsidR="5524F1FA">
        <w:t xml:space="preserve"> employees and </w:t>
      </w:r>
      <w:r w:rsidR="0A3C5B21">
        <w:t xml:space="preserve">over half having </w:t>
      </w:r>
      <w:r w:rsidR="00D75B76">
        <w:t xml:space="preserve">an </w:t>
      </w:r>
      <w:r w:rsidR="0A3C5B21">
        <w:t>annual turnover of less than $250,000. Being small in scale, a</w:t>
      </w:r>
      <w:r w:rsidR="422C9F9D">
        <w:t>nd</w:t>
      </w:r>
      <w:r w:rsidR="0A3C5B21">
        <w:t xml:space="preserve"> </w:t>
      </w:r>
      <w:r w:rsidR="5AE423E7">
        <w:t xml:space="preserve">having </w:t>
      </w:r>
      <w:r w:rsidR="68676C93">
        <w:t>low cash reserves</w:t>
      </w:r>
      <w:r w:rsidR="5BB14BAD">
        <w:t>,</w:t>
      </w:r>
      <w:r w:rsidR="68676C93">
        <w:t xml:space="preserve"> </w:t>
      </w:r>
      <w:r w:rsidR="52ED056F">
        <w:t xml:space="preserve">meant </w:t>
      </w:r>
      <w:r w:rsidR="0A3C5B21">
        <w:t>many of Australia’s tourism businesses</w:t>
      </w:r>
      <w:r w:rsidR="5AE423E7">
        <w:t xml:space="preserve"> </w:t>
      </w:r>
      <w:r w:rsidR="2973BB62">
        <w:t xml:space="preserve">were </w:t>
      </w:r>
      <w:r w:rsidR="5AE423E7">
        <w:t>especially sensitive</w:t>
      </w:r>
      <w:r w:rsidR="0A3C5B21">
        <w:t xml:space="preserve"> </w:t>
      </w:r>
      <w:r w:rsidR="2978B06D">
        <w:t xml:space="preserve">to </w:t>
      </w:r>
      <w:r w:rsidR="2F434721">
        <w:t xml:space="preserve">the </w:t>
      </w:r>
      <w:r w:rsidR="2978B06D">
        <w:t>economic</w:t>
      </w:r>
      <w:r w:rsidR="68676C93">
        <w:t xml:space="preserve"> </w:t>
      </w:r>
      <w:r w:rsidR="2F434721">
        <w:t xml:space="preserve">shocks </w:t>
      </w:r>
      <w:r w:rsidR="719630E8">
        <w:t>of 2020</w:t>
      </w:r>
      <w:r w:rsidR="6AAAD67D">
        <w:t>,</w:t>
      </w:r>
      <w:r w:rsidR="719630E8">
        <w:t xml:space="preserve"> which still resonate today</w:t>
      </w:r>
      <w:r w:rsidR="0A3C5B21">
        <w:t>.</w:t>
      </w:r>
    </w:p>
    <w:p w14:paraId="0ECA36A0" w14:textId="77777777" w:rsidR="001000ED" w:rsidRDefault="68676C93" w:rsidP="004F3CD2">
      <w:r w:rsidRPr="4394C1AB">
        <w:rPr>
          <w:b/>
          <w:bCs/>
        </w:rPr>
        <w:t>Tourism is not an essential activity</w:t>
      </w:r>
      <w:r>
        <w:t xml:space="preserve"> – </w:t>
      </w:r>
      <w:r w:rsidR="48713C1D">
        <w:t>D</w:t>
      </w:r>
      <w:r w:rsidR="056A538B">
        <w:t xml:space="preserve">emand </w:t>
      </w:r>
      <w:r w:rsidR="19B36D88">
        <w:t>increases</w:t>
      </w:r>
      <w:r w:rsidR="056A538B">
        <w:t xml:space="preserve"> </w:t>
      </w:r>
      <w:r w:rsidR="2392474B">
        <w:t xml:space="preserve">for </w:t>
      </w:r>
      <w:r w:rsidR="50746E7F">
        <w:t xml:space="preserve">non-essential activities </w:t>
      </w:r>
      <w:r w:rsidR="056A538B">
        <w:t>during more</w:t>
      </w:r>
      <w:r w:rsidR="2392474B">
        <w:t xml:space="preserve"> buoyant</w:t>
      </w:r>
      <w:r w:rsidR="056A538B">
        <w:t xml:space="preserve"> economic </w:t>
      </w:r>
      <w:r>
        <w:t xml:space="preserve">times </w:t>
      </w:r>
      <w:r w:rsidR="48713C1D">
        <w:t>when consumer confidence is high</w:t>
      </w:r>
      <w:r w:rsidR="056A538B">
        <w:t xml:space="preserve">. The </w:t>
      </w:r>
      <w:r w:rsidR="4A9C0F3A">
        <w:t>down</w:t>
      </w:r>
      <w:r w:rsidR="056A538B">
        <w:t xml:space="preserve">side </w:t>
      </w:r>
      <w:r>
        <w:t xml:space="preserve">of this </w:t>
      </w:r>
      <w:r w:rsidR="056A538B">
        <w:t xml:space="preserve">is that </w:t>
      </w:r>
      <w:r>
        <w:t xml:space="preserve">demand </w:t>
      </w:r>
      <w:r w:rsidR="48713C1D">
        <w:t xml:space="preserve">for tourism products </w:t>
      </w:r>
      <w:r w:rsidR="2E3EF624">
        <w:t>is likely to decrease</w:t>
      </w:r>
      <w:r>
        <w:t xml:space="preserve"> </w:t>
      </w:r>
      <w:r w:rsidR="056A538B">
        <w:t xml:space="preserve">when the economic outlook is more </w:t>
      </w:r>
      <w:proofErr w:type="gramStart"/>
      <w:r w:rsidR="056A538B">
        <w:t>pessimistic</w:t>
      </w:r>
      <w:proofErr w:type="gramEnd"/>
      <w:r w:rsidR="056A538B">
        <w:t xml:space="preserve"> and employment is uncertain.</w:t>
      </w:r>
      <w:r w:rsidR="50746E7F">
        <w:t xml:space="preserve"> Concern about current and future financial </w:t>
      </w:r>
      <w:r w:rsidR="59A9A039">
        <w:t xml:space="preserve">circumstances </w:t>
      </w:r>
      <w:r w:rsidR="50746E7F">
        <w:t>was a consistent</w:t>
      </w:r>
      <w:r w:rsidR="4C245D56">
        <w:t xml:space="preserve"> fear people expressed when asked why they </w:t>
      </w:r>
      <w:r w:rsidR="0CFC6D24">
        <w:t>we</w:t>
      </w:r>
      <w:r w:rsidR="4C245D56">
        <w:t xml:space="preserve">re </w:t>
      </w:r>
      <w:r w:rsidR="4C245D56" w:rsidRPr="4394C1AB">
        <w:rPr>
          <w:u w:val="single"/>
        </w:rPr>
        <w:t>not</w:t>
      </w:r>
      <w:r w:rsidR="4C245D56">
        <w:t xml:space="preserve"> likely to travel within Australia </w:t>
      </w:r>
      <w:proofErr w:type="gramStart"/>
      <w:r w:rsidR="4C245D56">
        <w:t>in the near future</w:t>
      </w:r>
      <w:proofErr w:type="gramEnd"/>
      <w:r w:rsidR="4C245D56">
        <w:t>.</w:t>
      </w:r>
    </w:p>
    <w:p w14:paraId="7E9E4DC5" w14:textId="77777777" w:rsidR="00016276" w:rsidRPr="00016276" w:rsidRDefault="00016276" w:rsidP="004F3CD2">
      <w:pPr>
        <w:rPr>
          <w:b/>
        </w:rPr>
      </w:pPr>
      <w:r w:rsidRPr="00016276">
        <w:rPr>
          <w:b/>
        </w:rPr>
        <w:t>Figure 1</w:t>
      </w:r>
      <w:r w:rsidR="00A56811">
        <w:rPr>
          <w:b/>
        </w:rPr>
        <w:t>1</w:t>
      </w:r>
      <w:r w:rsidR="0059167E">
        <w:rPr>
          <w:b/>
        </w:rPr>
        <w:t xml:space="preserve"> – Tourism Australia survey on the financial barriers to travel</w:t>
      </w:r>
      <w:r w:rsidR="00A56811">
        <w:rPr>
          <w:b/>
        </w:rPr>
        <w:t>, April 2020 to February 2021</w:t>
      </w:r>
    </w:p>
    <w:p w14:paraId="1A1A80DF" w14:textId="77777777" w:rsidR="0033550A" w:rsidRPr="0033550A" w:rsidRDefault="0059167E" w:rsidP="004F3CD2">
      <w:pPr>
        <w:rPr>
          <w:b/>
        </w:rPr>
      </w:pPr>
      <w:r>
        <w:rPr>
          <w:noProof/>
          <w:lang w:eastAsia="en-AU"/>
        </w:rPr>
        <w:drawing>
          <wp:inline distT="0" distB="0" distL="0" distR="0" wp14:anchorId="74BE58EB" wp14:editId="484B49A3">
            <wp:extent cx="6154858" cy="2743200"/>
            <wp:effectExtent l="0" t="0" r="0" b="0"/>
            <wp:docPr id="2" name="Chart 2" descr="Chart showing financial barriers towards travel as per survey by Tourism Australia, April 2020 to February 20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5CE99B2" w14:textId="77777777" w:rsidR="0033550A" w:rsidRDefault="0033550A" w:rsidP="004F3CD2"/>
    <w:p w14:paraId="61EAFB5B" w14:textId="77777777" w:rsidR="00C2264F" w:rsidRDefault="0F31B96A" w:rsidP="00FB12F8">
      <w:r w:rsidRPr="4394C1AB">
        <w:rPr>
          <w:b/>
          <w:bCs/>
        </w:rPr>
        <w:lastRenderedPageBreak/>
        <w:t xml:space="preserve">Tourism is highly </w:t>
      </w:r>
      <w:r w:rsidR="1CC20515" w:rsidRPr="4394C1AB">
        <w:rPr>
          <w:b/>
          <w:bCs/>
        </w:rPr>
        <w:t xml:space="preserve">segmented </w:t>
      </w:r>
      <w:r w:rsidR="68676C93">
        <w:t xml:space="preserve">– </w:t>
      </w:r>
      <w:r w:rsidR="719630E8">
        <w:t>The decline in tourism demand was uneven. Therefore</w:t>
      </w:r>
      <w:r w:rsidR="579F54FA">
        <w:t>,</w:t>
      </w:r>
      <w:r w:rsidR="719630E8">
        <w:t xml:space="preserve"> b</w:t>
      </w:r>
      <w:r w:rsidR="1CC20515">
        <w:t>usinesses which focus</w:t>
      </w:r>
      <w:r w:rsidR="5B917380">
        <w:t>ed</w:t>
      </w:r>
      <w:r w:rsidR="1CC20515">
        <w:t xml:space="preserve"> on the </w:t>
      </w:r>
      <w:r w:rsidR="68676C93">
        <w:t>interstate, international or business trave</w:t>
      </w:r>
      <w:r w:rsidR="48713C1D">
        <w:t>ller</w:t>
      </w:r>
      <w:r w:rsidR="68676C93">
        <w:t xml:space="preserve"> </w:t>
      </w:r>
      <w:r w:rsidR="2DF8D717">
        <w:t xml:space="preserve">markets </w:t>
      </w:r>
      <w:r w:rsidR="68676C93">
        <w:t xml:space="preserve">were more </w:t>
      </w:r>
      <w:r w:rsidR="719630E8">
        <w:t xml:space="preserve">severely </w:t>
      </w:r>
      <w:r w:rsidR="68676C93">
        <w:t xml:space="preserve">impacted. </w:t>
      </w:r>
      <w:r w:rsidR="0A3C5B21">
        <w:t>A</w:t>
      </w:r>
      <w:r w:rsidR="1CC20515">
        <w:t>irlines, ac</w:t>
      </w:r>
      <w:r w:rsidR="48713C1D">
        <w:t>c</w:t>
      </w:r>
      <w:r w:rsidR="1CC20515">
        <w:t>o</w:t>
      </w:r>
      <w:r w:rsidR="48713C1D">
        <w:t>m</w:t>
      </w:r>
      <w:r w:rsidR="1CC20515">
        <w:t>m</w:t>
      </w:r>
      <w:r w:rsidR="48713C1D">
        <w:t>o</w:t>
      </w:r>
      <w:r w:rsidR="1CC20515">
        <w:t>dation providers, inbound tour oper</w:t>
      </w:r>
      <w:r w:rsidR="48713C1D">
        <w:t>a</w:t>
      </w:r>
      <w:r w:rsidR="1CC20515">
        <w:t xml:space="preserve">tors and </w:t>
      </w:r>
      <w:r w:rsidR="48713C1D">
        <w:t>car rental firms</w:t>
      </w:r>
      <w:r w:rsidR="0A3C5B21">
        <w:t xml:space="preserve"> are examples of these types of businesses</w:t>
      </w:r>
      <w:r w:rsidR="1CC20515">
        <w:t>.</w:t>
      </w:r>
      <w:r w:rsidR="48713C1D">
        <w:t xml:space="preserve"> </w:t>
      </w:r>
      <w:r w:rsidR="719630E8">
        <w:t xml:space="preserve"> </w:t>
      </w:r>
    </w:p>
    <w:p w14:paraId="08FAEF11" w14:textId="00C8A488" w:rsidR="00B90C77" w:rsidRDefault="00BD37CB" w:rsidP="00B90C77">
      <w:r>
        <w:rPr>
          <w:b/>
          <w:bCs/>
        </w:rPr>
        <w:t xml:space="preserve">Business travel </w:t>
      </w:r>
      <w:r w:rsidR="00FE7424">
        <w:rPr>
          <w:b/>
          <w:bCs/>
        </w:rPr>
        <w:t>may be slow to resume</w:t>
      </w:r>
      <w:r w:rsidR="008A17A4">
        <w:rPr>
          <w:bCs/>
        </w:rPr>
        <w:t xml:space="preserve"> </w:t>
      </w:r>
      <w:r w:rsidR="00E0486C">
        <w:rPr>
          <w:bCs/>
        </w:rPr>
        <w:t>–</w:t>
      </w:r>
      <w:r w:rsidR="007F727B">
        <w:rPr>
          <w:bCs/>
        </w:rPr>
        <w:t xml:space="preserve"> </w:t>
      </w:r>
      <w:r w:rsidR="00B90C77">
        <w:t xml:space="preserve">Employers scaled back business trips in 2020 because of travel restrictions and traveller safety. This is likely to </w:t>
      </w:r>
      <w:r w:rsidR="00BD1282">
        <w:t>continue</w:t>
      </w:r>
      <w:r w:rsidR="00B90C77">
        <w:t xml:space="preserve"> due to the wide acceptance of videoconferencing as a viable way of doing business. This technology also has the advantage of being cheaper, more </w:t>
      </w:r>
      <w:proofErr w:type="gramStart"/>
      <w:r w:rsidR="00B90C77">
        <w:t>convenient</w:t>
      </w:r>
      <w:proofErr w:type="gramEnd"/>
      <w:r w:rsidR="00B90C77">
        <w:t xml:space="preserve"> and less disruptive than business travel.</w:t>
      </w:r>
    </w:p>
    <w:p w14:paraId="566DC0B7" w14:textId="505220DD" w:rsidR="00B90C77" w:rsidRDefault="00B90C77" w:rsidP="00B90C77">
      <w:r>
        <w:t>In 2020, spend on domestic overnight business trips for Australia’s capital cities fell 71 per cent. This shortfall in business travel cannot be replaced easily from other sectors</w:t>
      </w:r>
      <w:r w:rsidR="00D75B76">
        <w:t>. B</w:t>
      </w:r>
      <w:r>
        <w:t xml:space="preserve">usiness travel is primarily a weekday market that complements weekend demand from leisure travellers. </w:t>
      </w:r>
    </w:p>
    <w:p w14:paraId="4B870891" w14:textId="79C38F34" w:rsidR="00BD37CB" w:rsidRDefault="00B90C77" w:rsidP="00B90C77">
      <w:r>
        <w:t>The decline in business travel also had a flow</w:t>
      </w:r>
      <w:r w:rsidR="00D75B76">
        <w:t>-</w:t>
      </w:r>
      <w:r>
        <w:t xml:space="preserve">on effect for the business events industry, which comprises meetings, incentives, </w:t>
      </w:r>
      <w:proofErr w:type="gramStart"/>
      <w:r>
        <w:t>conventions</w:t>
      </w:r>
      <w:proofErr w:type="gramEnd"/>
      <w:r>
        <w:t xml:space="preserve"> and exhibitions. This industry may be one of the last industries to recover due to the long lead times between booking and </w:t>
      </w:r>
      <w:proofErr w:type="gramStart"/>
      <w:r>
        <w:t>actually holding</w:t>
      </w:r>
      <w:proofErr w:type="gramEnd"/>
      <w:r>
        <w:t xml:space="preserve"> a business event. A survey conducted by the Business Events Council of Australia found that 61 per cent of business events businesses saw a 75</w:t>
      </w:r>
      <w:r w:rsidR="00D75B76">
        <w:t>–</w:t>
      </w:r>
      <w:r>
        <w:t>100 per cent reduction in turnover for 2020 compared to 2019, while 44 per cent forecast the same result for the 6</w:t>
      </w:r>
      <w:r w:rsidR="00D75B76">
        <w:t xml:space="preserve"> </w:t>
      </w:r>
      <w:r>
        <w:t>months to June 2021.</w:t>
      </w:r>
    </w:p>
    <w:p w14:paraId="16608596" w14:textId="77777777" w:rsidR="00D27A28" w:rsidRPr="005961BD" w:rsidRDefault="00204B77" w:rsidP="004F3CD2">
      <w:pPr>
        <w:rPr>
          <w:iCs/>
          <w:sz w:val="18"/>
          <w:szCs w:val="18"/>
        </w:rPr>
      </w:pPr>
      <w:r w:rsidRPr="005961BD">
        <w:rPr>
          <w:iCs/>
          <w:sz w:val="18"/>
          <w:szCs w:val="18"/>
        </w:rPr>
        <w:t xml:space="preserve">(Source: Business Events Council of Australia, </w:t>
      </w:r>
      <w:hyperlink r:id="rId40" w:history="1">
        <w:r w:rsidRPr="005961BD">
          <w:rPr>
            <w:rStyle w:val="Hyperlink"/>
            <w:iCs/>
            <w:sz w:val="18"/>
            <w:szCs w:val="18"/>
          </w:rPr>
          <w:t>Government Support and Future Confidence Report 2021</w:t>
        </w:r>
      </w:hyperlink>
      <w:r w:rsidRPr="005961BD">
        <w:rPr>
          <w:iCs/>
          <w:sz w:val="18"/>
          <w:szCs w:val="18"/>
        </w:rPr>
        <w:t>, accessed June 2020)</w:t>
      </w:r>
    </w:p>
    <w:p w14:paraId="0FF175FB" w14:textId="77777777" w:rsidR="004F3CD2" w:rsidRPr="008D35A4" w:rsidRDefault="00FD2777" w:rsidP="004F3CD2">
      <w:pPr>
        <w:rPr>
          <w:color w:val="C00000"/>
        </w:rPr>
      </w:pPr>
      <w:r w:rsidRPr="008D35A4">
        <w:rPr>
          <w:color w:val="C00000"/>
        </w:rPr>
        <w:t>&lt;&lt;</w:t>
      </w:r>
      <w:r w:rsidR="008D35A4" w:rsidRPr="008D35A4">
        <w:rPr>
          <w:color w:val="C00000"/>
        </w:rPr>
        <w:t>START BOX</w:t>
      </w:r>
      <w:r w:rsidRPr="008D35A4">
        <w:rPr>
          <w:color w:val="C00000"/>
        </w:rPr>
        <w:t>&gt;&gt;</w:t>
      </w:r>
    </w:p>
    <w:p w14:paraId="3D47D149" w14:textId="77777777" w:rsidR="002F5963" w:rsidRDefault="00490F1D" w:rsidP="00490F1D">
      <w:r>
        <w:t xml:space="preserve">During the Victorian lockdown, Daylesford Hotel owner Anne-Marie Banting described the situation as “My business partner and I have been taking it </w:t>
      </w:r>
      <w:r w:rsidR="00D75B76">
        <w:t xml:space="preserve">in </w:t>
      </w:r>
      <w:r>
        <w:t>turns to cry. One day one of us is crying, the</w:t>
      </w:r>
      <w:r w:rsidR="00175FB7">
        <w:t xml:space="preserve"> next day the other is crying</w:t>
      </w:r>
      <w:r w:rsidR="00D75B76">
        <w:t xml:space="preserve"> </w:t>
      </w:r>
      <w:r w:rsidR="00175FB7">
        <w:t>…</w:t>
      </w:r>
      <w:r w:rsidR="00D75B76">
        <w:t xml:space="preserve"> </w:t>
      </w:r>
      <w:r w:rsidR="00175FB7" w:rsidRPr="00175FB7">
        <w:t xml:space="preserve">We've </w:t>
      </w:r>
      <w:proofErr w:type="gramStart"/>
      <w:r w:rsidR="00175FB7" w:rsidRPr="00175FB7">
        <w:t>absolutely just</w:t>
      </w:r>
      <w:proofErr w:type="gramEnd"/>
      <w:r w:rsidR="00175FB7" w:rsidRPr="00175FB7">
        <w:t xml:space="preserve"> lost our b</w:t>
      </w:r>
      <w:r w:rsidR="00175FB7">
        <w:t xml:space="preserve">iggest market. </w:t>
      </w:r>
      <w:r w:rsidR="00175FB7" w:rsidRPr="00175FB7">
        <w:t xml:space="preserve">It could be that we </w:t>
      </w:r>
      <w:proofErr w:type="gramStart"/>
      <w:r w:rsidR="00175FB7" w:rsidRPr="00175FB7">
        <w:t>have to</w:t>
      </w:r>
      <w:proofErr w:type="gramEnd"/>
      <w:r w:rsidR="00175FB7" w:rsidRPr="00175FB7">
        <w:t xml:space="preserve"> shut the hotel down. Again. Go into hibernation</w:t>
      </w:r>
      <w:r w:rsidR="00D75B76">
        <w:t>.”</w:t>
      </w:r>
    </w:p>
    <w:p w14:paraId="0734B2B7" w14:textId="77777777" w:rsidR="00175FB7" w:rsidRPr="005961BD" w:rsidRDefault="00175FB7" w:rsidP="00490F1D">
      <w:pPr>
        <w:rPr>
          <w:iCs/>
          <w:sz w:val="18"/>
          <w:szCs w:val="18"/>
        </w:rPr>
      </w:pPr>
      <w:r w:rsidRPr="005961BD">
        <w:rPr>
          <w:iCs/>
          <w:sz w:val="18"/>
          <w:szCs w:val="18"/>
        </w:rPr>
        <w:t xml:space="preserve">(Source: ABC, </w:t>
      </w:r>
      <w:hyperlink r:id="rId41" w:history="1">
        <w:r w:rsidRPr="005961BD">
          <w:rPr>
            <w:rStyle w:val="Hyperlink"/>
            <w:iCs/>
            <w:sz w:val="18"/>
            <w:szCs w:val="18"/>
          </w:rPr>
          <w:t>Regional Victorian tourism 'on its knees' after second Melbourne lockdown, with fears it'll cost $350m</w:t>
        </w:r>
      </w:hyperlink>
      <w:r w:rsidRPr="005961BD">
        <w:rPr>
          <w:iCs/>
          <w:sz w:val="18"/>
          <w:szCs w:val="18"/>
        </w:rPr>
        <w:t xml:space="preserve">, accessed June 2021) </w:t>
      </w:r>
    </w:p>
    <w:p w14:paraId="0BB8DE1E" w14:textId="1BDA207C" w:rsidR="00490F1D" w:rsidRDefault="00490F1D" w:rsidP="00490F1D">
      <w:r>
        <w:t xml:space="preserve">Geelong accommodation provider Lon Retreat &amp; Spa in Point Lonsdale faced 150 cancellations forcing the closure of the hotel side of the business in August 2020. Owner Claire </w:t>
      </w:r>
      <w:proofErr w:type="spellStart"/>
      <w:r>
        <w:t>Gemes</w:t>
      </w:r>
      <w:proofErr w:type="spellEnd"/>
      <w:r>
        <w:t xml:space="preserve"> said </w:t>
      </w:r>
      <w:r w:rsidRPr="00120CFA">
        <w:t>“It was looking to be the busiest we’ve ever been, even busier than summer</w:t>
      </w:r>
      <w:r w:rsidR="00E10005">
        <w:t>…</w:t>
      </w:r>
      <w:r w:rsidRPr="00120CFA">
        <w:t>We put all the groundwork in for those bookings, we invested in staff, food and supplies to reopen, and some of that just can’t be recouped. “That’s difficult and disappointing for us — it’s a big financial and mental hit.”</w:t>
      </w:r>
    </w:p>
    <w:p w14:paraId="4E2DCAE3" w14:textId="77777777" w:rsidR="00175FB7" w:rsidRPr="005961BD" w:rsidRDefault="00175FB7" w:rsidP="00490F1D">
      <w:pPr>
        <w:rPr>
          <w:iCs/>
          <w:sz w:val="18"/>
          <w:szCs w:val="18"/>
        </w:rPr>
      </w:pPr>
      <w:r w:rsidRPr="005961BD">
        <w:rPr>
          <w:iCs/>
          <w:sz w:val="18"/>
          <w:szCs w:val="18"/>
        </w:rPr>
        <w:t>(</w:t>
      </w:r>
      <w:r w:rsidRPr="005961BD">
        <w:rPr>
          <w:b/>
          <w:iCs/>
          <w:color w:val="000000" w:themeColor="text1"/>
          <w:sz w:val="18"/>
          <w:szCs w:val="18"/>
        </w:rPr>
        <w:t>Source</w:t>
      </w:r>
      <w:r w:rsidRPr="005961BD">
        <w:rPr>
          <w:iCs/>
          <w:sz w:val="18"/>
          <w:szCs w:val="18"/>
        </w:rPr>
        <w:t xml:space="preserve">: Geelong Advertiser, </w:t>
      </w:r>
      <w:hyperlink r:id="rId42" w:history="1">
        <w:r w:rsidRPr="005961BD">
          <w:rPr>
            <w:rStyle w:val="Hyperlink"/>
            <w:iCs/>
            <w:sz w:val="18"/>
            <w:szCs w:val="18"/>
          </w:rPr>
          <w:t>Geelong tourism to suffer massive blow with Melbourne in lockdown</w:t>
        </w:r>
      </w:hyperlink>
      <w:r w:rsidRPr="005961BD">
        <w:rPr>
          <w:iCs/>
          <w:sz w:val="18"/>
          <w:szCs w:val="18"/>
        </w:rPr>
        <w:t xml:space="preserve">, accessed </w:t>
      </w:r>
      <w:r w:rsidR="00C04C4D" w:rsidRPr="005961BD">
        <w:rPr>
          <w:iCs/>
          <w:sz w:val="18"/>
          <w:szCs w:val="18"/>
        </w:rPr>
        <w:t>through 9AM GM Daily News</w:t>
      </w:r>
      <w:r w:rsidRPr="005961BD">
        <w:rPr>
          <w:iCs/>
          <w:sz w:val="18"/>
          <w:szCs w:val="18"/>
        </w:rPr>
        <w:t xml:space="preserve">) </w:t>
      </w:r>
    </w:p>
    <w:p w14:paraId="4DCD43D3" w14:textId="77777777" w:rsidR="00490F1D" w:rsidRPr="008D35A4" w:rsidRDefault="00FB12F8" w:rsidP="004F3CD2">
      <w:pPr>
        <w:rPr>
          <w:color w:val="C00000"/>
        </w:rPr>
      </w:pPr>
      <w:r w:rsidRPr="008D35A4">
        <w:rPr>
          <w:color w:val="C00000"/>
        </w:rPr>
        <w:t>&lt;&lt;</w:t>
      </w:r>
      <w:r w:rsidR="008D35A4" w:rsidRPr="008D35A4">
        <w:rPr>
          <w:color w:val="C00000"/>
        </w:rPr>
        <w:t>END BOX</w:t>
      </w:r>
      <w:r w:rsidRPr="008D35A4">
        <w:rPr>
          <w:color w:val="C00000"/>
        </w:rPr>
        <w:t>&gt;&gt;</w:t>
      </w:r>
    </w:p>
    <w:p w14:paraId="339510FA" w14:textId="77777777" w:rsidR="004F3CD2" w:rsidRDefault="00767737" w:rsidP="00FB12F8">
      <w:pPr>
        <w:pStyle w:val="Heading2"/>
      </w:pPr>
      <w:r w:rsidRPr="00FB12F8">
        <w:t>The tourism workforce</w:t>
      </w:r>
    </w:p>
    <w:p w14:paraId="78B926A7" w14:textId="1B2820AE" w:rsidR="006B4E6C" w:rsidRPr="00DA3F4E" w:rsidRDefault="009C5C43" w:rsidP="006B4E6C">
      <w:r>
        <w:t>The tourism workforce fell substantially throughout 2020</w:t>
      </w:r>
      <w:r w:rsidR="003D5273">
        <w:t xml:space="preserve">. At the end of the year there were </w:t>
      </w:r>
      <w:r w:rsidR="00767737">
        <w:t xml:space="preserve">664,000 </w:t>
      </w:r>
      <w:r w:rsidR="00DB0BB6">
        <w:t xml:space="preserve">filled </w:t>
      </w:r>
      <w:r w:rsidR="00767737">
        <w:t xml:space="preserve">tourism jobs, 80,500 </w:t>
      </w:r>
      <w:r w:rsidR="00033BD8">
        <w:t xml:space="preserve">fewer </w:t>
      </w:r>
      <w:r w:rsidR="00767737">
        <w:t xml:space="preserve">than </w:t>
      </w:r>
      <w:r w:rsidR="00CF4E67">
        <w:t xml:space="preserve">in </w:t>
      </w:r>
      <w:r w:rsidR="00767737">
        <w:t>December 2019</w:t>
      </w:r>
      <w:r w:rsidR="00033BD8">
        <w:t xml:space="preserve">. This represented </w:t>
      </w:r>
      <w:r w:rsidR="00767737">
        <w:t xml:space="preserve">a </w:t>
      </w:r>
      <w:r w:rsidR="00033BD8">
        <w:t>10.8</w:t>
      </w:r>
      <w:r w:rsidR="008F05B6">
        <w:t xml:space="preserve"> per cent</w:t>
      </w:r>
      <w:r w:rsidR="00033BD8">
        <w:t xml:space="preserve"> fall in employment and </w:t>
      </w:r>
      <w:r w:rsidR="001600D5" w:rsidRPr="00DA3F4E">
        <w:t xml:space="preserve">compared poorly </w:t>
      </w:r>
      <w:r w:rsidR="00033BD8" w:rsidRPr="00DA3F4E">
        <w:t xml:space="preserve">with the </w:t>
      </w:r>
      <w:r w:rsidR="00DB0BB6" w:rsidRPr="00DA3F4E">
        <w:t>2.0</w:t>
      </w:r>
      <w:r w:rsidR="008F05B6">
        <w:t xml:space="preserve"> per cent</w:t>
      </w:r>
      <w:r w:rsidR="00033BD8" w:rsidRPr="00DA3F4E">
        <w:t xml:space="preserve"> </w:t>
      </w:r>
      <w:r w:rsidR="00DB0BB6" w:rsidRPr="00DA3F4E">
        <w:t>decrease f</w:t>
      </w:r>
      <w:r w:rsidR="00033BD8" w:rsidRPr="00DA3F4E">
        <w:t xml:space="preserve">or the </w:t>
      </w:r>
      <w:proofErr w:type="gramStart"/>
      <w:r w:rsidR="00033BD8" w:rsidRPr="00DA3F4E">
        <w:t>workforce as a whole</w:t>
      </w:r>
      <w:proofErr w:type="gramEnd"/>
      <w:r w:rsidR="00033BD8" w:rsidRPr="00DA3F4E">
        <w:t>.</w:t>
      </w:r>
      <w:r w:rsidR="006B4E6C" w:rsidRPr="00DA3F4E">
        <w:t xml:space="preserve"> </w:t>
      </w:r>
    </w:p>
    <w:p w14:paraId="720CBAB8" w14:textId="58DDCC74" w:rsidR="00791DCF" w:rsidRDefault="00033BD8" w:rsidP="00DA3F4E">
      <w:pPr>
        <w:rPr>
          <w:color w:val="000000" w:themeColor="text1"/>
        </w:rPr>
      </w:pPr>
      <w:r w:rsidRPr="00DA3F4E">
        <w:lastRenderedPageBreak/>
        <w:t>W</w:t>
      </w:r>
      <w:r w:rsidRPr="00DA3F4E">
        <w:rPr>
          <w:color w:val="000000" w:themeColor="text1"/>
        </w:rPr>
        <w:t xml:space="preserve">ithin </w:t>
      </w:r>
      <w:r w:rsidR="0025227A" w:rsidRPr="00DA3F4E">
        <w:rPr>
          <w:color w:val="000000" w:themeColor="text1"/>
        </w:rPr>
        <w:t xml:space="preserve">tourism, </w:t>
      </w:r>
      <w:r w:rsidRPr="00DA3F4E">
        <w:rPr>
          <w:color w:val="000000" w:themeColor="text1"/>
        </w:rPr>
        <w:t>the most pronounced fall</w:t>
      </w:r>
      <w:r w:rsidR="001600D5" w:rsidRPr="00DA3F4E">
        <w:rPr>
          <w:color w:val="000000" w:themeColor="text1"/>
        </w:rPr>
        <w:t>s</w:t>
      </w:r>
      <w:r w:rsidRPr="00DA3F4E">
        <w:rPr>
          <w:color w:val="000000" w:themeColor="text1"/>
        </w:rPr>
        <w:t xml:space="preserve"> were in a</w:t>
      </w:r>
      <w:r w:rsidR="009C5C43" w:rsidRPr="00DA3F4E">
        <w:rPr>
          <w:color w:val="000000" w:themeColor="text1"/>
        </w:rPr>
        <w:t xml:space="preserve">ir, </w:t>
      </w:r>
      <w:proofErr w:type="gramStart"/>
      <w:r w:rsidR="009C5C43" w:rsidRPr="00DA3F4E">
        <w:rPr>
          <w:color w:val="000000" w:themeColor="text1"/>
        </w:rPr>
        <w:t>water</w:t>
      </w:r>
      <w:proofErr w:type="gramEnd"/>
      <w:r w:rsidR="009C5C43" w:rsidRPr="00DA3F4E">
        <w:rPr>
          <w:color w:val="000000" w:themeColor="text1"/>
        </w:rPr>
        <w:t xml:space="preserve"> and other transport – </w:t>
      </w:r>
      <w:r w:rsidRPr="00DA3F4E">
        <w:rPr>
          <w:color w:val="000000" w:themeColor="text1"/>
        </w:rPr>
        <w:t xml:space="preserve">a </w:t>
      </w:r>
      <w:r w:rsidR="00CF4E67" w:rsidRPr="00DA3F4E">
        <w:rPr>
          <w:color w:val="000000" w:themeColor="text1"/>
        </w:rPr>
        <w:t xml:space="preserve">jobs decline of </w:t>
      </w:r>
      <w:r w:rsidR="009C5C43" w:rsidRPr="00DA3F4E">
        <w:rPr>
          <w:color w:val="000000" w:themeColor="text1"/>
        </w:rPr>
        <w:t>40.9</w:t>
      </w:r>
      <w:r w:rsidR="008F05B6">
        <w:rPr>
          <w:color w:val="000000" w:themeColor="text1"/>
        </w:rPr>
        <w:t xml:space="preserve"> per cent</w:t>
      </w:r>
      <w:r w:rsidR="009C5C43" w:rsidRPr="00DA3F4E">
        <w:rPr>
          <w:color w:val="000000" w:themeColor="text1"/>
        </w:rPr>
        <w:t xml:space="preserve"> or 17,300 jobs</w:t>
      </w:r>
      <w:r w:rsidR="00CF4E67" w:rsidRPr="00DA3F4E">
        <w:rPr>
          <w:color w:val="000000" w:themeColor="text1"/>
        </w:rPr>
        <w:t xml:space="preserve"> over the year</w:t>
      </w:r>
      <w:r w:rsidRPr="00DA3F4E">
        <w:rPr>
          <w:color w:val="000000" w:themeColor="text1"/>
        </w:rPr>
        <w:t xml:space="preserve">. </w:t>
      </w:r>
      <w:r w:rsidR="00FB12F8" w:rsidRPr="00DA3F4E">
        <w:rPr>
          <w:color w:val="000000" w:themeColor="text1"/>
        </w:rPr>
        <w:t xml:space="preserve">Job losses were experienced </w:t>
      </w:r>
      <w:r w:rsidR="00183D5B" w:rsidRPr="00DA3F4E">
        <w:rPr>
          <w:color w:val="000000" w:themeColor="text1"/>
        </w:rPr>
        <w:t>by airlines, airports, and other</w:t>
      </w:r>
      <w:r w:rsidR="00FB12F8" w:rsidRPr="00DA3F4E">
        <w:rPr>
          <w:color w:val="000000" w:themeColor="text1"/>
        </w:rPr>
        <w:t xml:space="preserve"> </w:t>
      </w:r>
      <w:r w:rsidR="00CA43FB" w:rsidRPr="00DA3F4E">
        <w:rPr>
          <w:color w:val="000000" w:themeColor="text1"/>
        </w:rPr>
        <w:t>businesses</w:t>
      </w:r>
      <w:r w:rsidR="00FB12F8" w:rsidRPr="00DA3F4E">
        <w:rPr>
          <w:color w:val="000000" w:themeColor="text1"/>
        </w:rPr>
        <w:t xml:space="preserve"> that rely on </w:t>
      </w:r>
      <w:r w:rsidR="00183D5B" w:rsidRPr="00DA3F4E">
        <w:rPr>
          <w:color w:val="000000" w:themeColor="text1"/>
        </w:rPr>
        <w:t xml:space="preserve">airline operations. </w:t>
      </w:r>
      <w:r w:rsidR="00CF4E67" w:rsidRPr="00DA3F4E">
        <w:rPr>
          <w:color w:val="000000" w:themeColor="text1"/>
        </w:rPr>
        <w:t>There was a 22.8</w:t>
      </w:r>
      <w:r w:rsidR="008F05B6">
        <w:rPr>
          <w:color w:val="000000" w:themeColor="text1"/>
        </w:rPr>
        <w:t xml:space="preserve"> per cent</w:t>
      </w:r>
      <w:r w:rsidR="00CF4E67" w:rsidRPr="00DA3F4E">
        <w:rPr>
          <w:color w:val="000000" w:themeColor="text1"/>
        </w:rPr>
        <w:t xml:space="preserve"> fall in accommodation jobs as many hotels and motels closed or went into hibernation.</w:t>
      </w:r>
    </w:p>
    <w:p w14:paraId="6D640DF7" w14:textId="77777777" w:rsidR="005303B4" w:rsidRPr="005961BD" w:rsidRDefault="005303B4" w:rsidP="00DA3F4E">
      <w:pPr>
        <w:rPr>
          <w:iCs/>
          <w:sz w:val="18"/>
          <w:szCs w:val="18"/>
        </w:rPr>
      </w:pPr>
      <w:r w:rsidRPr="005961BD">
        <w:rPr>
          <w:iCs/>
          <w:sz w:val="18"/>
          <w:szCs w:val="18"/>
        </w:rPr>
        <w:t xml:space="preserve">(Source: Australian Bureau of Statistics, </w:t>
      </w:r>
      <w:hyperlink r:id="rId43" w:history="1">
        <w:r w:rsidRPr="005961BD">
          <w:rPr>
            <w:rStyle w:val="Hyperlink"/>
            <w:iCs/>
            <w:sz w:val="18"/>
            <w:szCs w:val="18"/>
          </w:rPr>
          <w:t>Tourism Satellite Accounts: quarterly tourism labour statistics, Australia, experimental estimates</w:t>
        </w:r>
      </w:hyperlink>
      <w:r w:rsidRPr="005961BD">
        <w:rPr>
          <w:iCs/>
          <w:sz w:val="18"/>
          <w:szCs w:val="18"/>
        </w:rPr>
        <w:t xml:space="preserve">, December 2020 release) </w:t>
      </w:r>
    </w:p>
    <w:p w14:paraId="3278B6F1" w14:textId="724C0E40" w:rsidR="00972043" w:rsidRPr="00DA3F4E" w:rsidRDefault="00CF4E67" w:rsidP="00DA3F4E">
      <w:pPr>
        <w:spacing w:after="0" w:line="240" w:lineRule="auto"/>
        <w:rPr>
          <w:color w:val="000000" w:themeColor="text1"/>
        </w:rPr>
      </w:pPr>
      <w:r w:rsidRPr="00DA3F4E">
        <w:rPr>
          <w:color w:val="000000" w:themeColor="text1"/>
        </w:rPr>
        <w:t>However, the loss of tourism jobs was not as severe as the decline in tourism demand</w:t>
      </w:r>
      <w:r w:rsidR="0025227A" w:rsidRPr="00DA3F4E">
        <w:rPr>
          <w:color w:val="000000" w:themeColor="text1"/>
        </w:rPr>
        <w:t>.</w:t>
      </w:r>
      <w:r w:rsidRPr="00DA3F4E">
        <w:rPr>
          <w:color w:val="000000" w:themeColor="text1"/>
        </w:rPr>
        <w:t xml:space="preserve"> This was mainly because employers were able to use the </w:t>
      </w:r>
      <w:proofErr w:type="spellStart"/>
      <w:r w:rsidRPr="00DA3F4E">
        <w:rPr>
          <w:color w:val="000000" w:themeColor="text1"/>
        </w:rPr>
        <w:t>Job</w:t>
      </w:r>
      <w:r w:rsidR="00AD69E8">
        <w:rPr>
          <w:color w:val="000000" w:themeColor="text1"/>
        </w:rPr>
        <w:t>K</w:t>
      </w:r>
      <w:r w:rsidRPr="00DA3F4E">
        <w:rPr>
          <w:color w:val="000000" w:themeColor="text1"/>
        </w:rPr>
        <w:t>eeper</w:t>
      </w:r>
      <w:proofErr w:type="spellEnd"/>
      <w:r w:rsidRPr="00DA3F4E">
        <w:rPr>
          <w:color w:val="000000" w:themeColor="text1"/>
        </w:rPr>
        <w:t xml:space="preserve"> </w:t>
      </w:r>
      <w:r w:rsidR="00DA3F4E" w:rsidRPr="00DA3F4E">
        <w:rPr>
          <w:color w:val="000000" w:themeColor="text1"/>
        </w:rPr>
        <w:t>wage subsidy</w:t>
      </w:r>
      <w:r w:rsidRPr="00DA3F4E">
        <w:rPr>
          <w:color w:val="000000" w:themeColor="text1"/>
        </w:rPr>
        <w:t xml:space="preserve"> to retain workers throughout the year.  </w:t>
      </w:r>
    </w:p>
    <w:p w14:paraId="5C0EF8EA" w14:textId="77777777" w:rsidR="00811C7A" w:rsidRPr="00DA3F4E" w:rsidRDefault="00811C7A" w:rsidP="00811C7A">
      <w:pPr>
        <w:spacing w:after="0" w:line="240" w:lineRule="auto"/>
        <w:rPr>
          <w:color w:val="000000" w:themeColor="text1"/>
        </w:rPr>
      </w:pPr>
    </w:p>
    <w:p w14:paraId="45702025" w14:textId="6ACB9AB8" w:rsidR="001600D5" w:rsidRPr="00DA3F4E" w:rsidRDefault="001600D5" w:rsidP="001600D5">
      <w:pPr>
        <w:rPr>
          <w:color w:val="000000" w:themeColor="text1"/>
        </w:rPr>
      </w:pPr>
      <w:r w:rsidRPr="00DA3F4E">
        <w:rPr>
          <w:color w:val="000000" w:themeColor="text1"/>
        </w:rPr>
        <w:t>The pandemic also accelerated structural change</w:t>
      </w:r>
      <w:r w:rsidR="0059167E">
        <w:rPr>
          <w:color w:val="000000" w:themeColor="text1"/>
        </w:rPr>
        <w:t>s to the industry</w:t>
      </w:r>
      <w:r w:rsidRPr="00DA3F4E">
        <w:rPr>
          <w:color w:val="000000" w:themeColor="text1"/>
        </w:rPr>
        <w:t xml:space="preserve">. </w:t>
      </w:r>
      <w:r w:rsidR="00431422">
        <w:rPr>
          <w:color w:val="000000" w:themeColor="text1"/>
        </w:rPr>
        <w:t>Traditionally, the number of full-time tourism jobs has exceeded part-time. As the tourism industry has grown, t</w:t>
      </w:r>
      <w:r w:rsidRPr="00DA3F4E">
        <w:rPr>
          <w:color w:val="000000" w:themeColor="text1"/>
        </w:rPr>
        <w:t xml:space="preserve">he share of part-time jobs in the visitor economy has slowly increased; </w:t>
      </w:r>
      <w:proofErr w:type="gramStart"/>
      <w:r w:rsidRPr="00DA3F4E">
        <w:rPr>
          <w:color w:val="000000" w:themeColor="text1"/>
        </w:rPr>
        <w:t>however</w:t>
      </w:r>
      <w:proofErr w:type="gramEnd"/>
      <w:r w:rsidRPr="00DA3F4E">
        <w:rPr>
          <w:color w:val="000000" w:themeColor="text1"/>
        </w:rPr>
        <w:t xml:space="preserve"> in September 2020 part-time jobs overtook full time jobs for the first time.</w:t>
      </w:r>
    </w:p>
    <w:p w14:paraId="798DFDEF" w14:textId="61256929" w:rsidR="00144196" w:rsidRPr="005961BD" w:rsidRDefault="00144196" w:rsidP="00144196">
      <w:pPr>
        <w:pStyle w:val="Caption"/>
        <w:rPr>
          <w:b/>
          <w:i w:val="0"/>
          <w:iCs w:val="0"/>
          <w:color w:val="000000" w:themeColor="text1"/>
          <w:sz w:val="22"/>
          <w:szCs w:val="22"/>
        </w:rPr>
      </w:pPr>
      <w:r w:rsidRPr="005961BD">
        <w:rPr>
          <w:b/>
          <w:i w:val="0"/>
          <w:iCs w:val="0"/>
          <w:sz w:val="22"/>
          <w:szCs w:val="22"/>
        </w:rPr>
        <w:t xml:space="preserve">Figure </w:t>
      </w:r>
      <w:r w:rsidRPr="005961BD">
        <w:rPr>
          <w:b/>
          <w:i w:val="0"/>
          <w:iCs w:val="0"/>
          <w:sz w:val="22"/>
          <w:szCs w:val="22"/>
        </w:rPr>
        <w:fldChar w:fldCharType="begin"/>
      </w:r>
      <w:r w:rsidRPr="005961BD">
        <w:rPr>
          <w:b/>
          <w:i w:val="0"/>
          <w:iCs w:val="0"/>
          <w:sz w:val="22"/>
          <w:szCs w:val="22"/>
        </w:rPr>
        <w:instrText xml:space="preserve"> SEQ Figure \* ARABIC </w:instrText>
      </w:r>
      <w:r w:rsidRPr="005961BD">
        <w:rPr>
          <w:b/>
          <w:i w:val="0"/>
          <w:iCs w:val="0"/>
          <w:sz w:val="22"/>
          <w:szCs w:val="22"/>
        </w:rPr>
        <w:fldChar w:fldCharType="separate"/>
      </w:r>
      <w:r w:rsidR="00705122" w:rsidRPr="005961BD">
        <w:rPr>
          <w:b/>
          <w:i w:val="0"/>
          <w:iCs w:val="0"/>
          <w:noProof/>
          <w:sz w:val="22"/>
          <w:szCs w:val="22"/>
        </w:rPr>
        <w:t>1</w:t>
      </w:r>
      <w:r w:rsidR="00A56811" w:rsidRPr="005961BD">
        <w:rPr>
          <w:b/>
          <w:i w:val="0"/>
          <w:iCs w:val="0"/>
          <w:noProof/>
          <w:sz w:val="22"/>
          <w:szCs w:val="22"/>
        </w:rPr>
        <w:t>2</w:t>
      </w:r>
      <w:r w:rsidRPr="005961BD">
        <w:rPr>
          <w:b/>
          <w:i w:val="0"/>
          <w:iCs w:val="0"/>
          <w:sz w:val="22"/>
          <w:szCs w:val="22"/>
        </w:rPr>
        <w:fldChar w:fldCharType="end"/>
      </w:r>
      <w:r w:rsidRPr="005961BD">
        <w:rPr>
          <w:b/>
          <w:i w:val="0"/>
          <w:iCs w:val="0"/>
          <w:sz w:val="22"/>
          <w:szCs w:val="22"/>
        </w:rPr>
        <w:t xml:space="preserve"> </w:t>
      </w:r>
      <w:r w:rsidR="007F37CE" w:rsidRPr="005961BD">
        <w:rPr>
          <w:b/>
          <w:i w:val="0"/>
          <w:iCs w:val="0"/>
          <w:sz w:val="22"/>
          <w:szCs w:val="22"/>
        </w:rPr>
        <w:t>–</w:t>
      </w:r>
      <w:r w:rsidRPr="005961BD">
        <w:rPr>
          <w:b/>
          <w:i w:val="0"/>
          <w:iCs w:val="0"/>
          <w:sz w:val="22"/>
          <w:szCs w:val="22"/>
        </w:rPr>
        <w:t xml:space="preserve"> Tourism </w:t>
      </w:r>
      <w:r w:rsidR="00AD69E8" w:rsidRPr="005961BD">
        <w:rPr>
          <w:b/>
          <w:i w:val="0"/>
          <w:iCs w:val="0"/>
          <w:sz w:val="22"/>
          <w:szCs w:val="22"/>
        </w:rPr>
        <w:t>e</w:t>
      </w:r>
      <w:r w:rsidRPr="005961BD">
        <w:rPr>
          <w:b/>
          <w:i w:val="0"/>
          <w:iCs w:val="0"/>
          <w:sz w:val="22"/>
          <w:szCs w:val="22"/>
        </w:rPr>
        <w:t xml:space="preserve">mployment and </w:t>
      </w:r>
      <w:r w:rsidR="00AD69E8" w:rsidRPr="005961BD">
        <w:rPr>
          <w:b/>
          <w:i w:val="0"/>
          <w:iCs w:val="0"/>
          <w:sz w:val="22"/>
          <w:szCs w:val="22"/>
        </w:rPr>
        <w:t>t</w:t>
      </w:r>
      <w:r w:rsidRPr="005961BD">
        <w:rPr>
          <w:b/>
          <w:i w:val="0"/>
          <w:iCs w:val="0"/>
          <w:sz w:val="22"/>
          <w:szCs w:val="22"/>
        </w:rPr>
        <w:t xml:space="preserve">ourism </w:t>
      </w:r>
      <w:r w:rsidR="00AD69E8" w:rsidRPr="005961BD">
        <w:rPr>
          <w:b/>
          <w:i w:val="0"/>
          <w:iCs w:val="0"/>
          <w:sz w:val="22"/>
          <w:szCs w:val="22"/>
        </w:rPr>
        <w:t>s</w:t>
      </w:r>
      <w:r w:rsidRPr="005961BD">
        <w:rPr>
          <w:b/>
          <w:i w:val="0"/>
          <w:iCs w:val="0"/>
          <w:sz w:val="22"/>
          <w:szCs w:val="22"/>
        </w:rPr>
        <w:t>pend</w:t>
      </w:r>
      <w:r w:rsidR="00A56811" w:rsidRPr="005961BD">
        <w:rPr>
          <w:b/>
          <w:i w:val="0"/>
          <w:iCs w:val="0"/>
          <w:sz w:val="22"/>
          <w:szCs w:val="22"/>
        </w:rPr>
        <w:t>, December 2019 to December 2020</w:t>
      </w:r>
    </w:p>
    <w:p w14:paraId="5753B980" w14:textId="32C5AFA0" w:rsidR="007E43F7" w:rsidRPr="00DA3F4E" w:rsidRDefault="00234FDE" w:rsidP="007E43F7">
      <w:r>
        <w:rPr>
          <w:noProof/>
          <w:lang w:eastAsia="en-AU"/>
        </w:rPr>
        <w:drawing>
          <wp:inline distT="0" distB="0" distL="0" distR="0" wp14:anchorId="74B7E2A6" wp14:editId="6A948F8F">
            <wp:extent cx="5230368" cy="2946657"/>
            <wp:effectExtent l="0" t="0" r="8890" b="6350"/>
            <wp:docPr id="14" name="Picture 14" descr="Figure 12 shows the comparison between fall changes to tourism spend and tourism employ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Figure 12 shows the comparison between fall changes to tourism spend and tourism employment.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240904" cy="2952593"/>
                    </a:xfrm>
                    <a:prstGeom prst="rect">
                      <a:avLst/>
                    </a:prstGeom>
                    <a:noFill/>
                  </pic:spPr>
                </pic:pic>
              </a:graphicData>
            </a:graphic>
          </wp:inline>
        </w:drawing>
      </w:r>
    </w:p>
    <w:p w14:paraId="4200511F" w14:textId="2C6976C8" w:rsidR="007E43F7" w:rsidRDefault="007E43F7" w:rsidP="007E43F7">
      <w:pPr>
        <w:rPr>
          <w:highlight w:val="yellow"/>
        </w:rPr>
      </w:pPr>
    </w:p>
    <w:p w14:paraId="2134E223" w14:textId="77777777" w:rsidR="005303B4" w:rsidRPr="005961BD" w:rsidRDefault="005303B4" w:rsidP="007E43F7">
      <w:pPr>
        <w:rPr>
          <w:iCs/>
          <w:sz w:val="18"/>
          <w:szCs w:val="18"/>
        </w:rPr>
      </w:pPr>
      <w:r w:rsidRPr="005961BD">
        <w:rPr>
          <w:iCs/>
          <w:sz w:val="18"/>
          <w:szCs w:val="18"/>
        </w:rPr>
        <w:t xml:space="preserve">(Source: Australian Bureau of Statistics, </w:t>
      </w:r>
      <w:hyperlink r:id="rId45" w:history="1">
        <w:r w:rsidRPr="005961BD">
          <w:rPr>
            <w:rStyle w:val="Hyperlink"/>
            <w:iCs/>
            <w:sz w:val="18"/>
            <w:szCs w:val="18"/>
          </w:rPr>
          <w:t>Tourism Satellite Accounts: quarterly tourism labour statistics, Australia, experimental estimates</w:t>
        </w:r>
      </w:hyperlink>
      <w:r w:rsidRPr="005961BD">
        <w:rPr>
          <w:iCs/>
          <w:sz w:val="18"/>
          <w:szCs w:val="18"/>
        </w:rPr>
        <w:t>, December 2020 release)</w:t>
      </w:r>
    </w:p>
    <w:p w14:paraId="59821BD4" w14:textId="0396BF4C" w:rsidR="00767737" w:rsidRPr="00BF5D5B" w:rsidRDefault="00767737" w:rsidP="00713670">
      <w:pPr>
        <w:pStyle w:val="Heading3"/>
      </w:pPr>
      <w:r w:rsidRPr="00BF5D5B">
        <w:t>Aviation</w:t>
      </w:r>
    </w:p>
    <w:p w14:paraId="6F727D23" w14:textId="1FFB6D39" w:rsidR="00D454D7" w:rsidRPr="00AA4F8B" w:rsidRDefault="002D3F21" w:rsidP="00FD2777">
      <w:pPr>
        <w:pStyle w:val="NormalWeb"/>
        <w:shd w:val="clear" w:color="auto" w:fill="FFFFFF" w:themeFill="background1"/>
        <w:spacing w:before="120" w:beforeAutospacing="0" w:after="120" w:afterAutospacing="0"/>
        <w:rPr>
          <w:rFonts w:asciiTheme="minorHAnsi" w:eastAsiaTheme="minorHAnsi" w:hAnsiTheme="minorHAnsi" w:cstheme="minorBidi"/>
          <w:sz w:val="22"/>
          <w:szCs w:val="22"/>
          <w:lang w:eastAsia="en-US"/>
        </w:rPr>
      </w:pPr>
      <w:r w:rsidRPr="00AA4F8B">
        <w:rPr>
          <w:rFonts w:asciiTheme="minorHAnsi" w:eastAsiaTheme="minorHAnsi" w:hAnsiTheme="minorHAnsi" w:cstheme="minorBidi"/>
          <w:sz w:val="22"/>
          <w:szCs w:val="22"/>
          <w:lang w:eastAsia="en-US"/>
        </w:rPr>
        <w:t>Border closures and lock downs had a</w:t>
      </w:r>
      <w:r w:rsidR="0059167E">
        <w:rPr>
          <w:rFonts w:asciiTheme="minorHAnsi" w:eastAsiaTheme="minorHAnsi" w:hAnsiTheme="minorHAnsi" w:cstheme="minorBidi"/>
          <w:sz w:val="22"/>
          <w:szCs w:val="22"/>
          <w:lang w:eastAsia="en-US"/>
        </w:rPr>
        <w:t xml:space="preserve"> severe</w:t>
      </w:r>
      <w:r w:rsidRPr="00AA4F8B">
        <w:rPr>
          <w:rFonts w:asciiTheme="minorHAnsi" w:eastAsiaTheme="minorHAnsi" w:hAnsiTheme="minorHAnsi" w:cstheme="minorBidi"/>
          <w:sz w:val="22"/>
          <w:szCs w:val="22"/>
          <w:lang w:eastAsia="en-US"/>
        </w:rPr>
        <w:t xml:space="preserve"> effect on demand for domestic flights. In April 2020 there were just 145,000 passengers on Australian flights – </w:t>
      </w:r>
      <w:r w:rsidR="00CF38F2" w:rsidRPr="00AA4F8B">
        <w:rPr>
          <w:rFonts w:asciiTheme="minorHAnsi" w:eastAsiaTheme="minorHAnsi" w:hAnsiTheme="minorHAnsi" w:cstheme="minorBidi"/>
          <w:sz w:val="22"/>
          <w:szCs w:val="22"/>
          <w:lang w:eastAsia="en-US"/>
        </w:rPr>
        <w:t xml:space="preserve">less than </w:t>
      </w:r>
      <w:r w:rsidRPr="00AA4F8B">
        <w:rPr>
          <w:rFonts w:asciiTheme="minorHAnsi" w:eastAsiaTheme="minorHAnsi" w:hAnsiTheme="minorHAnsi" w:cstheme="minorBidi"/>
          <w:sz w:val="22"/>
          <w:szCs w:val="22"/>
          <w:lang w:eastAsia="en-US"/>
        </w:rPr>
        <w:t xml:space="preserve">one-twentieth of the 3.1 million carried in March 2020. The recovery in domestic aviation since then has been slow. The 2.2 million passengers on domestic flights in December 2020 </w:t>
      </w:r>
      <w:r w:rsidR="00D454D7" w:rsidRPr="00AA4F8B">
        <w:rPr>
          <w:rFonts w:asciiTheme="minorHAnsi" w:eastAsiaTheme="minorHAnsi" w:hAnsiTheme="minorHAnsi" w:cstheme="minorBidi"/>
          <w:sz w:val="22"/>
          <w:szCs w:val="22"/>
          <w:lang w:eastAsia="en-US"/>
        </w:rPr>
        <w:t>was only 4</w:t>
      </w:r>
      <w:r w:rsidR="00CF38F2" w:rsidRPr="00AA4F8B">
        <w:rPr>
          <w:rFonts w:asciiTheme="minorHAnsi" w:eastAsiaTheme="minorHAnsi" w:hAnsiTheme="minorHAnsi" w:cstheme="minorBidi"/>
          <w:sz w:val="22"/>
          <w:szCs w:val="22"/>
          <w:lang w:eastAsia="en-US"/>
        </w:rPr>
        <w:t>2</w:t>
      </w:r>
      <w:r w:rsidR="008F05B6">
        <w:rPr>
          <w:rFonts w:asciiTheme="minorHAnsi" w:eastAsiaTheme="minorHAnsi" w:hAnsiTheme="minorHAnsi" w:cstheme="minorBidi"/>
          <w:sz w:val="22"/>
          <w:szCs w:val="22"/>
          <w:lang w:eastAsia="en-US"/>
        </w:rPr>
        <w:t xml:space="preserve"> per cent</w:t>
      </w:r>
      <w:r w:rsidR="00D454D7" w:rsidRPr="00AA4F8B">
        <w:rPr>
          <w:rFonts w:asciiTheme="minorHAnsi" w:eastAsiaTheme="minorHAnsi" w:hAnsiTheme="minorHAnsi" w:cstheme="minorBidi"/>
          <w:sz w:val="22"/>
          <w:szCs w:val="22"/>
          <w:lang w:eastAsia="en-US"/>
        </w:rPr>
        <w:t xml:space="preserve"> of December 2019 levels.</w:t>
      </w:r>
      <w:r w:rsidR="00C51E6C" w:rsidRPr="00AA4F8B">
        <w:rPr>
          <w:rFonts w:asciiTheme="minorHAnsi" w:eastAsiaTheme="minorHAnsi" w:hAnsiTheme="minorHAnsi" w:cstheme="minorBidi"/>
          <w:sz w:val="22"/>
          <w:szCs w:val="22"/>
          <w:lang w:eastAsia="en-US"/>
        </w:rPr>
        <w:t xml:space="preserve"> For </w:t>
      </w:r>
      <w:r w:rsidR="008C234E" w:rsidRPr="00AA4F8B">
        <w:rPr>
          <w:rFonts w:asciiTheme="minorHAnsi" w:eastAsiaTheme="minorHAnsi" w:hAnsiTheme="minorHAnsi" w:cstheme="minorBidi"/>
          <w:sz w:val="22"/>
          <w:szCs w:val="22"/>
          <w:lang w:eastAsia="en-US"/>
        </w:rPr>
        <w:t xml:space="preserve">the Sydney to Melbourne corridor – Australia’s most popular route </w:t>
      </w:r>
      <w:r w:rsidR="007F37CE">
        <w:rPr>
          <w:b/>
          <w:sz w:val="22"/>
          <w:szCs w:val="22"/>
        </w:rPr>
        <w:t>–</w:t>
      </w:r>
      <w:r w:rsidR="008C234E" w:rsidRPr="00AA4F8B">
        <w:rPr>
          <w:rFonts w:asciiTheme="minorHAnsi" w:eastAsiaTheme="minorHAnsi" w:hAnsiTheme="minorHAnsi" w:cstheme="minorBidi"/>
          <w:sz w:val="22"/>
          <w:szCs w:val="22"/>
          <w:lang w:eastAsia="en-US"/>
        </w:rPr>
        <w:t xml:space="preserve"> </w:t>
      </w:r>
      <w:r w:rsidR="00C51E6C" w:rsidRPr="00AA4F8B">
        <w:rPr>
          <w:rFonts w:asciiTheme="minorHAnsi" w:eastAsiaTheme="minorHAnsi" w:hAnsiTheme="minorHAnsi" w:cstheme="minorBidi"/>
          <w:sz w:val="22"/>
          <w:szCs w:val="22"/>
          <w:lang w:eastAsia="en-US"/>
        </w:rPr>
        <w:t xml:space="preserve">the recovery was even slower, </w:t>
      </w:r>
      <w:r w:rsidR="008C234E" w:rsidRPr="00AA4F8B">
        <w:rPr>
          <w:rFonts w:asciiTheme="minorHAnsi" w:eastAsiaTheme="minorHAnsi" w:hAnsiTheme="minorHAnsi" w:cstheme="minorBidi"/>
          <w:sz w:val="22"/>
          <w:szCs w:val="22"/>
          <w:lang w:eastAsia="en-US"/>
        </w:rPr>
        <w:t xml:space="preserve">with </w:t>
      </w:r>
      <w:r w:rsidR="00C51E6C" w:rsidRPr="00AA4F8B">
        <w:rPr>
          <w:rFonts w:asciiTheme="minorHAnsi" w:eastAsiaTheme="minorHAnsi" w:hAnsiTheme="minorHAnsi" w:cstheme="minorBidi"/>
          <w:sz w:val="22"/>
          <w:szCs w:val="22"/>
          <w:lang w:eastAsia="en-US"/>
        </w:rPr>
        <w:t xml:space="preserve">demand </w:t>
      </w:r>
      <w:r w:rsidR="008C234E" w:rsidRPr="00AA4F8B">
        <w:rPr>
          <w:rFonts w:asciiTheme="minorHAnsi" w:eastAsiaTheme="minorHAnsi" w:hAnsiTheme="minorHAnsi" w:cstheme="minorBidi"/>
          <w:sz w:val="22"/>
          <w:szCs w:val="22"/>
          <w:lang w:eastAsia="en-US"/>
        </w:rPr>
        <w:t>down 76</w:t>
      </w:r>
      <w:r w:rsidR="008F05B6">
        <w:rPr>
          <w:rFonts w:asciiTheme="minorHAnsi" w:eastAsiaTheme="minorHAnsi" w:hAnsiTheme="minorHAnsi" w:cstheme="minorBidi"/>
          <w:sz w:val="22"/>
          <w:szCs w:val="22"/>
          <w:lang w:eastAsia="en-US"/>
        </w:rPr>
        <w:t xml:space="preserve"> per cent</w:t>
      </w:r>
      <w:r w:rsidR="008C234E" w:rsidRPr="00AA4F8B">
        <w:rPr>
          <w:rFonts w:asciiTheme="minorHAnsi" w:eastAsiaTheme="minorHAnsi" w:hAnsiTheme="minorHAnsi" w:cstheme="minorBidi"/>
          <w:sz w:val="22"/>
          <w:szCs w:val="22"/>
          <w:lang w:eastAsia="en-US"/>
        </w:rPr>
        <w:t xml:space="preserve">. </w:t>
      </w:r>
    </w:p>
    <w:p w14:paraId="1637A1DA" w14:textId="77777777" w:rsidR="00816F1E" w:rsidRPr="005961BD" w:rsidRDefault="00816F1E" w:rsidP="00816F1E">
      <w:pPr>
        <w:rPr>
          <w:iCs/>
          <w:sz w:val="18"/>
          <w:szCs w:val="18"/>
        </w:rPr>
      </w:pPr>
      <w:r w:rsidRPr="005961BD">
        <w:rPr>
          <w:iCs/>
          <w:sz w:val="18"/>
          <w:szCs w:val="18"/>
        </w:rPr>
        <w:lastRenderedPageBreak/>
        <w:t xml:space="preserve">(Source: Department of Infrastructure, Transport, Regional Development and Communications, </w:t>
      </w:r>
      <w:hyperlink r:id="rId46" w:history="1">
        <w:r w:rsidRPr="005961BD">
          <w:rPr>
            <w:rStyle w:val="Hyperlink"/>
            <w:iCs/>
            <w:sz w:val="18"/>
            <w:szCs w:val="18"/>
          </w:rPr>
          <w:t>Domestic aviation activity</w:t>
        </w:r>
      </w:hyperlink>
      <w:r w:rsidRPr="005961BD">
        <w:rPr>
          <w:iCs/>
          <w:sz w:val="18"/>
          <w:szCs w:val="18"/>
        </w:rPr>
        <w:t>, accessed June 2021)</w:t>
      </w:r>
    </w:p>
    <w:p w14:paraId="599321FB" w14:textId="77777777" w:rsidR="00570CC0" w:rsidRPr="005961BD" w:rsidRDefault="00570CC0" w:rsidP="00570CC0">
      <w:pPr>
        <w:pStyle w:val="Caption"/>
        <w:rPr>
          <w:b/>
          <w:i w:val="0"/>
          <w:iCs w:val="0"/>
          <w:sz w:val="22"/>
          <w:szCs w:val="22"/>
        </w:rPr>
      </w:pPr>
      <w:r w:rsidRPr="005961BD">
        <w:rPr>
          <w:b/>
          <w:i w:val="0"/>
          <w:iCs w:val="0"/>
          <w:sz w:val="22"/>
          <w:szCs w:val="22"/>
        </w:rPr>
        <w:t xml:space="preserve">Figure </w:t>
      </w:r>
      <w:r w:rsidRPr="005961BD">
        <w:rPr>
          <w:b/>
          <w:i w:val="0"/>
          <w:iCs w:val="0"/>
          <w:sz w:val="22"/>
          <w:szCs w:val="22"/>
        </w:rPr>
        <w:fldChar w:fldCharType="begin"/>
      </w:r>
      <w:r w:rsidRPr="005961BD">
        <w:rPr>
          <w:b/>
          <w:i w:val="0"/>
          <w:iCs w:val="0"/>
          <w:sz w:val="22"/>
          <w:szCs w:val="22"/>
        </w:rPr>
        <w:instrText xml:space="preserve"> SEQ Figure \* ARABIC </w:instrText>
      </w:r>
      <w:r w:rsidRPr="005961BD">
        <w:rPr>
          <w:b/>
          <w:i w:val="0"/>
          <w:iCs w:val="0"/>
          <w:sz w:val="22"/>
          <w:szCs w:val="22"/>
        </w:rPr>
        <w:fldChar w:fldCharType="separate"/>
      </w:r>
      <w:r w:rsidR="00705122" w:rsidRPr="005961BD">
        <w:rPr>
          <w:b/>
          <w:i w:val="0"/>
          <w:iCs w:val="0"/>
          <w:noProof/>
          <w:sz w:val="22"/>
          <w:szCs w:val="22"/>
        </w:rPr>
        <w:t>1</w:t>
      </w:r>
      <w:r w:rsidR="00A56811" w:rsidRPr="005961BD">
        <w:rPr>
          <w:b/>
          <w:i w:val="0"/>
          <w:iCs w:val="0"/>
          <w:noProof/>
          <w:sz w:val="22"/>
          <w:szCs w:val="22"/>
        </w:rPr>
        <w:t>3</w:t>
      </w:r>
      <w:r w:rsidRPr="005961BD">
        <w:rPr>
          <w:b/>
          <w:i w:val="0"/>
          <w:iCs w:val="0"/>
          <w:sz w:val="22"/>
          <w:szCs w:val="22"/>
        </w:rPr>
        <w:fldChar w:fldCharType="end"/>
      </w:r>
      <w:r w:rsidRPr="005961BD">
        <w:rPr>
          <w:b/>
          <w:i w:val="0"/>
          <w:iCs w:val="0"/>
          <w:sz w:val="22"/>
          <w:szCs w:val="22"/>
        </w:rPr>
        <w:t xml:space="preserve"> </w:t>
      </w:r>
      <w:r w:rsidR="00C51E6C" w:rsidRPr="005961BD">
        <w:rPr>
          <w:b/>
          <w:i w:val="0"/>
          <w:iCs w:val="0"/>
          <w:sz w:val="22"/>
          <w:szCs w:val="22"/>
        </w:rPr>
        <w:t>–</w:t>
      </w:r>
      <w:r w:rsidRPr="005961BD">
        <w:rPr>
          <w:b/>
          <w:i w:val="0"/>
          <w:iCs w:val="0"/>
          <w:sz w:val="22"/>
          <w:szCs w:val="22"/>
        </w:rPr>
        <w:t xml:space="preserve"> </w:t>
      </w:r>
      <w:r w:rsidR="00C51E6C" w:rsidRPr="005961BD">
        <w:rPr>
          <w:b/>
          <w:i w:val="0"/>
          <w:iCs w:val="0"/>
          <w:sz w:val="22"/>
          <w:szCs w:val="22"/>
        </w:rPr>
        <w:t>Demand for domestic flights</w:t>
      </w:r>
      <w:r w:rsidR="00A56811" w:rsidRPr="005961BD">
        <w:rPr>
          <w:b/>
          <w:i w:val="0"/>
          <w:iCs w:val="0"/>
          <w:sz w:val="22"/>
          <w:szCs w:val="22"/>
        </w:rPr>
        <w:t>, January 2020 to March 2021</w:t>
      </w:r>
    </w:p>
    <w:p w14:paraId="7C8B8EB2" w14:textId="77777777" w:rsidR="00816F1E" w:rsidRPr="00D11AC8" w:rsidRDefault="00C51E6C" w:rsidP="00816F1E">
      <w:r>
        <w:rPr>
          <w:noProof/>
          <w:lang w:eastAsia="en-AU"/>
        </w:rPr>
        <w:drawing>
          <wp:inline distT="0" distB="0" distL="0" distR="0" wp14:anchorId="119DBC79" wp14:editId="2226B43E">
            <wp:extent cx="5943600" cy="3021330"/>
            <wp:effectExtent l="0" t="0" r="0" b="7620"/>
            <wp:docPr id="32" name="Chart 32" descr="Chart showing demand for domestic flights, including flight departures and passengers from January to December 20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r w:rsidR="3D58160A" w:rsidRPr="005961BD">
        <w:rPr>
          <w:sz w:val="18"/>
          <w:szCs w:val="18"/>
        </w:rPr>
        <w:t xml:space="preserve">(Source: Department of Infrastructure, Transport, Regional Development and Communications, </w:t>
      </w:r>
      <w:hyperlink r:id="rId48" w:history="1">
        <w:r w:rsidR="3D58160A" w:rsidRPr="005961BD">
          <w:rPr>
            <w:rStyle w:val="Hyperlink"/>
            <w:sz w:val="18"/>
            <w:szCs w:val="18"/>
          </w:rPr>
          <w:t>Domestic aviation activity</w:t>
        </w:r>
      </w:hyperlink>
      <w:r w:rsidR="3D58160A" w:rsidRPr="005961BD">
        <w:rPr>
          <w:sz w:val="18"/>
          <w:szCs w:val="18"/>
        </w:rPr>
        <w:t>, accessed June 2021)</w:t>
      </w:r>
    </w:p>
    <w:p w14:paraId="36A277A5" w14:textId="73403EDB" w:rsidR="0025227A" w:rsidRDefault="00C51E6C" w:rsidP="004258A7">
      <w:pPr>
        <w:pStyle w:val="NormalWeb"/>
        <w:shd w:val="clear" w:color="auto" w:fill="FFFFFF" w:themeFill="background1"/>
        <w:spacing w:before="120" w:beforeAutospacing="0" w:after="120" w:afterAutospacing="0"/>
      </w:pPr>
      <w:r w:rsidRPr="00AA4F8B">
        <w:rPr>
          <w:rFonts w:asciiTheme="minorHAnsi" w:eastAsiaTheme="minorHAnsi" w:hAnsiTheme="minorHAnsi" w:cstheme="minorBidi"/>
          <w:sz w:val="22"/>
          <w:szCs w:val="22"/>
          <w:lang w:eastAsia="en-US"/>
        </w:rPr>
        <w:t>To remain viable over this period, operators increasingly turned to smaller planes as a way of achieving better seat utilisation. In January 2020, the average passenger p</w:t>
      </w:r>
      <w:r w:rsidR="00570202">
        <w:rPr>
          <w:rFonts w:asciiTheme="minorHAnsi" w:eastAsiaTheme="minorHAnsi" w:hAnsiTheme="minorHAnsi" w:cstheme="minorBidi"/>
          <w:sz w:val="22"/>
          <w:szCs w:val="22"/>
          <w:lang w:eastAsia="en-US"/>
        </w:rPr>
        <w:t>lane had 126 seats, by May 2020</w:t>
      </w:r>
      <w:r w:rsidRPr="00AA4F8B">
        <w:rPr>
          <w:rFonts w:asciiTheme="minorHAnsi" w:eastAsiaTheme="minorHAnsi" w:hAnsiTheme="minorHAnsi" w:cstheme="minorBidi"/>
          <w:sz w:val="22"/>
          <w:szCs w:val="22"/>
          <w:lang w:eastAsia="en-US"/>
        </w:rPr>
        <w:t xml:space="preserve"> the average passenger plane had just 55 seats. Even with smaller planes, just 41</w:t>
      </w:r>
      <w:r w:rsidR="008F05B6">
        <w:rPr>
          <w:rFonts w:asciiTheme="minorHAnsi" w:eastAsiaTheme="minorHAnsi" w:hAnsiTheme="minorHAnsi" w:cstheme="minorBidi"/>
          <w:sz w:val="22"/>
          <w:szCs w:val="22"/>
          <w:lang w:eastAsia="en-US"/>
        </w:rPr>
        <w:t xml:space="preserve"> per cent</w:t>
      </w:r>
      <w:r w:rsidRPr="00AA4F8B">
        <w:rPr>
          <w:rFonts w:asciiTheme="minorHAnsi" w:eastAsiaTheme="minorHAnsi" w:hAnsiTheme="minorHAnsi" w:cstheme="minorBidi"/>
          <w:sz w:val="22"/>
          <w:szCs w:val="22"/>
          <w:lang w:eastAsia="en-US"/>
        </w:rPr>
        <w:t xml:space="preserve"> of seats were occupied during May</w:t>
      </w:r>
      <w:r w:rsidR="00570202">
        <w:rPr>
          <w:rFonts w:asciiTheme="minorHAnsi" w:eastAsiaTheme="minorHAnsi" w:hAnsiTheme="minorHAnsi" w:cstheme="minorBidi"/>
          <w:sz w:val="22"/>
          <w:szCs w:val="22"/>
          <w:lang w:eastAsia="en-US"/>
        </w:rPr>
        <w:t xml:space="preserve"> 2020</w:t>
      </w:r>
      <w:r w:rsidRPr="00AA4F8B">
        <w:rPr>
          <w:rFonts w:asciiTheme="minorHAnsi" w:eastAsiaTheme="minorHAnsi" w:hAnsiTheme="minorHAnsi" w:cstheme="minorBidi"/>
          <w:sz w:val="22"/>
          <w:szCs w:val="22"/>
          <w:lang w:eastAsia="en-US"/>
        </w:rPr>
        <w:t>, compared with 80</w:t>
      </w:r>
      <w:r w:rsidR="008F05B6">
        <w:rPr>
          <w:rFonts w:asciiTheme="minorHAnsi" w:eastAsiaTheme="minorHAnsi" w:hAnsiTheme="minorHAnsi" w:cstheme="minorBidi"/>
          <w:sz w:val="22"/>
          <w:szCs w:val="22"/>
          <w:lang w:eastAsia="en-US"/>
        </w:rPr>
        <w:t xml:space="preserve"> per cent</w:t>
      </w:r>
      <w:r w:rsidRPr="00AA4F8B">
        <w:rPr>
          <w:rFonts w:asciiTheme="minorHAnsi" w:eastAsiaTheme="minorHAnsi" w:hAnsiTheme="minorHAnsi" w:cstheme="minorBidi"/>
          <w:sz w:val="22"/>
          <w:szCs w:val="22"/>
          <w:lang w:eastAsia="en-US"/>
        </w:rPr>
        <w:t xml:space="preserve"> in January</w:t>
      </w:r>
      <w:r w:rsidR="00570202">
        <w:rPr>
          <w:rFonts w:asciiTheme="minorHAnsi" w:eastAsiaTheme="minorHAnsi" w:hAnsiTheme="minorHAnsi" w:cstheme="minorBidi"/>
          <w:sz w:val="22"/>
          <w:szCs w:val="22"/>
          <w:lang w:eastAsia="en-US"/>
        </w:rPr>
        <w:t xml:space="preserve"> 2020</w:t>
      </w:r>
      <w:r w:rsidRPr="00AA4F8B">
        <w:rPr>
          <w:rFonts w:asciiTheme="minorHAnsi" w:eastAsiaTheme="minorHAnsi" w:hAnsiTheme="minorHAnsi" w:cstheme="minorBidi"/>
          <w:sz w:val="22"/>
          <w:szCs w:val="22"/>
          <w:lang w:eastAsia="en-US"/>
        </w:rPr>
        <w:t xml:space="preserve">. </w:t>
      </w:r>
    </w:p>
    <w:p w14:paraId="11D4C4BE" w14:textId="02B84628" w:rsidR="00FD2777" w:rsidRDefault="00FD2777" w:rsidP="00FD2777">
      <w:pPr>
        <w:pStyle w:val="NormalWeb"/>
        <w:shd w:val="clear" w:color="auto" w:fill="FFFFFF" w:themeFill="background1"/>
        <w:spacing w:before="120" w:beforeAutospacing="0" w:after="12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The recovery of domestic aviation was closely related to how safe people felt on flights. In August 2020, when the Victoria Covid-19 outbreak was </w:t>
      </w:r>
      <w:r w:rsidR="00D24296">
        <w:rPr>
          <w:rFonts w:asciiTheme="minorHAnsi" w:eastAsiaTheme="minorHAnsi" w:hAnsiTheme="minorHAnsi" w:cstheme="minorBidi"/>
          <w:sz w:val="22"/>
          <w:szCs w:val="22"/>
          <w:lang w:eastAsia="en-US"/>
        </w:rPr>
        <w:t>in its worst stages</w:t>
      </w:r>
      <w:r>
        <w:rPr>
          <w:rFonts w:asciiTheme="minorHAnsi" w:eastAsiaTheme="minorHAnsi" w:hAnsiTheme="minorHAnsi" w:cstheme="minorBidi"/>
          <w:sz w:val="22"/>
          <w:szCs w:val="22"/>
          <w:lang w:eastAsia="en-US"/>
        </w:rPr>
        <w:t>, only 44</w:t>
      </w:r>
      <w:r w:rsidR="008F05B6">
        <w:rPr>
          <w:rFonts w:asciiTheme="minorHAnsi" w:eastAsiaTheme="minorHAnsi" w:hAnsiTheme="minorHAnsi" w:cstheme="minorBidi"/>
          <w:sz w:val="22"/>
          <w:szCs w:val="22"/>
          <w:lang w:eastAsia="en-US"/>
        </w:rPr>
        <w:t xml:space="preserve"> per cent</w:t>
      </w:r>
      <w:r>
        <w:rPr>
          <w:rFonts w:asciiTheme="minorHAnsi" w:eastAsiaTheme="minorHAnsi" w:hAnsiTheme="minorHAnsi" w:cstheme="minorBidi"/>
          <w:sz w:val="22"/>
          <w:szCs w:val="22"/>
          <w:lang w:eastAsia="en-US"/>
        </w:rPr>
        <w:t xml:space="preserve"> of people surveyed said</w:t>
      </w:r>
      <w:r w:rsidR="00AD69E8">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“I would feel safe flying in Australia</w:t>
      </w:r>
      <w:r w:rsidR="00AD69E8">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This steadily improved over the coming months and by December 2020, 72</w:t>
      </w:r>
      <w:r w:rsidR="008F05B6">
        <w:rPr>
          <w:rFonts w:asciiTheme="minorHAnsi" w:eastAsiaTheme="minorHAnsi" w:hAnsiTheme="minorHAnsi" w:cstheme="minorBidi"/>
          <w:sz w:val="22"/>
          <w:szCs w:val="22"/>
          <w:lang w:eastAsia="en-US"/>
        </w:rPr>
        <w:t xml:space="preserve"> per cent</w:t>
      </w:r>
      <w:r>
        <w:rPr>
          <w:rFonts w:asciiTheme="minorHAnsi" w:eastAsiaTheme="minorHAnsi" w:hAnsiTheme="minorHAnsi" w:cstheme="minorBidi"/>
          <w:sz w:val="22"/>
          <w:szCs w:val="22"/>
          <w:lang w:eastAsia="en-US"/>
        </w:rPr>
        <w:t xml:space="preserve"> said they felt safe. The number of passengers on domestic flights almost quadrupled over this same period. This is due to a combination of:</w:t>
      </w:r>
    </w:p>
    <w:p w14:paraId="2A8C71A9" w14:textId="2F352472" w:rsidR="00FD2777" w:rsidRDefault="00AD69E8" w:rsidP="00FD2777">
      <w:pPr>
        <w:pStyle w:val="NormalWeb"/>
        <w:numPr>
          <w:ilvl w:val="0"/>
          <w:numId w:val="27"/>
        </w:numPr>
        <w:shd w:val="clear" w:color="auto" w:fill="FFFFFF" w:themeFill="background1"/>
        <w:spacing w:before="120" w:beforeAutospacing="0" w:after="12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p</w:t>
      </w:r>
      <w:r w:rsidR="00FD2777">
        <w:rPr>
          <w:rFonts w:asciiTheme="minorHAnsi" w:eastAsiaTheme="minorHAnsi" w:hAnsiTheme="minorHAnsi" w:cstheme="minorBidi"/>
          <w:sz w:val="22"/>
          <w:szCs w:val="22"/>
          <w:lang w:eastAsia="en-US"/>
        </w:rPr>
        <w:t xml:space="preserve">eople feeling </w:t>
      </w:r>
      <w:r w:rsidR="004258A7">
        <w:rPr>
          <w:rFonts w:asciiTheme="minorHAnsi" w:eastAsiaTheme="minorHAnsi" w:hAnsiTheme="minorHAnsi" w:cstheme="minorBidi"/>
          <w:sz w:val="22"/>
          <w:szCs w:val="22"/>
          <w:lang w:eastAsia="en-US"/>
        </w:rPr>
        <w:t>safer</w:t>
      </w:r>
      <w:r w:rsidR="00FD2777">
        <w:rPr>
          <w:rFonts w:asciiTheme="minorHAnsi" w:eastAsiaTheme="minorHAnsi" w:hAnsiTheme="minorHAnsi" w:cstheme="minorBidi"/>
          <w:sz w:val="22"/>
          <w:szCs w:val="22"/>
          <w:lang w:eastAsia="en-US"/>
        </w:rPr>
        <w:t xml:space="preserve"> on flights</w:t>
      </w:r>
    </w:p>
    <w:p w14:paraId="68F1228E" w14:textId="203637AE" w:rsidR="00FD2777" w:rsidRDefault="00AD69E8" w:rsidP="00FD2777">
      <w:pPr>
        <w:pStyle w:val="NormalWeb"/>
        <w:numPr>
          <w:ilvl w:val="0"/>
          <w:numId w:val="27"/>
        </w:numPr>
        <w:shd w:val="clear" w:color="auto" w:fill="FFFFFF" w:themeFill="background1"/>
        <w:spacing w:before="120" w:beforeAutospacing="0" w:after="12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r</w:t>
      </w:r>
      <w:r w:rsidR="00FD2777">
        <w:rPr>
          <w:rFonts w:asciiTheme="minorHAnsi" w:eastAsiaTheme="minorHAnsi" w:hAnsiTheme="minorHAnsi" w:cstheme="minorBidi"/>
          <w:sz w:val="22"/>
          <w:szCs w:val="22"/>
          <w:lang w:eastAsia="en-US"/>
        </w:rPr>
        <w:t>elaxation of most state borders</w:t>
      </w:r>
    </w:p>
    <w:p w14:paraId="05C78A57" w14:textId="5B02C1D6" w:rsidR="00FD2777" w:rsidRDefault="00AD69E8" w:rsidP="00FD2777">
      <w:pPr>
        <w:pStyle w:val="NormalWeb"/>
        <w:numPr>
          <w:ilvl w:val="0"/>
          <w:numId w:val="27"/>
        </w:numPr>
        <w:shd w:val="clear" w:color="auto" w:fill="FFFFFF" w:themeFill="background1"/>
        <w:spacing w:before="120" w:beforeAutospacing="0" w:after="12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h</w:t>
      </w:r>
      <w:r w:rsidR="00FD2777">
        <w:rPr>
          <w:rFonts w:asciiTheme="minorHAnsi" w:eastAsiaTheme="minorHAnsi" w:hAnsiTheme="minorHAnsi" w:cstheme="minorBidi"/>
          <w:sz w:val="22"/>
          <w:szCs w:val="22"/>
          <w:lang w:eastAsia="en-US"/>
        </w:rPr>
        <w:t xml:space="preserve">igh demand over </w:t>
      </w:r>
      <w:r w:rsidR="00FD2777" w:rsidRPr="00791DCF">
        <w:rPr>
          <w:rFonts w:asciiTheme="minorHAnsi" w:eastAsiaTheme="minorHAnsi" w:hAnsiTheme="minorHAnsi" w:cstheme="minorBidi"/>
          <w:sz w:val="22"/>
          <w:szCs w:val="22"/>
          <w:lang w:eastAsia="en-US"/>
        </w:rPr>
        <w:t>Chr</w:t>
      </w:r>
      <w:r w:rsidR="00FD2777">
        <w:rPr>
          <w:rFonts w:asciiTheme="minorHAnsi" w:eastAsiaTheme="minorHAnsi" w:hAnsiTheme="minorHAnsi" w:cstheme="minorBidi"/>
          <w:sz w:val="22"/>
          <w:szCs w:val="22"/>
          <w:lang w:eastAsia="en-US"/>
        </w:rPr>
        <w:t>istmas.</w:t>
      </w:r>
    </w:p>
    <w:p w14:paraId="5312DC88" w14:textId="77777777" w:rsidR="006C4378" w:rsidRPr="005961BD" w:rsidRDefault="00570CC0" w:rsidP="00570CC0">
      <w:pPr>
        <w:pStyle w:val="Caption"/>
        <w:rPr>
          <w:b/>
          <w:i w:val="0"/>
          <w:iCs w:val="0"/>
          <w:color w:val="1F497D"/>
          <w:sz w:val="22"/>
          <w:szCs w:val="22"/>
        </w:rPr>
      </w:pPr>
      <w:r w:rsidRPr="005961BD">
        <w:rPr>
          <w:b/>
          <w:i w:val="0"/>
          <w:iCs w:val="0"/>
          <w:sz w:val="22"/>
          <w:szCs w:val="22"/>
        </w:rPr>
        <w:t xml:space="preserve">Figure </w:t>
      </w:r>
      <w:r w:rsidRPr="005961BD">
        <w:rPr>
          <w:b/>
          <w:i w:val="0"/>
          <w:iCs w:val="0"/>
          <w:sz w:val="22"/>
          <w:szCs w:val="22"/>
        </w:rPr>
        <w:fldChar w:fldCharType="begin"/>
      </w:r>
      <w:r w:rsidRPr="005961BD">
        <w:rPr>
          <w:b/>
          <w:i w:val="0"/>
          <w:iCs w:val="0"/>
          <w:sz w:val="22"/>
          <w:szCs w:val="22"/>
        </w:rPr>
        <w:instrText xml:space="preserve"> SEQ Figure \* ARABIC </w:instrText>
      </w:r>
      <w:r w:rsidRPr="005961BD">
        <w:rPr>
          <w:b/>
          <w:i w:val="0"/>
          <w:iCs w:val="0"/>
          <w:sz w:val="22"/>
          <w:szCs w:val="22"/>
        </w:rPr>
        <w:fldChar w:fldCharType="separate"/>
      </w:r>
      <w:r w:rsidR="00705122" w:rsidRPr="005961BD">
        <w:rPr>
          <w:b/>
          <w:i w:val="0"/>
          <w:iCs w:val="0"/>
          <w:noProof/>
          <w:sz w:val="22"/>
          <w:szCs w:val="22"/>
        </w:rPr>
        <w:t>1</w:t>
      </w:r>
      <w:r w:rsidR="00A56811" w:rsidRPr="005961BD">
        <w:rPr>
          <w:b/>
          <w:i w:val="0"/>
          <w:iCs w:val="0"/>
          <w:noProof/>
          <w:sz w:val="22"/>
          <w:szCs w:val="22"/>
        </w:rPr>
        <w:t>4</w:t>
      </w:r>
      <w:r w:rsidRPr="005961BD">
        <w:rPr>
          <w:b/>
          <w:i w:val="0"/>
          <w:iCs w:val="0"/>
          <w:sz w:val="22"/>
          <w:szCs w:val="22"/>
        </w:rPr>
        <w:fldChar w:fldCharType="end"/>
      </w:r>
      <w:r w:rsidRPr="005961BD">
        <w:rPr>
          <w:b/>
          <w:i w:val="0"/>
          <w:iCs w:val="0"/>
          <w:sz w:val="22"/>
          <w:szCs w:val="22"/>
        </w:rPr>
        <w:t xml:space="preserve"> </w:t>
      </w:r>
      <w:r w:rsidR="00BC74BC" w:rsidRPr="005961BD">
        <w:rPr>
          <w:b/>
          <w:i w:val="0"/>
          <w:iCs w:val="0"/>
          <w:sz w:val="22"/>
          <w:szCs w:val="22"/>
        </w:rPr>
        <w:t>–</w:t>
      </w:r>
      <w:r w:rsidRPr="005961BD">
        <w:rPr>
          <w:b/>
          <w:i w:val="0"/>
          <w:iCs w:val="0"/>
          <w:sz w:val="22"/>
          <w:szCs w:val="22"/>
        </w:rPr>
        <w:t xml:space="preserve"> </w:t>
      </w:r>
      <w:r w:rsidR="00BC74BC" w:rsidRPr="005961BD">
        <w:rPr>
          <w:b/>
          <w:i w:val="0"/>
          <w:iCs w:val="0"/>
          <w:sz w:val="22"/>
          <w:szCs w:val="22"/>
        </w:rPr>
        <w:t>Perceptions of flight safety and passenger demand, August to December 2020</w:t>
      </w:r>
    </w:p>
    <w:p w14:paraId="15A33EB3" w14:textId="1DD10414" w:rsidR="006C4378" w:rsidRDefault="00A136BF" w:rsidP="00791DCF">
      <w:pPr>
        <w:pStyle w:val="NormalWeb"/>
        <w:shd w:val="clear" w:color="auto" w:fill="FFFFFF" w:themeFill="background1"/>
        <w:spacing w:before="120" w:beforeAutospacing="0" w:after="120" w:afterAutospacing="0"/>
        <w:ind w:left="766"/>
        <w:rPr>
          <w:rFonts w:asciiTheme="minorHAnsi" w:eastAsiaTheme="minorHAnsi" w:hAnsiTheme="minorHAnsi" w:cstheme="minorBidi"/>
          <w:sz w:val="22"/>
          <w:szCs w:val="22"/>
          <w:lang w:eastAsia="en-US"/>
        </w:rPr>
      </w:pPr>
      <w:r>
        <w:rPr>
          <w:rFonts w:asciiTheme="minorHAnsi" w:eastAsiaTheme="minorHAnsi" w:hAnsiTheme="minorHAnsi" w:cstheme="minorBidi"/>
          <w:noProof/>
          <w:sz w:val="22"/>
          <w:szCs w:val="22"/>
        </w:rPr>
        <w:lastRenderedPageBreak/>
        <w:drawing>
          <wp:inline distT="0" distB="0" distL="0" distR="0" wp14:anchorId="0D5C0383" wp14:editId="065CCB61">
            <wp:extent cx="5054803" cy="2256329"/>
            <wp:effectExtent l="0" t="0" r="0" b="0"/>
            <wp:docPr id="16" name="Picture 16" descr="Figure 14 shows connection between perceptions of flight safety compared to domestic fare paying passeng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Figure 14 shows connection between perceptions of flight safety compared to domestic fare paying passengers."/>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072218" cy="2264103"/>
                    </a:xfrm>
                    <a:prstGeom prst="rect">
                      <a:avLst/>
                    </a:prstGeom>
                    <a:noFill/>
                  </pic:spPr>
                </pic:pic>
              </a:graphicData>
            </a:graphic>
          </wp:inline>
        </w:drawing>
      </w:r>
    </w:p>
    <w:p w14:paraId="32A92515" w14:textId="77777777" w:rsidR="00741BB4" w:rsidRPr="005961BD" w:rsidRDefault="00741BB4" w:rsidP="00741BB4">
      <w:pPr>
        <w:rPr>
          <w:iCs/>
          <w:sz w:val="18"/>
          <w:szCs w:val="18"/>
        </w:rPr>
      </w:pPr>
      <w:r w:rsidRPr="005961BD">
        <w:rPr>
          <w:iCs/>
          <w:sz w:val="18"/>
          <w:szCs w:val="18"/>
        </w:rPr>
        <w:t xml:space="preserve">(Source: Tourism Australia, </w:t>
      </w:r>
      <w:hyperlink r:id="rId50" w:history="1">
        <w:r w:rsidRPr="005961BD">
          <w:rPr>
            <w:rStyle w:val="Hyperlink"/>
            <w:iCs/>
            <w:sz w:val="18"/>
            <w:szCs w:val="18"/>
          </w:rPr>
          <w:t>Domestic Travel Sentiment Tracker</w:t>
        </w:r>
      </w:hyperlink>
      <w:r w:rsidRPr="005961BD">
        <w:rPr>
          <w:iCs/>
          <w:sz w:val="18"/>
          <w:szCs w:val="18"/>
        </w:rPr>
        <w:t>, accessed March 2021)</w:t>
      </w:r>
    </w:p>
    <w:p w14:paraId="1E00581E" w14:textId="77777777" w:rsidR="006C4378" w:rsidRDefault="006C4378" w:rsidP="00713670">
      <w:pPr>
        <w:pStyle w:val="ListParagraph"/>
      </w:pPr>
    </w:p>
    <w:p w14:paraId="0E41474D" w14:textId="77777777" w:rsidR="006C4378" w:rsidRPr="00872E35" w:rsidRDefault="00767737" w:rsidP="00872E35">
      <w:pPr>
        <w:pStyle w:val="Heading3"/>
        <w:rPr>
          <w:rFonts w:asciiTheme="minorHAnsi" w:eastAsiaTheme="minorHAnsi" w:hAnsiTheme="minorHAnsi" w:cstheme="minorBidi"/>
          <w:b/>
          <w:sz w:val="22"/>
          <w:szCs w:val="22"/>
        </w:rPr>
      </w:pPr>
      <w:r w:rsidRPr="00872E35">
        <w:t>Accommodation</w:t>
      </w:r>
      <w:r w:rsidRPr="00872E35">
        <w:rPr>
          <w:rFonts w:asciiTheme="minorHAnsi" w:eastAsiaTheme="minorHAnsi" w:hAnsiTheme="minorHAnsi" w:cstheme="minorBidi"/>
          <w:b/>
          <w:sz w:val="22"/>
          <w:szCs w:val="22"/>
        </w:rPr>
        <w:t xml:space="preserve"> </w:t>
      </w:r>
    </w:p>
    <w:p w14:paraId="795904A0" w14:textId="77777777" w:rsidR="007B0F5E" w:rsidRDefault="006C4378" w:rsidP="00872E35">
      <w:pPr>
        <w:pStyle w:val="NormalWeb"/>
        <w:shd w:val="clear" w:color="auto" w:fill="FFFFFF" w:themeFill="background1"/>
        <w:spacing w:before="120" w:beforeAutospacing="0" w:after="12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With high operating overheads, </w:t>
      </w:r>
      <w:r w:rsidR="002F7EC7">
        <w:rPr>
          <w:rFonts w:asciiTheme="minorHAnsi" w:eastAsiaTheme="minorHAnsi" w:hAnsiTheme="minorHAnsi" w:cstheme="minorBidi"/>
          <w:sz w:val="22"/>
          <w:szCs w:val="22"/>
          <w:lang w:eastAsia="en-US"/>
        </w:rPr>
        <w:t xml:space="preserve">Australia’s hotels, </w:t>
      </w:r>
      <w:proofErr w:type="gramStart"/>
      <w:r w:rsidR="002F7EC7">
        <w:rPr>
          <w:rFonts w:asciiTheme="minorHAnsi" w:eastAsiaTheme="minorHAnsi" w:hAnsiTheme="minorHAnsi" w:cstheme="minorBidi"/>
          <w:sz w:val="22"/>
          <w:szCs w:val="22"/>
          <w:lang w:eastAsia="en-US"/>
        </w:rPr>
        <w:t>motels</w:t>
      </w:r>
      <w:proofErr w:type="gramEnd"/>
      <w:r w:rsidR="002F7EC7">
        <w:rPr>
          <w:rFonts w:asciiTheme="minorHAnsi" w:eastAsiaTheme="minorHAnsi" w:hAnsiTheme="minorHAnsi" w:cstheme="minorBidi"/>
          <w:sz w:val="22"/>
          <w:szCs w:val="22"/>
          <w:lang w:eastAsia="en-US"/>
        </w:rPr>
        <w:t xml:space="preserve"> and serviced apartments were </w:t>
      </w:r>
      <w:r>
        <w:rPr>
          <w:rFonts w:asciiTheme="minorHAnsi" w:eastAsiaTheme="minorHAnsi" w:hAnsiTheme="minorHAnsi" w:cstheme="minorBidi"/>
          <w:sz w:val="22"/>
          <w:szCs w:val="22"/>
          <w:lang w:eastAsia="en-US"/>
        </w:rPr>
        <w:t>particularly vulne</w:t>
      </w:r>
      <w:r w:rsidR="00A31C08">
        <w:rPr>
          <w:rFonts w:asciiTheme="minorHAnsi" w:eastAsiaTheme="minorHAnsi" w:hAnsiTheme="minorHAnsi" w:cstheme="minorBidi"/>
          <w:sz w:val="22"/>
          <w:szCs w:val="22"/>
          <w:lang w:eastAsia="en-US"/>
        </w:rPr>
        <w:t xml:space="preserve">rable to the downturn in </w:t>
      </w:r>
      <w:r>
        <w:rPr>
          <w:rFonts w:asciiTheme="minorHAnsi" w:eastAsiaTheme="minorHAnsi" w:hAnsiTheme="minorHAnsi" w:cstheme="minorBidi"/>
          <w:sz w:val="22"/>
          <w:szCs w:val="22"/>
          <w:lang w:eastAsia="en-US"/>
        </w:rPr>
        <w:t xml:space="preserve">demand. </w:t>
      </w:r>
      <w:r w:rsidR="002F7EC7">
        <w:rPr>
          <w:rFonts w:asciiTheme="minorHAnsi" w:eastAsiaTheme="minorHAnsi" w:hAnsiTheme="minorHAnsi" w:cstheme="minorBidi"/>
          <w:sz w:val="22"/>
          <w:szCs w:val="22"/>
          <w:lang w:eastAsia="en-US"/>
        </w:rPr>
        <w:t>M</w:t>
      </w:r>
      <w:r w:rsidR="007B0F5E">
        <w:rPr>
          <w:rFonts w:asciiTheme="minorHAnsi" w:eastAsiaTheme="minorHAnsi" w:hAnsiTheme="minorHAnsi" w:cstheme="minorBidi"/>
          <w:sz w:val="22"/>
          <w:szCs w:val="22"/>
          <w:lang w:eastAsia="en-US"/>
        </w:rPr>
        <w:t xml:space="preserve">any went into hibernation for prolonged periods, employing just enough staff to keep the premises secure and well maintained, but not accepting paying customers. </w:t>
      </w:r>
    </w:p>
    <w:p w14:paraId="67135C0B" w14:textId="77777777" w:rsidR="002663EA" w:rsidRDefault="002F7EC7" w:rsidP="00872E35">
      <w:pPr>
        <w:pStyle w:val="NormalWeb"/>
        <w:shd w:val="clear" w:color="auto" w:fill="FFFFFF" w:themeFill="background1"/>
        <w:spacing w:before="120" w:beforeAutospacing="0" w:after="12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Hotels in the cities faced additional challenges</w:t>
      </w:r>
      <w:r w:rsidR="00872E35">
        <w:rPr>
          <w:rFonts w:asciiTheme="minorHAnsi" w:eastAsiaTheme="minorHAnsi" w:hAnsiTheme="minorHAnsi" w:cstheme="minorBidi"/>
          <w:sz w:val="22"/>
          <w:szCs w:val="22"/>
          <w:lang w:eastAsia="en-US"/>
        </w:rPr>
        <w:t xml:space="preserve"> due to</w:t>
      </w:r>
      <w:r w:rsidR="002663EA">
        <w:rPr>
          <w:rFonts w:asciiTheme="minorHAnsi" w:eastAsiaTheme="minorHAnsi" w:hAnsiTheme="minorHAnsi" w:cstheme="minorBidi"/>
          <w:sz w:val="22"/>
          <w:szCs w:val="22"/>
          <w:lang w:eastAsia="en-US"/>
        </w:rPr>
        <w:t>:</w:t>
      </w:r>
    </w:p>
    <w:p w14:paraId="6CBEFDD1" w14:textId="77777777" w:rsidR="00872E35" w:rsidRDefault="002663EA" w:rsidP="00872E35">
      <w:pPr>
        <w:pStyle w:val="NormalWeb"/>
        <w:numPr>
          <w:ilvl w:val="0"/>
          <w:numId w:val="38"/>
        </w:numPr>
        <w:shd w:val="clear" w:color="auto" w:fill="FFFFFF" w:themeFill="background1"/>
        <w:spacing w:before="120" w:beforeAutospacing="0" w:after="120" w:afterAutospacing="0"/>
        <w:rPr>
          <w:rFonts w:asciiTheme="minorHAnsi" w:eastAsiaTheme="minorHAnsi" w:hAnsiTheme="minorHAnsi" w:cstheme="minorBidi"/>
          <w:sz w:val="22"/>
          <w:szCs w:val="22"/>
          <w:lang w:eastAsia="en-US"/>
        </w:rPr>
      </w:pPr>
      <w:r w:rsidRPr="004258A7">
        <w:rPr>
          <w:rFonts w:asciiTheme="minorHAnsi" w:eastAsiaTheme="minorHAnsi" w:hAnsiTheme="minorHAnsi" w:cstheme="minorBidi"/>
          <w:b/>
          <w:sz w:val="22"/>
          <w:szCs w:val="22"/>
          <w:lang w:eastAsia="en-US"/>
        </w:rPr>
        <w:t>Their service offering</w:t>
      </w:r>
      <w:r>
        <w:rPr>
          <w:rFonts w:asciiTheme="minorHAnsi" w:eastAsiaTheme="minorHAnsi" w:hAnsiTheme="minorHAnsi" w:cstheme="minorBidi"/>
          <w:sz w:val="22"/>
          <w:szCs w:val="22"/>
          <w:lang w:eastAsia="en-US"/>
        </w:rPr>
        <w:t xml:space="preserve"> – City hotels </w:t>
      </w:r>
      <w:r w:rsidR="00B15057">
        <w:rPr>
          <w:rFonts w:asciiTheme="minorHAnsi" w:eastAsiaTheme="minorHAnsi" w:hAnsiTheme="minorHAnsi" w:cstheme="minorBidi"/>
          <w:sz w:val="22"/>
          <w:szCs w:val="22"/>
          <w:lang w:eastAsia="en-US"/>
        </w:rPr>
        <w:t xml:space="preserve">generally </w:t>
      </w:r>
      <w:r w:rsidR="002F7EC7">
        <w:rPr>
          <w:rFonts w:asciiTheme="minorHAnsi" w:eastAsiaTheme="minorHAnsi" w:hAnsiTheme="minorHAnsi" w:cstheme="minorBidi"/>
          <w:sz w:val="22"/>
          <w:szCs w:val="22"/>
          <w:lang w:eastAsia="en-US"/>
        </w:rPr>
        <w:t xml:space="preserve">offer facilities and services that are </w:t>
      </w:r>
      <w:r w:rsidR="00B15057">
        <w:rPr>
          <w:rFonts w:asciiTheme="minorHAnsi" w:eastAsiaTheme="minorHAnsi" w:hAnsiTheme="minorHAnsi" w:cstheme="minorBidi"/>
          <w:sz w:val="22"/>
          <w:szCs w:val="22"/>
          <w:lang w:eastAsia="en-US"/>
        </w:rPr>
        <w:t xml:space="preserve">aligned </w:t>
      </w:r>
      <w:r w:rsidR="002F7EC7">
        <w:rPr>
          <w:rFonts w:asciiTheme="minorHAnsi" w:eastAsiaTheme="minorHAnsi" w:hAnsiTheme="minorHAnsi" w:cstheme="minorBidi"/>
          <w:sz w:val="22"/>
          <w:szCs w:val="22"/>
          <w:lang w:eastAsia="en-US"/>
        </w:rPr>
        <w:t>towards higher yielding travellers</w:t>
      </w:r>
      <w:r>
        <w:rPr>
          <w:rFonts w:asciiTheme="minorHAnsi" w:eastAsiaTheme="minorHAnsi" w:hAnsiTheme="minorHAnsi" w:cstheme="minorBidi"/>
          <w:sz w:val="22"/>
          <w:szCs w:val="22"/>
          <w:lang w:eastAsia="en-US"/>
        </w:rPr>
        <w:t xml:space="preserve">.  As a </w:t>
      </w:r>
      <w:proofErr w:type="gramStart"/>
      <w:r>
        <w:rPr>
          <w:rFonts w:asciiTheme="minorHAnsi" w:eastAsiaTheme="minorHAnsi" w:hAnsiTheme="minorHAnsi" w:cstheme="minorBidi"/>
          <w:sz w:val="22"/>
          <w:szCs w:val="22"/>
          <w:lang w:eastAsia="en-US"/>
        </w:rPr>
        <w:t>result</w:t>
      </w:r>
      <w:proofErr w:type="gramEnd"/>
      <w:r>
        <w:rPr>
          <w:rFonts w:asciiTheme="minorHAnsi" w:eastAsiaTheme="minorHAnsi" w:hAnsiTheme="minorHAnsi" w:cstheme="minorBidi"/>
          <w:sz w:val="22"/>
          <w:szCs w:val="22"/>
          <w:lang w:eastAsia="en-US"/>
        </w:rPr>
        <w:t xml:space="preserve"> </w:t>
      </w:r>
      <w:r w:rsidR="002F7EC7">
        <w:rPr>
          <w:rFonts w:asciiTheme="minorHAnsi" w:eastAsiaTheme="minorHAnsi" w:hAnsiTheme="minorHAnsi" w:cstheme="minorBidi"/>
          <w:sz w:val="22"/>
          <w:szCs w:val="22"/>
          <w:lang w:eastAsia="en-US"/>
        </w:rPr>
        <w:t xml:space="preserve">they have </w:t>
      </w:r>
      <w:r w:rsidR="00B15057">
        <w:rPr>
          <w:rFonts w:asciiTheme="minorHAnsi" w:eastAsiaTheme="minorHAnsi" w:hAnsiTheme="minorHAnsi" w:cstheme="minorBidi"/>
          <w:sz w:val="22"/>
          <w:szCs w:val="22"/>
          <w:lang w:eastAsia="en-US"/>
        </w:rPr>
        <w:t xml:space="preserve">greater </w:t>
      </w:r>
      <w:r w:rsidR="002F7EC7">
        <w:rPr>
          <w:rFonts w:asciiTheme="minorHAnsi" w:eastAsiaTheme="minorHAnsi" w:hAnsiTheme="minorHAnsi" w:cstheme="minorBidi"/>
          <w:sz w:val="22"/>
          <w:szCs w:val="22"/>
          <w:lang w:eastAsia="en-US"/>
        </w:rPr>
        <w:t>fixed costs than regional establishments</w:t>
      </w:r>
      <w:r w:rsidR="00FF70CC">
        <w:rPr>
          <w:rFonts w:asciiTheme="minorHAnsi" w:eastAsiaTheme="minorHAnsi" w:hAnsiTheme="minorHAnsi" w:cstheme="minorBidi"/>
          <w:sz w:val="22"/>
          <w:szCs w:val="22"/>
          <w:lang w:eastAsia="en-US"/>
        </w:rPr>
        <w:t xml:space="preserve"> and need higher occupancy rates to remain viable</w:t>
      </w:r>
      <w:r>
        <w:rPr>
          <w:rFonts w:asciiTheme="minorHAnsi" w:eastAsiaTheme="minorHAnsi" w:hAnsiTheme="minorHAnsi" w:cstheme="minorBidi"/>
          <w:sz w:val="22"/>
          <w:szCs w:val="22"/>
          <w:lang w:eastAsia="en-US"/>
        </w:rPr>
        <w:t>.</w:t>
      </w:r>
    </w:p>
    <w:p w14:paraId="761C235F" w14:textId="77777777" w:rsidR="007E1562" w:rsidRPr="00872E35" w:rsidRDefault="00B15057" w:rsidP="69A6F45D">
      <w:pPr>
        <w:pStyle w:val="NormalWeb"/>
        <w:numPr>
          <w:ilvl w:val="0"/>
          <w:numId w:val="38"/>
        </w:numPr>
        <w:shd w:val="clear" w:color="auto" w:fill="FFFFFF" w:themeFill="background1"/>
        <w:spacing w:before="120" w:beforeAutospacing="0" w:after="120" w:afterAutospacing="0"/>
        <w:rPr>
          <w:rFonts w:asciiTheme="minorHAnsi" w:hAnsiTheme="minorHAnsi" w:cstheme="minorBidi"/>
          <w:sz w:val="22"/>
          <w:szCs w:val="22"/>
          <w:lang w:eastAsia="en-US"/>
        </w:rPr>
      </w:pPr>
      <w:r w:rsidRPr="004258A7">
        <w:rPr>
          <w:rFonts w:asciiTheme="minorHAnsi" w:hAnsiTheme="minorHAnsi" w:cstheme="minorBidi"/>
          <w:b/>
          <w:sz w:val="22"/>
          <w:szCs w:val="22"/>
          <w:lang w:eastAsia="en-US"/>
        </w:rPr>
        <w:t xml:space="preserve">More </w:t>
      </w:r>
      <w:r w:rsidR="002663EA" w:rsidRPr="004258A7">
        <w:rPr>
          <w:rFonts w:asciiTheme="minorHAnsi" w:hAnsiTheme="minorHAnsi" w:cstheme="minorBidi"/>
          <w:b/>
          <w:sz w:val="22"/>
          <w:szCs w:val="22"/>
          <w:lang w:eastAsia="en-US"/>
        </w:rPr>
        <w:t xml:space="preserve">reliance on </w:t>
      </w:r>
      <w:r w:rsidR="00474710" w:rsidRPr="004258A7">
        <w:rPr>
          <w:rFonts w:asciiTheme="minorHAnsi" w:hAnsiTheme="minorHAnsi" w:cstheme="minorBidi"/>
          <w:b/>
          <w:sz w:val="22"/>
          <w:szCs w:val="22"/>
          <w:lang w:eastAsia="en-US"/>
        </w:rPr>
        <w:t xml:space="preserve">domestic </w:t>
      </w:r>
      <w:r w:rsidR="002663EA" w:rsidRPr="004258A7">
        <w:rPr>
          <w:rFonts w:asciiTheme="minorHAnsi" w:hAnsiTheme="minorHAnsi" w:cstheme="minorBidi"/>
          <w:b/>
          <w:sz w:val="22"/>
          <w:szCs w:val="22"/>
          <w:lang w:eastAsia="en-US"/>
        </w:rPr>
        <w:t>business travel</w:t>
      </w:r>
      <w:r w:rsidR="002663EA" w:rsidRPr="69A6F45D">
        <w:rPr>
          <w:rFonts w:asciiTheme="minorHAnsi" w:hAnsiTheme="minorHAnsi" w:cstheme="minorBidi"/>
          <w:sz w:val="22"/>
          <w:szCs w:val="22"/>
          <w:lang w:eastAsia="en-US"/>
        </w:rPr>
        <w:t xml:space="preserve"> </w:t>
      </w:r>
      <w:r w:rsidR="002160D8" w:rsidRPr="69A6F45D">
        <w:rPr>
          <w:rFonts w:asciiTheme="minorHAnsi" w:hAnsiTheme="minorHAnsi" w:cstheme="minorBidi"/>
          <w:sz w:val="22"/>
          <w:szCs w:val="22"/>
          <w:lang w:eastAsia="en-US"/>
        </w:rPr>
        <w:t>–</w:t>
      </w:r>
      <w:r w:rsidR="002663EA" w:rsidRPr="69A6F45D">
        <w:rPr>
          <w:rFonts w:asciiTheme="minorHAnsi" w:hAnsiTheme="minorHAnsi" w:cstheme="minorBidi"/>
          <w:sz w:val="22"/>
          <w:szCs w:val="22"/>
          <w:lang w:eastAsia="en-US"/>
        </w:rPr>
        <w:t xml:space="preserve"> </w:t>
      </w:r>
      <w:r w:rsidR="00FF70CC" w:rsidRPr="69A6F45D">
        <w:rPr>
          <w:rFonts w:asciiTheme="minorHAnsi" w:hAnsiTheme="minorHAnsi" w:cstheme="minorBidi"/>
          <w:sz w:val="22"/>
          <w:szCs w:val="22"/>
          <w:lang w:eastAsia="en-US"/>
        </w:rPr>
        <w:t xml:space="preserve">In 2019, </w:t>
      </w:r>
      <w:r w:rsidR="00474710" w:rsidRPr="69A6F45D">
        <w:rPr>
          <w:rFonts w:asciiTheme="minorHAnsi" w:hAnsiTheme="minorHAnsi" w:cstheme="minorBidi"/>
          <w:sz w:val="22"/>
          <w:szCs w:val="22"/>
          <w:lang w:eastAsia="en-US"/>
        </w:rPr>
        <w:t>3</w:t>
      </w:r>
      <w:r w:rsidR="00111B6C" w:rsidRPr="69A6F45D">
        <w:rPr>
          <w:rFonts w:asciiTheme="minorHAnsi" w:hAnsiTheme="minorHAnsi" w:cstheme="minorBidi"/>
          <w:sz w:val="22"/>
          <w:szCs w:val="22"/>
          <w:lang w:eastAsia="en-US"/>
        </w:rPr>
        <w:t>8</w:t>
      </w:r>
      <w:r w:rsidR="008F05B6" w:rsidRPr="69A6F45D">
        <w:rPr>
          <w:rFonts w:asciiTheme="minorHAnsi" w:hAnsiTheme="minorHAnsi" w:cstheme="minorBidi"/>
          <w:sz w:val="22"/>
          <w:szCs w:val="22"/>
          <w:lang w:eastAsia="en-US"/>
        </w:rPr>
        <w:t xml:space="preserve"> per cent</w:t>
      </w:r>
      <w:r w:rsidR="002663EA" w:rsidRPr="69A6F45D">
        <w:rPr>
          <w:rFonts w:asciiTheme="minorHAnsi" w:hAnsiTheme="minorHAnsi" w:cstheme="minorBidi"/>
          <w:sz w:val="22"/>
          <w:szCs w:val="22"/>
          <w:lang w:eastAsia="en-US"/>
        </w:rPr>
        <w:t xml:space="preserve"> of </w:t>
      </w:r>
      <w:r w:rsidR="000B65DA" w:rsidRPr="69A6F45D">
        <w:rPr>
          <w:rFonts w:asciiTheme="minorHAnsi" w:hAnsiTheme="minorHAnsi" w:cstheme="minorBidi"/>
          <w:sz w:val="22"/>
          <w:szCs w:val="22"/>
          <w:lang w:eastAsia="en-US"/>
        </w:rPr>
        <w:t xml:space="preserve">domestic overnight </w:t>
      </w:r>
      <w:r w:rsidR="002663EA" w:rsidRPr="69A6F45D">
        <w:rPr>
          <w:rFonts w:asciiTheme="minorHAnsi" w:hAnsiTheme="minorHAnsi" w:cstheme="minorBidi"/>
          <w:sz w:val="22"/>
          <w:szCs w:val="22"/>
          <w:lang w:eastAsia="en-US"/>
        </w:rPr>
        <w:t xml:space="preserve">visitor spend in the capital cities came from business travel, compared with just </w:t>
      </w:r>
      <w:r w:rsidR="00474710" w:rsidRPr="69A6F45D">
        <w:rPr>
          <w:rFonts w:asciiTheme="minorHAnsi" w:hAnsiTheme="minorHAnsi" w:cstheme="minorBidi"/>
          <w:sz w:val="22"/>
          <w:szCs w:val="22"/>
          <w:lang w:eastAsia="en-US"/>
        </w:rPr>
        <w:t>2</w:t>
      </w:r>
      <w:r w:rsidR="00111B6C" w:rsidRPr="69A6F45D">
        <w:rPr>
          <w:rFonts w:asciiTheme="minorHAnsi" w:hAnsiTheme="minorHAnsi" w:cstheme="minorBidi"/>
          <w:sz w:val="22"/>
          <w:szCs w:val="22"/>
          <w:lang w:eastAsia="en-US"/>
        </w:rPr>
        <w:t>0</w:t>
      </w:r>
      <w:r w:rsidR="008F05B6" w:rsidRPr="69A6F45D">
        <w:rPr>
          <w:rFonts w:asciiTheme="minorHAnsi" w:hAnsiTheme="minorHAnsi" w:cstheme="minorBidi"/>
          <w:sz w:val="22"/>
          <w:szCs w:val="22"/>
          <w:lang w:eastAsia="en-US"/>
        </w:rPr>
        <w:t xml:space="preserve"> per cent</w:t>
      </w:r>
      <w:r w:rsidR="002663EA" w:rsidRPr="69A6F45D">
        <w:rPr>
          <w:rFonts w:asciiTheme="minorHAnsi" w:hAnsiTheme="minorHAnsi" w:cstheme="minorBidi"/>
          <w:sz w:val="22"/>
          <w:szCs w:val="22"/>
          <w:lang w:eastAsia="en-US"/>
        </w:rPr>
        <w:t xml:space="preserve"> </w:t>
      </w:r>
      <w:r w:rsidR="00474710" w:rsidRPr="69A6F45D">
        <w:rPr>
          <w:rFonts w:asciiTheme="minorHAnsi" w:hAnsiTheme="minorHAnsi" w:cstheme="minorBidi"/>
          <w:sz w:val="22"/>
          <w:szCs w:val="22"/>
          <w:lang w:eastAsia="en-US"/>
        </w:rPr>
        <w:t xml:space="preserve">for </w:t>
      </w:r>
      <w:r w:rsidR="002663EA" w:rsidRPr="69A6F45D">
        <w:rPr>
          <w:rFonts w:asciiTheme="minorHAnsi" w:hAnsiTheme="minorHAnsi" w:cstheme="minorBidi"/>
          <w:sz w:val="22"/>
          <w:szCs w:val="22"/>
          <w:lang w:eastAsia="en-US"/>
        </w:rPr>
        <w:t xml:space="preserve">the regions. </w:t>
      </w:r>
    </w:p>
    <w:p w14:paraId="3085FBCF" w14:textId="24C3EE20" w:rsidR="00BD2CD0" w:rsidRDefault="006C4378" w:rsidP="69A6F45D">
      <w:pPr>
        <w:pStyle w:val="NormalWeb"/>
        <w:numPr>
          <w:ilvl w:val="0"/>
          <w:numId w:val="38"/>
        </w:numPr>
        <w:shd w:val="clear" w:color="auto" w:fill="FFFFFF" w:themeFill="background1"/>
        <w:spacing w:before="120" w:beforeAutospacing="0" w:after="120" w:afterAutospacing="0"/>
        <w:rPr>
          <w:rFonts w:asciiTheme="minorHAnsi" w:hAnsiTheme="minorHAnsi" w:cstheme="minorBidi"/>
          <w:sz w:val="22"/>
          <w:szCs w:val="22"/>
          <w:lang w:eastAsia="en-US"/>
        </w:rPr>
      </w:pPr>
      <w:r w:rsidRPr="004258A7">
        <w:rPr>
          <w:rFonts w:asciiTheme="minorHAnsi" w:hAnsiTheme="minorHAnsi" w:cstheme="minorBidi"/>
          <w:b/>
          <w:sz w:val="22"/>
          <w:szCs w:val="22"/>
          <w:lang w:eastAsia="en-US"/>
        </w:rPr>
        <w:t>The</w:t>
      </w:r>
      <w:r w:rsidR="00FF70CC" w:rsidRPr="004258A7">
        <w:rPr>
          <w:rFonts w:asciiTheme="minorHAnsi" w:hAnsiTheme="minorHAnsi" w:cstheme="minorBidi"/>
          <w:b/>
          <w:sz w:val="22"/>
          <w:szCs w:val="22"/>
          <w:lang w:eastAsia="en-US"/>
        </w:rPr>
        <w:t xml:space="preserve"> cessation of international travel</w:t>
      </w:r>
      <w:r w:rsidR="00FF70CC" w:rsidRPr="69A6F45D">
        <w:rPr>
          <w:rFonts w:asciiTheme="minorHAnsi" w:hAnsiTheme="minorHAnsi" w:cstheme="minorBidi"/>
          <w:sz w:val="22"/>
          <w:szCs w:val="22"/>
          <w:lang w:eastAsia="en-US"/>
        </w:rPr>
        <w:t xml:space="preserve"> – </w:t>
      </w:r>
      <w:r w:rsidR="00B15057" w:rsidRPr="69A6F45D">
        <w:rPr>
          <w:rFonts w:asciiTheme="minorHAnsi" w:hAnsiTheme="minorHAnsi" w:cstheme="minorBidi"/>
          <w:sz w:val="22"/>
          <w:szCs w:val="22"/>
          <w:lang w:eastAsia="en-US"/>
        </w:rPr>
        <w:t xml:space="preserve">International visitors made up </w:t>
      </w:r>
      <w:r w:rsidR="0049772E" w:rsidRPr="69A6F45D">
        <w:rPr>
          <w:rFonts w:asciiTheme="minorHAnsi" w:hAnsiTheme="minorHAnsi" w:cstheme="minorBidi"/>
          <w:sz w:val="22"/>
          <w:szCs w:val="22"/>
          <w:lang w:eastAsia="en-US"/>
        </w:rPr>
        <w:t>36</w:t>
      </w:r>
      <w:r w:rsidR="008F05B6" w:rsidRPr="69A6F45D">
        <w:rPr>
          <w:rFonts w:asciiTheme="minorHAnsi" w:hAnsiTheme="minorHAnsi" w:cstheme="minorBidi"/>
          <w:sz w:val="22"/>
          <w:szCs w:val="22"/>
          <w:lang w:eastAsia="en-US"/>
        </w:rPr>
        <w:t xml:space="preserve"> per cent</w:t>
      </w:r>
      <w:r w:rsidR="00FF70CC" w:rsidRPr="69A6F45D">
        <w:rPr>
          <w:rFonts w:asciiTheme="minorHAnsi" w:hAnsiTheme="minorHAnsi" w:cstheme="minorBidi"/>
          <w:sz w:val="22"/>
          <w:szCs w:val="22"/>
          <w:lang w:eastAsia="en-US"/>
        </w:rPr>
        <w:t xml:space="preserve"> of </w:t>
      </w:r>
      <w:r w:rsidR="00B15057" w:rsidRPr="69A6F45D">
        <w:rPr>
          <w:rFonts w:asciiTheme="minorHAnsi" w:hAnsiTheme="minorHAnsi" w:cstheme="minorBidi"/>
          <w:sz w:val="22"/>
          <w:szCs w:val="22"/>
          <w:lang w:eastAsia="en-US"/>
        </w:rPr>
        <w:t xml:space="preserve">capital city </w:t>
      </w:r>
      <w:r w:rsidR="0049772E" w:rsidRPr="69A6F45D">
        <w:rPr>
          <w:rFonts w:asciiTheme="minorHAnsi" w:hAnsiTheme="minorHAnsi" w:cstheme="minorBidi"/>
          <w:sz w:val="22"/>
          <w:szCs w:val="22"/>
          <w:lang w:eastAsia="en-US"/>
        </w:rPr>
        <w:t>visitor s</w:t>
      </w:r>
      <w:r w:rsidR="00B15057" w:rsidRPr="69A6F45D">
        <w:rPr>
          <w:rFonts w:asciiTheme="minorHAnsi" w:hAnsiTheme="minorHAnsi" w:cstheme="minorBidi"/>
          <w:sz w:val="22"/>
          <w:szCs w:val="22"/>
          <w:lang w:eastAsia="en-US"/>
        </w:rPr>
        <w:t>pend in 2019</w:t>
      </w:r>
      <w:r w:rsidR="00510CE4" w:rsidRPr="69A6F45D">
        <w:rPr>
          <w:rFonts w:asciiTheme="minorHAnsi" w:hAnsiTheme="minorHAnsi" w:cstheme="minorBidi"/>
          <w:sz w:val="22"/>
          <w:szCs w:val="22"/>
          <w:lang w:eastAsia="en-US"/>
        </w:rPr>
        <w:t>; for Sydney</w:t>
      </w:r>
      <w:r w:rsidR="0049772E" w:rsidRPr="69A6F45D">
        <w:rPr>
          <w:rFonts w:asciiTheme="minorHAnsi" w:hAnsiTheme="minorHAnsi" w:cstheme="minorBidi"/>
          <w:sz w:val="22"/>
          <w:szCs w:val="22"/>
          <w:lang w:eastAsia="en-US"/>
        </w:rPr>
        <w:t xml:space="preserve"> and Melbourne </w:t>
      </w:r>
      <w:r w:rsidR="00265B2C" w:rsidRPr="69A6F45D">
        <w:rPr>
          <w:rFonts w:asciiTheme="minorHAnsi" w:hAnsiTheme="minorHAnsi" w:cstheme="minorBidi"/>
          <w:sz w:val="22"/>
          <w:szCs w:val="22"/>
          <w:lang w:eastAsia="en-US"/>
        </w:rPr>
        <w:t xml:space="preserve">it was </w:t>
      </w:r>
      <w:r w:rsidR="00B15057" w:rsidRPr="69A6F45D">
        <w:rPr>
          <w:rFonts w:asciiTheme="minorHAnsi" w:hAnsiTheme="minorHAnsi" w:cstheme="minorBidi"/>
          <w:sz w:val="22"/>
          <w:szCs w:val="22"/>
          <w:lang w:eastAsia="en-US"/>
        </w:rPr>
        <w:t xml:space="preserve">even higher at </w:t>
      </w:r>
      <w:r w:rsidR="00265B2C" w:rsidRPr="69A6F45D">
        <w:rPr>
          <w:rFonts w:asciiTheme="minorHAnsi" w:hAnsiTheme="minorHAnsi" w:cstheme="minorBidi"/>
          <w:sz w:val="22"/>
          <w:szCs w:val="22"/>
          <w:lang w:eastAsia="en-US"/>
        </w:rPr>
        <w:t>45</w:t>
      </w:r>
      <w:r w:rsidR="008F05B6" w:rsidRPr="69A6F45D">
        <w:rPr>
          <w:rFonts w:asciiTheme="minorHAnsi" w:hAnsiTheme="minorHAnsi" w:cstheme="minorBidi"/>
          <w:sz w:val="22"/>
          <w:szCs w:val="22"/>
          <w:lang w:eastAsia="en-US"/>
        </w:rPr>
        <w:t xml:space="preserve"> per cent</w:t>
      </w:r>
      <w:r w:rsidR="0049772E" w:rsidRPr="69A6F45D">
        <w:rPr>
          <w:rFonts w:asciiTheme="minorHAnsi" w:hAnsiTheme="minorHAnsi" w:cstheme="minorBidi"/>
          <w:sz w:val="22"/>
          <w:szCs w:val="22"/>
          <w:lang w:eastAsia="en-US"/>
        </w:rPr>
        <w:t xml:space="preserve"> and 40</w:t>
      </w:r>
      <w:r w:rsidR="008F05B6" w:rsidRPr="69A6F45D">
        <w:rPr>
          <w:rFonts w:asciiTheme="minorHAnsi" w:hAnsiTheme="minorHAnsi" w:cstheme="minorBidi"/>
          <w:sz w:val="22"/>
          <w:szCs w:val="22"/>
          <w:lang w:eastAsia="en-US"/>
        </w:rPr>
        <w:t xml:space="preserve"> per cent</w:t>
      </w:r>
      <w:r w:rsidR="0049772E" w:rsidRPr="69A6F45D">
        <w:rPr>
          <w:rFonts w:asciiTheme="minorHAnsi" w:hAnsiTheme="minorHAnsi" w:cstheme="minorBidi"/>
          <w:sz w:val="22"/>
          <w:szCs w:val="22"/>
          <w:lang w:eastAsia="en-US"/>
        </w:rPr>
        <w:t xml:space="preserve"> respectively</w:t>
      </w:r>
      <w:r w:rsidR="00265B2C" w:rsidRPr="69A6F45D">
        <w:rPr>
          <w:rFonts w:asciiTheme="minorHAnsi" w:hAnsiTheme="minorHAnsi" w:cstheme="minorBidi"/>
          <w:sz w:val="22"/>
          <w:szCs w:val="22"/>
          <w:lang w:eastAsia="en-US"/>
        </w:rPr>
        <w:t xml:space="preserve">. </w:t>
      </w:r>
      <w:r w:rsidR="00B15057" w:rsidRPr="69A6F45D">
        <w:rPr>
          <w:rFonts w:asciiTheme="minorHAnsi" w:hAnsiTheme="minorHAnsi" w:cstheme="minorBidi"/>
          <w:sz w:val="22"/>
          <w:szCs w:val="22"/>
          <w:lang w:eastAsia="en-US"/>
        </w:rPr>
        <w:t xml:space="preserve">Outside the capitals </w:t>
      </w:r>
      <w:r w:rsidR="00510CE4" w:rsidRPr="69A6F45D">
        <w:rPr>
          <w:rFonts w:asciiTheme="minorHAnsi" w:hAnsiTheme="minorHAnsi" w:cstheme="minorBidi"/>
          <w:sz w:val="22"/>
          <w:szCs w:val="22"/>
          <w:lang w:eastAsia="en-US"/>
        </w:rPr>
        <w:t xml:space="preserve">it was just </w:t>
      </w:r>
      <w:r w:rsidR="00265B2C" w:rsidRPr="69A6F45D">
        <w:rPr>
          <w:rFonts w:asciiTheme="minorHAnsi" w:hAnsiTheme="minorHAnsi" w:cstheme="minorBidi"/>
          <w:sz w:val="22"/>
          <w:szCs w:val="22"/>
          <w:lang w:eastAsia="en-US"/>
        </w:rPr>
        <w:t>7</w:t>
      </w:r>
      <w:r w:rsidR="008F05B6" w:rsidRPr="69A6F45D">
        <w:rPr>
          <w:rFonts w:asciiTheme="minorHAnsi" w:hAnsiTheme="minorHAnsi" w:cstheme="minorBidi"/>
          <w:sz w:val="22"/>
          <w:szCs w:val="22"/>
          <w:lang w:eastAsia="en-US"/>
        </w:rPr>
        <w:t xml:space="preserve"> per cent</w:t>
      </w:r>
      <w:r w:rsidR="00510CE4" w:rsidRPr="69A6F45D">
        <w:rPr>
          <w:rFonts w:asciiTheme="minorHAnsi" w:hAnsiTheme="minorHAnsi" w:cstheme="minorBidi"/>
          <w:sz w:val="22"/>
          <w:szCs w:val="22"/>
          <w:lang w:eastAsia="en-US"/>
        </w:rPr>
        <w:t xml:space="preserve"> on average. </w:t>
      </w:r>
      <w:r w:rsidR="00BD2CD0" w:rsidRPr="69A6F45D">
        <w:rPr>
          <w:rFonts w:asciiTheme="minorHAnsi" w:hAnsiTheme="minorHAnsi" w:cstheme="minorBidi"/>
          <w:sz w:val="22"/>
          <w:szCs w:val="22"/>
          <w:lang w:eastAsia="en-US"/>
        </w:rPr>
        <w:t>In addition</w:t>
      </w:r>
      <w:r w:rsidR="3BF0A819" w:rsidRPr="69A6F45D">
        <w:rPr>
          <w:rFonts w:asciiTheme="minorHAnsi" w:hAnsiTheme="minorHAnsi" w:cstheme="minorBidi"/>
          <w:sz w:val="22"/>
          <w:szCs w:val="22"/>
          <w:lang w:eastAsia="en-US"/>
        </w:rPr>
        <w:t>,</w:t>
      </w:r>
      <w:r w:rsidR="00BD2CD0" w:rsidRPr="69A6F45D">
        <w:rPr>
          <w:rFonts w:asciiTheme="minorHAnsi" w:hAnsiTheme="minorHAnsi" w:cstheme="minorBidi"/>
          <w:sz w:val="22"/>
          <w:szCs w:val="22"/>
          <w:lang w:eastAsia="en-US"/>
        </w:rPr>
        <w:t xml:space="preserve"> the cities miss</w:t>
      </w:r>
      <w:r w:rsidR="716BDFEF" w:rsidRPr="69A6F45D">
        <w:rPr>
          <w:rFonts w:asciiTheme="minorHAnsi" w:hAnsiTheme="minorHAnsi" w:cstheme="minorBidi"/>
          <w:sz w:val="22"/>
          <w:szCs w:val="22"/>
          <w:lang w:eastAsia="en-US"/>
        </w:rPr>
        <w:t>ed</w:t>
      </w:r>
      <w:r w:rsidR="00BD2CD0" w:rsidRPr="69A6F45D">
        <w:rPr>
          <w:rFonts w:asciiTheme="minorHAnsi" w:hAnsiTheme="minorHAnsi" w:cstheme="minorBidi"/>
          <w:sz w:val="22"/>
          <w:szCs w:val="22"/>
          <w:lang w:eastAsia="en-US"/>
        </w:rPr>
        <w:t xml:space="preserve"> out on a market that was:</w:t>
      </w:r>
    </w:p>
    <w:p w14:paraId="1F19F743" w14:textId="0B930AC2" w:rsidR="00BD2CD0" w:rsidRDefault="00BD2CD0" w:rsidP="00376FCA">
      <w:pPr>
        <w:pStyle w:val="NormalWeb"/>
        <w:numPr>
          <w:ilvl w:val="0"/>
          <w:numId w:val="14"/>
        </w:numPr>
        <w:shd w:val="clear" w:color="auto" w:fill="FFFFFF" w:themeFill="background1"/>
        <w:spacing w:before="120" w:beforeAutospacing="0" w:after="12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Higher yield</w:t>
      </w:r>
      <w:r w:rsidR="0049772E">
        <w:rPr>
          <w:rFonts w:asciiTheme="minorHAnsi" w:eastAsiaTheme="minorHAnsi" w:hAnsiTheme="minorHAnsi" w:cstheme="minorBidi"/>
          <w:sz w:val="22"/>
          <w:szCs w:val="22"/>
          <w:lang w:eastAsia="en-US"/>
        </w:rPr>
        <w:t>ing</w:t>
      </w:r>
      <w:r>
        <w:rPr>
          <w:rFonts w:asciiTheme="minorHAnsi" w:eastAsiaTheme="minorHAnsi" w:hAnsiTheme="minorHAnsi" w:cstheme="minorBidi"/>
          <w:sz w:val="22"/>
          <w:szCs w:val="22"/>
          <w:lang w:eastAsia="en-US"/>
        </w:rPr>
        <w:t xml:space="preserve"> </w:t>
      </w:r>
      <w:r w:rsidR="00265B2C">
        <w:rPr>
          <w:rFonts w:asciiTheme="minorHAnsi" w:eastAsiaTheme="minorHAnsi" w:hAnsiTheme="minorHAnsi" w:cstheme="minorBidi"/>
          <w:sz w:val="22"/>
          <w:szCs w:val="22"/>
          <w:lang w:eastAsia="en-US"/>
        </w:rPr>
        <w:t xml:space="preserve">– the average international </w:t>
      </w:r>
      <w:r w:rsidR="009C5621">
        <w:rPr>
          <w:rFonts w:asciiTheme="minorHAnsi" w:eastAsiaTheme="minorHAnsi" w:hAnsiTheme="minorHAnsi" w:cstheme="minorBidi"/>
          <w:sz w:val="22"/>
          <w:szCs w:val="22"/>
          <w:lang w:eastAsia="en-US"/>
        </w:rPr>
        <w:t xml:space="preserve">holidaymaker staying in commercial accommodation </w:t>
      </w:r>
      <w:r w:rsidR="00265B2C">
        <w:rPr>
          <w:rFonts w:asciiTheme="minorHAnsi" w:eastAsiaTheme="minorHAnsi" w:hAnsiTheme="minorHAnsi" w:cstheme="minorBidi"/>
          <w:sz w:val="22"/>
          <w:szCs w:val="22"/>
          <w:lang w:eastAsia="en-US"/>
        </w:rPr>
        <w:t xml:space="preserve">spent </w:t>
      </w:r>
      <w:r w:rsidR="009C5621">
        <w:rPr>
          <w:rFonts w:asciiTheme="minorHAnsi" w:eastAsiaTheme="minorHAnsi" w:hAnsiTheme="minorHAnsi" w:cstheme="minorBidi"/>
          <w:sz w:val="22"/>
          <w:szCs w:val="22"/>
          <w:lang w:eastAsia="en-US"/>
        </w:rPr>
        <w:t>$2</w:t>
      </w:r>
      <w:r w:rsidR="00AD69E8">
        <w:rPr>
          <w:rFonts w:asciiTheme="minorHAnsi" w:eastAsiaTheme="minorHAnsi" w:hAnsiTheme="minorHAnsi" w:cstheme="minorBidi"/>
          <w:sz w:val="22"/>
          <w:szCs w:val="22"/>
          <w:lang w:eastAsia="en-US"/>
        </w:rPr>
        <w:t>,</w:t>
      </w:r>
      <w:r w:rsidR="00DF1F6C">
        <w:rPr>
          <w:rFonts w:asciiTheme="minorHAnsi" w:eastAsiaTheme="minorHAnsi" w:hAnsiTheme="minorHAnsi" w:cstheme="minorBidi"/>
          <w:sz w:val="22"/>
          <w:szCs w:val="22"/>
          <w:lang w:eastAsia="en-US"/>
        </w:rPr>
        <w:t>8</w:t>
      </w:r>
      <w:r w:rsidR="009C5621">
        <w:rPr>
          <w:rFonts w:asciiTheme="minorHAnsi" w:eastAsiaTheme="minorHAnsi" w:hAnsiTheme="minorHAnsi" w:cstheme="minorBidi"/>
          <w:sz w:val="22"/>
          <w:szCs w:val="22"/>
          <w:lang w:eastAsia="en-US"/>
        </w:rPr>
        <w:t>00 in Australia</w:t>
      </w:r>
      <w:r w:rsidR="009D52C2">
        <w:rPr>
          <w:rFonts w:asciiTheme="minorHAnsi" w:eastAsiaTheme="minorHAnsi" w:hAnsiTheme="minorHAnsi" w:cstheme="minorBidi"/>
          <w:sz w:val="22"/>
          <w:szCs w:val="22"/>
          <w:lang w:eastAsia="en-US"/>
        </w:rPr>
        <w:t>. This was almost three times the $1</w:t>
      </w:r>
      <w:r w:rsidR="00AD69E8">
        <w:rPr>
          <w:rFonts w:asciiTheme="minorHAnsi" w:eastAsiaTheme="minorHAnsi" w:hAnsiTheme="minorHAnsi" w:cstheme="minorBidi"/>
          <w:sz w:val="22"/>
          <w:szCs w:val="22"/>
          <w:lang w:eastAsia="en-US"/>
        </w:rPr>
        <w:t>,</w:t>
      </w:r>
      <w:r w:rsidR="00DF1F6C">
        <w:rPr>
          <w:rFonts w:asciiTheme="minorHAnsi" w:eastAsiaTheme="minorHAnsi" w:hAnsiTheme="minorHAnsi" w:cstheme="minorBidi"/>
          <w:sz w:val="22"/>
          <w:szCs w:val="22"/>
          <w:lang w:eastAsia="en-US"/>
        </w:rPr>
        <w:t>0</w:t>
      </w:r>
      <w:r w:rsidR="009D52C2">
        <w:rPr>
          <w:rFonts w:asciiTheme="minorHAnsi" w:eastAsiaTheme="minorHAnsi" w:hAnsiTheme="minorHAnsi" w:cstheme="minorBidi"/>
          <w:sz w:val="22"/>
          <w:szCs w:val="22"/>
          <w:lang w:eastAsia="en-US"/>
        </w:rPr>
        <w:t>00 spent by domestic holidaymakers.</w:t>
      </w:r>
    </w:p>
    <w:p w14:paraId="422F8E9F" w14:textId="77777777" w:rsidR="00767737" w:rsidRDefault="009D52C2" w:rsidP="00376FCA">
      <w:pPr>
        <w:pStyle w:val="NormalWeb"/>
        <w:numPr>
          <w:ilvl w:val="0"/>
          <w:numId w:val="14"/>
        </w:numPr>
        <w:shd w:val="clear" w:color="auto" w:fill="FFFFFF" w:themeFill="background1"/>
        <w:spacing w:before="120" w:beforeAutospacing="0" w:after="12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w:t>
      </w:r>
      <w:r w:rsidR="00BD2CD0">
        <w:rPr>
          <w:rFonts w:asciiTheme="minorHAnsi" w:eastAsiaTheme="minorHAnsi" w:hAnsiTheme="minorHAnsi" w:cstheme="minorBidi"/>
          <w:sz w:val="22"/>
          <w:szCs w:val="22"/>
          <w:lang w:eastAsia="en-US"/>
        </w:rPr>
        <w:t xml:space="preserve">ess seasonal – Because international visitation was more consistent throughout the year, it enabled overall </w:t>
      </w:r>
      <w:r w:rsidR="00510CE4">
        <w:rPr>
          <w:rFonts w:asciiTheme="minorHAnsi" w:eastAsiaTheme="minorHAnsi" w:hAnsiTheme="minorHAnsi" w:cstheme="minorBidi"/>
          <w:sz w:val="22"/>
          <w:szCs w:val="22"/>
          <w:lang w:eastAsia="en-US"/>
        </w:rPr>
        <w:t xml:space="preserve">demand to be sustained </w:t>
      </w:r>
      <w:r w:rsidR="00BD2CD0">
        <w:rPr>
          <w:rFonts w:asciiTheme="minorHAnsi" w:eastAsiaTheme="minorHAnsi" w:hAnsiTheme="minorHAnsi" w:cstheme="minorBidi"/>
          <w:sz w:val="22"/>
          <w:szCs w:val="22"/>
          <w:lang w:eastAsia="en-US"/>
        </w:rPr>
        <w:t>outside of peak periods for domestic tourism</w:t>
      </w:r>
      <w:r w:rsidR="00510CE4">
        <w:rPr>
          <w:rFonts w:asciiTheme="minorHAnsi" w:eastAsiaTheme="minorHAnsi" w:hAnsiTheme="minorHAnsi" w:cstheme="minorBidi"/>
          <w:sz w:val="22"/>
          <w:szCs w:val="22"/>
          <w:lang w:eastAsia="en-US"/>
        </w:rPr>
        <w:t>.</w:t>
      </w:r>
    </w:p>
    <w:p w14:paraId="6C461427" w14:textId="77777777" w:rsidR="00934115" w:rsidRDefault="00934115" w:rsidP="00934115">
      <w:pPr>
        <w:pStyle w:val="Heading2"/>
      </w:pPr>
      <w:r>
        <w:t>Government support</w:t>
      </w:r>
    </w:p>
    <w:p w14:paraId="57800AB0" w14:textId="231072BE" w:rsidR="00376FCA" w:rsidRDefault="00700A10" w:rsidP="00934115">
      <w:r>
        <w:t>For many years</w:t>
      </w:r>
      <w:r w:rsidR="0059167E">
        <w:t>,</w:t>
      </w:r>
      <w:r>
        <w:t xml:space="preserve"> </w:t>
      </w:r>
      <w:r w:rsidR="00376FCA">
        <w:t>Au</w:t>
      </w:r>
      <w:r w:rsidR="0048781A">
        <w:t>stralia</w:t>
      </w:r>
      <w:r w:rsidR="00D24296">
        <w:t xml:space="preserve">’s visitor economy </w:t>
      </w:r>
      <w:r>
        <w:t>was on a strong growth trajectory. In this environment the role of government was to facilitate growth, for example through the provision of tourism infrastructure</w:t>
      </w:r>
      <w:r w:rsidR="00E8403E">
        <w:t xml:space="preserve"> and more streamlined visa arrangements, rather than through direct</w:t>
      </w:r>
      <w:r w:rsidR="00D24296">
        <w:t xml:space="preserve"> </w:t>
      </w:r>
      <w:r w:rsidR="00E8403E">
        <w:t xml:space="preserve">support. </w:t>
      </w:r>
      <w:r w:rsidR="0059167E">
        <w:t>The tourism industry responded</w:t>
      </w:r>
      <w:r w:rsidR="00E8403E">
        <w:t xml:space="preserve"> </w:t>
      </w:r>
      <w:r w:rsidR="00376FCA">
        <w:t>to increasing demand by increasing the supply of:</w:t>
      </w:r>
    </w:p>
    <w:p w14:paraId="6626D8C7" w14:textId="551CDFB5" w:rsidR="00376FCA" w:rsidRDefault="00AD69E8" w:rsidP="00713670">
      <w:pPr>
        <w:pStyle w:val="ListParagraph"/>
        <w:numPr>
          <w:ilvl w:val="0"/>
          <w:numId w:val="39"/>
        </w:numPr>
      </w:pPr>
      <w:r>
        <w:rPr>
          <w:b/>
        </w:rPr>
        <w:lastRenderedPageBreak/>
        <w:t>A</w:t>
      </w:r>
      <w:r w:rsidR="00376FCA" w:rsidRPr="004258A7">
        <w:rPr>
          <w:b/>
        </w:rPr>
        <w:t>ccommodation</w:t>
      </w:r>
      <w:r w:rsidR="00376FCA">
        <w:t xml:space="preserve"> – through </w:t>
      </w:r>
      <w:r w:rsidR="00D6358F">
        <w:t>hotel investment from both foreign and domestic investors</w:t>
      </w:r>
    </w:p>
    <w:p w14:paraId="7B573822" w14:textId="77777777" w:rsidR="0059167E" w:rsidRDefault="0059167E" w:rsidP="00713670">
      <w:pPr>
        <w:pStyle w:val="ListParagraph"/>
        <w:numPr>
          <w:ilvl w:val="0"/>
          <w:numId w:val="39"/>
        </w:numPr>
      </w:pPr>
      <w:r w:rsidRPr="004258A7">
        <w:rPr>
          <w:b/>
        </w:rPr>
        <w:t>International a</w:t>
      </w:r>
      <w:r w:rsidR="0048781A" w:rsidRPr="004258A7">
        <w:rPr>
          <w:b/>
        </w:rPr>
        <w:t>viation</w:t>
      </w:r>
      <w:r w:rsidR="0048781A">
        <w:t xml:space="preserve"> – </w:t>
      </w:r>
      <w:r w:rsidR="00E8403E">
        <w:t xml:space="preserve">leveraging off </w:t>
      </w:r>
      <w:r w:rsidR="00700A10">
        <w:t xml:space="preserve">aviation agreements that </w:t>
      </w:r>
      <w:proofErr w:type="gramStart"/>
      <w:r w:rsidR="00700A10">
        <w:t>open</w:t>
      </w:r>
      <w:r w:rsidR="3D9646CF">
        <w:t>ed</w:t>
      </w:r>
      <w:r w:rsidR="00700A10">
        <w:t xml:space="preserve"> up</w:t>
      </w:r>
      <w:proofErr w:type="gramEnd"/>
      <w:r w:rsidR="00700A10">
        <w:t xml:space="preserve"> more international flights</w:t>
      </w:r>
    </w:p>
    <w:p w14:paraId="5C117B7E" w14:textId="77777777" w:rsidR="00D6358F" w:rsidRDefault="0059167E" w:rsidP="00713670">
      <w:pPr>
        <w:pStyle w:val="ListParagraph"/>
        <w:numPr>
          <w:ilvl w:val="0"/>
          <w:numId w:val="39"/>
        </w:numPr>
      </w:pPr>
      <w:r w:rsidRPr="004258A7">
        <w:rPr>
          <w:b/>
        </w:rPr>
        <w:t>Domestic aviation</w:t>
      </w:r>
      <w:r>
        <w:t xml:space="preserve"> –</w:t>
      </w:r>
      <w:r w:rsidR="00700A10">
        <w:t xml:space="preserve"> introducing new </w:t>
      </w:r>
      <w:r w:rsidR="0048781A">
        <w:t xml:space="preserve">domestic routes, including </w:t>
      </w:r>
      <w:r w:rsidR="00700A10">
        <w:t>routes that improve</w:t>
      </w:r>
      <w:r w:rsidR="5EF7C370">
        <w:t>d</w:t>
      </w:r>
      <w:r w:rsidR="00700A10">
        <w:t xml:space="preserve"> </w:t>
      </w:r>
      <w:r w:rsidR="0048781A">
        <w:t>access to remote regional locations</w:t>
      </w:r>
    </w:p>
    <w:p w14:paraId="25BB7674" w14:textId="77777777" w:rsidR="0048781A" w:rsidRDefault="00700A10" w:rsidP="00713670">
      <w:pPr>
        <w:pStyle w:val="ListParagraph"/>
        <w:numPr>
          <w:ilvl w:val="0"/>
          <w:numId w:val="39"/>
        </w:numPr>
      </w:pPr>
      <w:r w:rsidRPr="004258A7">
        <w:rPr>
          <w:b/>
        </w:rPr>
        <w:t xml:space="preserve">Visitor </w:t>
      </w:r>
      <w:r w:rsidR="0048781A" w:rsidRPr="004258A7">
        <w:rPr>
          <w:b/>
        </w:rPr>
        <w:t>experiences</w:t>
      </w:r>
      <w:r w:rsidR="0048781A">
        <w:t xml:space="preserve"> – through investment in the </w:t>
      </w:r>
      <w:r>
        <w:t xml:space="preserve">infrastructure that supports </w:t>
      </w:r>
      <w:r w:rsidR="0048781A">
        <w:t xml:space="preserve">arts, recreation, and business </w:t>
      </w:r>
      <w:r>
        <w:t>events</w:t>
      </w:r>
      <w:r w:rsidR="0048781A">
        <w:t xml:space="preserve">. </w:t>
      </w:r>
    </w:p>
    <w:p w14:paraId="23BC0647" w14:textId="4FBF0090" w:rsidR="00ED5115" w:rsidRDefault="00ED5115" w:rsidP="00934115">
      <w:r>
        <w:t xml:space="preserve">2020 was the </w:t>
      </w:r>
      <w:r w:rsidR="00934115">
        <w:t xml:space="preserve">first time the industry became heavily reliant on </w:t>
      </w:r>
      <w:r w:rsidR="00E8403E">
        <w:t xml:space="preserve">direct </w:t>
      </w:r>
      <w:r w:rsidR="00934115">
        <w:t>government support.</w:t>
      </w:r>
    </w:p>
    <w:p w14:paraId="7F4985DD" w14:textId="77777777" w:rsidR="00897FA8" w:rsidRPr="00843D79" w:rsidRDefault="00897FA8" w:rsidP="00934115">
      <w:r>
        <w:t xml:space="preserve">The introduction of </w:t>
      </w:r>
      <w:proofErr w:type="spellStart"/>
      <w:r>
        <w:t>JobKeeper</w:t>
      </w:r>
      <w:proofErr w:type="spellEnd"/>
      <w:r>
        <w:t xml:space="preserve"> at the end of </w:t>
      </w:r>
      <w:r w:rsidR="00FC0F66">
        <w:t>March 2020</w:t>
      </w:r>
      <w:r w:rsidR="00376FCA">
        <w:t xml:space="preserve"> </w:t>
      </w:r>
      <w:r>
        <w:t>was critical to the industry’s survival. It a</w:t>
      </w:r>
      <w:r w:rsidR="00ED5115">
        <w:t xml:space="preserve">llowed </w:t>
      </w:r>
      <w:r w:rsidR="00376FCA">
        <w:t>businesses to retain staff</w:t>
      </w:r>
      <w:r w:rsidR="006365B8">
        <w:t xml:space="preserve">, regardless of </w:t>
      </w:r>
      <w:r w:rsidR="0048781A">
        <w:t>whether they could trade</w:t>
      </w:r>
      <w:r w:rsidR="0059167E">
        <w:t>. This</w:t>
      </w:r>
      <w:r>
        <w:t xml:space="preserve"> proved especially important during the </w:t>
      </w:r>
      <w:r w:rsidR="00FC0F66">
        <w:t xml:space="preserve">early stages of the </w:t>
      </w:r>
      <w:r w:rsidR="00934115">
        <w:t>pandemic</w:t>
      </w:r>
      <w:r w:rsidR="00301105">
        <w:t xml:space="preserve"> when </w:t>
      </w:r>
      <w:r>
        <w:t>businesses had to rapidly shut down and scale back operations.</w:t>
      </w:r>
    </w:p>
    <w:p w14:paraId="42A178B4" w14:textId="77777777" w:rsidR="00897FA8" w:rsidRPr="00843D79" w:rsidRDefault="00897FA8" w:rsidP="00934115">
      <w:r w:rsidRPr="00843D79">
        <w:t>Thr</w:t>
      </w:r>
      <w:r w:rsidR="004F490E">
        <w:t>ough 2020 and 2021, the number of businesses that were supported by</w:t>
      </w:r>
      <w:r w:rsidRPr="00843D79">
        <w:t xml:space="preserve"> </w:t>
      </w:r>
      <w:r w:rsidR="00AD69E8">
        <w:t xml:space="preserve">the </w:t>
      </w:r>
      <w:proofErr w:type="spellStart"/>
      <w:r w:rsidR="008F79BC" w:rsidRPr="00843D79">
        <w:t>JobKeeper</w:t>
      </w:r>
      <w:proofErr w:type="spellEnd"/>
      <w:r w:rsidR="00AD69E8">
        <w:t xml:space="preserve"> Payment</w:t>
      </w:r>
      <w:r w:rsidR="008F79BC" w:rsidRPr="00843D79">
        <w:t xml:space="preserve"> </w:t>
      </w:r>
      <w:r w:rsidRPr="00843D79">
        <w:t>gradually reduced.</w:t>
      </w:r>
    </w:p>
    <w:p w14:paraId="47A07053" w14:textId="77777777" w:rsidR="005C52F7" w:rsidRPr="005C52F7" w:rsidRDefault="005C52F7" w:rsidP="005C52F7">
      <w:pPr>
        <w:pStyle w:val="Caption"/>
        <w:rPr>
          <w:b/>
          <w:i w:val="0"/>
          <w:sz w:val="22"/>
          <w:szCs w:val="22"/>
        </w:rPr>
      </w:pPr>
      <w:r w:rsidRPr="005C52F7">
        <w:rPr>
          <w:b/>
          <w:i w:val="0"/>
          <w:sz w:val="22"/>
          <w:szCs w:val="22"/>
        </w:rPr>
        <w:t xml:space="preserve">Table </w:t>
      </w:r>
      <w:r w:rsidR="00A56811">
        <w:rPr>
          <w:b/>
          <w:i w:val="0"/>
          <w:sz w:val="22"/>
          <w:szCs w:val="22"/>
        </w:rPr>
        <w:t>3</w:t>
      </w:r>
      <w:r w:rsidRPr="005C52F7">
        <w:rPr>
          <w:b/>
          <w:i w:val="0"/>
          <w:sz w:val="22"/>
          <w:szCs w:val="22"/>
        </w:rPr>
        <w:t xml:space="preserve"> – </w:t>
      </w:r>
      <w:proofErr w:type="spellStart"/>
      <w:r w:rsidR="0020742D">
        <w:rPr>
          <w:b/>
          <w:i w:val="0"/>
          <w:sz w:val="22"/>
          <w:szCs w:val="22"/>
        </w:rPr>
        <w:t>JobKeeper</w:t>
      </w:r>
      <w:proofErr w:type="spellEnd"/>
      <w:r w:rsidR="0020742D">
        <w:rPr>
          <w:b/>
          <w:i w:val="0"/>
          <w:sz w:val="22"/>
          <w:szCs w:val="22"/>
        </w:rPr>
        <w:t xml:space="preserve"> support, </w:t>
      </w:r>
      <w:r w:rsidR="0020742D" w:rsidRPr="0020742D">
        <w:rPr>
          <w:b/>
          <w:i w:val="0"/>
          <w:sz w:val="22"/>
          <w:szCs w:val="22"/>
        </w:rPr>
        <w:t>March 2020 to March 2021</w:t>
      </w:r>
    </w:p>
    <w:tbl>
      <w:tblPr>
        <w:tblStyle w:val="TableGrid"/>
        <w:tblW w:w="0" w:type="auto"/>
        <w:tblLook w:val="04A0" w:firstRow="1" w:lastRow="0" w:firstColumn="1" w:lastColumn="0" w:noHBand="0" w:noVBand="1"/>
      </w:tblPr>
      <w:tblGrid>
        <w:gridCol w:w="2263"/>
        <w:gridCol w:w="2268"/>
        <w:gridCol w:w="2222"/>
        <w:gridCol w:w="2031"/>
      </w:tblGrid>
      <w:tr w:rsidR="0020742D" w:rsidRPr="007B2D02" w14:paraId="022B9E07" w14:textId="77777777" w:rsidTr="00713670">
        <w:trPr>
          <w:trHeight w:val="733"/>
        </w:trPr>
        <w:tc>
          <w:tcPr>
            <w:tcW w:w="2263" w:type="dxa"/>
            <w:shd w:val="clear" w:color="auto" w:fill="auto"/>
          </w:tcPr>
          <w:p w14:paraId="7101FF4F" w14:textId="77777777" w:rsidR="0020742D" w:rsidRPr="00713670" w:rsidRDefault="0020742D" w:rsidP="0020742D">
            <w:pPr>
              <w:rPr>
                <w:b/>
                <w:color w:val="000000" w:themeColor="text1"/>
              </w:rPr>
            </w:pPr>
            <w:r w:rsidRPr="00713670">
              <w:rPr>
                <w:b/>
                <w:color w:val="000000" w:themeColor="text1"/>
              </w:rPr>
              <w:t>Period</w:t>
            </w:r>
          </w:p>
        </w:tc>
        <w:tc>
          <w:tcPr>
            <w:tcW w:w="2268" w:type="dxa"/>
            <w:shd w:val="clear" w:color="auto" w:fill="auto"/>
          </w:tcPr>
          <w:p w14:paraId="74AC6DC3" w14:textId="77777777" w:rsidR="0020742D" w:rsidRPr="00713670" w:rsidRDefault="0020742D" w:rsidP="0020742D">
            <w:pPr>
              <w:rPr>
                <w:b/>
                <w:color w:val="000000" w:themeColor="text1"/>
              </w:rPr>
            </w:pPr>
            <w:r w:rsidRPr="00713670">
              <w:rPr>
                <w:b/>
                <w:color w:val="000000" w:themeColor="text1"/>
              </w:rPr>
              <w:t>Total businesses supported (average per month)</w:t>
            </w:r>
          </w:p>
        </w:tc>
        <w:tc>
          <w:tcPr>
            <w:tcW w:w="2222" w:type="dxa"/>
            <w:shd w:val="clear" w:color="auto" w:fill="auto"/>
          </w:tcPr>
          <w:p w14:paraId="15FBB99E" w14:textId="77777777" w:rsidR="0020742D" w:rsidRPr="00713670" w:rsidRDefault="0020742D" w:rsidP="0020742D">
            <w:pPr>
              <w:rPr>
                <w:b/>
                <w:color w:val="000000" w:themeColor="text1"/>
              </w:rPr>
            </w:pPr>
            <w:r w:rsidRPr="00713670">
              <w:rPr>
                <w:b/>
                <w:color w:val="000000" w:themeColor="text1"/>
              </w:rPr>
              <w:t>Tourism businesses supported (average per month)</w:t>
            </w:r>
          </w:p>
        </w:tc>
        <w:tc>
          <w:tcPr>
            <w:tcW w:w="2031" w:type="dxa"/>
            <w:shd w:val="clear" w:color="auto" w:fill="auto"/>
          </w:tcPr>
          <w:p w14:paraId="750CABE6" w14:textId="77777777" w:rsidR="0020742D" w:rsidRPr="00713670" w:rsidRDefault="0020742D" w:rsidP="0020742D">
            <w:pPr>
              <w:rPr>
                <w:b/>
                <w:color w:val="000000" w:themeColor="text1"/>
              </w:rPr>
            </w:pPr>
            <w:r w:rsidRPr="00713670">
              <w:rPr>
                <w:b/>
                <w:color w:val="000000" w:themeColor="text1"/>
              </w:rPr>
              <w:t>Tourism workers supported (average per month)</w:t>
            </w:r>
          </w:p>
        </w:tc>
      </w:tr>
      <w:tr w:rsidR="0020742D" w:rsidRPr="0008068E" w14:paraId="497954F7" w14:textId="77777777" w:rsidTr="0020742D">
        <w:trPr>
          <w:trHeight w:val="353"/>
        </w:trPr>
        <w:tc>
          <w:tcPr>
            <w:tcW w:w="2263" w:type="dxa"/>
          </w:tcPr>
          <w:p w14:paraId="5E5A359A" w14:textId="77777777" w:rsidR="0020742D" w:rsidRPr="008F79BC" w:rsidRDefault="0020742D" w:rsidP="0020742D">
            <w:pPr>
              <w:rPr>
                <w:sz w:val="18"/>
                <w:szCs w:val="18"/>
              </w:rPr>
            </w:pPr>
            <w:r w:rsidRPr="00615A0F">
              <w:t>March to September 2020</w:t>
            </w:r>
          </w:p>
        </w:tc>
        <w:tc>
          <w:tcPr>
            <w:tcW w:w="2268" w:type="dxa"/>
          </w:tcPr>
          <w:p w14:paraId="45C74497" w14:textId="77777777" w:rsidR="0020742D" w:rsidRPr="008F79BC" w:rsidRDefault="0020742D" w:rsidP="0020742D">
            <w:pPr>
              <w:rPr>
                <w:sz w:val="18"/>
                <w:szCs w:val="18"/>
              </w:rPr>
            </w:pPr>
            <w:r w:rsidRPr="00615A0F">
              <w:t>924,000</w:t>
            </w:r>
          </w:p>
        </w:tc>
        <w:tc>
          <w:tcPr>
            <w:tcW w:w="2222" w:type="dxa"/>
          </w:tcPr>
          <w:p w14:paraId="089F3810" w14:textId="77777777" w:rsidR="0020742D" w:rsidRPr="008F79BC" w:rsidRDefault="0020742D" w:rsidP="0020742D">
            <w:pPr>
              <w:rPr>
                <w:sz w:val="18"/>
                <w:szCs w:val="18"/>
              </w:rPr>
            </w:pPr>
            <w:r w:rsidRPr="00615A0F">
              <w:t>92,000</w:t>
            </w:r>
          </w:p>
        </w:tc>
        <w:tc>
          <w:tcPr>
            <w:tcW w:w="2031" w:type="dxa"/>
          </w:tcPr>
          <w:p w14:paraId="5F36842B" w14:textId="77777777" w:rsidR="0020742D" w:rsidRPr="008F79BC" w:rsidRDefault="0020742D" w:rsidP="0020742D">
            <w:pPr>
              <w:rPr>
                <w:sz w:val="18"/>
                <w:szCs w:val="18"/>
              </w:rPr>
            </w:pPr>
            <w:r w:rsidRPr="00615A0F">
              <w:t>470,000</w:t>
            </w:r>
          </w:p>
        </w:tc>
      </w:tr>
      <w:tr w:rsidR="0020742D" w:rsidRPr="0008068E" w14:paraId="300F5F66" w14:textId="77777777" w:rsidTr="0020742D">
        <w:trPr>
          <w:trHeight w:val="353"/>
        </w:trPr>
        <w:tc>
          <w:tcPr>
            <w:tcW w:w="2263" w:type="dxa"/>
          </w:tcPr>
          <w:p w14:paraId="4EBD5E6C" w14:textId="77777777" w:rsidR="0020742D" w:rsidRPr="008F79BC" w:rsidRDefault="0020742D" w:rsidP="0020742D">
            <w:pPr>
              <w:rPr>
                <w:sz w:val="18"/>
                <w:szCs w:val="18"/>
              </w:rPr>
            </w:pPr>
            <w:r w:rsidRPr="00615A0F">
              <w:t>October to December 2020</w:t>
            </w:r>
          </w:p>
        </w:tc>
        <w:tc>
          <w:tcPr>
            <w:tcW w:w="2268" w:type="dxa"/>
          </w:tcPr>
          <w:p w14:paraId="51DC3524" w14:textId="77777777" w:rsidR="0020742D" w:rsidRPr="008F79BC" w:rsidRDefault="0020742D" w:rsidP="0020742D">
            <w:pPr>
              <w:rPr>
                <w:sz w:val="18"/>
                <w:szCs w:val="18"/>
              </w:rPr>
            </w:pPr>
            <w:r w:rsidRPr="00615A0F">
              <w:t>507,000</w:t>
            </w:r>
          </w:p>
        </w:tc>
        <w:tc>
          <w:tcPr>
            <w:tcW w:w="2222" w:type="dxa"/>
          </w:tcPr>
          <w:p w14:paraId="07EF931A" w14:textId="77777777" w:rsidR="0020742D" w:rsidRPr="008F79BC" w:rsidRDefault="0020742D" w:rsidP="0020742D">
            <w:pPr>
              <w:rPr>
                <w:sz w:val="18"/>
                <w:szCs w:val="18"/>
              </w:rPr>
            </w:pPr>
            <w:r w:rsidRPr="00615A0F">
              <w:t>57,000</w:t>
            </w:r>
          </w:p>
        </w:tc>
        <w:tc>
          <w:tcPr>
            <w:tcW w:w="2031" w:type="dxa"/>
          </w:tcPr>
          <w:p w14:paraId="0CEB0AF0" w14:textId="77777777" w:rsidR="0020742D" w:rsidRPr="008F79BC" w:rsidRDefault="0020742D" w:rsidP="0020742D">
            <w:pPr>
              <w:rPr>
                <w:sz w:val="18"/>
                <w:szCs w:val="18"/>
              </w:rPr>
            </w:pPr>
            <w:r w:rsidRPr="00615A0F">
              <w:t>271,000</w:t>
            </w:r>
          </w:p>
        </w:tc>
      </w:tr>
      <w:tr w:rsidR="0020742D" w:rsidRPr="0008068E" w14:paraId="113C1D00" w14:textId="77777777" w:rsidTr="0020742D">
        <w:trPr>
          <w:trHeight w:val="353"/>
        </w:trPr>
        <w:tc>
          <w:tcPr>
            <w:tcW w:w="2263" w:type="dxa"/>
          </w:tcPr>
          <w:p w14:paraId="58CB8719" w14:textId="77777777" w:rsidR="0020742D" w:rsidRPr="008F79BC" w:rsidRDefault="0020742D" w:rsidP="0020742D">
            <w:pPr>
              <w:rPr>
                <w:sz w:val="18"/>
                <w:szCs w:val="18"/>
              </w:rPr>
            </w:pPr>
            <w:r w:rsidRPr="00615A0F">
              <w:t>January to March 2021</w:t>
            </w:r>
          </w:p>
        </w:tc>
        <w:tc>
          <w:tcPr>
            <w:tcW w:w="2268" w:type="dxa"/>
          </w:tcPr>
          <w:p w14:paraId="130AA905" w14:textId="77777777" w:rsidR="0020742D" w:rsidRPr="008F79BC" w:rsidRDefault="0020742D" w:rsidP="0020742D">
            <w:pPr>
              <w:rPr>
                <w:sz w:val="18"/>
                <w:szCs w:val="18"/>
              </w:rPr>
            </w:pPr>
            <w:r w:rsidRPr="00615A0F">
              <w:t>367,000</w:t>
            </w:r>
          </w:p>
        </w:tc>
        <w:tc>
          <w:tcPr>
            <w:tcW w:w="2222" w:type="dxa"/>
          </w:tcPr>
          <w:p w14:paraId="1B02DD9D" w14:textId="77777777" w:rsidR="0020742D" w:rsidRPr="008F79BC" w:rsidRDefault="0020742D" w:rsidP="0020742D">
            <w:pPr>
              <w:rPr>
                <w:sz w:val="18"/>
                <w:szCs w:val="18"/>
              </w:rPr>
            </w:pPr>
            <w:r w:rsidRPr="00615A0F">
              <w:t>43,000</w:t>
            </w:r>
          </w:p>
        </w:tc>
        <w:tc>
          <w:tcPr>
            <w:tcW w:w="2031" w:type="dxa"/>
          </w:tcPr>
          <w:p w14:paraId="57FC9DBC" w14:textId="77777777" w:rsidR="0020742D" w:rsidRPr="008F79BC" w:rsidRDefault="0020742D" w:rsidP="0020742D">
            <w:pPr>
              <w:rPr>
                <w:sz w:val="18"/>
                <w:szCs w:val="18"/>
              </w:rPr>
            </w:pPr>
            <w:r w:rsidRPr="00615A0F">
              <w:t>193,000</w:t>
            </w:r>
          </w:p>
        </w:tc>
      </w:tr>
    </w:tbl>
    <w:p w14:paraId="4A314B76" w14:textId="77777777" w:rsidR="00301105" w:rsidRDefault="00301105" w:rsidP="00934115"/>
    <w:p w14:paraId="6028CC20" w14:textId="6FD9A3E9" w:rsidR="00934115" w:rsidRDefault="00FF3A45" w:rsidP="00934115">
      <w:r>
        <w:t xml:space="preserve">Targeted </w:t>
      </w:r>
      <w:r w:rsidR="008F79BC">
        <w:t>Government</w:t>
      </w:r>
      <w:r w:rsidR="00934115">
        <w:t xml:space="preserve"> </w:t>
      </w:r>
      <w:r w:rsidR="0008068E">
        <w:t>m</w:t>
      </w:r>
      <w:r w:rsidR="00934115">
        <w:t xml:space="preserve">easures were </w:t>
      </w:r>
      <w:r w:rsidR="00E003E1">
        <w:t xml:space="preserve">also </w:t>
      </w:r>
      <w:r w:rsidR="00934115">
        <w:t xml:space="preserve">introduced </w:t>
      </w:r>
      <w:r>
        <w:t xml:space="preserve">through 2020 (and </w:t>
      </w:r>
      <w:r w:rsidR="00934115">
        <w:t>in</w:t>
      </w:r>
      <w:r>
        <w:t xml:space="preserve">to 2021) to respond </w:t>
      </w:r>
      <w:r w:rsidR="00934115">
        <w:t xml:space="preserve">to </w:t>
      </w:r>
      <w:r>
        <w:t xml:space="preserve">industry </w:t>
      </w:r>
      <w:r w:rsidR="00934115">
        <w:t xml:space="preserve">requirements. </w:t>
      </w:r>
      <w:r w:rsidR="00A07FF4">
        <w:t xml:space="preserve">Government support measures </w:t>
      </w:r>
      <w:r w:rsidR="00086E81">
        <w:t>included</w:t>
      </w:r>
      <w:r w:rsidR="00A07FF4">
        <w:t>:</w:t>
      </w:r>
    </w:p>
    <w:p w14:paraId="3CE8463E" w14:textId="7C9A8FEC" w:rsidR="00A07FF4" w:rsidRDefault="00A07FF4" w:rsidP="00713670">
      <w:pPr>
        <w:pStyle w:val="ListParagraph"/>
        <w:numPr>
          <w:ilvl w:val="0"/>
          <w:numId w:val="46"/>
        </w:numPr>
      </w:pPr>
      <w:r>
        <w:t>Bushfire support</w:t>
      </w:r>
    </w:p>
    <w:p w14:paraId="50905EB9" w14:textId="212A150F" w:rsidR="00A07FF4" w:rsidRDefault="00A07FF4" w:rsidP="00713670">
      <w:pPr>
        <w:pStyle w:val="ListParagraph"/>
        <w:numPr>
          <w:ilvl w:val="0"/>
          <w:numId w:val="46"/>
        </w:numPr>
      </w:pPr>
      <w:r>
        <w:t>Zoos and aquariums</w:t>
      </w:r>
    </w:p>
    <w:p w14:paraId="6676A4B5" w14:textId="7819CAD2" w:rsidR="00A07FF4" w:rsidRDefault="00A07FF4" w:rsidP="00713670">
      <w:pPr>
        <w:pStyle w:val="ListParagraph"/>
        <w:numPr>
          <w:ilvl w:val="0"/>
          <w:numId w:val="46"/>
        </w:numPr>
      </w:pPr>
      <w:r>
        <w:t>Business events</w:t>
      </w:r>
    </w:p>
    <w:p w14:paraId="1086D121" w14:textId="7336BB5F" w:rsidR="00A07FF4" w:rsidRDefault="00A07FF4" w:rsidP="00713670">
      <w:pPr>
        <w:pStyle w:val="ListParagraph"/>
        <w:numPr>
          <w:ilvl w:val="0"/>
          <w:numId w:val="46"/>
        </w:numPr>
      </w:pPr>
      <w:r>
        <w:t>Regional tourism grants</w:t>
      </w:r>
    </w:p>
    <w:p w14:paraId="15BF0DD2" w14:textId="4754D1B9" w:rsidR="00A07FF4" w:rsidRDefault="00A07FF4" w:rsidP="00713670">
      <w:pPr>
        <w:pStyle w:val="ListParagraph"/>
        <w:numPr>
          <w:ilvl w:val="0"/>
          <w:numId w:val="46"/>
        </w:numPr>
      </w:pPr>
      <w:r>
        <w:t>Travel agents</w:t>
      </w:r>
    </w:p>
    <w:p w14:paraId="1BFE7AA7" w14:textId="2BC6BC30" w:rsidR="00A07FF4" w:rsidRDefault="00A07FF4" w:rsidP="00713670">
      <w:pPr>
        <w:pStyle w:val="ListParagraph"/>
        <w:numPr>
          <w:ilvl w:val="0"/>
          <w:numId w:val="46"/>
        </w:numPr>
      </w:pPr>
      <w:r>
        <w:t>Tourism and aviation network support</w:t>
      </w:r>
    </w:p>
    <w:p w14:paraId="4D1FABBC" w14:textId="1A538578" w:rsidR="00934115" w:rsidRPr="00A32E71" w:rsidRDefault="0059167E" w:rsidP="00934115">
      <w:r>
        <w:t>State</w:t>
      </w:r>
      <w:r w:rsidR="00E003E1" w:rsidRPr="00A32E71">
        <w:t xml:space="preserve"> </w:t>
      </w:r>
      <w:r>
        <w:t xml:space="preserve">and territory </w:t>
      </w:r>
      <w:r w:rsidR="00E003E1" w:rsidRPr="00A32E71">
        <w:t>government</w:t>
      </w:r>
      <w:r w:rsidR="00FF3A45">
        <w:t>s</w:t>
      </w:r>
      <w:r w:rsidR="00E003E1" w:rsidRPr="00A32E71">
        <w:t xml:space="preserve"> </w:t>
      </w:r>
      <w:r>
        <w:t>sought to drive</w:t>
      </w:r>
      <w:r w:rsidR="00E003E1" w:rsidRPr="00A32E71">
        <w:t xml:space="preserve"> demand, using vouchers to encourage people to spend more as travel restrictions eased. </w:t>
      </w:r>
      <w:r w:rsidR="00570202">
        <w:t xml:space="preserve">These vouchers were very popular and experienced large uptake. </w:t>
      </w:r>
      <w:r w:rsidR="00934115" w:rsidRPr="00A32E71">
        <w:t xml:space="preserve">Examples include the Tasmanian’s Government’s travel voucher scheme which was fully subscribed within an hour of opening. Western Australia’s </w:t>
      </w:r>
      <w:r w:rsidR="00934115" w:rsidRPr="004258A7">
        <w:rPr>
          <w:i/>
        </w:rPr>
        <w:t xml:space="preserve">Wander </w:t>
      </w:r>
      <w:r w:rsidR="00AD69E8">
        <w:rPr>
          <w:i/>
        </w:rPr>
        <w:t>o</w:t>
      </w:r>
      <w:r w:rsidR="00934115" w:rsidRPr="004258A7">
        <w:rPr>
          <w:i/>
        </w:rPr>
        <w:t>ut Yonder</w:t>
      </w:r>
      <w:r w:rsidR="00934115" w:rsidRPr="00A32E71">
        <w:t xml:space="preserve"> travel vouchers were snapped up in less than 4 minutes. </w:t>
      </w:r>
      <w:r>
        <w:t>Some</w:t>
      </w:r>
      <w:r w:rsidR="00934115" w:rsidRPr="00A32E71">
        <w:t xml:space="preserve"> of these </w:t>
      </w:r>
      <w:r>
        <w:t xml:space="preserve">voucher </w:t>
      </w:r>
      <w:r w:rsidR="00934115" w:rsidRPr="00A32E71">
        <w:t>schemes were repeated</w:t>
      </w:r>
      <w:r w:rsidR="00E003E1" w:rsidRPr="00A32E71">
        <w:t xml:space="preserve"> </w:t>
      </w:r>
      <w:r w:rsidR="00934115" w:rsidRPr="00A32E71">
        <w:t xml:space="preserve">due to overwhelming demand. </w:t>
      </w:r>
    </w:p>
    <w:p w14:paraId="530C1ED7" w14:textId="77777777" w:rsidR="002A46AC" w:rsidRDefault="00E003E1" w:rsidP="00FF3A45">
      <w:pPr>
        <w:pStyle w:val="NormalWeb"/>
        <w:spacing w:before="0" w:beforeAutospacing="0"/>
        <w:outlineLvl w:val="1"/>
      </w:pPr>
      <w:r w:rsidRPr="00570202">
        <w:rPr>
          <w:rFonts w:asciiTheme="minorHAnsi" w:hAnsiTheme="minorHAnsi"/>
          <w:sz w:val="22"/>
          <w:szCs w:val="22"/>
        </w:rPr>
        <w:lastRenderedPageBreak/>
        <w:t xml:space="preserve">Marketing </w:t>
      </w:r>
      <w:r w:rsidR="0059167E">
        <w:rPr>
          <w:rFonts w:asciiTheme="minorHAnsi" w:hAnsiTheme="minorHAnsi"/>
          <w:sz w:val="22"/>
          <w:szCs w:val="22"/>
        </w:rPr>
        <w:t>was also used to</w:t>
      </w:r>
      <w:r w:rsidRPr="00570202">
        <w:rPr>
          <w:rFonts w:asciiTheme="minorHAnsi" w:hAnsiTheme="minorHAnsi"/>
          <w:sz w:val="22"/>
          <w:szCs w:val="22"/>
        </w:rPr>
        <w:t xml:space="preserve"> driv</w:t>
      </w:r>
      <w:r w:rsidR="0059167E">
        <w:rPr>
          <w:rFonts w:asciiTheme="minorHAnsi" w:hAnsiTheme="minorHAnsi"/>
          <w:color w:val="000000" w:themeColor="text1"/>
          <w:sz w:val="22"/>
          <w:szCs w:val="22"/>
        </w:rPr>
        <w:t>e</w:t>
      </w:r>
      <w:r w:rsidRPr="00570202">
        <w:rPr>
          <w:rFonts w:asciiTheme="minorHAnsi" w:hAnsiTheme="minorHAnsi"/>
          <w:color w:val="000000" w:themeColor="text1"/>
          <w:sz w:val="22"/>
          <w:szCs w:val="22"/>
        </w:rPr>
        <w:t xml:space="preserve"> demand. With the suspension of international travel, Tourism Australia</w:t>
      </w:r>
      <w:r w:rsidR="00570202">
        <w:rPr>
          <w:rFonts w:asciiTheme="minorHAnsi" w:hAnsiTheme="minorHAnsi"/>
          <w:color w:val="000000" w:themeColor="text1"/>
          <w:sz w:val="22"/>
          <w:szCs w:val="22"/>
        </w:rPr>
        <w:t xml:space="preserve"> released the</w:t>
      </w:r>
      <w:r w:rsidRPr="00570202">
        <w:rPr>
          <w:rFonts w:asciiTheme="minorHAnsi" w:hAnsiTheme="minorHAnsi"/>
          <w:color w:val="000000" w:themeColor="text1"/>
          <w:sz w:val="22"/>
          <w:szCs w:val="22"/>
        </w:rPr>
        <w:t xml:space="preserve"> </w:t>
      </w:r>
      <w:r w:rsidRPr="00570202">
        <w:rPr>
          <w:rFonts w:asciiTheme="minorHAnsi" w:eastAsia="Times New Roman" w:hAnsiTheme="minorHAnsi" w:cs="Helvetica"/>
          <w:i/>
          <w:iCs/>
          <w:color w:val="000000" w:themeColor="text1"/>
          <w:sz w:val="22"/>
          <w:szCs w:val="22"/>
        </w:rPr>
        <w:t>Holiday Here This Year</w:t>
      </w:r>
      <w:r w:rsidRPr="00570202">
        <w:rPr>
          <w:rFonts w:asciiTheme="minorHAnsi" w:eastAsia="Times New Roman" w:hAnsiTheme="minorHAnsi" w:cs="Helvetica"/>
          <w:color w:val="000000" w:themeColor="text1"/>
          <w:sz w:val="22"/>
          <w:szCs w:val="22"/>
        </w:rPr>
        <w:t> campaign</w:t>
      </w:r>
      <w:r w:rsidR="00B723FA">
        <w:rPr>
          <w:rFonts w:asciiTheme="minorHAnsi" w:eastAsia="Times New Roman" w:hAnsiTheme="minorHAnsi" w:cs="Helvetica"/>
          <w:color w:val="000000" w:themeColor="text1"/>
          <w:sz w:val="22"/>
          <w:szCs w:val="22"/>
        </w:rPr>
        <w:t xml:space="preserve"> to encourage Australians to support domestic tourism operators and communities. </w:t>
      </w:r>
      <w:r w:rsidR="00A32E71" w:rsidRPr="00570202">
        <w:rPr>
          <w:rFonts w:asciiTheme="minorHAnsi" w:eastAsia="Times New Roman" w:hAnsiTheme="minorHAnsi" w:cs="Helvetica"/>
          <w:color w:val="000000" w:themeColor="text1"/>
          <w:sz w:val="22"/>
          <w:szCs w:val="22"/>
        </w:rPr>
        <w:t>Originally developed in January 2020 to support industry recover</w:t>
      </w:r>
      <w:r w:rsidR="00AD69E8">
        <w:rPr>
          <w:rFonts w:asciiTheme="minorHAnsi" w:eastAsia="Times New Roman" w:hAnsiTheme="minorHAnsi" w:cs="Helvetica"/>
          <w:color w:val="000000" w:themeColor="text1"/>
          <w:sz w:val="22"/>
          <w:szCs w:val="22"/>
        </w:rPr>
        <w:t>y</w:t>
      </w:r>
      <w:r w:rsidR="00A32E71" w:rsidRPr="00570202">
        <w:rPr>
          <w:rFonts w:asciiTheme="minorHAnsi" w:eastAsia="Times New Roman" w:hAnsiTheme="minorHAnsi" w:cs="Helvetica"/>
          <w:color w:val="000000" w:themeColor="text1"/>
          <w:sz w:val="22"/>
          <w:szCs w:val="22"/>
        </w:rPr>
        <w:t xml:space="preserve"> from the bushfires, th</w:t>
      </w:r>
      <w:r w:rsidR="00570202">
        <w:rPr>
          <w:rFonts w:asciiTheme="minorHAnsi" w:eastAsia="Times New Roman" w:hAnsiTheme="minorHAnsi" w:cs="Helvetica"/>
          <w:color w:val="000000" w:themeColor="text1"/>
          <w:sz w:val="22"/>
          <w:szCs w:val="22"/>
        </w:rPr>
        <w:t>is</w:t>
      </w:r>
      <w:r w:rsidR="00A32E71" w:rsidRPr="00570202">
        <w:rPr>
          <w:rFonts w:asciiTheme="minorHAnsi" w:eastAsia="Times New Roman" w:hAnsiTheme="minorHAnsi" w:cs="Helvetica"/>
          <w:color w:val="000000" w:themeColor="text1"/>
          <w:sz w:val="22"/>
          <w:szCs w:val="22"/>
        </w:rPr>
        <w:t xml:space="preserve"> campaign is </w:t>
      </w:r>
      <w:proofErr w:type="gramStart"/>
      <w:r w:rsidR="00A32E71" w:rsidRPr="00570202">
        <w:rPr>
          <w:rFonts w:asciiTheme="minorHAnsi" w:eastAsia="Times New Roman" w:hAnsiTheme="minorHAnsi" w:cs="Helvetica"/>
          <w:color w:val="000000" w:themeColor="text1"/>
          <w:sz w:val="22"/>
          <w:szCs w:val="22"/>
        </w:rPr>
        <w:t>still continuing</w:t>
      </w:r>
      <w:proofErr w:type="gramEnd"/>
      <w:r w:rsidR="00FF3A45">
        <w:rPr>
          <w:rFonts w:asciiTheme="minorHAnsi" w:eastAsia="Times New Roman" w:hAnsiTheme="minorHAnsi" w:cs="Helvetica"/>
          <w:color w:val="000000" w:themeColor="text1"/>
          <w:sz w:val="22"/>
          <w:szCs w:val="22"/>
        </w:rPr>
        <w:t>.</w:t>
      </w:r>
      <w:r w:rsidR="00FF3A45">
        <w:rPr>
          <w:color w:val="000000" w:themeColor="text1"/>
        </w:rPr>
        <w:t xml:space="preserve"> </w:t>
      </w:r>
    </w:p>
    <w:p w14:paraId="13080C41" w14:textId="77777777" w:rsidR="00A32E71" w:rsidRDefault="009F174D" w:rsidP="00A32E71">
      <w:pPr>
        <w:pStyle w:val="Heading2"/>
      </w:pPr>
      <w:r>
        <w:t>What has happened since 2020</w:t>
      </w:r>
      <w:r w:rsidR="00C37D3A">
        <w:t>?</w:t>
      </w:r>
    </w:p>
    <w:p w14:paraId="36CACD8A" w14:textId="77777777" w:rsidR="002F5963" w:rsidRPr="00141AD1" w:rsidRDefault="00B64103" w:rsidP="002A46AC">
      <w:r>
        <w:t xml:space="preserve">The outlook </w:t>
      </w:r>
      <w:r w:rsidR="00A32E71">
        <w:t xml:space="preserve">for Australia’s Visitor Economy </w:t>
      </w:r>
      <w:r>
        <w:t>has improved significantly throughout 2021</w:t>
      </w:r>
      <w:r w:rsidR="004C30E8">
        <w:t xml:space="preserve">, along with a stronger than expected </w:t>
      </w:r>
      <w:r w:rsidR="004C30E8" w:rsidRPr="00141AD1">
        <w:t>recovery for the national economy</w:t>
      </w:r>
      <w:r w:rsidRPr="00141AD1">
        <w:t>.</w:t>
      </w:r>
    </w:p>
    <w:p w14:paraId="1D3BFC41" w14:textId="13B41B8D" w:rsidR="00C876F1" w:rsidRDefault="00C876F1" w:rsidP="002A46AC">
      <w:r w:rsidRPr="00B275F9">
        <w:rPr>
          <w:b/>
        </w:rPr>
        <w:t xml:space="preserve">Domestic demand is on the </w:t>
      </w:r>
      <w:r w:rsidR="00B64103" w:rsidRPr="00B275F9">
        <w:rPr>
          <w:b/>
        </w:rPr>
        <w:t>rise</w:t>
      </w:r>
      <w:r w:rsidRPr="00141AD1">
        <w:t xml:space="preserve">. </w:t>
      </w:r>
      <w:r w:rsidR="00B64103" w:rsidRPr="00141AD1">
        <w:t xml:space="preserve">For the </w:t>
      </w:r>
      <w:r w:rsidRPr="00141AD1">
        <w:t>M</w:t>
      </w:r>
      <w:r w:rsidR="00B64103" w:rsidRPr="00141AD1">
        <w:t xml:space="preserve">arch </w:t>
      </w:r>
      <w:r w:rsidRPr="00141AD1">
        <w:t xml:space="preserve">quarter </w:t>
      </w:r>
      <w:r w:rsidR="00B64103" w:rsidRPr="00141AD1">
        <w:t xml:space="preserve">2021 total domestic overnight and daytrip spend </w:t>
      </w:r>
      <w:r w:rsidRPr="00141AD1">
        <w:t xml:space="preserve">was </w:t>
      </w:r>
      <w:r w:rsidR="00B275F9">
        <w:t>$22.9 billion</w:t>
      </w:r>
      <w:r w:rsidR="00B64103" w:rsidRPr="00141AD1">
        <w:t xml:space="preserve">. While this </w:t>
      </w:r>
      <w:r w:rsidR="00AD69E8">
        <w:t xml:space="preserve">was </w:t>
      </w:r>
      <w:r w:rsidR="00B64103" w:rsidRPr="00141AD1">
        <w:t xml:space="preserve">down </w:t>
      </w:r>
      <w:r w:rsidR="00B275F9">
        <w:t>29</w:t>
      </w:r>
      <w:r w:rsidR="008F05B6">
        <w:t xml:space="preserve"> per cent</w:t>
      </w:r>
      <w:r w:rsidRPr="00141AD1">
        <w:t xml:space="preserve"> </w:t>
      </w:r>
      <w:r w:rsidR="00FF3A45" w:rsidRPr="00141AD1">
        <w:t xml:space="preserve">on </w:t>
      </w:r>
      <w:r w:rsidR="00B64103" w:rsidRPr="00141AD1">
        <w:t xml:space="preserve">March </w:t>
      </w:r>
      <w:r w:rsidR="002160D8">
        <w:t xml:space="preserve">quarter </w:t>
      </w:r>
      <w:r w:rsidRPr="00141AD1">
        <w:t>2019 levels</w:t>
      </w:r>
      <w:r w:rsidR="00B64103" w:rsidRPr="00141AD1">
        <w:t xml:space="preserve">, it </w:t>
      </w:r>
      <w:r w:rsidR="00AD69E8">
        <w:t>was</w:t>
      </w:r>
      <w:r w:rsidR="00B64103" w:rsidRPr="00141AD1">
        <w:t xml:space="preserve"> </w:t>
      </w:r>
      <w:r w:rsidR="00B275F9">
        <w:t>19</w:t>
      </w:r>
      <w:r w:rsidR="008F05B6">
        <w:t xml:space="preserve"> per cent</w:t>
      </w:r>
      <w:r w:rsidR="00B64103" w:rsidRPr="00141AD1">
        <w:t xml:space="preserve"> higher than the $</w:t>
      </w:r>
      <w:r w:rsidR="00B275F9">
        <w:t>19.6 billion</w:t>
      </w:r>
      <w:r w:rsidR="00B64103" w:rsidRPr="00141AD1">
        <w:t xml:space="preserve"> spend in </w:t>
      </w:r>
      <w:r w:rsidR="00AD69E8">
        <w:t xml:space="preserve">the </w:t>
      </w:r>
      <w:r w:rsidR="00B275F9">
        <w:t>December quarter</w:t>
      </w:r>
      <w:r w:rsidR="00FF3A45" w:rsidRPr="00141AD1">
        <w:t xml:space="preserve"> </w:t>
      </w:r>
      <w:r w:rsidR="00B64103" w:rsidRPr="00141AD1">
        <w:t xml:space="preserve">2020. </w:t>
      </w:r>
    </w:p>
    <w:p w14:paraId="21490A47" w14:textId="0B99D83C" w:rsidR="00D165C4" w:rsidRDefault="00705122" w:rsidP="002A46AC">
      <w:r w:rsidRPr="69A6F45D">
        <w:rPr>
          <w:b/>
          <w:bCs/>
        </w:rPr>
        <w:t>R</w:t>
      </w:r>
      <w:r w:rsidR="00B275F9" w:rsidRPr="69A6F45D">
        <w:rPr>
          <w:b/>
          <w:bCs/>
        </w:rPr>
        <w:t xml:space="preserve">egional Australia </w:t>
      </w:r>
      <w:r w:rsidRPr="69A6F45D">
        <w:rPr>
          <w:b/>
          <w:bCs/>
        </w:rPr>
        <w:t>destinations continue</w:t>
      </w:r>
      <w:r w:rsidR="00B275F9" w:rsidRPr="69A6F45D">
        <w:rPr>
          <w:b/>
          <w:bCs/>
        </w:rPr>
        <w:t xml:space="preserve"> to recover faster than capital cities</w:t>
      </w:r>
      <w:r w:rsidR="00B64103">
        <w:t xml:space="preserve">. With international borders closed, high savings and </w:t>
      </w:r>
      <w:proofErr w:type="gramStart"/>
      <w:r w:rsidR="00B64103">
        <w:t>pent up</w:t>
      </w:r>
      <w:proofErr w:type="gramEnd"/>
      <w:r w:rsidR="00B64103">
        <w:t xml:space="preserve"> demand</w:t>
      </w:r>
      <w:r w:rsidR="00B275F9">
        <w:t>,</w:t>
      </w:r>
      <w:r w:rsidR="00B64103">
        <w:t xml:space="preserve"> </w:t>
      </w:r>
      <w:r>
        <w:t>destinations in regional Australia continue to recover faster than capital cities. In the months of January to March 202</w:t>
      </w:r>
      <w:r w:rsidR="00DB03EA">
        <w:t>1</w:t>
      </w:r>
      <w:r>
        <w:t>, domestic overnight spend in regional Australia has exceeded pre-pandemic levels (comparative months in 2019). However</w:t>
      </w:r>
      <w:r w:rsidR="30D159D2">
        <w:t>,</w:t>
      </w:r>
      <w:r>
        <w:t xml:space="preserve"> with</w:t>
      </w:r>
      <w:r w:rsidR="00D165C4">
        <w:t xml:space="preserve"> inter</w:t>
      </w:r>
      <w:r>
        <w:t>national borders closed and reduced business travel, domestic overnight spend in capital cities</w:t>
      </w:r>
      <w:r w:rsidR="00E8403E">
        <w:t xml:space="preserve"> </w:t>
      </w:r>
      <w:r>
        <w:t>continues to suffer</w:t>
      </w:r>
      <w:r w:rsidR="00E8403E">
        <w:t xml:space="preserve"> and cumulative losses </w:t>
      </w:r>
      <w:r w:rsidR="00651CAF">
        <w:t>continue to increase</w:t>
      </w:r>
      <w:r>
        <w:t xml:space="preserve">. </w:t>
      </w:r>
    </w:p>
    <w:p w14:paraId="0A1C1645" w14:textId="2055614B" w:rsidR="005C52F7" w:rsidRPr="005C52F7" w:rsidRDefault="00705122" w:rsidP="00843D79">
      <w:pPr>
        <w:pStyle w:val="Caption"/>
      </w:pPr>
      <w:r w:rsidRPr="005961BD">
        <w:rPr>
          <w:b/>
          <w:i w:val="0"/>
          <w:iCs w:val="0"/>
          <w:sz w:val="22"/>
          <w:szCs w:val="22"/>
        </w:rPr>
        <w:t xml:space="preserve">Figure </w:t>
      </w:r>
      <w:r w:rsidRPr="005961BD">
        <w:rPr>
          <w:b/>
          <w:i w:val="0"/>
          <w:iCs w:val="0"/>
        </w:rPr>
        <w:fldChar w:fldCharType="begin"/>
      </w:r>
      <w:r w:rsidRPr="005961BD">
        <w:rPr>
          <w:b/>
          <w:i w:val="0"/>
          <w:iCs w:val="0"/>
          <w:sz w:val="22"/>
          <w:szCs w:val="22"/>
        </w:rPr>
        <w:instrText xml:space="preserve"> SEQ Figure \* ARABIC </w:instrText>
      </w:r>
      <w:r w:rsidRPr="005961BD">
        <w:rPr>
          <w:b/>
          <w:i w:val="0"/>
          <w:iCs w:val="0"/>
        </w:rPr>
        <w:fldChar w:fldCharType="separate"/>
      </w:r>
      <w:r w:rsidRPr="005961BD">
        <w:rPr>
          <w:b/>
          <w:i w:val="0"/>
          <w:iCs w:val="0"/>
          <w:noProof/>
          <w:sz w:val="22"/>
          <w:szCs w:val="22"/>
        </w:rPr>
        <w:t>1</w:t>
      </w:r>
      <w:r w:rsidR="00A56811" w:rsidRPr="005961BD">
        <w:rPr>
          <w:b/>
          <w:i w:val="0"/>
          <w:iCs w:val="0"/>
          <w:noProof/>
          <w:sz w:val="22"/>
          <w:szCs w:val="22"/>
        </w:rPr>
        <w:t>5</w:t>
      </w:r>
      <w:r w:rsidRPr="005961BD">
        <w:rPr>
          <w:b/>
          <w:i w:val="0"/>
          <w:iCs w:val="0"/>
        </w:rPr>
        <w:fldChar w:fldCharType="end"/>
      </w:r>
      <w:r w:rsidRPr="005961BD">
        <w:rPr>
          <w:b/>
          <w:i w:val="0"/>
          <w:iCs w:val="0"/>
          <w:sz w:val="22"/>
          <w:szCs w:val="22"/>
        </w:rPr>
        <w:t xml:space="preserve"> </w:t>
      </w:r>
      <w:r w:rsidR="005C52F7" w:rsidRPr="005961BD">
        <w:rPr>
          <w:b/>
          <w:i w:val="0"/>
          <w:iCs w:val="0"/>
          <w:sz w:val="22"/>
          <w:szCs w:val="22"/>
        </w:rPr>
        <w:t>–</w:t>
      </w:r>
      <w:r w:rsidRPr="005961BD">
        <w:rPr>
          <w:b/>
          <w:i w:val="0"/>
          <w:iCs w:val="0"/>
          <w:sz w:val="22"/>
          <w:szCs w:val="22"/>
        </w:rPr>
        <w:t xml:space="preserve"> </w:t>
      </w:r>
      <w:r w:rsidR="005C52F7" w:rsidRPr="005961BD">
        <w:rPr>
          <w:b/>
          <w:i w:val="0"/>
          <w:iCs w:val="0"/>
          <w:sz w:val="22"/>
          <w:szCs w:val="22"/>
        </w:rPr>
        <w:t xml:space="preserve">Changes </w:t>
      </w:r>
      <w:r w:rsidRPr="005961BD">
        <w:rPr>
          <w:b/>
          <w:i w:val="0"/>
          <w:iCs w:val="0"/>
          <w:sz w:val="22"/>
          <w:szCs w:val="22"/>
        </w:rPr>
        <w:t>in domestic overnight spend</w:t>
      </w:r>
      <w:r w:rsidR="00BC74BC" w:rsidRPr="005961BD">
        <w:rPr>
          <w:b/>
          <w:i w:val="0"/>
          <w:iCs w:val="0"/>
          <w:sz w:val="22"/>
          <w:szCs w:val="22"/>
        </w:rPr>
        <w:t xml:space="preserve"> in 2020 and 2021</w:t>
      </w:r>
      <w:r w:rsidRPr="005961BD">
        <w:rPr>
          <w:b/>
          <w:i w:val="0"/>
          <w:iCs w:val="0"/>
          <w:sz w:val="22"/>
          <w:szCs w:val="22"/>
        </w:rPr>
        <w:t xml:space="preserve">, </w:t>
      </w:r>
      <w:r w:rsidR="00BC74BC" w:rsidRPr="005961BD">
        <w:rPr>
          <w:b/>
          <w:i w:val="0"/>
          <w:iCs w:val="0"/>
          <w:sz w:val="22"/>
          <w:szCs w:val="22"/>
        </w:rPr>
        <w:t>compared to corresponding period in previous year</w:t>
      </w:r>
    </w:p>
    <w:p w14:paraId="728F0BB0" w14:textId="227CC75E" w:rsidR="00705122" w:rsidRDefault="009861B0" w:rsidP="00C876F1">
      <w:r>
        <w:rPr>
          <w:noProof/>
          <w:lang w:eastAsia="en-AU"/>
        </w:rPr>
        <w:drawing>
          <wp:inline distT="0" distB="0" distL="0" distR="0" wp14:anchorId="24452C9D" wp14:editId="3F7C83C7">
            <wp:extent cx="5237683" cy="3223128"/>
            <wp:effectExtent l="0" t="0" r="1270" b="0"/>
            <wp:docPr id="18" name="Picture 18" descr="Figure 15 shows changes in domestic overnight spend and cumulative l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igure 15 shows changes in domestic overnight spend and cumulative loss."/>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252974" cy="3232537"/>
                    </a:xfrm>
                    <a:prstGeom prst="rect">
                      <a:avLst/>
                    </a:prstGeom>
                    <a:noFill/>
                  </pic:spPr>
                </pic:pic>
              </a:graphicData>
            </a:graphic>
          </wp:inline>
        </w:drawing>
      </w:r>
    </w:p>
    <w:p w14:paraId="74C048BC" w14:textId="698FC121" w:rsidR="00C876F1" w:rsidRDefault="00A31C08" w:rsidP="00C876F1">
      <w:r>
        <w:rPr>
          <w:b/>
        </w:rPr>
        <w:t>I</w:t>
      </w:r>
      <w:r w:rsidR="004C30E8" w:rsidRPr="00EF04BA">
        <w:rPr>
          <w:b/>
        </w:rPr>
        <w:t>nvestment has been maintained</w:t>
      </w:r>
      <w:r w:rsidR="004C30E8" w:rsidRPr="00EF04BA">
        <w:t xml:space="preserve">. </w:t>
      </w:r>
      <w:r w:rsidR="00D165C4" w:rsidRPr="00EF04BA">
        <w:t>In 2019</w:t>
      </w:r>
      <w:r w:rsidR="00AD69E8">
        <w:t>–</w:t>
      </w:r>
      <w:r w:rsidR="00D165C4" w:rsidRPr="00EF04BA">
        <w:t xml:space="preserve">20 the value of Australia’s </w:t>
      </w:r>
      <w:r w:rsidR="00E5794D">
        <w:t>t</w:t>
      </w:r>
      <w:r w:rsidR="00D165C4" w:rsidRPr="00EF04BA">
        <w:t xml:space="preserve">ourism </w:t>
      </w:r>
      <w:r w:rsidR="00E5794D">
        <w:t>i</w:t>
      </w:r>
      <w:r w:rsidR="00D165C4" w:rsidRPr="00EF04BA">
        <w:t xml:space="preserve">nvestment </w:t>
      </w:r>
      <w:r w:rsidR="00AA4F8B" w:rsidRPr="00EF04BA">
        <w:t>pipeline</w:t>
      </w:r>
      <w:r w:rsidR="00D165C4" w:rsidRPr="00EF04BA">
        <w:t xml:space="preserve"> was $43.6 billion across over 255 projects. This was only slightly down on the 2018</w:t>
      </w:r>
      <w:r w:rsidR="00E5794D">
        <w:t>–</w:t>
      </w:r>
      <w:r w:rsidR="00D165C4" w:rsidRPr="00EF04BA">
        <w:t xml:space="preserve">19 figure of $45.3 billion and </w:t>
      </w:r>
      <w:r w:rsidR="004C30E8" w:rsidRPr="00EF04BA">
        <w:t xml:space="preserve">reflects the </w:t>
      </w:r>
      <w:r w:rsidR="004258A7" w:rsidRPr="00EF04BA">
        <w:t>longer-term</w:t>
      </w:r>
      <w:r w:rsidR="00AF556D" w:rsidRPr="00EF04BA">
        <w:t xml:space="preserve"> view of investors, and the flexibility to delay large projects rather than abandon them altogether.</w:t>
      </w:r>
      <w:r w:rsidR="00C876F1">
        <w:t xml:space="preserve">  </w:t>
      </w:r>
    </w:p>
    <w:p w14:paraId="0FB3406C" w14:textId="5A85ACD7" w:rsidR="00C37D3A" w:rsidRDefault="00AF556D" w:rsidP="002A46AC">
      <w:r w:rsidRPr="69A6F45D">
        <w:rPr>
          <w:b/>
          <w:bCs/>
        </w:rPr>
        <w:lastRenderedPageBreak/>
        <w:t>Employment continues to improve.</w:t>
      </w:r>
      <w:r>
        <w:t xml:space="preserve"> </w:t>
      </w:r>
      <w:r w:rsidR="00B1354D">
        <w:t xml:space="preserve">In </w:t>
      </w:r>
      <w:r w:rsidR="00E5794D">
        <w:t xml:space="preserve">the </w:t>
      </w:r>
      <w:r w:rsidR="00B1354D">
        <w:t>December quarter 2020, tourism jobs fell by 10.8</w:t>
      </w:r>
      <w:r w:rsidR="008F05B6">
        <w:t xml:space="preserve"> per cent</w:t>
      </w:r>
      <w:r w:rsidR="00B1354D">
        <w:t xml:space="preserve"> compared to December 2019. Although this is a significant overall decrease </w:t>
      </w:r>
      <w:r w:rsidR="0059167E">
        <w:t>to</w:t>
      </w:r>
      <w:r w:rsidR="1C6CC711">
        <w:t xml:space="preserve"> the</w:t>
      </w:r>
      <w:r w:rsidR="0059167E">
        <w:t xml:space="preserve"> </w:t>
      </w:r>
      <w:r w:rsidR="00B1354D">
        <w:t xml:space="preserve">workforce, </w:t>
      </w:r>
      <w:r w:rsidR="008F05B6">
        <w:t xml:space="preserve">it is an improvement of 5.1 per cent </w:t>
      </w:r>
      <w:r w:rsidR="00B1354D">
        <w:t xml:space="preserve">compared to </w:t>
      </w:r>
      <w:r w:rsidR="00E5794D">
        <w:t xml:space="preserve">the </w:t>
      </w:r>
      <w:r w:rsidR="00B1354D">
        <w:t>September quarter 2020</w:t>
      </w:r>
      <w:r w:rsidR="00E5794D">
        <w:t>. It is also</w:t>
      </w:r>
      <w:r w:rsidR="00AA2872">
        <w:t xml:space="preserve"> well above the seasonal increase that typically occurs between the quarters</w:t>
      </w:r>
      <w:r w:rsidR="008F05B6">
        <w:t xml:space="preserve">. </w:t>
      </w:r>
    </w:p>
    <w:p w14:paraId="49AA0C6B" w14:textId="77777777" w:rsidR="00893BE2" w:rsidRDefault="00893BE2" w:rsidP="00893BE2">
      <w:r w:rsidRPr="00C37D3A">
        <w:rPr>
          <w:b/>
        </w:rPr>
        <w:t>Airline performance is up</w:t>
      </w:r>
      <w:r>
        <w:t>. There were 2.8 million domestic passengers carried on domestic flights in March 2021, just short of the 3.1 million for March 2020, and almost twenty times as many as in April 2020. Planes are also being better utilised. The 67 per cent load factor for March 2021 was four percentage points up on a year earlier.</w:t>
      </w:r>
    </w:p>
    <w:p w14:paraId="5544A9D1" w14:textId="77777777" w:rsidR="00893BE2" w:rsidRDefault="00893BE2" w:rsidP="002A46AC"/>
    <w:p w14:paraId="6ABB26E7" w14:textId="77777777" w:rsidR="007B00AC" w:rsidRPr="005C52F7" w:rsidRDefault="007B00AC" w:rsidP="007B00AC">
      <w:pPr>
        <w:pStyle w:val="Caption"/>
        <w:rPr>
          <w:b/>
          <w:i w:val="0"/>
          <w:sz w:val="22"/>
          <w:szCs w:val="22"/>
        </w:rPr>
      </w:pPr>
      <w:r>
        <w:t xml:space="preserve"> </w:t>
      </w:r>
      <w:r w:rsidRPr="005C52F7">
        <w:rPr>
          <w:b/>
          <w:i w:val="0"/>
          <w:sz w:val="22"/>
          <w:szCs w:val="22"/>
        </w:rPr>
        <w:t xml:space="preserve">Table </w:t>
      </w:r>
      <w:r w:rsidR="00A56811">
        <w:rPr>
          <w:b/>
          <w:i w:val="0"/>
          <w:sz w:val="22"/>
          <w:szCs w:val="22"/>
        </w:rPr>
        <w:t>4</w:t>
      </w:r>
      <w:r w:rsidRPr="005C52F7">
        <w:rPr>
          <w:b/>
          <w:i w:val="0"/>
          <w:sz w:val="22"/>
          <w:szCs w:val="22"/>
        </w:rPr>
        <w:t xml:space="preserve"> – </w:t>
      </w:r>
      <w:r>
        <w:rPr>
          <w:b/>
          <w:i w:val="0"/>
          <w:sz w:val="22"/>
          <w:szCs w:val="22"/>
        </w:rPr>
        <w:t>Changes in job numbers for Australia’s visitor economy</w:t>
      </w:r>
      <w:r w:rsidR="00A56811">
        <w:rPr>
          <w:b/>
          <w:i w:val="0"/>
          <w:sz w:val="22"/>
          <w:szCs w:val="22"/>
        </w:rPr>
        <w:t>, 2019 and 2020</w:t>
      </w:r>
    </w:p>
    <w:tbl>
      <w:tblPr>
        <w:tblStyle w:val="GridTable1Light"/>
        <w:tblW w:w="9720" w:type="dxa"/>
        <w:tblLook w:val="04A0" w:firstRow="1" w:lastRow="0" w:firstColumn="1" w:lastColumn="0" w:noHBand="0" w:noVBand="1"/>
      </w:tblPr>
      <w:tblGrid>
        <w:gridCol w:w="4531"/>
        <w:gridCol w:w="2629"/>
        <w:gridCol w:w="2560"/>
      </w:tblGrid>
      <w:tr w:rsidR="007B2D02" w:rsidRPr="007B2D02" w14:paraId="4301FBF3" w14:textId="77777777" w:rsidTr="007B2D02">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4531" w:type="dxa"/>
            <w:noWrap/>
            <w:hideMark/>
          </w:tcPr>
          <w:p w14:paraId="28D06A8C" w14:textId="77777777" w:rsidR="00C37D3A" w:rsidRPr="007B2D02" w:rsidRDefault="00C37D3A" w:rsidP="00C37D3A">
            <w:pPr>
              <w:rPr>
                <w:rFonts w:ascii="Calibri" w:eastAsia="Times New Roman" w:hAnsi="Calibri" w:cs="Times New Roman"/>
                <w:b w:val="0"/>
                <w:bCs w:val="0"/>
                <w:color w:val="000000" w:themeColor="text1"/>
                <w:lang w:eastAsia="en-AU"/>
              </w:rPr>
            </w:pPr>
            <w:r w:rsidRPr="007B2D02">
              <w:rPr>
                <w:rFonts w:ascii="Calibri" w:eastAsia="Times New Roman" w:hAnsi="Calibri" w:cs="Times New Roman"/>
                <w:b w:val="0"/>
                <w:bCs w:val="0"/>
                <w:color w:val="000000" w:themeColor="text1"/>
                <w:lang w:eastAsia="en-AU"/>
              </w:rPr>
              <w:t>Sector</w:t>
            </w:r>
          </w:p>
        </w:tc>
        <w:tc>
          <w:tcPr>
            <w:tcW w:w="2629" w:type="dxa"/>
            <w:hideMark/>
          </w:tcPr>
          <w:p w14:paraId="5E9455A6" w14:textId="77777777" w:rsidR="00C37D3A" w:rsidRPr="007B2D02" w:rsidRDefault="00C37D3A" w:rsidP="00C37D3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themeColor="text1"/>
                <w:lang w:eastAsia="en-AU"/>
              </w:rPr>
            </w:pPr>
            <w:r w:rsidRPr="007B2D02">
              <w:rPr>
                <w:rFonts w:ascii="Calibri" w:eastAsia="Times New Roman" w:hAnsi="Calibri" w:cs="Times New Roman"/>
                <w:b w:val="0"/>
                <w:bCs w:val="0"/>
                <w:color w:val="000000" w:themeColor="text1"/>
                <w:lang w:eastAsia="en-AU"/>
              </w:rPr>
              <w:t>December quarter 2020 compared to December quarter 2019</w:t>
            </w:r>
          </w:p>
        </w:tc>
        <w:tc>
          <w:tcPr>
            <w:tcW w:w="2560" w:type="dxa"/>
            <w:hideMark/>
          </w:tcPr>
          <w:p w14:paraId="7BA6A482" w14:textId="77777777" w:rsidR="00C37D3A" w:rsidRPr="007B2D02" w:rsidRDefault="00C37D3A" w:rsidP="00C37D3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themeColor="text1"/>
                <w:lang w:eastAsia="en-AU"/>
              </w:rPr>
            </w:pPr>
            <w:r w:rsidRPr="007B2D02">
              <w:rPr>
                <w:rFonts w:ascii="Calibri" w:eastAsia="Times New Roman" w:hAnsi="Calibri" w:cs="Times New Roman"/>
                <w:b w:val="0"/>
                <w:bCs w:val="0"/>
                <w:color w:val="000000" w:themeColor="text1"/>
                <w:lang w:eastAsia="en-AU"/>
              </w:rPr>
              <w:t>December quarter 2020 compared to September quarter 2020</w:t>
            </w:r>
          </w:p>
        </w:tc>
      </w:tr>
      <w:tr w:rsidR="007B2D02" w:rsidRPr="007B2D02" w14:paraId="65E9BDC4" w14:textId="77777777" w:rsidTr="007B2D02">
        <w:trPr>
          <w:trHeight w:val="300"/>
        </w:trPr>
        <w:tc>
          <w:tcPr>
            <w:cnfStyle w:val="001000000000" w:firstRow="0" w:lastRow="0" w:firstColumn="1" w:lastColumn="0" w:oddVBand="0" w:evenVBand="0" w:oddHBand="0" w:evenHBand="0" w:firstRowFirstColumn="0" w:firstRowLastColumn="0" w:lastRowFirstColumn="0" w:lastRowLastColumn="0"/>
            <w:tcW w:w="4531" w:type="dxa"/>
            <w:hideMark/>
          </w:tcPr>
          <w:p w14:paraId="3E2B6255" w14:textId="77777777" w:rsidR="00C37D3A" w:rsidRPr="007B2D02" w:rsidRDefault="00C37D3A" w:rsidP="00C37D3A">
            <w:pPr>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Sports and recreation services</w:t>
            </w:r>
          </w:p>
        </w:tc>
        <w:tc>
          <w:tcPr>
            <w:tcW w:w="2629" w:type="dxa"/>
            <w:hideMark/>
          </w:tcPr>
          <w:p w14:paraId="2168348B" w14:textId="77777777" w:rsidR="00C37D3A" w:rsidRPr="007B2D02" w:rsidRDefault="00C37D3A" w:rsidP="00C37D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-12%</w:t>
            </w:r>
          </w:p>
        </w:tc>
        <w:tc>
          <w:tcPr>
            <w:tcW w:w="2560" w:type="dxa"/>
            <w:hideMark/>
          </w:tcPr>
          <w:p w14:paraId="35B46DEC" w14:textId="77777777" w:rsidR="00C37D3A" w:rsidRPr="007B2D02" w:rsidRDefault="00C37D3A" w:rsidP="00C37D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19%</w:t>
            </w:r>
          </w:p>
        </w:tc>
      </w:tr>
      <w:tr w:rsidR="007B2D02" w:rsidRPr="007B2D02" w14:paraId="0B4F9218" w14:textId="77777777" w:rsidTr="007B2D02">
        <w:trPr>
          <w:trHeight w:val="300"/>
        </w:trPr>
        <w:tc>
          <w:tcPr>
            <w:cnfStyle w:val="001000000000" w:firstRow="0" w:lastRow="0" w:firstColumn="1" w:lastColumn="0" w:oddVBand="0" w:evenVBand="0" w:oddHBand="0" w:evenHBand="0" w:firstRowFirstColumn="0" w:firstRowLastColumn="0" w:lastRowFirstColumn="0" w:lastRowLastColumn="0"/>
            <w:tcW w:w="4531" w:type="dxa"/>
            <w:hideMark/>
          </w:tcPr>
          <w:p w14:paraId="5321E989" w14:textId="77777777" w:rsidR="00C37D3A" w:rsidRPr="007B2D02" w:rsidRDefault="00C37D3A" w:rsidP="00C37D3A">
            <w:pPr>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Accommodation</w:t>
            </w:r>
          </w:p>
        </w:tc>
        <w:tc>
          <w:tcPr>
            <w:tcW w:w="2629" w:type="dxa"/>
            <w:hideMark/>
          </w:tcPr>
          <w:p w14:paraId="570904BC" w14:textId="77777777" w:rsidR="00C37D3A" w:rsidRPr="007B2D02" w:rsidRDefault="00C37D3A" w:rsidP="00C37D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-23%</w:t>
            </w:r>
          </w:p>
        </w:tc>
        <w:tc>
          <w:tcPr>
            <w:tcW w:w="2560" w:type="dxa"/>
            <w:hideMark/>
          </w:tcPr>
          <w:p w14:paraId="10078395" w14:textId="77777777" w:rsidR="00C37D3A" w:rsidRPr="007B2D02" w:rsidRDefault="00C37D3A" w:rsidP="00C37D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8%</w:t>
            </w:r>
          </w:p>
        </w:tc>
      </w:tr>
      <w:tr w:rsidR="007B2D02" w:rsidRPr="007B2D02" w14:paraId="3B18A9B2" w14:textId="77777777" w:rsidTr="007B2D02">
        <w:trPr>
          <w:trHeight w:val="300"/>
        </w:trPr>
        <w:tc>
          <w:tcPr>
            <w:cnfStyle w:val="001000000000" w:firstRow="0" w:lastRow="0" w:firstColumn="1" w:lastColumn="0" w:oddVBand="0" w:evenVBand="0" w:oddHBand="0" w:evenHBand="0" w:firstRowFirstColumn="0" w:firstRowLastColumn="0" w:lastRowFirstColumn="0" w:lastRowLastColumn="0"/>
            <w:tcW w:w="4531" w:type="dxa"/>
            <w:hideMark/>
          </w:tcPr>
          <w:p w14:paraId="06A46795" w14:textId="77777777" w:rsidR="00C37D3A" w:rsidRPr="007B2D02" w:rsidRDefault="00C37D3A" w:rsidP="00C37D3A">
            <w:pPr>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Road transport and transport equipment rental</w:t>
            </w:r>
          </w:p>
        </w:tc>
        <w:tc>
          <w:tcPr>
            <w:tcW w:w="2629" w:type="dxa"/>
            <w:hideMark/>
          </w:tcPr>
          <w:p w14:paraId="6C266FD4" w14:textId="77777777" w:rsidR="00C37D3A" w:rsidRPr="007B2D02" w:rsidRDefault="00C37D3A" w:rsidP="00C37D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5%</w:t>
            </w:r>
          </w:p>
        </w:tc>
        <w:tc>
          <w:tcPr>
            <w:tcW w:w="2560" w:type="dxa"/>
            <w:hideMark/>
          </w:tcPr>
          <w:p w14:paraId="199D1AC5" w14:textId="77777777" w:rsidR="00C37D3A" w:rsidRPr="007B2D02" w:rsidRDefault="00C37D3A" w:rsidP="00C37D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6%</w:t>
            </w:r>
          </w:p>
        </w:tc>
      </w:tr>
      <w:tr w:rsidR="007B2D02" w:rsidRPr="007B2D02" w14:paraId="43DA3B09" w14:textId="77777777" w:rsidTr="007B2D02">
        <w:trPr>
          <w:trHeight w:val="300"/>
        </w:trPr>
        <w:tc>
          <w:tcPr>
            <w:cnfStyle w:val="001000000000" w:firstRow="0" w:lastRow="0" w:firstColumn="1" w:lastColumn="0" w:oddVBand="0" w:evenVBand="0" w:oddHBand="0" w:evenHBand="0" w:firstRowFirstColumn="0" w:firstRowLastColumn="0" w:lastRowFirstColumn="0" w:lastRowLastColumn="0"/>
            <w:tcW w:w="4531" w:type="dxa"/>
            <w:hideMark/>
          </w:tcPr>
          <w:p w14:paraId="3C32D8FF" w14:textId="77777777" w:rsidR="00C37D3A" w:rsidRPr="007B2D02" w:rsidRDefault="00C37D3A" w:rsidP="00C37D3A">
            <w:pPr>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Travel agency and information centre services</w:t>
            </w:r>
          </w:p>
        </w:tc>
        <w:tc>
          <w:tcPr>
            <w:tcW w:w="2629" w:type="dxa"/>
            <w:hideMark/>
          </w:tcPr>
          <w:p w14:paraId="05BB857C" w14:textId="77777777" w:rsidR="00C37D3A" w:rsidRPr="007B2D02" w:rsidRDefault="00C37D3A" w:rsidP="00C37D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-3%</w:t>
            </w:r>
          </w:p>
        </w:tc>
        <w:tc>
          <w:tcPr>
            <w:tcW w:w="2560" w:type="dxa"/>
            <w:hideMark/>
          </w:tcPr>
          <w:p w14:paraId="05FC872B" w14:textId="77777777" w:rsidR="00C37D3A" w:rsidRPr="007B2D02" w:rsidRDefault="00C37D3A" w:rsidP="00C37D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6%</w:t>
            </w:r>
          </w:p>
        </w:tc>
      </w:tr>
      <w:tr w:rsidR="007B2D02" w:rsidRPr="007B2D02" w14:paraId="7E2A7621" w14:textId="77777777" w:rsidTr="007B2D02">
        <w:trPr>
          <w:trHeight w:val="300"/>
        </w:trPr>
        <w:tc>
          <w:tcPr>
            <w:cnfStyle w:val="001000000000" w:firstRow="0" w:lastRow="0" w:firstColumn="1" w:lastColumn="0" w:oddVBand="0" w:evenVBand="0" w:oddHBand="0" w:evenHBand="0" w:firstRowFirstColumn="0" w:firstRowLastColumn="0" w:lastRowFirstColumn="0" w:lastRowLastColumn="0"/>
            <w:tcW w:w="4531" w:type="dxa"/>
            <w:hideMark/>
          </w:tcPr>
          <w:p w14:paraId="2617ADE0" w14:textId="77777777" w:rsidR="00C37D3A" w:rsidRPr="007B2D02" w:rsidRDefault="00C37D3A" w:rsidP="00C37D3A">
            <w:pPr>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 xml:space="preserve">Clubs, pubs, </w:t>
            </w:r>
            <w:proofErr w:type="gramStart"/>
            <w:r w:rsidRPr="007B2D02">
              <w:rPr>
                <w:rFonts w:ascii="Calibri" w:eastAsia="Times New Roman" w:hAnsi="Calibri" w:cs="Times New Roman"/>
                <w:color w:val="000000" w:themeColor="text1"/>
                <w:lang w:eastAsia="en-AU"/>
              </w:rPr>
              <w:t>taverns</w:t>
            </w:r>
            <w:proofErr w:type="gramEnd"/>
            <w:r w:rsidRPr="007B2D02">
              <w:rPr>
                <w:rFonts w:ascii="Calibri" w:eastAsia="Times New Roman" w:hAnsi="Calibri" w:cs="Times New Roman"/>
                <w:color w:val="000000" w:themeColor="text1"/>
                <w:lang w:eastAsia="en-AU"/>
              </w:rPr>
              <w:t xml:space="preserve"> and bars</w:t>
            </w:r>
          </w:p>
        </w:tc>
        <w:tc>
          <w:tcPr>
            <w:tcW w:w="2629" w:type="dxa"/>
            <w:hideMark/>
          </w:tcPr>
          <w:p w14:paraId="75762989" w14:textId="77777777" w:rsidR="00C37D3A" w:rsidRPr="007B2D02" w:rsidRDefault="00C37D3A" w:rsidP="00C37D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-10%</w:t>
            </w:r>
          </w:p>
        </w:tc>
        <w:tc>
          <w:tcPr>
            <w:tcW w:w="2560" w:type="dxa"/>
            <w:hideMark/>
          </w:tcPr>
          <w:p w14:paraId="512471B1" w14:textId="77777777" w:rsidR="00C37D3A" w:rsidRPr="007B2D02" w:rsidRDefault="00C37D3A" w:rsidP="00C37D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6%</w:t>
            </w:r>
          </w:p>
        </w:tc>
      </w:tr>
      <w:tr w:rsidR="007B2D02" w:rsidRPr="007B2D02" w14:paraId="4152AD26" w14:textId="77777777" w:rsidTr="007B2D02">
        <w:trPr>
          <w:trHeight w:val="300"/>
        </w:trPr>
        <w:tc>
          <w:tcPr>
            <w:cnfStyle w:val="001000000000" w:firstRow="0" w:lastRow="0" w:firstColumn="1" w:lastColumn="0" w:oddVBand="0" w:evenVBand="0" w:oddHBand="0" w:evenHBand="0" w:firstRowFirstColumn="0" w:firstRowLastColumn="0" w:lastRowFirstColumn="0" w:lastRowLastColumn="0"/>
            <w:tcW w:w="4531" w:type="dxa"/>
            <w:hideMark/>
          </w:tcPr>
          <w:p w14:paraId="3E02C03B" w14:textId="77777777" w:rsidR="00C37D3A" w:rsidRPr="007B2D02" w:rsidRDefault="00C37D3A" w:rsidP="00C37D3A">
            <w:pPr>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Retail trade</w:t>
            </w:r>
          </w:p>
        </w:tc>
        <w:tc>
          <w:tcPr>
            <w:tcW w:w="2629" w:type="dxa"/>
            <w:hideMark/>
          </w:tcPr>
          <w:p w14:paraId="0A95752C" w14:textId="77777777" w:rsidR="00C37D3A" w:rsidRPr="007B2D02" w:rsidRDefault="00C37D3A" w:rsidP="00C37D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3%</w:t>
            </w:r>
          </w:p>
        </w:tc>
        <w:tc>
          <w:tcPr>
            <w:tcW w:w="2560" w:type="dxa"/>
            <w:hideMark/>
          </w:tcPr>
          <w:p w14:paraId="22BCD561" w14:textId="77777777" w:rsidR="00C37D3A" w:rsidRPr="007B2D02" w:rsidRDefault="00C37D3A" w:rsidP="00C37D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6%</w:t>
            </w:r>
          </w:p>
        </w:tc>
      </w:tr>
      <w:tr w:rsidR="007B2D02" w:rsidRPr="007B2D02" w14:paraId="4209001D" w14:textId="77777777" w:rsidTr="007B2D02">
        <w:trPr>
          <w:trHeight w:val="300"/>
        </w:trPr>
        <w:tc>
          <w:tcPr>
            <w:cnfStyle w:val="001000000000" w:firstRow="0" w:lastRow="0" w:firstColumn="1" w:lastColumn="0" w:oddVBand="0" w:evenVBand="0" w:oddHBand="0" w:evenHBand="0" w:firstRowFirstColumn="0" w:firstRowLastColumn="0" w:lastRowFirstColumn="0" w:lastRowLastColumn="0"/>
            <w:tcW w:w="4531" w:type="dxa"/>
            <w:hideMark/>
          </w:tcPr>
          <w:p w14:paraId="1BC96C84" w14:textId="77777777" w:rsidR="00C37D3A" w:rsidRPr="007B2D02" w:rsidRDefault="00C37D3A" w:rsidP="00C37D3A">
            <w:pPr>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 xml:space="preserve">Cafes, </w:t>
            </w:r>
            <w:proofErr w:type="gramStart"/>
            <w:r w:rsidRPr="007B2D02">
              <w:rPr>
                <w:rFonts w:ascii="Calibri" w:eastAsia="Times New Roman" w:hAnsi="Calibri" w:cs="Times New Roman"/>
                <w:color w:val="000000" w:themeColor="text1"/>
                <w:lang w:eastAsia="en-AU"/>
              </w:rPr>
              <w:t>restaurants</w:t>
            </w:r>
            <w:proofErr w:type="gramEnd"/>
            <w:r w:rsidRPr="007B2D02">
              <w:rPr>
                <w:rFonts w:ascii="Calibri" w:eastAsia="Times New Roman" w:hAnsi="Calibri" w:cs="Times New Roman"/>
                <w:color w:val="000000" w:themeColor="text1"/>
                <w:lang w:eastAsia="en-AU"/>
              </w:rPr>
              <w:t xml:space="preserve"> and takeaway food services</w:t>
            </w:r>
          </w:p>
        </w:tc>
        <w:tc>
          <w:tcPr>
            <w:tcW w:w="2629" w:type="dxa"/>
            <w:hideMark/>
          </w:tcPr>
          <w:p w14:paraId="1954B209" w14:textId="77777777" w:rsidR="00C37D3A" w:rsidRPr="007B2D02" w:rsidRDefault="00C37D3A" w:rsidP="00C37D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-10%</w:t>
            </w:r>
          </w:p>
        </w:tc>
        <w:tc>
          <w:tcPr>
            <w:tcW w:w="2560" w:type="dxa"/>
            <w:hideMark/>
          </w:tcPr>
          <w:p w14:paraId="613ED1F1" w14:textId="77777777" w:rsidR="00C37D3A" w:rsidRPr="007B2D02" w:rsidRDefault="00C37D3A" w:rsidP="00C37D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4%</w:t>
            </w:r>
          </w:p>
        </w:tc>
      </w:tr>
      <w:tr w:rsidR="007B2D02" w:rsidRPr="007B2D02" w14:paraId="507526D0" w14:textId="77777777" w:rsidTr="007B2D02">
        <w:trPr>
          <w:trHeight w:val="300"/>
        </w:trPr>
        <w:tc>
          <w:tcPr>
            <w:cnfStyle w:val="001000000000" w:firstRow="0" w:lastRow="0" w:firstColumn="1" w:lastColumn="0" w:oddVBand="0" w:evenVBand="0" w:oddHBand="0" w:evenHBand="0" w:firstRowFirstColumn="0" w:firstRowLastColumn="0" w:lastRowFirstColumn="0" w:lastRowLastColumn="0"/>
            <w:tcW w:w="4531" w:type="dxa"/>
            <w:hideMark/>
          </w:tcPr>
          <w:p w14:paraId="6E563226" w14:textId="77777777" w:rsidR="00C37D3A" w:rsidRPr="007B2D02" w:rsidRDefault="00C37D3A" w:rsidP="00C37D3A">
            <w:pPr>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Education and training</w:t>
            </w:r>
          </w:p>
        </w:tc>
        <w:tc>
          <w:tcPr>
            <w:tcW w:w="2629" w:type="dxa"/>
            <w:hideMark/>
          </w:tcPr>
          <w:p w14:paraId="7BCEBEEE" w14:textId="77777777" w:rsidR="00C37D3A" w:rsidRPr="007B2D02" w:rsidRDefault="00C37D3A" w:rsidP="00C37D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-14%</w:t>
            </w:r>
          </w:p>
        </w:tc>
        <w:tc>
          <w:tcPr>
            <w:tcW w:w="2560" w:type="dxa"/>
            <w:hideMark/>
          </w:tcPr>
          <w:p w14:paraId="457FBCA7" w14:textId="77777777" w:rsidR="00C37D3A" w:rsidRPr="007B2D02" w:rsidRDefault="00C37D3A" w:rsidP="00C37D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4%</w:t>
            </w:r>
          </w:p>
        </w:tc>
      </w:tr>
      <w:tr w:rsidR="007B2D02" w:rsidRPr="007B2D02" w14:paraId="7E6602C9" w14:textId="77777777" w:rsidTr="007B2D02">
        <w:trPr>
          <w:trHeight w:val="300"/>
        </w:trPr>
        <w:tc>
          <w:tcPr>
            <w:cnfStyle w:val="001000000000" w:firstRow="0" w:lastRow="0" w:firstColumn="1" w:lastColumn="0" w:oddVBand="0" w:evenVBand="0" w:oddHBand="0" w:evenHBand="0" w:firstRowFirstColumn="0" w:firstRowLastColumn="0" w:lastRowFirstColumn="0" w:lastRowLastColumn="0"/>
            <w:tcW w:w="4531" w:type="dxa"/>
            <w:hideMark/>
          </w:tcPr>
          <w:p w14:paraId="395ED2BA" w14:textId="77777777" w:rsidR="00C37D3A" w:rsidRPr="007B2D02" w:rsidRDefault="00C37D3A" w:rsidP="00C37D3A">
            <w:pPr>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Casinos and other gambling services</w:t>
            </w:r>
          </w:p>
        </w:tc>
        <w:tc>
          <w:tcPr>
            <w:tcW w:w="2629" w:type="dxa"/>
            <w:hideMark/>
          </w:tcPr>
          <w:p w14:paraId="05C70942" w14:textId="77777777" w:rsidR="00C37D3A" w:rsidRPr="007B2D02" w:rsidRDefault="00C37D3A" w:rsidP="00C37D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-13%</w:t>
            </w:r>
          </w:p>
        </w:tc>
        <w:tc>
          <w:tcPr>
            <w:tcW w:w="2560" w:type="dxa"/>
            <w:hideMark/>
          </w:tcPr>
          <w:p w14:paraId="3FBADABB" w14:textId="77777777" w:rsidR="00C37D3A" w:rsidRPr="007B2D02" w:rsidRDefault="00C37D3A" w:rsidP="00C37D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3%</w:t>
            </w:r>
          </w:p>
        </w:tc>
      </w:tr>
      <w:tr w:rsidR="007B2D02" w:rsidRPr="007B2D02" w14:paraId="3D740D54" w14:textId="77777777" w:rsidTr="007B2D02">
        <w:trPr>
          <w:trHeight w:val="300"/>
        </w:trPr>
        <w:tc>
          <w:tcPr>
            <w:cnfStyle w:val="001000000000" w:firstRow="0" w:lastRow="0" w:firstColumn="1" w:lastColumn="0" w:oddVBand="0" w:evenVBand="0" w:oddHBand="0" w:evenHBand="0" w:firstRowFirstColumn="0" w:firstRowLastColumn="0" w:lastRowFirstColumn="0" w:lastRowLastColumn="0"/>
            <w:tcW w:w="4531" w:type="dxa"/>
            <w:hideMark/>
          </w:tcPr>
          <w:p w14:paraId="2A85C478" w14:textId="77777777" w:rsidR="00C37D3A" w:rsidRPr="007B2D02" w:rsidRDefault="00C37D3A" w:rsidP="00C37D3A">
            <w:pPr>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All other industries</w:t>
            </w:r>
          </w:p>
        </w:tc>
        <w:tc>
          <w:tcPr>
            <w:tcW w:w="2629" w:type="dxa"/>
            <w:hideMark/>
          </w:tcPr>
          <w:p w14:paraId="68CEF55A" w14:textId="77777777" w:rsidR="00C37D3A" w:rsidRPr="007B2D02" w:rsidRDefault="00C37D3A" w:rsidP="00C37D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-1%</w:t>
            </w:r>
          </w:p>
        </w:tc>
        <w:tc>
          <w:tcPr>
            <w:tcW w:w="2560" w:type="dxa"/>
            <w:hideMark/>
          </w:tcPr>
          <w:p w14:paraId="66A75BA7" w14:textId="77777777" w:rsidR="00C37D3A" w:rsidRPr="007B2D02" w:rsidRDefault="00C37D3A" w:rsidP="00C37D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3%</w:t>
            </w:r>
          </w:p>
        </w:tc>
      </w:tr>
      <w:tr w:rsidR="007B2D02" w:rsidRPr="007B2D02" w14:paraId="20A6FAB1" w14:textId="77777777" w:rsidTr="007B2D02">
        <w:trPr>
          <w:trHeight w:val="300"/>
        </w:trPr>
        <w:tc>
          <w:tcPr>
            <w:cnfStyle w:val="001000000000" w:firstRow="0" w:lastRow="0" w:firstColumn="1" w:lastColumn="0" w:oddVBand="0" w:evenVBand="0" w:oddHBand="0" w:evenHBand="0" w:firstRowFirstColumn="0" w:firstRowLastColumn="0" w:lastRowFirstColumn="0" w:lastRowLastColumn="0"/>
            <w:tcW w:w="4531" w:type="dxa"/>
            <w:hideMark/>
          </w:tcPr>
          <w:p w14:paraId="28302C6E" w14:textId="77777777" w:rsidR="00C37D3A" w:rsidRPr="007B2D02" w:rsidRDefault="00C37D3A" w:rsidP="00C37D3A">
            <w:pPr>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Rail transport</w:t>
            </w:r>
          </w:p>
        </w:tc>
        <w:tc>
          <w:tcPr>
            <w:tcW w:w="2629" w:type="dxa"/>
            <w:hideMark/>
          </w:tcPr>
          <w:p w14:paraId="5B25346D" w14:textId="77777777" w:rsidR="00C37D3A" w:rsidRPr="007B2D02" w:rsidRDefault="00C37D3A" w:rsidP="00C37D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-5%</w:t>
            </w:r>
          </w:p>
        </w:tc>
        <w:tc>
          <w:tcPr>
            <w:tcW w:w="2560" w:type="dxa"/>
            <w:hideMark/>
          </w:tcPr>
          <w:p w14:paraId="3D5929D7" w14:textId="77777777" w:rsidR="00C37D3A" w:rsidRPr="007B2D02" w:rsidRDefault="00C37D3A" w:rsidP="00C37D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0%</w:t>
            </w:r>
          </w:p>
        </w:tc>
      </w:tr>
      <w:tr w:rsidR="007B2D02" w:rsidRPr="007B2D02" w14:paraId="48A958B8" w14:textId="77777777" w:rsidTr="007B2D02">
        <w:trPr>
          <w:trHeight w:val="300"/>
        </w:trPr>
        <w:tc>
          <w:tcPr>
            <w:cnfStyle w:val="001000000000" w:firstRow="0" w:lastRow="0" w:firstColumn="1" w:lastColumn="0" w:oddVBand="0" w:evenVBand="0" w:oddHBand="0" w:evenHBand="0" w:firstRowFirstColumn="0" w:firstRowLastColumn="0" w:lastRowFirstColumn="0" w:lastRowLastColumn="0"/>
            <w:tcW w:w="4531" w:type="dxa"/>
            <w:hideMark/>
          </w:tcPr>
          <w:p w14:paraId="40EC2D1F" w14:textId="77777777" w:rsidR="00C37D3A" w:rsidRPr="007B2D02" w:rsidRDefault="00C37D3A" w:rsidP="00C37D3A">
            <w:pPr>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Cultural services</w:t>
            </w:r>
          </w:p>
        </w:tc>
        <w:tc>
          <w:tcPr>
            <w:tcW w:w="2629" w:type="dxa"/>
            <w:hideMark/>
          </w:tcPr>
          <w:p w14:paraId="3F8BC96A" w14:textId="77777777" w:rsidR="00C37D3A" w:rsidRPr="007B2D02" w:rsidRDefault="00C37D3A" w:rsidP="00C37D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-25%</w:t>
            </w:r>
          </w:p>
        </w:tc>
        <w:tc>
          <w:tcPr>
            <w:tcW w:w="2560" w:type="dxa"/>
            <w:hideMark/>
          </w:tcPr>
          <w:p w14:paraId="70BAC876" w14:textId="77777777" w:rsidR="00C37D3A" w:rsidRPr="007B2D02" w:rsidRDefault="00C37D3A" w:rsidP="00C37D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-1%</w:t>
            </w:r>
          </w:p>
        </w:tc>
      </w:tr>
      <w:tr w:rsidR="007B2D02" w:rsidRPr="007B2D02" w14:paraId="44FB74B7" w14:textId="77777777" w:rsidTr="007B2D02">
        <w:trPr>
          <w:trHeight w:val="300"/>
        </w:trPr>
        <w:tc>
          <w:tcPr>
            <w:cnfStyle w:val="001000000000" w:firstRow="0" w:lastRow="0" w:firstColumn="1" w:lastColumn="0" w:oddVBand="0" w:evenVBand="0" w:oddHBand="0" w:evenHBand="0" w:firstRowFirstColumn="0" w:firstRowLastColumn="0" w:lastRowFirstColumn="0" w:lastRowLastColumn="0"/>
            <w:tcW w:w="4531" w:type="dxa"/>
            <w:hideMark/>
          </w:tcPr>
          <w:p w14:paraId="23BD5C71" w14:textId="77777777" w:rsidR="00C37D3A" w:rsidRPr="007B2D02" w:rsidRDefault="00C37D3A" w:rsidP="00C37D3A">
            <w:pPr>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 xml:space="preserve">Air, </w:t>
            </w:r>
            <w:proofErr w:type="gramStart"/>
            <w:r w:rsidRPr="007B2D02">
              <w:rPr>
                <w:rFonts w:ascii="Calibri" w:eastAsia="Times New Roman" w:hAnsi="Calibri" w:cs="Times New Roman"/>
                <w:color w:val="000000" w:themeColor="text1"/>
                <w:lang w:eastAsia="en-AU"/>
              </w:rPr>
              <w:t>water</w:t>
            </w:r>
            <w:proofErr w:type="gramEnd"/>
            <w:r w:rsidRPr="007B2D02">
              <w:rPr>
                <w:rFonts w:ascii="Calibri" w:eastAsia="Times New Roman" w:hAnsi="Calibri" w:cs="Times New Roman"/>
                <w:color w:val="000000" w:themeColor="text1"/>
                <w:lang w:eastAsia="en-AU"/>
              </w:rPr>
              <w:t xml:space="preserve"> and other transport</w:t>
            </w:r>
          </w:p>
        </w:tc>
        <w:tc>
          <w:tcPr>
            <w:tcW w:w="2629" w:type="dxa"/>
            <w:hideMark/>
          </w:tcPr>
          <w:p w14:paraId="32902D79" w14:textId="77777777" w:rsidR="00C37D3A" w:rsidRPr="007B2D02" w:rsidRDefault="00C37D3A" w:rsidP="00C37D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-41%</w:t>
            </w:r>
          </w:p>
        </w:tc>
        <w:tc>
          <w:tcPr>
            <w:tcW w:w="2560" w:type="dxa"/>
            <w:hideMark/>
          </w:tcPr>
          <w:p w14:paraId="602D4D4D" w14:textId="77777777" w:rsidR="00C37D3A" w:rsidRPr="007B2D02" w:rsidRDefault="00C37D3A" w:rsidP="00C37D3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themeColor="text1"/>
                <w:lang w:eastAsia="en-AU"/>
              </w:rPr>
            </w:pPr>
            <w:r w:rsidRPr="007B2D02">
              <w:rPr>
                <w:rFonts w:ascii="Calibri" w:eastAsia="Times New Roman" w:hAnsi="Calibri" w:cs="Times New Roman"/>
                <w:color w:val="000000" w:themeColor="text1"/>
                <w:lang w:eastAsia="en-AU"/>
              </w:rPr>
              <w:t>-2%</w:t>
            </w:r>
          </w:p>
        </w:tc>
      </w:tr>
    </w:tbl>
    <w:p w14:paraId="7DB95FFA" w14:textId="77777777" w:rsidR="00C37D3A" w:rsidRDefault="00C37D3A" w:rsidP="002A46AC"/>
    <w:p w14:paraId="584F2338" w14:textId="1387D638" w:rsidR="00C37D3A" w:rsidRDefault="005C52F7" w:rsidP="00C37D3A">
      <w:pPr>
        <w:pStyle w:val="Heading2"/>
      </w:pPr>
      <w:r>
        <w:t xml:space="preserve">Looking </w:t>
      </w:r>
      <w:r w:rsidR="00C37D3A">
        <w:t>forward</w:t>
      </w:r>
    </w:p>
    <w:p w14:paraId="6F0700DE" w14:textId="77777777" w:rsidR="002D5757" w:rsidRDefault="002D5757" w:rsidP="002D5757">
      <w:r>
        <w:t>Th</w:t>
      </w:r>
      <w:r w:rsidR="00C37D3A">
        <w:t xml:space="preserve">e </w:t>
      </w:r>
      <w:r>
        <w:t xml:space="preserve">Australia’s </w:t>
      </w:r>
      <w:r w:rsidR="00752CF7">
        <w:t>Visitor Economy</w:t>
      </w:r>
      <w:r w:rsidR="00C37D3A">
        <w:t xml:space="preserve"> is still facing significant challenges</w:t>
      </w:r>
      <w:r w:rsidR="00752CF7">
        <w:t>.</w:t>
      </w:r>
    </w:p>
    <w:p w14:paraId="7AB94991" w14:textId="5D31EAB9" w:rsidR="009D6F0A" w:rsidRDefault="00752CF7" w:rsidP="69A6F45D">
      <w:pPr>
        <w:pStyle w:val="css-1yqigsj"/>
        <w:shd w:val="clear" w:color="auto" w:fill="FFFFFF" w:themeFill="background1"/>
        <w:spacing w:before="0" w:beforeAutospacing="0" w:after="0" w:afterAutospacing="0"/>
        <w:textAlignment w:val="baseline"/>
        <w:rPr>
          <w:rFonts w:asciiTheme="minorHAnsi" w:hAnsiTheme="minorHAnsi"/>
          <w:sz w:val="22"/>
          <w:szCs w:val="22"/>
        </w:rPr>
      </w:pPr>
      <w:r w:rsidRPr="69A6F45D">
        <w:rPr>
          <w:rFonts w:asciiTheme="minorHAnsi" w:hAnsiTheme="minorHAnsi"/>
          <w:b/>
          <w:bCs/>
          <w:sz w:val="22"/>
          <w:szCs w:val="22"/>
        </w:rPr>
        <w:t xml:space="preserve">The reopening </w:t>
      </w:r>
      <w:r w:rsidR="00271483" w:rsidRPr="69A6F45D">
        <w:rPr>
          <w:rFonts w:asciiTheme="minorHAnsi" w:hAnsiTheme="minorHAnsi"/>
          <w:b/>
          <w:bCs/>
          <w:sz w:val="22"/>
          <w:szCs w:val="22"/>
        </w:rPr>
        <w:t xml:space="preserve">of </w:t>
      </w:r>
      <w:r w:rsidR="1CC177FE" w:rsidRPr="69A6F45D">
        <w:rPr>
          <w:rFonts w:asciiTheme="minorHAnsi" w:hAnsiTheme="minorHAnsi"/>
          <w:b/>
          <w:bCs/>
          <w:sz w:val="22"/>
          <w:szCs w:val="22"/>
        </w:rPr>
        <w:t>Australia’s</w:t>
      </w:r>
      <w:r w:rsidR="00271483" w:rsidRPr="69A6F45D">
        <w:rPr>
          <w:rFonts w:asciiTheme="minorHAnsi" w:hAnsiTheme="minorHAnsi"/>
          <w:b/>
          <w:bCs/>
          <w:sz w:val="22"/>
          <w:szCs w:val="22"/>
        </w:rPr>
        <w:t xml:space="preserve"> </w:t>
      </w:r>
      <w:r w:rsidRPr="69A6F45D">
        <w:rPr>
          <w:rFonts w:asciiTheme="minorHAnsi" w:hAnsiTheme="minorHAnsi"/>
          <w:b/>
          <w:bCs/>
          <w:sz w:val="22"/>
          <w:szCs w:val="22"/>
        </w:rPr>
        <w:t>border is still a long way off</w:t>
      </w:r>
      <w:r w:rsidRPr="69A6F45D">
        <w:rPr>
          <w:rFonts w:asciiTheme="minorHAnsi" w:hAnsiTheme="minorHAnsi"/>
          <w:sz w:val="22"/>
          <w:szCs w:val="22"/>
        </w:rPr>
        <w:t xml:space="preserve">. Australia has done a good job in keeping the </w:t>
      </w:r>
      <w:r w:rsidR="00A410F4" w:rsidRPr="69A6F45D">
        <w:rPr>
          <w:rFonts w:asciiTheme="minorHAnsi" w:hAnsiTheme="minorHAnsi"/>
          <w:sz w:val="22"/>
          <w:szCs w:val="22"/>
        </w:rPr>
        <w:t>spread of the virus</w:t>
      </w:r>
      <w:r w:rsidRPr="69A6F45D">
        <w:rPr>
          <w:rFonts w:asciiTheme="minorHAnsi" w:hAnsiTheme="minorHAnsi"/>
          <w:sz w:val="22"/>
          <w:szCs w:val="22"/>
        </w:rPr>
        <w:t xml:space="preserve"> under control. However, while </w:t>
      </w:r>
      <w:r w:rsidR="009D6F0A" w:rsidRPr="69A6F45D">
        <w:rPr>
          <w:rFonts w:asciiTheme="minorHAnsi" w:hAnsiTheme="minorHAnsi"/>
          <w:sz w:val="22"/>
          <w:szCs w:val="22"/>
        </w:rPr>
        <w:t>other countries are looking to reopen borders, Australia is taking a more cautious approach</w:t>
      </w:r>
      <w:r w:rsidRPr="69A6F45D">
        <w:rPr>
          <w:rFonts w:asciiTheme="minorHAnsi" w:hAnsiTheme="minorHAnsi"/>
          <w:sz w:val="22"/>
          <w:szCs w:val="22"/>
        </w:rPr>
        <w:t xml:space="preserve">. </w:t>
      </w:r>
      <w:r w:rsidR="009D6F0A" w:rsidRPr="69A6F45D">
        <w:rPr>
          <w:rFonts w:asciiTheme="minorHAnsi" w:hAnsiTheme="minorHAnsi"/>
          <w:sz w:val="22"/>
          <w:szCs w:val="22"/>
        </w:rPr>
        <w:t>There are still many questions being asked globally that will influence quarantine</w:t>
      </w:r>
      <w:r w:rsidR="00E5794D">
        <w:rPr>
          <w:rFonts w:asciiTheme="minorHAnsi" w:hAnsiTheme="minorHAnsi"/>
          <w:sz w:val="22"/>
          <w:szCs w:val="22"/>
        </w:rPr>
        <w:t>-</w:t>
      </w:r>
      <w:r w:rsidR="009D6F0A" w:rsidRPr="69A6F45D">
        <w:rPr>
          <w:rFonts w:asciiTheme="minorHAnsi" w:hAnsiTheme="minorHAnsi"/>
          <w:sz w:val="22"/>
          <w:szCs w:val="22"/>
        </w:rPr>
        <w:t xml:space="preserve">free international </w:t>
      </w:r>
      <w:r w:rsidR="00F50737" w:rsidRPr="69A6F45D">
        <w:rPr>
          <w:rFonts w:asciiTheme="minorHAnsi" w:hAnsiTheme="minorHAnsi"/>
          <w:sz w:val="22"/>
          <w:szCs w:val="22"/>
        </w:rPr>
        <w:t>travel, including</w:t>
      </w:r>
      <w:r w:rsidR="009D6F0A" w:rsidRPr="69A6F45D">
        <w:rPr>
          <w:rFonts w:asciiTheme="minorHAnsi" w:hAnsiTheme="minorHAnsi"/>
          <w:sz w:val="22"/>
          <w:szCs w:val="22"/>
        </w:rPr>
        <w:t>:</w:t>
      </w:r>
    </w:p>
    <w:p w14:paraId="314848DF" w14:textId="5F06A6E1" w:rsidR="009D6F0A" w:rsidRPr="00F50737" w:rsidRDefault="00E5794D" w:rsidP="00F50737">
      <w:pPr>
        <w:pStyle w:val="css-1yqigsj"/>
        <w:numPr>
          <w:ilvl w:val="0"/>
          <w:numId w:val="40"/>
        </w:numPr>
        <w:shd w:val="clear" w:color="auto" w:fill="FFFFFF"/>
        <w:spacing w:before="0" w:beforeAutospacing="0" w:after="0" w:afterAutospacing="0"/>
        <w:ind w:left="714" w:hanging="357"/>
        <w:textAlignment w:val="baseline"/>
        <w:rPr>
          <w:rFonts w:asciiTheme="minorHAnsi" w:hAnsiTheme="minorHAnsi"/>
          <w:color w:val="121212"/>
          <w:sz w:val="22"/>
          <w:szCs w:val="22"/>
        </w:rPr>
      </w:pPr>
      <w:r>
        <w:rPr>
          <w:rFonts w:asciiTheme="minorHAnsi" w:hAnsiTheme="minorHAnsi"/>
          <w:sz w:val="22"/>
          <w:szCs w:val="22"/>
        </w:rPr>
        <w:t>v</w:t>
      </w:r>
      <w:r w:rsidR="009D6F0A">
        <w:rPr>
          <w:rFonts w:asciiTheme="minorHAnsi" w:hAnsiTheme="minorHAnsi"/>
          <w:sz w:val="22"/>
          <w:szCs w:val="22"/>
        </w:rPr>
        <w:t>accin</w:t>
      </w:r>
      <w:r w:rsidR="00C51FBD">
        <w:rPr>
          <w:rFonts w:asciiTheme="minorHAnsi" w:hAnsiTheme="minorHAnsi"/>
          <w:sz w:val="22"/>
          <w:szCs w:val="22"/>
        </w:rPr>
        <w:t xml:space="preserve">ation </w:t>
      </w:r>
      <w:r w:rsidR="009D6F0A">
        <w:rPr>
          <w:rFonts w:asciiTheme="minorHAnsi" w:hAnsiTheme="minorHAnsi"/>
          <w:sz w:val="22"/>
          <w:szCs w:val="22"/>
        </w:rPr>
        <w:t>rates and herd immunity</w:t>
      </w:r>
    </w:p>
    <w:p w14:paraId="3D205CF7" w14:textId="1D3CE041" w:rsidR="00F50737" w:rsidRDefault="00E5794D" w:rsidP="69A6F45D">
      <w:pPr>
        <w:pStyle w:val="css-1yqigsj"/>
        <w:numPr>
          <w:ilvl w:val="0"/>
          <w:numId w:val="40"/>
        </w:numPr>
        <w:shd w:val="clear" w:color="auto" w:fill="FFFFFF" w:themeFill="background1"/>
        <w:spacing w:before="0" w:beforeAutospacing="0" w:after="0" w:afterAutospacing="0"/>
        <w:ind w:left="714" w:hanging="357"/>
        <w:textAlignment w:val="baseline"/>
        <w:rPr>
          <w:rFonts w:asciiTheme="minorHAnsi" w:hAnsiTheme="minorHAnsi"/>
          <w:color w:val="121212"/>
          <w:sz w:val="22"/>
          <w:szCs w:val="22"/>
        </w:rPr>
      </w:pPr>
      <w:r>
        <w:rPr>
          <w:rFonts w:asciiTheme="minorHAnsi" w:hAnsiTheme="minorHAnsi"/>
          <w:color w:val="121212"/>
          <w:sz w:val="22"/>
          <w:szCs w:val="22"/>
        </w:rPr>
        <w:t>t</w:t>
      </w:r>
      <w:r w:rsidR="00F50737" w:rsidRPr="69A6F45D">
        <w:rPr>
          <w:rFonts w:asciiTheme="minorHAnsi" w:hAnsiTheme="minorHAnsi"/>
          <w:color w:val="121212"/>
          <w:sz w:val="22"/>
          <w:szCs w:val="22"/>
        </w:rPr>
        <w:t>he emergence of new, hig</w:t>
      </w:r>
      <w:r w:rsidR="00AE226B" w:rsidRPr="69A6F45D">
        <w:rPr>
          <w:rFonts w:asciiTheme="minorHAnsi" w:hAnsiTheme="minorHAnsi"/>
          <w:color w:val="121212"/>
          <w:sz w:val="22"/>
          <w:szCs w:val="22"/>
        </w:rPr>
        <w:t>hly infectio</w:t>
      </w:r>
      <w:r w:rsidR="3C6DD17F" w:rsidRPr="69A6F45D">
        <w:rPr>
          <w:rFonts w:asciiTheme="minorHAnsi" w:hAnsiTheme="minorHAnsi"/>
          <w:color w:val="121212"/>
          <w:sz w:val="22"/>
          <w:szCs w:val="22"/>
        </w:rPr>
        <w:t>us</w:t>
      </w:r>
      <w:r w:rsidR="00AE226B" w:rsidRPr="69A6F45D">
        <w:rPr>
          <w:rFonts w:asciiTheme="minorHAnsi" w:hAnsiTheme="minorHAnsi"/>
          <w:color w:val="121212"/>
          <w:sz w:val="22"/>
          <w:szCs w:val="22"/>
        </w:rPr>
        <w:t xml:space="preserve"> Covid-19 variants and vaccine effectiveness against these new variants</w:t>
      </w:r>
    </w:p>
    <w:p w14:paraId="1D9B5449" w14:textId="4BB40B51" w:rsidR="00F50737" w:rsidRPr="00F50737" w:rsidRDefault="00E5794D" w:rsidP="009D6F0A">
      <w:pPr>
        <w:pStyle w:val="css-1yqigsj"/>
        <w:numPr>
          <w:ilvl w:val="0"/>
          <w:numId w:val="40"/>
        </w:numPr>
        <w:shd w:val="clear" w:color="auto" w:fill="FFFFFF"/>
        <w:spacing w:before="0" w:beforeAutospacing="0" w:after="0" w:afterAutospacing="0"/>
        <w:ind w:left="714" w:hanging="357"/>
        <w:textAlignment w:val="baseline"/>
        <w:rPr>
          <w:rFonts w:asciiTheme="minorHAnsi" w:hAnsiTheme="minorHAnsi"/>
          <w:color w:val="121212"/>
          <w:sz w:val="22"/>
          <w:szCs w:val="22"/>
        </w:rPr>
      </w:pPr>
      <w:r>
        <w:rPr>
          <w:rFonts w:asciiTheme="minorHAnsi" w:hAnsiTheme="minorHAnsi"/>
          <w:color w:val="121212"/>
          <w:sz w:val="22"/>
          <w:szCs w:val="22"/>
        </w:rPr>
        <w:t>c</w:t>
      </w:r>
      <w:r w:rsidR="00F50737">
        <w:rPr>
          <w:rFonts w:asciiTheme="minorHAnsi" w:hAnsiTheme="minorHAnsi"/>
          <w:color w:val="121212"/>
          <w:sz w:val="22"/>
          <w:szCs w:val="22"/>
        </w:rPr>
        <w:t>hallenges associated with the resumption of international aviation</w:t>
      </w:r>
      <w:r w:rsidR="00AE226B">
        <w:rPr>
          <w:rFonts w:asciiTheme="minorHAnsi" w:hAnsiTheme="minorHAnsi"/>
          <w:color w:val="121212"/>
          <w:sz w:val="22"/>
          <w:szCs w:val="22"/>
        </w:rPr>
        <w:t>, including the logistics of vaccine passports</w:t>
      </w:r>
      <w:r w:rsidR="00217EAE">
        <w:rPr>
          <w:rFonts w:asciiTheme="minorHAnsi" w:hAnsiTheme="minorHAnsi"/>
          <w:color w:val="121212"/>
          <w:sz w:val="22"/>
          <w:szCs w:val="22"/>
        </w:rPr>
        <w:t>.</w:t>
      </w:r>
    </w:p>
    <w:p w14:paraId="115540E0" w14:textId="019BED36" w:rsidR="00AE226B" w:rsidRDefault="00271483" w:rsidP="00713670">
      <w:r>
        <w:lastRenderedPageBreak/>
        <w:t>Aside from travel bubbles</w:t>
      </w:r>
      <w:r w:rsidR="00E5794D">
        <w:t xml:space="preserve"> </w:t>
      </w:r>
      <w:r>
        <w:t>and small pilot programs, Treasury</w:t>
      </w:r>
      <w:r w:rsidR="00752CF7" w:rsidRPr="00F50737">
        <w:t xml:space="preserve"> assumes that Australia’s borders will</w:t>
      </w:r>
      <w:r w:rsidR="00F50737">
        <w:t xml:space="preserve"> likely</w:t>
      </w:r>
      <w:r>
        <w:t xml:space="preserve"> </w:t>
      </w:r>
      <w:r w:rsidR="00752CF7" w:rsidRPr="00F50737">
        <w:t>remain closed until mid-2022</w:t>
      </w:r>
      <w:r w:rsidR="00F50737">
        <w:t xml:space="preserve">. </w:t>
      </w:r>
      <w:r w:rsidR="00C951AA">
        <w:t>The International Air Transport Association expects air travel to resume to pre-pandemic levels by 2024</w:t>
      </w:r>
      <w:r w:rsidR="005C52F7">
        <w:t xml:space="preserve">.  </w:t>
      </w:r>
    </w:p>
    <w:p w14:paraId="25CD6AA9" w14:textId="6DFDCA7C" w:rsidR="0070736E" w:rsidRDefault="00F50737" w:rsidP="00713670">
      <w:r w:rsidRPr="69A6F45D">
        <w:t xml:space="preserve">In the interim, the trans-Tasman travel bubble </w:t>
      </w:r>
      <w:r w:rsidR="00E5794D" w:rsidRPr="69A6F45D">
        <w:t>has proven to be popular</w:t>
      </w:r>
      <w:r w:rsidR="00E5794D">
        <w:t>. This</w:t>
      </w:r>
      <w:r w:rsidRPr="69A6F45D">
        <w:t xml:space="preserve"> allows quarantine</w:t>
      </w:r>
      <w:r w:rsidR="00E5794D">
        <w:t>-</w:t>
      </w:r>
      <w:r w:rsidRPr="69A6F45D">
        <w:t>free travel between Australia and New Zealand. In April 2021, the month the travel bubble commenced, there were 16,320 short term visitor arrivals from New Zealand. While this is still 86</w:t>
      </w:r>
      <w:r w:rsidR="008F05B6" w:rsidRPr="69A6F45D">
        <w:t xml:space="preserve"> per cent</w:t>
      </w:r>
      <w:r w:rsidRPr="69A6F45D">
        <w:t xml:space="preserve"> </w:t>
      </w:r>
      <w:r w:rsidR="111561B3" w:rsidRPr="69A6F45D">
        <w:t xml:space="preserve">lower than </w:t>
      </w:r>
      <w:r w:rsidRPr="69A6F45D">
        <w:t xml:space="preserve">pre-pandemic levels (April 2019), </w:t>
      </w:r>
      <w:r w:rsidR="00AE226B" w:rsidRPr="69A6F45D">
        <w:t>it is almost a 700</w:t>
      </w:r>
      <w:r w:rsidR="008F05B6" w:rsidRPr="69A6F45D">
        <w:t xml:space="preserve"> per cent</w:t>
      </w:r>
      <w:r w:rsidR="00AE226B" w:rsidRPr="69A6F45D">
        <w:t xml:space="preserve"> improvement on March 2021</w:t>
      </w:r>
      <w:r w:rsidR="00E5794D">
        <w:t>,</w:t>
      </w:r>
      <w:r w:rsidR="00AE226B" w:rsidRPr="69A6F45D">
        <w:t xml:space="preserve"> which </w:t>
      </w:r>
      <w:r w:rsidR="00E5794D">
        <w:t xml:space="preserve">saw </w:t>
      </w:r>
      <w:r w:rsidR="00AE226B" w:rsidRPr="69A6F45D">
        <w:t>only</w:t>
      </w:r>
      <w:r w:rsidR="00713670">
        <w:t xml:space="preserve"> </w:t>
      </w:r>
      <w:r w:rsidR="00AE226B" w:rsidRPr="69A6F45D">
        <w:t xml:space="preserve">2,060 arrivals. </w:t>
      </w:r>
    </w:p>
    <w:p w14:paraId="0D352D98" w14:textId="77777777" w:rsidR="00A410F4" w:rsidRDefault="00C51FBD" w:rsidP="00713670">
      <w:r>
        <w:t>Travel bubbles are</w:t>
      </w:r>
      <w:r w:rsidR="0070736E">
        <w:t xml:space="preserve"> especially beneficial for the aviation industry</w:t>
      </w:r>
      <w:r w:rsidR="004F0B68">
        <w:t xml:space="preserve">. Increased air traffic </w:t>
      </w:r>
      <w:r>
        <w:t>allows</w:t>
      </w:r>
      <w:r w:rsidR="00A410F4">
        <w:t xml:space="preserve"> operations to slowly </w:t>
      </w:r>
      <w:proofErr w:type="gramStart"/>
      <w:r w:rsidR="00A410F4">
        <w:t>resume, and</w:t>
      </w:r>
      <w:proofErr w:type="gramEnd"/>
      <w:r w:rsidR="00A410F4">
        <w:t xml:space="preserve"> increases employment across</w:t>
      </w:r>
      <w:r w:rsidR="004F0B68">
        <w:t xml:space="preserve"> airlines </w:t>
      </w:r>
      <w:r w:rsidR="00125CF5">
        <w:t>and airports</w:t>
      </w:r>
      <w:r w:rsidR="004B66F6">
        <w:t xml:space="preserve"> (including </w:t>
      </w:r>
      <w:r w:rsidR="00125CF5">
        <w:t>subsidiary businesses such as cafes and retail stores)</w:t>
      </w:r>
      <w:r w:rsidR="004F0B68">
        <w:t xml:space="preserve">. </w:t>
      </w:r>
    </w:p>
    <w:p w14:paraId="706D9655" w14:textId="484EAA54" w:rsidR="0070736E" w:rsidRDefault="00C51FBD" w:rsidP="00713670">
      <w:r>
        <w:t xml:space="preserve">Travel bubbles </w:t>
      </w:r>
      <w:r w:rsidR="00A30AC8">
        <w:t xml:space="preserve">have the </w:t>
      </w:r>
      <w:r w:rsidR="00A410F4">
        <w:t xml:space="preserve">added </w:t>
      </w:r>
      <w:r w:rsidR="00A30AC8">
        <w:t>benefit of acting as valuable case studies</w:t>
      </w:r>
      <w:r w:rsidR="00A410F4">
        <w:t xml:space="preserve"> in</w:t>
      </w:r>
      <w:r w:rsidR="00A30AC8">
        <w:t xml:space="preserve"> establish</w:t>
      </w:r>
      <w:r w:rsidR="00A410F4">
        <w:t>ing</w:t>
      </w:r>
      <w:r w:rsidR="00A30AC8">
        <w:t xml:space="preserve"> protocols for safe flying</w:t>
      </w:r>
      <w:r w:rsidR="00125CF5">
        <w:t>. Issues such as social distancing, hygiene and limiting person</w:t>
      </w:r>
      <w:r w:rsidR="00E5794D">
        <w:t>-</w:t>
      </w:r>
      <w:r w:rsidR="00125CF5">
        <w:t>to</w:t>
      </w:r>
      <w:r w:rsidR="00E5794D">
        <w:t>-</w:t>
      </w:r>
      <w:r w:rsidR="00125CF5">
        <w:t xml:space="preserve">person interactions </w:t>
      </w:r>
      <w:proofErr w:type="gramStart"/>
      <w:r w:rsidR="00125CF5">
        <w:t>are able to</w:t>
      </w:r>
      <w:proofErr w:type="gramEnd"/>
      <w:r w:rsidR="00125CF5">
        <w:t xml:space="preserve"> be resolved through travel bubbles in anticipation of </w:t>
      </w:r>
      <w:r w:rsidR="00E5794D">
        <w:t xml:space="preserve">the </w:t>
      </w:r>
      <w:r w:rsidR="00125CF5">
        <w:t>future</w:t>
      </w:r>
      <w:r w:rsidR="00E5794D">
        <w:t xml:space="preserve"> reopening of</w:t>
      </w:r>
      <w:r w:rsidR="00125CF5">
        <w:t xml:space="preserve"> international borders. </w:t>
      </w:r>
    </w:p>
    <w:p w14:paraId="5A88C5AC" w14:textId="7D7AA88B" w:rsidR="00AE226B" w:rsidRDefault="00752CF7" w:rsidP="00713670">
      <w:r w:rsidRPr="00AE226B">
        <w:rPr>
          <w:b/>
        </w:rPr>
        <w:t>Some business</w:t>
      </w:r>
      <w:r w:rsidR="0059167E">
        <w:rPr>
          <w:b/>
        </w:rPr>
        <w:t>es</w:t>
      </w:r>
      <w:r w:rsidRPr="00AE226B">
        <w:rPr>
          <w:b/>
        </w:rPr>
        <w:t xml:space="preserve"> remain vulnerable.</w:t>
      </w:r>
      <w:r w:rsidRPr="00AE226B">
        <w:t xml:space="preserve"> With borders closed for the forese</w:t>
      </w:r>
      <w:r w:rsidR="00271483">
        <w:t>e</w:t>
      </w:r>
      <w:r w:rsidRPr="00AE226B">
        <w:t>able future</w:t>
      </w:r>
      <w:r w:rsidR="00271483" w:rsidRPr="00AE226B">
        <w:t xml:space="preserve">, operators </w:t>
      </w:r>
      <w:r w:rsidR="00271483">
        <w:t xml:space="preserve">that </w:t>
      </w:r>
      <w:r w:rsidR="00AE226B">
        <w:t>have struggled</w:t>
      </w:r>
      <w:r w:rsidR="00271483">
        <w:t xml:space="preserve"> to adapt their offerings to a domestic market</w:t>
      </w:r>
      <w:r w:rsidR="00E5794D">
        <w:t xml:space="preserve"> –</w:t>
      </w:r>
      <w:r w:rsidR="00846206">
        <w:t xml:space="preserve"> or in a region with a greater reliance on international tourism </w:t>
      </w:r>
      <w:r w:rsidR="00E5794D">
        <w:t xml:space="preserve">– </w:t>
      </w:r>
      <w:r w:rsidR="00AE226B">
        <w:t>remain at</w:t>
      </w:r>
      <w:r w:rsidR="00271483">
        <w:t xml:space="preserve"> risk. </w:t>
      </w:r>
      <w:r w:rsidR="00AE226B">
        <w:t>Some sectors that fall into this category include:</w:t>
      </w:r>
    </w:p>
    <w:p w14:paraId="4C1437B1" w14:textId="68FE6193" w:rsidR="00AE226B" w:rsidRPr="00713670" w:rsidRDefault="00E5794D" w:rsidP="00713670">
      <w:pPr>
        <w:pStyle w:val="ListParagraph"/>
      </w:pPr>
      <w:r w:rsidRPr="00713670">
        <w:t>i</w:t>
      </w:r>
      <w:r w:rsidR="00AE226B" w:rsidRPr="00713670">
        <w:t>nternational education providers</w:t>
      </w:r>
    </w:p>
    <w:p w14:paraId="3EA963D5" w14:textId="01F22BBC" w:rsidR="00AE226B" w:rsidRPr="00713670" w:rsidRDefault="00E5794D" w:rsidP="00713670">
      <w:pPr>
        <w:pStyle w:val="ListParagraph"/>
      </w:pPr>
      <w:r w:rsidRPr="00713670">
        <w:t>t</w:t>
      </w:r>
      <w:r w:rsidR="00AE226B" w:rsidRPr="00713670">
        <w:t>our operators</w:t>
      </w:r>
    </w:p>
    <w:p w14:paraId="0367B6C1" w14:textId="42846AEB" w:rsidR="00AE226B" w:rsidRPr="00713670" w:rsidRDefault="00E5794D" w:rsidP="00713670">
      <w:pPr>
        <w:pStyle w:val="ListParagraph"/>
      </w:pPr>
      <w:r w:rsidRPr="00713670">
        <w:t>t</w:t>
      </w:r>
      <w:r w:rsidR="00AE226B" w:rsidRPr="00713670">
        <w:t>ravel agents</w:t>
      </w:r>
      <w:r w:rsidRPr="00713670">
        <w:t>.</w:t>
      </w:r>
    </w:p>
    <w:p w14:paraId="2BF07AD3" w14:textId="77777777" w:rsidR="00F56826" w:rsidRDefault="00693CBE" w:rsidP="00752CF7">
      <w:pPr>
        <w:pStyle w:val="css-1yqigsj"/>
        <w:shd w:val="clear" w:color="auto" w:fill="FFFFFF"/>
        <w:spacing w:before="0" w:beforeAutospacing="0" w:after="240" w:afterAutospacing="0"/>
        <w:textAlignment w:val="baseline"/>
        <w:rPr>
          <w:rFonts w:asciiTheme="minorHAnsi" w:hAnsiTheme="minorHAnsi"/>
          <w:color w:val="121212"/>
          <w:sz w:val="22"/>
          <w:szCs w:val="22"/>
        </w:rPr>
      </w:pPr>
      <w:r>
        <w:rPr>
          <w:rFonts w:asciiTheme="minorHAnsi" w:hAnsiTheme="minorHAnsi"/>
          <w:color w:val="121212"/>
          <w:sz w:val="22"/>
          <w:szCs w:val="22"/>
        </w:rPr>
        <w:t>Education providers are of</w:t>
      </w:r>
      <w:r w:rsidR="00271483">
        <w:rPr>
          <w:rFonts w:asciiTheme="minorHAnsi" w:hAnsiTheme="minorHAnsi"/>
          <w:color w:val="121212"/>
          <w:sz w:val="22"/>
          <w:szCs w:val="22"/>
        </w:rPr>
        <w:t xml:space="preserve"> particular </w:t>
      </w:r>
      <w:r w:rsidR="00846206">
        <w:rPr>
          <w:rFonts w:asciiTheme="minorHAnsi" w:hAnsiTheme="minorHAnsi"/>
          <w:color w:val="121212"/>
          <w:sz w:val="22"/>
          <w:szCs w:val="22"/>
        </w:rPr>
        <w:t xml:space="preserve">concern. The </w:t>
      </w:r>
      <w:r w:rsidR="00271483">
        <w:rPr>
          <w:rFonts w:asciiTheme="minorHAnsi" w:hAnsiTheme="minorHAnsi"/>
          <w:color w:val="121212"/>
          <w:sz w:val="22"/>
          <w:szCs w:val="22"/>
        </w:rPr>
        <w:t>global market for international students is highly competitive and countries such as Canada, UK and USA remain open to student</w:t>
      </w:r>
      <w:r w:rsidR="00964D88">
        <w:rPr>
          <w:rFonts w:asciiTheme="minorHAnsi" w:hAnsiTheme="minorHAnsi"/>
          <w:color w:val="121212"/>
          <w:sz w:val="22"/>
          <w:szCs w:val="22"/>
        </w:rPr>
        <w:t>s</w:t>
      </w:r>
      <w:r w:rsidR="00271483">
        <w:rPr>
          <w:rFonts w:asciiTheme="minorHAnsi" w:hAnsiTheme="minorHAnsi"/>
          <w:color w:val="121212"/>
          <w:sz w:val="22"/>
          <w:szCs w:val="22"/>
        </w:rPr>
        <w:t>.</w:t>
      </w:r>
      <w:r w:rsidR="00AE226B">
        <w:rPr>
          <w:rFonts w:asciiTheme="minorHAnsi" w:hAnsiTheme="minorHAnsi"/>
          <w:color w:val="121212"/>
          <w:sz w:val="22"/>
          <w:szCs w:val="22"/>
        </w:rPr>
        <w:t xml:space="preserve"> Reports suggest that international students who may have studied in Australia are now turning to other countries that are allowing entry for students, regardless of high Covid-19 case numbers. </w:t>
      </w:r>
    </w:p>
    <w:p w14:paraId="43A4C9E4" w14:textId="640975C2" w:rsidR="00C951AA" w:rsidRDefault="00F56826" w:rsidP="00752CF7">
      <w:pPr>
        <w:pStyle w:val="css-1yqigsj"/>
        <w:shd w:val="clear" w:color="auto" w:fill="FFFFFF"/>
        <w:spacing w:before="0" w:beforeAutospacing="0" w:after="240" w:afterAutospacing="0"/>
        <w:textAlignment w:val="baseline"/>
        <w:rPr>
          <w:rFonts w:asciiTheme="minorHAnsi" w:hAnsiTheme="minorHAnsi"/>
          <w:color w:val="121212"/>
          <w:sz w:val="22"/>
          <w:szCs w:val="22"/>
        </w:rPr>
      </w:pPr>
      <w:r w:rsidRPr="00F56826">
        <w:rPr>
          <w:rFonts w:asciiTheme="minorHAnsi" w:hAnsiTheme="minorHAnsi"/>
          <w:color w:val="121212"/>
          <w:sz w:val="22"/>
          <w:szCs w:val="22"/>
        </w:rPr>
        <w:t>Australia’s skilled migration and post study</w:t>
      </w:r>
      <w:r w:rsidR="00E5794D">
        <w:rPr>
          <w:rFonts w:asciiTheme="minorHAnsi" w:hAnsiTheme="minorHAnsi"/>
          <w:color w:val="121212"/>
          <w:sz w:val="22"/>
          <w:szCs w:val="22"/>
        </w:rPr>
        <w:t>-</w:t>
      </w:r>
      <w:r w:rsidRPr="00F56826">
        <w:rPr>
          <w:rFonts w:asciiTheme="minorHAnsi" w:hAnsiTheme="minorHAnsi"/>
          <w:color w:val="121212"/>
          <w:sz w:val="22"/>
          <w:szCs w:val="22"/>
        </w:rPr>
        <w:t xml:space="preserve">work rights policy settings are also less competitive, compared to Canada, </w:t>
      </w:r>
      <w:proofErr w:type="gramStart"/>
      <w:r w:rsidRPr="00F56826">
        <w:rPr>
          <w:rFonts w:asciiTheme="minorHAnsi" w:hAnsiTheme="minorHAnsi"/>
          <w:color w:val="121212"/>
          <w:sz w:val="22"/>
          <w:szCs w:val="22"/>
        </w:rPr>
        <w:t>UK</w:t>
      </w:r>
      <w:proofErr w:type="gramEnd"/>
      <w:r w:rsidRPr="00F56826">
        <w:rPr>
          <w:rFonts w:asciiTheme="minorHAnsi" w:hAnsiTheme="minorHAnsi"/>
          <w:color w:val="121212"/>
          <w:sz w:val="22"/>
          <w:szCs w:val="22"/>
        </w:rPr>
        <w:t xml:space="preserve"> and US. This could lead to difficulties in attracting international talent and skilled labour in </w:t>
      </w:r>
      <w:r w:rsidR="00E5794D">
        <w:rPr>
          <w:rFonts w:asciiTheme="minorHAnsi" w:hAnsiTheme="minorHAnsi"/>
          <w:color w:val="121212"/>
          <w:sz w:val="22"/>
          <w:szCs w:val="22"/>
        </w:rPr>
        <w:t xml:space="preserve">the </w:t>
      </w:r>
      <w:r w:rsidRPr="00F56826">
        <w:rPr>
          <w:rFonts w:asciiTheme="minorHAnsi" w:hAnsiTheme="minorHAnsi"/>
          <w:color w:val="121212"/>
          <w:sz w:val="22"/>
          <w:szCs w:val="22"/>
        </w:rPr>
        <w:t xml:space="preserve">future. International students are a good source of labour for critical and seasonal industries such as agriculture, aged </w:t>
      </w:r>
      <w:proofErr w:type="gramStart"/>
      <w:r w:rsidRPr="00F56826">
        <w:rPr>
          <w:rFonts w:asciiTheme="minorHAnsi" w:hAnsiTheme="minorHAnsi"/>
          <w:color w:val="121212"/>
          <w:sz w:val="22"/>
          <w:szCs w:val="22"/>
        </w:rPr>
        <w:t>care</w:t>
      </w:r>
      <w:proofErr w:type="gramEnd"/>
      <w:r w:rsidRPr="00F56826">
        <w:rPr>
          <w:rFonts w:asciiTheme="minorHAnsi" w:hAnsiTheme="minorHAnsi"/>
          <w:color w:val="121212"/>
          <w:sz w:val="22"/>
          <w:szCs w:val="22"/>
        </w:rPr>
        <w:t xml:space="preserve"> and hospitality.</w:t>
      </w:r>
    </w:p>
    <w:p w14:paraId="009DA25E" w14:textId="1772D7A2" w:rsidR="00A40369" w:rsidRDefault="00A40369" w:rsidP="00713670">
      <w:r>
        <w:t>The international education sector has been one of Australia’s largest export industries, generating $40.3 billion in export revenue in 2019 (8.2% of total export revenue). It has traditionally also been a significant creator of jobs in Australia, supporting around 250,000 full time equivalent jobs in 2018. Covid-19 disruptions however resulted in job losses and a 21% drop in export revenue in 2020. Due to international students extended stay in Australia, and their significant social and economic contribution, the loss of these students will resonate for several years, even beyond the reopening of international borders. Strong and rapid recovery is therefore essential.</w:t>
      </w:r>
    </w:p>
    <w:p w14:paraId="2BC72836" w14:textId="16C3B977" w:rsidR="009A3C61" w:rsidRPr="00A40369" w:rsidRDefault="009A3C61" w:rsidP="00713670">
      <w:r>
        <w:t>Lockdowns are continuing. The Delta variant has seen Covid-19 caseloads increase sharply since June 2021 and has led to the suspension of the Trans-Tasman travel bubble. State and territory governments are continuing to implement targeted lockdowns to control the spread of the virus. Unfortunately, this also results in travel cancellations and business closures, setting back the recovery of domestic tourism.</w:t>
      </w:r>
    </w:p>
    <w:p w14:paraId="338540AE" w14:textId="6AE15702" w:rsidR="0059167E" w:rsidRDefault="00271483">
      <w:r w:rsidRPr="69A6F45D">
        <w:rPr>
          <w:b/>
          <w:bCs/>
        </w:rPr>
        <w:lastRenderedPageBreak/>
        <w:t>Labour shortages are emerging.</w:t>
      </w:r>
      <w:r>
        <w:t xml:space="preserve"> Information from industry suggests that some operators are struggling to find suitable workers</w:t>
      </w:r>
      <w:r w:rsidR="003C4119">
        <w:t xml:space="preserve">. In </w:t>
      </w:r>
      <w:r w:rsidR="00C65676">
        <w:t>Decembe</w:t>
      </w:r>
      <w:r w:rsidR="00DB03EA">
        <w:t>r</w:t>
      </w:r>
      <w:r w:rsidR="00AE226B">
        <w:t xml:space="preserve"> 2020, </w:t>
      </w:r>
      <w:r w:rsidR="003C4119">
        <w:t>33</w:t>
      </w:r>
      <w:r w:rsidR="008F05B6">
        <w:t xml:space="preserve"> per cent</w:t>
      </w:r>
      <w:r w:rsidR="003C4119">
        <w:t xml:space="preserve"> of accommodation a</w:t>
      </w:r>
      <w:r w:rsidR="00AC52D0">
        <w:t>nd food service operators</w:t>
      </w:r>
      <w:r w:rsidR="003C4119">
        <w:t xml:space="preserve"> indicated th</w:t>
      </w:r>
      <w:r w:rsidR="00F718D0">
        <w:t>ey were having difficulty finding staff</w:t>
      </w:r>
      <w:r w:rsidR="00AC52D0">
        <w:t xml:space="preserve">. By June 2021, this increased to 38 per cent. </w:t>
      </w:r>
    </w:p>
    <w:p w14:paraId="1A0F1E71" w14:textId="77777777" w:rsidR="0059167E" w:rsidRDefault="00EF5429">
      <w:r>
        <w:t xml:space="preserve">This is </w:t>
      </w:r>
      <w:r w:rsidR="003C4119">
        <w:t xml:space="preserve">both a supply and demand </w:t>
      </w:r>
      <w:r w:rsidR="003A51AA">
        <w:t xml:space="preserve">challenge. </w:t>
      </w:r>
      <w:r>
        <w:t>For example, w</w:t>
      </w:r>
      <w:r w:rsidR="003A51AA">
        <w:t xml:space="preserve">ith </w:t>
      </w:r>
      <w:r>
        <w:t xml:space="preserve">less </w:t>
      </w:r>
      <w:r w:rsidR="003A51AA">
        <w:t>business travel</w:t>
      </w:r>
      <w:r>
        <w:t>,</w:t>
      </w:r>
      <w:r w:rsidR="003A51AA">
        <w:t xml:space="preserve"> hotel demand is co</w:t>
      </w:r>
      <w:r>
        <w:t xml:space="preserve">ncentrated on </w:t>
      </w:r>
      <w:r w:rsidR="003A1A66">
        <w:t>weekend</w:t>
      </w:r>
      <w:r>
        <w:t>s. This makes recruitment more difficult</w:t>
      </w:r>
      <w:r w:rsidR="00DB03EA">
        <w:t xml:space="preserve">. Some businesses have had </w:t>
      </w:r>
      <w:r w:rsidR="008746F1">
        <w:t xml:space="preserve">to </w:t>
      </w:r>
      <w:r w:rsidR="00DB03EA">
        <w:t>scale back operations due to insufficient staff</w:t>
      </w:r>
      <w:r w:rsidR="00964D88">
        <w:t xml:space="preserve">. </w:t>
      </w:r>
    </w:p>
    <w:p w14:paraId="510F969D" w14:textId="094B3300" w:rsidR="003A1A66" w:rsidRDefault="00EF5429">
      <w:r>
        <w:t xml:space="preserve">Compounding the </w:t>
      </w:r>
      <w:r w:rsidR="00964D88">
        <w:t xml:space="preserve">issue is a lack of </w:t>
      </w:r>
      <w:r w:rsidR="005C52F7">
        <w:t>temporary migrants</w:t>
      </w:r>
      <w:r>
        <w:t xml:space="preserve"> who </w:t>
      </w:r>
      <w:r w:rsidR="0059167E">
        <w:t>used to</w:t>
      </w:r>
      <w:r>
        <w:t xml:space="preserve"> fill some of these roles.</w:t>
      </w:r>
      <w:r w:rsidR="00F718D0">
        <w:t xml:space="preserve"> These include people on the Working Holiday Maker </w:t>
      </w:r>
      <w:r w:rsidR="008746F1">
        <w:t>program</w:t>
      </w:r>
      <w:r w:rsidR="00F718D0">
        <w:t xml:space="preserve">, and international students who often seek employment while studying. </w:t>
      </w:r>
    </w:p>
    <w:p w14:paraId="216FCB7C" w14:textId="77777777" w:rsidR="009A3C61" w:rsidRPr="004B5C6B" w:rsidRDefault="009A3C61" w:rsidP="009A3C61">
      <w:r>
        <w:t xml:space="preserve">To evaluate the </w:t>
      </w:r>
      <w:proofErr w:type="gramStart"/>
      <w:r>
        <w:t>long term</w:t>
      </w:r>
      <w:proofErr w:type="gramEnd"/>
      <w:r>
        <w:t xml:space="preserve"> outlook for Australian tourism</w:t>
      </w:r>
      <w:r w:rsidRPr="004B5C6B">
        <w:t xml:space="preserve">, Austrade has established a panel of industry experts to advise industry and governments on the future of Australia’s visitor economy over the next ten years. Led by former federal Tourism Minister, the Hon Martin Ferguson AM, the panel is consulting extensively to identify what will be needed to secure a sustainable, </w:t>
      </w:r>
      <w:proofErr w:type="gramStart"/>
      <w:r w:rsidRPr="004B5C6B">
        <w:t>profitable</w:t>
      </w:r>
      <w:proofErr w:type="gramEnd"/>
      <w:r w:rsidRPr="004B5C6B">
        <w:t xml:space="preserve"> and resilient visitor econ</w:t>
      </w:r>
      <w:r>
        <w:t>omy in a</w:t>
      </w:r>
      <w:r w:rsidRPr="004B5C6B">
        <w:t xml:space="preserve"> challenging future environment.</w:t>
      </w:r>
    </w:p>
    <w:p w14:paraId="6E412D50" w14:textId="77777777" w:rsidR="002723F8" w:rsidRPr="008D35A4" w:rsidRDefault="006565B0" w:rsidP="002723F8">
      <w:pPr>
        <w:rPr>
          <w:color w:val="C00000"/>
        </w:rPr>
      </w:pPr>
      <w:r w:rsidRPr="008D35A4">
        <w:rPr>
          <w:color w:val="C00000"/>
        </w:rPr>
        <w:t>&lt;&lt;</w:t>
      </w:r>
      <w:r w:rsidR="008D35A4" w:rsidRPr="008D35A4">
        <w:rPr>
          <w:color w:val="C00000"/>
        </w:rPr>
        <w:t>START BOX</w:t>
      </w:r>
      <w:r w:rsidRPr="008D35A4">
        <w:rPr>
          <w:color w:val="C00000"/>
        </w:rPr>
        <w:t>&gt;&gt;</w:t>
      </w:r>
    </w:p>
    <w:p w14:paraId="5574445B" w14:textId="56A2AAC9" w:rsidR="00693CBE" w:rsidRDefault="00693CBE" w:rsidP="008F79BC">
      <w:r w:rsidRPr="00693CBE">
        <w:t xml:space="preserve">Even if Scott Brandon could find enough casual workers to fill all the vacant shifts at his Bright Brewery restaurant business, he expects they would struggle to secure affordable housing locally anyway. He is just now beginning to recoup the losses from the Black Summer bushfires and last year’s coronavirus lockdown, but the recovery is being hampered by the difficulty in finding staff. “There are some places in town that are closed a couple of nights a week because they can’t get enough staff,” Mr Brandon said. “It’s definitely having a massive economic impact on the town.” Victoria’s tourism sector has suffered a collapse of casual workers with new research showing almost half of them left the industry during the pandemic. The study by Victoria University found a lack of affordable housing was among the problems preventing workers from taking up jobs in the accommodation and hospitality industries. The research, in collaboration with the Victorian Tourism Industry Council, was based on a survey of 323 tourism businesses and interviews with some operators. It found that on average 46 per cent of casual employees were laid off permanently during the pandemic. While 91 per cent of businesses surveyed accessed </w:t>
      </w:r>
      <w:proofErr w:type="spellStart"/>
      <w:r w:rsidRPr="00693CBE">
        <w:t>JobKeeper</w:t>
      </w:r>
      <w:proofErr w:type="spellEnd"/>
      <w:r w:rsidRPr="00693CBE">
        <w:t xml:space="preserve">, only 30 per cent of casual staff received these payments. Insurance costs are also mounting, with the research finding some operators faced major increases, particularly those in fire-affected areas. </w:t>
      </w:r>
    </w:p>
    <w:p w14:paraId="397ED276" w14:textId="5AECF4E8" w:rsidR="009A3C61" w:rsidRPr="00693CBE" w:rsidRDefault="009A3C61" w:rsidP="008F79BC">
      <w:r>
        <w:t>(Source: The Age, Tourism sector suffers collapse of casual employee workforce, accessed July 2021)</w:t>
      </w:r>
    </w:p>
    <w:p w14:paraId="686F3F48" w14:textId="77777777" w:rsidR="006565B0" w:rsidRDefault="006565B0" w:rsidP="008F79BC">
      <w:pPr>
        <w:rPr>
          <w:color w:val="C00000"/>
        </w:rPr>
      </w:pPr>
      <w:r w:rsidRPr="008D35A4">
        <w:rPr>
          <w:color w:val="C00000"/>
        </w:rPr>
        <w:t>&lt;&lt;</w:t>
      </w:r>
      <w:r w:rsidR="008D35A4" w:rsidRPr="008D35A4">
        <w:rPr>
          <w:color w:val="C00000"/>
        </w:rPr>
        <w:t>END BOX</w:t>
      </w:r>
      <w:r w:rsidRPr="008D35A4">
        <w:rPr>
          <w:color w:val="C00000"/>
        </w:rPr>
        <w:t>&gt;&gt;</w:t>
      </w:r>
    </w:p>
    <w:p w14:paraId="1AA52A78" w14:textId="5F37DB5B" w:rsidR="00AD7B28" w:rsidRPr="004B5C6B" w:rsidRDefault="00AD7B28" w:rsidP="008F79BC"/>
    <w:sectPr w:rsidR="00AD7B28" w:rsidRPr="004B5C6B">
      <w:head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753D1" w14:textId="77777777" w:rsidR="0000653D" w:rsidRDefault="0000653D" w:rsidP="006522AC">
      <w:pPr>
        <w:spacing w:after="0" w:line="240" w:lineRule="auto"/>
      </w:pPr>
      <w:r>
        <w:separator/>
      </w:r>
    </w:p>
  </w:endnote>
  <w:endnote w:type="continuationSeparator" w:id="0">
    <w:p w14:paraId="12C4B478" w14:textId="77777777" w:rsidR="0000653D" w:rsidRDefault="0000653D" w:rsidP="006522AC">
      <w:pPr>
        <w:spacing w:after="0" w:line="240" w:lineRule="auto"/>
      </w:pPr>
      <w:r>
        <w:continuationSeparator/>
      </w:r>
    </w:p>
  </w:endnote>
  <w:endnote w:type="continuationNotice" w:id="1">
    <w:p w14:paraId="450005A6" w14:textId="77777777" w:rsidR="0000653D" w:rsidRDefault="000065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236A15" w14:textId="77777777" w:rsidR="0000653D" w:rsidRDefault="0000653D" w:rsidP="006522AC">
      <w:pPr>
        <w:spacing w:after="0" w:line="240" w:lineRule="auto"/>
      </w:pPr>
      <w:r>
        <w:separator/>
      </w:r>
    </w:p>
  </w:footnote>
  <w:footnote w:type="continuationSeparator" w:id="0">
    <w:p w14:paraId="7804F8E5" w14:textId="77777777" w:rsidR="0000653D" w:rsidRDefault="0000653D" w:rsidP="006522AC">
      <w:pPr>
        <w:spacing w:after="0" w:line="240" w:lineRule="auto"/>
      </w:pPr>
      <w:r>
        <w:continuationSeparator/>
      </w:r>
    </w:p>
  </w:footnote>
  <w:footnote w:type="continuationNotice" w:id="1">
    <w:p w14:paraId="6C4C07BC" w14:textId="77777777" w:rsidR="0000653D" w:rsidRDefault="000065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326C3" w14:textId="6EB88236" w:rsidR="0000653D" w:rsidRDefault="0000653D">
    <w:pPr>
      <w:pStyle w:val="Header"/>
    </w:pPr>
    <w:r>
      <w:t>Tourism Research Australia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55A8D"/>
    <w:multiLevelType w:val="hybridMultilevel"/>
    <w:tmpl w:val="8B78E8A0"/>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7882B3D"/>
    <w:multiLevelType w:val="hybridMultilevel"/>
    <w:tmpl w:val="1CE25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7220F5"/>
    <w:multiLevelType w:val="hybridMultilevel"/>
    <w:tmpl w:val="04744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547C6F"/>
    <w:multiLevelType w:val="hybridMultilevel"/>
    <w:tmpl w:val="F0FCB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664FC5"/>
    <w:multiLevelType w:val="hybridMultilevel"/>
    <w:tmpl w:val="F70AF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CE6321"/>
    <w:multiLevelType w:val="hybridMultilevel"/>
    <w:tmpl w:val="557E3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FC3DE3"/>
    <w:multiLevelType w:val="hybridMultilevel"/>
    <w:tmpl w:val="FA02C1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596366"/>
    <w:multiLevelType w:val="hybridMultilevel"/>
    <w:tmpl w:val="2BB085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760076"/>
    <w:multiLevelType w:val="hybridMultilevel"/>
    <w:tmpl w:val="C5D06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26E457B"/>
    <w:multiLevelType w:val="hybridMultilevel"/>
    <w:tmpl w:val="99386C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43276D"/>
    <w:multiLevelType w:val="hybridMultilevel"/>
    <w:tmpl w:val="5C384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D85E98"/>
    <w:multiLevelType w:val="hybridMultilevel"/>
    <w:tmpl w:val="49EA0C04"/>
    <w:lvl w:ilvl="0" w:tplc="A4109ACE">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2067D"/>
    <w:multiLevelType w:val="hybridMultilevel"/>
    <w:tmpl w:val="58400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C02389"/>
    <w:multiLevelType w:val="hybridMultilevel"/>
    <w:tmpl w:val="023E53EA"/>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4" w15:restartNumberingAfterBreak="0">
    <w:nsid w:val="242260D5"/>
    <w:multiLevelType w:val="hybridMultilevel"/>
    <w:tmpl w:val="2DA8C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E50DA9"/>
    <w:multiLevelType w:val="hybridMultilevel"/>
    <w:tmpl w:val="5950DB5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26E736B9"/>
    <w:multiLevelType w:val="hybridMultilevel"/>
    <w:tmpl w:val="1CB6B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9C3AD1"/>
    <w:multiLevelType w:val="hybridMultilevel"/>
    <w:tmpl w:val="5AE8EF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A915B1"/>
    <w:multiLevelType w:val="hybridMultilevel"/>
    <w:tmpl w:val="DDBE4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146E37"/>
    <w:multiLevelType w:val="hybridMultilevel"/>
    <w:tmpl w:val="27347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DB41B5"/>
    <w:multiLevelType w:val="hybridMultilevel"/>
    <w:tmpl w:val="0FACA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95B168A"/>
    <w:multiLevelType w:val="hybridMultilevel"/>
    <w:tmpl w:val="C2D4D7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A366373"/>
    <w:multiLevelType w:val="hybridMultilevel"/>
    <w:tmpl w:val="214A8E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ABB4FAF"/>
    <w:multiLevelType w:val="hybridMultilevel"/>
    <w:tmpl w:val="D6F29F5A"/>
    <w:lvl w:ilvl="0" w:tplc="2438FFF4">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684BC0"/>
    <w:multiLevelType w:val="hybridMultilevel"/>
    <w:tmpl w:val="9F866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922905"/>
    <w:multiLevelType w:val="hybridMultilevel"/>
    <w:tmpl w:val="16D43AEE"/>
    <w:lvl w:ilvl="0" w:tplc="3542B75A">
      <w:start w:val="1"/>
      <w:numFmt w:val="bullet"/>
      <w:pStyle w:val="ListParagraph"/>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1F345C1"/>
    <w:multiLevelType w:val="hybridMultilevel"/>
    <w:tmpl w:val="8C04E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4F3A19"/>
    <w:multiLevelType w:val="hybridMultilevel"/>
    <w:tmpl w:val="40F69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2C3D58"/>
    <w:multiLevelType w:val="hybridMultilevel"/>
    <w:tmpl w:val="257C56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1492A98"/>
    <w:multiLevelType w:val="hybridMultilevel"/>
    <w:tmpl w:val="7D188B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930CC6"/>
    <w:multiLevelType w:val="hybridMultilevel"/>
    <w:tmpl w:val="F1946A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57B92095"/>
    <w:multiLevelType w:val="hybridMultilevel"/>
    <w:tmpl w:val="38DA8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B730BA"/>
    <w:multiLevelType w:val="hybridMultilevel"/>
    <w:tmpl w:val="31027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43244D"/>
    <w:multiLevelType w:val="hybridMultilevel"/>
    <w:tmpl w:val="8A069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CB2475"/>
    <w:multiLevelType w:val="hybridMultilevel"/>
    <w:tmpl w:val="BF8025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1391481"/>
    <w:multiLevelType w:val="hybridMultilevel"/>
    <w:tmpl w:val="8AE27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3AF0077"/>
    <w:multiLevelType w:val="hybridMultilevel"/>
    <w:tmpl w:val="F98AC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D422EC"/>
    <w:multiLevelType w:val="hybridMultilevel"/>
    <w:tmpl w:val="F858EC02"/>
    <w:lvl w:ilvl="0" w:tplc="597E987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9676175"/>
    <w:multiLevelType w:val="hybridMultilevel"/>
    <w:tmpl w:val="17184F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E959D2"/>
    <w:multiLevelType w:val="hybridMultilevel"/>
    <w:tmpl w:val="0FA69F90"/>
    <w:lvl w:ilvl="0" w:tplc="C46C1BF4">
      <w:start w:val="1"/>
      <w:numFmt w:val="bullet"/>
      <w:lvlText w:val="•"/>
      <w:lvlJc w:val="left"/>
      <w:pPr>
        <w:tabs>
          <w:tab w:val="num" w:pos="720"/>
        </w:tabs>
        <w:ind w:left="720" w:hanging="360"/>
      </w:pPr>
      <w:rPr>
        <w:rFonts w:ascii="Arial" w:hAnsi="Arial" w:hint="default"/>
      </w:rPr>
    </w:lvl>
    <w:lvl w:ilvl="1" w:tplc="D460FFCA" w:tentative="1">
      <w:start w:val="1"/>
      <w:numFmt w:val="bullet"/>
      <w:lvlText w:val="•"/>
      <w:lvlJc w:val="left"/>
      <w:pPr>
        <w:tabs>
          <w:tab w:val="num" w:pos="1440"/>
        </w:tabs>
        <w:ind w:left="1440" w:hanging="360"/>
      </w:pPr>
      <w:rPr>
        <w:rFonts w:ascii="Arial" w:hAnsi="Arial" w:hint="default"/>
      </w:rPr>
    </w:lvl>
    <w:lvl w:ilvl="2" w:tplc="A1B4FAE8" w:tentative="1">
      <w:start w:val="1"/>
      <w:numFmt w:val="bullet"/>
      <w:lvlText w:val="•"/>
      <w:lvlJc w:val="left"/>
      <w:pPr>
        <w:tabs>
          <w:tab w:val="num" w:pos="2160"/>
        </w:tabs>
        <w:ind w:left="2160" w:hanging="360"/>
      </w:pPr>
      <w:rPr>
        <w:rFonts w:ascii="Arial" w:hAnsi="Arial" w:hint="default"/>
      </w:rPr>
    </w:lvl>
    <w:lvl w:ilvl="3" w:tplc="38489B0A" w:tentative="1">
      <w:start w:val="1"/>
      <w:numFmt w:val="bullet"/>
      <w:lvlText w:val="•"/>
      <w:lvlJc w:val="left"/>
      <w:pPr>
        <w:tabs>
          <w:tab w:val="num" w:pos="2880"/>
        </w:tabs>
        <w:ind w:left="2880" w:hanging="360"/>
      </w:pPr>
      <w:rPr>
        <w:rFonts w:ascii="Arial" w:hAnsi="Arial" w:hint="default"/>
      </w:rPr>
    </w:lvl>
    <w:lvl w:ilvl="4" w:tplc="78F020A4" w:tentative="1">
      <w:start w:val="1"/>
      <w:numFmt w:val="bullet"/>
      <w:lvlText w:val="•"/>
      <w:lvlJc w:val="left"/>
      <w:pPr>
        <w:tabs>
          <w:tab w:val="num" w:pos="3600"/>
        </w:tabs>
        <w:ind w:left="3600" w:hanging="360"/>
      </w:pPr>
      <w:rPr>
        <w:rFonts w:ascii="Arial" w:hAnsi="Arial" w:hint="default"/>
      </w:rPr>
    </w:lvl>
    <w:lvl w:ilvl="5" w:tplc="A1909762" w:tentative="1">
      <w:start w:val="1"/>
      <w:numFmt w:val="bullet"/>
      <w:lvlText w:val="•"/>
      <w:lvlJc w:val="left"/>
      <w:pPr>
        <w:tabs>
          <w:tab w:val="num" w:pos="4320"/>
        </w:tabs>
        <w:ind w:left="4320" w:hanging="360"/>
      </w:pPr>
      <w:rPr>
        <w:rFonts w:ascii="Arial" w:hAnsi="Arial" w:hint="default"/>
      </w:rPr>
    </w:lvl>
    <w:lvl w:ilvl="6" w:tplc="187E1114" w:tentative="1">
      <w:start w:val="1"/>
      <w:numFmt w:val="bullet"/>
      <w:lvlText w:val="•"/>
      <w:lvlJc w:val="left"/>
      <w:pPr>
        <w:tabs>
          <w:tab w:val="num" w:pos="5040"/>
        </w:tabs>
        <w:ind w:left="5040" w:hanging="360"/>
      </w:pPr>
      <w:rPr>
        <w:rFonts w:ascii="Arial" w:hAnsi="Arial" w:hint="default"/>
      </w:rPr>
    </w:lvl>
    <w:lvl w:ilvl="7" w:tplc="76703D06" w:tentative="1">
      <w:start w:val="1"/>
      <w:numFmt w:val="bullet"/>
      <w:lvlText w:val="•"/>
      <w:lvlJc w:val="left"/>
      <w:pPr>
        <w:tabs>
          <w:tab w:val="num" w:pos="5760"/>
        </w:tabs>
        <w:ind w:left="5760" w:hanging="360"/>
      </w:pPr>
      <w:rPr>
        <w:rFonts w:ascii="Arial" w:hAnsi="Arial" w:hint="default"/>
      </w:rPr>
    </w:lvl>
    <w:lvl w:ilvl="8" w:tplc="57C69AAE"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BD50695"/>
    <w:multiLevelType w:val="hybridMultilevel"/>
    <w:tmpl w:val="789EA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CD2EEE"/>
    <w:multiLevelType w:val="hybridMultilevel"/>
    <w:tmpl w:val="4B403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0159C5"/>
    <w:multiLevelType w:val="hybridMultilevel"/>
    <w:tmpl w:val="3A1CAD6A"/>
    <w:lvl w:ilvl="0" w:tplc="3008FCEC">
      <w:start w:val="1"/>
      <w:numFmt w:val="bullet"/>
      <w:lvlText w:val="•"/>
      <w:lvlJc w:val="left"/>
      <w:pPr>
        <w:tabs>
          <w:tab w:val="num" w:pos="720"/>
        </w:tabs>
        <w:ind w:left="720" w:hanging="360"/>
      </w:pPr>
      <w:rPr>
        <w:rFonts w:ascii="Arial" w:hAnsi="Arial" w:hint="default"/>
      </w:rPr>
    </w:lvl>
    <w:lvl w:ilvl="1" w:tplc="ADEE2444" w:tentative="1">
      <w:start w:val="1"/>
      <w:numFmt w:val="bullet"/>
      <w:lvlText w:val="•"/>
      <w:lvlJc w:val="left"/>
      <w:pPr>
        <w:tabs>
          <w:tab w:val="num" w:pos="1440"/>
        </w:tabs>
        <w:ind w:left="1440" w:hanging="360"/>
      </w:pPr>
      <w:rPr>
        <w:rFonts w:ascii="Arial" w:hAnsi="Arial" w:hint="default"/>
      </w:rPr>
    </w:lvl>
    <w:lvl w:ilvl="2" w:tplc="9294DBDE" w:tentative="1">
      <w:start w:val="1"/>
      <w:numFmt w:val="bullet"/>
      <w:lvlText w:val="•"/>
      <w:lvlJc w:val="left"/>
      <w:pPr>
        <w:tabs>
          <w:tab w:val="num" w:pos="2160"/>
        </w:tabs>
        <w:ind w:left="2160" w:hanging="360"/>
      </w:pPr>
      <w:rPr>
        <w:rFonts w:ascii="Arial" w:hAnsi="Arial" w:hint="default"/>
      </w:rPr>
    </w:lvl>
    <w:lvl w:ilvl="3" w:tplc="816441DC" w:tentative="1">
      <w:start w:val="1"/>
      <w:numFmt w:val="bullet"/>
      <w:lvlText w:val="•"/>
      <w:lvlJc w:val="left"/>
      <w:pPr>
        <w:tabs>
          <w:tab w:val="num" w:pos="2880"/>
        </w:tabs>
        <w:ind w:left="2880" w:hanging="360"/>
      </w:pPr>
      <w:rPr>
        <w:rFonts w:ascii="Arial" w:hAnsi="Arial" w:hint="default"/>
      </w:rPr>
    </w:lvl>
    <w:lvl w:ilvl="4" w:tplc="14C2986A" w:tentative="1">
      <w:start w:val="1"/>
      <w:numFmt w:val="bullet"/>
      <w:lvlText w:val="•"/>
      <w:lvlJc w:val="left"/>
      <w:pPr>
        <w:tabs>
          <w:tab w:val="num" w:pos="3600"/>
        </w:tabs>
        <w:ind w:left="3600" w:hanging="360"/>
      </w:pPr>
      <w:rPr>
        <w:rFonts w:ascii="Arial" w:hAnsi="Arial" w:hint="default"/>
      </w:rPr>
    </w:lvl>
    <w:lvl w:ilvl="5" w:tplc="C5CE0D02" w:tentative="1">
      <w:start w:val="1"/>
      <w:numFmt w:val="bullet"/>
      <w:lvlText w:val="•"/>
      <w:lvlJc w:val="left"/>
      <w:pPr>
        <w:tabs>
          <w:tab w:val="num" w:pos="4320"/>
        </w:tabs>
        <w:ind w:left="4320" w:hanging="360"/>
      </w:pPr>
      <w:rPr>
        <w:rFonts w:ascii="Arial" w:hAnsi="Arial" w:hint="default"/>
      </w:rPr>
    </w:lvl>
    <w:lvl w:ilvl="6" w:tplc="6338C4E0" w:tentative="1">
      <w:start w:val="1"/>
      <w:numFmt w:val="bullet"/>
      <w:lvlText w:val="•"/>
      <w:lvlJc w:val="left"/>
      <w:pPr>
        <w:tabs>
          <w:tab w:val="num" w:pos="5040"/>
        </w:tabs>
        <w:ind w:left="5040" w:hanging="360"/>
      </w:pPr>
      <w:rPr>
        <w:rFonts w:ascii="Arial" w:hAnsi="Arial" w:hint="default"/>
      </w:rPr>
    </w:lvl>
    <w:lvl w:ilvl="7" w:tplc="772C70E2" w:tentative="1">
      <w:start w:val="1"/>
      <w:numFmt w:val="bullet"/>
      <w:lvlText w:val="•"/>
      <w:lvlJc w:val="left"/>
      <w:pPr>
        <w:tabs>
          <w:tab w:val="num" w:pos="5760"/>
        </w:tabs>
        <w:ind w:left="5760" w:hanging="360"/>
      </w:pPr>
      <w:rPr>
        <w:rFonts w:ascii="Arial" w:hAnsi="Arial" w:hint="default"/>
      </w:rPr>
    </w:lvl>
    <w:lvl w:ilvl="8" w:tplc="0E8A3CBC"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27E268C"/>
    <w:multiLevelType w:val="hybridMultilevel"/>
    <w:tmpl w:val="EDF8E0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D95922"/>
    <w:multiLevelType w:val="hybridMultilevel"/>
    <w:tmpl w:val="80885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F0237A"/>
    <w:multiLevelType w:val="hybridMultilevel"/>
    <w:tmpl w:val="6DACDD7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31"/>
  </w:num>
  <w:num w:numId="2">
    <w:abstractNumId w:val="45"/>
  </w:num>
  <w:num w:numId="3">
    <w:abstractNumId w:val="21"/>
  </w:num>
  <w:num w:numId="4">
    <w:abstractNumId w:val="38"/>
  </w:num>
  <w:num w:numId="5">
    <w:abstractNumId w:val="7"/>
  </w:num>
  <w:num w:numId="6">
    <w:abstractNumId w:val="9"/>
  </w:num>
  <w:num w:numId="7">
    <w:abstractNumId w:val="42"/>
  </w:num>
  <w:num w:numId="8">
    <w:abstractNumId w:val="34"/>
  </w:num>
  <w:num w:numId="9">
    <w:abstractNumId w:val="19"/>
  </w:num>
  <w:num w:numId="10">
    <w:abstractNumId w:val="39"/>
  </w:num>
  <w:num w:numId="11">
    <w:abstractNumId w:val="29"/>
  </w:num>
  <w:num w:numId="12">
    <w:abstractNumId w:val="28"/>
  </w:num>
  <w:num w:numId="13">
    <w:abstractNumId w:val="6"/>
  </w:num>
  <w:num w:numId="14">
    <w:abstractNumId w:val="0"/>
  </w:num>
  <w:num w:numId="15">
    <w:abstractNumId w:val="18"/>
  </w:num>
  <w:num w:numId="16">
    <w:abstractNumId w:val="3"/>
  </w:num>
  <w:num w:numId="17">
    <w:abstractNumId w:val="30"/>
  </w:num>
  <w:num w:numId="18">
    <w:abstractNumId w:val="26"/>
  </w:num>
  <w:num w:numId="19">
    <w:abstractNumId w:val="10"/>
  </w:num>
  <w:num w:numId="20">
    <w:abstractNumId w:val="33"/>
  </w:num>
  <w:num w:numId="21">
    <w:abstractNumId w:val="8"/>
  </w:num>
  <w:num w:numId="22">
    <w:abstractNumId w:val="16"/>
  </w:num>
  <w:num w:numId="23">
    <w:abstractNumId w:val="4"/>
  </w:num>
  <w:num w:numId="24">
    <w:abstractNumId w:val="17"/>
  </w:num>
  <w:num w:numId="25">
    <w:abstractNumId w:val="12"/>
  </w:num>
  <w:num w:numId="26">
    <w:abstractNumId w:val="41"/>
  </w:num>
  <w:num w:numId="27">
    <w:abstractNumId w:val="13"/>
  </w:num>
  <w:num w:numId="28">
    <w:abstractNumId w:val="23"/>
  </w:num>
  <w:num w:numId="29">
    <w:abstractNumId w:val="1"/>
  </w:num>
  <w:num w:numId="30">
    <w:abstractNumId w:val="37"/>
  </w:num>
  <w:num w:numId="31">
    <w:abstractNumId w:val="22"/>
  </w:num>
  <w:num w:numId="32">
    <w:abstractNumId w:val="24"/>
  </w:num>
  <w:num w:numId="33">
    <w:abstractNumId w:val="32"/>
  </w:num>
  <w:num w:numId="34">
    <w:abstractNumId w:val="40"/>
  </w:num>
  <w:num w:numId="35">
    <w:abstractNumId w:val="22"/>
  </w:num>
  <w:num w:numId="36">
    <w:abstractNumId w:val="43"/>
  </w:num>
  <w:num w:numId="37">
    <w:abstractNumId w:val="15"/>
  </w:num>
  <w:num w:numId="38">
    <w:abstractNumId w:val="36"/>
  </w:num>
  <w:num w:numId="39">
    <w:abstractNumId w:val="14"/>
  </w:num>
  <w:num w:numId="40">
    <w:abstractNumId w:val="2"/>
  </w:num>
  <w:num w:numId="41">
    <w:abstractNumId w:val="27"/>
  </w:num>
  <w:num w:numId="42">
    <w:abstractNumId w:val="44"/>
  </w:num>
  <w:num w:numId="43">
    <w:abstractNumId w:val="11"/>
  </w:num>
  <w:num w:numId="44">
    <w:abstractNumId w:val="35"/>
  </w:num>
  <w:num w:numId="45">
    <w:abstractNumId w:val="5"/>
  </w:num>
  <w:num w:numId="46">
    <w:abstractNumId w:val="20"/>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6AC"/>
    <w:rsid w:val="00002F43"/>
    <w:rsid w:val="00005AE8"/>
    <w:rsid w:val="0000653D"/>
    <w:rsid w:val="00007683"/>
    <w:rsid w:val="000142C7"/>
    <w:rsid w:val="000153FA"/>
    <w:rsid w:val="00016276"/>
    <w:rsid w:val="00033BD8"/>
    <w:rsid w:val="00043E64"/>
    <w:rsid w:val="00050F5D"/>
    <w:rsid w:val="00053A79"/>
    <w:rsid w:val="00054C2E"/>
    <w:rsid w:val="00060F64"/>
    <w:rsid w:val="00061E34"/>
    <w:rsid w:val="0008068E"/>
    <w:rsid w:val="00080E15"/>
    <w:rsid w:val="00086589"/>
    <w:rsid w:val="00086E81"/>
    <w:rsid w:val="00094222"/>
    <w:rsid w:val="00097E74"/>
    <w:rsid w:val="000B56B7"/>
    <w:rsid w:val="000B5C38"/>
    <w:rsid w:val="000B65DA"/>
    <w:rsid w:val="000C4F7F"/>
    <w:rsid w:val="000D5315"/>
    <w:rsid w:val="000D70BC"/>
    <w:rsid w:val="000D7598"/>
    <w:rsid w:val="000E28DD"/>
    <w:rsid w:val="000E40C7"/>
    <w:rsid w:val="000F3CC2"/>
    <w:rsid w:val="000F3D92"/>
    <w:rsid w:val="001000ED"/>
    <w:rsid w:val="00103A6A"/>
    <w:rsid w:val="00104247"/>
    <w:rsid w:val="00105151"/>
    <w:rsid w:val="00110A0A"/>
    <w:rsid w:val="00111B6C"/>
    <w:rsid w:val="001131CA"/>
    <w:rsid w:val="00120260"/>
    <w:rsid w:val="001206CA"/>
    <w:rsid w:val="00121C90"/>
    <w:rsid w:val="00125CF5"/>
    <w:rsid w:val="00132B44"/>
    <w:rsid w:val="00141AD1"/>
    <w:rsid w:val="00144196"/>
    <w:rsid w:val="001467CC"/>
    <w:rsid w:val="00150F6F"/>
    <w:rsid w:val="001600D5"/>
    <w:rsid w:val="00162809"/>
    <w:rsid w:val="00164E53"/>
    <w:rsid w:val="00167770"/>
    <w:rsid w:val="001703CB"/>
    <w:rsid w:val="00174E7F"/>
    <w:rsid w:val="001751C0"/>
    <w:rsid w:val="00175FB7"/>
    <w:rsid w:val="001761BC"/>
    <w:rsid w:val="00183D5B"/>
    <w:rsid w:val="00195D40"/>
    <w:rsid w:val="001A1ACD"/>
    <w:rsid w:val="001A79D3"/>
    <w:rsid w:val="001B67A6"/>
    <w:rsid w:val="001C31CA"/>
    <w:rsid w:val="001D2BFD"/>
    <w:rsid w:val="001D4F4F"/>
    <w:rsid w:val="001D702E"/>
    <w:rsid w:val="001F7205"/>
    <w:rsid w:val="00204B77"/>
    <w:rsid w:val="002072A1"/>
    <w:rsid w:val="0020742D"/>
    <w:rsid w:val="0021121D"/>
    <w:rsid w:val="002160D8"/>
    <w:rsid w:val="00217EAE"/>
    <w:rsid w:val="002223D5"/>
    <w:rsid w:val="00225685"/>
    <w:rsid w:val="002341A6"/>
    <w:rsid w:val="00234B8B"/>
    <w:rsid w:val="00234FDE"/>
    <w:rsid w:val="002364B5"/>
    <w:rsid w:val="00237537"/>
    <w:rsid w:val="0025227A"/>
    <w:rsid w:val="00265B2C"/>
    <w:rsid w:val="002663EA"/>
    <w:rsid w:val="002676B4"/>
    <w:rsid w:val="00271483"/>
    <w:rsid w:val="00271757"/>
    <w:rsid w:val="002723F8"/>
    <w:rsid w:val="00297DD3"/>
    <w:rsid w:val="002A46AC"/>
    <w:rsid w:val="002B00AE"/>
    <w:rsid w:val="002B22CF"/>
    <w:rsid w:val="002C43F2"/>
    <w:rsid w:val="002D3F21"/>
    <w:rsid w:val="002D5757"/>
    <w:rsid w:val="002D5850"/>
    <w:rsid w:val="002E2C7A"/>
    <w:rsid w:val="002E598B"/>
    <w:rsid w:val="002E67D8"/>
    <w:rsid w:val="002F32E8"/>
    <w:rsid w:val="002F5963"/>
    <w:rsid w:val="002F7EC7"/>
    <w:rsid w:val="00301105"/>
    <w:rsid w:val="00302368"/>
    <w:rsid w:val="00304EF2"/>
    <w:rsid w:val="003161D7"/>
    <w:rsid w:val="00326E16"/>
    <w:rsid w:val="0033550A"/>
    <w:rsid w:val="00341C58"/>
    <w:rsid w:val="00345BDE"/>
    <w:rsid w:val="00352909"/>
    <w:rsid w:val="00360567"/>
    <w:rsid w:val="00363F97"/>
    <w:rsid w:val="00366017"/>
    <w:rsid w:val="00376FCA"/>
    <w:rsid w:val="00395E57"/>
    <w:rsid w:val="003A1A66"/>
    <w:rsid w:val="003A51AA"/>
    <w:rsid w:val="003B0DA3"/>
    <w:rsid w:val="003B0FE0"/>
    <w:rsid w:val="003B6365"/>
    <w:rsid w:val="003C2AE9"/>
    <w:rsid w:val="003C4119"/>
    <w:rsid w:val="003D5273"/>
    <w:rsid w:val="003E2C7E"/>
    <w:rsid w:val="003E482B"/>
    <w:rsid w:val="003E6529"/>
    <w:rsid w:val="003F0EB7"/>
    <w:rsid w:val="003F24DF"/>
    <w:rsid w:val="003F7572"/>
    <w:rsid w:val="00403125"/>
    <w:rsid w:val="00412EC6"/>
    <w:rsid w:val="0041628C"/>
    <w:rsid w:val="0042269F"/>
    <w:rsid w:val="00422CC7"/>
    <w:rsid w:val="004258A7"/>
    <w:rsid w:val="00431422"/>
    <w:rsid w:val="004367D9"/>
    <w:rsid w:val="004370F4"/>
    <w:rsid w:val="00442237"/>
    <w:rsid w:val="00455E67"/>
    <w:rsid w:val="004622FF"/>
    <w:rsid w:val="0046358A"/>
    <w:rsid w:val="00465B2B"/>
    <w:rsid w:val="00466C76"/>
    <w:rsid w:val="00474710"/>
    <w:rsid w:val="00474BA2"/>
    <w:rsid w:val="0048781A"/>
    <w:rsid w:val="00490F1D"/>
    <w:rsid w:val="00492A8E"/>
    <w:rsid w:val="0049709D"/>
    <w:rsid w:val="0049772E"/>
    <w:rsid w:val="004A2C63"/>
    <w:rsid w:val="004B1E81"/>
    <w:rsid w:val="004B2B81"/>
    <w:rsid w:val="004B487F"/>
    <w:rsid w:val="004B48C0"/>
    <w:rsid w:val="004B5C6B"/>
    <w:rsid w:val="004B66F6"/>
    <w:rsid w:val="004B77C8"/>
    <w:rsid w:val="004C1F7F"/>
    <w:rsid w:val="004C209B"/>
    <w:rsid w:val="004C223A"/>
    <w:rsid w:val="004C30E8"/>
    <w:rsid w:val="004D2D81"/>
    <w:rsid w:val="004D7A84"/>
    <w:rsid w:val="004E583D"/>
    <w:rsid w:val="004E6FF2"/>
    <w:rsid w:val="004F061B"/>
    <w:rsid w:val="004F0B68"/>
    <w:rsid w:val="004F3CD2"/>
    <w:rsid w:val="004F490E"/>
    <w:rsid w:val="004F6014"/>
    <w:rsid w:val="00510B09"/>
    <w:rsid w:val="00510CE4"/>
    <w:rsid w:val="005144F6"/>
    <w:rsid w:val="00522361"/>
    <w:rsid w:val="005248A0"/>
    <w:rsid w:val="00525880"/>
    <w:rsid w:val="005277BB"/>
    <w:rsid w:val="005303B4"/>
    <w:rsid w:val="00541CC5"/>
    <w:rsid w:val="00546C0A"/>
    <w:rsid w:val="00547A9E"/>
    <w:rsid w:val="00551DD4"/>
    <w:rsid w:val="0056112A"/>
    <w:rsid w:val="00565D07"/>
    <w:rsid w:val="00566B38"/>
    <w:rsid w:val="00570202"/>
    <w:rsid w:val="00570CC0"/>
    <w:rsid w:val="00573ABC"/>
    <w:rsid w:val="00582D47"/>
    <w:rsid w:val="00583E74"/>
    <w:rsid w:val="0058478F"/>
    <w:rsid w:val="00584890"/>
    <w:rsid w:val="005872B1"/>
    <w:rsid w:val="00587A72"/>
    <w:rsid w:val="0059167E"/>
    <w:rsid w:val="00594A2D"/>
    <w:rsid w:val="005961BD"/>
    <w:rsid w:val="005A3536"/>
    <w:rsid w:val="005B06F0"/>
    <w:rsid w:val="005C378C"/>
    <w:rsid w:val="005C4AF4"/>
    <w:rsid w:val="005C50D8"/>
    <w:rsid w:val="005C5207"/>
    <w:rsid w:val="005C52F7"/>
    <w:rsid w:val="005D54CC"/>
    <w:rsid w:val="005F17BE"/>
    <w:rsid w:val="005F7D4C"/>
    <w:rsid w:val="00602E47"/>
    <w:rsid w:val="00611578"/>
    <w:rsid w:val="00611BD8"/>
    <w:rsid w:val="0061201C"/>
    <w:rsid w:val="00616B28"/>
    <w:rsid w:val="00616C9E"/>
    <w:rsid w:val="00626E0A"/>
    <w:rsid w:val="006365B8"/>
    <w:rsid w:val="00636695"/>
    <w:rsid w:val="00651CAF"/>
    <w:rsid w:val="006522AC"/>
    <w:rsid w:val="00654C41"/>
    <w:rsid w:val="006565B0"/>
    <w:rsid w:val="00660935"/>
    <w:rsid w:val="0066150F"/>
    <w:rsid w:val="00666928"/>
    <w:rsid w:val="00667011"/>
    <w:rsid w:val="006728F7"/>
    <w:rsid w:val="00673DA1"/>
    <w:rsid w:val="00674ECD"/>
    <w:rsid w:val="00691585"/>
    <w:rsid w:val="00693CBE"/>
    <w:rsid w:val="006B06DA"/>
    <w:rsid w:val="006B4E6C"/>
    <w:rsid w:val="006C0725"/>
    <w:rsid w:val="006C4378"/>
    <w:rsid w:val="006D087A"/>
    <w:rsid w:val="006D14C3"/>
    <w:rsid w:val="006D3D00"/>
    <w:rsid w:val="006E2357"/>
    <w:rsid w:val="006E765D"/>
    <w:rsid w:val="006F2C09"/>
    <w:rsid w:val="00700A10"/>
    <w:rsid w:val="007016EA"/>
    <w:rsid w:val="00703B4F"/>
    <w:rsid w:val="00705122"/>
    <w:rsid w:val="0070736E"/>
    <w:rsid w:val="00713670"/>
    <w:rsid w:val="00721BB4"/>
    <w:rsid w:val="00722CAC"/>
    <w:rsid w:val="00736D00"/>
    <w:rsid w:val="00736D99"/>
    <w:rsid w:val="0073708C"/>
    <w:rsid w:val="0074152C"/>
    <w:rsid w:val="00741BB4"/>
    <w:rsid w:val="00743844"/>
    <w:rsid w:val="00752303"/>
    <w:rsid w:val="00752CF7"/>
    <w:rsid w:val="0076064F"/>
    <w:rsid w:val="00767737"/>
    <w:rsid w:val="007705DF"/>
    <w:rsid w:val="00772194"/>
    <w:rsid w:val="00781A83"/>
    <w:rsid w:val="00791DCF"/>
    <w:rsid w:val="00793F72"/>
    <w:rsid w:val="00794848"/>
    <w:rsid w:val="007B00AC"/>
    <w:rsid w:val="007B0F5E"/>
    <w:rsid w:val="007B2D02"/>
    <w:rsid w:val="007E14C7"/>
    <w:rsid w:val="007E1562"/>
    <w:rsid w:val="007E43F7"/>
    <w:rsid w:val="007F28D8"/>
    <w:rsid w:val="007F37CE"/>
    <w:rsid w:val="007F3B32"/>
    <w:rsid w:val="007F727B"/>
    <w:rsid w:val="00806A42"/>
    <w:rsid w:val="00811C7A"/>
    <w:rsid w:val="008123C7"/>
    <w:rsid w:val="0081355A"/>
    <w:rsid w:val="00816F1E"/>
    <w:rsid w:val="00826C1A"/>
    <w:rsid w:val="008323A2"/>
    <w:rsid w:val="00832ACC"/>
    <w:rsid w:val="00843D79"/>
    <w:rsid w:val="00846206"/>
    <w:rsid w:val="008579C0"/>
    <w:rsid w:val="00872964"/>
    <w:rsid w:val="00872E35"/>
    <w:rsid w:val="008746F1"/>
    <w:rsid w:val="00882E3B"/>
    <w:rsid w:val="008915F4"/>
    <w:rsid w:val="00893BE2"/>
    <w:rsid w:val="00897FA8"/>
    <w:rsid w:val="008A17A4"/>
    <w:rsid w:val="008B0A9E"/>
    <w:rsid w:val="008B1F7B"/>
    <w:rsid w:val="008C234E"/>
    <w:rsid w:val="008D1C23"/>
    <w:rsid w:val="008D35A4"/>
    <w:rsid w:val="008D622E"/>
    <w:rsid w:val="008E0E4A"/>
    <w:rsid w:val="008E19BB"/>
    <w:rsid w:val="008F05B6"/>
    <w:rsid w:val="008F1667"/>
    <w:rsid w:val="008F4694"/>
    <w:rsid w:val="008F70E5"/>
    <w:rsid w:val="008F79BC"/>
    <w:rsid w:val="009009F6"/>
    <w:rsid w:val="00904B99"/>
    <w:rsid w:val="00907506"/>
    <w:rsid w:val="009142E7"/>
    <w:rsid w:val="00934115"/>
    <w:rsid w:val="009452DD"/>
    <w:rsid w:val="00951181"/>
    <w:rsid w:val="00964D88"/>
    <w:rsid w:val="00972043"/>
    <w:rsid w:val="00972917"/>
    <w:rsid w:val="00975B6B"/>
    <w:rsid w:val="00981879"/>
    <w:rsid w:val="0098577A"/>
    <w:rsid w:val="009861B0"/>
    <w:rsid w:val="009867F2"/>
    <w:rsid w:val="0099230C"/>
    <w:rsid w:val="00993D94"/>
    <w:rsid w:val="009942CE"/>
    <w:rsid w:val="009A1162"/>
    <w:rsid w:val="009A11E9"/>
    <w:rsid w:val="009A172D"/>
    <w:rsid w:val="009A2D3F"/>
    <w:rsid w:val="009A3C61"/>
    <w:rsid w:val="009B3AFF"/>
    <w:rsid w:val="009B4A10"/>
    <w:rsid w:val="009C43B4"/>
    <w:rsid w:val="009C53A2"/>
    <w:rsid w:val="009C5621"/>
    <w:rsid w:val="009C5C43"/>
    <w:rsid w:val="009C70D1"/>
    <w:rsid w:val="009D52C2"/>
    <w:rsid w:val="009D6F0A"/>
    <w:rsid w:val="009F174D"/>
    <w:rsid w:val="009F3E4C"/>
    <w:rsid w:val="009F5278"/>
    <w:rsid w:val="009F68C5"/>
    <w:rsid w:val="00A02A85"/>
    <w:rsid w:val="00A03BCB"/>
    <w:rsid w:val="00A05E53"/>
    <w:rsid w:val="00A07FF4"/>
    <w:rsid w:val="00A10E4F"/>
    <w:rsid w:val="00A11948"/>
    <w:rsid w:val="00A119F6"/>
    <w:rsid w:val="00A136BF"/>
    <w:rsid w:val="00A13FC4"/>
    <w:rsid w:val="00A13FD2"/>
    <w:rsid w:val="00A305FD"/>
    <w:rsid w:val="00A30AC8"/>
    <w:rsid w:val="00A312B2"/>
    <w:rsid w:val="00A31C08"/>
    <w:rsid w:val="00A32E71"/>
    <w:rsid w:val="00A40369"/>
    <w:rsid w:val="00A410F4"/>
    <w:rsid w:val="00A4239F"/>
    <w:rsid w:val="00A467F7"/>
    <w:rsid w:val="00A50485"/>
    <w:rsid w:val="00A56811"/>
    <w:rsid w:val="00A56CC2"/>
    <w:rsid w:val="00A66929"/>
    <w:rsid w:val="00A7691F"/>
    <w:rsid w:val="00A777C6"/>
    <w:rsid w:val="00A81609"/>
    <w:rsid w:val="00A83237"/>
    <w:rsid w:val="00A920CC"/>
    <w:rsid w:val="00A9602B"/>
    <w:rsid w:val="00AA2872"/>
    <w:rsid w:val="00AA2F0D"/>
    <w:rsid w:val="00AA4F8B"/>
    <w:rsid w:val="00AB154F"/>
    <w:rsid w:val="00AB3A23"/>
    <w:rsid w:val="00AB4481"/>
    <w:rsid w:val="00AB68F6"/>
    <w:rsid w:val="00AC1EFB"/>
    <w:rsid w:val="00AC52D0"/>
    <w:rsid w:val="00AD0706"/>
    <w:rsid w:val="00AD4C28"/>
    <w:rsid w:val="00AD5C90"/>
    <w:rsid w:val="00AD69E8"/>
    <w:rsid w:val="00AD7B28"/>
    <w:rsid w:val="00AE226B"/>
    <w:rsid w:val="00AF06E5"/>
    <w:rsid w:val="00AF1AE5"/>
    <w:rsid w:val="00AF556D"/>
    <w:rsid w:val="00B05C12"/>
    <w:rsid w:val="00B05DC6"/>
    <w:rsid w:val="00B07F98"/>
    <w:rsid w:val="00B11C6D"/>
    <w:rsid w:val="00B1354D"/>
    <w:rsid w:val="00B15057"/>
    <w:rsid w:val="00B1743A"/>
    <w:rsid w:val="00B2673B"/>
    <w:rsid w:val="00B275F9"/>
    <w:rsid w:val="00B317E3"/>
    <w:rsid w:val="00B32249"/>
    <w:rsid w:val="00B424C3"/>
    <w:rsid w:val="00B43729"/>
    <w:rsid w:val="00B44B41"/>
    <w:rsid w:val="00B46911"/>
    <w:rsid w:val="00B60702"/>
    <w:rsid w:val="00B630E8"/>
    <w:rsid w:val="00B64103"/>
    <w:rsid w:val="00B65010"/>
    <w:rsid w:val="00B662C5"/>
    <w:rsid w:val="00B71C61"/>
    <w:rsid w:val="00B723FA"/>
    <w:rsid w:val="00B90C77"/>
    <w:rsid w:val="00B92511"/>
    <w:rsid w:val="00B93958"/>
    <w:rsid w:val="00B94E0B"/>
    <w:rsid w:val="00B97945"/>
    <w:rsid w:val="00BA3724"/>
    <w:rsid w:val="00BA64D7"/>
    <w:rsid w:val="00BB485D"/>
    <w:rsid w:val="00BC24D7"/>
    <w:rsid w:val="00BC74BC"/>
    <w:rsid w:val="00BC7755"/>
    <w:rsid w:val="00BC775B"/>
    <w:rsid w:val="00BD0496"/>
    <w:rsid w:val="00BD1282"/>
    <w:rsid w:val="00BD1840"/>
    <w:rsid w:val="00BD2C7F"/>
    <w:rsid w:val="00BD2CD0"/>
    <w:rsid w:val="00BD37CB"/>
    <w:rsid w:val="00BE3FB7"/>
    <w:rsid w:val="00BE46E9"/>
    <w:rsid w:val="00BF0E27"/>
    <w:rsid w:val="00BF188C"/>
    <w:rsid w:val="00BF3800"/>
    <w:rsid w:val="00BF46A9"/>
    <w:rsid w:val="00BF5D5B"/>
    <w:rsid w:val="00C04C4D"/>
    <w:rsid w:val="00C051FA"/>
    <w:rsid w:val="00C07ADD"/>
    <w:rsid w:val="00C07AF1"/>
    <w:rsid w:val="00C14866"/>
    <w:rsid w:val="00C17AEA"/>
    <w:rsid w:val="00C2264F"/>
    <w:rsid w:val="00C33507"/>
    <w:rsid w:val="00C37D3A"/>
    <w:rsid w:val="00C50C0D"/>
    <w:rsid w:val="00C51E6C"/>
    <w:rsid w:val="00C51FBD"/>
    <w:rsid w:val="00C546B9"/>
    <w:rsid w:val="00C611ED"/>
    <w:rsid w:val="00C65676"/>
    <w:rsid w:val="00C7323E"/>
    <w:rsid w:val="00C75E32"/>
    <w:rsid w:val="00C76519"/>
    <w:rsid w:val="00C876F1"/>
    <w:rsid w:val="00C90A70"/>
    <w:rsid w:val="00C951AA"/>
    <w:rsid w:val="00CA43FB"/>
    <w:rsid w:val="00CB0606"/>
    <w:rsid w:val="00CB63EA"/>
    <w:rsid w:val="00CC56E9"/>
    <w:rsid w:val="00CC606E"/>
    <w:rsid w:val="00CD5376"/>
    <w:rsid w:val="00CD6A8B"/>
    <w:rsid w:val="00CF1CA6"/>
    <w:rsid w:val="00CF38F2"/>
    <w:rsid w:val="00CF4E67"/>
    <w:rsid w:val="00D01BC9"/>
    <w:rsid w:val="00D10DEB"/>
    <w:rsid w:val="00D11AC8"/>
    <w:rsid w:val="00D165C4"/>
    <w:rsid w:val="00D167DA"/>
    <w:rsid w:val="00D2428A"/>
    <w:rsid w:val="00D24296"/>
    <w:rsid w:val="00D2448C"/>
    <w:rsid w:val="00D27A28"/>
    <w:rsid w:val="00D35858"/>
    <w:rsid w:val="00D454D7"/>
    <w:rsid w:val="00D601C5"/>
    <w:rsid w:val="00D61427"/>
    <w:rsid w:val="00D6358F"/>
    <w:rsid w:val="00D67CB1"/>
    <w:rsid w:val="00D67EE8"/>
    <w:rsid w:val="00D700B6"/>
    <w:rsid w:val="00D7015C"/>
    <w:rsid w:val="00D75B76"/>
    <w:rsid w:val="00D774E3"/>
    <w:rsid w:val="00D82CA7"/>
    <w:rsid w:val="00D84A99"/>
    <w:rsid w:val="00D961D1"/>
    <w:rsid w:val="00DA3F4E"/>
    <w:rsid w:val="00DA5DAE"/>
    <w:rsid w:val="00DA5F12"/>
    <w:rsid w:val="00DA6F2E"/>
    <w:rsid w:val="00DB03EA"/>
    <w:rsid w:val="00DB0BB6"/>
    <w:rsid w:val="00DB0D46"/>
    <w:rsid w:val="00DB704C"/>
    <w:rsid w:val="00DD1E27"/>
    <w:rsid w:val="00DE0BC4"/>
    <w:rsid w:val="00DE617F"/>
    <w:rsid w:val="00DE6D7A"/>
    <w:rsid w:val="00DE6DD2"/>
    <w:rsid w:val="00DE7385"/>
    <w:rsid w:val="00DF12D5"/>
    <w:rsid w:val="00DF1F51"/>
    <w:rsid w:val="00DF1F6C"/>
    <w:rsid w:val="00DF6263"/>
    <w:rsid w:val="00DF6901"/>
    <w:rsid w:val="00E003E1"/>
    <w:rsid w:val="00E0486C"/>
    <w:rsid w:val="00E10005"/>
    <w:rsid w:val="00E14731"/>
    <w:rsid w:val="00E17E7E"/>
    <w:rsid w:val="00E23664"/>
    <w:rsid w:val="00E27417"/>
    <w:rsid w:val="00E44F05"/>
    <w:rsid w:val="00E450E7"/>
    <w:rsid w:val="00E47B5D"/>
    <w:rsid w:val="00E50710"/>
    <w:rsid w:val="00E52C95"/>
    <w:rsid w:val="00E5794D"/>
    <w:rsid w:val="00E617CF"/>
    <w:rsid w:val="00E66F76"/>
    <w:rsid w:val="00E75355"/>
    <w:rsid w:val="00E83162"/>
    <w:rsid w:val="00E83297"/>
    <w:rsid w:val="00E8403E"/>
    <w:rsid w:val="00E85284"/>
    <w:rsid w:val="00E8789B"/>
    <w:rsid w:val="00E901B0"/>
    <w:rsid w:val="00EA66DB"/>
    <w:rsid w:val="00EA77CA"/>
    <w:rsid w:val="00EB2D83"/>
    <w:rsid w:val="00EB42EA"/>
    <w:rsid w:val="00EB537E"/>
    <w:rsid w:val="00EC2BC3"/>
    <w:rsid w:val="00ED423F"/>
    <w:rsid w:val="00ED5115"/>
    <w:rsid w:val="00ED6A81"/>
    <w:rsid w:val="00ED72FD"/>
    <w:rsid w:val="00EE5301"/>
    <w:rsid w:val="00EE7CA3"/>
    <w:rsid w:val="00EF04BA"/>
    <w:rsid w:val="00EF3C46"/>
    <w:rsid w:val="00EF5429"/>
    <w:rsid w:val="00F037C9"/>
    <w:rsid w:val="00F054C7"/>
    <w:rsid w:val="00F135CE"/>
    <w:rsid w:val="00F15387"/>
    <w:rsid w:val="00F17226"/>
    <w:rsid w:val="00F17D0D"/>
    <w:rsid w:val="00F2637E"/>
    <w:rsid w:val="00F326EA"/>
    <w:rsid w:val="00F34A2C"/>
    <w:rsid w:val="00F3630F"/>
    <w:rsid w:val="00F41EB8"/>
    <w:rsid w:val="00F44C0F"/>
    <w:rsid w:val="00F4683A"/>
    <w:rsid w:val="00F47293"/>
    <w:rsid w:val="00F50737"/>
    <w:rsid w:val="00F536AA"/>
    <w:rsid w:val="00F56826"/>
    <w:rsid w:val="00F60230"/>
    <w:rsid w:val="00F63234"/>
    <w:rsid w:val="00F718D0"/>
    <w:rsid w:val="00F74111"/>
    <w:rsid w:val="00F80984"/>
    <w:rsid w:val="00F83477"/>
    <w:rsid w:val="00F83AB8"/>
    <w:rsid w:val="00F84F3C"/>
    <w:rsid w:val="00FA7A32"/>
    <w:rsid w:val="00FB12F8"/>
    <w:rsid w:val="00FC0F66"/>
    <w:rsid w:val="00FC39D4"/>
    <w:rsid w:val="00FD2777"/>
    <w:rsid w:val="00FD479C"/>
    <w:rsid w:val="00FE19C2"/>
    <w:rsid w:val="00FE7424"/>
    <w:rsid w:val="00FF3A45"/>
    <w:rsid w:val="00FF526D"/>
    <w:rsid w:val="00FF70CC"/>
    <w:rsid w:val="00FF75EF"/>
    <w:rsid w:val="017D3832"/>
    <w:rsid w:val="01F92C45"/>
    <w:rsid w:val="028D9735"/>
    <w:rsid w:val="042B61EF"/>
    <w:rsid w:val="04CCBE7C"/>
    <w:rsid w:val="056A538B"/>
    <w:rsid w:val="05978940"/>
    <w:rsid w:val="06060531"/>
    <w:rsid w:val="060EEA09"/>
    <w:rsid w:val="06CF9BC3"/>
    <w:rsid w:val="071A23C3"/>
    <w:rsid w:val="0745BF2B"/>
    <w:rsid w:val="07E65DBD"/>
    <w:rsid w:val="08D6D26A"/>
    <w:rsid w:val="090BF494"/>
    <w:rsid w:val="0A2F5CC5"/>
    <w:rsid w:val="0A3C5B21"/>
    <w:rsid w:val="0CC28CC1"/>
    <w:rsid w:val="0CFC6D24"/>
    <w:rsid w:val="0E39DB19"/>
    <w:rsid w:val="0E3BEFF1"/>
    <w:rsid w:val="0E6DE441"/>
    <w:rsid w:val="0F31B96A"/>
    <w:rsid w:val="0FC5895C"/>
    <w:rsid w:val="101B8851"/>
    <w:rsid w:val="102CC1C9"/>
    <w:rsid w:val="1061D789"/>
    <w:rsid w:val="10C2868B"/>
    <w:rsid w:val="111561B3"/>
    <w:rsid w:val="11E7EF07"/>
    <w:rsid w:val="124F4C90"/>
    <w:rsid w:val="12B68137"/>
    <w:rsid w:val="12C03E7B"/>
    <w:rsid w:val="12CE0BA5"/>
    <w:rsid w:val="133103FC"/>
    <w:rsid w:val="1353D6DD"/>
    <w:rsid w:val="13D0D8A1"/>
    <w:rsid w:val="13D31F1D"/>
    <w:rsid w:val="13E9FBAA"/>
    <w:rsid w:val="1476F0F1"/>
    <w:rsid w:val="14A8A1BF"/>
    <w:rsid w:val="14D633E5"/>
    <w:rsid w:val="14ED438A"/>
    <w:rsid w:val="16FF4DC2"/>
    <w:rsid w:val="17846582"/>
    <w:rsid w:val="17D19760"/>
    <w:rsid w:val="18949298"/>
    <w:rsid w:val="18BD6CCD"/>
    <w:rsid w:val="18C04217"/>
    <w:rsid w:val="18F4E7C8"/>
    <w:rsid w:val="19AA75DF"/>
    <w:rsid w:val="19B36D88"/>
    <w:rsid w:val="19BCB3BD"/>
    <w:rsid w:val="1AD7C105"/>
    <w:rsid w:val="1B95DE1A"/>
    <w:rsid w:val="1C69488D"/>
    <w:rsid w:val="1C6CC711"/>
    <w:rsid w:val="1C925798"/>
    <w:rsid w:val="1CC177FE"/>
    <w:rsid w:val="1CC20515"/>
    <w:rsid w:val="1D90DDF0"/>
    <w:rsid w:val="1F52A14C"/>
    <w:rsid w:val="210B377D"/>
    <w:rsid w:val="2228BE3F"/>
    <w:rsid w:val="22427D67"/>
    <w:rsid w:val="225CFA00"/>
    <w:rsid w:val="22A707DE"/>
    <w:rsid w:val="230CA8B7"/>
    <w:rsid w:val="2392474B"/>
    <w:rsid w:val="24EFE466"/>
    <w:rsid w:val="25411E8C"/>
    <w:rsid w:val="2588AC9F"/>
    <w:rsid w:val="259BEFD5"/>
    <w:rsid w:val="27E7BB2A"/>
    <w:rsid w:val="29322BB0"/>
    <w:rsid w:val="2973BB62"/>
    <w:rsid w:val="2978B06D"/>
    <w:rsid w:val="29E4C141"/>
    <w:rsid w:val="2A5D0FBA"/>
    <w:rsid w:val="2AA2A459"/>
    <w:rsid w:val="2AF517D9"/>
    <w:rsid w:val="2B619A07"/>
    <w:rsid w:val="2BA97323"/>
    <w:rsid w:val="2BFCC4D0"/>
    <w:rsid w:val="2C131EDF"/>
    <w:rsid w:val="2CA48548"/>
    <w:rsid w:val="2CFEF44C"/>
    <w:rsid w:val="2D158CF3"/>
    <w:rsid w:val="2D28E992"/>
    <w:rsid w:val="2D36D16A"/>
    <w:rsid w:val="2DF8D717"/>
    <w:rsid w:val="2E0918D1"/>
    <w:rsid w:val="2E284F3A"/>
    <w:rsid w:val="2E3EF624"/>
    <w:rsid w:val="2EB3ED0A"/>
    <w:rsid w:val="2ED06AD7"/>
    <w:rsid w:val="2F434721"/>
    <w:rsid w:val="30D159D2"/>
    <w:rsid w:val="30F3BD88"/>
    <w:rsid w:val="317FE7B7"/>
    <w:rsid w:val="31C02E79"/>
    <w:rsid w:val="31CFD5B9"/>
    <w:rsid w:val="3286E0EF"/>
    <w:rsid w:val="32DE6E8C"/>
    <w:rsid w:val="33B48508"/>
    <w:rsid w:val="33EB7D13"/>
    <w:rsid w:val="34016444"/>
    <w:rsid w:val="34AED9A4"/>
    <w:rsid w:val="34C63E32"/>
    <w:rsid w:val="34F6A58C"/>
    <w:rsid w:val="354BB20B"/>
    <w:rsid w:val="35505569"/>
    <w:rsid w:val="3585DB54"/>
    <w:rsid w:val="363FC5FB"/>
    <w:rsid w:val="37120ED5"/>
    <w:rsid w:val="375341D0"/>
    <w:rsid w:val="38AC9C44"/>
    <w:rsid w:val="397015FA"/>
    <w:rsid w:val="3999AF55"/>
    <w:rsid w:val="39BF811D"/>
    <w:rsid w:val="39DAE79E"/>
    <w:rsid w:val="3A13C230"/>
    <w:rsid w:val="3A23C68C"/>
    <w:rsid w:val="3A8AE292"/>
    <w:rsid w:val="3AC19A7C"/>
    <w:rsid w:val="3AC8F435"/>
    <w:rsid w:val="3B357FB6"/>
    <w:rsid w:val="3B4DE862"/>
    <w:rsid w:val="3BF0A819"/>
    <w:rsid w:val="3C6DD17F"/>
    <w:rsid w:val="3CB359E0"/>
    <w:rsid w:val="3D12427A"/>
    <w:rsid w:val="3D58160A"/>
    <w:rsid w:val="3D9646CF"/>
    <w:rsid w:val="3E989B04"/>
    <w:rsid w:val="3EB0E877"/>
    <w:rsid w:val="3EC3BEEB"/>
    <w:rsid w:val="3FCE3AE7"/>
    <w:rsid w:val="3FD56EB9"/>
    <w:rsid w:val="41B051C5"/>
    <w:rsid w:val="422C9F9D"/>
    <w:rsid w:val="434D3B06"/>
    <w:rsid w:val="43731EC3"/>
    <w:rsid w:val="43800469"/>
    <w:rsid w:val="4394C1AB"/>
    <w:rsid w:val="43E531F5"/>
    <w:rsid w:val="43F5D5CF"/>
    <w:rsid w:val="44C0DB56"/>
    <w:rsid w:val="45A4C59C"/>
    <w:rsid w:val="45CD9539"/>
    <w:rsid w:val="46B33BCA"/>
    <w:rsid w:val="4769659A"/>
    <w:rsid w:val="47BA32DD"/>
    <w:rsid w:val="48713C1D"/>
    <w:rsid w:val="4882F73F"/>
    <w:rsid w:val="495143BA"/>
    <w:rsid w:val="4A8A6DB5"/>
    <w:rsid w:val="4A9C0F3A"/>
    <w:rsid w:val="4AC0336C"/>
    <w:rsid w:val="4B669322"/>
    <w:rsid w:val="4B740A7E"/>
    <w:rsid w:val="4B785123"/>
    <w:rsid w:val="4C1FA704"/>
    <w:rsid w:val="4C245D56"/>
    <w:rsid w:val="4C8766F2"/>
    <w:rsid w:val="4E54C149"/>
    <w:rsid w:val="4E8B2B55"/>
    <w:rsid w:val="4F33A7FC"/>
    <w:rsid w:val="501BA78F"/>
    <w:rsid w:val="505937BB"/>
    <w:rsid w:val="50746E7F"/>
    <w:rsid w:val="50856917"/>
    <w:rsid w:val="51671BE0"/>
    <w:rsid w:val="51B1D0E4"/>
    <w:rsid w:val="5226DFCA"/>
    <w:rsid w:val="52AFA2C0"/>
    <w:rsid w:val="52ED056F"/>
    <w:rsid w:val="541FA5E5"/>
    <w:rsid w:val="54C354B8"/>
    <w:rsid w:val="5512DBF8"/>
    <w:rsid w:val="55165D35"/>
    <w:rsid w:val="5524F1FA"/>
    <w:rsid w:val="55CD205C"/>
    <w:rsid w:val="55D8D844"/>
    <w:rsid w:val="564806BC"/>
    <w:rsid w:val="574C386E"/>
    <w:rsid w:val="5777E146"/>
    <w:rsid w:val="579F54FA"/>
    <w:rsid w:val="57A9E320"/>
    <w:rsid w:val="59A9A039"/>
    <w:rsid w:val="5A1B5CE5"/>
    <w:rsid w:val="5A634CC8"/>
    <w:rsid w:val="5AE1C9C8"/>
    <w:rsid w:val="5AE423E7"/>
    <w:rsid w:val="5B3F18B1"/>
    <w:rsid w:val="5B917380"/>
    <w:rsid w:val="5BB14BAD"/>
    <w:rsid w:val="5BB44EE5"/>
    <w:rsid w:val="5BD48C7F"/>
    <w:rsid w:val="5BDBA3B4"/>
    <w:rsid w:val="5C05434C"/>
    <w:rsid w:val="5C9E3580"/>
    <w:rsid w:val="5CF6ADC6"/>
    <w:rsid w:val="5D49D206"/>
    <w:rsid w:val="5D4CA302"/>
    <w:rsid w:val="5DB841B1"/>
    <w:rsid w:val="5EF7C370"/>
    <w:rsid w:val="5F36CCE3"/>
    <w:rsid w:val="5F75A2A0"/>
    <w:rsid w:val="6068B8F6"/>
    <w:rsid w:val="61CC70ED"/>
    <w:rsid w:val="621BC130"/>
    <w:rsid w:val="6247EAD5"/>
    <w:rsid w:val="64177D1E"/>
    <w:rsid w:val="6424669F"/>
    <w:rsid w:val="64D97882"/>
    <w:rsid w:val="65D16E96"/>
    <w:rsid w:val="66669E07"/>
    <w:rsid w:val="67C1311F"/>
    <w:rsid w:val="6853EED5"/>
    <w:rsid w:val="6860D4FD"/>
    <w:rsid w:val="68676C93"/>
    <w:rsid w:val="69A6F45D"/>
    <w:rsid w:val="69D83066"/>
    <w:rsid w:val="6A6BEE3E"/>
    <w:rsid w:val="6A7F96B5"/>
    <w:rsid w:val="6AAAD67D"/>
    <w:rsid w:val="6AE18733"/>
    <w:rsid w:val="6AFFDB18"/>
    <w:rsid w:val="6B2A4561"/>
    <w:rsid w:val="6B56EA6D"/>
    <w:rsid w:val="6D22D6D0"/>
    <w:rsid w:val="6D851D53"/>
    <w:rsid w:val="6E32F90C"/>
    <w:rsid w:val="6E3717C7"/>
    <w:rsid w:val="6E435064"/>
    <w:rsid w:val="6E8B34BE"/>
    <w:rsid w:val="6EE67585"/>
    <w:rsid w:val="6F3F8E34"/>
    <w:rsid w:val="6F5AF55E"/>
    <w:rsid w:val="6FA8ADDD"/>
    <w:rsid w:val="710A9532"/>
    <w:rsid w:val="713A619F"/>
    <w:rsid w:val="716BDFEF"/>
    <w:rsid w:val="719630E8"/>
    <w:rsid w:val="71BC9DE1"/>
    <w:rsid w:val="729F1917"/>
    <w:rsid w:val="72D47847"/>
    <w:rsid w:val="732CC213"/>
    <w:rsid w:val="740F15A7"/>
    <w:rsid w:val="742E6681"/>
    <w:rsid w:val="74333DD0"/>
    <w:rsid w:val="75C7990A"/>
    <w:rsid w:val="76286526"/>
    <w:rsid w:val="7633E29E"/>
    <w:rsid w:val="763630FD"/>
    <w:rsid w:val="782DF727"/>
    <w:rsid w:val="78BB886C"/>
    <w:rsid w:val="78FE9BDF"/>
    <w:rsid w:val="79D2FB7E"/>
    <w:rsid w:val="7D421EB3"/>
    <w:rsid w:val="7D78AFEB"/>
    <w:rsid w:val="7D8EF98F"/>
    <w:rsid w:val="7DC1B46C"/>
    <w:rsid w:val="7DC868E1"/>
    <w:rsid w:val="7E35F9AF"/>
    <w:rsid w:val="7E62A1A9"/>
    <w:rsid w:val="7E6C4E91"/>
    <w:rsid w:val="7E7B5BDC"/>
    <w:rsid w:val="7E82BC82"/>
    <w:rsid w:val="7F14D6CB"/>
    <w:rsid w:val="7F9E26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2E3660"/>
  <w15:chartTrackingRefBased/>
  <w15:docId w15:val="{4FEF4F5F-9754-429A-AF7D-BC3179D57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AC"/>
  </w:style>
  <w:style w:type="paragraph" w:styleId="Heading1">
    <w:name w:val="heading 1"/>
    <w:basedOn w:val="Normal"/>
    <w:next w:val="Normal"/>
    <w:link w:val="Heading1Char"/>
    <w:uiPriority w:val="9"/>
    <w:qFormat/>
    <w:rsid w:val="00934115"/>
    <w:pPr>
      <w:keepNext/>
      <w:keepLines/>
      <w:spacing w:before="240" w:after="0"/>
      <w:outlineLvl w:val="0"/>
    </w:pPr>
    <w:rPr>
      <w:rFonts w:asciiTheme="majorHAnsi" w:eastAsiaTheme="majorEastAsia" w:hAnsiTheme="majorHAnsi" w:cstheme="majorBidi"/>
      <w:color w:val="5B3161" w:themeColor="accent1" w:themeShade="BF"/>
      <w:sz w:val="32"/>
      <w:szCs w:val="32"/>
    </w:rPr>
  </w:style>
  <w:style w:type="paragraph" w:styleId="Heading2">
    <w:name w:val="heading 2"/>
    <w:basedOn w:val="Normal"/>
    <w:next w:val="Normal"/>
    <w:link w:val="Heading2Char"/>
    <w:uiPriority w:val="9"/>
    <w:unhideWhenUsed/>
    <w:qFormat/>
    <w:rsid w:val="002A46AC"/>
    <w:pPr>
      <w:keepNext/>
      <w:keepLines/>
      <w:spacing w:before="40" w:after="0"/>
      <w:outlineLvl w:val="1"/>
    </w:pPr>
    <w:rPr>
      <w:rFonts w:asciiTheme="majorHAnsi" w:eastAsiaTheme="majorEastAsia" w:hAnsiTheme="majorHAnsi" w:cstheme="majorBidi"/>
      <w:color w:val="5B3161" w:themeColor="accent1" w:themeShade="BF"/>
      <w:sz w:val="26"/>
      <w:szCs w:val="26"/>
    </w:rPr>
  </w:style>
  <w:style w:type="paragraph" w:styleId="Heading3">
    <w:name w:val="heading 3"/>
    <w:basedOn w:val="Normal"/>
    <w:next w:val="Normal"/>
    <w:link w:val="Heading3Char"/>
    <w:uiPriority w:val="9"/>
    <w:unhideWhenUsed/>
    <w:qFormat/>
    <w:rsid w:val="002A46AC"/>
    <w:pPr>
      <w:keepNext/>
      <w:keepLines/>
      <w:spacing w:before="40" w:after="0"/>
      <w:outlineLvl w:val="2"/>
    </w:pPr>
    <w:rPr>
      <w:rFonts w:asciiTheme="majorHAnsi" w:eastAsiaTheme="majorEastAsia" w:hAnsiTheme="majorHAnsi" w:cstheme="majorBidi"/>
      <w:color w:val="3C20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46AC"/>
    <w:rPr>
      <w:rFonts w:asciiTheme="majorHAnsi" w:eastAsiaTheme="majorEastAsia" w:hAnsiTheme="majorHAnsi" w:cstheme="majorBidi"/>
      <w:color w:val="5B3161" w:themeColor="accent1" w:themeShade="BF"/>
      <w:sz w:val="26"/>
      <w:szCs w:val="26"/>
    </w:rPr>
  </w:style>
  <w:style w:type="character" w:customStyle="1" w:styleId="Heading3Char">
    <w:name w:val="Heading 3 Char"/>
    <w:basedOn w:val="DefaultParagraphFont"/>
    <w:link w:val="Heading3"/>
    <w:uiPriority w:val="9"/>
    <w:rsid w:val="002A46AC"/>
    <w:rPr>
      <w:rFonts w:asciiTheme="majorHAnsi" w:eastAsiaTheme="majorEastAsia" w:hAnsiTheme="majorHAnsi" w:cstheme="majorBidi"/>
      <w:color w:val="3C2040" w:themeColor="accent1" w:themeShade="7F"/>
      <w:sz w:val="24"/>
      <w:szCs w:val="24"/>
    </w:rPr>
  </w:style>
  <w:style w:type="character" w:styleId="Hyperlink">
    <w:name w:val="Hyperlink"/>
    <w:basedOn w:val="DefaultParagraphFont"/>
    <w:uiPriority w:val="99"/>
    <w:unhideWhenUsed/>
    <w:rsid w:val="002A46AC"/>
    <w:rPr>
      <w:color w:val="2E1A47" w:themeColor="hyperlink"/>
      <w:u w:val="single"/>
    </w:rPr>
  </w:style>
  <w:style w:type="paragraph" w:styleId="ListParagraph">
    <w:name w:val="List Paragraph"/>
    <w:basedOn w:val="Normal"/>
    <w:uiPriority w:val="34"/>
    <w:qFormat/>
    <w:rsid w:val="00713670"/>
    <w:pPr>
      <w:numPr>
        <w:numId w:val="47"/>
      </w:numPr>
      <w:contextualSpacing/>
    </w:pPr>
  </w:style>
  <w:style w:type="paragraph" w:styleId="NormalWeb">
    <w:name w:val="Normal (Web)"/>
    <w:basedOn w:val="Normal"/>
    <w:uiPriority w:val="99"/>
    <w:unhideWhenUsed/>
    <w:rsid w:val="002A46AC"/>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CommentReference">
    <w:name w:val="annotation reference"/>
    <w:basedOn w:val="DefaultParagraphFont"/>
    <w:uiPriority w:val="99"/>
    <w:semiHidden/>
    <w:unhideWhenUsed/>
    <w:rsid w:val="002A46AC"/>
    <w:rPr>
      <w:sz w:val="16"/>
      <w:szCs w:val="16"/>
    </w:rPr>
  </w:style>
  <w:style w:type="paragraph" w:styleId="CommentText">
    <w:name w:val="annotation text"/>
    <w:basedOn w:val="Normal"/>
    <w:link w:val="CommentTextChar"/>
    <w:uiPriority w:val="99"/>
    <w:semiHidden/>
    <w:unhideWhenUsed/>
    <w:rsid w:val="002A46AC"/>
    <w:pPr>
      <w:spacing w:line="240" w:lineRule="auto"/>
    </w:pPr>
    <w:rPr>
      <w:sz w:val="20"/>
      <w:szCs w:val="20"/>
    </w:rPr>
  </w:style>
  <w:style w:type="character" w:customStyle="1" w:styleId="CommentTextChar">
    <w:name w:val="Comment Text Char"/>
    <w:basedOn w:val="DefaultParagraphFont"/>
    <w:link w:val="CommentText"/>
    <w:uiPriority w:val="99"/>
    <w:semiHidden/>
    <w:rsid w:val="002A46AC"/>
    <w:rPr>
      <w:sz w:val="20"/>
      <w:szCs w:val="20"/>
    </w:rPr>
  </w:style>
  <w:style w:type="paragraph" w:styleId="BalloonText">
    <w:name w:val="Balloon Text"/>
    <w:basedOn w:val="Normal"/>
    <w:link w:val="BalloonTextChar"/>
    <w:uiPriority w:val="99"/>
    <w:semiHidden/>
    <w:unhideWhenUsed/>
    <w:rsid w:val="002A46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6AC"/>
    <w:rPr>
      <w:rFonts w:ascii="Segoe UI" w:hAnsi="Segoe UI" w:cs="Segoe UI"/>
      <w:sz w:val="18"/>
      <w:szCs w:val="18"/>
    </w:rPr>
  </w:style>
  <w:style w:type="character" w:customStyle="1" w:styleId="Heading1Char">
    <w:name w:val="Heading 1 Char"/>
    <w:basedOn w:val="DefaultParagraphFont"/>
    <w:link w:val="Heading1"/>
    <w:uiPriority w:val="9"/>
    <w:rsid w:val="00934115"/>
    <w:rPr>
      <w:rFonts w:asciiTheme="majorHAnsi" w:eastAsiaTheme="majorEastAsia" w:hAnsiTheme="majorHAnsi" w:cstheme="majorBidi"/>
      <w:color w:val="5B3161" w:themeColor="accent1" w:themeShade="BF"/>
      <w:sz w:val="32"/>
      <w:szCs w:val="32"/>
    </w:rPr>
  </w:style>
  <w:style w:type="character" w:styleId="Strong">
    <w:name w:val="Strong"/>
    <w:basedOn w:val="DefaultParagraphFont"/>
    <w:uiPriority w:val="22"/>
    <w:qFormat/>
    <w:rsid w:val="00904B99"/>
    <w:rPr>
      <w:b/>
      <w:bCs/>
    </w:rPr>
  </w:style>
  <w:style w:type="table" w:styleId="TableGrid">
    <w:name w:val="Table Grid"/>
    <w:basedOn w:val="TableNormal"/>
    <w:uiPriority w:val="39"/>
    <w:rsid w:val="001C3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s-1yqigsj">
    <w:name w:val="css-1yqigsj"/>
    <w:basedOn w:val="Normal"/>
    <w:rsid w:val="00752CF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721BB4"/>
    <w:rPr>
      <w:b/>
      <w:bCs/>
    </w:rPr>
  </w:style>
  <w:style w:type="character" w:customStyle="1" w:styleId="CommentSubjectChar">
    <w:name w:val="Comment Subject Char"/>
    <w:basedOn w:val="CommentTextChar"/>
    <w:link w:val="CommentSubject"/>
    <w:uiPriority w:val="99"/>
    <w:semiHidden/>
    <w:rsid w:val="00721BB4"/>
    <w:rPr>
      <w:b/>
      <w:bCs/>
      <w:sz w:val="20"/>
      <w:szCs w:val="20"/>
    </w:rPr>
  </w:style>
  <w:style w:type="paragraph" w:styleId="Caption">
    <w:name w:val="caption"/>
    <w:basedOn w:val="Normal"/>
    <w:next w:val="Normal"/>
    <w:uiPriority w:val="35"/>
    <w:unhideWhenUsed/>
    <w:qFormat/>
    <w:rsid w:val="006C0725"/>
    <w:pPr>
      <w:spacing w:after="200" w:line="240" w:lineRule="auto"/>
    </w:pPr>
    <w:rPr>
      <w:i/>
      <w:iCs/>
      <w:color w:val="2E1A47" w:themeColor="text2"/>
      <w:sz w:val="18"/>
      <w:szCs w:val="18"/>
    </w:rPr>
  </w:style>
  <w:style w:type="character" w:styleId="FollowedHyperlink">
    <w:name w:val="FollowedHyperlink"/>
    <w:basedOn w:val="DefaultParagraphFont"/>
    <w:uiPriority w:val="99"/>
    <w:semiHidden/>
    <w:unhideWhenUsed/>
    <w:rsid w:val="00B71C61"/>
    <w:rPr>
      <w:color w:val="2E1A47" w:themeColor="followedHyperlink"/>
      <w:u w:val="single"/>
    </w:rPr>
  </w:style>
  <w:style w:type="paragraph" w:styleId="Header">
    <w:name w:val="header"/>
    <w:basedOn w:val="Normal"/>
    <w:link w:val="HeaderChar"/>
    <w:uiPriority w:val="99"/>
    <w:unhideWhenUsed/>
    <w:rsid w:val="006522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22AC"/>
  </w:style>
  <w:style w:type="paragraph" w:styleId="Footer">
    <w:name w:val="footer"/>
    <w:basedOn w:val="Normal"/>
    <w:link w:val="FooterChar"/>
    <w:uiPriority w:val="99"/>
    <w:unhideWhenUsed/>
    <w:rsid w:val="006522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22AC"/>
  </w:style>
  <w:style w:type="paragraph" w:styleId="Revision">
    <w:name w:val="Revision"/>
    <w:hidden/>
    <w:uiPriority w:val="99"/>
    <w:semiHidden/>
    <w:rsid w:val="003B6365"/>
    <w:pPr>
      <w:spacing w:after="0" w:line="240" w:lineRule="auto"/>
    </w:pPr>
  </w:style>
  <w:style w:type="table" w:styleId="GridTable1Light">
    <w:name w:val="Grid Table 1 Light"/>
    <w:basedOn w:val="TableNormal"/>
    <w:uiPriority w:val="46"/>
    <w:rsid w:val="007B2D0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36379">
      <w:bodyDiv w:val="1"/>
      <w:marLeft w:val="0"/>
      <w:marRight w:val="0"/>
      <w:marTop w:val="0"/>
      <w:marBottom w:val="0"/>
      <w:divBdr>
        <w:top w:val="none" w:sz="0" w:space="0" w:color="auto"/>
        <w:left w:val="none" w:sz="0" w:space="0" w:color="auto"/>
        <w:bottom w:val="none" w:sz="0" w:space="0" w:color="auto"/>
        <w:right w:val="none" w:sz="0" w:space="0" w:color="auto"/>
      </w:divBdr>
      <w:divsChild>
        <w:div w:id="2121221682">
          <w:marLeft w:val="0"/>
          <w:marRight w:val="0"/>
          <w:marTop w:val="0"/>
          <w:marBottom w:val="0"/>
          <w:divBdr>
            <w:top w:val="none" w:sz="0" w:space="0" w:color="auto"/>
            <w:left w:val="none" w:sz="0" w:space="0" w:color="auto"/>
            <w:bottom w:val="none" w:sz="0" w:space="0" w:color="auto"/>
            <w:right w:val="none" w:sz="0" w:space="0" w:color="auto"/>
          </w:divBdr>
          <w:divsChild>
            <w:div w:id="5319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3234">
      <w:bodyDiv w:val="1"/>
      <w:marLeft w:val="0"/>
      <w:marRight w:val="0"/>
      <w:marTop w:val="0"/>
      <w:marBottom w:val="0"/>
      <w:divBdr>
        <w:top w:val="none" w:sz="0" w:space="0" w:color="auto"/>
        <w:left w:val="none" w:sz="0" w:space="0" w:color="auto"/>
        <w:bottom w:val="none" w:sz="0" w:space="0" w:color="auto"/>
        <w:right w:val="none" w:sz="0" w:space="0" w:color="auto"/>
      </w:divBdr>
    </w:div>
    <w:div w:id="117727175">
      <w:bodyDiv w:val="1"/>
      <w:marLeft w:val="0"/>
      <w:marRight w:val="0"/>
      <w:marTop w:val="0"/>
      <w:marBottom w:val="0"/>
      <w:divBdr>
        <w:top w:val="none" w:sz="0" w:space="0" w:color="auto"/>
        <w:left w:val="none" w:sz="0" w:space="0" w:color="auto"/>
        <w:bottom w:val="none" w:sz="0" w:space="0" w:color="auto"/>
        <w:right w:val="none" w:sz="0" w:space="0" w:color="auto"/>
      </w:divBdr>
    </w:div>
    <w:div w:id="180555397">
      <w:bodyDiv w:val="1"/>
      <w:marLeft w:val="0"/>
      <w:marRight w:val="0"/>
      <w:marTop w:val="0"/>
      <w:marBottom w:val="0"/>
      <w:divBdr>
        <w:top w:val="none" w:sz="0" w:space="0" w:color="auto"/>
        <w:left w:val="none" w:sz="0" w:space="0" w:color="auto"/>
        <w:bottom w:val="none" w:sz="0" w:space="0" w:color="auto"/>
        <w:right w:val="none" w:sz="0" w:space="0" w:color="auto"/>
      </w:divBdr>
    </w:div>
    <w:div w:id="237985120">
      <w:bodyDiv w:val="1"/>
      <w:marLeft w:val="0"/>
      <w:marRight w:val="0"/>
      <w:marTop w:val="0"/>
      <w:marBottom w:val="0"/>
      <w:divBdr>
        <w:top w:val="none" w:sz="0" w:space="0" w:color="auto"/>
        <w:left w:val="none" w:sz="0" w:space="0" w:color="auto"/>
        <w:bottom w:val="none" w:sz="0" w:space="0" w:color="auto"/>
        <w:right w:val="none" w:sz="0" w:space="0" w:color="auto"/>
      </w:divBdr>
    </w:div>
    <w:div w:id="372270362">
      <w:bodyDiv w:val="1"/>
      <w:marLeft w:val="0"/>
      <w:marRight w:val="0"/>
      <w:marTop w:val="0"/>
      <w:marBottom w:val="0"/>
      <w:divBdr>
        <w:top w:val="none" w:sz="0" w:space="0" w:color="auto"/>
        <w:left w:val="none" w:sz="0" w:space="0" w:color="auto"/>
        <w:bottom w:val="none" w:sz="0" w:space="0" w:color="auto"/>
        <w:right w:val="none" w:sz="0" w:space="0" w:color="auto"/>
      </w:divBdr>
      <w:divsChild>
        <w:div w:id="823158164">
          <w:marLeft w:val="0"/>
          <w:marRight w:val="0"/>
          <w:marTop w:val="0"/>
          <w:marBottom w:val="0"/>
          <w:divBdr>
            <w:top w:val="none" w:sz="0" w:space="0" w:color="auto"/>
            <w:left w:val="none" w:sz="0" w:space="0" w:color="auto"/>
            <w:bottom w:val="none" w:sz="0" w:space="0" w:color="auto"/>
            <w:right w:val="none" w:sz="0" w:space="0" w:color="auto"/>
          </w:divBdr>
          <w:divsChild>
            <w:div w:id="1785925828">
              <w:marLeft w:val="0"/>
              <w:marRight w:val="0"/>
              <w:marTop w:val="0"/>
              <w:marBottom w:val="0"/>
              <w:divBdr>
                <w:top w:val="none" w:sz="0" w:space="0" w:color="auto"/>
                <w:left w:val="none" w:sz="0" w:space="0" w:color="auto"/>
                <w:bottom w:val="none" w:sz="0" w:space="0" w:color="auto"/>
                <w:right w:val="none" w:sz="0" w:space="0" w:color="auto"/>
              </w:divBdr>
              <w:divsChild>
                <w:div w:id="2099590684">
                  <w:marLeft w:val="0"/>
                  <w:marRight w:val="0"/>
                  <w:marTop w:val="0"/>
                  <w:marBottom w:val="0"/>
                  <w:divBdr>
                    <w:top w:val="none" w:sz="0" w:space="0" w:color="auto"/>
                    <w:left w:val="none" w:sz="0" w:space="0" w:color="auto"/>
                    <w:bottom w:val="none" w:sz="0" w:space="0" w:color="auto"/>
                    <w:right w:val="none" w:sz="0" w:space="0" w:color="auto"/>
                  </w:divBdr>
                  <w:divsChild>
                    <w:div w:id="1176532463">
                      <w:marLeft w:val="-225"/>
                      <w:marRight w:val="-225"/>
                      <w:marTop w:val="0"/>
                      <w:marBottom w:val="0"/>
                      <w:divBdr>
                        <w:top w:val="none" w:sz="0" w:space="0" w:color="auto"/>
                        <w:left w:val="none" w:sz="0" w:space="0" w:color="auto"/>
                        <w:bottom w:val="none" w:sz="0" w:space="0" w:color="auto"/>
                        <w:right w:val="none" w:sz="0" w:space="0" w:color="auto"/>
                      </w:divBdr>
                      <w:divsChild>
                        <w:div w:id="11216104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40996924">
          <w:marLeft w:val="0"/>
          <w:marRight w:val="0"/>
          <w:marTop w:val="0"/>
          <w:marBottom w:val="0"/>
          <w:divBdr>
            <w:top w:val="none" w:sz="0" w:space="0" w:color="auto"/>
            <w:left w:val="none" w:sz="0" w:space="0" w:color="auto"/>
            <w:bottom w:val="none" w:sz="0" w:space="0" w:color="auto"/>
            <w:right w:val="none" w:sz="0" w:space="0" w:color="auto"/>
          </w:divBdr>
          <w:divsChild>
            <w:div w:id="215237373">
              <w:marLeft w:val="-225"/>
              <w:marRight w:val="-225"/>
              <w:marTop w:val="0"/>
              <w:marBottom w:val="0"/>
              <w:divBdr>
                <w:top w:val="none" w:sz="0" w:space="0" w:color="auto"/>
                <w:left w:val="none" w:sz="0" w:space="0" w:color="auto"/>
                <w:bottom w:val="none" w:sz="0" w:space="0" w:color="auto"/>
                <w:right w:val="none" w:sz="0" w:space="0" w:color="auto"/>
              </w:divBdr>
              <w:divsChild>
                <w:div w:id="19414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427553">
      <w:bodyDiv w:val="1"/>
      <w:marLeft w:val="0"/>
      <w:marRight w:val="0"/>
      <w:marTop w:val="0"/>
      <w:marBottom w:val="0"/>
      <w:divBdr>
        <w:top w:val="none" w:sz="0" w:space="0" w:color="auto"/>
        <w:left w:val="none" w:sz="0" w:space="0" w:color="auto"/>
        <w:bottom w:val="none" w:sz="0" w:space="0" w:color="auto"/>
        <w:right w:val="none" w:sz="0" w:space="0" w:color="auto"/>
      </w:divBdr>
    </w:div>
    <w:div w:id="617639545">
      <w:bodyDiv w:val="1"/>
      <w:marLeft w:val="0"/>
      <w:marRight w:val="0"/>
      <w:marTop w:val="0"/>
      <w:marBottom w:val="0"/>
      <w:divBdr>
        <w:top w:val="none" w:sz="0" w:space="0" w:color="auto"/>
        <w:left w:val="none" w:sz="0" w:space="0" w:color="auto"/>
        <w:bottom w:val="none" w:sz="0" w:space="0" w:color="auto"/>
        <w:right w:val="none" w:sz="0" w:space="0" w:color="auto"/>
      </w:divBdr>
    </w:div>
    <w:div w:id="785192968">
      <w:bodyDiv w:val="1"/>
      <w:marLeft w:val="0"/>
      <w:marRight w:val="0"/>
      <w:marTop w:val="0"/>
      <w:marBottom w:val="0"/>
      <w:divBdr>
        <w:top w:val="none" w:sz="0" w:space="0" w:color="auto"/>
        <w:left w:val="none" w:sz="0" w:space="0" w:color="auto"/>
        <w:bottom w:val="none" w:sz="0" w:space="0" w:color="auto"/>
        <w:right w:val="none" w:sz="0" w:space="0" w:color="auto"/>
      </w:divBdr>
    </w:div>
    <w:div w:id="931204657">
      <w:bodyDiv w:val="1"/>
      <w:marLeft w:val="0"/>
      <w:marRight w:val="0"/>
      <w:marTop w:val="0"/>
      <w:marBottom w:val="0"/>
      <w:divBdr>
        <w:top w:val="none" w:sz="0" w:space="0" w:color="auto"/>
        <w:left w:val="none" w:sz="0" w:space="0" w:color="auto"/>
        <w:bottom w:val="none" w:sz="0" w:space="0" w:color="auto"/>
        <w:right w:val="none" w:sz="0" w:space="0" w:color="auto"/>
      </w:divBdr>
    </w:div>
    <w:div w:id="1019428759">
      <w:bodyDiv w:val="1"/>
      <w:marLeft w:val="0"/>
      <w:marRight w:val="0"/>
      <w:marTop w:val="0"/>
      <w:marBottom w:val="0"/>
      <w:divBdr>
        <w:top w:val="none" w:sz="0" w:space="0" w:color="auto"/>
        <w:left w:val="none" w:sz="0" w:space="0" w:color="auto"/>
        <w:bottom w:val="none" w:sz="0" w:space="0" w:color="auto"/>
        <w:right w:val="none" w:sz="0" w:space="0" w:color="auto"/>
      </w:divBdr>
    </w:div>
    <w:div w:id="1060130902">
      <w:bodyDiv w:val="1"/>
      <w:marLeft w:val="0"/>
      <w:marRight w:val="0"/>
      <w:marTop w:val="0"/>
      <w:marBottom w:val="0"/>
      <w:divBdr>
        <w:top w:val="none" w:sz="0" w:space="0" w:color="auto"/>
        <w:left w:val="none" w:sz="0" w:space="0" w:color="auto"/>
        <w:bottom w:val="none" w:sz="0" w:space="0" w:color="auto"/>
        <w:right w:val="none" w:sz="0" w:space="0" w:color="auto"/>
      </w:divBdr>
    </w:div>
    <w:div w:id="1339163680">
      <w:bodyDiv w:val="1"/>
      <w:marLeft w:val="0"/>
      <w:marRight w:val="0"/>
      <w:marTop w:val="0"/>
      <w:marBottom w:val="0"/>
      <w:divBdr>
        <w:top w:val="none" w:sz="0" w:space="0" w:color="auto"/>
        <w:left w:val="none" w:sz="0" w:space="0" w:color="auto"/>
        <w:bottom w:val="none" w:sz="0" w:space="0" w:color="auto"/>
        <w:right w:val="none" w:sz="0" w:space="0" w:color="auto"/>
      </w:divBdr>
    </w:div>
    <w:div w:id="1476870553">
      <w:bodyDiv w:val="1"/>
      <w:marLeft w:val="0"/>
      <w:marRight w:val="0"/>
      <w:marTop w:val="0"/>
      <w:marBottom w:val="0"/>
      <w:divBdr>
        <w:top w:val="none" w:sz="0" w:space="0" w:color="auto"/>
        <w:left w:val="none" w:sz="0" w:space="0" w:color="auto"/>
        <w:bottom w:val="none" w:sz="0" w:space="0" w:color="auto"/>
        <w:right w:val="none" w:sz="0" w:space="0" w:color="auto"/>
      </w:divBdr>
    </w:div>
    <w:div w:id="1531839884">
      <w:bodyDiv w:val="1"/>
      <w:marLeft w:val="0"/>
      <w:marRight w:val="0"/>
      <w:marTop w:val="0"/>
      <w:marBottom w:val="0"/>
      <w:divBdr>
        <w:top w:val="none" w:sz="0" w:space="0" w:color="auto"/>
        <w:left w:val="none" w:sz="0" w:space="0" w:color="auto"/>
        <w:bottom w:val="none" w:sz="0" w:space="0" w:color="auto"/>
        <w:right w:val="none" w:sz="0" w:space="0" w:color="auto"/>
      </w:divBdr>
    </w:div>
    <w:div w:id="183595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griculture.gov.au/abares/forestsaustralia/forest-data-maps-and-tools/fire-data" TargetMode="External"/><Relationship Id="rId18" Type="http://schemas.openxmlformats.org/officeDocument/2006/relationships/hyperlink" Target="https://infrastructure.org.au/wp-content/uploads/2019/03/2019-International-Airfreight-Indicator-digital.pdf" TargetMode="External"/><Relationship Id="rId26" Type="http://schemas.openxmlformats.org/officeDocument/2006/relationships/hyperlink" Target="https://www.unwto.org/unwto-tourism-recovery-tracker" TargetMode="External"/><Relationship Id="rId39" Type="http://schemas.openxmlformats.org/officeDocument/2006/relationships/chart" Target="charts/chart4.xml"/><Relationship Id="rId21" Type="http://schemas.openxmlformats.org/officeDocument/2006/relationships/hyperlink" Target="https://www.bitre.gov.au/statistics/aviation/domestic" TargetMode="External"/><Relationship Id="rId34" Type="http://schemas.openxmlformats.org/officeDocument/2006/relationships/image" Target="media/image6.png"/><Relationship Id="rId42" Type="http://schemas.openxmlformats.org/officeDocument/2006/relationships/hyperlink" Target="https://9amnews.com.au/core/geelong-tourism-to-suffer-massive-blow-with-melbourne-in-lockdown/" TargetMode="External"/><Relationship Id="rId47" Type="http://schemas.openxmlformats.org/officeDocument/2006/relationships/chart" Target="charts/chart5.xml"/><Relationship Id="rId50" Type="http://schemas.openxmlformats.org/officeDocument/2006/relationships/hyperlink" Target="https://www.tourism.australia.com/en/markets-and-stats/tourism-statistics.html"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image" Target="media/image3.png"/><Relationship Id="rId11" Type="http://schemas.openxmlformats.org/officeDocument/2006/relationships/footnotes" Target="footnotes.xml"/><Relationship Id="rId24" Type="http://schemas.openxmlformats.org/officeDocument/2006/relationships/hyperlink" Target="https://www.tourism.australia.com/en/markets-and-stats/tourism-statistics.html" TargetMode="External"/><Relationship Id="rId32" Type="http://schemas.openxmlformats.org/officeDocument/2006/relationships/hyperlink" Target="https://www.couriermail.com.au/subscribe/news/1/?sourceCode=CMWEB_WRE170_a_GGL&amp;dest=https%3A%2F%2Fwww.couriermail.com.au%2Fnews%2Fqueensland%2Fipswich%2Fnews-story%2F541b02681fb7f3973fabe2f40cd75845&amp;memtype=anonymous&amp;mode=premium" TargetMode="External"/><Relationship Id="rId37" Type="http://schemas.openxmlformats.org/officeDocument/2006/relationships/chart" Target="charts/chart3.xml"/><Relationship Id="rId40" Type="http://schemas.openxmlformats.org/officeDocument/2006/relationships/hyperlink" Target="https://www.businesseventscouncil.org.au/future-confidence-and-jobkeeper-impact-report1.html" TargetMode="External"/><Relationship Id="rId45" Type="http://schemas.openxmlformats.org/officeDocument/2006/relationships/hyperlink" Target="https://www.abs.gov.au/statistics/economy/national-accounts/tourism-satellite-accounts-quarterly-tourism-labour-statistics-australia-experimental-estimates/dec-2020"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chart" Target="charts/chart1.xml"/><Relationship Id="rId31" Type="http://schemas.openxmlformats.org/officeDocument/2006/relationships/image" Target="media/image4.png"/><Relationship Id="rId44" Type="http://schemas.openxmlformats.org/officeDocument/2006/relationships/image" Target="media/image8.png"/><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s://str.com/aam" TargetMode="External"/><Relationship Id="rId27" Type="http://schemas.openxmlformats.org/officeDocument/2006/relationships/hyperlink" Target="https://www.sbs.com.au/news/after-drought-and-bushfires-coronavirus-is-impacting-tourism-in-australia-s-regions" TargetMode="External"/><Relationship Id="rId30" Type="http://schemas.openxmlformats.org/officeDocument/2006/relationships/hyperlink" Target="https://www.theaustralian.com.au/breaking-news/travellers-broke-out-in-tears-inside-flight-from-adelaide-to-perth-turned-around-at-airport/news-story/0d71e9caa55df99d0dfd0eb304c32d93" TargetMode="External"/><Relationship Id="rId35" Type="http://schemas.openxmlformats.org/officeDocument/2006/relationships/image" Target="media/image7.png"/><Relationship Id="rId43" Type="http://schemas.openxmlformats.org/officeDocument/2006/relationships/hyperlink" Target="https://www.abs.gov.au/statistics/economy/national-accounts/tourism-satellite-accounts-quarterly-tourism-labour-statistics-australia-experimental-estimates/dec-2020" TargetMode="External"/><Relationship Id="rId48" Type="http://schemas.openxmlformats.org/officeDocument/2006/relationships/hyperlink" Target="https://www.bitre.gov.au/statistics/aviation/domestic" TargetMode="External"/><Relationship Id="rId8" Type="http://schemas.openxmlformats.org/officeDocument/2006/relationships/styles" Target="styles.xml"/><Relationship Id="rId51" Type="http://schemas.openxmlformats.org/officeDocument/2006/relationships/image" Target="media/image10.pn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abs.gov.au/statistics/industry/tourism-and-transport/overseas-arrivals-and-departures-australia/latest-release" TargetMode="External"/><Relationship Id="rId25" Type="http://schemas.openxmlformats.org/officeDocument/2006/relationships/hyperlink" Target="https://www.uq.edu.au/news/article/2020/04/sunny-outlook-domestic-tourism-post-covid-19-restrictions" TargetMode="External"/><Relationship Id="rId33" Type="http://schemas.openxmlformats.org/officeDocument/2006/relationships/image" Target="media/image5.png"/><Relationship Id="rId38" Type="http://schemas.openxmlformats.org/officeDocument/2006/relationships/hyperlink" Target="https://www.abs.gov.au/statistics/economy/business-indicators/business-conditions-and-sentiments" TargetMode="External"/><Relationship Id="rId46" Type="http://schemas.openxmlformats.org/officeDocument/2006/relationships/hyperlink" Target="https://www.bitre.gov.au/statistics/aviation/domestic" TargetMode="External"/><Relationship Id="rId20" Type="http://schemas.openxmlformats.org/officeDocument/2006/relationships/hyperlink" Target="https://www.pm.gov.au/media/update-coronavirus-measures-24-March-2020" TargetMode="External"/><Relationship Id="rId41" Type="http://schemas.openxmlformats.org/officeDocument/2006/relationships/hyperlink" Target="https://www.abc.net.au/news/2020-07-08/regional-victoria-losses-melbourne-shutdown-covid-19/12432126"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data.gov.au/data/dataset/2020-local-government-interactive-map-dataset/resource/d75164aa-b988-4c4f-b377-9286dbb60fbe" TargetMode="External"/><Relationship Id="rId23" Type="http://schemas.openxmlformats.org/officeDocument/2006/relationships/hyperlink" Target="https://melbourneinstitute.unimelb.edu.au/" TargetMode="External"/><Relationship Id="rId28" Type="http://schemas.openxmlformats.org/officeDocument/2006/relationships/hyperlink" Target="https://www.pm.gov.au/sites/default/files/files/covid-safe-australia-roadmap.pdf" TargetMode="External"/><Relationship Id="rId36" Type="http://schemas.openxmlformats.org/officeDocument/2006/relationships/chart" Target="charts/chart2.xml"/><Relationship Id="rId49"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austrade.sharepoint.com/sites/trastrategicresearchanalysis/Shared%20Documents/Tourism/2020%20Retrospective/Tourism%20Australia%20-%20TST%20Australia%20-%20April%202020%20-%20March%202021%20(Autosaved).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Sheet1!$A$2</c:f>
              <c:strCache>
                <c:ptCount val="1"/>
                <c:pt idx="0">
                  <c:v>Enrolments</c:v>
                </c:pt>
              </c:strCache>
            </c:strRef>
          </c:tx>
          <c:spPr>
            <a:solidFill>
              <a:srgbClr val="FFC000"/>
            </a:solidFill>
            <a:ln>
              <a:noFill/>
            </a:ln>
            <a:effectLst/>
          </c:spPr>
          <c:invertIfNegative val="0"/>
          <c:cat>
            <c:strRef>
              <c:f>Sheet1!$M$1:$T$1</c:f>
              <c:strCache>
                <c:ptCount val="8"/>
                <c:pt idx="0">
                  <c:v>2013</c:v>
                </c:pt>
                <c:pt idx="1">
                  <c:v>2014</c:v>
                </c:pt>
                <c:pt idx="2">
                  <c:v>2015</c:v>
                </c:pt>
                <c:pt idx="3">
                  <c:v>2016</c:v>
                </c:pt>
                <c:pt idx="4">
                  <c:v>2017</c:v>
                </c:pt>
                <c:pt idx="5">
                  <c:v>2018</c:v>
                </c:pt>
                <c:pt idx="6">
                  <c:v>2019</c:v>
                </c:pt>
                <c:pt idx="7">
                  <c:v>2020</c:v>
                </c:pt>
              </c:strCache>
            </c:strRef>
          </c:cat>
          <c:val>
            <c:numRef>
              <c:f>Sheet1!$M$2:$T$2</c:f>
              <c:numCache>
                <c:formatCode>#,##0</c:formatCode>
                <c:ptCount val="8"/>
                <c:pt idx="0">
                  <c:v>524215</c:v>
                </c:pt>
                <c:pt idx="1">
                  <c:v>586472</c:v>
                </c:pt>
                <c:pt idx="2">
                  <c:v>641714</c:v>
                </c:pt>
                <c:pt idx="3">
                  <c:v>708877</c:v>
                </c:pt>
                <c:pt idx="4">
                  <c:v>795631</c:v>
                </c:pt>
                <c:pt idx="5">
                  <c:v>872324</c:v>
                </c:pt>
                <c:pt idx="6">
                  <c:v>952271</c:v>
                </c:pt>
                <c:pt idx="7">
                  <c:v>882482</c:v>
                </c:pt>
              </c:numCache>
            </c:numRef>
          </c:val>
          <c:extLst>
            <c:ext xmlns:c16="http://schemas.microsoft.com/office/drawing/2014/chart" uri="{C3380CC4-5D6E-409C-BE32-E72D297353CC}">
              <c16:uniqueId val="{00000000-9F75-44DF-B691-313AB5F14270}"/>
            </c:ext>
          </c:extLst>
        </c:ser>
        <c:ser>
          <c:idx val="1"/>
          <c:order val="1"/>
          <c:tx>
            <c:strRef>
              <c:f>Sheet1!$A$3</c:f>
              <c:strCache>
                <c:ptCount val="1"/>
                <c:pt idx="0">
                  <c:v>Commencements</c:v>
                </c:pt>
              </c:strCache>
            </c:strRef>
          </c:tx>
          <c:spPr>
            <a:solidFill>
              <a:srgbClr val="009999"/>
            </a:solidFill>
            <a:ln>
              <a:noFill/>
            </a:ln>
            <a:effectLst/>
          </c:spPr>
          <c:invertIfNegative val="0"/>
          <c:cat>
            <c:strRef>
              <c:f>Sheet1!$M$1:$T$1</c:f>
              <c:strCache>
                <c:ptCount val="8"/>
                <c:pt idx="0">
                  <c:v>2013</c:v>
                </c:pt>
                <c:pt idx="1">
                  <c:v>2014</c:v>
                </c:pt>
                <c:pt idx="2">
                  <c:v>2015</c:v>
                </c:pt>
                <c:pt idx="3">
                  <c:v>2016</c:v>
                </c:pt>
                <c:pt idx="4">
                  <c:v>2017</c:v>
                </c:pt>
                <c:pt idx="5">
                  <c:v>2018</c:v>
                </c:pt>
                <c:pt idx="6">
                  <c:v>2019</c:v>
                </c:pt>
                <c:pt idx="7">
                  <c:v>2020</c:v>
                </c:pt>
              </c:strCache>
            </c:strRef>
          </c:cat>
          <c:val>
            <c:numRef>
              <c:f>Sheet1!$M$3:$T$3</c:f>
              <c:numCache>
                <c:formatCode>#,##0</c:formatCode>
                <c:ptCount val="8"/>
                <c:pt idx="0">
                  <c:v>300700</c:v>
                </c:pt>
                <c:pt idx="1">
                  <c:v>351548</c:v>
                </c:pt>
                <c:pt idx="2">
                  <c:v>375529</c:v>
                </c:pt>
                <c:pt idx="3">
                  <c:v>410349</c:v>
                </c:pt>
                <c:pt idx="4">
                  <c:v>452050</c:v>
                </c:pt>
                <c:pt idx="5">
                  <c:v>478352</c:v>
                </c:pt>
                <c:pt idx="6">
                  <c:v>510574</c:v>
                </c:pt>
                <c:pt idx="7">
                  <c:v>398958</c:v>
                </c:pt>
              </c:numCache>
            </c:numRef>
          </c:val>
          <c:extLst>
            <c:ext xmlns:c16="http://schemas.microsoft.com/office/drawing/2014/chart" uri="{C3380CC4-5D6E-409C-BE32-E72D297353CC}">
              <c16:uniqueId val="{00000001-9F75-44DF-B691-313AB5F14270}"/>
            </c:ext>
          </c:extLst>
        </c:ser>
        <c:dLbls>
          <c:showLegendKey val="0"/>
          <c:showVal val="0"/>
          <c:showCatName val="0"/>
          <c:showSerName val="0"/>
          <c:showPercent val="0"/>
          <c:showBubbleSize val="0"/>
        </c:dLbls>
        <c:gapWidth val="80"/>
        <c:axId val="393127024"/>
        <c:axId val="393133688"/>
      </c:barChart>
      <c:catAx>
        <c:axId val="393127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93133688"/>
        <c:crosses val="autoZero"/>
        <c:auto val="1"/>
        <c:lblAlgn val="ctr"/>
        <c:lblOffset val="100"/>
        <c:noMultiLvlLbl val="0"/>
      </c:catAx>
      <c:valAx>
        <c:axId val="39313368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93127024"/>
        <c:crosses val="autoZero"/>
        <c:crossBetween val="between"/>
      </c:valAx>
      <c:spPr>
        <a:solidFill>
          <a:schemeClr val="bg1"/>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666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'Day trips'!$A$21:$A$30</c:f>
              <c:numCache>
                <c:formatCode>mmm\-yy</c:formatCode>
                <c:ptCount val="10"/>
                <c:pt idx="0">
                  <c:v>43891</c:v>
                </c:pt>
                <c:pt idx="1">
                  <c:v>43922</c:v>
                </c:pt>
                <c:pt idx="2">
                  <c:v>43952</c:v>
                </c:pt>
                <c:pt idx="3">
                  <c:v>43983</c:v>
                </c:pt>
                <c:pt idx="4">
                  <c:v>44013</c:v>
                </c:pt>
                <c:pt idx="5">
                  <c:v>44044</c:v>
                </c:pt>
                <c:pt idx="6">
                  <c:v>44075</c:v>
                </c:pt>
                <c:pt idx="7">
                  <c:v>44105</c:v>
                </c:pt>
                <c:pt idx="8">
                  <c:v>44136</c:v>
                </c:pt>
                <c:pt idx="9">
                  <c:v>44166</c:v>
                </c:pt>
              </c:numCache>
            </c:numRef>
          </c:cat>
          <c:val>
            <c:numRef>
              <c:f>'Day trips'!$C$21:$C$30</c:f>
              <c:numCache>
                <c:formatCode>0%</c:formatCode>
                <c:ptCount val="10"/>
                <c:pt idx="0">
                  <c:v>-0.38603988603988604</c:v>
                </c:pt>
                <c:pt idx="1">
                  <c:v>-0.82602611940298509</c:v>
                </c:pt>
                <c:pt idx="2">
                  <c:v>-0.56267672007540059</c:v>
                </c:pt>
                <c:pt idx="3">
                  <c:v>-0.28769230769230769</c:v>
                </c:pt>
                <c:pt idx="4">
                  <c:v>-0.52342071336484741</c:v>
                </c:pt>
                <c:pt idx="5">
                  <c:v>-0.49382716049382713</c:v>
                </c:pt>
                <c:pt idx="6">
                  <c:v>-0.40371456500488756</c:v>
                </c:pt>
                <c:pt idx="7">
                  <c:v>-0.35431985294117652</c:v>
                </c:pt>
                <c:pt idx="8">
                  <c:v>-0.22960320998662509</c:v>
                </c:pt>
                <c:pt idx="9">
                  <c:v>-0.14138326327856321</c:v>
                </c:pt>
              </c:numCache>
            </c:numRef>
          </c:val>
          <c:extLst>
            <c:ext xmlns:c16="http://schemas.microsoft.com/office/drawing/2014/chart" uri="{C3380CC4-5D6E-409C-BE32-E72D297353CC}">
              <c16:uniqueId val="{00000000-B9AC-45C4-8076-CDED282382EB}"/>
            </c:ext>
          </c:extLst>
        </c:ser>
        <c:dLbls>
          <c:showLegendKey val="0"/>
          <c:showVal val="0"/>
          <c:showCatName val="0"/>
          <c:showSerName val="0"/>
          <c:showPercent val="0"/>
          <c:showBubbleSize val="0"/>
        </c:dLbls>
        <c:gapWidth val="50"/>
        <c:overlap val="-27"/>
        <c:axId val="393128984"/>
        <c:axId val="393132120"/>
      </c:barChart>
      <c:dateAx>
        <c:axId val="393128984"/>
        <c:scaling>
          <c:orientation val="minMax"/>
        </c:scaling>
        <c:delete val="0"/>
        <c:axPos val="b"/>
        <c:numFmt formatCode="mmm\-yy" sourceLinked="1"/>
        <c:majorTickMark val="out"/>
        <c:minorTickMark val="none"/>
        <c:tickLblPos val="high"/>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93132120"/>
        <c:crosses val="autoZero"/>
        <c:auto val="1"/>
        <c:lblOffset val="100"/>
        <c:baseTimeUnit val="months"/>
      </c:dateAx>
      <c:valAx>
        <c:axId val="393132120"/>
        <c:scaling>
          <c:orientation val="minMax"/>
        </c:scaling>
        <c:delete val="0"/>
        <c:axPos val="l"/>
        <c:numFmt formatCode="0%" sourceLinked="1"/>
        <c:majorTickMark val="none"/>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93128984"/>
        <c:crosses val="autoZero"/>
        <c:crossBetween val="between"/>
        <c:majorUnit val="0.2"/>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666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'Dom overnight'!$A$21:$A$30</c:f>
              <c:numCache>
                <c:formatCode>mmm\-yy</c:formatCode>
                <c:ptCount val="10"/>
                <c:pt idx="0">
                  <c:v>43891</c:v>
                </c:pt>
                <c:pt idx="1">
                  <c:v>43922</c:v>
                </c:pt>
                <c:pt idx="2">
                  <c:v>43952</c:v>
                </c:pt>
                <c:pt idx="3">
                  <c:v>43983</c:v>
                </c:pt>
                <c:pt idx="4">
                  <c:v>44013</c:v>
                </c:pt>
                <c:pt idx="5">
                  <c:v>44044</c:v>
                </c:pt>
                <c:pt idx="6">
                  <c:v>44075</c:v>
                </c:pt>
                <c:pt idx="7">
                  <c:v>44105</c:v>
                </c:pt>
                <c:pt idx="8">
                  <c:v>44136</c:v>
                </c:pt>
                <c:pt idx="9">
                  <c:v>44166</c:v>
                </c:pt>
              </c:numCache>
            </c:numRef>
          </c:cat>
          <c:val>
            <c:numRef>
              <c:f>'Dom overnight'!$C$21:$C$30</c:f>
              <c:numCache>
                <c:formatCode>0%</c:formatCode>
                <c:ptCount val="10"/>
                <c:pt idx="0">
                  <c:v>-0.4053000779423227</c:v>
                </c:pt>
                <c:pt idx="1">
                  <c:v>-0.91306617934995427</c:v>
                </c:pt>
                <c:pt idx="2">
                  <c:v>-0.81950884423836512</c:v>
                </c:pt>
                <c:pt idx="3">
                  <c:v>-0.65061224489795921</c:v>
                </c:pt>
                <c:pt idx="4">
                  <c:v>-0.52361053071458419</c:v>
                </c:pt>
                <c:pt idx="5">
                  <c:v>-0.53021628498727735</c:v>
                </c:pt>
                <c:pt idx="6">
                  <c:v>-0.56125782738905527</c:v>
                </c:pt>
                <c:pt idx="7">
                  <c:v>-0.38576585869004643</c:v>
                </c:pt>
                <c:pt idx="8">
                  <c:v>-0.33924988424139524</c:v>
                </c:pt>
                <c:pt idx="9">
                  <c:v>-0.18662369057211925</c:v>
                </c:pt>
              </c:numCache>
            </c:numRef>
          </c:val>
          <c:extLst>
            <c:ext xmlns:c16="http://schemas.microsoft.com/office/drawing/2014/chart" uri="{C3380CC4-5D6E-409C-BE32-E72D297353CC}">
              <c16:uniqueId val="{00000000-BD05-4934-9FD8-C03A0B818759}"/>
            </c:ext>
          </c:extLst>
        </c:ser>
        <c:dLbls>
          <c:showLegendKey val="0"/>
          <c:showVal val="0"/>
          <c:showCatName val="0"/>
          <c:showSerName val="0"/>
          <c:showPercent val="0"/>
          <c:showBubbleSize val="0"/>
        </c:dLbls>
        <c:gapWidth val="50"/>
        <c:overlap val="-27"/>
        <c:axId val="393127416"/>
        <c:axId val="393133296"/>
      </c:barChart>
      <c:dateAx>
        <c:axId val="393127416"/>
        <c:scaling>
          <c:orientation val="minMax"/>
        </c:scaling>
        <c:delete val="0"/>
        <c:axPos val="b"/>
        <c:numFmt formatCode="mmm\-yy" sourceLinked="1"/>
        <c:majorTickMark val="out"/>
        <c:minorTickMark val="none"/>
        <c:tickLblPos val="high"/>
        <c:spPr>
          <a:noFill/>
          <a:ln w="9525" cap="flat" cmpd="sng" algn="ctr">
            <a:solidFill>
              <a:schemeClr val="tx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93133296"/>
        <c:crosses val="autoZero"/>
        <c:auto val="1"/>
        <c:lblOffset val="100"/>
        <c:baseTimeUnit val="months"/>
      </c:dateAx>
      <c:valAx>
        <c:axId val="393133296"/>
        <c:scaling>
          <c:orientation val="minMax"/>
        </c:scaling>
        <c:delete val="0"/>
        <c:axPos val="l"/>
        <c:numFmt formatCode="0%" sourceLinked="1"/>
        <c:majorTickMark val="none"/>
        <c:minorTickMark val="none"/>
        <c:tickLblPos val="nextTo"/>
        <c:spPr>
          <a:noFill/>
          <a:ln>
            <a:solidFill>
              <a:schemeClr val="tx1">
                <a:lumMod val="50000"/>
                <a:lumOff val="50000"/>
              </a:schemeClr>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93127416"/>
        <c:crosses val="autoZero"/>
        <c:crossBetween val="between"/>
        <c:majorUnit val="0.2"/>
      </c:valAx>
      <c:spPr>
        <a:noFill/>
        <a:ln>
          <a:noFill/>
        </a:ln>
        <a:effectLst/>
      </c:spPr>
    </c:plotArea>
    <c:plotVisOnly val="1"/>
    <c:dispBlanksAs val="gap"/>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'Barriers to domestic travel 6mt'!$A$6</c:f>
              <c:strCache>
                <c:ptCount val="1"/>
                <c:pt idx="0">
                  <c:v>Concerned about own future financial situation</c:v>
                </c:pt>
              </c:strCache>
            </c:strRef>
          </c:tx>
          <c:spPr>
            <a:ln w="28575" cap="rnd">
              <a:solidFill>
                <a:schemeClr val="accent3"/>
              </a:solidFill>
              <a:round/>
            </a:ln>
            <a:effectLst/>
          </c:spPr>
          <c:marker>
            <c:symbol val="none"/>
          </c:marker>
          <c:cat>
            <c:numRef>
              <c:f>'Barriers to domestic travel 6mt'!$B$5:$X$5</c:f>
              <c:numCache>
                <c:formatCode>mmm\-yy</c:formatCode>
                <c:ptCount val="23"/>
                <c:pt idx="0">
                  <c:v>43944</c:v>
                </c:pt>
                <c:pt idx="1">
                  <c:v>43959</c:v>
                </c:pt>
                <c:pt idx="2">
                  <c:v>43973</c:v>
                </c:pt>
                <c:pt idx="3">
                  <c:v>43987</c:v>
                </c:pt>
                <c:pt idx="4">
                  <c:v>44001</c:v>
                </c:pt>
                <c:pt idx="5">
                  <c:v>44015</c:v>
                </c:pt>
                <c:pt idx="6">
                  <c:v>44029</c:v>
                </c:pt>
                <c:pt idx="7">
                  <c:v>44043</c:v>
                </c:pt>
                <c:pt idx="8">
                  <c:v>44056</c:v>
                </c:pt>
                <c:pt idx="9">
                  <c:v>44070</c:v>
                </c:pt>
                <c:pt idx="10">
                  <c:v>44084</c:v>
                </c:pt>
                <c:pt idx="11">
                  <c:v>44097</c:v>
                </c:pt>
                <c:pt idx="12">
                  <c:v>44111</c:v>
                </c:pt>
                <c:pt idx="13">
                  <c:v>44125</c:v>
                </c:pt>
                <c:pt idx="14">
                  <c:v>44138</c:v>
                </c:pt>
                <c:pt idx="15">
                  <c:v>44153</c:v>
                </c:pt>
                <c:pt idx="16">
                  <c:v>44167</c:v>
                </c:pt>
                <c:pt idx="17">
                  <c:v>44179</c:v>
                </c:pt>
                <c:pt idx="18">
                  <c:v>44202</c:v>
                </c:pt>
                <c:pt idx="19">
                  <c:v>44216</c:v>
                </c:pt>
                <c:pt idx="20">
                  <c:v>44230</c:v>
                </c:pt>
                <c:pt idx="21">
                  <c:v>44244</c:v>
                </c:pt>
                <c:pt idx="22">
                  <c:v>44258</c:v>
                </c:pt>
              </c:numCache>
            </c:numRef>
          </c:cat>
          <c:val>
            <c:numRef>
              <c:f>'Barriers to domestic travel 6mt'!$B$6:$Y$6</c:f>
              <c:numCache>
                <c:formatCode>0%</c:formatCode>
                <c:ptCount val="24"/>
                <c:pt idx="0">
                  <c:v>0.3098591549295775</c:v>
                </c:pt>
                <c:pt idx="1">
                  <c:v>0.3202247191011236</c:v>
                </c:pt>
                <c:pt idx="2">
                  <c:v>0.27485380116959057</c:v>
                </c:pt>
                <c:pt idx="3">
                  <c:v>0.23493975903614461</c:v>
                </c:pt>
                <c:pt idx="4">
                  <c:v>0.34177215189873422</c:v>
                </c:pt>
                <c:pt idx="5">
                  <c:v>0.2046783625730994</c:v>
                </c:pt>
                <c:pt idx="6">
                  <c:v>0.245</c:v>
                </c:pt>
                <c:pt idx="7">
                  <c:v>0.2274233863338895</c:v>
                </c:pt>
                <c:pt idx="8">
                  <c:v>0.20228479670182489</c:v>
                </c:pt>
                <c:pt idx="9">
                  <c:v>0.21335493041758549</c:v>
                </c:pt>
                <c:pt idx="10">
                  <c:v>0.25475564277605589</c:v>
                </c:pt>
                <c:pt idx="11">
                  <c:v>0.23086915486655671</c:v>
                </c:pt>
                <c:pt idx="12">
                  <c:v>0.2396248142581249</c:v>
                </c:pt>
                <c:pt idx="13">
                  <c:v>0.26037235385712382</c:v>
                </c:pt>
                <c:pt idx="14">
                  <c:v>0.27098933509917911</c:v>
                </c:pt>
                <c:pt idx="15">
                  <c:v>0.23697200545664471</c:v>
                </c:pt>
                <c:pt idx="16">
                  <c:v>0.29246409605217999</c:v>
                </c:pt>
                <c:pt idx="17">
                  <c:v>0.2310291256448373</c:v>
                </c:pt>
                <c:pt idx="18">
                  <c:v>0.22576920833389461</c:v>
                </c:pt>
                <c:pt idx="19">
                  <c:v>0.221163746588556</c:v>
                </c:pt>
                <c:pt idx="20">
                  <c:v>0.23651342620311341</c:v>
                </c:pt>
                <c:pt idx="21">
                  <c:v>0.222378522808168</c:v>
                </c:pt>
                <c:pt idx="22">
                  <c:v>0.25892728168890999</c:v>
                </c:pt>
                <c:pt idx="23">
                  <c:v>0.2478632478632479</c:v>
                </c:pt>
              </c:numCache>
            </c:numRef>
          </c:val>
          <c:smooth val="0"/>
          <c:extLst>
            <c:ext xmlns:c16="http://schemas.microsoft.com/office/drawing/2014/chart" uri="{C3380CC4-5D6E-409C-BE32-E72D297353CC}">
              <c16:uniqueId val="{00000000-BDA7-4841-9DED-91ECC240A6B9}"/>
            </c:ext>
          </c:extLst>
        </c:ser>
        <c:ser>
          <c:idx val="1"/>
          <c:order val="1"/>
          <c:tx>
            <c:strRef>
              <c:f>'Barriers to domestic travel 6mt'!$A$11</c:f>
              <c:strCache>
                <c:ptCount val="1"/>
                <c:pt idx="0">
                  <c:v>Current financial situation wouldn't allow</c:v>
                </c:pt>
              </c:strCache>
            </c:strRef>
          </c:tx>
          <c:spPr>
            <a:ln w="28575" cap="rnd">
              <a:solidFill>
                <a:schemeClr val="accent2"/>
              </a:solidFill>
              <a:round/>
            </a:ln>
            <a:effectLst/>
          </c:spPr>
          <c:marker>
            <c:symbol val="none"/>
          </c:marker>
          <c:cat>
            <c:numRef>
              <c:f>'Barriers to domestic travel 6mt'!$B$5:$X$5</c:f>
              <c:numCache>
                <c:formatCode>mmm\-yy</c:formatCode>
                <c:ptCount val="23"/>
                <c:pt idx="0">
                  <c:v>43944</c:v>
                </c:pt>
                <c:pt idx="1">
                  <c:v>43959</c:v>
                </c:pt>
                <c:pt idx="2">
                  <c:v>43973</c:v>
                </c:pt>
                <c:pt idx="3">
                  <c:v>43987</c:v>
                </c:pt>
                <c:pt idx="4">
                  <c:v>44001</c:v>
                </c:pt>
                <c:pt idx="5">
                  <c:v>44015</c:v>
                </c:pt>
                <c:pt idx="6">
                  <c:v>44029</c:v>
                </c:pt>
                <c:pt idx="7">
                  <c:v>44043</c:v>
                </c:pt>
                <c:pt idx="8">
                  <c:v>44056</c:v>
                </c:pt>
                <c:pt idx="9">
                  <c:v>44070</c:v>
                </c:pt>
                <c:pt idx="10">
                  <c:v>44084</c:v>
                </c:pt>
                <c:pt idx="11">
                  <c:v>44097</c:v>
                </c:pt>
                <c:pt idx="12">
                  <c:v>44111</c:v>
                </c:pt>
                <c:pt idx="13">
                  <c:v>44125</c:v>
                </c:pt>
                <c:pt idx="14">
                  <c:v>44138</c:v>
                </c:pt>
                <c:pt idx="15">
                  <c:v>44153</c:v>
                </c:pt>
                <c:pt idx="16">
                  <c:v>44167</c:v>
                </c:pt>
                <c:pt idx="17">
                  <c:v>44179</c:v>
                </c:pt>
                <c:pt idx="18">
                  <c:v>44202</c:v>
                </c:pt>
                <c:pt idx="19">
                  <c:v>44216</c:v>
                </c:pt>
                <c:pt idx="20">
                  <c:v>44230</c:v>
                </c:pt>
                <c:pt idx="21">
                  <c:v>44244</c:v>
                </c:pt>
                <c:pt idx="22">
                  <c:v>44258</c:v>
                </c:pt>
              </c:numCache>
            </c:numRef>
          </c:cat>
          <c:val>
            <c:numRef>
              <c:f>'Barriers to domestic travel 6mt'!$B$11:$X$11</c:f>
              <c:numCache>
                <c:formatCode>0%</c:formatCode>
                <c:ptCount val="23"/>
                <c:pt idx="0">
                  <c:v>0.34272300469483569</c:v>
                </c:pt>
                <c:pt idx="1">
                  <c:v>0.3202247191011236</c:v>
                </c:pt>
                <c:pt idx="2">
                  <c:v>0.30994152046783618</c:v>
                </c:pt>
                <c:pt idx="3">
                  <c:v>0.37349397590361438</c:v>
                </c:pt>
                <c:pt idx="4">
                  <c:v>0.39240506329113922</c:v>
                </c:pt>
                <c:pt idx="5">
                  <c:v>0.25730994152046782</c:v>
                </c:pt>
                <c:pt idx="6">
                  <c:v>0.3</c:v>
                </c:pt>
                <c:pt idx="7">
                  <c:v>0.2395695065042576</c:v>
                </c:pt>
                <c:pt idx="8">
                  <c:v>0.249316862676562</c:v>
                </c:pt>
                <c:pt idx="9">
                  <c:v>0.26095610760464799</c:v>
                </c:pt>
                <c:pt idx="10">
                  <c:v>0.28434033231955957</c:v>
                </c:pt>
                <c:pt idx="11">
                  <c:v>0.27899298719134991</c:v>
                </c:pt>
                <c:pt idx="12">
                  <c:v>0.33072907858736711</c:v>
                </c:pt>
                <c:pt idx="13">
                  <c:v>0.33712550947625741</c:v>
                </c:pt>
                <c:pt idx="14">
                  <c:v>0.35640604697195277</c:v>
                </c:pt>
                <c:pt idx="15">
                  <c:v>0.29484095535840898</c:v>
                </c:pt>
                <c:pt idx="16">
                  <c:v>0.42393945316728499</c:v>
                </c:pt>
                <c:pt idx="17">
                  <c:v>0.30844129475548598</c:v>
                </c:pt>
                <c:pt idx="18">
                  <c:v>0.33622699748211921</c:v>
                </c:pt>
                <c:pt idx="19">
                  <c:v>0.32603115487211798</c:v>
                </c:pt>
                <c:pt idx="20">
                  <c:v>0.31674206157813162</c:v>
                </c:pt>
                <c:pt idx="21">
                  <c:v>0.34821922597219801</c:v>
                </c:pt>
                <c:pt idx="22">
                  <c:v>0.38621138231919683</c:v>
                </c:pt>
              </c:numCache>
            </c:numRef>
          </c:val>
          <c:smooth val="0"/>
          <c:extLst>
            <c:ext xmlns:c16="http://schemas.microsoft.com/office/drawing/2014/chart" uri="{C3380CC4-5D6E-409C-BE32-E72D297353CC}">
              <c16:uniqueId val="{00000001-BDA7-4841-9DED-91ECC240A6B9}"/>
            </c:ext>
          </c:extLst>
        </c:ser>
        <c:dLbls>
          <c:showLegendKey val="0"/>
          <c:showVal val="0"/>
          <c:showCatName val="0"/>
          <c:showSerName val="0"/>
          <c:showPercent val="0"/>
          <c:showBubbleSize val="0"/>
        </c:dLbls>
        <c:smooth val="0"/>
        <c:axId val="393128592"/>
        <c:axId val="393129768"/>
      </c:lineChart>
      <c:dateAx>
        <c:axId val="393128592"/>
        <c:scaling>
          <c:orientation val="minMax"/>
        </c:scaling>
        <c:delete val="0"/>
        <c:axPos val="b"/>
        <c:numFmt formatCode="mmm\-yy"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93129768"/>
        <c:crosses val="autoZero"/>
        <c:auto val="1"/>
        <c:lblOffset val="100"/>
        <c:baseTimeUnit val="days"/>
      </c:dateAx>
      <c:valAx>
        <c:axId val="393129768"/>
        <c:scaling>
          <c:orientation val="minMax"/>
        </c:scaling>
        <c:delete val="0"/>
        <c:axPos val="l"/>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93128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Aviation!$B$3</c:f>
              <c:strCache>
                <c:ptCount val="1"/>
                <c:pt idx="0">
                  <c:v>Departures</c:v>
                </c:pt>
              </c:strCache>
            </c:strRef>
          </c:tx>
          <c:spPr>
            <a:solidFill>
              <a:srgbClr val="006666"/>
            </a:solidFill>
            <a:ln>
              <a:noFill/>
            </a:ln>
            <a:effectLst/>
          </c:spPr>
          <c:invertIfNegative val="0"/>
          <c:cat>
            <c:numRef>
              <c:f>Aviation!$A$4:$A$18</c:f>
              <c:numCache>
                <c:formatCode>mmm\-yy</c:formatCode>
                <c:ptCount val="15"/>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numCache>
            </c:numRef>
          </c:cat>
          <c:val>
            <c:numRef>
              <c:f>Aviation!$B$4:$B$18</c:f>
              <c:numCache>
                <c:formatCode>#,##0</c:formatCode>
                <c:ptCount val="15"/>
                <c:pt idx="0">
                  <c:v>50134</c:v>
                </c:pt>
                <c:pt idx="1">
                  <c:v>48327</c:v>
                </c:pt>
                <c:pt idx="2">
                  <c:v>43051</c:v>
                </c:pt>
                <c:pt idx="3">
                  <c:v>8240</c:v>
                </c:pt>
                <c:pt idx="4">
                  <c:v>7820</c:v>
                </c:pt>
                <c:pt idx="5">
                  <c:v>10329</c:v>
                </c:pt>
                <c:pt idx="6">
                  <c:v>14904</c:v>
                </c:pt>
                <c:pt idx="7">
                  <c:v>14250</c:v>
                </c:pt>
                <c:pt idx="8">
                  <c:v>16047</c:v>
                </c:pt>
                <c:pt idx="9">
                  <c:v>18193</c:v>
                </c:pt>
                <c:pt idx="10">
                  <c:v>20646</c:v>
                </c:pt>
                <c:pt idx="11">
                  <c:v>30349</c:v>
                </c:pt>
                <c:pt idx="12">
                  <c:v>25943</c:v>
                </c:pt>
                <c:pt idx="13">
                  <c:v>25804</c:v>
                </c:pt>
                <c:pt idx="14">
                  <c:v>36827</c:v>
                </c:pt>
              </c:numCache>
            </c:numRef>
          </c:val>
          <c:extLst>
            <c:ext xmlns:c16="http://schemas.microsoft.com/office/drawing/2014/chart" uri="{C3380CC4-5D6E-409C-BE32-E72D297353CC}">
              <c16:uniqueId val="{00000000-5D67-4324-8844-6646C6704279}"/>
            </c:ext>
          </c:extLst>
        </c:ser>
        <c:ser>
          <c:idx val="1"/>
          <c:order val="1"/>
          <c:tx>
            <c:strRef>
              <c:f>Aviation!$C$3</c:f>
              <c:strCache>
                <c:ptCount val="1"/>
                <c:pt idx="0">
                  <c:v>Load Factor</c:v>
                </c:pt>
              </c:strCache>
            </c:strRef>
          </c:tx>
          <c:spPr>
            <a:solidFill>
              <a:schemeClr val="accent2"/>
            </a:solidFill>
            <a:ln>
              <a:noFill/>
            </a:ln>
            <a:effectLst/>
          </c:spPr>
          <c:invertIfNegative val="0"/>
          <c:cat>
            <c:numRef>
              <c:f>Aviation!$A$4:$A$18</c:f>
              <c:numCache>
                <c:formatCode>mmm\-yy</c:formatCode>
                <c:ptCount val="15"/>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numCache>
            </c:numRef>
          </c:cat>
          <c:val>
            <c:numRef>
              <c:f>Aviation!$C$4:$C$18</c:f>
            </c:numRef>
          </c:val>
          <c:extLst>
            <c:ext xmlns:c16="http://schemas.microsoft.com/office/drawing/2014/chart" uri="{C3380CC4-5D6E-409C-BE32-E72D297353CC}">
              <c16:uniqueId val="{00000001-5D67-4324-8844-6646C6704279}"/>
            </c:ext>
          </c:extLst>
        </c:ser>
        <c:dLbls>
          <c:showLegendKey val="0"/>
          <c:showVal val="0"/>
          <c:showCatName val="0"/>
          <c:showSerName val="0"/>
          <c:showPercent val="0"/>
          <c:showBubbleSize val="0"/>
        </c:dLbls>
        <c:gapWidth val="80"/>
        <c:overlap val="-27"/>
        <c:axId val="393132512"/>
        <c:axId val="393132904"/>
      </c:barChart>
      <c:lineChart>
        <c:grouping val="standard"/>
        <c:varyColors val="0"/>
        <c:ser>
          <c:idx val="2"/>
          <c:order val="2"/>
          <c:tx>
            <c:strRef>
              <c:f>Aviation!$D$3</c:f>
              <c:strCache>
                <c:ptCount val="1"/>
                <c:pt idx="0">
                  <c:v>Passengers</c:v>
                </c:pt>
              </c:strCache>
            </c:strRef>
          </c:tx>
          <c:spPr>
            <a:ln w="28575" cap="rnd">
              <a:solidFill>
                <a:schemeClr val="accent4"/>
              </a:solidFill>
              <a:round/>
            </a:ln>
            <a:effectLst/>
          </c:spPr>
          <c:marker>
            <c:symbol val="none"/>
          </c:marker>
          <c:cat>
            <c:numRef>
              <c:f>Aviation!$A$4:$A$18</c:f>
              <c:numCache>
                <c:formatCode>mmm\-yy</c:formatCode>
                <c:ptCount val="15"/>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numCache>
            </c:numRef>
          </c:cat>
          <c:val>
            <c:numRef>
              <c:f>Aviation!$D$4:$D$18</c:f>
              <c:numCache>
                <c:formatCode>#,##0.0</c:formatCode>
                <c:ptCount val="15"/>
                <c:pt idx="0">
                  <c:v>5.0745060000000004</c:v>
                </c:pt>
                <c:pt idx="1">
                  <c:v>4.3488680000000004</c:v>
                </c:pt>
                <c:pt idx="2">
                  <c:v>3.0608149999999998</c:v>
                </c:pt>
                <c:pt idx="3">
                  <c:v>0.14546799999999999</c:v>
                </c:pt>
                <c:pt idx="4">
                  <c:v>0.175704</c:v>
                </c:pt>
                <c:pt idx="5">
                  <c:v>0.37896299999999999</c:v>
                </c:pt>
                <c:pt idx="6">
                  <c:v>0.73298600000000003</c:v>
                </c:pt>
                <c:pt idx="7">
                  <c:v>0.57972999999999997</c:v>
                </c:pt>
                <c:pt idx="8">
                  <c:v>0.69971399999999995</c:v>
                </c:pt>
                <c:pt idx="9">
                  <c:v>0.90937400000000002</c:v>
                </c:pt>
                <c:pt idx="10">
                  <c:v>1.1072610000000001</c:v>
                </c:pt>
                <c:pt idx="11">
                  <c:v>2.1780740000000001</c:v>
                </c:pt>
                <c:pt idx="12">
                  <c:v>1.6494759999999999</c:v>
                </c:pt>
                <c:pt idx="13">
                  <c:v>1.618995</c:v>
                </c:pt>
                <c:pt idx="14">
                  <c:v>2.796354</c:v>
                </c:pt>
              </c:numCache>
            </c:numRef>
          </c:val>
          <c:smooth val="0"/>
          <c:extLst>
            <c:ext xmlns:c16="http://schemas.microsoft.com/office/drawing/2014/chart" uri="{C3380CC4-5D6E-409C-BE32-E72D297353CC}">
              <c16:uniqueId val="{00000002-5D67-4324-8844-6646C6704279}"/>
            </c:ext>
          </c:extLst>
        </c:ser>
        <c:dLbls>
          <c:showLegendKey val="0"/>
          <c:showVal val="0"/>
          <c:showCatName val="0"/>
          <c:showSerName val="0"/>
          <c:showPercent val="0"/>
          <c:showBubbleSize val="0"/>
        </c:dLbls>
        <c:marker val="1"/>
        <c:smooth val="0"/>
        <c:axId val="394506680"/>
        <c:axId val="393126240"/>
      </c:lineChart>
      <c:dateAx>
        <c:axId val="393132512"/>
        <c:scaling>
          <c:orientation val="minMax"/>
        </c:scaling>
        <c:delete val="0"/>
        <c:axPos val="b"/>
        <c:numFmt formatCode="mmm\-yy"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93132904"/>
        <c:crosses val="autoZero"/>
        <c:auto val="1"/>
        <c:lblOffset val="100"/>
        <c:baseTimeUnit val="months"/>
      </c:dateAx>
      <c:valAx>
        <c:axId val="39313290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a:solidFill>
                      <a:schemeClr val="tx1"/>
                    </a:solidFill>
                  </a:rPr>
                  <a:t>Flights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93132512"/>
        <c:crosses val="autoZero"/>
        <c:crossBetween val="between"/>
      </c:valAx>
      <c:valAx>
        <c:axId val="39312624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AU">
                    <a:solidFill>
                      <a:schemeClr val="tx1"/>
                    </a:solidFill>
                  </a:rPr>
                  <a:t>Passengers (million)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0" sourceLinked="0"/>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394506680"/>
        <c:crosses val="max"/>
        <c:crossBetween val="between"/>
      </c:valAx>
      <c:dateAx>
        <c:axId val="394506680"/>
        <c:scaling>
          <c:orientation val="minMax"/>
        </c:scaling>
        <c:delete val="1"/>
        <c:axPos val="b"/>
        <c:numFmt formatCode="mmm\-yy" sourceLinked="1"/>
        <c:majorTickMark val="out"/>
        <c:minorTickMark val="none"/>
        <c:tickLblPos val="nextTo"/>
        <c:crossAx val="393126240"/>
        <c:crosses val="autoZero"/>
        <c:auto val="1"/>
        <c:lblOffset val="100"/>
        <c:baseTimeUnit val="months"/>
      </c:date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5D688"/>
      </a:accent4>
      <a:accent5>
        <a:srgbClr val="877B77"/>
      </a:accent5>
      <a:accent6>
        <a:srgbClr val="E4E1DC"/>
      </a:accent6>
      <a:hlink>
        <a:srgbClr val="2E1A47"/>
      </a:hlink>
      <a:folHlink>
        <a:srgbClr val="2E1A4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66d92cf1-08e1-41e5-92d3-0cdcdb1e2433" ContentTypeId="0x01010004862C10171BD149BCA86DC4F354848008" PreviousValue="false"/>
</file>

<file path=customXml/item2.xml><?xml version="1.0" encoding="utf-8"?>
<ct:contentTypeSchema xmlns:ct="http://schemas.microsoft.com/office/2006/metadata/contentType" xmlns:ma="http://schemas.microsoft.com/office/2006/metadata/properties/metaAttributes" ct:_="" ma:_="" ma:contentTypeName="Operational-Document-BS" ma:contentTypeID="0x01010004862C10171BD149BCA86DC4F35484800800976467FC898D7945B95D3EE9111C463D" ma:contentTypeVersion="43" ma:contentTypeDescription="" ma:contentTypeScope="" ma:versionID="547e072fb8b011aa4f20dbde0de99988">
  <xsd:schema xmlns:xsd="http://www.w3.org/2001/XMLSchema" xmlns:xs="http://www.w3.org/2001/XMLSchema" xmlns:p="http://schemas.microsoft.com/office/2006/metadata/properties" xmlns:ns2="2124141f-bf93-4eca-8662-34a4511e35c8" xmlns:ns3="29ff9cd8-bf2e-4523-8fd5-254dd68a43c6" xmlns:ns4="c6215fba-df62-4d66-b0b8-48fe9a1fd12f" targetNamespace="http://schemas.microsoft.com/office/2006/metadata/properties" ma:root="true" ma:fieldsID="8fc65b18fc165c98b1a3cafcda50ef66" ns2:_="" ns3:_="" ns4:_="">
    <xsd:import namespace="2124141f-bf93-4eca-8662-34a4511e35c8"/>
    <xsd:import namespace="29ff9cd8-bf2e-4523-8fd5-254dd68a43c6"/>
    <xsd:import namespace="c6215fba-df62-4d66-b0b8-48fe9a1fd12f"/>
    <xsd:element name="properties">
      <xsd:complexType>
        <xsd:sequence>
          <xsd:element name="documentManagement">
            <xsd:complexType>
              <xsd:all>
                <xsd:element ref="ns2:Operational-Doc-Desc" minOccurs="0"/>
                <xsd:element ref="ns2:Operational-Site-Doc-URL" minOccurs="0"/>
                <xsd:element ref="ns2:nf7721a2bf6741678a34670e75d66499" minOccurs="0"/>
                <xsd:element ref="ns2:TaxCatchAll" minOccurs="0"/>
                <xsd:element ref="ns2:TaxCatchAllLabel" minOccurs="0"/>
                <xsd:element ref="ns2:Tradestart-Access" minOccurs="0"/>
                <xsd:element ref="ns2:Record_x0020_ID" minOccurs="0"/>
                <xsd:element ref="ns3:_dlc_DocId" minOccurs="0"/>
                <xsd:element ref="ns3:_dlc_DocIdUrl" minOccurs="0"/>
                <xsd:element ref="ns3:_dlc_DocIdPersistId" minOccurs="0"/>
                <xsd:element ref="ns4:Project"/>
                <xsd:element ref="ns4:Product"/>
                <xsd:element ref="ns4:Subject_x0020_matter_x0020_expert" minOccurs="0"/>
                <xsd:element ref="ns4:EL2_x0020_valida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24141f-bf93-4eca-8662-34a4511e35c8" elementFormDefault="qualified">
    <xsd:import namespace="http://schemas.microsoft.com/office/2006/documentManagement/types"/>
    <xsd:import namespace="http://schemas.microsoft.com/office/infopath/2007/PartnerControls"/>
    <xsd:element name="Operational-Doc-Desc" ma:index="8" nillable="true" ma:displayName="Operational Description" ma:internalName="Operational_x002d_Doc_x002d_Desc" ma:readOnly="false">
      <xsd:simpleType>
        <xsd:restriction base="dms:Note">
          <xsd:maxLength value="255"/>
        </xsd:restriction>
      </xsd:simpleType>
    </xsd:element>
    <xsd:element name="Operational-Site-Doc-URL" ma:index="9" nillable="true" ma:displayName="Operational-Site-Doc-URL" ma:description="This column will store which site the document belongs to and using this information we can do routing on Record Centre" ma:hidden="true" ma:internalName="Operational_x002d_Site_x002d_Doc_x002d_URL" ma:readOnly="false">
      <xsd:simpleType>
        <xsd:restriction base="dms:Text">
          <xsd:maxLength value="255"/>
        </xsd:restriction>
      </xsd:simpleType>
    </xsd:element>
    <xsd:element name="nf7721a2bf6741678a34670e75d66499" ma:index="10" nillable="true" ma:taxonomy="true" ma:internalName="nf7721a2bf6741678a34670e75d66499" ma:taxonomyFieldName="Protective_x0020_Markings" ma:displayName="Protective Markings" ma:default="" ma:fieldId="{7f7721a2-bf67-4167-8a34-670e75d66499}" ma:sspId="66d92cf1-08e1-41e5-92d3-0cdcdb1e2433" ma:termSetId="093f376a-84bf-4617-8e0b-bd9905d3846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626f64b0-2248-4865-bfbc-6e6cbd80c93c}" ma:internalName="TaxCatchAll" ma:showField="CatchAllData" ma:web="29ff9cd8-bf2e-4523-8fd5-254dd68a43c6">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26f64b0-2248-4865-bfbc-6e6cbd80c93c}" ma:internalName="TaxCatchAllLabel" ma:readOnly="true" ma:showField="CatchAllDataLabel" ma:web="29ff9cd8-bf2e-4523-8fd5-254dd68a43c6">
      <xsd:complexType>
        <xsd:complexContent>
          <xsd:extension base="dms:MultiChoiceLookup">
            <xsd:sequence>
              <xsd:element name="Value" type="dms:Lookup" maxOccurs="unbounded" minOccurs="0" nillable="true"/>
            </xsd:sequence>
          </xsd:extension>
        </xsd:complexContent>
      </xsd:complexType>
    </xsd:element>
    <xsd:element name="Tradestart-Access" ma:index="14" nillable="true" ma:displayName="Tradestart-Access" ma:default="1" ma:internalName="Tradestart_x002d_Access">
      <xsd:simpleType>
        <xsd:restriction base="dms:Boolean"/>
      </xsd:simpleType>
    </xsd:element>
    <xsd:element name="Record_x0020_ID" ma:index="15" nillable="true" ma:displayName="Record ID" ma:internalName="Record_x0020_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ff9cd8-bf2e-4523-8fd5-254dd68a43c6"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6215fba-df62-4d66-b0b8-48fe9a1fd12f" elementFormDefault="qualified">
    <xsd:import namespace="http://schemas.microsoft.com/office/2006/documentManagement/types"/>
    <xsd:import namespace="http://schemas.microsoft.com/office/infopath/2007/PartnerControls"/>
    <xsd:element name="Project" ma:index="19" ma:displayName="Product" ma:format="Dropdown" ma:internalName="Project">
      <xsd:simpleType>
        <xsd:union memberTypes="dms:Text">
          <xsd:simpleType>
            <xsd:restriction base="dms:Choice">
              <xsd:enumeration value="AustradeGovAu"/>
              <xsd:enumeration value="CMS"/>
              <xsd:enumeration value="EMP"/>
              <xsd:enumeration value="Governance"/>
              <xsd:enumeration value="Team admin"/>
              <xsd:enumeration value="TRA"/>
            </xsd:restriction>
          </xsd:simpleType>
        </xsd:union>
      </xsd:simpleType>
    </xsd:element>
    <xsd:element name="Product" ma:index="20" ma:displayName="Content" ma:description="Choose the relevant product" ma:format="Dropdown" ma:internalName="Product">
      <xsd:simpleType>
        <xsd:restriction base="dms:Choice">
          <xsd:enumeration value="Benchmark report"/>
          <xsd:enumeration value="Content management"/>
          <xsd:enumeration value="Exporting to India"/>
          <xsd:enumeration value="Governance"/>
          <xsd:enumeration value="IVS quarterly"/>
          <xsd:enumeration value="NVS monthly snapshot"/>
          <xsd:enumeration value="NVS quarterly"/>
          <xsd:enumeration value="Schedule"/>
          <xsd:enumeration value="Selling online overseas"/>
          <xsd:enumeration value="Services page"/>
          <xsd:enumeration value="State of the industry"/>
          <xsd:enumeration value="Team processes"/>
          <xsd:enumeration value="Template"/>
          <xsd:enumeration value="Tourism businesses"/>
          <xsd:enumeration value="Tourism investment"/>
          <xsd:enumeration value="Tourism satellite account"/>
          <xsd:enumeration value="Tourism scenarios"/>
          <xsd:enumeration value="User research"/>
        </xsd:restriction>
      </xsd:simpleType>
    </xsd:element>
    <xsd:element name="Subject_x0020_matter_x0020_expert" ma:index="21" nillable="true" ma:displayName="Subject matter expert" ma:list="UserInfo" ma:SharePointGroup="0" ma:internalName="Subject_x0020_matter_x0020_exper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L2_x0020_validator" ma:index="22" nillable="true" ma:displayName="EL2 validator" ma:list="UserInfo" ma:SharePointGroup="0" ma:internalName="EL2_x0020_valid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duct xmlns="c6215fba-df62-4d66-b0b8-48fe9a1fd12f">Tourism scenarios</Product>
    <nf7721a2bf6741678a34670e75d66499 xmlns="2124141f-bf93-4eca-8662-34a4511e35c8">
      <Terms xmlns="http://schemas.microsoft.com/office/infopath/2007/PartnerControls"/>
    </nf7721a2bf6741678a34670e75d66499>
    <Record_x0020_ID xmlns="2124141f-bf93-4eca-8662-34a4511e35c8" xsi:nil="true"/>
    <Operational-Site-Doc-URL xmlns="2124141f-bf93-4eca-8662-34a4511e35c8" xsi:nil="true"/>
    <Subject_x0020_matter_x0020_expert xmlns="c6215fba-df62-4d66-b0b8-48fe9a1fd12f">
      <UserInfo>
        <DisplayName/>
        <AccountId xsi:nil="true"/>
        <AccountType/>
      </UserInfo>
    </Subject_x0020_matter_x0020_expert>
    <EL2_x0020_validator xmlns="c6215fba-df62-4d66-b0b8-48fe9a1fd12f">
      <UserInfo>
        <DisplayName/>
        <AccountId xsi:nil="true"/>
        <AccountType/>
      </UserInfo>
    </EL2_x0020_validator>
    <Project xmlns="c6215fba-df62-4d66-b0b8-48fe9a1fd12f">TRA</Project>
    <Tradestart-Access xmlns="2124141f-bf93-4eca-8662-34a4511e35c8">false</Tradestart-Access>
    <TaxCatchAll xmlns="2124141f-bf93-4eca-8662-34a4511e35c8"/>
    <Operational-Doc-Desc xmlns="2124141f-bf93-4eca-8662-34a4511e35c8" xsi:nil="true"/>
    <_dlc_DocId xmlns="29ff9cd8-bf2e-4523-8fd5-254dd68a43c6">HUB01-2142452017-571</_dlc_DocId>
    <_dlc_DocIdUrl xmlns="29ff9cd8-bf2e-4523-8fd5-254dd68a43c6">
      <Url>http://thehub/ws/ao/cm/_layouts/15/DocIdRedir.aspx?ID=HUB01-2142452017-571</Url>
      <Description>HUB01-2142452017-571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D230F-240D-4350-A2AD-53B81B1F7F0E}">
  <ds:schemaRefs>
    <ds:schemaRef ds:uri="Microsoft.SharePoint.Taxonomy.ContentTypeSync"/>
  </ds:schemaRefs>
</ds:datastoreItem>
</file>

<file path=customXml/itemProps2.xml><?xml version="1.0" encoding="utf-8"?>
<ds:datastoreItem xmlns:ds="http://schemas.openxmlformats.org/officeDocument/2006/customXml" ds:itemID="{DD9E430A-B9DC-4391-8191-A3D67A9FA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24141f-bf93-4eca-8662-34a4511e35c8"/>
    <ds:schemaRef ds:uri="29ff9cd8-bf2e-4523-8fd5-254dd68a43c6"/>
    <ds:schemaRef ds:uri="c6215fba-df62-4d66-b0b8-48fe9a1fd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50F59-A84F-4C51-B33B-145599B91529}">
  <ds:schemaRefs>
    <ds:schemaRef ds:uri="http://www.w3.org/XML/1998/namespace"/>
    <ds:schemaRef ds:uri="http://schemas.openxmlformats.org/package/2006/metadata/core-properties"/>
    <ds:schemaRef ds:uri="2124141f-bf93-4eca-8662-34a4511e35c8"/>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c6215fba-df62-4d66-b0b8-48fe9a1fd12f"/>
    <ds:schemaRef ds:uri="29ff9cd8-bf2e-4523-8fd5-254dd68a43c6"/>
    <ds:schemaRef ds:uri="http://schemas.microsoft.com/office/2006/metadata/properties"/>
  </ds:schemaRefs>
</ds:datastoreItem>
</file>

<file path=customXml/itemProps4.xml><?xml version="1.0" encoding="utf-8"?>
<ds:datastoreItem xmlns:ds="http://schemas.openxmlformats.org/officeDocument/2006/customXml" ds:itemID="{FB69E44B-E354-46E9-8741-DB43FCBFEFEE}">
  <ds:schemaRefs>
    <ds:schemaRef ds:uri="http://schemas.microsoft.com/sharepoint/events"/>
  </ds:schemaRefs>
</ds:datastoreItem>
</file>

<file path=customXml/itemProps5.xml><?xml version="1.0" encoding="utf-8"?>
<ds:datastoreItem xmlns:ds="http://schemas.openxmlformats.org/officeDocument/2006/customXml" ds:itemID="{9D9A803A-EF6E-4DB5-B262-FFA1EFB6C520}">
  <ds:schemaRefs>
    <ds:schemaRef ds:uri="http://schemas.microsoft.com/sharepoint/v3/contenttype/forms"/>
  </ds:schemaRefs>
</ds:datastoreItem>
</file>

<file path=customXml/itemProps6.xml><?xml version="1.0" encoding="utf-8"?>
<ds:datastoreItem xmlns:ds="http://schemas.openxmlformats.org/officeDocument/2006/customXml" ds:itemID="{39F5C4A7-2BAE-41A8-BFAF-F363CE9F5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8257</Words>
  <Characters>47065</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Austrade</Company>
  <LinksUpToDate>false</LinksUpToDate>
  <CharactersWithSpaces>55212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Silas-Irvine [Canberra]</cp:lastModifiedBy>
  <cp:revision>2</cp:revision>
  <cp:lastPrinted>2021-06-03T00:30:00Z</cp:lastPrinted>
  <dcterms:created xsi:type="dcterms:W3CDTF">2021-11-17T22:12:00Z</dcterms:created>
  <dcterms:modified xsi:type="dcterms:W3CDTF">2021-11-17T22:12:00Z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0x01010004862C10171BD149BCA86DC4F35484800800976467FC898D7945B95D3EE9111C463D</vt:lpwstr>
  </property>
  <property fmtid="{D5CDD505-2E9C-101B-9397-08002B2CF9AE}" pid="3" name="Protective Markings">
    <vt:lpwstr/>
  </property>
  <property fmtid="{D5CDD505-2E9C-101B-9397-08002B2CF9AE}" pid="4" name="_dlc_DocIdItemGuid">
    <vt:lpwstr>aae7ce3a-322a-4744-a449-deb74383cde2</vt:lpwstr>
  </property>
</Properties>
</file>