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SimSun" w:cs="Times New Roman"/>
          <w:b/>
          <w:bCs/>
          <w:color w:val="441D4A" w:themeColor="accent1" w:themeShade="80"/>
          <w:sz w:val="32"/>
          <w:szCs w:val="26"/>
          <w:lang w:eastAsia="zh-CN"/>
        </w:rPr>
        <w:id w:val="-1649280474"/>
        <w:docPartObj>
          <w:docPartGallery w:val="Cover Pages"/>
          <w:docPartUnique/>
        </w:docPartObj>
      </w:sdtPr>
      <w:sdtEndPr>
        <w:rPr>
          <w:b w:val="0"/>
        </w:rPr>
      </w:sdtEndPr>
      <w:sdtContent>
        <w:p w14:paraId="7E2854BD" w14:textId="06FFD47B" w:rsidR="003A58AB" w:rsidRPr="00DC6DE2" w:rsidRDefault="00F427E4" w:rsidP="009E6DB3">
          <w:r w:rsidRPr="00DC6DE2">
            <w:rPr>
              <w:noProof/>
            </w:rPr>
            <w:drawing>
              <wp:anchor distT="0" distB="0" distL="114300" distR="114300" simplePos="0" relativeHeight="251658241" behindDoc="0" locked="1" layoutInCell="1" allowOverlap="1" wp14:anchorId="4DBBB7AD" wp14:editId="3E8D6E77">
                <wp:simplePos x="0" y="0"/>
                <wp:positionH relativeFrom="column">
                  <wp:posOffset>-49530</wp:posOffset>
                </wp:positionH>
                <wp:positionV relativeFrom="page">
                  <wp:posOffset>376555</wp:posOffset>
                </wp:positionV>
                <wp:extent cx="3340800" cy="1105200"/>
                <wp:effectExtent l="0" t="0" r="0" b="0"/>
                <wp:wrapNone/>
                <wp:docPr id="1592260426" name="Picture 1" descr="Australian Trade and Investment Commission (Austrade) and Tourism Researc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Australian Trade and Investment Commission (Austrade) and Tourism Research Australia Logo"/>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DC6DE2">
            <w:rPr>
              <w:noProof/>
            </w:rPr>
            <w:drawing>
              <wp:anchor distT="0" distB="0" distL="114300" distR="114300" simplePos="0" relativeHeight="251658240" behindDoc="0" locked="0" layoutInCell="1" allowOverlap="1" wp14:anchorId="64B6A539" wp14:editId="6A0C3A4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47C4A7" w14:textId="15E90836" w:rsidR="00AC40CD" w:rsidRPr="00DC6DE2" w:rsidRDefault="001136DD" w:rsidP="00AC40CD">
          <w:pPr>
            <w:pStyle w:val="Heading1"/>
          </w:pPr>
          <w:r>
            <w:t>Agritourism</w:t>
          </w:r>
          <w:r w:rsidR="0043327B" w:rsidRPr="00DC6DE2">
            <w:t xml:space="preserve"> </w:t>
          </w:r>
          <w:r>
            <w:t xml:space="preserve">Fact sheet </w:t>
          </w:r>
          <w:r w:rsidR="0043327B" w:rsidRPr="00DC6DE2">
            <w:t xml:space="preserve">2024: </w:t>
          </w:r>
          <w:r>
            <w:t xml:space="preserve">Winery </w:t>
          </w:r>
          <w:r w:rsidR="007A712D">
            <w:t>visits</w:t>
          </w:r>
        </w:p>
        <w:p w14:paraId="488534C8" w14:textId="5398229A" w:rsidR="002D32DF" w:rsidRDefault="00127F35" w:rsidP="00D47636">
          <w:pPr>
            <w:pStyle w:val="Heading2"/>
            <w:rPr>
              <w:rFonts w:eastAsiaTheme="minorHAnsi" w:cstheme="minorBidi"/>
              <w:bCs w:val="0"/>
              <w:color w:val="000000" w:themeColor="text1"/>
              <w:sz w:val="20"/>
              <w:szCs w:val="20"/>
              <w:lang w:eastAsia="en-US"/>
            </w:rPr>
          </w:pPr>
          <w:r>
            <w:rPr>
              <w:rFonts w:eastAsiaTheme="minorHAnsi" w:cstheme="minorBidi"/>
              <w:bCs w:val="0"/>
              <w:color w:val="000000" w:themeColor="text1"/>
              <w:sz w:val="20"/>
              <w:szCs w:val="20"/>
              <w:lang w:eastAsia="en-US"/>
            </w:rPr>
            <w:t xml:space="preserve">Around </w:t>
          </w:r>
          <w:r w:rsidR="002D32DF" w:rsidRPr="002D32DF">
            <w:rPr>
              <w:rFonts w:eastAsiaTheme="minorHAnsi" w:cstheme="minorBidi"/>
              <w:bCs w:val="0"/>
              <w:color w:val="000000" w:themeColor="text1"/>
              <w:sz w:val="20"/>
              <w:szCs w:val="20"/>
              <w:lang w:eastAsia="en-US"/>
            </w:rPr>
            <w:t xml:space="preserve">7.7 million trips in Australia included a visit to a winery in 2024. These trips contributed a total of $9.6 billion </w:t>
          </w:r>
          <w:r>
            <w:rPr>
              <w:rFonts w:eastAsiaTheme="minorHAnsi" w:cstheme="minorBidi"/>
              <w:bCs w:val="0"/>
              <w:color w:val="000000" w:themeColor="text1"/>
              <w:sz w:val="20"/>
              <w:szCs w:val="20"/>
              <w:lang w:eastAsia="en-US"/>
            </w:rPr>
            <w:t xml:space="preserve">in spend </w:t>
          </w:r>
          <w:r w:rsidR="002D32DF" w:rsidRPr="002D32DF">
            <w:rPr>
              <w:rFonts w:eastAsiaTheme="minorHAnsi" w:cstheme="minorBidi"/>
              <w:bCs w:val="0"/>
              <w:color w:val="000000" w:themeColor="text1"/>
              <w:sz w:val="20"/>
              <w:szCs w:val="20"/>
              <w:lang w:eastAsia="en-US"/>
            </w:rPr>
            <w:t xml:space="preserve">to the visitor economy. </w:t>
          </w:r>
        </w:p>
        <w:p w14:paraId="14279F5A" w14:textId="7C970419" w:rsidR="00EC306F" w:rsidRPr="00DC6DE2" w:rsidRDefault="007E4DAD" w:rsidP="00D47636">
          <w:pPr>
            <w:pStyle w:val="Heading2"/>
          </w:pPr>
          <w:r w:rsidRPr="00DC6DE2">
            <w:t xml:space="preserve">Visitor </w:t>
          </w:r>
          <w:r w:rsidR="00A8069B" w:rsidRPr="00DC6DE2">
            <w:t>n</w:t>
          </w:r>
          <w:r w:rsidRPr="00DC6DE2">
            <w:t>umbers</w:t>
          </w:r>
        </w:p>
        <w:p w14:paraId="33328D96" w14:textId="52AB7E41" w:rsidR="00306832" w:rsidRDefault="00306832" w:rsidP="001D59B7">
          <w:pPr>
            <w:pStyle w:val="BulletList"/>
            <w:numPr>
              <w:ilvl w:val="0"/>
              <w:numId w:val="0"/>
            </w:numPr>
          </w:pPr>
          <w:r w:rsidRPr="00DC6DE2">
            <w:t xml:space="preserve">Total visitors: </w:t>
          </w:r>
          <w:r w:rsidR="002D32DF" w:rsidRPr="002D32DF">
            <w:t>7.7 million</w:t>
          </w:r>
        </w:p>
        <w:p w14:paraId="1F1E84B1" w14:textId="6AABE168" w:rsidR="00D329F0" w:rsidRDefault="00D329F0" w:rsidP="002D32DF">
          <w:pPr>
            <w:pStyle w:val="BulletList"/>
          </w:pPr>
          <w:r>
            <w:t xml:space="preserve">International: 10% </w:t>
          </w:r>
        </w:p>
        <w:p w14:paraId="36730E5A" w14:textId="718B2B99" w:rsidR="00D329F0" w:rsidRDefault="00D329F0" w:rsidP="002D32DF">
          <w:pPr>
            <w:pStyle w:val="BulletList"/>
          </w:pPr>
          <w:r>
            <w:t>Domestic Overnight: 52%</w:t>
          </w:r>
        </w:p>
        <w:p w14:paraId="4A39E259" w14:textId="77777777" w:rsidR="00D329F0" w:rsidRDefault="00D329F0" w:rsidP="00D329F0">
          <w:pPr>
            <w:pStyle w:val="BulletList"/>
          </w:pPr>
          <w:r>
            <w:t>Domestic Day: 39%</w:t>
          </w:r>
        </w:p>
        <w:p w14:paraId="6F5C6E66" w14:textId="77777777" w:rsidR="00D329F0" w:rsidRPr="00DC6DE2" w:rsidRDefault="00D329F0" w:rsidP="00D329F0">
          <w:pPr>
            <w:pStyle w:val="Heading2"/>
          </w:pPr>
          <w:r w:rsidRPr="00DC6DE2">
            <w:t>Visitor spend</w:t>
          </w:r>
        </w:p>
        <w:p w14:paraId="48043883" w14:textId="5E92B32C" w:rsidR="00D329F0" w:rsidRPr="00DC6DE2" w:rsidRDefault="00944327" w:rsidP="001D59B7">
          <w:pPr>
            <w:pStyle w:val="BulletList"/>
            <w:numPr>
              <w:ilvl w:val="0"/>
              <w:numId w:val="0"/>
            </w:numPr>
          </w:pPr>
          <w:r>
            <w:t>Total</w:t>
          </w:r>
          <w:r w:rsidR="00D329F0" w:rsidRPr="00DC6DE2">
            <w:t xml:space="preserve"> visitor spend</w:t>
          </w:r>
          <w:r w:rsidR="00407E1D">
            <w:t xml:space="preserve"> in Australia</w:t>
          </w:r>
          <w:r w:rsidR="00D329F0" w:rsidRPr="00DC6DE2">
            <w:t>: $</w:t>
          </w:r>
          <w:r>
            <w:t>9.6 billion</w:t>
          </w:r>
        </w:p>
        <w:p w14:paraId="5DF01DD8" w14:textId="4EED717D" w:rsidR="00944327" w:rsidRDefault="00944327" w:rsidP="00944327">
          <w:pPr>
            <w:pStyle w:val="BulletList"/>
          </w:pPr>
          <w:r>
            <w:t xml:space="preserve">International: 29% </w:t>
          </w:r>
        </w:p>
        <w:p w14:paraId="5FB5CA73" w14:textId="12C94FA1" w:rsidR="00944327" w:rsidRDefault="00944327" w:rsidP="00944327">
          <w:pPr>
            <w:pStyle w:val="BulletList"/>
          </w:pPr>
          <w:r>
            <w:t xml:space="preserve">Domestic Overnight: </w:t>
          </w:r>
          <w:r w:rsidR="001D59B7">
            <w:t>63</w:t>
          </w:r>
          <w:r>
            <w:t>%</w:t>
          </w:r>
        </w:p>
        <w:p w14:paraId="5C247598" w14:textId="42995D1F" w:rsidR="00944327" w:rsidRDefault="00944327" w:rsidP="00944327">
          <w:pPr>
            <w:pStyle w:val="BulletList"/>
          </w:pPr>
          <w:r>
            <w:t xml:space="preserve">Domestic Day: </w:t>
          </w:r>
          <w:r w:rsidR="001D59B7">
            <w:t>8</w:t>
          </w:r>
          <w:r>
            <w:t>%</w:t>
          </w:r>
        </w:p>
        <w:p w14:paraId="57D4770D" w14:textId="77777777" w:rsidR="001D59B7" w:rsidRDefault="001D59B7" w:rsidP="001D59B7">
          <w:pPr>
            <w:pStyle w:val="BulletList"/>
            <w:numPr>
              <w:ilvl w:val="0"/>
              <w:numId w:val="0"/>
            </w:numPr>
          </w:pPr>
        </w:p>
        <w:p w14:paraId="3DFC7332" w14:textId="39F919DC" w:rsidR="00D329F0" w:rsidRDefault="001D59B7" w:rsidP="001D59B7">
          <w:pPr>
            <w:pStyle w:val="BulletList"/>
            <w:numPr>
              <w:ilvl w:val="0"/>
              <w:numId w:val="0"/>
            </w:numPr>
          </w:pPr>
          <w:r>
            <w:t>Average spend per trip involving visiting a winery (</w:t>
          </w:r>
          <w:r w:rsidR="000C16AB">
            <w:t xml:space="preserve">compared to </w:t>
          </w:r>
          <w:r>
            <w:t>average trip</w:t>
          </w:r>
          <w:r w:rsidR="007F7CED" w:rsidRPr="007F7CED">
            <w:rPr>
              <w:rFonts w:asciiTheme="minorHAnsi" w:eastAsiaTheme="minorEastAsia"/>
              <w:kern w:val="24"/>
              <w:sz w:val="16"/>
              <w:szCs w:val="16"/>
            </w:rPr>
            <w:t xml:space="preserve"> </w:t>
          </w:r>
          <w:r w:rsidR="007F7CED" w:rsidRPr="007F7CED">
            <w:t>spend among leisure and business travellers</w:t>
          </w:r>
          <w:r>
            <w:t>)</w:t>
          </w:r>
        </w:p>
        <w:p w14:paraId="1269E443" w14:textId="63AAF585" w:rsidR="000C16AB" w:rsidRDefault="000C16AB" w:rsidP="000C16AB">
          <w:pPr>
            <w:pStyle w:val="BulletList"/>
          </w:pPr>
          <w:r>
            <w:t>International: $3,385 ($</w:t>
          </w:r>
          <w:r w:rsidR="007F7CED">
            <w:t>2,271</w:t>
          </w:r>
          <w:r w:rsidR="004443C2">
            <w:t>)</w:t>
          </w:r>
        </w:p>
        <w:p w14:paraId="03668A07" w14:textId="4E2F8C61" w:rsidR="000C16AB" w:rsidRDefault="004443C2" w:rsidP="000C16AB">
          <w:pPr>
            <w:pStyle w:val="BulletList"/>
          </w:pPr>
          <w:r>
            <w:t xml:space="preserve">Total </w:t>
          </w:r>
          <w:r w:rsidR="00B513FC">
            <w:t>d</w:t>
          </w:r>
          <w:r w:rsidR="000C16AB">
            <w:t xml:space="preserve">omestic: </w:t>
          </w:r>
          <w:r w:rsidR="007F7CED">
            <w:t>$980</w:t>
          </w:r>
          <w:r>
            <w:t xml:space="preserve"> ($462)</w:t>
          </w:r>
        </w:p>
        <w:p w14:paraId="314AE6FA" w14:textId="77777777" w:rsidR="001D59B7" w:rsidRDefault="001D59B7" w:rsidP="001D59B7">
          <w:pPr>
            <w:pStyle w:val="BulletList"/>
            <w:numPr>
              <w:ilvl w:val="0"/>
              <w:numId w:val="0"/>
            </w:numPr>
          </w:pPr>
        </w:p>
        <w:p w14:paraId="787AB7BD" w14:textId="595DC1C4" w:rsidR="004443C2" w:rsidRPr="004443C2" w:rsidRDefault="004443C2" w:rsidP="004443C2">
          <w:pPr>
            <w:pStyle w:val="BulletList"/>
            <w:numPr>
              <w:ilvl w:val="0"/>
              <w:numId w:val="0"/>
            </w:numPr>
          </w:pPr>
          <w:r w:rsidRPr="004443C2">
            <w:t>Average spend per night on a trip involving visiting a winery</w:t>
          </w:r>
          <w:r>
            <w:t xml:space="preserve"> </w:t>
          </w:r>
          <w:r w:rsidRPr="004443C2">
            <w:t>(</w:t>
          </w:r>
          <w:r>
            <w:t>compared to average night</w:t>
          </w:r>
          <w:r w:rsidRPr="007F7CED">
            <w:rPr>
              <w:rFonts w:asciiTheme="minorHAnsi" w:eastAsiaTheme="minorEastAsia"/>
              <w:kern w:val="24"/>
              <w:sz w:val="16"/>
              <w:szCs w:val="16"/>
            </w:rPr>
            <w:t xml:space="preserve"> </w:t>
          </w:r>
          <w:r w:rsidRPr="007F7CED">
            <w:t>spend among leisure and business travellers</w:t>
          </w:r>
          <w:r w:rsidRPr="004443C2">
            <w:t>)</w:t>
          </w:r>
        </w:p>
        <w:p w14:paraId="6C6885B0" w14:textId="7911B679" w:rsidR="004443C2" w:rsidRDefault="004443C2" w:rsidP="004443C2">
          <w:pPr>
            <w:pStyle w:val="BulletList"/>
          </w:pPr>
          <w:r>
            <w:t>International: $</w:t>
          </w:r>
          <w:r w:rsidR="00B513FC">
            <w:t>117</w:t>
          </w:r>
          <w:r>
            <w:t xml:space="preserve"> ($</w:t>
          </w:r>
          <w:r w:rsidR="00B513FC">
            <w:t>102</w:t>
          </w:r>
          <w:r>
            <w:t>)</w:t>
          </w:r>
        </w:p>
        <w:p w14:paraId="00DDABAD" w14:textId="6C11AC90" w:rsidR="004443C2" w:rsidRDefault="004443C2" w:rsidP="004443C2">
          <w:pPr>
            <w:pStyle w:val="BulletList"/>
          </w:pPr>
          <w:r>
            <w:t>Domestic</w:t>
          </w:r>
          <w:r w:rsidR="00B513FC">
            <w:t xml:space="preserve"> overnight</w:t>
          </w:r>
          <w:r>
            <w:t>: $</w:t>
          </w:r>
          <w:r w:rsidR="00B513FC">
            <w:t>328</w:t>
          </w:r>
          <w:r>
            <w:t xml:space="preserve"> ($</w:t>
          </w:r>
          <w:r w:rsidR="00B513FC">
            <w:t>278</w:t>
          </w:r>
          <w:r>
            <w:t>)</w:t>
          </w:r>
        </w:p>
        <w:p w14:paraId="18F47C1E" w14:textId="77777777" w:rsidR="004443C2" w:rsidRDefault="004443C2" w:rsidP="001D59B7">
          <w:pPr>
            <w:pStyle w:val="BulletList"/>
            <w:numPr>
              <w:ilvl w:val="0"/>
              <w:numId w:val="0"/>
            </w:numPr>
          </w:pPr>
        </w:p>
        <w:p w14:paraId="602AB173" w14:textId="36BBFB6C" w:rsidR="003D7D47" w:rsidRPr="00DC6DE2" w:rsidRDefault="003D7D47" w:rsidP="003D7D47">
          <w:pPr>
            <w:pStyle w:val="Heading2"/>
          </w:pPr>
          <w:r>
            <w:t>Activities</w:t>
          </w:r>
        </w:p>
        <w:p w14:paraId="6C24BEBE" w14:textId="77777777" w:rsidR="00772F73" w:rsidRPr="00772F73" w:rsidRDefault="00772F73" w:rsidP="00772F73">
          <w:pPr>
            <w:spacing w:before="0" w:after="160" w:line="259" w:lineRule="auto"/>
          </w:pPr>
          <w:r w:rsidRPr="00772F73">
            <w:t xml:space="preserve">Travellers whose trips include a visit to a winery engage in significantly more activities than the average leisure and business traveller, in particular eating out, sightseeing, and visiting pubs. They are less likely to be visiting friends and family on the trip. </w:t>
          </w:r>
        </w:p>
        <w:p w14:paraId="648FB2E4" w14:textId="77777777" w:rsidR="00C230A2" w:rsidRDefault="00173341">
          <w:pPr>
            <w:spacing w:before="0" w:after="160" w:line="259" w:lineRule="auto"/>
          </w:pPr>
          <w:r>
            <w:br w:type="page"/>
          </w:r>
        </w:p>
        <w:tbl>
          <w:tblPr>
            <w:tblStyle w:val="TableGrid"/>
            <w:tblW w:w="0" w:type="auto"/>
            <w:tblLook w:val="04A0" w:firstRow="1" w:lastRow="0" w:firstColumn="1" w:lastColumn="0" w:noHBand="0" w:noVBand="1"/>
          </w:tblPr>
          <w:tblGrid>
            <w:gridCol w:w="4531"/>
            <w:gridCol w:w="2551"/>
            <w:gridCol w:w="2552"/>
          </w:tblGrid>
          <w:tr w:rsidR="008751B3" w:rsidRPr="00DC6DE2" w14:paraId="599B6EBF" w14:textId="77777777" w:rsidTr="002D7561">
            <w:trPr>
              <w:tblHeader/>
            </w:trPr>
            <w:tc>
              <w:tcPr>
                <w:tcW w:w="4531" w:type="dxa"/>
                <w:shd w:val="clear" w:color="auto" w:fill="300050" w:themeFill="text2"/>
                <w:vAlign w:val="bottom"/>
              </w:tcPr>
              <w:p w14:paraId="77CED2DB" w14:textId="5A39C16F" w:rsidR="008751B3" w:rsidRPr="008751B3" w:rsidRDefault="008751B3" w:rsidP="008751B3">
                <w:pPr>
                  <w:spacing w:line="240" w:lineRule="auto"/>
                </w:pPr>
                <w:r w:rsidRPr="008751B3">
                  <w:lastRenderedPageBreak/>
                  <w:t xml:space="preserve"> </w:t>
                </w:r>
              </w:p>
            </w:tc>
            <w:tc>
              <w:tcPr>
                <w:tcW w:w="2551" w:type="dxa"/>
                <w:shd w:val="clear" w:color="auto" w:fill="300050" w:themeFill="text2"/>
                <w:vAlign w:val="bottom"/>
              </w:tcPr>
              <w:p w14:paraId="547C0954" w14:textId="52EC250E" w:rsidR="008751B3" w:rsidRPr="002D7561" w:rsidRDefault="008751B3" w:rsidP="002D7561">
                <w:pPr>
                  <w:rPr>
                    <w:color w:val="FFFFFF" w:themeColor="background1"/>
                  </w:rPr>
                </w:pPr>
                <w:r w:rsidRPr="002D7561">
                  <w:rPr>
                    <w:color w:val="FFFFFF" w:themeColor="background1"/>
                  </w:rPr>
                  <w:t>Trips including winery visits</w:t>
                </w:r>
              </w:p>
            </w:tc>
            <w:tc>
              <w:tcPr>
                <w:tcW w:w="2552" w:type="dxa"/>
                <w:shd w:val="clear" w:color="auto" w:fill="300050" w:themeFill="text2"/>
                <w:vAlign w:val="bottom"/>
              </w:tcPr>
              <w:p w14:paraId="357EB967" w14:textId="33A09FA7" w:rsidR="008751B3" w:rsidRPr="002D7561" w:rsidRDefault="008751B3" w:rsidP="002D7561">
                <w:pPr>
                  <w:rPr>
                    <w:color w:val="FFFFFF" w:themeColor="background1"/>
                  </w:rPr>
                </w:pPr>
                <w:r w:rsidRPr="002D7561">
                  <w:rPr>
                    <w:color w:val="FFFFFF" w:themeColor="background1"/>
                  </w:rPr>
                  <w:t xml:space="preserve">Total leisure and business trips </w:t>
                </w:r>
              </w:p>
            </w:tc>
          </w:tr>
          <w:tr w:rsidR="008751B3" w:rsidRPr="00DC6DE2" w14:paraId="1544CB34" w14:textId="77777777" w:rsidTr="002D7561">
            <w:trPr>
              <w:trHeight w:hRule="exact" w:val="567"/>
            </w:trPr>
            <w:tc>
              <w:tcPr>
                <w:tcW w:w="4531" w:type="dxa"/>
                <w:vAlign w:val="bottom"/>
              </w:tcPr>
              <w:p w14:paraId="3AF4766B" w14:textId="54BF99A0" w:rsidR="008751B3" w:rsidRPr="008751B3" w:rsidRDefault="008751B3" w:rsidP="008751B3">
                <w:pPr>
                  <w:spacing w:line="240" w:lineRule="auto"/>
                </w:pPr>
                <w:r w:rsidRPr="008751B3">
                  <w:t>Eat out / dine at a restaurant and/or cafe</w:t>
                </w:r>
              </w:p>
            </w:tc>
            <w:tc>
              <w:tcPr>
                <w:tcW w:w="2551" w:type="dxa"/>
                <w:vAlign w:val="bottom"/>
              </w:tcPr>
              <w:p w14:paraId="4F6FC954" w14:textId="147C5B14" w:rsidR="008751B3" w:rsidRPr="008751B3" w:rsidRDefault="008751B3" w:rsidP="008751B3">
                <w:pPr>
                  <w:spacing w:line="240" w:lineRule="auto"/>
                </w:pPr>
                <w:r w:rsidRPr="008751B3">
                  <w:t>80%</w:t>
                </w:r>
              </w:p>
            </w:tc>
            <w:tc>
              <w:tcPr>
                <w:tcW w:w="2552" w:type="dxa"/>
                <w:vAlign w:val="bottom"/>
              </w:tcPr>
              <w:p w14:paraId="0E8B68EB" w14:textId="0E6BE414" w:rsidR="008751B3" w:rsidRPr="008751B3" w:rsidRDefault="008751B3" w:rsidP="008751B3">
                <w:pPr>
                  <w:spacing w:line="240" w:lineRule="auto"/>
                </w:pPr>
                <w:r w:rsidRPr="008751B3">
                  <w:t>54%</w:t>
                </w:r>
              </w:p>
            </w:tc>
          </w:tr>
          <w:tr w:rsidR="008751B3" w:rsidRPr="00DC6DE2" w14:paraId="2B310BDC" w14:textId="77777777" w:rsidTr="002D7561">
            <w:trPr>
              <w:trHeight w:hRule="exact" w:val="567"/>
            </w:trPr>
            <w:tc>
              <w:tcPr>
                <w:tcW w:w="4531" w:type="dxa"/>
                <w:vAlign w:val="bottom"/>
              </w:tcPr>
              <w:p w14:paraId="0B34367A" w14:textId="5A3650FE" w:rsidR="008751B3" w:rsidRPr="008751B3" w:rsidRDefault="008751B3" w:rsidP="008751B3">
                <w:pPr>
                  <w:spacing w:line="240" w:lineRule="auto"/>
                </w:pPr>
                <w:r w:rsidRPr="008751B3">
                  <w:t>Sightseeing/looking around</w:t>
                </w:r>
              </w:p>
            </w:tc>
            <w:tc>
              <w:tcPr>
                <w:tcW w:w="2551" w:type="dxa"/>
                <w:vAlign w:val="bottom"/>
              </w:tcPr>
              <w:p w14:paraId="6D1A9CB7" w14:textId="280127B8" w:rsidR="008751B3" w:rsidRPr="008751B3" w:rsidRDefault="008751B3" w:rsidP="008751B3">
                <w:pPr>
                  <w:spacing w:line="240" w:lineRule="auto"/>
                </w:pPr>
                <w:r w:rsidRPr="008751B3">
                  <w:t>38%</w:t>
                </w:r>
              </w:p>
            </w:tc>
            <w:tc>
              <w:tcPr>
                <w:tcW w:w="2552" w:type="dxa"/>
                <w:vAlign w:val="bottom"/>
              </w:tcPr>
              <w:p w14:paraId="30FB13BD" w14:textId="51FBC3FE" w:rsidR="008751B3" w:rsidRPr="008751B3" w:rsidRDefault="008751B3" w:rsidP="008751B3">
                <w:pPr>
                  <w:spacing w:line="240" w:lineRule="auto"/>
                </w:pPr>
                <w:r w:rsidRPr="008751B3">
                  <w:t>18%</w:t>
                </w:r>
              </w:p>
            </w:tc>
          </w:tr>
          <w:tr w:rsidR="008751B3" w:rsidRPr="00DC6DE2" w14:paraId="2E27EA90" w14:textId="77777777" w:rsidTr="002D7561">
            <w:trPr>
              <w:trHeight w:hRule="exact" w:val="567"/>
            </w:trPr>
            <w:tc>
              <w:tcPr>
                <w:tcW w:w="4531" w:type="dxa"/>
                <w:vAlign w:val="bottom"/>
              </w:tcPr>
              <w:p w14:paraId="13A0B45E" w14:textId="442EDB62" w:rsidR="008751B3" w:rsidRPr="008751B3" w:rsidRDefault="008751B3" w:rsidP="008751B3">
                <w:pPr>
                  <w:spacing w:line="240" w:lineRule="auto"/>
                </w:pPr>
                <w:r w:rsidRPr="008751B3">
                  <w:t>Go to the beach</w:t>
                </w:r>
              </w:p>
            </w:tc>
            <w:tc>
              <w:tcPr>
                <w:tcW w:w="2551" w:type="dxa"/>
                <w:vAlign w:val="bottom"/>
              </w:tcPr>
              <w:p w14:paraId="17342B87" w14:textId="0E77C98A" w:rsidR="008751B3" w:rsidRPr="008751B3" w:rsidRDefault="008751B3" w:rsidP="008751B3">
                <w:pPr>
                  <w:spacing w:line="240" w:lineRule="auto"/>
                </w:pPr>
                <w:r w:rsidRPr="008751B3">
                  <w:t>31%</w:t>
                </w:r>
              </w:p>
            </w:tc>
            <w:tc>
              <w:tcPr>
                <w:tcW w:w="2552" w:type="dxa"/>
                <w:vAlign w:val="bottom"/>
              </w:tcPr>
              <w:p w14:paraId="4776A86B" w14:textId="2CD74373" w:rsidR="008751B3" w:rsidRPr="008751B3" w:rsidRDefault="008751B3" w:rsidP="008751B3">
                <w:pPr>
                  <w:spacing w:line="240" w:lineRule="auto"/>
                </w:pPr>
                <w:r w:rsidRPr="008751B3">
                  <w:t>21%</w:t>
                </w:r>
              </w:p>
            </w:tc>
          </w:tr>
          <w:tr w:rsidR="008751B3" w:rsidRPr="00DC6DE2" w14:paraId="12D8788D" w14:textId="77777777" w:rsidTr="002D7561">
            <w:trPr>
              <w:trHeight w:hRule="exact" w:val="567"/>
            </w:trPr>
            <w:tc>
              <w:tcPr>
                <w:tcW w:w="4531" w:type="dxa"/>
                <w:vAlign w:val="bottom"/>
              </w:tcPr>
              <w:p w14:paraId="4C5E5A0C" w14:textId="082C97C9" w:rsidR="008751B3" w:rsidRPr="008751B3" w:rsidRDefault="008751B3" w:rsidP="008751B3">
                <w:pPr>
                  <w:spacing w:line="240" w:lineRule="auto"/>
                </w:pPr>
                <w:r w:rsidRPr="008751B3">
                  <w:t>Pubs, clubs, discos etc</w:t>
                </w:r>
              </w:p>
            </w:tc>
            <w:tc>
              <w:tcPr>
                <w:tcW w:w="2551" w:type="dxa"/>
                <w:vAlign w:val="bottom"/>
              </w:tcPr>
              <w:p w14:paraId="5AB15FFD" w14:textId="53663DAC" w:rsidR="008751B3" w:rsidRPr="008751B3" w:rsidRDefault="008751B3" w:rsidP="008751B3">
                <w:pPr>
                  <w:spacing w:line="240" w:lineRule="auto"/>
                </w:pPr>
                <w:r w:rsidRPr="008751B3">
                  <w:t>28%</w:t>
                </w:r>
              </w:p>
            </w:tc>
            <w:tc>
              <w:tcPr>
                <w:tcW w:w="2552" w:type="dxa"/>
                <w:vAlign w:val="bottom"/>
              </w:tcPr>
              <w:p w14:paraId="61BC60BF" w14:textId="2D41860D" w:rsidR="008751B3" w:rsidRPr="008751B3" w:rsidRDefault="008751B3" w:rsidP="008751B3">
                <w:pPr>
                  <w:spacing w:line="240" w:lineRule="auto"/>
                </w:pPr>
                <w:r w:rsidRPr="008751B3">
                  <w:t>16%</w:t>
                </w:r>
              </w:p>
            </w:tc>
          </w:tr>
          <w:tr w:rsidR="008751B3" w:rsidRPr="00DC6DE2" w14:paraId="15BB254B" w14:textId="77777777" w:rsidTr="002D7561">
            <w:trPr>
              <w:trHeight w:hRule="exact" w:val="567"/>
            </w:trPr>
            <w:tc>
              <w:tcPr>
                <w:tcW w:w="4531" w:type="dxa"/>
                <w:vAlign w:val="bottom"/>
              </w:tcPr>
              <w:p w14:paraId="159561B0" w14:textId="0064E371" w:rsidR="008751B3" w:rsidRPr="008751B3" w:rsidRDefault="008751B3" w:rsidP="008751B3">
                <w:pPr>
                  <w:spacing w:line="240" w:lineRule="auto"/>
                </w:pPr>
                <w:r w:rsidRPr="008751B3">
                  <w:t>Go shopping for pleasure</w:t>
                </w:r>
              </w:p>
            </w:tc>
            <w:tc>
              <w:tcPr>
                <w:tcW w:w="2551" w:type="dxa"/>
                <w:vAlign w:val="bottom"/>
              </w:tcPr>
              <w:p w14:paraId="1ED153B6" w14:textId="0336DC4A" w:rsidR="008751B3" w:rsidRPr="008751B3" w:rsidRDefault="008751B3" w:rsidP="008751B3">
                <w:pPr>
                  <w:spacing w:line="240" w:lineRule="auto"/>
                </w:pPr>
                <w:r w:rsidRPr="008751B3">
                  <w:t>28%</w:t>
                </w:r>
              </w:p>
            </w:tc>
            <w:tc>
              <w:tcPr>
                <w:tcW w:w="2552" w:type="dxa"/>
                <w:vAlign w:val="bottom"/>
              </w:tcPr>
              <w:p w14:paraId="5F853E7D" w14:textId="245F42ED" w:rsidR="008751B3" w:rsidRPr="008751B3" w:rsidRDefault="008751B3" w:rsidP="008751B3">
                <w:pPr>
                  <w:spacing w:line="240" w:lineRule="auto"/>
                </w:pPr>
                <w:r w:rsidRPr="008751B3">
                  <w:t>20%</w:t>
                </w:r>
              </w:p>
            </w:tc>
          </w:tr>
          <w:tr w:rsidR="008751B3" w:rsidRPr="00DC6DE2" w14:paraId="263D0965" w14:textId="77777777" w:rsidTr="002D7561">
            <w:trPr>
              <w:trHeight w:hRule="exact" w:val="567"/>
            </w:trPr>
            <w:tc>
              <w:tcPr>
                <w:tcW w:w="4531" w:type="dxa"/>
                <w:vAlign w:val="bottom"/>
              </w:tcPr>
              <w:p w14:paraId="47926698" w14:textId="48A85449" w:rsidR="008751B3" w:rsidRPr="008751B3" w:rsidRDefault="008751B3" w:rsidP="008751B3">
                <w:pPr>
                  <w:spacing w:line="240" w:lineRule="auto"/>
                </w:pPr>
                <w:r w:rsidRPr="008751B3">
                  <w:t>Visit friends &amp; relatives</w:t>
                </w:r>
              </w:p>
            </w:tc>
            <w:tc>
              <w:tcPr>
                <w:tcW w:w="2551" w:type="dxa"/>
                <w:vAlign w:val="bottom"/>
              </w:tcPr>
              <w:p w14:paraId="56769F79" w14:textId="76CC8967" w:rsidR="008751B3" w:rsidRPr="008751B3" w:rsidRDefault="008751B3" w:rsidP="008751B3">
                <w:pPr>
                  <w:spacing w:line="240" w:lineRule="auto"/>
                </w:pPr>
                <w:r w:rsidRPr="008751B3">
                  <w:t>28%</w:t>
                </w:r>
              </w:p>
            </w:tc>
            <w:tc>
              <w:tcPr>
                <w:tcW w:w="2552" w:type="dxa"/>
                <w:vAlign w:val="bottom"/>
              </w:tcPr>
              <w:p w14:paraId="1FD0BF06" w14:textId="2CC37D18" w:rsidR="008751B3" w:rsidRPr="008751B3" w:rsidRDefault="008751B3" w:rsidP="008751B3">
                <w:pPr>
                  <w:spacing w:line="240" w:lineRule="auto"/>
                </w:pPr>
                <w:r w:rsidRPr="008751B3">
                  <w:t>34%</w:t>
                </w:r>
              </w:p>
            </w:tc>
          </w:tr>
          <w:tr w:rsidR="008751B3" w:rsidRPr="00DC6DE2" w14:paraId="71953095" w14:textId="77777777" w:rsidTr="002D7561">
            <w:trPr>
              <w:trHeight w:hRule="exact" w:val="567"/>
            </w:trPr>
            <w:tc>
              <w:tcPr>
                <w:tcW w:w="4531" w:type="dxa"/>
                <w:vAlign w:val="bottom"/>
              </w:tcPr>
              <w:p w14:paraId="0E9E34B9" w14:textId="1BFBF810" w:rsidR="008751B3" w:rsidRPr="008751B3" w:rsidRDefault="008751B3" w:rsidP="008751B3">
                <w:pPr>
                  <w:spacing w:line="240" w:lineRule="auto"/>
                </w:pPr>
                <w:r w:rsidRPr="008751B3">
                  <w:t>Visit national parks / state parks</w:t>
                </w:r>
              </w:p>
            </w:tc>
            <w:tc>
              <w:tcPr>
                <w:tcW w:w="2551" w:type="dxa"/>
                <w:vAlign w:val="bottom"/>
              </w:tcPr>
              <w:p w14:paraId="66594631" w14:textId="38FD5E98" w:rsidR="008751B3" w:rsidRPr="008751B3" w:rsidRDefault="008751B3" w:rsidP="008751B3">
                <w:pPr>
                  <w:spacing w:line="240" w:lineRule="auto"/>
                </w:pPr>
                <w:r w:rsidRPr="008751B3">
                  <w:t>23%</w:t>
                </w:r>
              </w:p>
            </w:tc>
            <w:tc>
              <w:tcPr>
                <w:tcW w:w="2552" w:type="dxa"/>
                <w:vAlign w:val="bottom"/>
              </w:tcPr>
              <w:p w14:paraId="09E6AD5B" w14:textId="2C672839" w:rsidR="008751B3" w:rsidRPr="008751B3" w:rsidRDefault="008751B3" w:rsidP="008751B3">
                <w:pPr>
                  <w:spacing w:line="240" w:lineRule="auto"/>
                </w:pPr>
                <w:r w:rsidRPr="008751B3">
                  <w:t>10%</w:t>
                </w:r>
              </w:p>
            </w:tc>
          </w:tr>
          <w:tr w:rsidR="008751B3" w:rsidRPr="00DC6DE2" w14:paraId="4BAC03B6" w14:textId="77777777" w:rsidTr="002D7561">
            <w:trPr>
              <w:trHeight w:hRule="exact" w:val="567"/>
            </w:trPr>
            <w:tc>
              <w:tcPr>
                <w:tcW w:w="4531" w:type="dxa"/>
                <w:vAlign w:val="bottom"/>
              </w:tcPr>
              <w:p w14:paraId="0375AAA3" w14:textId="7A17E19E" w:rsidR="008751B3" w:rsidRPr="008751B3" w:rsidRDefault="008751B3" w:rsidP="008751B3">
                <w:pPr>
                  <w:spacing w:line="240" w:lineRule="auto"/>
                </w:pPr>
                <w:r w:rsidRPr="008751B3">
                  <w:t>Bushwalking / rainforest walks</w:t>
                </w:r>
              </w:p>
            </w:tc>
            <w:tc>
              <w:tcPr>
                <w:tcW w:w="2551" w:type="dxa"/>
                <w:vAlign w:val="bottom"/>
              </w:tcPr>
              <w:p w14:paraId="541FCEE9" w14:textId="45047313" w:rsidR="008751B3" w:rsidRPr="008751B3" w:rsidRDefault="008751B3" w:rsidP="008751B3">
                <w:pPr>
                  <w:spacing w:line="240" w:lineRule="auto"/>
                </w:pPr>
                <w:r w:rsidRPr="008751B3">
                  <w:t>21%</w:t>
                </w:r>
              </w:p>
            </w:tc>
            <w:tc>
              <w:tcPr>
                <w:tcW w:w="2552" w:type="dxa"/>
                <w:vAlign w:val="bottom"/>
              </w:tcPr>
              <w:p w14:paraId="6351941D" w14:textId="0883841F" w:rsidR="008751B3" w:rsidRPr="008751B3" w:rsidRDefault="008751B3" w:rsidP="008751B3">
                <w:pPr>
                  <w:spacing w:line="240" w:lineRule="auto"/>
                </w:pPr>
                <w:r w:rsidRPr="008751B3">
                  <w:t>10%</w:t>
                </w:r>
              </w:p>
            </w:tc>
          </w:tr>
          <w:tr w:rsidR="008751B3" w:rsidRPr="00DC6DE2" w14:paraId="2FAED2C1" w14:textId="77777777" w:rsidTr="002D7561">
            <w:trPr>
              <w:trHeight w:hRule="exact" w:val="567"/>
            </w:trPr>
            <w:tc>
              <w:tcPr>
                <w:tcW w:w="4531" w:type="dxa"/>
                <w:vAlign w:val="bottom"/>
              </w:tcPr>
              <w:p w14:paraId="21173B87" w14:textId="4A2DDE73" w:rsidR="008751B3" w:rsidRPr="008751B3" w:rsidRDefault="008751B3" w:rsidP="008751B3">
                <w:pPr>
                  <w:spacing w:line="240" w:lineRule="auto"/>
                </w:pPr>
                <w:r w:rsidRPr="008751B3">
                  <w:t>Visit museums or art galleries</w:t>
                </w:r>
              </w:p>
            </w:tc>
            <w:tc>
              <w:tcPr>
                <w:tcW w:w="2551" w:type="dxa"/>
                <w:vAlign w:val="bottom"/>
              </w:tcPr>
              <w:p w14:paraId="13537ECA" w14:textId="2833786B" w:rsidR="008751B3" w:rsidRPr="008751B3" w:rsidRDefault="008751B3" w:rsidP="008751B3">
                <w:pPr>
                  <w:spacing w:line="240" w:lineRule="auto"/>
                </w:pPr>
                <w:r w:rsidRPr="008751B3">
                  <w:t>19%</w:t>
                </w:r>
              </w:p>
            </w:tc>
            <w:tc>
              <w:tcPr>
                <w:tcW w:w="2552" w:type="dxa"/>
                <w:vAlign w:val="bottom"/>
              </w:tcPr>
              <w:p w14:paraId="0533CF92" w14:textId="53CC4577" w:rsidR="008751B3" w:rsidRPr="008751B3" w:rsidRDefault="008751B3" w:rsidP="008751B3">
                <w:pPr>
                  <w:spacing w:line="240" w:lineRule="auto"/>
                </w:pPr>
                <w:r w:rsidRPr="008751B3">
                  <w:t>5%</w:t>
                </w:r>
              </w:p>
            </w:tc>
          </w:tr>
          <w:tr w:rsidR="008751B3" w:rsidRPr="00DC6DE2" w14:paraId="55097ED0" w14:textId="77777777" w:rsidTr="002D7561">
            <w:trPr>
              <w:trHeight w:hRule="exact" w:val="567"/>
            </w:trPr>
            <w:tc>
              <w:tcPr>
                <w:tcW w:w="4531" w:type="dxa"/>
                <w:vAlign w:val="bottom"/>
              </w:tcPr>
              <w:p w14:paraId="60D81139" w14:textId="185FC5C4" w:rsidR="008751B3" w:rsidRPr="008751B3" w:rsidRDefault="008751B3" w:rsidP="008751B3">
                <w:pPr>
                  <w:spacing w:line="240" w:lineRule="auto"/>
                </w:pPr>
                <w:r w:rsidRPr="008751B3">
                  <w:t>Visit botanical or other public gardens</w:t>
                </w:r>
              </w:p>
            </w:tc>
            <w:tc>
              <w:tcPr>
                <w:tcW w:w="2551" w:type="dxa"/>
                <w:vAlign w:val="bottom"/>
              </w:tcPr>
              <w:p w14:paraId="5C19B31D" w14:textId="0C564986" w:rsidR="008751B3" w:rsidRPr="008751B3" w:rsidRDefault="008751B3" w:rsidP="008751B3">
                <w:pPr>
                  <w:spacing w:line="240" w:lineRule="auto"/>
                </w:pPr>
                <w:r w:rsidRPr="008751B3">
                  <w:t>15%</w:t>
                </w:r>
              </w:p>
            </w:tc>
            <w:tc>
              <w:tcPr>
                <w:tcW w:w="2552" w:type="dxa"/>
                <w:vAlign w:val="bottom"/>
              </w:tcPr>
              <w:p w14:paraId="60F93F97" w14:textId="2CC8DACB" w:rsidR="008751B3" w:rsidRPr="008751B3" w:rsidRDefault="008751B3" w:rsidP="008751B3">
                <w:pPr>
                  <w:spacing w:line="240" w:lineRule="auto"/>
                </w:pPr>
                <w:r w:rsidRPr="008751B3">
                  <w:t>5%</w:t>
                </w:r>
              </w:p>
            </w:tc>
          </w:tr>
        </w:tbl>
        <w:p w14:paraId="71729271" w14:textId="1C041B15" w:rsidR="00173341" w:rsidRDefault="00173341">
          <w:pPr>
            <w:spacing w:before="0" w:after="160" w:line="259" w:lineRule="auto"/>
          </w:pPr>
        </w:p>
        <w:p w14:paraId="595DB065" w14:textId="77777777" w:rsidR="00A32834" w:rsidRDefault="00A32834" w:rsidP="00173341">
          <w:pPr>
            <w:pStyle w:val="BulletList"/>
            <w:numPr>
              <w:ilvl w:val="0"/>
              <w:numId w:val="0"/>
            </w:numPr>
            <w:rPr>
              <w:rFonts w:eastAsia="SimSun" w:cs="Times New Roman"/>
              <w:bCs/>
              <w:color w:val="441D4A" w:themeColor="accent1" w:themeShade="80"/>
              <w:sz w:val="32"/>
              <w:szCs w:val="26"/>
              <w:lang w:eastAsia="zh-CN"/>
            </w:rPr>
          </w:pPr>
        </w:p>
        <w:p w14:paraId="2573E21C" w14:textId="15AE436F" w:rsidR="00173341" w:rsidRPr="00173341" w:rsidRDefault="00173341" w:rsidP="0063625B">
          <w:pPr>
            <w:pStyle w:val="Heading2"/>
          </w:pPr>
          <w:r w:rsidRPr="00173341">
            <w:t>Trip demographics</w:t>
          </w:r>
        </w:p>
        <w:p w14:paraId="26041744" w14:textId="52B3D663" w:rsidR="003C4299" w:rsidRPr="003C4299" w:rsidRDefault="003C4299" w:rsidP="003C4299">
          <w:pPr>
            <w:pStyle w:val="BulletList"/>
            <w:numPr>
              <w:ilvl w:val="0"/>
              <w:numId w:val="0"/>
            </w:numPr>
          </w:pPr>
          <w:r w:rsidRPr="003C4299">
            <w:t xml:space="preserve">Trips involving a winery visit attract a broad demographic of travellers. More than half (56%) of visits were from travellers aged 25 – 54 and under and attract predominately adult couples or friends and </w:t>
          </w:r>
          <w:r>
            <w:t>relatives’</w:t>
          </w:r>
          <w:r w:rsidRPr="003C4299">
            <w:t xml:space="preserve"> groups.   </w:t>
          </w:r>
        </w:p>
        <w:p w14:paraId="436988D2" w14:textId="77777777" w:rsidR="001D59B7" w:rsidRDefault="001D59B7" w:rsidP="00D329F0">
          <w:pPr>
            <w:pStyle w:val="BulletList"/>
            <w:numPr>
              <w:ilvl w:val="0"/>
              <w:numId w:val="0"/>
            </w:numPr>
          </w:pPr>
        </w:p>
        <w:p w14:paraId="6661984E" w14:textId="69C9A735" w:rsidR="00173341" w:rsidRDefault="00D41673" w:rsidP="00D329F0">
          <w:pPr>
            <w:pStyle w:val="BulletList"/>
            <w:numPr>
              <w:ilvl w:val="0"/>
              <w:numId w:val="0"/>
            </w:numPr>
          </w:pPr>
          <w:r>
            <w:t xml:space="preserve">Trip by age group </w:t>
          </w:r>
        </w:p>
        <w:p w14:paraId="40B9AFE7" w14:textId="1D7E0D1E" w:rsidR="00D41673" w:rsidRDefault="00D41673" w:rsidP="00D41673">
          <w:pPr>
            <w:pStyle w:val="BulletList"/>
          </w:pPr>
          <w:r>
            <w:t xml:space="preserve">15 </w:t>
          </w:r>
          <w:r w:rsidR="00462051">
            <w:t>–</w:t>
          </w:r>
          <w:r>
            <w:t xml:space="preserve"> 24</w:t>
          </w:r>
          <w:r w:rsidR="00462051">
            <w:t xml:space="preserve">: </w:t>
          </w:r>
          <w:r>
            <w:t>9%</w:t>
          </w:r>
        </w:p>
        <w:p w14:paraId="2E9E0118" w14:textId="780DB89C" w:rsidR="00D41673" w:rsidRDefault="00D41673" w:rsidP="00D41673">
          <w:pPr>
            <w:pStyle w:val="BulletList"/>
          </w:pPr>
          <w:r>
            <w:t xml:space="preserve">25 </w:t>
          </w:r>
          <w:r w:rsidR="00462051">
            <w:t>–</w:t>
          </w:r>
          <w:r>
            <w:t xml:space="preserve"> 34</w:t>
          </w:r>
          <w:r w:rsidR="00462051">
            <w:t xml:space="preserve">: </w:t>
          </w:r>
          <w:r>
            <w:t>20%</w:t>
          </w:r>
        </w:p>
        <w:p w14:paraId="7E9CB6D4" w14:textId="1E29C769" w:rsidR="00D41673" w:rsidRDefault="00D41673" w:rsidP="00D41673">
          <w:pPr>
            <w:pStyle w:val="BulletList"/>
          </w:pPr>
          <w:r>
            <w:t xml:space="preserve">35 </w:t>
          </w:r>
          <w:r w:rsidR="00462051">
            <w:t>–</w:t>
          </w:r>
          <w:r>
            <w:t xml:space="preserve"> 44</w:t>
          </w:r>
          <w:r w:rsidR="00462051">
            <w:t xml:space="preserve">: </w:t>
          </w:r>
          <w:r>
            <w:t>16%</w:t>
          </w:r>
        </w:p>
        <w:p w14:paraId="5D1EDD4C" w14:textId="14E6231E" w:rsidR="00D41673" w:rsidRDefault="00D41673" w:rsidP="00D41673">
          <w:pPr>
            <w:pStyle w:val="BulletList"/>
          </w:pPr>
          <w:r>
            <w:t xml:space="preserve">45 </w:t>
          </w:r>
          <w:r w:rsidR="00462051">
            <w:t>–</w:t>
          </w:r>
          <w:r>
            <w:t xml:space="preserve"> 54</w:t>
          </w:r>
          <w:r w:rsidR="00462051">
            <w:t xml:space="preserve">: </w:t>
          </w:r>
          <w:r>
            <w:t>20%</w:t>
          </w:r>
        </w:p>
        <w:p w14:paraId="041C973C" w14:textId="17266762" w:rsidR="00D41673" w:rsidRDefault="00D41673" w:rsidP="00D41673">
          <w:pPr>
            <w:pStyle w:val="BulletList"/>
          </w:pPr>
          <w:r>
            <w:t xml:space="preserve">55 </w:t>
          </w:r>
          <w:r w:rsidR="00462051">
            <w:t>–</w:t>
          </w:r>
          <w:r>
            <w:t xml:space="preserve"> 64</w:t>
          </w:r>
          <w:r w:rsidR="00462051">
            <w:t xml:space="preserve">: </w:t>
          </w:r>
          <w:r>
            <w:t>17%</w:t>
          </w:r>
        </w:p>
        <w:p w14:paraId="7B9A9439" w14:textId="038A4049" w:rsidR="00D41673" w:rsidRDefault="00D41673" w:rsidP="00D41673">
          <w:pPr>
            <w:pStyle w:val="BulletList"/>
          </w:pPr>
          <w:r>
            <w:t xml:space="preserve">65 </w:t>
          </w:r>
          <w:r w:rsidR="00462051">
            <w:t>–</w:t>
          </w:r>
          <w:r>
            <w:t xml:space="preserve"> 69</w:t>
          </w:r>
          <w:r w:rsidR="00462051">
            <w:t xml:space="preserve">: </w:t>
          </w:r>
          <w:r>
            <w:t>8%</w:t>
          </w:r>
        </w:p>
        <w:p w14:paraId="10EF01ED" w14:textId="12B5F60A" w:rsidR="00D41673" w:rsidRDefault="00D41673" w:rsidP="00D41673">
          <w:pPr>
            <w:pStyle w:val="BulletList"/>
          </w:pPr>
          <w:r>
            <w:t>70+</w:t>
          </w:r>
          <w:r w:rsidR="00462051">
            <w:t xml:space="preserve">: </w:t>
          </w:r>
          <w:r>
            <w:t>10%</w:t>
          </w:r>
        </w:p>
        <w:p w14:paraId="72C48250" w14:textId="77777777" w:rsidR="00173341" w:rsidRDefault="00173341" w:rsidP="00D329F0">
          <w:pPr>
            <w:pStyle w:val="BulletList"/>
            <w:numPr>
              <w:ilvl w:val="0"/>
              <w:numId w:val="0"/>
            </w:numPr>
          </w:pPr>
        </w:p>
        <w:p w14:paraId="529E76BD" w14:textId="287224D9" w:rsidR="00832501" w:rsidRPr="00DC6DE2" w:rsidRDefault="00832501" w:rsidP="00D329F0">
          <w:pPr>
            <w:pStyle w:val="BulletList"/>
            <w:numPr>
              <w:ilvl w:val="0"/>
              <w:numId w:val="0"/>
            </w:numPr>
          </w:pPr>
          <w:r w:rsidRPr="00DC6DE2">
            <w:t xml:space="preserve">Visitor </w:t>
          </w:r>
          <w:r w:rsidR="00A8069B" w:rsidRPr="00DC6DE2">
            <w:t>g</w:t>
          </w:r>
          <w:r w:rsidR="00F56064" w:rsidRPr="00DC6DE2">
            <w:t xml:space="preserve">roup </w:t>
          </w:r>
          <w:r w:rsidR="00A8069B" w:rsidRPr="00DC6DE2">
            <w:t>t</w:t>
          </w:r>
          <w:r w:rsidR="00F56064" w:rsidRPr="00DC6DE2">
            <w:t>ype</w:t>
          </w:r>
        </w:p>
        <w:p w14:paraId="163FB343" w14:textId="41606587" w:rsidR="00376FCE" w:rsidRPr="00DC6DE2" w:rsidRDefault="00376FCE" w:rsidP="00376FCE">
          <w:pPr>
            <w:pStyle w:val="BulletList"/>
          </w:pPr>
          <w:r w:rsidRPr="00DC6DE2">
            <w:t xml:space="preserve">Solo traveller: </w:t>
          </w:r>
          <w:r w:rsidR="00BA5B82">
            <w:t>16</w:t>
          </w:r>
          <w:r w:rsidRPr="00DC6DE2">
            <w:t xml:space="preserve">% </w:t>
          </w:r>
        </w:p>
        <w:p w14:paraId="24CCD29B" w14:textId="529B9928" w:rsidR="00376FCE" w:rsidRPr="00DC6DE2" w:rsidRDefault="00376FCE" w:rsidP="00376FCE">
          <w:pPr>
            <w:pStyle w:val="BulletList"/>
          </w:pPr>
          <w:r w:rsidRPr="00DC6DE2">
            <w:t xml:space="preserve">Adult couple: </w:t>
          </w:r>
          <w:r w:rsidR="00BA5B82">
            <w:t>38</w:t>
          </w:r>
          <w:r w:rsidRPr="00DC6DE2">
            <w:t xml:space="preserve">% </w:t>
          </w:r>
        </w:p>
        <w:p w14:paraId="60B83FCD" w14:textId="2CCDC38F" w:rsidR="00376FCE" w:rsidRPr="00DC6DE2" w:rsidRDefault="00376FCE" w:rsidP="00376FCE">
          <w:pPr>
            <w:pStyle w:val="BulletList"/>
          </w:pPr>
          <w:r w:rsidRPr="00DC6DE2">
            <w:t>Family</w:t>
          </w:r>
          <w:r w:rsidR="00BA5B82">
            <w:t xml:space="preserve"> group</w:t>
          </w:r>
          <w:r w:rsidRPr="00DC6DE2">
            <w:t xml:space="preserve">: </w:t>
          </w:r>
          <w:r w:rsidR="00BA5B82">
            <w:t>18%</w:t>
          </w:r>
          <w:r w:rsidRPr="00DC6DE2">
            <w:t xml:space="preserve"> </w:t>
          </w:r>
        </w:p>
        <w:p w14:paraId="17747DDB" w14:textId="097D1A81" w:rsidR="00376FCE" w:rsidRPr="00DC6DE2" w:rsidRDefault="00BA5B82" w:rsidP="00376FCE">
          <w:pPr>
            <w:pStyle w:val="BulletList"/>
          </w:pPr>
          <w:r>
            <w:t xml:space="preserve">Friends or relatives </w:t>
          </w:r>
          <w:r w:rsidR="00D05983">
            <w:t>travelling: 28%</w:t>
          </w:r>
        </w:p>
        <w:p w14:paraId="68ABE57A" w14:textId="77777777" w:rsidR="00A32834" w:rsidRDefault="00A32834" w:rsidP="00986BBD">
          <w:pPr>
            <w:spacing w:after="160" w:line="259" w:lineRule="auto"/>
            <w:rPr>
              <w:rFonts w:eastAsia="SimSun" w:cs="Times New Roman"/>
              <w:bCs/>
              <w:color w:val="441D4A" w:themeColor="accent1" w:themeShade="80"/>
              <w:sz w:val="32"/>
              <w:szCs w:val="26"/>
              <w:lang w:eastAsia="zh-CN"/>
            </w:rPr>
          </w:pPr>
        </w:p>
        <w:p w14:paraId="0FBEC2C3" w14:textId="258F5DE0" w:rsidR="00986BBD" w:rsidRPr="00986BBD" w:rsidRDefault="00986BBD" w:rsidP="00986BBD">
          <w:pPr>
            <w:spacing w:after="160" w:line="259" w:lineRule="auto"/>
            <w:rPr>
              <w:rFonts w:eastAsia="SimSun" w:cs="Times New Roman"/>
              <w:bCs/>
              <w:color w:val="441D4A" w:themeColor="accent1" w:themeShade="80"/>
              <w:sz w:val="32"/>
              <w:szCs w:val="26"/>
              <w:lang w:eastAsia="zh-CN"/>
            </w:rPr>
          </w:pPr>
          <w:r w:rsidRPr="00986BBD">
            <w:rPr>
              <w:rFonts w:eastAsia="SimSun" w:cs="Times New Roman"/>
              <w:bCs/>
              <w:color w:val="441D4A" w:themeColor="accent1" w:themeShade="80"/>
              <w:sz w:val="32"/>
              <w:szCs w:val="26"/>
              <w:lang w:eastAsia="zh-CN"/>
            </w:rPr>
            <w:lastRenderedPageBreak/>
            <w:t>Destinations visited</w:t>
          </w:r>
        </w:p>
        <w:p w14:paraId="4D24B274" w14:textId="103ECFDF" w:rsidR="00422824" w:rsidRDefault="002F1BF9" w:rsidP="00422824">
          <w:pPr>
            <w:spacing w:before="0" w:after="160" w:line="259" w:lineRule="auto"/>
          </w:pPr>
          <w:r w:rsidRPr="002F1BF9">
            <w:t xml:space="preserve">Around 82% of trips including a visit to a winery go to regional Australia. VIC, SA and WA have a much higher proportion of trips involving a visit to a winery compared with their overall share of leisure and business trips. </w:t>
          </w:r>
          <w:r w:rsidR="00422824">
            <w:tab/>
          </w:r>
        </w:p>
        <w:p w14:paraId="6899E652" w14:textId="1C64F950" w:rsidR="00422824" w:rsidRDefault="00422824" w:rsidP="00422824">
          <w:pPr>
            <w:spacing w:before="0" w:after="160" w:line="259" w:lineRule="auto"/>
          </w:pPr>
          <w:r>
            <w:t xml:space="preserve">Regional vs. </w:t>
          </w:r>
          <w:r w:rsidR="00D365DE">
            <w:t>c</w:t>
          </w:r>
          <w:r>
            <w:t xml:space="preserve">apital city trip proportions </w:t>
          </w:r>
          <w:r w:rsidR="00D365DE">
            <w:t xml:space="preserve">(compared to average </w:t>
          </w:r>
          <w:r w:rsidR="00D365DE" w:rsidRPr="007F7CED">
            <w:t>among leisure and business travellers</w:t>
          </w:r>
          <w:r w:rsidR="00D365DE">
            <w:t>)</w:t>
          </w:r>
        </w:p>
        <w:p w14:paraId="1AFCB672" w14:textId="435CBD77" w:rsidR="00D365DE" w:rsidRDefault="00422824" w:rsidP="00273B56">
          <w:pPr>
            <w:pStyle w:val="ListParagraph"/>
            <w:numPr>
              <w:ilvl w:val="0"/>
              <w:numId w:val="19"/>
            </w:numPr>
            <w:spacing w:before="0" w:after="160" w:line="259" w:lineRule="auto"/>
          </w:pPr>
          <w:r>
            <w:t>Capital cities</w:t>
          </w:r>
          <w:r w:rsidR="009F3D7F">
            <w:t>:</w:t>
          </w:r>
          <w:r>
            <w:tab/>
            <w:t>2</w:t>
          </w:r>
          <w:r w:rsidR="00D2336F">
            <w:t>8</w:t>
          </w:r>
          <w:r>
            <w:t>%</w:t>
          </w:r>
          <w:r w:rsidR="009F3D7F">
            <w:t xml:space="preserve"> (</w:t>
          </w:r>
          <w:r w:rsidR="00D365DE">
            <w:t>43%</w:t>
          </w:r>
          <w:r w:rsidR="009F3D7F">
            <w:t xml:space="preserve">) </w:t>
          </w:r>
        </w:p>
        <w:p w14:paraId="23311D00" w14:textId="5504D2EA" w:rsidR="009F1E8A" w:rsidRDefault="00422824" w:rsidP="00273B56">
          <w:pPr>
            <w:pStyle w:val="ListParagraph"/>
            <w:numPr>
              <w:ilvl w:val="0"/>
              <w:numId w:val="19"/>
            </w:numPr>
            <w:spacing w:before="0" w:after="160" w:line="259" w:lineRule="auto"/>
          </w:pPr>
          <w:r>
            <w:t>Regional Australia</w:t>
          </w:r>
          <w:r w:rsidR="009F3D7F">
            <w:t xml:space="preserve">: </w:t>
          </w:r>
          <w:r>
            <w:t>8</w:t>
          </w:r>
          <w:r w:rsidR="006A1565">
            <w:t>1</w:t>
          </w:r>
          <w:r>
            <w:t>%</w:t>
          </w:r>
          <w:r w:rsidR="009F3D7F">
            <w:t xml:space="preserve"> (</w:t>
          </w:r>
          <w:r w:rsidR="00D365DE">
            <w:t>59%</w:t>
          </w:r>
          <w:r w:rsidR="009F3D7F">
            <w:t xml:space="preserve">) </w:t>
          </w:r>
        </w:p>
        <w:p w14:paraId="50304780" w14:textId="77777777" w:rsidR="00D365DE" w:rsidRDefault="00D365DE" w:rsidP="00D365DE">
          <w:pPr>
            <w:spacing w:before="0" w:after="160" w:line="259" w:lineRule="auto"/>
          </w:pPr>
        </w:p>
        <w:p w14:paraId="68804785" w14:textId="0EBBA832" w:rsidR="00D365DE" w:rsidRDefault="00D365DE" w:rsidP="00D365DE">
          <w:pPr>
            <w:spacing w:before="0" w:after="160" w:line="259" w:lineRule="auto"/>
          </w:pPr>
          <w:r>
            <w:t xml:space="preserve">States visited on trip </w:t>
          </w:r>
        </w:p>
        <w:p w14:paraId="16329B86" w14:textId="633F19E5" w:rsidR="00C4007B" w:rsidRDefault="00C4007B" w:rsidP="00C4007B">
          <w:pPr>
            <w:pStyle w:val="ListParagraph"/>
            <w:numPr>
              <w:ilvl w:val="0"/>
              <w:numId w:val="20"/>
            </w:numPr>
            <w:spacing w:before="0" w:after="160" w:line="259" w:lineRule="auto"/>
          </w:pPr>
          <w:r>
            <w:t>New South Wales: 29%</w:t>
          </w:r>
          <w:r w:rsidR="00F141BB">
            <w:t xml:space="preserve"> (</w:t>
          </w:r>
          <w:r>
            <w:t>31%</w:t>
          </w:r>
          <w:r w:rsidR="00F141BB">
            <w:t>)</w:t>
          </w:r>
        </w:p>
        <w:p w14:paraId="2E8523AC" w14:textId="24D7417A" w:rsidR="00C4007B" w:rsidRDefault="00C4007B" w:rsidP="00C4007B">
          <w:pPr>
            <w:pStyle w:val="ListParagraph"/>
            <w:numPr>
              <w:ilvl w:val="0"/>
              <w:numId w:val="20"/>
            </w:numPr>
            <w:spacing w:before="0" w:after="160" w:line="259" w:lineRule="auto"/>
          </w:pPr>
          <w:r>
            <w:t>Victoria: 35%</w:t>
          </w:r>
          <w:r>
            <w:tab/>
          </w:r>
          <w:r w:rsidR="00F141BB">
            <w:t>(</w:t>
          </w:r>
          <w:r>
            <w:t>28%</w:t>
          </w:r>
          <w:r w:rsidR="00F141BB">
            <w:t>)</w:t>
          </w:r>
        </w:p>
        <w:p w14:paraId="44B6411B" w14:textId="2F20622B" w:rsidR="00C4007B" w:rsidRDefault="00C4007B" w:rsidP="00C4007B">
          <w:pPr>
            <w:pStyle w:val="ListParagraph"/>
            <w:numPr>
              <w:ilvl w:val="0"/>
              <w:numId w:val="20"/>
            </w:numPr>
            <w:spacing w:before="0" w:after="160" w:line="259" w:lineRule="auto"/>
          </w:pPr>
          <w:r>
            <w:t>Queensland: 8%</w:t>
          </w:r>
          <w:r w:rsidR="00F141BB">
            <w:t xml:space="preserve"> (</w:t>
          </w:r>
          <w:r>
            <w:t>22%</w:t>
          </w:r>
          <w:r w:rsidR="00F141BB">
            <w:t>)</w:t>
          </w:r>
        </w:p>
        <w:p w14:paraId="1EEC932C" w14:textId="2B4283FE" w:rsidR="00C4007B" w:rsidRDefault="00C4007B" w:rsidP="00C4007B">
          <w:pPr>
            <w:pStyle w:val="ListParagraph"/>
            <w:numPr>
              <w:ilvl w:val="0"/>
              <w:numId w:val="20"/>
            </w:numPr>
            <w:spacing w:before="0" w:after="160" w:line="259" w:lineRule="auto"/>
          </w:pPr>
          <w:r>
            <w:t>South Australia: 18%</w:t>
          </w:r>
          <w:r w:rsidR="00F141BB">
            <w:t xml:space="preserve"> (</w:t>
          </w:r>
          <w:r>
            <w:t>6%</w:t>
          </w:r>
          <w:r w:rsidR="00F141BB">
            <w:t>)</w:t>
          </w:r>
        </w:p>
        <w:p w14:paraId="74D6BF6B" w14:textId="6DA78175" w:rsidR="00C4007B" w:rsidRDefault="00C4007B" w:rsidP="00C4007B">
          <w:pPr>
            <w:pStyle w:val="ListParagraph"/>
            <w:numPr>
              <w:ilvl w:val="0"/>
              <w:numId w:val="20"/>
            </w:numPr>
            <w:spacing w:before="0" w:after="160" w:line="259" w:lineRule="auto"/>
          </w:pPr>
          <w:r>
            <w:t>Western Australia: 16%</w:t>
          </w:r>
          <w:r w:rsidR="00F141BB">
            <w:t xml:space="preserve"> (</w:t>
          </w:r>
          <w:r>
            <w:t>9%</w:t>
          </w:r>
          <w:r w:rsidR="00F141BB">
            <w:t>)</w:t>
          </w:r>
        </w:p>
        <w:p w14:paraId="6D7A742A" w14:textId="2DC41728" w:rsidR="00C4007B" w:rsidRDefault="00C4007B" w:rsidP="00C4007B">
          <w:pPr>
            <w:pStyle w:val="ListParagraph"/>
            <w:numPr>
              <w:ilvl w:val="0"/>
              <w:numId w:val="20"/>
            </w:numPr>
            <w:spacing w:before="0" w:after="160" w:line="259" w:lineRule="auto"/>
          </w:pPr>
          <w:r>
            <w:t>Tasmania: 4%</w:t>
          </w:r>
          <w:r w:rsidR="00F141BB">
            <w:t xml:space="preserve"> (</w:t>
          </w:r>
          <w:r>
            <w:t>3%</w:t>
          </w:r>
          <w:r w:rsidR="00F141BB">
            <w:t>)</w:t>
          </w:r>
        </w:p>
        <w:p w14:paraId="0DC758AF" w14:textId="5859FA96" w:rsidR="00C4007B" w:rsidRDefault="00C4007B" w:rsidP="00C4007B">
          <w:pPr>
            <w:pStyle w:val="ListParagraph"/>
            <w:numPr>
              <w:ilvl w:val="0"/>
              <w:numId w:val="20"/>
            </w:numPr>
            <w:spacing w:before="0" w:after="160" w:line="259" w:lineRule="auto"/>
          </w:pPr>
          <w:r>
            <w:t>Northern Territory: 0%</w:t>
          </w:r>
          <w:r w:rsidR="00F141BB">
            <w:t xml:space="preserve"> (</w:t>
          </w:r>
          <w:r>
            <w:t>1%</w:t>
          </w:r>
          <w:r w:rsidR="00F141BB">
            <w:t>)</w:t>
          </w:r>
        </w:p>
        <w:p w14:paraId="49029869" w14:textId="0E9BB2B6" w:rsidR="00D365DE" w:rsidRPr="009F3D7F" w:rsidRDefault="00C4007B" w:rsidP="00C4007B">
          <w:pPr>
            <w:pStyle w:val="ListParagraph"/>
            <w:numPr>
              <w:ilvl w:val="0"/>
              <w:numId w:val="20"/>
            </w:numPr>
            <w:spacing w:before="0" w:after="160" w:line="259" w:lineRule="auto"/>
          </w:pPr>
          <w:r>
            <w:t>ACT: 1%</w:t>
          </w:r>
          <w:r w:rsidR="00F141BB">
            <w:t xml:space="preserve"> (</w:t>
          </w:r>
          <w:r>
            <w:t>2%</w:t>
          </w:r>
          <w:r w:rsidR="00F141BB">
            <w:t>)</w:t>
          </w:r>
        </w:p>
        <w:p w14:paraId="7C4A022A" w14:textId="77777777" w:rsidR="00A32834" w:rsidRDefault="00A32834" w:rsidP="00BA5551">
          <w:pPr>
            <w:spacing w:after="160" w:line="259" w:lineRule="auto"/>
            <w:rPr>
              <w:rFonts w:eastAsia="SimSun" w:cs="Times New Roman"/>
              <w:bCs/>
              <w:color w:val="441D4A" w:themeColor="accent1" w:themeShade="80"/>
              <w:sz w:val="32"/>
              <w:szCs w:val="26"/>
              <w:lang w:eastAsia="zh-CN"/>
            </w:rPr>
          </w:pPr>
        </w:p>
        <w:p w14:paraId="20708A1D" w14:textId="04BDB15D" w:rsidR="00BA5551" w:rsidRPr="00BA5551" w:rsidRDefault="00BA5551" w:rsidP="00BA5551">
          <w:pPr>
            <w:spacing w:after="160" w:line="259" w:lineRule="auto"/>
            <w:rPr>
              <w:rFonts w:eastAsia="SimSun" w:cs="Times New Roman"/>
              <w:bCs/>
              <w:color w:val="441D4A" w:themeColor="accent1" w:themeShade="80"/>
              <w:sz w:val="32"/>
              <w:szCs w:val="26"/>
              <w:lang w:eastAsia="zh-CN"/>
            </w:rPr>
          </w:pPr>
          <w:r w:rsidRPr="00BA5551">
            <w:rPr>
              <w:rFonts w:eastAsia="SimSun" w:cs="Times New Roman"/>
              <w:bCs/>
              <w:color w:val="441D4A" w:themeColor="accent1" w:themeShade="80"/>
              <w:sz w:val="32"/>
              <w:szCs w:val="26"/>
              <w:lang w:eastAsia="zh-CN"/>
            </w:rPr>
            <w:t>International visitation</w:t>
          </w:r>
        </w:p>
        <w:p w14:paraId="0579652A" w14:textId="77777777" w:rsidR="002F1BF9" w:rsidRPr="002F1BF9" w:rsidRDefault="002F1BF9" w:rsidP="002F1BF9">
          <w:pPr>
            <w:spacing w:before="0" w:after="160" w:line="259" w:lineRule="auto"/>
          </w:pPr>
          <w:r w:rsidRPr="002F1BF9">
            <w:t xml:space="preserve">The top 5 international markets account for almost 1 in 2 international trips that include a visit to a winery (48%), and $1 in every $2 dollars spent on these trips. Visitors from the United Kingdom, Korea and the USA significantly contribute to the total expenditure for trips that include a visit to a winery. </w:t>
          </w:r>
        </w:p>
        <w:tbl>
          <w:tblPr>
            <w:tblStyle w:val="TableGrid"/>
            <w:tblW w:w="0" w:type="auto"/>
            <w:tblLook w:val="04A0" w:firstRow="1" w:lastRow="0" w:firstColumn="1" w:lastColumn="0" w:noHBand="0" w:noVBand="1"/>
          </w:tblPr>
          <w:tblGrid>
            <w:gridCol w:w="3218"/>
            <w:gridCol w:w="3218"/>
            <w:gridCol w:w="3218"/>
          </w:tblGrid>
          <w:tr w:rsidR="008D5624" w:rsidRPr="00DC6DE2" w14:paraId="6CDB151E" w14:textId="77777777" w:rsidTr="00462051">
            <w:trPr>
              <w:trHeight w:val="700"/>
              <w:tblHeader/>
            </w:trPr>
            <w:tc>
              <w:tcPr>
                <w:tcW w:w="3218" w:type="dxa"/>
                <w:shd w:val="clear" w:color="auto" w:fill="300050" w:themeFill="text2"/>
                <w:vAlign w:val="center"/>
              </w:tcPr>
              <w:p w14:paraId="053C252F" w14:textId="36C571A9" w:rsidR="008D5624" w:rsidRPr="00DC6DE2" w:rsidRDefault="008D5624" w:rsidP="008D5624">
                <w:pPr>
                  <w:rPr>
                    <w:b/>
                    <w:bCs/>
                    <w:color w:val="FFFFFF" w:themeColor="background1"/>
                  </w:rPr>
                </w:pPr>
              </w:p>
            </w:tc>
            <w:tc>
              <w:tcPr>
                <w:tcW w:w="3218" w:type="dxa"/>
                <w:shd w:val="clear" w:color="auto" w:fill="300050" w:themeFill="text2"/>
                <w:vAlign w:val="center"/>
              </w:tcPr>
              <w:p w14:paraId="6F6B41AE" w14:textId="3374823F" w:rsidR="008D5624" w:rsidRPr="00DC6DE2" w:rsidRDefault="008D5624" w:rsidP="008D5624">
                <w:pPr>
                  <w:rPr>
                    <w:b/>
                    <w:bCs/>
                    <w:color w:val="FFFFFF" w:themeColor="background1"/>
                  </w:rPr>
                </w:pPr>
                <w:r w:rsidRPr="008D5624">
                  <w:rPr>
                    <w:color w:val="FFFFFF" w:themeColor="background1"/>
                  </w:rPr>
                  <w:t>Trips</w:t>
                </w:r>
              </w:p>
            </w:tc>
            <w:tc>
              <w:tcPr>
                <w:tcW w:w="3218" w:type="dxa"/>
                <w:shd w:val="clear" w:color="auto" w:fill="300050" w:themeFill="text2"/>
                <w:vAlign w:val="center"/>
              </w:tcPr>
              <w:p w14:paraId="00C3A69A" w14:textId="268709B7" w:rsidR="008D5624" w:rsidRPr="00DC6DE2" w:rsidRDefault="008D5624" w:rsidP="008D5624">
                <w:pPr>
                  <w:rPr>
                    <w:b/>
                    <w:bCs/>
                    <w:color w:val="FFFFFF" w:themeColor="background1"/>
                  </w:rPr>
                </w:pPr>
                <w:r w:rsidRPr="008D5624">
                  <w:rPr>
                    <w:color w:val="FFFFFF" w:themeColor="background1"/>
                  </w:rPr>
                  <w:t>Total trip spend in Australia</w:t>
                </w:r>
              </w:p>
            </w:tc>
          </w:tr>
          <w:tr w:rsidR="008D5624" w:rsidRPr="00DC6DE2" w14:paraId="642795B4" w14:textId="77777777" w:rsidTr="00462051">
            <w:trPr>
              <w:trHeight w:val="700"/>
            </w:trPr>
            <w:tc>
              <w:tcPr>
                <w:tcW w:w="3218" w:type="dxa"/>
                <w:vAlign w:val="center"/>
              </w:tcPr>
              <w:p w14:paraId="2BC6226D" w14:textId="17A7CA0E" w:rsidR="008D5624" w:rsidRPr="00DC6DE2" w:rsidRDefault="008D5624" w:rsidP="008D5624">
                <w:pPr>
                  <w:spacing w:line="240" w:lineRule="auto"/>
                </w:pPr>
                <w:r w:rsidRPr="008D5624">
                  <w:t>United Kingdom</w:t>
                </w:r>
              </w:p>
            </w:tc>
            <w:tc>
              <w:tcPr>
                <w:tcW w:w="3218" w:type="dxa"/>
                <w:vAlign w:val="center"/>
              </w:tcPr>
              <w:p w14:paraId="6B237EA5" w14:textId="4DA6B995" w:rsidR="008D5624" w:rsidRPr="00DC6DE2" w:rsidRDefault="008D5624" w:rsidP="008D5624">
                <w:pPr>
                  <w:spacing w:line="240" w:lineRule="auto"/>
                </w:pPr>
                <w:r w:rsidRPr="008D5624">
                  <w:t>100,492</w:t>
                </w:r>
              </w:p>
            </w:tc>
            <w:tc>
              <w:tcPr>
                <w:tcW w:w="3218" w:type="dxa"/>
                <w:vAlign w:val="center"/>
              </w:tcPr>
              <w:p w14:paraId="4BBE71FB" w14:textId="4784FA59" w:rsidR="008D5624" w:rsidRPr="00DC6DE2" w:rsidRDefault="008D5624" w:rsidP="008D5624">
                <w:pPr>
                  <w:spacing w:line="240" w:lineRule="auto"/>
                </w:pPr>
                <w:r w:rsidRPr="008D5624">
                  <w:t>$435 million</w:t>
                </w:r>
              </w:p>
            </w:tc>
          </w:tr>
          <w:tr w:rsidR="008D5624" w:rsidRPr="00DC6DE2" w14:paraId="7ABC0CAD" w14:textId="77777777" w:rsidTr="00462051">
            <w:trPr>
              <w:trHeight w:val="700"/>
            </w:trPr>
            <w:tc>
              <w:tcPr>
                <w:tcW w:w="3218" w:type="dxa"/>
                <w:vAlign w:val="center"/>
              </w:tcPr>
              <w:p w14:paraId="5DA70D54" w14:textId="31ED556E" w:rsidR="008D5624" w:rsidRPr="00DC6DE2" w:rsidRDefault="008D5624" w:rsidP="008D5624">
                <w:pPr>
                  <w:spacing w:line="240" w:lineRule="auto"/>
                </w:pPr>
                <w:r w:rsidRPr="008D5624">
                  <w:t>Korea</w:t>
                </w:r>
              </w:p>
            </w:tc>
            <w:tc>
              <w:tcPr>
                <w:tcW w:w="3218" w:type="dxa"/>
                <w:vAlign w:val="center"/>
              </w:tcPr>
              <w:p w14:paraId="6CB741C7" w14:textId="26871CC4" w:rsidR="008D5624" w:rsidRPr="00DC6DE2" w:rsidRDefault="008D5624" w:rsidP="008D5624">
                <w:pPr>
                  <w:spacing w:line="240" w:lineRule="auto"/>
                </w:pPr>
                <w:r w:rsidRPr="008D5624">
                  <w:t>97,780</w:t>
                </w:r>
              </w:p>
            </w:tc>
            <w:tc>
              <w:tcPr>
                <w:tcW w:w="3218" w:type="dxa"/>
                <w:vAlign w:val="center"/>
              </w:tcPr>
              <w:p w14:paraId="4D636F92" w14:textId="1EF5C731" w:rsidR="008D5624" w:rsidRPr="00DC6DE2" w:rsidRDefault="008D5624" w:rsidP="008D5624">
                <w:pPr>
                  <w:spacing w:line="240" w:lineRule="auto"/>
                </w:pPr>
                <w:r w:rsidRPr="008D5624">
                  <w:t>$363 million</w:t>
                </w:r>
              </w:p>
            </w:tc>
          </w:tr>
          <w:tr w:rsidR="008D5624" w:rsidRPr="00DC6DE2" w14:paraId="34908845" w14:textId="77777777" w:rsidTr="00462051">
            <w:trPr>
              <w:trHeight w:val="700"/>
            </w:trPr>
            <w:tc>
              <w:tcPr>
                <w:tcW w:w="3218" w:type="dxa"/>
                <w:vAlign w:val="center"/>
              </w:tcPr>
              <w:p w14:paraId="1B3F447B" w14:textId="28D9DCF7" w:rsidR="008D5624" w:rsidRPr="00DC6DE2" w:rsidRDefault="008D5624" w:rsidP="008D5624">
                <w:pPr>
                  <w:spacing w:line="240" w:lineRule="auto"/>
                </w:pPr>
                <w:r w:rsidRPr="008D5624">
                  <w:t>Singapore</w:t>
                </w:r>
              </w:p>
            </w:tc>
            <w:tc>
              <w:tcPr>
                <w:tcW w:w="3218" w:type="dxa"/>
                <w:vAlign w:val="center"/>
              </w:tcPr>
              <w:p w14:paraId="6532F16E" w14:textId="6D7CE644" w:rsidR="008D5624" w:rsidRPr="00DC6DE2" w:rsidRDefault="008D5624" w:rsidP="008D5624">
                <w:pPr>
                  <w:spacing w:line="240" w:lineRule="auto"/>
                </w:pPr>
                <w:r w:rsidRPr="008D5624">
                  <w:t>71,757</w:t>
                </w:r>
              </w:p>
            </w:tc>
            <w:tc>
              <w:tcPr>
                <w:tcW w:w="3218" w:type="dxa"/>
                <w:vAlign w:val="center"/>
              </w:tcPr>
              <w:p w14:paraId="6E65057D" w14:textId="28A67288" w:rsidR="008D5624" w:rsidRPr="00DC6DE2" w:rsidRDefault="008D5624" w:rsidP="008D5624">
                <w:pPr>
                  <w:spacing w:line="240" w:lineRule="auto"/>
                </w:pPr>
                <w:r w:rsidRPr="008D5624">
                  <w:t>$185 million</w:t>
                </w:r>
              </w:p>
            </w:tc>
          </w:tr>
          <w:tr w:rsidR="008D5624" w:rsidRPr="00DC6DE2" w14:paraId="4FE5CAAD" w14:textId="77777777" w:rsidTr="00462051">
            <w:trPr>
              <w:trHeight w:val="700"/>
            </w:trPr>
            <w:tc>
              <w:tcPr>
                <w:tcW w:w="3218" w:type="dxa"/>
                <w:vAlign w:val="center"/>
              </w:tcPr>
              <w:p w14:paraId="27C87C49" w14:textId="3EFAFC9D" w:rsidR="008D5624" w:rsidRPr="00DC6DE2" w:rsidRDefault="008D5624" w:rsidP="008D5624">
                <w:pPr>
                  <w:spacing w:line="240" w:lineRule="auto"/>
                </w:pPr>
                <w:r w:rsidRPr="008D5624">
                  <w:t>United States of America</w:t>
                </w:r>
              </w:p>
            </w:tc>
            <w:tc>
              <w:tcPr>
                <w:tcW w:w="3218" w:type="dxa"/>
                <w:vAlign w:val="center"/>
              </w:tcPr>
              <w:p w14:paraId="5154BF5B" w14:textId="1DECBFA4" w:rsidR="008D5624" w:rsidRPr="00DC6DE2" w:rsidRDefault="008D5624" w:rsidP="008D5624">
                <w:pPr>
                  <w:spacing w:line="240" w:lineRule="auto"/>
                </w:pPr>
                <w:r w:rsidRPr="008D5624">
                  <w:t>65,255</w:t>
                </w:r>
              </w:p>
            </w:tc>
            <w:tc>
              <w:tcPr>
                <w:tcW w:w="3218" w:type="dxa"/>
                <w:vAlign w:val="center"/>
              </w:tcPr>
              <w:p w14:paraId="3B3DE0CC" w14:textId="495EE8E1" w:rsidR="008D5624" w:rsidRPr="00DC6DE2" w:rsidRDefault="008D5624" w:rsidP="008D5624">
                <w:pPr>
                  <w:spacing w:line="240" w:lineRule="auto"/>
                </w:pPr>
                <w:r w:rsidRPr="008D5624">
                  <w:t>$221 million</w:t>
                </w:r>
              </w:p>
            </w:tc>
          </w:tr>
          <w:tr w:rsidR="008D5624" w:rsidRPr="00DC6DE2" w14:paraId="1F3047D0" w14:textId="77777777" w:rsidTr="00462051">
            <w:trPr>
              <w:trHeight w:val="700"/>
            </w:trPr>
            <w:tc>
              <w:tcPr>
                <w:tcW w:w="3218" w:type="dxa"/>
                <w:vAlign w:val="center"/>
              </w:tcPr>
              <w:p w14:paraId="3D9D1D26" w14:textId="2806E3F5" w:rsidR="008D5624" w:rsidRPr="00DC6DE2" w:rsidRDefault="008D5624" w:rsidP="008D5624">
                <w:pPr>
                  <w:spacing w:line="240" w:lineRule="auto"/>
                </w:pPr>
                <w:r w:rsidRPr="008D5624">
                  <w:t>New Zealand</w:t>
                </w:r>
              </w:p>
            </w:tc>
            <w:tc>
              <w:tcPr>
                <w:tcW w:w="3218" w:type="dxa"/>
                <w:vAlign w:val="center"/>
              </w:tcPr>
              <w:p w14:paraId="4F740D86" w14:textId="36DB8329" w:rsidR="008D5624" w:rsidRPr="00DC6DE2" w:rsidRDefault="008D5624" w:rsidP="008D5624">
                <w:pPr>
                  <w:spacing w:line="240" w:lineRule="auto"/>
                </w:pPr>
                <w:r w:rsidRPr="008D5624">
                  <w:t>48,455</w:t>
                </w:r>
              </w:p>
            </w:tc>
            <w:tc>
              <w:tcPr>
                <w:tcW w:w="3218" w:type="dxa"/>
                <w:vAlign w:val="center"/>
              </w:tcPr>
              <w:p w14:paraId="3237BBE6" w14:textId="1FCEB640" w:rsidR="008D5624" w:rsidRPr="00DC6DE2" w:rsidRDefault="008D5624" w:rsidP="008D5624">
                <w:pPr>
                  <w:spacing w:line="240" w:lineRule="auto"/>
                </w:pPr>
                <w:r w:rsidRPr="008D5624">
                  <w:t>$134 million</w:t>
                </w:r>
              </w:p>
            </w:tc>
          </w:tr>
        </w:tbl>
        <w:p w14:paraId="3EBAEB54" w14:textId="27862E1E" w:rsidR="004970E0" w:rsidRPr="00DC6DE2" w:rsidRDefault="004970E0" w:rsidP="00831BB9">
          <w:pPr>
            <w:spacing w:before="0" w:after="160" w:line="259" w:lineRule="auto"/>
          </w:pPr>
        </w:p>
        <w:p w14:paraId="348D0652" w14:textId="77777777" w:rsidR="002F1BF9" w:rsidRDefault="002F1BF9">
          <w:pPr>
            <w:spacing w:before="0" w:after="160" w:line="259" w:lineRule="auto"/>
            <w:rPr>
              <w:rFonts w:eastAsia="SimSun" w:cs="Times New Roman"/>
              <w:bCs/>
              <w:color w:val="441D4A" w:themeColor="accent1" w:themeShade="80"/>
              <w:sz w:val="32"/>
              <w:szCs w:val="26"/>
              <w:lang w:eastAsia="zh-CN"/>
            </w:rPr>
          </w:pPr>
          <w:r>
            <w:br w:type="page"/>
          </w:r>
        </w:p>
        <w:p w14:paraId="196E52D3" w14:textId="5331B22B" w:rsidR="00556A2F" w:rsidRPr="00DC6DE2" w:rsidRDefault="00556A2F" w:rsidP="0051582E">
          <w:pPr>
            <w:pStyle w:val="Heading2"/>
          </w:pPr>
          <w:r w:rsidRPr="00DC6DE2">
            <w:lastRenderedPageBreak/>
            <w:t xml:space="preserve">Data </w:t>
          </w:r>
          <w:r w:rsidR="00032898" w:rsidRPr="00DC6DE2">
            <w:t>s</w:t>
          </w:r>
          <w:r w:rsidRPr="00DC6DE2">
            <w:t>ources</w:t>
          </w:r>
        </w:p>
      </w:sdtContent>
    </w:sdt>
    <w:p w14:paraId="45890013" w14:textId="77777777" w:rsidR="00F80030" w:rsidRPr="00F80030" w:rsidRDefault="00F80030" w:rsidP="00F80030">
      <w:pPr>
        <w:pStyle w:val="ListParagraph"/>
        <w:numPr>
          <w:ilvl w:val="0"/>
          <w:numId w:val="12"/>
        </w:numPr>
        <w:spacing w:after="160" w:line="278" w:lineRule="auto"/>
      </w:pPr>
      <w:r w:rsidRPr="00F80030">
        <w:t>Tourism Research Australia, International Visitor Survey (IVS)</w:t>
      </w:r>
    </w:p>
    <w:p w14:paraId="33D4A362" w14:textId="77777777" w:rsidR="00F80030" w:rsidRPr="00F80030" w:rsidRDefault="00F80030" w:rsidP="00F80030">
      <w:pPr>
        <w:pStyle w:val="ListParagraph"/>
        <w:numPr>
          <w:ilvl w:val="0"/>
          <w:numId w:val="12"/>
        </w:numPr>
        <w:spacing w:after="160" w:line="278" w:lineRule="auto"/>
      </w:pPr>
      <w:r w:rsidRPr="00F80030">
        <w:t>Tourism Research Australia, National Visitor Survey (NVS)</w:t>
      </w:r>
    </w:p>
    <w:p w14:paraId="7F8CAF34" w14:textId="622B3491" w:rsidR="00F80030" w:rsidRPr="00F80030" w:rsidRDefault="00F80030" w:rsidP="00F80030">
      <w:pPr>
        <w:spacing w:after="160" w:line="278" w:lineRule="auto"/>
      </w:pPr>
      <w:r w:rsidRPr="00F80030">
        <w:t xml:space="preserve">Data may not sum to 100% for all measures due to rounding and visitors can visit more than one location and/or experienced more than one activity. Updated </w:t>
      </w:r>
      <w:r>
        <w:t>November 2025</w:t>
      </w:r>
      <w:r w:rsidRPr="00F80030">
        <w:t xml:space="preserve">. </w:t>
      </w:r>
    </w:p>
    <w:p w14:paraId="532A5E77" w14:textId="77777777" w:rsidR="00F80030" w:rsidRPr="00F80030" w:rsidRDefault="00F80030" w:rsidP="00F80030">
      <w:pPr>
        <w:spacing w:after="160" w:line="278" w:lineRule="auto"/>
      </w:pPr>
      <w:r w:rsidRPr="00F80030">
        <w:t xml:space="preserve">Prepared by Tourism Research Australia, Australian Trade and Investment Commission (Austrade). Web: </w:t>
      </w:r>
      <w:hyperlink r:id="rId13" w:history="1">
        <w:r w:rsidRPr="00F80030">
          <w:rPr>
            <w:rStyle w:val="Hyperlink"/>
          </w:rPr>
          <w:t>www.tra.gov.au</w:t>
        </w:r>
      </w:hyperlink>
      <w:r w:rsidRPr="00F80030">
        <w:t xml:space="preserve">. Enquiries welcome at: </w:t>
      </w:r>
      <w:hyperlink r:id="rId14" w:history="1">
        <w:r w:rsidRPr="00F80030">
          <w:rPr>
            <w:rStyle w:val="Hyperlink"/>
          </w:rPr>
          <w:t>tourism.research@tra.gov.au</w:t>
        </w:r>
      </w:hyperlink>
      <w:r w:rsidRPr="00F80030">
        <w:t xml:space="preserve"> </w:t>
      </w:r>
    </w:p>
    <w:p w14:paraId="78E6EA69" w14:textId="400AAEF0" w:rsidR="004767E6" w:rsidRPr="00245E86" w:rsidRDefault="004767E6" w:rsidP="00F80030">
      <w:pPr>
        <w:spacing w:before="0" w:after="160" w:line="278" w:lineRule="auto"/>
      </w:pPr>
    </w:p>
    <w:sectPr w:rsidR="004767E6" w:rsidRPr="00245E86" w:rsidSect="00B55852">
      <w:headerReference w:type="even" r:id="rId15"/>
      <w:headerReference w:type="default" r:id="rId16"/>
      <w:footerReference w:type="even" r:id="rId17"/>
      <w:footerReference w:type="default" r:id="rId18"/>
      <w:headerReference w:type="first" r:id="rId19"/>
      <w:footerReference w:type="first" r:id="rId20"/>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1C81" w14:textId="77777777" w:rsidR="00C3354B" w:rsidRDefault="00C3354B" w:rsidP="007B0021">
      <w:r>
        <w:separator/>
      </w:r>
    </w:p>
    <w:p w14:paraId="6C7C46B2" w14:textId="77777777" w:rsidR="00C3354B" w:rsidRDefault="00C3354B" w:rsidP="007B0021"/>
  </w:endnote>
  <w:endnote w:type="continuationSeparator" w:id="0">
    <w:p w14:paraId="7F4A3777" w14:textId="77777777" w:rsidR="00C3354B" w:rsidRDefault="00C3354B" w:rsidP="007B0021">
      <w:r>
        <w:continuationSeparator/>
      </w:r>
    </w:p>
    <w:p w14:paraId="5D3EDAEC" w14:textId="77777777" w:rsidR="00C3354B" w:rsidRDefault="00C3354B" w:rsidP="007B0021"/>
  </w:endnote>
  <w:endnote w:type="continuationNotice" w:id="1">
    <w:p w14:paraId="685DEF96" w14:textId="77777777" w:rsidR="00C3354B" w:rsidRDefault="00C335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6B523554" w:rsidR="00710296" w:rsidRDefault="00710296">
    <w:pPr>
      <w:pStyle w:val="Footer"/>
    </w:pPr>
    <w:r>
      <w:rPr>
        <w:noProof/>
      </w:rPr>
      <mc:AlternateContent>
        <mc:Choice Requires="wps">
          <w:drawing>
            <wp:anchor distT="0" distB="0" distL="0" distR="0" simplePos="0" relativeHeight="251658242" behindDoc="0" locked="0" layoutInCell="1" allowOverlap="1" wp14:anchorId="4BD4D59F" wp14:editId="4ED3118B">
              <wp:simplePos x="635" y="635"/>
              <wp:positionH relativeFrom="page">
                <wp:align>center</wp:align>
              </wp:positionH>
              <wp:positionV relativeFrom="page">
                <wp:align>bottom</wp:align>
              </wp:positionV>
              <wp:extent cx="551815" cy="508000"/>
              <wp:effectExtent l="0" t="0" r="635" b="0"/>
              <wp:wrapNone/>
              <wp:docPr id="58812632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4D59F" id="_x0000_t202" coordsize="21600,21600" o:spt="202" path="m,l,21600r21600,l21600,xe">
              <v:stroke joinstyle="miter"/>
              <v:path gradientshapeok="t" o:connecttype="rect"/>
            </v:shapetype>
            <v:shape id="Text Box 1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TXDAIAABw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" filled="f" stroked="f">
              <v:textbox style="mso-fit-shape-to-text:t" inset="0,0,0,15pt">
                <w:txbxContent>
                  <w:p w14:paraId="1872D669" w14:textId="089835DE"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09EB" w14:textId="43046C8F" w:rsidR="00710296"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9563" w14:textId="77777777" w:rsidR="00497858" w:rsidRDefault="00497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94B" w14:textId="77777777" w:rsidR="00C3354B" w:rsidRDefault="00C3354B" w:rsidP="007B0021">
      <w:r>
        <w:separator/>
      </w:r>
    </w:p>
    <w:p w14:paraId="7EA3B29A" w14:textId="77777777" w:rsidR="00C3354B" w:rsidRDefault="00C3354B" w:rsidP="007B0021"/>
  </w:footnote>
  <w:footnote w:type="continuationSeparator" w:id="0">
    <w:p w14:paraId="66BAE4B5" w14:textId="77777777" w:rsidR="00C3354B" w:rsidRDefault="00C3354B" w:rsidP="007B0021">
      <w:r>
        <w:continuationSeparator/>
      </w:r>
    </w:p>
    <w:p w14:paraId="2AE4E98B" w14:textId="77777777" w:rsidR="00C3354B" w:rsidRDefault="00C3354B" w:rsidP="007B0021"/>
  </w:footnote>
  <w:footnote w:type="continuationNotice" w:id="1">
    <w:p w14:paraId="78437A6F" w14:textId="77777777" w:rsidR="00C3354B" w:rsidRDefault="00C335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50BC94C2" w:rsidR="00710296" w:rsidRDefault="00710296">
    <w:pPr>
      <w:pStyle w:val="Header"/>
    </w:pPr>
    <w:r>
      <w:rPr>
        <w:noProof/>
      </w:rPr>
      <mc:AlternateContent>
        <mc:Choice Requires="wps">
          <w:drawing>
            <wp:anchor distT="0" distB="0" distL="0" distR="0" simplePos="0" relativeHeight="251658241" behindDoc="0" locked="0" layoutInCell="1" allowOverlap="1" wp14:anchorId="6DA3B2B6" wp14:editId="3FF01E81">
              <wp:simplePos x="635" y="635"/>
              <wp:positionH relativeFrom="page">
                <wp:align>center</wp:align>
              </wp:positionH>
              <wp:positionV relativeFrom="page">
                <wp:align>top</wp:align>
              </wp:positionV>
              <wp:extent cx="551815" cy="508000"/>
              <wp:effectExtent l="0" t="0" r="635" b="6350"/>
              <wp:wrapNone/>
              <wp:docPr id="17609789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3B2B6" id="_x0000_t202" coordsize="21600,21600" o:spt="202" path="m,l,21600r21600,l21600,xe">
              <v:stroke joinstyle="miter"/>
              <v:path gradientshapeok="t" o:connecttype="rect"/>
            </v:shapetype>
            <v:shape id="Text Box 7"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6471BB69" w14:textId="7A2F976A"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EFD" w14:textId="2F686028" w:rsidR="00497858" w:rsidRDefault="00497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3CA0AD9C" w:rsidR="003A58AB" w:rsidRDefault="00710296" w:rsidP="007B0021">
    <w:pPr>
      <w:pStyle w:val="Header"/>
    </w:pPr>
    <w:r>
      <w:rPr>
        <w:noProof/>
      </w:rPr>
      <mc:AlternateContent>
        <mc:Choice Requires="wps">
          <w:drawing>
            <wp:anchor distT="0" distB="0" distL="0" distR="0" simplePos="0" relativeHeight="251658240" behindDoc="0" locked="0" layoutInCell="1" allowOverlap="1" wp14:anchorId="7B311262" wp14:editId="03D78253">
              <wp:simplePos x="635" y="635"/>
              <wp:positionH relativeFrom="page">
                <wp:align>center</wp:align>
              </wp:positionH>
              <wp:positionV relativeFrom="page">
                <wp:align>top</wp:align>
              </wp:positionV>
              <wp:extent cx="551815" cy="508000"/>
              <wp:effectExtent l="0" t="0" r="635" b="6350"/>
              <wp:wrapNone/>
              <wp:docPr id="20840306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1262"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ySSJQ0CAAAcBAAA&#10;DgAAAAAAAAAAAAAAAAAuAgAAZHJzL2Uyb0RvYy54bWxQSwECLQAUAAYACAAAACEAzWwmhNkAAAAD&#10;AQAADwAAAAAAAAAAAAAAAABnBAAAZHJzL2Rvd25yZXYueG1sUEsFBgAAAAAEAAQA8wAAAG0FAAAA&#10;AA==&#10;" filled="f" stroked="f">
              <v:textbox style="mso-fit-shape-to-text:t" inset="0,15pt,0,0">
                <w:txbxContent>
                  <w:p w14:paraId="1CE421FE" w14:textId="76F8BD26" w:rsidR="00710296" w:rsidRPr="00710296" w:rsidRDefault="00710296" w:rsidP="00710296">
                    <w:pPr>
                      <w:spacing w:after="0"/>
                      <w:rPr>
                        <w:rFonts w:ascii="Calibri" w:eastAsia="Calibri" w:hAnsi="Calibri" w:cs="Calibri"/>
                        <w:noProof/>
                        <w:color w:val="FF0000"/>
                        <w:sz w:val="24"/>
                        <w:szCs w:val="24"/>
                      </w:rPr>
                    </w:pPr>
                    <w:r w:rsidRPr="00710296">
                      <w:rPr>
                        <w:rFonts w:ascii="Calibri" w:eastAsia="Calibri" w:hAnsi="Calibri" w:cs="Calibri"/>
                        <w:noProof/>
                        <w:color w:val="FF0000"/>
                        <w:sz w:val="24"/>
                        <w:szCs w:val="24"/>
                      </w:rPr>
                      <w:t>OFFICIAL</w:t>
                    </w:r>
                  </w:p>
                </w:txbxContent>
              </v:textbox>
              <w10:wrap anchorx="page" anchory="page"/>
            </v:shape>
          </w:pict>
        </mc:Fallback>
      </mc:AlternateContent>
    </w:r>
  </w:p>
  <w:p w14:paraId="42260FC9" w14:textId="77777777"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92A"/>
    <w:multiLevelType w:val="hybridMultilevel"/>
    <w:tmpl w:val="93CC785A"/>
    <w:lvl w:ilvl="0" w:tplc="A2BC920C">
      <w:start w:val="1"/>
      <w:numFmt w:val="bullet"/>
      <w:lvlText w:val=""/>
      <w:lvlJc w:val="left"/>
      <w:pPr>
        <w:tabs>
          <w:tab w:val="num" w:pos="720"/>
        </w:tabs>
        <w:ind w:left="720" w:hanging="360"/>
      </w:pPr>
      <w:rPr>
        <w:rFonts w:ascii="Wingdings" w:hAnsi="Wingdings" w:hint="default"/>
      </w:rPr>
    </w:lvl>
    <w:lvl w:ilvl="1" w:tplc="4698C8CA" w:tentative="1">
      <w:start w:val="1"/>
      <w:numFmt w:val="bullet"/>
      <w:lvlText w:val=""/>
      <w:lvlJc w:val="left"/>
      <w:pPr>
        <w:tabs>
          <w:tab w:val="num" w:pos="1440"/>
        </w:tabs>
        <w:ind w:left="1440" w:hanging="360"/>
      </w:pPr>
      <w:rPr>
        <w:rFonts w:ascii="Wingdings" w:hAnsi="Wingdings" w:hint="default"/>
      </w:rPr>
    </w:lvl>
    <w:lvl w:ilvl="2" w:tplc="7082A066" w:tentative="1">
      <w:start w:val="1"/>
      <w:numFmt w:val="bullet"/>
      <w:lvlText w:val=""/>
      <w:lvlJc w:val="left"/>
      <w:pPr>
        <w:tabs>
          <w:tab w:val="num" w:pos="2160"/>
        </w:tabs>
        <w:ind w:left="2160" w:hanging="360"/>
      </w:pPr>
      <w:rPr>
        <w:rFonts w:ascii="Wingdings" w:hAnsi="Wingdings" w:hint="default"/>
      </w:rPr>
    </w:lvl>
    <w:lvl w:ilvl="3" w:tplc="EA6CD74C" w:tentative="1">
      <w:start w:val="1"/>
      <w:numFmt w:val="bullet"/>
      <w:lvlText w:val=""/>
      <w:lvlJc w:val="left"/>
      <w:pPr>
        <w:tabs>
          <w:tab w:val="num" w:pos="2880"/>
        </w:tabs>
        <w:ind w:left="2880" w:hanging="360"/>
      </w:pPr>
      <w:rPr>
        <w:rFonts w:ascii="Wingdings" w:hAnsi="Wingdings" w:hint="default"/>
      </w:rPr>
    </w:lvl>
    <w:lvl w:ilvl="4" w:tplc="FFE831A6" w:tentative="1">
      <w:start w:val="1"/>
      <w:numFmt w:val="bullet"/>
      <w:lvlText w:val=""/>
      <w:lvlJc w:val="left"/>
      <w:pPr>
        <w:tabs>
          <w:tab w:val="num" w:pos="3600"/>
        </w:tabs>
        <w:ind w:left="3600" w:hanging="360"/>
      </w:pPr>
      <w:rPr>
        <w:rFonts w:ascii="Wingdings" w:hAnsi="Wingdings" w:hint="default"/>
      </w:rPr>
    </w:lvl>
    <w:lvl w:ilvl="5" w:tplc="FC2CC2F0" w:tentative="1">
      <w:start w:val="1"/>
      <w:numFmt w:val="bullet"/>
      <w:lvlText w:val=""/>
      <w:lvlJc w:val="left"/>
      <w:pPr>
        <w:tabs>
          <w:tab w:val="num" w:pos="4320"/>
        </w:tabs>
        <w:ind w:left="4320" w:hanging="360"/>
      </w:pPr>
      <w:rPr>
        <w:rFonts w:ascii="Wingdings" w:hAnsi="Wingdings" w:hint="default"/>
      </w:rPr>
    </w:lvl>
    <w:lvl w:ilvl="6" w:tplc="21F4F53E" w:tentative="1">
      <w:start w:val="1"/>
      <w:numFmt w:val="bullet"/>
      <w:lvlText w:val=""/>
      <w:lvlJc w:val="left"/>
      <w:pPr>
        <w:tabs>
          <w:tab w:val="num" w:pos="5040"/>
        </w:tabs>
        <w:ind w:left="5040" w:hanging="360"/>
      </w:pPr>
      <w:rPr>
        <w:rFonts w:ascii="Wingdings" w:hAnsi="Wingdings" w:hint="default"/>
      </w:rPr>
    </w:lvl>
    <w:lvl w:ilvl="7" w:tplc="D99A6070" w:tentative="1">
      <w:start w:val="1"/>
      <w:numFmt w:val="bullet"/>
      <w:lvlText w:val=""/>
      <w:lvlJc w:val="left"/>
      <w:pPr>
        <w:tabs>
          <w:tab w:val="num" w:pos="5760"/>
        </w:tabs>
        <w:ind w:left="5760" w:hanging="360"/>
      </w:pPr>
      <w:rPr>
        <w:rFonts w:ascii="Wingdings" w:hAnsi="Wingdings" w:hint="default"/>
      </w:rPr>
    </w:lvl>
    <w:lvl w:ilvl="8" w:tplc="285844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26BCB"/>
    <w:multiLevelType w:val="hybridMultilevel"/>
    <w:tmpl w:val="15AA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6167DB"/>
    <w:multiLevelType w:val="hybridMultilevel"/>
    <w:tmpl w:val="6670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84EFC"/>
    <w:multiLevelType w:val="hybridMultilevel"/>
    <w:tmpl w:val="B7561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A6F01"/>
    <w:multiLevelType w:val="hybridMultilevel"/>
    <w:tmpl w:val="8986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B0074"/>
    <w:multiLevelType w:val="hybridMultilevel"/>
    <w:tmpl w:val="FE803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D433DD"/>
    <w:multiLevelType w:val="hybridMultilevel"/>
    <w:tmpl w:val="E9121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3B612A"/>
    <w:multiLevelType w:val="hybridMultilevel"/>
    <w:tmpl w:val="ADECB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B29F4"/>
    <w:multiLevelType w:val="hybridMultilevel"/>
    <w:tmpl w:val="60D40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5C3AAB"/>
    <w:multiLevelType w:val="hybridMultilevel"/>
    <w:tmpl w:val="CCA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77582DCD"/>
    <w:multiLevelType w:val="hybridMultilevel"/>
    <w:tmpl w:val="8BC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8652D9"/>
    <w:multiLevelType w:val="hybridMultilevel"/>
    <w:tmpl w:val="43CC5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D77DED"/>
    <w:multiLevelType w:val="hybridMultilevel"/>
    <w:tmpl w:val="9912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9639102">
    <w:abstractNumId w:val="10"/>
  </w:num>
  <w:num w:numId="2" w16cid:durableId="784662544">
    <w:abstractNumId w:val="11"/>
  </w:num>
  <w:num w:numId="3" w16cid:durableId="1442451738">
    <w:abstractNumId w:val="11"/>
    <w:lvlOverride w:ilvl="0">
      <w:startOverride w:val="1"/>
    </w:lvlOverride>
  </w:num>
  <w:num w:numId="4" w16cid:durableId="1562522304">
    <w:abstractNumId w:val="11"/>
    <w:lvlOverride w:ilvl="0">
      <w:startOverride w:val="1"/>
    </w:lvlOverride>
  </w:num>
  <w:num w:numId="5" w16cid:durableId="1125929345">
    <w:abstractNumId w:val="11"/>
    <w:lvlOverride w:ilvl="0">
      <w:startOverride w:val="1"/>
    </w:lvlOverride>
  </w:num>
  <w:num w:numId="6" w16cid:durableId="641621793">
    <w:abstractNumId w:val="8"/>
  </w:num>
  <w:num w:numId="7" w16cid:durableId="2117015349">
    <w:abstractNumId w:val="14"/>
  </w:num>
  <w:num w:numId="8" w16cid:durableId="116532335">
    <w:abstractNumId w:val="13"/>
  </w:num>
  <w:num w:numId="9" w16cid:durableId="977108127">
    <w:abstractNumId w:val="9"/>
  </w:num>
  <w:num w:numId="10" w16cid:durableId="1002902481">
    <w:abstractNumId w:val="15"/>
  </w:num>
  <w:num w:numId="11" w16cid:durableId="24604670">
    <w:abstractNumId w:val="7"/>
  </w:num>
  <w:num w:numId="12" w16cid:durableId="620309957">
    <w:abstractNumId w:val="2"/>
  </w:num>
  <w:num w:numId="13" w16cid:durableId="472135010">
    <w:abstractNumId w:val="5"/>
  </w:num>
  <w:num w:numId="14" w16cid:durableId="1840585057">
    <w:abstractNumId w:val="12"/>
  </w:num>
  <w:num w:numId="15" w16cid:durableId="626007981">
    <w:abstractNumId w:val="17"/>
  </w:num>
  <w:num w:numId="16" w16cid:durableId="600911578">
    <w:abstractNumId w:val="1"/>
  </w:num>
  <w:num w:numId="17" w16cid:durableId="916743401">
    <w:abstractNumId w:val="3"/>
  </w:num>
  <w:num w:numId="18" w16cid:durableId="1780444892">
    <w:abstractNumId w:val="6"/>
  </w:num>
  <w:num w:numId="19" w16cid:durableId="197164076">
    <w:abstractNumId w:val="16"/>
  </w:num>
  <w:num w:numId="20" w16cid:durableId="357857402">
    <w:abstractNumId w:val="4"/>
  </w:num>
  <w:num w:numId="21" w16cid:durableId="63197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15F40"/>
    <w:rsid w:val="0002743F"/>
    <w:rsid w:val="00032898"/>
    <w:rsid w:val="00040EAC"/>
    <w:rsid w:val="000464FD"/>
    <w:rsid w:val="0004656A"/>
    <w:rsid w:val="000C16AB"/>
    <w:rsid w:val="000D1CBD"/>
    <w:rsid w:val="000E1AAE"/>
    <w:rsid w:val="000E7E86"/>
    <w:rsid w:val="000F7853"/>
    <w:rsid w:val="001036A0"/>
    <w:rsid w:val="001136DD"/>
    <w:rsid w:val="00117092"/>
    <w:rsid w:val="0012425F"/>
    <w:rsid w:val="00125CD3"/>
    <w:rsid w:val="00127F35"/>
    <w:rsid w:val="00131FB1"/>
    <w:rsid w:val="001325A7"/>
    <w:rsid w:val="00141E98"/>
    <w:rsid w:val="00147D40"/>
    <w:rsid w:val="0015714A"/>
    <w:rsid w:val="00164B77"/>
    <w:rsid w:val="00173341"/>
    <w:rsid w:val="00183881"/>
    <w:rsid w:val="00190CBA"/>
    <w:rsid w:val="00191628"/>
    <w:rsid w:val="00195285"/>
    <w:rsid w:val="001B0BDD"/>
    <w:rsid w:val="001C2ECD"/>
    <w:rsid w:val="001D59B7"/>
    <w:rsid w:val="001D6AC0"/>
    <w:rsid w:val="001E186F"/>
    <w:rsid w:val="001F603E"/>
    <w:rsid w:val="00243074"/>
    <w:rsid w:val="00243F5F"/>
    <w:rsid w:val="00245E86"/>
    <w:rsid w:val="00250BF1"/>
    <w:rsid w:val="00253226"/>
    <w:rsid w:val="002535CA"/>
    <w:rsid w:val="00261F28"/>
    <w:rsid w:val="002749C0"/>
    <w:rsid w:val="002801EE"/>
    <w:rsid w:val="0028112D"/>
    <w:rsid w:val="00282C92"/>
    <w:rsid w:val="0028696F"/>
    <w:rsid w:val="0029071D"/>
    <w:rsid w:val="002A2497"/>
    <w:rsid w:val="002A642B"/>
    <w:rsid w:val="002C0183"/>
    <w:rsid w:val="002C0D1B"/>
    <w:rsid w:val="002C1F51"/>
    <w:rsid w:val="002C44C9"/>
    <w:rsid w:val="002D32DF"/>
    <w:rsid w:val="002D6853"/>
    <w:rsid w:val="002D7561"/>
    <w:rsid w:val="002E1BC7"/>
    <w:rsid w:val="002E309C"/>
    <w:rsid w:val="002E7D8B"/>
    <w:rsid w:val="002F1BF9"/>
    <w:rsid w:val="002F27AE"/>
    <w:rsid w:val="0030019E"/>
    <w:rsid w:val="00306832"/>
    <w:rsid w:val="00321E47"/>
    <w:rsid w:val="00322218"/>
    <w:rsid w:val="00326B31"/>
    <w:rsid w:val="00334D1D"/>
    <w:rsid w:val="003513F9"/>
    <w:rsid w:val="00376FCE"/>
    <w:rsid w:val="003873A3"/>
    <w:rsid w:val="00387CA6"/>
    <w:rsid w:val="00390F9A"/>
    <w:rsid w:val="00395673"/>
    <w:rsid w:val="003976B8"/>
    <w:rsid w:val="003A4CF8"/>
    <w:rsid w:val="003A58AB"/>
    <w:rsid w:val="003A5910"/>
    <w:rsid w:val="003C3B0A"/>
    <w:rsid w:val="003C4299"/>
    <w:rsid w:val="003D0704"/>
    <w:rsid w:val="003D65E7"/>
    <w:rsid w:val="003D7D47"/>
    <w:rsid w:val="003E38E3"/>
    <w:rsid w:val="003E4598"/>
    <w:rsid w:val="003E5497"/>
    <w:rsid w:val="003F28F9"/>
    <w:rsid w:val="003F54BC"/>
    <w:rsid w:val="00406378"/>
    <w:rsid w:val="00406EA3"/>
    <w:rsid w:val="00407E1D"/>
    <w:rsid w:val="004122E0"/>
    <w:rsid w:val="00414084"/>
    <w:rsid w:val="00422824"/>
    <w:rsid w:val="0042769C"/>
    <w:rsid w:val="0043062E"/>
    <w:rsid w:val="0043327B"/>
    <w:rsid w:val="00435707"/>
    <w:rsid w:val="00444376"/>
    <w:rsid w:val="004443C2"/>
    <w:rsid w:val="00447912"/>
    <w:rsid w:val="00451847"/>
    <w:rsid w:val="0045192E"/>
    <w:rsid w:val="0045276E"/>
    <w:rsid w:val="00460A41"/>
    <w:rsid w:val="00462051"/>
    <w:rsid w:val="004767E6"/>
    <w:rsid w:val="00477832"/>
    <w:rsid w:val="00484664"/>
    <w:rsid w:val="00491D79"/>
    <w:rsid w:val="004947A1"/>
    <w:rsid w:val="004970E0"/>
    <w:rsid w:val="00497858"/>
    <w:rsid w:val="004A075C"/>
    <w:rsid w:val="004B1007"/>
    <w:rsid w:val="004B375B"/>
    <w:rsid w:val="004B44BA"/>
    <w:rsid w:val="004B6478"/>
    <w:rsid w:val="004B798E"/>
    <w:rsid w:val="004C2005"/>
    <w:rsid w:val="004C6441"/>
    <w:rsid w:val="004C6B64"/>
    <w:rsid w:val="004D06AF"/>
    <w:rsid w:val="004D6F59"/>
    <w:rsid w:val="004F414C"/>
    <w:rsid w:val="00501469"/>
    <w:rsid w:val="00506963"/>
    <w:rsid w:val="0051582E"/>
    <w:rsid w:val="005202C7"/>
    <w:rsid w:val="0054133D"/>
    <w:rsid w:val="00550CB6"/>
    <w:rsid w:val="00556A2F"/>
    <w:rsid w:val="00561542"/>
    <w:rsid w:val="00567426"/>
    <w:rsid w:val="00571BDC"/>
    <w:rsid w:val="00591CC3"/>
    <w:rsid w:val="005A6F23"/>
    <w:rsid w:val="005B1A33"/>
    <w:rsid w:val="005B6B23"/>
    <w:rsid w:val="005C223D"/>
    <w:rsid w:val="005C4528"/>
    <w:rsid w:val="005D05B4"/>
    <w:rsid w:val="005D3E5E"/>
    <w:rsid w:val="005E4421"/>
    <w:rsid w:val="005E66BC"/>
    <w:rsid w:val="005F06FD"/>
    <w:rsid w:val="006211DC"/>
    <w:rsid w:val="00631637"/>
    <w:rsid w:val="0063625B"/>
    <w:rsid w:val="00641416"/>
    <w:rsid w:val="00643151"/>
    <w:rsid w:val="0065148D"/>
    <w:rsid w:val="00651BD8"/>
    <w:rsid w:val="00654397"/>
    <w:rsid w:val="00664683"/>
    <w:rsid w:val="0067299A"/>
    <w:rsid w:val="0068022B"/>
    <w:rsid w:val="00694AAD"/>
    <w:rsid w:val="00696F9E"/>
    <w:rsid w:val="006A1565"/>
    <w:rsid w:val="006A2C38"/>
    <w:rsid w:val="006B76FB"/>
    <w:rsid w:val="006C35D7"/>
    <w:rsid w:val="006D4C12"/>
    <w:rsid w:val="006E5730"/>
    <w:rsid w:val="006E74C7"/>
    <w:rsid w:val="006F7525"/>
    <w:rsid w:val="00710296"/>
    <w:rsid w:val="00741836"/>
    <w:rsid w:val="0074216D"/>
    <w:rsid w:val="00745429"/>
    <w:rsid w:val="007514FC"/>
    <w:rsid w:val="00772F73"/>
    <w:rsid w:val="00774485"/>
    <w:rsid w:val="00776A9A"/>
    <w:rsid w:val="00776C58"/>
    <w:rsid w:val="0078435A"/>
    <w:rsid w:val="007A0FC3"/>
    <w:rsid w:val="007A712D"/>
    <w:rsid w:val="007B0021"/>
    <w:rsid w:val="007B7335"/>
    <w:rsid w:val="007C20C0"/>
    <w:rsid w:val="007E4DAD"/>
    <w:rsid w:val="007F49B4"/>
    <w:rsid w:val="007F7CED"/>
    <w:rsid w:val="008061CC"/>
    <w:rsid w:val="00816916"/>
    <w:rsid w:val="00831BB9"/>
    <w:rsid w:val="00832501"/>
    <w:rsid w:val="008407EC"/>
    <w:rsid w:val="008514EC"/>
    <w:rsid w:val="00857A0A"/>
    <w:rsid w:val="00862E61"/>
    <w:rsid w:val="00865233"/>
    <w:rsid w:val="0087377B"/>
    <w:rsid w:val="0087477C"/>
    <w:rsid w:val="008751B3"/>
    <w:rsid w:val="00877D9B"/>
    <w:rsid w:val="008837CE"/>
    <w:rsid w:val="008900C1"/>
    <w:rsid w:val="0089138E"/>
    <w:rsid w:val="008A4AEF"/>
    <w:rsid w:val="008A5621"/>
    <w:rsid w:val="008A5795"/>
    <w:rsid w:val="008B1442"/>
    <w:rsid w:val="008B6033"/>
    <w:rsid w:val="008B74F6"/>
    <w:rsid w:val="008C186F"/>
    <w:rsid w:val="008C39BC"/>
    <w:rsid w:val="008C6636"/>
    <w:rsid w:val="008D5624"/>
    <w:rsid w:val="008E64E3"/>
    <w:rsid w:val="008F4FD7"/>
    <w:rsid w:val="00904581"/>
    <w:rsid w:val="00905310"/>
    <w:rsid w:val="00921435"/>
    <w:rsid w:val="009258E1"/>
    <w:rsid w:val="0092648B"/>
    <w:rsid w:val="00936493"/>
    <w:rsid w:val="00942FCB"/>
    <w:rsid w:val="00944327"/>
    <w:rsid w:val="0094463A"/>
    <w:rsid w:val="0094560D"/>
    <w:rsid w:val="00945D44"/>
    <w:rsid w:val="00950D79"/>
    <w:rsid w:val="00951286"/>
    <w:rsid w:val="0096640D"/>
    <w:rsid w:val="00972855"/>
    <w:rsid w:val="0098379B"/>
    <w:rsid w:val="00986BBD"/>
    <w:rsid w:val="009873AB"/>
    <w:rsid w:val="00990F4E"/>
    <w:rsid w:val="00991D88"/>
    <w:rsid w:val="00996B27"/>
    <w:rsid w:val="009C307E"/>
    <w:rsid w:val="009C5C61"/>
    <w:rsid w:val="009D6B24"/>
    <w:rsid w:val="009D70B3"/>
    <w:rsid w:val="009D79DC"/>
    <w:rsid w:val="009E1D4B"/>
    <w:rsid w:val="009E6DB3"/>
    <w:rsid w:val="009F1E8A"/>
    <w:rsid w:val="009F3D7F"/>
    <w:rsid w:val="009F61B6"/>
    <w:rsid w:val="00A00806"/>
    <w:rsid w:val="00A01C07"/>
    <w:rsid w:val="00A32834"/>
    <w:rsid w:val="00A3533E"/>
    <w:rsid w:val="00A46D3B"/>
    <w:rsid w:val="00A647F4"/>
    <w:rsid w:val="00A64F58"/>
    <w:rsid w:val="00A80680"/>
    <w:rsid w:val="00A8069B"/>
    <w:rsid w:val="00A922DE"/>
    <w:rsid w:val="00AC0F96"/>
    <w:rsid w:val="00AC40CD"/>
    <w:rsid w:val="00AC6373"/>
    <w:rsid w:val="00AD6A63"/>
    <w:rsid w:val="00AE3D08"/>
    <w:rsid w:val="00AE5A0C"/>
    <w:rsid w:val="00B02202"/>
    <w:rsid w:val="00B06503"/>
    <w:rsid w:val="00B123FA"/>
    <w:rsid w:val="00B44505"/>
    <w:rsid w:val="00B513FC"/>
    <w:rsid w:val="00B54801"/>
    <w:rsid w:val="00B55852"/>
    <w:rsid w:val="00B85748"/>
    <w:rsid w:val="00B96CEF"/>
    <w:rsid w:val="00BA48E9"/>
    <w:rsid w:val="00BA5551"/>
    <w:rsid w:val="00BA5B82"/>
    <w:rsid w:val="00BA7FE0"/>
    <w:rsid w:val="00BB4E5F"/>
    <w:rsid w:val="00BC5C77"/>
    <w:rsid w:val="00BD576A"/>
    <w:rsid w:val="00BE1C64"/>
    <w:rsid w:val="00BF7E9C"/>
    <w:rsid w:val="00C06C20"/>
    <w:rsid w:val="00C11D49"/>
    <w:rsid w:val="00C16373"/>
    <w:rsid w:val="00C230A2"/>
    <w:rsid w:val="00C279D9"/>
    <w:rsid w:val="00C27BF9"/>
    <w:rsid w:val="00C3141D"/>
    <w:rsid w:val="00C3354B"/>
    <w:rsid w:val="00C366AC"/>
    <w:rsid w:val="00C4007B"/>
    <w:rsid w:val="00C412DE"/>
    <w:rsid w:val="00C438FA"/>
    <w:rsid w:val="00C44557"/>
    <w:rsid w:val="00C455DA"/>
    <w:rsid w:val="00C5088E"/>
    <w:rsid w:val="00C52FDE"/>
    <w:rsid w:val="00C55748"/>
    <w:rsid w:val="00C77C4B"/>
    <w:rsid w:val="00CA1497"/>
    <w:rsid w:val="00CB0682"/>
    <w:rsid w:val="00CC57CE"/>
    <w:rsid w:val="00CD0CE5"/>
    <w:rsid w:val="00CD1BE3"/>
    <w:rsid w:val="00CD5098"/>
    <w:rsid w:val="00CE3E6C"/>
    <w:rsid w:val="00CF4F9D"/>
    <w:rsid w:val="00CF5887"/>
    <w:rsid w:val="00D01F4A"/>
    <w:rsid w:val="00D05983"/>
    <w:rsid w:val="00D2336F"/>
    <w:rsid w:val="00D25DC7"/>
    <w:rsid w:val="00D329F0"/>
    <w:rsid w:val="00D350E2"/>
    <w:rsid w:val="00D365DE"/>
    <w:rsid w:val="00D379EB"/>
    <w:rsid w:val="00D41673"/>
    <w:rsid w:val="00D43305"/>
    <w:rsid w:val="00D47636"/>
    <w:rsid w:val="00D66695"/>
    <w:rsid w:val="00D76AE4"/>
    <w:rsid w:val="00D83142"/>
    <w:rsid w:val="00D838CF"/>
    <w:rsid w:val="00D871C3"/>
    <w:rsid w:val="00D93830"/>
    <w:rsid w:val="00D9770B"/>
    <w:rsid w:val="00DA7D34"/>
    <w:rsid w:val="00DB0230"/>
    <w:rsid w:val="00DB215C"/>
    <w:rsid w:val="00DB21A7"/>
    <w:rsid w:val="00DB42F4"/>
    <w:rsid w:val="00DC23E6"/>
    <w:rsid w:val="00DC6DE2"/>
    <w:rsid w:val="00DD05D7"/>
    <w:rsid w:val="00DD0A99"/>
    <w:rsid w:val="00DE31B4"/>
    <w:rsid w:val="00DE6F87"/>
    <w:rsid w:val="00DE7F3C"/>
    <w:rsid w:val="00DF600D"/>
    <w:rsid w:val="00E119C4"/>
    <w:rsid w:val="00E11CE5"/>
    <w:rsid w:val="00E134D2"/>
    <w:rsid w:val="00E21AB9"/>
    <w:rsid w:val="00E24D12"/>
    <w:rsid w:val="00E26422"/>
    <w:rsid w:val="00E300B9"/>
    <w:rsid w:val="00E3100E"/>
    <w:rsid w:val="00E50964"/>
    <w:rsid w:val="00E65FB1"/>
    <w:rsid w:val="00E902C6"/>
    <w:rsid w:val="00EA4240"/>
    <w:rsid w:val="00EB6ED6"/>
    <w:rsid w:val="00EC306F"/>
    <w:rsid w:val="00ED65F8"/>
    <w:rsid w:val="00EE05FC"/>
    <w:rsid w:val="00EE29FA"/>
    <w:rsid w:val="00EE3ABB"/>
    <w:rsid w:val="00EE4027"/>
    <w:rsid w:val="00EE70C0"/>
    <w:rsid w:val="00F007D8"/>
    <w:rsid w:val="00F07EB6"/>
    <w:rsid w:val="00F141BB"/>
    <w:rsid w:val="00F23FEC"/>
    <w:rsid w:val="00F427E4"/>
    <w:rsid w:val="00F45A2B"/>
    <w:rsid w:val="00F56064"/>
    <w:rsid w:val="00F57F70"/>
    <w:rsid w:val="00F66F0A"/>
    <w:rsid w:val="00F80030"/>
    <w:rsid w:val="00F8084C"/>
    <w:rsid w:val="00F85A20"/>
    <w:rsid w:val="00FA09E7"/>
    <w:rsid w:val="00FB606A"/>
    <w:rsid w:val="00FC1ABB"/>
    <w:rsid w:val="00FC28E9"/>
    <w:rsid w:val="00FC500B"/>
    <w:rsid w:val="00FD6F93"/>
    <w:rsid w:val="00FE6D7B"/>
    <w:rsid w:val="1140A98E"/>
    <w:rsid w:val="1CC213EA"/>
    <w:rsid w:val="2BBDA9C8"/>
    <w:rsid w:val="35DC1914"/>
    <w:rsid w:val="405729F5"/>
    <w:rsid w:val="4531258F"/>
    <w:rsid w:val="4548546F"/>
    <w:rsid w:val="4675DDCD"/>
    <w:rsid w:val="4EE7AF00"/>
    <w:rsid w:val="4EF37CAB"/>
    <w:rsid w:val="52914BF7"/>
    <w:rsid w:val="5B62C968"/>
    <w:rsid w:val="656245AA"/>
    <w:rsid w:val="6D74B7B3"/>
    <w:rsid w:val="6DAF38CE"/>
    <w:rsid w:val="7DA804C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5F5D13D0-8C15-4C97-950E-DCBF206F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A2"/>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qFormat/>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NormalWeb">
    <w:name w:val="Normal (Web)"/>
    <w:basedOn w:val="Normal"/>
    <w:uiPriority w:val="99"/>
    <w:semiHidden/>
    <w:unhideWhenUsed/>
    <w:rsid w:val="002D32D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F8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ism.research@tra.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fb70c03df4a417e1da846c9586274329">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c6b0820de3d16b3bb4d7175b3da0f41d"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84193d32-96af-42bb-9a8d-e389b6b013dc"/>
    <ds:schemaRef ds:uri="932d29ee-28c9-41bc-b9e4-7f2eba331d28"/>
  </ds:schemaRefs>
</ds:datastoreItem>
</file>

<file path=customXml/itemProps3.xml><?xml version="1.0" encoding="utf-8"?>
<ds:datastoreItem xmlns:ds="http://schemas.openxmlformats.org/officeDocument/2006/customXml" ds:itemID="{BAD68688-B7A8-46BE-A7EE-76F49A854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219</TotalTime>
  <Pages>4</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Austrade</Company>
  <LinksUpToDate>false</LinksUpToDate>
  <CharactersWithSpaces>3736</CharactersWithSpaces>
  <SharedDoc>false</SharedDoc>
  <HLinks>
    <vt:vector size="12" baseType="variant">
      <vt:variant>
        <vt:i4>4980853</vt:i4>
      </vt:variant>
      <vt:variant>
        <vt:i4>3</vt:i4>
      </vt:variant>
      <vt:variant>
        <vt:i4>0</vt:i4>
      </vt:variant>
      <vt:variant>
        <vt:i4>5</vt:i4>
      </vt:variant>
      <vt:variant>
        <vt:lpwstr>mailto:tourism.research@tra.gov.au</vt:lpwstr>
      </vt:variant>
      <vt:variant>
        <vt:lpwstr/>
      </vt:variant>
      <vt:variant>
        <vt:i4>6357048</vt:i4>
      </vt:variant>
      <vt:variant>
        <vt:i4>0</vt:i4>
      </vt:variant>
      <vt:variant>
        <vt:i4>0</vt:i4>
      </vt:variant>
      <vt:variant>
        <vt:i4>5</vt:i4>
      </vt:variant>
      <vt:variant>
        <vt:lpwstr>http://www.tra.gov.au/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Agribusiness Fact Sheet Wineries</dc:title>
  <dc:subject/>
  <dc:creator>Rachel-Sirr [Canberra]</dc:creator>
  <cp:keywords/>
  <dc:description/>
  <cp:lastModifiedBy>Bronte-Rice-Jenkins [Sydney]</cp:lastModifiedBy>
  <cp:revision>45</cp:revision>
  <dcterms:created xsi:type="dcterms:W3CDTF">2025-11-23T23:36:00Z</dcterms:created>
  <dcterms:modified xsi:type="dcterms:W3CDTF">2025-11-27T04:00:00Z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1a1a6581,41aad987,1ce2a4d6,7c37c8bf,68f667d5,3f6b22ee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6d417f4a,632e275c,393106e3,2b4f1f14,230e1872,7a93c59e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2024-11-07T01:54:51Z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9abcf624-2f2c-47b4-897c-8e1b073690df</vt:lpwstr>
  </property>
  <property fmtid="{D5CDD505-2E9C-101B-9397-08002B2CF9AE}" pid="33" name="MSIP_Label_72160a83-df68-4146-9dd5-ccaae79426db_ContentBits">
    <vt:lpwstr>3</vt:lpwstr>
  </property>
</Properties>
</file>