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6CFFC6F4" w14:textId="146D0FE8" w:rsidR="003A58AB" w:rsidRPr="00FC500B" w:rsidRDefault="00D5241F" w:rsidP="009E6DB3">
          <w:r>
            <w:rPr>
              <w:noProof/>
            </w:rPr>
            <w:drawing>
              <wp:anchor distT="0" distB="0" distL="114300" distR="114300" simplePos="0" relativeHeight="251658240" behindDoc="0" locked="0" layoutInCell="1" allowOverlap="1" wp14:anchorId="70F4F397" wp14:editId="2B4B99F8">
                <wp:simplePos x="0" y="0"/>
                <wp:positionH relativeFrom="column">
                  <wp:posOffset>-551015</wp:posOffset>
                </wp:positionH>
                <wp:positionV relativeFrom="paragraph">
                  <wp:posOffset>-766528</wp:posOffset>
                </wp:positionV>
                <wp:extent cx="7108251" cy="2160104"/>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1"/>
                        <a:srcRect r="5264"/>
                        <a:stretch/>
                      </pic:blipFill>
                      <pic:spPr bwMode="auto">
                        <a:xfrm>
                          <a:off x="0" y="0"/>
                          <a:ext cx="7108251" cy="21601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7E4">
            <w:rPr>
              <w:noProof/>
            </w:rPr>
            <w:drawing>
              <wp:anchor distT="0" distB="0" distL="114300" distR="114300" simplePos="0" relativeHeight="251658751" behindDoc="0" locked="1" layoutInCell="1" allowOverlap="1" wp14:anchorId="0F2404CF" wp14:editId="0E41E94F">
                <wp:simplePos x="0" y="0"/>
                <wp:positionH relativeFrom="column">
                  <wp:posOffset>-49530</wp:posOffset>
                </wp:positionH>
                <wp:positionV relativeFrom="page">
                  <wp:posOffset>376555</wp:posOffset>
                </wp:positionV>
                <wp:extent cx="3340800" cy="1105200"/>
                <wp:effectExtent l="0" t="0" r="0" b="0"/>
                <wp:wrapNone/>
                <wp:docPr id="15922604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p>
        <w:p w14:paraId="7A7C7C9F" w14:textId="77777777" w:rsidR="00501469" w:rsidRDefault="00501469"/>
        <w:p w14:paraId="14C5D793" w14:textId="77777777" w:rsidR="00501469" w:rsidRDefault="00501469"/>
        <w:p w14:paraId="04EBE6F7" w14:textId="77777777" w:rsidR="00501469" w:rsidRDefault="00501469"/>
        <w:p w14:paraId="69084CEC" w14:textId="77777777" w:rsidR="00501469" w:rsidRDefault="00501469"/>
        <w:p w14:paraId="7E7BE69A" w14:textId="77777777" w:rsidR="00501469" w:rsidRDefault="00501469"/>
        <w:p w14:paraId="724A9F39" w14:textId="77777777" w:rsidR="00501469" w:rsidRDefault="00501469"/>
        <w:p w14:paraId="33CB4285" w14:textId="374A5721" w:rsidR="003E38E3" w:rsidRPr="00C279D9" w:rsidRDefault="00611A04" w:rsidP="00C27BF9">
          <w:pPr>
            <w:pStyle w:val="Heading1"/>
            <w:rPr>
              <w:rStyle w:val="Heading1Char"/>
              <w:bCs/>
            </w:rPr>
          </w:pPr>
          <w:bookmarkStart w:id="0" w:name="_Toc208502382"/>
          <w:bookmarkStart w:id="1" w:name="_Toc210834125"/>
          <w:bookmarkStart w:id="2" w:name="_Toc210834156"/>
          <w:r>
            <w:t>Agritourism in Australia</w:t>
          </w:r>
          <w:bookmarkEnd w:id="0"/>
          <w:bookmarkEnd w:id="1"/>
          <w:bookmarkEnd w:id="2"/>
        </w:p>
        <w:p w14:paraId="4D04BE4E" w14:textId="4FF00A92" w:rsidR="003E38E3" w:rsidRDefault="00611A04" w:rsidP="00611A04">
          <w:pPr>
            <w:pStyle w:val="Heading2"/>
          </w:pPr>
          <w:bookmarkStart w:id="3" w:name="_Toc208502383"/>
          <w:bookmarkStart w:id="4" w:name="_Toc210834126"/>
          <w:bookmarkStart w:id="5" w:name="_Toc210834157"/>
          <w:r w:rsidRPr="00611A04">
            <w:t>Measuring and evaluating agritourism in Australia</w:t>
          </w:r>
          <w:bookmarkEnd w:id="3"/>
          <w:bookmarkEnd w:id="4"/>
          <w:bookmarkEnd w:id="5"/>
        </w:p>
        <w:p w14:paraId="6F32FDD5" w14:textId="7FEC331B" w:rsidR="000E357A" w:rsidRPr="000E357A" w:rsidRDefault="000E357A" w:rsidP="000E357A">
          <w:pPr>
            <w:rPr>
              <w:rFonts w:eastAsia="SimSun" w:cs="Times New Roman"/>
              <w:bCs/>
              <w:color w:val="441D4A" w:themeColor="accent1" w:themeShade="80"/>
              <w:sz w:val="32"/>
              <w:szCs w:val="26"/>
              <w:lang w:eastAsia="zh-CN"/>
            </w:rPr>
          </w:pPr>
          <w:r w:rsidRPr="000E357A">
            <w:rPr>
              <w:rFonts w:eastAsia="SimSun" w:cs="Times New Roman"/>
              <w:bCs/>
              <w:color w:val="441D4A" w:themeColor="accent1" w:themeShade="80"/>
              <w:sz w:val="32"/>
              <w:szCs w:val="26"/>
              <w:lang w:eastAsia="zh-CN"/>
            </w:rPr>
            <w:t>October 2025</w:t>
          </w:r>
        </w:p>
        <w:p w14:paraId="4A059439" w14:textId="77777777" w:rsidR="00501469" w:rsidRDefault="00501469">
          <w:pPr>
            <w:spacing w:before="0" w:after="160" w:line="259" w:lineRule="auto"/>
          </w:pPr>
          <w:r>
            <w:rPr>
              <w:b/>
              <w:bCs/>
            </w:rPr>
            <w:br w:type="page"/>
          </w:r>
        </w:p>
      </w:sdtContent>
    </w:sdt>
    <w:p w14:paraId="53141909" w14:textId="5CBC72E8" w:rsidR="00321E47" w:rsidRDefault="00611A04" w:rsidP="00C27BF9">
      <w:pPr>
        <w:pStyle w:val="Heading2"/>
      </w:pPr>
      <w:bookmarkStart w:id="6" w:name="_Toc208502384"/>
      <w:bookmarkStart w:id="7" w:name="_Toc210834127"/>
      <w:bookmarkStart w:id="8" w:name="_Toc210834158"/>
      <w:r>
        <w:lastRenderedPageBreak/>
        <w:t>Contents</w:t>
      </w:r>
      <w:bookmarkEnd w:id="6"/>
      <w:bookmarkEnd w:id="7"/>
      <w:bookmarkEnd w:id="8"/>
    </w:p>
    <w:p w14:paraId="7051A82E" w14:textId="5F22995F" w:rsidR="00222E72" w:rsidRDefault="00C60DD6" w:rsidP="00222E72">
      <w:pPr>
        <w:pStyle w:val="TOC1"/>
        <w:tabs>
          <w:tab w:val="right" w:leader="dot" w:pos="9958"/>
        </w:tabs>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"1-2" \h \z \u </w:instrText>
      </w:r>
      <w:r>
        <w:fldChar w:fldCharType="separate"/>
      </w:r>
    </w:p>
    <w:p w14:paraId="07ADF323" w14:textId="1240144A"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59" w:history="1">
        <w:r w:rsidRPr="00084347">
          <w:rPr>
            <w:rStyle w:val="Hyperlink"/>
            <w:noProof/>
          </w:rPr>
          <w:t>Executive Summary</w:t>
        </w:r>
        <w:r>
          <w:rPr>
            <w:noProof/>
            <w:webHidden/>
          </w:rPr>
          <w:tab/>
        </w:r>
        <w:r>
          <w:rPr>
            <w:noProof/>
            <w:webHidden/>
          </w:rPr>
          <w:fldChar w:fldCharType="begin"/>
        </w:r>
        <w:r>
          <w:rPr>
            <w:noProof/>
            <w:webHidden/>
          </w:rPr>
          <w:instrText xml:space="preserve"> PAGEREF _Toc210834159 \h </w:instrText>
        </w:r>
        <w:r>
          <w:rPr>
            <w:noProof/>
            <w:webHidden/>
          </w:rPr>
        </w:r>
        <w:r>
          <w:rPr>
            <w:noProof/>
            <w:webHidden/>
          </w:rPr>
          <w:fldChar w:fldCharType="separate"/>
        </w:r>
        <w:r>
          <w:rPr>
            <w:noProof/>
            <w:webHidden/>
          </w:rPr>
          <w:t>2</w:t>
        </w:r>
        <w:r>
          <w:rPr>
            <w:noProof/>
            <w:webHidden/>
          </w:rPr>
          <w:fldChar w:fldCharType="end"/>
        </w:r>
      </w:hyperlink>
    </w:p>
    <w:p w14:paraId="37553419" w14:textId="0AF6C3C7"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0" w:history="1">
        <w:r w:rsidRPr="00084347">
          <w:rPr>
            <w:rStyle w:val="Hyperlink"/>
            <w:noProof/>
          </w:rPr>
          <w:t>Measuring agritourism with Tourism Research Australia</w:t>
        </w:r>
        <w:r>
          <w:rPr>
            <w:noProof/>
            <w:webHidden/>
          </w:rPr>
          <w:tab/>
        </w:r>
        <w:r>
          <w:rPr>
            <w:noProof/>
            <w:webHidden/>
          </w:rPr>
          <w:fldChar w:fldCharType="begin"/>
        </w:r>
        <w:r>
          <w:rPr>
            <w:noProof/>
            <w:webHidden/>
          </w:rPr>
          <w:instrText xml:space="preserve"> PAGEREF _Toc210834160 \h </w:instrText>
        </w:r>
        <w:r>
          <w:rPr>
            <w:noProof/>
            <w:webHidden/>
          </w:rPr>
        </w:r>
        <w:r>
          <w:rPr>
            <w:noProof/>
            <w:webHidden/>
          </w:rPr>
          <w:fldChar w:fldCharType="separate"/>
        </w:r>
        <w:r>
          <w:rPr>
            <w:noProof/>
            <w:webHidden/>
          </w:rPr>
          <w:t>3</w:t>
        </w:r>
        <w:r>
          <w:rPr>
            <w:noProof/>
            <w:webHidden/>
          </w:rPr>
          <w:fldChar w:fldCharType="end"/>
        </w:r>
      </w:hyperlink>
    </w:p>
    <w:p w14:paraId="5ABC6744" w14:textId="0FA0A849"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1" w:history="1">
        <w:r w:rsidRPr="00084347">
          <w:rPr>
            <w:rStyle w:val="Hyperlink"/>
            <w:noProof/>
          </w:rPr>
          <w:t>Who’s buzzing about agritourism? Traveller types and engagement with agritourism</w:t>
        </w:r>
        <w:r>
          <w:rPr>
            <w:noProof/>
            <w:webHidden/>
          </w:rPr>
          <w:tab/>
        </w:r>
        <w:r>
          <w:rPr>
            <w:noProof/>
            <w:webHidden/>
          </w:rPr>
          <w:fldChar w:fldCharType="begin"/>
        </w:r>
        <w:r>
          <w:rPr>
            <w:noProof/>
            <w:webHidden/>
          </w:rPr>
          <w:instrText xml:space="preserve"> PAGEREF _Toc210834161 \h </w:instrText>
        </w:r>
        <w:r>
          <w:rPr>
            <w:noProof/>
            <w:webHidden/>
          </w:rPr>
        </w:r>
        <w:r>
          <w:rPr>
            <w:noProof/>
            <w:webHidden/>
          </w:rPr>
          <w:fldChar w:fldCharType="separate"/>
        </w:r>
        <w:r>
          <w:rPr>
            <w:noProof/>
            <w:webHidden/>
          </w:rPr>
          <w:t>5</w:t>
        </w:r>
        <w:r>
          <w:rPr>
            <w:noProof/>
            <w:webHidden/>
          </w:rPr>
          <w:fldChar w:fldCharType="end"/>
        </w:r>
      </w:hyperlink>
    </w:p>
    <w:p w14:paraId="08D280C9" w14:textId="2F2CBB8B"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2" w:history="1">
        <w:r w:rsidRPr="00084347">
          <w:rPr>
            <w:rStyle w:val="Hyperlink"/>
            <w:noProof/>
          </w:rPr>
          <w:t>The lay of the land: characteristics of agritourism trips</w:t>
        </w:r>
        <w:r>
          <w:rPr>
            <w:noProof/>
            <w:webHidden/>
          </w:rPr>
          <w:tab/>
        </w:r>
        <w:r>
          <w:rPr>
            <w:noProof/>
            <w:webHidden/>
          </w:rPr>
          <w:fldChar w:fldCharType="begin"/>
        </w:r>
        <w:r>
          <w:rPr>
            <w:noProof/>
            <w:webHidden/>
          </w:rPr>
          <w:instrText xml:space="preserve"> PAGEREF _Toc210834162 \h </w:instrText>
        </w:r>
        <w:r>
          <w:rPr>
            <w:noProof/>
            <w:webHidden/>
          </w:rPr>
        </w:r>
        <w:r>
          <w:rPr>
            <w:noProof/>
            <w:webHidden/>
          </w:rPr>
          <w:fldChar w:fldCharType="separate"/>
        </w:r>
        <w:r>
          <w:rPr>
            <w:noProof/>
            <w:webHidden/>
          </w:rPr>
          <w:t>8</w:t>
        </w:r>
        <w:r>
          <w:rPr>
            <w:noProof/>
            <w:webHidden/>
          </w:rPr>
          <w:fldChar w:fldCharType="end"/>
        </w:r>
      </w:hyperlink>
    </w:p>
    <w:p w14:paraId="0EA353C6" w14:textId="06D15209"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3" w:history="1">
        <w:r w:rsidRPr="00084347">
          <w:rPr>
            <w:rStyle w:val="Hyperlink"/>
            <w:noProof/>
          </w:rPr>
          <w:t>Conclusions and further resources</w:t>
        </w:r>
        <w:r>
          <w:rPr>
            <w:noProof/>
            <w:webHidden/>
          </w:rPr>
          <w:tab/>
        </w:r>
        <w:r>
          <w:rPr>
            <w:noProof/>
            <w:webHidden/>
          </w:rPr>
          <w:fldChar w:fldCharType="begin"/>
        </w:r>
        <w:r>
          <w:rPr>
            <w:noProof/>
            <w:webHidden/>
          </w:rPr>
          <w:instrText xml:space="preserve"> PAGEREF _Toc210834163 \h </w:instrText>
        </w:r>
        <w:r>
          <w:rPr>
            <w:noProof/>
            <w:webHidden/>
          </w:rPr>
        </w:r>
        <w:r>
          <w:rPr>
            <w:noProof/>
            <w:webHidden/>
          </w:rPr>
          <w:fldChar w:fldCharType="separate"/>
        </w:r>
        <w:r>
          <w:rPr>
            <w:noProof/>
            <w:webHidden/>
          </w:rPr>
          <w:t>11</w:t>
        </w:r>
        <w:r>
          <w:rPr>
            <w:noProof/>
            <w:webHidden/>
          </w:rPr>
          <w:fldChar w:fldCharType="end"/>
        </w:r>
      </w:hyperlink>
    </w:p>
    <w:p w14:paraId="2AD1819D" w14:textId="188A3C91"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4" w:history="1">
        <w:r w:rsidRPr="00084347">
          <w:rPr>
            <w:rStyle w:val="Hyperlink"/>
            <w:noProof/>
          </w:rPr>
          <w:t>Agritourism guidelines, references, and further information</w:t>
        </w:r>
        <w:r>
          <w:rPr>
            <w:noProof/>
            <w:webHidden/>
          </w:rPr>
          <w:tab/>
        </w:r>
        <w:r>
          <w:rPr>
            <w:noProof/>
            <w:webHidden/>
          </w:rPr>
          <w:fldChar w:fldCharType="begin"/>
        </w:r>
        <w:r>
          <w:rPr>
            <w:noProof/>
            <w:webHidden/>
          </w:rPr>
          <w:instrText xml:space="preserve"> PAGEREF _Toc210834164 \h </w:instrText>
        </w:r>
        <w:r>
          <w:rPr>
            <w:noProof/>
            <w:webHidden/>
          </w:rPr>
        </w:r>
        <w:r>
          <w:rPr>
            <w:noProof/>
            <w:webHidden/>
          </w:rPr>
          <w:fldChar w:fldCharType="separate"/>
        </w:r>
        <w:r>
          <w:rPr>
            <w:noProof/>
            <w:webHidden/>
          </w:rPr>
          <w:t>12</w:t>
        </w:r>
        <w:r>
          <w:rPr>
            <w:noProof/>
            <w:webHidden/>
          </w:rPr>
          <w:fldChar w:fldCharType="end"/>
        </w:r>
      </w:hyperlink>
    </w:p>
    <w:p w14:paraId="42661DBB" w14:textId="2D587254" w:rsidR="00222E72" w:rsidRDefault="00222E72">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0834165" w:history="1">
        <w:r w:rsidRPr="00084347">
          <w:rPr>
            <w:rStyle w:val="Hyperlink"/>
            <w:noProof/>
          </w:rPr>
          <w:t>References</w:t>
        </w:r>
        <w:r>
          <w:rPr>
            <w:noProof/>
            <w:webHidden/>
          </w:rPr>
          <w:tab/>
        </w:r>
        <w:r>
          <w:rPr>
            <w:noProof/>
            <w:webHidden/>
          </w:rPr>
          <w:fldChar w:fldCharType="begin"/>
        </w:r>
        <w:r>
          <w:rPr>
            <w:noProof/>
            <w:webHidden/>
          </w:rPr>
          <w:instrText xml:space="preserve"> PAGEREF _Toc210834165 \h </w:instrText>
        </w:r>
        <w:r>
          <w:rPr>
            <w:noProof/>
            <w:webHidden/>
          </w:rPr>
        </w:r>
        <w:r>
          <w:rPr>
            <w:noProof/>
            <w:webHidden/>
          </w:rPr>
          <w:fldChar w:fldCharType="separate"/>
        </w:r>
        <w:r>
          <w:rPr>
            <w:noProof/>
            <w:webHidden/>
          </w:rPr>
          <w:t>12</w:t>
        </w:r>
        <w:r>
          <w:rPr>
            <w:noProof/>
            <w:webHidden/>
          </w:rPr>
          <w:fldChar w:fldCharType="end"/>
        </w:r>
      </w:hyperlink>
    </w:p>
    <w:p w14:paraId="4087D082" w14:textId="628F6387" w:rsidR="00611A04" w:rsidRDefault="00C60DD6">
      <w:pPr>
        <w:spacing w:before="0" w:after="160" w:line="259" w:lineRule="auto"/>
        <w:rPr>
          <w:bCs/>
          <w:color w:val="300050" w:themeColor="text2"/>
          <w:sz w:val="28"/>
          <w:szCs w:val="32"/>
        </w:rPr>
      </w:pPr>
      <w:r>
        <w:fldChar w:fldCharType="end"/>
      </w:r>
      <w:r w:rsidR="00611A04">
        <w:br w:type="page"/>
      </w:r>
    </w:p>
    <w:p w14:paraId="441C1F6E" w14:textId="7DF1CE64" w:rsidR="00390F9A" w:rsidRPr="00CD0CE5" w:rsidRDefault="00611A04" w:rsidP="00131D23">
      <w:pPr>
        <w:pStyle w:val="Heading2"/>
      </w:pPr>
      <w:bookmarkStart w:id="9" w:name="_Toc210834159"/>
      <w:r>
        <w:lastRenderedPageBreak/>
        <w:t>Executive Summary</w:t>
      </w:r>
      <w:bookmarkEnd w:id="9"/>
    </w:p>
    <w:p w14:paraId="2B1A74D3" w14:textId="77777777" w:rsidR="00611A04" w:rsidRDefault="00611A04" w:rsidP="00131D23">
      <w:pPr>
        <w:pStyle w:val="Heading3"/>
      </w:pPr>
      <w:r w:rsidRPr="00611A04">
        <w:t xml:space="preserve">Agritourism is a growth opportunity for Australia’s visitor economy </w:t>
      </w:r>
    </w:p>
    <w:p w14:paraId="7203520E" w14:textId="703A2865" w:rsidR="00611A04" w:rsidRDefault="00611A04" w:rsidP="00611A04">
      <w:r>
        <w:t>Globally, agritourism is on the rise with increased supply and demand for agritourism experiences. From wine regions in Europe, spice plantation tours in India to dairy farm stays in Midwest USA, agritourism businesses are opening the gates for visitors to experience their unique offering. Across international markets, the nuances of agritourism have developed into a sector that defies a single definition and metric.</w:t>
      </w:r>
    </w:p>
    <w:p w14:paraId="2810E57F" w14:textId="7CEBC56F" w:rsidR="00611A04" w:rsidRDefault="00611A04" w:rsidP="00611A04">
      <w:r>
        <w:t>This Tourism Research Australia (TRA) report, in conjunction with Tourism Australia (TA), aims to measure agritourism under a national and consistent approach. It uses the latest TRA and TA data to measure and evaluate this diverse sector, track growth and measure impact.</w:t>
      </w:r>
    </w:p>
    <w:p w14:paraId="1B0F916C" w14:textId="7BAF64E3" w:rsidR="00611A04" w:rsidRDefault="00611A04" w:rsidP="00611A04">
      <w:r>
        <w:t xml:space="preserve">In 2024, Australian agritourism grew in trips, nights, and spend, showing the sector is a strong contributor to the growth of the visitor economy. Those who engage with agritourism have higher than average spend per trip and spend per night than overall travellers within Australia. </w:t>
      </w:r>
    </w:p>
    <w:p w14:paraId="18DC777A" w14:textId="2C241F60" w:rsidR="00611A04" w:rsidRDefault="00611A04" w:rsidP="00611A04">
      <w:r>
        <w:t>International visitation and expenditure data shows the United Kingdom, China, and United States were the top 3 markets for agritourism in Australia in 2024, accounting for 1 in 3 trips.</w:t>
      </w:r>
    </w:p>
    <w:p w14:paraId="575D096A" w14:textId="7A5F7477" w:rsidR="00611A04" w:rsidRDefault="00611A04" w:rsidP="00611A04">
      <w:r w:rsidRPr="00611A04">
        <w:t xml:space="preserve">Tourism Australia’s Future of Demand (2022) highlights the opportunity of agritourism, with data showing 84% of </w:t>
      </w:r>
      <w:r w:rsidR="00A53AC5">
        <w:t>global</w:t>
      </w:r>
      <w:r w:rsidRPr="00611A04">
        <w:t xml:space="preserve"> travellers </w:t>
      </w:r>
      <w:r w:rsidR="007466A9">
        <w:t xml:space="preserve">from around the world (excl. Australians) </w:t>
      </w:r>
      <w:r w:rsidRPr="00611A04">
        <w:t xml:space="preserve">would be interested in these activities on their next international trip. </w:t>
      </w:r>
    </w:p>
    <w:p w14:paraId="3A5F5FC2" w14:textId="6B48519F" w:rsidR="00611A04" w:rsidRDefault="00611A04" w:rsidP="00611A04">
      <w:r w:rsidRPr="00611A04">
        <w:t xml:space="preserve">There is strong engagement with agritourism across Australia. Victoria and New South Wales are the top two destination states for agritourism activities, each accounting for 1 in 3 trips involving agritourism. Queensland, Western Australia, and South Australia each account for 1 in 7 trips involving agritourism. As jurisdictions with fewer total visitors than larger states, Tasmania, Northern </w:t>
      </w:r>
      <w:r w:rsidR="00F85B71" w:rsidRPr="00611A04">
        <w:t>Territory,</w:t>
      </w:r>
      <w:r w:rsidRPr="00611A04">
        <w:t xml:space="preserve"> and the Australian Capital Territory have fewer agritourism trips occurring, but each of these states and territories are home to strong agritourism offerings. </w:t>
      </w:r>
    </w:p>
    <w:p w14:paraId="203B8670" w14:textId="1225CFD8" w:rsidR="00611A04" w:rsidRDefault="00611A04" w:rsidP="00611A04">
      <w:r w:rsidRPr="00611A04">
        <w:t>Demand for agritourism experiences is broad. This is seen through the spread of ages and travel party types engaging with agritourism on their trips. There is opportunity for agritourism in Australia to meet the needs of many travellers, domestic and international, and continue to grow and become a key sector of the visitor economy.</w:t>
      </w:r>
    </w:p>
    <w:p w14:paraId="143D3BC2" w14:textId="77777777" w:rsidR="00131D23" w:rsidRDefault="00131D23">
      <w:pPr>
        <w:spacing w:before="0" w:after="160" w:line="259" w:lineRule="auto"/>
        <w:rPr>
          <w:bCs/>
          <w:color w:val="300050" w:themeColor="text2"/>
          <w:sz w:val="28"/>
          <w:szCs w:val="32"/>
        </w:rPr>
      </w:pPr>
      <w:r>
        <w:br w:type="page"/>
      </w:r>
    </w:p>
    <w:p w14:paraId="7601C295" w14:textId="77777777" w:rsidR="008A28B8" w:rsidRDefault="008A28B8" w:rsidP="00222E72">
      <w:pPr>
        <w:pStyle w:val="Heading2"/>
      </w:pPr>
      <w:bookmarkStart w:id="10" w:name="_Toc210834160"/>
      <w:r w:rsidRPr="008A28B8">
        <w:lastRenderedPageBreak/>
        <w:t>Measuring agritourism with Tourism Research Australia</w:t>
      </w:r>
      <w:bookmarkEnd w:id="10"/>
    </w:p>
    <w:p w14:paraId="741CA73D" w14:textId="77777777" w:rsidR="007D5C3C" w:rsidRDefault="007D5C3C" w:rsidP="007D5C3C">
      <w:r w:rsidRPr="007D5C3C">
        <w:t>This report utilises available Tourism Research Australia’s (TRA) National Visitor Survey (NVS) and International Visitor Survey (IVS) data to measure and evaluate agritourism. The following agritourism-related activities asked in the NVS and IVS are combined to provide insights about agritourism in Australia:</w:t>
      </w:r>
    </w:p>
    <w:p w14:paraId="23C2F66E" w14:textId="6EB014D8" w:rsidR="00611A04" w:rsidRPr="00611A04" w:rsidRDefault="00611A04" w:rsidP="007D5C3C">
      <w:pPr>
        <w:pStyle w:val="ListParagraph"/>
        <w:numPr>
          <w:ilvl w:val="0"/>
          <w:numId w:val="11"/>
        </w:numPr>
      </w:pPr>
      <w:r w:rsidRPr="00611A04">
        <w:t>farm visits,</w:t>
      </w:r>
    </w:p>
    <w:p w14:paraId="09749888" w14:textId="77777777" w:rsidR="00611A04" w:rsidRPr="00611A04" w:rsidRDefault="00611A04" w:rsidP="00611A04">
      <w:pPr>
        <w:pStyle w:val="ListParagraph"/>
        <w:numPr>
          <w:ilvl w:val="0"/>
          <w:numId w:val="11"/>
        </w:numPr>
      </w:pPr>
      <w:r w:rsidRPr="00611A04">
        <w:t>visits to farm gates,</w:t>
      </w:r>
    </w:p>
    <w:p w14:paraId="590C4038" w14:textId="77777777" w:rsidR="00611A04" w:rsidRPr="00611A04" w:rsidRDefault="00611A04" w:rsidP="00611A04">
      <w:pPr>
        <w:pStyle w:val="ListParagraph"/>
        <w:numPr>
          <w:ilvl w:val="0"/>
          <w:numId w:val="11"/>
        </w:numPr>
      </w:pPr>
      <w:r w:rsidRPr="00611A04">
        <w:t>visits to wineries, breweries, or distilleries,</w:t>
      </w:r>
    </w:p>
    <w:p w14:paraId="460881A1" w14:textId="77777777" w:rsidR="00611A04" w:rsidRPr="00611A04" w:rsidRDefault="00611A04" w:rsidP="00611A04">
      <w:pPr>
        <w:pStyle w:val="ListParagraph"/>
        <w:numPr>
          <w:ilvl w:val="0"/>
          <w:numId w:val="11"/>
        </w:numPr>
      </w:pPr>
      <w:r w:rsidRPr="00611A04">
        <w:t>Aboriginal food experiences,</w:t>
      </w:r>
    </w:p>
    <w:p w14:paraId="786059BE" w14:textId="2A834EFB" w:rsidR="00611A04" w:rsidRPr="00611A04" w:rsidRDefault="00611A04" w:rsidP="00611A04">
      <w:pPr>
        <w:pStyle w:val="ListParagraph"/>
        <w:numPr>
          <w:ilvl w:val="0"/>
          <w:numId w:val="11"/>
        </w:numPr>
      </w:pPr>
      <w:r w:rsidRPr="00611A04">
        <w:t>and visits to food markets.</w:t>
      </w:r>
    </w:p>
    <w:p w14:paraId="38269913" w14:textId="71503D60" w:rsidR="00611A04" w:rsidRPr="00611A04" w:rsidRDefault="00611A04" w:rsidP="00611A04">
      <w:r w:rsidRPr="00611A04">
        <w:t xml:space="preserve">Due to data collection methods, the numbers used in this report relate to trips that include one or more agritourism activities. This means that if an agritourism activity takes place on a trip, then all the nights and spend for that whole trip are counted in the figures reported here. The contribution of agritourism activities specifically </w:t>
      </w:r>
      <w:r w:rsidR="00F85B71" w:rsidRPr="00611A04">
        <w:t>cannot</w:t>
      </w:r>
      <w:r w:rsidRPr="00611A04">
        <w:t xml:space="preserve"> be captured due to the way the data is collected in the surveys.</w:t>
      </w:r>
    </w:p>
    <w:p w14:paraId="0F756098" w14:textId="77777777" w:rsidR="00611A04" w:rsidRPr="00131D23" w:rsidRDefault="00611A04" w:rsidP="00131D23">
      <w:pPr>
        <w:pStyle w:val="Heading3"/>
      </w:pPr>
      <w:r w:rsidRPr="00131D23">
        <w:t>Overview of agritourism activities in 2024</w:t>
      </w:r>
    </w:p>
    <w:p w14:paraId="61D38014" w14:textId="77777777" w:rsidR="00611A04" w:rsidRPr="00611A04" w:rsidRDefault="00611A04" w:rsidP="00611A04">
      <w:pPr>
        <w:rPr>
          <w:sz w:val="24"/>
          <w:szCs w:val="24"/>
        </w:rPr>
      </w:pPr>
      <w:r w:rsidRPr="00611A04">
        <w:rPr>
          <w:sz w:val="24"/>
          <w:szCs w:val="24"/>
        </w:rPr>
        <w:t>18.5 million trips (6% of total trips in Australia)</w:t>
      </w:r>
    </w:p>
    <w:p w14:paraId="09E5750E" w14:textId="77777777" w:rsidR="00611A04" w:rsidRPr="00611A04" w:rsidRDefault="00611A04" w:rsidP="00611A04">
      <w:pPr>
        <w:pStyle w:val="ListParagraph"/>
        <w:numPr>
          <w:ilvl w:val="0"/>
          <w:numId w:val="16"/>
        </w:numPr>
      </w:pPr>
      <w:r w:rsidRPr="00611A04">
        <w:t>1.4 million international (22%)</w:t>
      </w:r>
    </w:p>
    <w:p w14:paraId="42C8623E" w14:textId="77777777" w:rsidR="00611A04" w:rsidRPr="00611A04" w:rsidRDefault="00611A04" w:rsidP="00611A04">
      <w:pPr>
        <w:pStyle w:val="ListParagraph"/>
        <w:numPr>
          <w:ilvl w:val="0"/>
          <w:numId w:val="16"/>
        </w:numPr>
      </w:pPr>
      <w:r w:rsidRPr="00611A04">
        <w:t>9.6 million domestic overnight (9%)</w:t>
      </w:r>
    </w:p>
    <w:p w14:paraId="1C6DBB4B" w14:textId="77777777" w:rsidR="00611A04" w:rsidRPr="00611A04" w:rsidRDefault="00611A04" w:rsidP="00611A04">
      <w:pPr>
        <w:pStyle w:val="ListParagraph"/>
        <w:numPr>
          <w:ilvl w:val="0"/>
          <w:numId w:val="16"/>
        </w:numPr>
      </w:pPr>
      <w:r w:rsidRPr="00611A04">
        <w:t>7.5 million domestic day trip (4%)</w:t>
      </w:r>
    </w:p>
    <w:p w14:paraId="38B6ECC3" w14:textId="77777777" w:rsidR="00611A04" w:rsidRPr="00611A04" w:rsidRDefault="00611A04" w:rsidP="00611A04"/>
    <w:p w14:paraId="5CA5B760" w14:textId="77777777" w:rsidR="00611A04" w:rsidRPr="00611A04" w:rsidRDefault="00611A04" w:rsidP="00611A04">
      <w:pPr>
        <w:rPr>
          <w:sz w:val="24"/>
          <w:szCs w:val="24"/>
        </w:rPr>
      </w:pPr>
      <w:r w:rsidRPr="00611A04">
        <w:rPr>
          <w:sz w:val="24"/>
          <w:szCs w:val="24"/>
        </w:rPr>
        <w:t>99.9 million nights (18% of total nights in Australia)</w:t>
      </w:r>
    </w:p>
    <w:p w14:paraId="5C78C31A" w14:textId="77777777" w:rsidR="00611A04" w:rsidRPr="00611A04" w:rsidRDefault="00611A04" w:rsidP="00611A04">
      <w:pPr>
        <w:pStyle w:val="ListParagraph"/>
        <w:numPr>
          <w:ilvl w:val="0"/>
          <w:numId w:val="16"/>
        </w:numPr>
      </w:pPr>
      <w:r w:rsidRPr="00611A04">
        <w:t>56.3 million international (32%)</w:t>
      </w:r>
    </w:p>
    <w:p w14:paraId="1FE1A57F" w14:textId="77777777" w:rsidR="00611A04" w:rsidRPr="00611A04" w:rsidRDefault="00611A04" w:rsidP="00611A04">
      <w:pPr>
        <w:pStyle w:val="ListParagraph"/>
        <w:numPr>
          <w:ilvl w:val="0"/>
          <w:numId w:val="16"/>
        </w:numPr>
      </w:pPr>
      <w:r w:rsidRPr="00611A04">
        <w:t>43.6 million domestic overnight (11%)</w:t>
      </w:r>
    </w:p>
    <w:p w14:paraId="2E96C5F1" w14:textId="77777777" w:rsidR="00611A04" w:rsidRPr="00611A04" w:rsidRDefault="00611A04" w:rsidP="00611A04"/>
    <w:p w14:paraId="693468FE" w14:textId="77777777" w:rsidR="00611A04" w:rsidRPr="00611A04" w:rsidRDefault="00611A04" w:rsidP="00611A04">
      <w:pPr>
        <w:rPr>
          <w:sz w:val="24"/>
          <w:szCs w:val="24"/>
        </w:rPr>
      </w:pPr>
      <w:r w:rsidRPr="00611A04">
        <w:rPr>
          <w:sz w:val="24"/>
          <w:szCs w:val="24"/>
        </w:rPr>
        <w:t>$20.3 billion spend in Australia (14% of total tourism spend in Australia)</w:t>
      </w:r>
    </w:p>
    <w:p w14:paraId="1AACCC31" w14:textId="77777777" w:rsidR="00611A04" w:rsidRPr="00611A04" w:rsidRDefault="00611A04" w:rsidP="00611A04">
      <w:pPr>
        <w:pStyle w:val="ListParagraph"/>
        <w:numPr>
          <w:ilvl w:val="0"/>
          <w:numId w:val="16"/>
        </w:numPr>
      </w:pPr>
      <w:r w:rsidRPr="00611A04">
        <w:t>$5.6 billion international (31%)</w:t>
      </w:r>
    </w:p>
    <w:p w14:paraId="72222733" w14:textId="77777777" w:rsidR="00611A04" w:rsidRPr="00611A04" w:rsidRDefault="00611A04" w:rsidP="00611A04">
      <w:pPr>
        <w:pStyle w:val="ListParagraph"/>
        <w:numPr>
          <w:ilvl w:val="0"/>
          <w:numId w:val="16"/>
        </w:numPr>
      </w:pPr>
      <w:r w:rsidRPr="00611A04">
        <w:t>$13.0 billion domestic overnight (12%)</w:t>
      </w:r>
    </w:p>
    <w:p w14:paraId="6C5764CD" w14:textId="667F7A65" w:rsidR="00611A04" w:rsidRPr="00611A04" w:rsidRDefault="00611A04" w:rsidP="00611A04">
      <w:pPr>
        <w:pStyle w:val="ListParagraph"/>
        <w:numPr>
          <w:ilvl w:val="0"/>
          <w:numId w:val="16"/>
        </w:numPr>
      </w:pPr>
      <w:r w:rsidRPr="00611A04">
        <w:t>$1.7 billion domestic day trip (7%)</w:t>
      </w:r>
    </w:p>
    <w:p w14:paraId="27826C94" w14:textId="43875ABE" w:rsidR="00611A04" w:rsidRPr="00611A04" w:rsidRDefault="00611A04" w:rsidP="00611A04">
      <w:r>
        <w:rPr>
          <w:i/>
          <w:iCs/>
        </w:rPr>
        <w:t>*</w:t>
      </w:r>
      <w:r w:rsidRPr="00611A04">
        <w:rPr>
          <w:i/>
          <w:iCs/>
        </w:rPr>
        <w:t>Brackets indicate share of agritourism to total metrics for tourism in Australia in 2024.</w:t>
      </w:r>
    </w:p>
    <w:p w14:paraId="46D5CB98" w14:textId="77777777" w:rsidR="005151C2" w:rsidRDefault="005151C2" w:rsidP="00611A04">
      <w:pPr>
        <w:rPr>
          <w:rStyle w:val="Heading3Char"/>
        </w:rPr>
      </w:pPr>
    </w:p>
    <w:p w14:paraId="52E65557" w14:textId="3B04EBC6" w:rsidR="00611A04" w:rsidRPr="00611A04" w:rsidRDefault="00611A04" w:rsidP="00611A04">
      <w:r w:rsidRPr="00131D23">
        <w:rPr>
          <w:rStyle w:val="Heading3Char"/>
        </w:rPr>
        <w:t>Agritourism grew in 2024 with trips, nights, and spend all increasing</w:t>
      </w:r>
      <w:r w:rsidRPr="00131D23">
        <w:rPr>
          <w:rStyle w:val="Heading3Char"/>
        </w:rPr>
        <w:br/>
      </w:r>
      <w:r>
        <w:br/>
      </w:r>
      <w:r w:rsidRPr="00611A04">
        <w:t>In 2024, the total number of trips including agritourism grew by 2% from 2023. By trip type, there were 1% more domestic overnight trips, 1% more domestic day trips, and 15% more international trips including agritourism.</w:t>
      </w:r>
    </w:p>
    <w:p w14:paraId="635680F7" w14:textId="77777777" w:rsidR="005151C2" w:rsidRDefault="00611A04" w:rsidP="00611A04">
      <w:r w:rsidRPr="00611A04">
        <w:lastRenderedPageBreak/>
        <w:t>The growth rate of domestic overnight trips and international trips including agritourism was in line with the overall trip growth in 2024, while growth in day trips including agritourism was much stronger than for all day trips (which declined by 6% in 2024).</w:t>
      </w:r>
      <w:r>
        <w:br/>
      </w:r>
    </w:p>
    <w:p w14:paraId="3F86AF8E" w14:textId="55C95A05" w:rsidR="00611A04" w:rsidRDefault="005151C2" w:rsidP="005151C2">
      <w:r>
        <w:t xml:space="preserve">Figure 1: </w:t>
      </w:r>
      <w:r w:rsidRPr="005151C2">
        <w:t>Trips including agritourism activities in Australia (million)</w:t>
      </w:r>
      <w:r w:rsidR="00611A04">
        <w:br/>
      </w:r>
    </w:p>
    <w:p w14:paraId="20752E3E" w14:textId="77777777" w:rsidR="005151C2" w:rsidRDefault="005151C2" w:rsidP="005151C2"/>
    <w:p w14:paraId="18DF7525" w14:textId="77777777" w:rsidR="005151C2" w:rsidRPr="005151C2" w:rsidRDefault="005151C2" w:rsidP="005151C2">
      <w:r w:rsidRPr="005151C2">
        <w:t xml:space="preserve">Nights on trips involving agritourism grew by 10% from 2023. This was stronger growth than for overall travel nights, which increased by 5% over the period. </w:t>
      </w:r>
    </w:p>
    <w:p w14:paraId="09F3F04D" w14:textId="4F9DD07A" w:rsidR="005151C2" w:rsidRDefault="005151C2" w:rsidP="005151C2">
      <w:r w:rsidRPr="005151C2">
        <w:t>The growth in nights on trips with agritourism was led by international travellers, which increased by 21% in 2024, while domestic nights decreased by 2%.</w:t>
      </w:r>
    </w:p>
    <w:p w14:paraId="3B84B069" w14:textId="77777777" w:rsidR="005151C2" w:rsidRDefault="005151C2">
      <w:pPr>
        <w:spacing w:before="0" w:after="160" w:line="259" w:lineRule="auto"/>
      </w:pPr>
      <w:r>
        <w:t xml:space="preserve">Figure 2: </w:t>
      </w:r>
      <w:r w:rsidRPr="005151C2">
        <w:t>Nights on trips involving agritourism activities (million)</w:t>
      </w:r>
    </w:p>
    <w:p w14:paraId="3180C0DC" w14:textId="77777777" w:rsidR="005151C2" w:rsidRDefault="005151C2">
      <w:pPr>
        <w:spacing w:before="0" w:after="160" w:line="259" w:lineRule="auto"/>
      </w:pPr>
    </w:p>
    <w:p w14:paraId="4CAAC563" w14:textId="08F1E528" w:rsidR="00611A04" w:rsidRDefault="00611A04">
      <w:pPr>
        <w:spacing w:before="0" w:after="160" w:line="259" w:lineRule="auto"/>
      </w:pPr>
    </w:p>
    <w:p w14:paraId="7E43CC32" w14:textId="77777777" w:rsidR="005151C2" w:rsidRDefault="005151C2" w:rsidP="005151C2">
      <w:pPr>
        <w:spacing w:before="0" w:after="160" w:line="259" w:lineRule="auto"/>
      </w:pPr>
      <w:r w:rsidRPr="005151C2">
        <w:t xml:space="preserve">Total spend in Australia on trips involving agritourism grew by 5% from 2023. </w:t>
      </w:r>
    </w:p>
    <w:p w14:paraId="2CFCC404" w14:textId="09FDA8C2" w:rsidR="005151C2" w:rsidRDefault="005151C2" w:rsidP="005151C2">
      <w:pPr>
        <w:spacing w:before="0" w:after="160" w:line="259" w:lineRule="auto"/>
      </w:pPr>
      <w:r w:rsidRPr="005151C2">
        <w:t>International spend in Australia increased by 22% on trips including agritourism, which was faster than the growth in overall international spend of 19%. Domestic day trip spend on trips with agritourism increased by 18%, well ahead of the overall day trip spend which fell by 7% compared with 2023. Domestic overnight spend on trips with agritourism decreased by 2% in 2024.</w:t>
      </w:r>
    </w:p>
    <w:p w14:paraId="59E48121" w14:textId="26483480" w:rsidR="005151C2" w:rsidRDefault="005151C2" w:rsidP="005151C2">
      <w:pPr>
        <w:spacing w:before="0" w:after="160" w:line="259" w:lineRule="auto"/>
      </w:pPr>
      <w:r>
        <w:t xml:space="preserve">Figure </w:t>
      </w:r>
      <w:r w:rsidR="0024477F">
        <w:t>3</w:t>
      </w:r>
      <w:r>
        <w:t xml:space="preserve">: </w:t>
      </w:r>
      <w:r w:rsidRPr="005151C2">
        <w:t>Spend on trips involving agritourism activities (billion)</w:t>
      </w:r>
    </w:p>
    <w:p w14:paraId="1FDE718F" w14:textId="77777777" w:rsidR="005151C2" w:rsidRDefault="005151C2">
      <w:pPr>
        <w:spacing w:before="0" w:after="160" w:line="259" w:lineRule="auto"/>
      </w:pPr>
    </w:p>
    <w:p w14:paraId="77EBD6A9" w14:textId="26C4EF0F" w:rsidR="005151C2" w:rsidRPr="00131D23" w:rsidRDefault="005151C2" w:rsidP="00131D23">
      <w:pPr>
        <w:pStyle w:val="Heading4"/>
      </w:pPr>
      <w:r w:rsidRPr="00131D23">
        <w:t>84% of global travellers (excl. Australians) are interested in ‘agritourism experiences’ on a future international holiday according to Tourism Australia’s Future of Demand research.</w:t>
      </w:r>
    </w:p>
    <w:p w14:paraId="5971E617" w14:textId="5306686F" w:rsidR="005151C2" w:rsidRPr="005151C2" w:rsidRDefault="005151C2" w:rsidP="005151C2">
      <w:pPr>
        <w:spacing w:before="0" w:after="160" w:line="259" w:lineRule="auto"/>
      </w:pPr>
      <w:r w:rsidRPr="005151C2">
        <w:t>The below travellers are particularly</w:t>
      </w:r>
      <w:r>
        <w:t xml:space="preserve"> </w:t>
      </w:r>
      <w:r w:rsidRPr="005151C2">
        <w:t>interested in agritourism experiences for</w:t>
      </w:r>
      <w:r>
        <w:t xml:space="preserve"> </w:t>
      </w:r>
      <w:r w:rsidRPr="005151C2">
        <w:t>future international holidays:</w:t>
      </w:r>
    </w:p>
    <w:p w14:paraId="0194D81A" w14:textId="39AC580C" w:rsidR="005151C2" w:rsidRPr="005151C2" w:rsidRDefault="005151C2" w:rsidP="005151C2">
      <w:pPr>
        <w:pStyle w:val="ListParagraph"/>
        <w:numPr>
          <w:ilvl w:val="0"/>
          <w:numId w:val="21"/>
        </w:numPr>
        <w:spacing w:before="0" w:after="160" w:line="259" w:lineRule="auto"/>
      </w:pPr>
      <w:r w:rsidRPr="005151C2">
        <w:t>Luxury travellers* (91%)</w:t>
      </w:r>
    </w:p>
    <w:p w14:paraId="46330575" w14:textId="0A13A1E5" w:rsidR="005151C2" w:rsidRPr="005151C2" w:rsidRDefault="005151C2" w:rsidP="005151C2">
      <w:pPr>
        <w:pStyle w:val="ListParagraph"/>
        <w:numPr>
          <w:ilvl w:val="0"/>
          <w:numId w:val="21"/>
        </w:numPr>
        <w:spacing w:before="0" w:after="160" w:line="259" w:lineRule="auto"/>
      </w:pPr>
      <w:r w:rsidRPr="005151C2">
        <w:t>High yield travellers (88%)</w:t>
      </w:r>
    </w:p>
    <w:p w14:paraId="2E653332" w14:textId="2400C410" w:rsidR="005151C2" w:rsidRPr="005151C2" w:rsidRDefault="005151C2" w:rsidP="005151C2">
      <w:pPr>
        <w:pStyle w:val="ListParagraph"/>
        <w:numPr>
          <w:ilvl w:val="0"/>
          <w:numId w:val="21"/>
        </w:numPr>
        <w:spacing w:before="0" w:after="160" w:line="259" w:lineRule="auto"/>
      </w:pPr>
      <w:r w:rsidRPr="005151C2">
        <w:t>Those aged 30 – 39 (87%)</w:t>
      </w:r>
    </w:p>
    <w:p w14:paraId="45E54F1E" w14:textId="5DFCE4CA" w:rsidR="005151C2" w:rsidRPr="005151C2" w:rsidRDefault="005151C2" w:rsidP="005151C2">
      <w:pPr>
        <w:spacing w:before="0" w:after="160" w:line="259" w:lineRule="auto"/>
      </w:pPr>
      <w:r w:rsidRPr="005151C2">
        <w:t>Australia is well placed to meet this</w:t>
      </w:r>
      <w:r>
        <w:t xml:space="preserve"> </w:t>
      </w:r>
      <w:r w:rsidRPr="005151C2">
        <w:t>interest in agritourism as we have a</w:t>
      </w:r>
      <w:r>
        <w:t xml:space="preserve"> </w:t>
      </w:r>
      <w:r w:rsidRPr="005151C2">
        <w:t>diverse and growing agritourism sector to</w:t>
      </w:r>
      <w:r>
        <w:t xml:space="preserve"> </w:t>
      </w:r>
      <w:r w:rsidRPr="005151C2">
        <w:t>accommodate high spend travellers and</w:t>
      </w:r>
      <w:r>
        <w:t xml:space="preserve"> </w:t>
      </w:r>
      <w:r w:rsidRPr="005151C2">
        <w:t>boost regional economies.</w:t>
      </w:r>
    </w:p>
    <w:p w14:paraId="205FE949" w14:textId="0DB2B00F" w:rsidR="005151C2" w:rsidRPr="005151C2" w:rsidRDefault="005151C2" w:rsidP="005151C2">
      <w:pPr>
        <w:spacing w:before="0" w:after="160" w:line="259" w:lineRule="auto"/>
      </w:pPr>
      <w:r w:rsidRPr="005151C2">
        <w:t>A luxury traveller is defined as actual or intended</w:t>
      </w:r>
      <w:r>
        <w:t xml:space="preserve"> </w:t>
      </w:r>
      <w:r w:rsidRPr="005151C2">
        <w:t>spend above $1,000AUD per person, per night.</w:t>
      </w:r>
    </w:p>
    <w:p w14:paraId="14071EFD" w14:textId="088A2D25" w:rsidR="005151C2" w:rsidRDefault="005151C2" w:rsidP="005151C2">
      <w:pPr>
        <w:spacing w:before="0" w:after="160" w:line="259" w:lineRule="auto"/>
      </w:pPr>
      <w:r w:rsidRPr="005151C2">
        <w:t>Agritourism experiences in Tourism Australia's</w:t>
      </w:r>
      <w:r>
        <w:t xml:space="preserve"> </w:t>
      </w:r>
      <w:r w:rsidRPr="005151C2">
        <w:t>research were defined as aquaculture, farm</w:t>
      </w:r>
      <w:r>
        <w:t xml:space="preserve"> </w:t>
      </w:r>
      <w:r w:rsidRPr="005151C2">
        <w:t>experiences, Indigenous food experiences, meet</w:t>
      </w:r>
      <w:r>
        <w:t xml:space="preserve"> </w:t>
      </w:r>
      <w:r w:rsidRPr="005151C2">
        <w:t>the maker food/drink tours, stay in a renowned</w:t>
      </w:r>
      <w:r>
        <w:t xml:space="preserve"> </w:t>
      </w:r>
      <w:r w:rsidRPr="005151C2">
        <w:t>agricultural / winegrowing region, tasting trails,</w:t>
      </w:r>
      <w:r>
        <w:t xml:space="preserve"> </w:t>
      </w:r>
      <w:r w:rsidRPr="005151C2">
        <w:t xml:space="preserve">wine, beer or liquor pairings with food, wine, </w:t>
      </w:r>
      <w:r w:rsidR="00F85B71" w:rsidRPr="005151C2">
        <w:t>beer,</w:t>
      </w:r>
      <w:r>
        <w:t xml:space="preserve"> </w:t>
      </w:r>
      <w:r w:rsidRPr="005151C2">
        <w:t>or liquor tasting tours or winery stays.</w:t>
      </w:r>
    </w:p>
    <w:p w14:paraId="5EEAA338" w14:textId="77777777" w:rsidR="005151C2" w:rsidRDefault="005151C2" w:rsidP="005151C2">
      <w:pPr>
        <w:spacing w:before="0" w:after="160" w:line="259" w:lineRule="auto"/>
      </w:pPr>
    </w:p>
    <w:p w14:paraId="50353053" w14:textId="77777777" w:rsidR="00C60DD6" w:rsidRDefault="00C60DD6">
      <w:pPr>
        <w:spacing w:before="0" w:after="160" w:line="259" w:lineRule="auto"/>
        <w:rPr>
          <w:rFonts w:eastAsia="SimSun" w:cs="Times New Roman"/>
          <w:bCs/>
          <w:color w:val="441D4A" w:themeColor="accent1" w:themeShade="80"/>
          <w:sz w:val="32"/>
          <w:szCs w:val="26"/>
          <w:lang w:eastAsia="zh-CN"/>
        </w:rPr>
      </w:pPr>
      <w:r>
        <w:br w:type="page"/>
      </w:r>
    </w:p>
    <w:p w14:paraId="04159628" w14:textId="6E94740E" w:rsidR="00661172" w:rsidRPr="00131D23" w:rsidRDefault="005151C2" w:rsidP="00131D23">
      <w:pPr>
        <w:pStyle w:val="Heading2"/>
      </w:pPr>
      <w:bookmarkStart w:id="11" w:name="_Toc210834161"/>
      <w:r w:rsidRPr="00131D23">
        <w:lastRenderedPageBreak/>
        <w:t>Who’s buzzing about agritourism? Traveller types and engagement with agritourism</w:t>
      </w:r>
      <w:bookmarkEnd w:id="11"/>
      <w:r w:rsidRPr="00131D23">
        <w:t xml:space="preserve"> </w:t>
      </w:r>
    </w:p>
    <w:p w14:paraId="51078D04" w14:textId="36A7C11E" w:rsidR="00661172" w:rsidRDefault="00661172" w:rsidP="00700CD3">
      <w:pPr>
        <w:pStyle w:val="Heading4"/>
      </w:pPr>
      <w:r>
        <w:t>Trips and spend is spread across age groups, indicating broad-based demand for agritourism experiences</w:t>
      </w:r>
    </w:p>
    <w:p w14:paraId="0F5470EE" w14:textId="5F35B697" w:rsidR="00700CD3" w:rsidRDefault="00700CD3" w:rsidP="00700CD3">
      <w:pPr>
        <w:spacing w:before="0" w:after="160" w:line="259" w:lineRule="auto"/>
      </w:pPr>
      <w:r>
        <w:t>Travellers 25–34 have the highest proportion of trips and longer than average trip length, accounting for 26% of total nights and 20% of spend.</w:t>
      </w:r>
    </w:p>
    <w:p w14:paraId="357D155B" w14:textId="77777777" w:rsidR="00700CD3" w:rsidRDefault="00700CD3" w:rsidP="00700CD3">
      <w:pPr>
        <w:spacing w:before="0" w:after="160" w:line="259" w:lineRule="auto"/>
      </w:pPr>
      <w:r>
        <w:t>Spend behaviours vary by age group:</w:t>
      </w:r>
    </w:p>
    <w:p w14:paraId="6399A17C" w14:textId="760473BF" w:rsidR="00700CD3" w:rsidRDefault="00700CD3" w:rsidP="00700CD3">
      <w:pPr>
        <w:pStyle w:val="ListParagraph"/>
        <w:ind w:left="360"/>
      </w:pPr>
      <w:r>
        <w:t xml:space="preserve">• Travellers aged 55–64 have the highest average spend per trip at $1,281 </w:t>
      </w:r>
    </w:p>
    <w:p w14:paraId="623B892A" w14:textId="4E42DC26" w:rsidR="00700CD3" w:rsidRDefault="00700CD3" w:rsidP="00700CD3">
      <w:pPr>
        <w:pStyle w:val="ListParagraph"/>
        <w:ind w:left="360"/>
      </w:pPr>
      <w:r>
        <w:t>• Travellers aged 35–44 have the highest average spend per night at $328</w:t>
      </w:r>
    </w:p>
    <w:p w14:paraId="053C6E12" w14:textId="77777777" w:rsidR="00700CD3" w:rsidRDefault="00700CD3" w:rsidP="00700CD3">
      <w:pPr>
        <w:spacing w:before="0" w:after="160" w:line="259" w:lineRule="auto"/>
      </w:pPr>
      <w:r>
        <w:t>A diversified offer from the agritourism sector can continue to attract a range of travellers who can contribute to the success of the sector and surrounding regions.</w:t>
      </w:r>
    </w:p>
    <w:p w14:paraId="4DEDF368" w14:textId="5CFF39EF" w:rsidR="00700CD3" w:rsidRDefault="00700CD3" w:rsidP="00700CD3">
      <w:pPr>
        <w:spacing w:before="0" w:after="160" w:line="259" w:lineRule="auto"/>
      </w:pPr>
      <w:r>
        <w:t xml:space="preserve">Figure </w:t>
      </w:r>
      <w:r w:rsidR="0024477F">
        <w:t>4</w:t>
      </w:r>
      <w:r>
        <w:t xml:space="preserve">: Trips, nights, spend by age </w:t>
      </w:r>
      <w:r w:rsidRPr="005151C2">
        <w:t>(</w:t>
      </w:r>
      <w:r>
        <w:t>%</w:t>
      </w:r>
      <w:r w:rsidRPr="005151C2">
        <w:t>)</w:t>
      </w:r>
    </w:p>
    <w:p w14:paraId="55AB8515" w14:textId="66E382A2" w:rsidR="00700CD3" w:rsidRDefault="00700CD3">
      <w:pPr>
        <w:spacing w:before="0" w:after="160" w:line="259" w:lineRule="auto"/>
      </w:pPr>
    </w:p>
    <w:p w14:paraId="47E056DC" w14:textId="7200101D" w:rsidR="00700CD3" w:rsidRDefault="00700CD3" w:rsidP="00700CD3">
      <w:pPr>
        <w:pStyle w:val="Heading4"/>
      </w:pPr>
      <w:r w:rsidRPr="00700CD3">
        <w:t xml:space="preserve">Adult couples are a key group, spending the most and engaging in the most agritourism activities, especially wineries, distilleries, and breweries </w:t>
      </w:r>
    </w:p>
    <w:p w14:paraId="28608ECB" w14:textId="6C0CBF3F" w:rsidR="00700CD3" w:rsidRDefault="00700CD3" w:rsidP="00700CD3">
      <w:r>
        <w:t>Adult couples were the highest individual group for trips and spend, making them a key opportunity for tourism operators in the agritourism sector. Solo travellers are more likely to stay longer, however their spend is less than that of couples.</w:t>
      </w:r>
    </w:p>
    <w:p w14:paraId="68DF3E36" w14:textId="390357F3" w:rsidR="00700CD3" w:rsidRDefault="00700CD3" w:rsidP="00700CD3">
      <w:r>
        <w:t xml:space="preserve">Families and friendship groups take </w:t>
      </w:r>
      <w:r w:rsidR="00F85B71">
        <w:t>shorter</w:t>
      </w:r>
      <w:r>
        <w:t xml:space="preserve"> trips resulting in a high than average spend per night.</w:t>
      </w:r>
    </w:p>
    <w:p w14:paraId="77FAD042" w14:textId="7E39F515" w:rsidR="00700CD3" w:rsidRDefault="00700CD3" w:rsidP="00700CD3">
      <w:r>
        <w:t>Average spend per night varies by travel party:</w:t>
      </w:r>
    </w:p>
    <w:p w14:paraId="6C147094" w14:textId="7310D663" w:rsidR="00700CD3" w:rsidRDefault="00700CD3" w:rsidP="00700CD3">
      <w:pPr>
        <w:pStyle w:val="ListParagraph"/>
        <w:numPr>
          <w:ilvl w:val="0"/>
          <w:numId w:val="24"/>
        </w:numPr>
      </w:pPr>
      <w:r>
        <w:t>Travelling alone: $103 per night</w:t>
      </w:r>
    </w:p>
    <w:p w14:paraId="672FE0AA" w14:textId="589F0A18" w:rsidR="00700CD3" w:rsidRDefault="00700CD3" w:rsidP="00700CD3">
      <w:pPr>
        <w:pStyle w:val="ListParagraph"/>
        <w:numPr>
          <w:ilvl w:val="0"/>
          <w:numId w:val="24"/>
        </w:numPr>
      </w:pPr>
      <w:r>
        <w:t>Adult couple: $217 per night</w:t>
      </w:r>
    </w:p>
    <w:p w14:paraId="32CAC030" w14:textId="5B8D5C3E" w:rsidR="00700CD3" w:rsidRDefault="00700CD3" w:rsidP="00700CD3">
      <w:pPr>
        <w:pStyle w:val="ListParagraph"/>
        <w:numPr>
          <w:ilvl w:val="0"/>
          <w:numId w:val="24"/>
        </w:numPr>
      </w:pPr>
      <w:r>
        <w:t>Family group: $316 per night</w:t>
      </w:r>
    </w:p>
    <w:p w14:paraId="00827680" w14:textId="77777777" w:rsidR="00700CD3" w:rsidRDefault="00700CD3" w:rsidP="00700CD3">
      <w:pPr>
        <w:pStyle w:val="ListParagraph"/>
        <w:numPr>
          <w:ilvl w:val="0"/>
          <w:numId w:val="24"/>
        </w:numPr>
      </w:pPr>
      <w:r>
        <w:t>Friends or relatives: $242 per night</w:t>
      </w:r>
    </w:p>
    <w:p w14:paraId="166423DE" w14:textId="70F3834A" w:rsidR="00624F5B" w:rsidRDefault="00700CD3" w:rsidP="00624F5B">
      <w:pPr>
        <w:pStyle w:val="Heading3"/>
      </w:pPr>
      <w:r>
        <w:t>Personas of agritourism travellers</w:t>
      </w:r>
    </w:p>
    <w:p w14:paraId="4352EB7F" w14:textId="77777777" w:rsidR="00624F5B" w:rsidRDefault="00624F5B" w:rsidP="00624F5B">
      <w:pPr>
        <w:pStyle w:val="Heading4"/>
      </w:pPr>
      <w:r w:rsidRPr="00624F5B">
        <w:t>Domestic travellers</w:t>
      </w:r>
      <w:r>
        <w:t xml:space="preserve"> (leisure and business travellers engaged with agritourism vs overall domestic leisure and business travellers)</w:t>
      </w:r>
    </w:p>
    <w:p w14:paraId="511EBEBE" w14:textId="39460C1F" w:rsidR="00661172" w:rsidRDefault="00624F5B" w:rsidP="00624F5B">
      <w:pPr>
        <w:rPr>
          <w:bCs/>
          <w:sz w:val="26"/>
          <w:szCs w:val="24"/>
        </w:rPr>
      </w:pPr>
      <w:r w:rsidRPr="00624F5B">
        <w:t>Compared to the average Australian</w:t>
      </w:r>
      <w:r>
        <w:t xml:space="preserve"> domestic traveller, domestic agritourism travellers are more likely to be female, travelling as an adult couple, and have much higher average trip spend. 2 in 3 are likely to be on a holiday, higher than the average Australian traveller, with Melbourne travellers more likely to engage in agritourism on their trips relative to their share overall trips.</w:t>
      </w:r>
    </w:p>
    <w:tbl>
      <w:tblPr>
        <w:tblStyle w:val="TableGrid"/>
        <w:tblW w:w="0" w:type="auto"/>
        <w:tblLook w:val="04A0" w:firstRow="1" w:lastRow="0" w:firstColumn="1" w:lastColumn="0" w:noHBand="0" w:noVBand="1"/>
      </w:tblPr>
      <w:tblGrid>
        <w:gridCol w:w="3319"/>
        <w:gridCol w:w="3319"/>
        <w:gridCol w:w="3320"/>
      </w:tblGrid>
      <w:tr w:rsidR="00624F5B" w:rsidRPr="003A58AB" w14:paraId="0B40F3DE" w14:textId="77777777" w:rsidTr="00FC4969">
        <w:trPr>
          <w:tblHeader/>
        </w:trPr>
        <w:tc>
          <w:tcPr>
            <w:tcW w:w="3319" w:type="dxa"/>
            <w:shd w:val="clear" w:color="auto" w:fill="300050" w:themeFill="text2"/>
          </w:tcPr>
          <w:p w14:paraId="579A65DA" w14:textId="77661085" w:rsidR="00624F5B" w:rsidRPr="003A58AB" w:rsidRDefault="00624F5B" w:rsidP="00FC4969">
            <w:pPr>
              <w:rPr>
                <w:b/>
                <w:color w:val="FFFFFF" w:themeColor="background1"/>
              </w:rPr>
            </w:pPr>
            <w:r>
              <w:rPr>
                <w:b/>
                <w:color w:val="FFFFFF" w:themeColor="background1"/>
              </w:rPr>
              <w:t xml:space="preserve">Median age </w:t>
            </w:r>
          </w:p>
        </w:tc>
        <w:tc>
          <w:tcPr>
            <w:tcW w:w="3319" w:type="dxa"/>
            <w:shd w:val="clear" w:color="auto" w:fill="300050" w:themeFill="text2"/>
          </w:tcPr>
          <w:p w14:paraId="59423C41" w14:textId="061E0694" w:rsidR="00624F5B" w:rsidRPr="003A58AB" w:rsidRDefault="005F4819" w:rsidP="00FC4969">
            <w:pPr>
              <w:rPr>
                <w:b/>
                <w:color w:val="FFFFFF" w:themeColor="background1"/>
              </w:rPr>
            </w:pPr>
            <w:r>
              <w:rPr>
                <w:b/>
                <w:color w:val="FFFFFF" w:themeColor="background1"/>
              </w:rPr>
              <w:t>Gender</w:t>
            </w:r>
          </w:p>
        </w:tc>
        <w:tc>
          <w:tcPr>
            <w:tcW w:w="3320" w:type="dxa"/>
            <w:shd w:val="clear" w:color="auto" w:fill="300050" w:themeFill="text2"/>
          </w:tcPr>
          <w:p w14:paraId="5D0E5E35" w14:textId="3A8C29BA" w:rsidR="00624F5B" w:rsidRPr="003A58AB" w:rsidRDefault="005F4819" w:rsidP="00FC4969">
            <w:pPr>
              <w:rPr>
                <w:b/>
                <w:color w:val="FFFFFF" w:themeColor="background1"/>
              </w:rPr>
            </w:pPr>
            <w:r>
              <w:rPr>
                <w:b/>
                <w:color w:val="FFFFFF" w:themeColor="background1"/>
              </w:rPr>
              <w:t>Travel party</w:t>
            </w:r>
          </w:p>
        </w:tc>
      </w:tr>
      <w:tr w:rsidR="00624F5B" w:rsidRPr="003A58AB" w14:paraId="5598EBF2" w14:textId="77777777" w:rsidTr="00FC4969">
        <w:tc>
          <w:tcPr>
            <w:tcW w:w="3319" w:type="dxa"/>
          </w:tcPr>
          <w:p w14:paraId="55D8529B" w14:textId="7994E056" w:rsidR="00624F5B" w:rsidRPr="003A58AB" w:rsidRDefault="00872E57" w:rsidP="00FC4969">
            <w:r w:rsidRPr="00872E57">
              <w:t>35 – 44 (same)</w:t>
            </w:r>
          </w:p>
        </w:tc>
        <w:tc>
          <w:tcPr>
            <w:tcW w:w="3319" w:type="dxa"/>
          </w:tcPr>
          <w:p w14:paraId="66E5DEAC" w14:textId="5C50A423" w:rsidR="00624F5B" w:rsidRPr="003A58AB" w:rsidRDefault="00872E57" w:rsidP="00FC4969">
            <w:r w:rsidRPr="00872E57">
              <w:t>Female (51% vs 46%)</w:t>
            </w:r>
          </w:p>
        </w:tc>
        <w:tc>
          <w:tcPr>
            <w:tcW w:w="3320" w:type="dxa"/>
          </w:tcPr>
          <w:p w14:paraId="1B9C4893" w14:textId="43DC16B7" w:rsidR="00624F5B" w:rsidRPr="003A58AB" w:rsidRDefault="00872E57" w:rsidP="00FC4969">
            <w:r w:rsidRPr="00872E57">
              <w:t>Adult couple (35% vs 24%)</w:t>
            </w:r>
          </w:p>
        </w:tc>
      </w:tr>
      <w:tr w:rsidR="00624F5B" w:rsidRPr="005F4819" w14:paraId="0C13DB0B" w14:textId="77777777" w:rsidTr="005F4819">
        <w:tc>
          <w:tcPr>
            <w:tcW w:w="3319" w:type="dxa"/>
            <w:shd w:val="clear" w:color="auto" w:fill="300050" w:themeFill="text2"/>
          </w:tcPr>
          <w:p w14:paraId="66A073C2" w14:textId="166C0D5A" w:rsidR="00624F5B" w:rsidRPr="005F4819" w:rsidRDefault="005F4819" w:rsidP="00FC4969">
            <w:pPr>
              <w:rPr>
                <w:b/>
                <w:color w:val="FFFFFF" w:themeColor="background1"/>
              </w:rPr>
            </w:pPr>
            <w:r>
              <w:rPr>
                <w:b/>
                <w:color w:val="FFFFFF" w:themeColor="background1"/>
              </w:rPr>
              <w:lastRenderedPageBreak/>
              <w:t>Average spend per trip</w:t>
            </w:r>
          </w:p>
        </w:tc>
        <w:tc>
          <w:tcPr>
            <w:tcW w:w="3319" w:type="dxa"/>
            <w:shd w:val="clear" w:color="auto" w:fill="300050" w:themeFill="text2"/>
          </w:tcPr>
          <w:p w14:paraId="3485D94E" w14:textId="2CBD8068" w:rsidR="00624F5B" w:rsidRPr="005F4819" w:rsidRDefault="005F4819" w:rsidP="00FC4969">
            <w:pPr>
              <w:rPr>
                <w:b/>
                <w:color w:val="FFFFFF" w:themeColor="background1"/>
              </w:rPr>
            </w:pPr>
            <w:r>
              <w:rPr>
                <w:b/>
                <w:color w:val="FFFFFF" w:themeColor="background1"/>
              </w:rPr>
              <w:t>Purpose of travel</w:t>
            </w:r>
          </w:p>
        </w:tc>
        <w:tc>
          <w:tcPr>
            <w:tcW w:w="3320" w:type="dxa"/>
            <w:shd w:val="clear" w:color="auto" w:fill="300050" w:themeFill="text2"/>
          </w:tcPr>
          <w:p w14:paraId="0DEE5A88" w14:textId="1452D6C7" w:rsidR="00624F5B" w:rsidRPr="005F4819" w:rsidRDefault="005F4819" w:rsidP="00FC4969">
            <w:pPr>
              <w:rPr>
                <w:b/>
                <w:color w:val="FFFFFF" w:themeColor="background1"/>
              </w:rPr>
            </w:pPr>
            <w:r>
              <w:rPr>
                <w:b/>
                <w:color w:val="FFFFFF" w:themeColor="background1"/>
              </w:rPr>
              <w:t>From (region)</w:t>
            </w:r>
          </w:p>
        </w:tc>
      </w:tr>
      <w:tr w:rsidR="005F4819" w:rsidRPr="005F4819" w14:paraId="0924BA7D" w14:textId="77777777" w:rsidTr="00FC4969">
        <w:tc>
          <w:tcPr>
            <w:tcW w:w="3319" w:type="dxa"/>
          </w:tcPr>
          <w:p w14:paraId="3F37335D" w14:textId="00D18B99" w:rsidR="005F4819" w:rsidRPr="00872E57" w:rsidRDefault="00872E57" w:rsidP="00FC4969">
            <w:r w:rsidRPr="00872E57">
              <w:t>$863 (vs $462)</w:t>
            </w:r>
          </w:p>
        </w:tc>
        <w:tc>
          <w:tcPr>
            <w:tcW w:w="3319" w:type="dxa"/>
          </w:tcPr>
          <w:p w14:paraId="43BA54BF" w14:textId="49E7E0DC" w:rsidR="005F4819" w:rsidRPr="00872E57" w:rsidRDefault="00872E57" w:rsidP="00FC4969">
            <w:r w:rsidRPr="00872E57">
              <w:t>Holiday (66% vs 52%)</w:t>
            </w:r>
          </w:p>
        </w:tc>
        <w:tc>
          <w:tcPr>
            <w:tcW w:w="3320" w:type="dxa"/>
          </w:tcPr>
          <w:p w14:paraId="72799394" w14:textId="77777777" w:rsidR="00872E57" w:rsidRPr="00872E57" w:rsidRDefault="00872E57" w:rsidP="00872E57">
            <w:r w:rsidRPr="00872E57">
              <w:t>Melbourne (20% vs 16%)</w:t>
            </w:r>
          </w:p>
          <w:p w14:paraId="3D1F9C76" w14:textId="77777777" w:rsidR="00872E57" w:rsidRPr="00872E57" w:rsidRDefault="00872E57" w:rsidP="00872E57">
            <w:r w:rsidRPr="00872E57">
              <w:t xml:space="preserve">Sydney (14% vs 15%) </w:t>
            </w:r>
          </w:p>
          <w:p w14:paraId="5E51F4AF" w14:textId="00C232EA" w:rsidR="005F4819" w:rsidRPr="00872E57" w:rsidRDefault="00872E57" w:rsidP="00872E57">
            <w:r w:rsidRPr="00872E57">
              <w:t>Regional NSW (14% vs 15%)</w:t>
            </w:r>
          </w:p>
        </w:tc>
      </w:tr>
    </w:tbl>
    <w:p w14:paraId="1E7989CE" w14:textId="55E56969" w:rsidR="00624F5B" w:rsidRDefault="00624F5B">
      <w:pPr>
        <w:spacing w:before="0" w:after="160" w:line="259" w:lineRule="auto"/>
        <w:rPr>
          <w:bCs/>
        </w:rPr>
      </w:pPr>
    </w:p>
    <w:p w14:paraId="55FC358C" w14:textId="327178AB" w:rsidR="005F4819" w:rsidRDefault="005F4819" w:rsidP="005F4819">
      <w:pPr>
        <w:pStyle w:val="Heading4"/>
      </w:pPr>
      <w:r w:rsidRPr="005F4819">
        <w:t>International</w:t>
      </w:r>
      <w:r>
        <w:t xml:space="preserve"> </w:t>
      </w:r>
      <w:r w:rsidRPr="00624F5B">
        <w:t>travellers</w:t>
      </w:r>
      <w:r>
        <w:t xml:space="preserve"> (leisure and business travellers engaged with agritourism vs overall i</w:t>
      </w:r>
      <w:r w:rsidRPr="005F4819">
        <w:t>nternational</w:t>
      </w:r>
      <w:r>
        <w:t xml:space="preserve"> leisure and business travellers)</w:t>
      </w:r>
    </w:p>
    <w:p w14:paraId="479F1FF7" w14:textId="5DB30C84" w:rsidR="005F4819" w:rsidRDefault="005F4819" w:rsidP="005F4819">
      <w:pPr>
        <w:rPr>
          <w:bCs/>
          <w:sz w:val="26"/>
          <w:szCs w:val="24"/>
        </w:rPr>
      </w:pPr>
      <w:r>
        <w:t>Compared to the average international traveller, those participating in agritourism activities on their trip are more likely to be here for a holiday and have much higher than average spend per trip. These travellers are still likely to be travelling alone, although slightly less than the average. Travellers from the United Kingdom make up a larger share of trips involving agritourism activities than their share of overall international trips.</w:t>
      </w:r>
    </w:p>
    <w:tbl>
      <w:tblPr>
        <w:tblStyle w:val="TableGrid"/>
        <w:tblW w:w="0" w:type="auto"/>
        <w:tblLook w:val="04A0" w:firstRow="1" w:lastRow="0" w:firstColumn="1" w:lastColumn="0" w:noHBand="0" w:noVBand="1"/>
      </w:tblPr>
      <w:tblGrid>
        <w:gridCol w:w="3319"/>
        <w:gridCol w:w="3319"/>
        <w:gridCol w:w="3320"/>
      </w:tblGrid>
      <w:tr w:rsidR="005F4819" w:rsidRPr="003A58AB" w14:paraId="7EE34C62" w14:textId="77777777" w:rsidTr="00FC4969">
        <w:trPr>
          <w:tblHeader/>
        </w:trPr>
        <w:tc>
          <w:tcPr>
            <w:tcW w:w="3319" w:type="dxa"/>
            <w:shd w:val="clear" w:color="auto" w:fill="300050" w:themeFill="text2"/>
          </w:tcPr>
          <w:p w14:paraId="3E9A13FB" w14:textId="77777777" w:rsidR="005F4819" w:rsidRPr="003A58AB" w:rsidRDefault="005F4819" w:rsidP="00FC4969">
            <w:pPr>
              <w:rPr>
                <w:b/>
                <w:color w:val="FFFFFF" w:themeColor="background1"/>
              </w:rPr>
            </w:pPr>
            <w:r>
              <w:rPr>
                <w:b/>
                <w:color w:val="FFFFFF" w:themeColor="background1"/>
              </w:rPr>
              <w:t xml:space="preserve">Median age </w:t>
            </w:r>
          </w:p>
        </w:tc>
        <w:tc>
          <w:tcPr>
            <w:tcW w:w="3319" w:type="dxa"/>
            <w:shd w:val="clear" w:color="auto" w:fill="300050" w:themeFill="text2"/>
          </w:tcPr>
          <w:p w14:paraId="37FD6870" w14:textId="77777777" w:rsidR="005F4819" w:rsidRPr="003A58AB" w:rsidRDefault="005F4819" w:rsidP="00FC4969">
            <w:pPr>
              <w:rPr>
                <w:b/>
                <w:color w:val="FFFFFF" w:themeColor="background1"/>
              </w:rPr>
            </w:pPr>
            <w:r>
              <w:rPr>
                <w:b/>
                <w:color w:val="FFFFFF" w:themeColor="background1"/>
              </w:rPr>
              <w:t>Gender</w:t>
            </w:r>
          </w:p>
        </w:tc>
        <w:tc>
          <w:tcPr>
            <w:tcW w:w="3320" w:type="dxa"/>
            <w:shd w:val="clear" w:color="auto" w:fill="300050" w:themeFill="text2"/>
          </w:tcPr>
          <w:p w14:paraId="0F9C6BE1" w14:textId="77777777" w:rsidR="005F4819" w:rsidRPr="003A58AB" w:rsidRDefault="005F4819" w:rsidP="00FC4969">
            <w:pPr>
              <w:rPr>
                <w:b/>
                <w:color w:val="FFFFFF" w:themeColor="background1"/>
              </w:rPr>
            </w:pPr>
            <w:r>
              <w:rPr>
                <w:b/>
                <w:color w:val="FFFFFF" w:themeColor="background1"/>
              </w:rPr>
              <w:t>Travel party</w:t>
            </w:r>
          </w:p>
        </w:tc>
      </w:tr>
      <w:tr w:rsidR="005F4819" w:rsidRPr="003A58AB" w14:paraId="63A1B60F" w14:textId="77777777" w:rsidTr="00FC4969">
        <w:tc>
          <w:tcPr>
            <w:tcW w:w="3319" w:type="dxa"/>
          </w:tcPr>
          <w:p w14:paraId="70F64DE6" w14:textId="460F7899" w:rsidR="005F4819" w:rsidRPr="003A58AB" w:rsidRDefault="00872E57" w:rsidP="00FC4969">
            <w:r w:rsidRPr="00872E57">
              <w:t>45 – 54 (same)</w:t>
            </w:r>
          </w:p>
        </w:tc>
        <w:tc>
          <w:tcPr>
            <w:tcW w:w="3319" w:type="dxa"/>
          </w:tcPr>
          <w:p w14:paraId="34176BF6" w14:textId="5F16E3A9" w:rsidR="005F4819" w:rsidRPr="003A58AB" w:rsidRDefault="00872E57" w:rsidP="00FC4969">
            <w:r w:rsidRPr="00872E57">
              <w:t>Female (same)</w:t>
            </w:r>
          </w:p>
        </w:tc>
        <w:tc>
          <w:tcPr>
            <w:tcW w:w="3320" w:type="dxa"/>
          </w:tcPr>
          <w:p w14:paraId="01959C81" w14:textId="5880A6D6" w:rsidR="005F4819" w:rsidRPr="003A58AB" w:rsidRDefault="00872E57" w:rsidP="00FC4969">
            <w:r w:rsidRPr="00872E57">
              <w:t>Travelling alone (49% vs 54%)</w:t>
            </w:r>
          </w:p>
        </w:tc>
      </w:tr>
      <w:tr w:rsidR="005F4819" w:rsidRPr="005F4819" w14:paraId="65D02D7B" w14:textId="77777777" w:rsidTr="00FC4969">
        <w:tc>
          <w:tcPr>
            <w:tcW w:w="3319" w:type="dxa"/>
            <w:shd w:val="clear" w:color="auto" w:fill="300050" w:themeFill="text2"/>
          </w:tcPr>
          <w:p w14:paraId="4DD25C4E" w14:textId="77777777" w:rsidR="005F4819" w:rsidRPr="005F4819" w:rsidRDefault="005F4819" w:rsidP="00FC4969">
            <w:pPr>
              <w:rPr>
                <w:b/>
                <w:color w:val="FFFFFF" w:themeColor="background1"/>
              </w:rPr>
            </w:pPr>
            <w:r>
              <w:rPr>
                <w:b/>
                <w:color w:val="FFFFFF" w:themeColor="background1"/>
              </w:rPr>
              <w:t>Average spend per trip</w:t>
            </w:r>
          </w:p>
        </w:tc>
        <w:tc>
          <w:tcPr>
            <w:tcW w:w="3319" w:type="dxa"/>
            <w:shd w:val="clear" w:color="auto" w:fill="300050" w:themeFill="text2"/>
          </w:tcPr>
          <w:p w14:paraId="1A2BEF22" w14:textId="77777777" w:rsidR="005F4819" w:rsidRPr="005F4819" w:rsidRDefault="005F4819" w:rsidP="00FC4969">
            <w:pPr>
              <w:rPr>
                <w:b/>
                <w:color w:val="FFFFFF" w:themeColor="background1"/>
              </w:rPr>
            </w:pPr>
            <w:r>
              <w:rPr>
                <w:b/>
                <w:color w:val="FFFFFF" w:themeColor="background1"/>
              </w:rPr>
              <w:t>Purpose of travel</w:t>
            </w:r>
          </w:p>
        </w:tc>
        <w:tc>
          <w:tcPr>
            <w:tcW w:w="3320" w:type="dxa"/>
            <w:shd w:val="clear" w:color="auto" w:fill="300050" w:themeFill="text2"/>
          </w:tcPr>
          <w:p w14:paraId="2281BA2E" w14:textId="66FB8B81" w:rsidR="005F4819" w:rsidRPr="005F4819" w:rsidRDefault="005F4819" w:rsidP="00FC4969">
            <w:pPr>
              <w:rPr>
                <w:b/>
                <w:color w:val="FFFFFF" w:themeColor="background1"/>
              </w:rPr>
            </w:pPr>
            <w:r>
              <w:rPr>
                <w:b/>
                <w:color w:val="FFFFFF" w:themeColor="background1"/>
              </w:rPr>
              <w:t>From</w:t>
            </w:r>
          </w:p>
        </w:tc>
      </w:tr>
      <w:tr w:rsidR="005F4819" w:rsidRPr="005F4819" w14:paraId="01E7F3FF" w14:textId="77777777" w:rsidTr="00FC4969">
        <w:tc>
          <w:tcPr>
            <w:tcW w:w="3319" w:type="dxa"/>
          </w:tcPr>
          <w:p w14:paraId="7E6DBF6A" w14:textId="6B64DA9C" w:rsidR="005F4819" w:rsidRPr="00872E57" w:rsidRDefault="00872E57" w:rsidP="00FC4969">
            <w:r w:rsidRPr="00872E57">
              <w:t>$3,894 (vs $2,044)</w:t>
            </w:r>
          </w:p>
        </w:tc>
        <w:tc>
          <w:tcPr>
            <w:tcW w:w="3319" w:type="dxa"/>
          </w:tcPr>
          <w:p w14:paraId="53554FC0" w14:textId="626E913E" w:rsidR="005F4819" w:rsidRPr="00872E57" w:rsidRDefault="00872E57" w:rsidP="00FC4969">
            <w:r w:rsidRPr="00872E57">
              <w:t>Holiday (56% vs 49%)</w:t>
            </w:r>
          </w:p>
        </w:tc>
        <w:tc>
          <w:tcPr>
            <w:tcW w:w="3320" w:type="dxa"/>
          </w:tcPr>
          <w:p w14:paraId="7A072317" w14:textId="77777777" w:rsidR="00872E57" w:rsidRPr="00872E57" w:rsidRDefault="00872E57" w:rsidP="00872E57">
            <w:r w:rsidRPr="00872E57">
              <w:t>United Kingdom (12% vs 8%)</w:t>
            </w:r>
          </w:p>
          <w:p w14:paraId="7EDA2BE1" w14:textId="77777777" w:rsidR="00872E57" w:rsidRPr="00872E57" w:rsidRDefault="00872E57" w:rsidP="00872E57">
            <w:r w:rsidRPr="00872E57">
              <w:t>China (10% vs 9%)</w:t>
            </w:r>
          </w:p>
          <w:p w14:paraId="0AE1578A" w14:textId="12D240C4" w:rsidR="005F4819" w:rsidRPr="00872E57" w:rsidRDefault="00872E57" w:rsidP="00872E57">
            <w:r w:rsidRPr="00872E57">
              <w:t>United States of America (10% vs 9%)</w:t>
            </w:r>
          </w:p>
        </w:tc>
      </w:tr>
    </w:tbl>
    <w:p w14:paraId="69A4B3D9" w14:textId="77777777" w:rsidR="00C60DD6" w:rsidRDefault="00C60DD6" w:rsidP="005F4819">
      <w:pPr>
        <w:spacing w:before="0" w:after="160" w:line="259" w:lineRule="auto"/>
        <w:rPr>
          <w:bCs/>
          <w:sz w:val="26"/>
          <w:szCs w:val="24"/>
        </w:rPr>
      </w:pPr>
    </w:p>
    <w:p w14:paraId="3A2100C1" w14:textId="6899A6E6" w:rsidR="00A617D1" w:rsidRDefault="00A617D1" w:rsidP="005F4819">
      <w:pPr>
        <w:spacing w:before="0" w:after="160" w:line="259" w:lineRule="auto"/>
        <w:rPr>
          <w:bCs/>
          <w:sz w:val="26"/>
          <w:szCs w:val="24"/>
        </w:rPr>
      </w:pPr>
      <w:r w:rsidRPr="00A617D1">
        <w:rPr>
          <w:bCs/>
          <w:sz w:val="26"/>
          <w:szCs w:val="24"/>
        </w:rPr>
        <w:t>United Kingdom, China, and the United States were the top 3 markets for agritourism visitation and spend in Australia in 2024</w:t>
      </w:r>
    </w:p>
    <w:p w14:paraId="4CD2DCC8" w14:textId="77777777" w:rsidR="00A617D1" w:rsidRDefault="00A617D1" w:rsidP="005F4819">
      <w:pPr>
        <w:spacing w:before="0" w:after="160" w:line="259" w:lineRule="auto"/>
      </w:pPr>
      <w:r w:rsidRPr="00A617D1">
        <w:t>These top 3 markets account for 1 in 3 trips that include agritourism and $1 in $3 dollars spent in Australia on trips involving agritourism, making them a key market for the success of agritourism. In 2024, these 3 markets contributed $1.8b to Australia through trips that included agritourism.</w:t>
      </w:r>
    </w:p>
    <w:p w14:paraId="296DE5B6" w14:textId="77777777" w:rsidR="00A617D1" w:rsidRDefault="00A617D1" w:rsidP="005F4819">
      <w:pPr>
        <w:spacing w:before="0" w:after="160" w:line="259" w:lineRule="auto"/>
      </w:pPr>
      <w:r w:rsidRPr="00A617D1">
        <w:t>Of the top 10 visitor markets, Japan and Germany have a much higher than average trip length for trips involving</w:t>
      </w:r>
      <w:r>
        <w:t xml:space="preserve"> </w:t>
      </w:r>
      <w:r w:rsidRPr="00A617D1">
        <w:t>agritourism at 61 and 56 nights, respectively. These markets also have higher spend per trip, however lower than average spend per night.</w:t>
      </w:r>
    </w:p>
    <w:p w14:paraId="5FDC80B7" w14:textId="23DE4878" w:rsidR="00A617D1" w:rsidRDefault="00A617D1" w:rsidP="005F4819">
      <w:pPr>
        <w:spacing w:before="0" w:after="160" w:line="259" w:lineRule="auto"/>
      </w:pPr>
      <w:r>
        <w:t xml:space="preserve">Top 10 </w:t>
      </w:r>
      <w:r w:rsidRPr="00A617D1">
        <w:t>markets of origin of visitors to Australia experiencing agritourism in 2024</w:t>
      </w:r>
      <w:r>
        <w:t>:</w:t>
      </w:r>
    </w:p>
    <w:p w14:paraId="0DBA3D0C" w14:textId="4964B309" w:rsidR="00A617D1" w:rsidRDefault="00A617D1" w:rsidP="00A617D1">
      <w:pPr>
        <w:pStyle w:val="ListParagraph"/>
        <w:numPr>
          <w:ilvl w:val="0"/>
          <w:numId w:val="26"/>
        </w:numPr>
        <w:spacing w:before="0" w:after="160" w:line="259" w:lineRule="auto"/>
      </w:pPr>
      <w:r>
        <w:t>United Kingdom</w:t>
      </w:r>
    </w:p>
    <w:p w14:paraId="3CC4A0F8" w14:textId="05795167" w:rsidR="00A617D1" w:rsidRDefault="00A617D1" w:rsidP="00A617D1">
      <w:pPr>
        <w:pStyle w:val="ListParagraph"/>
        <w:numPr>
          <w:ilvl w:val="0"/>
          <w:numId w:val="26"/>
        </w:numPr>
        <w:spacing w:before="0" w:after="160" w:line="259" w:lineRule="auto"/>
      </w:pPr>
      <w:r>
        <w:lastRenderedPageBreak/>
        <w:t>China</w:t>
      </w:r>
    </w:p>
    <w:p w14:paraId="5E6018FE" w14:textId="793EC6EC" w:rsidR="00A617D1" w:rsidRDefault="00A617D1" w:rsidP="00A617D1">
      <w:pPr>
        <w:pStyle w:val="ListParagraph"/>
        <w:numPr>
          <w:ilvl w:val="0"/>
          <w:numId w:val="26"/>
        </w:numPr>
        <w:spacing w:before="0" w:after="160" w:line="259" w:lineRule="auto"/>
      </w:pPr>
      <w:r>
        <w:t>United States</w:t>
      </w:r>
    </w:p>
    <w:p w14:paraId="27ABAC61" w14:textId="2E68AB72" w:rsidR="00A617D1" w:rsidRDefault="00A617D1" w:rsidP="00A617D1">
      <w:pPr>
        <w:pStyle w:val="ListParagraph"/>
        <w:numPr>
          <w:ilvl w:val="0"/>
          <w:numId w:val="26"/>
        </w:numPr>
        <w:spacing w:before="0" w:after="160" w:line="259" w:lineRule="auto"/>
      </w:pPr>
      <w:r>
        <w:t>New Zealand</w:t>
      </w:r>
    </w:p>
    <w:p w14:paraId="0000D27E" w14:textId="7BBA2B63" w:rsidR="00A617D1" w:rsidRDefault="00A617D1" w:rsidP="00A617D1">
      <w:pPr>
        <w:pStyle w:val="ListParagraph"/>
        <w:numPr>
          <w:ilvl w:val="0"/>
          <w:numId w:val="26"/>
        </w:numPr>
        <w:spacing w:before="0" w:after="160" w:line="259" w:lineRule="auto"/>
      </w:pPr>
      <w:r>
        <w:t>Korea</w:t>
      </w:r>
    </w:p>
    <w:p w14:paraId="3A97E9AA" w14:textId="32CBA507" w:rsidR="00A617D1" w:rsidRDefault="00A617D1" w:rsidP="00A617D1">
      <w:pPr>
        <w:pStyle w:val="ListParagraph"/>
        <w:numPr>
          <w:ilvl w:val="0"/>
          <w:numId w:val="26"/>
        </w:numPr>
        <w:spacing w:before="0" w:after="160" w:line="259" w:lineRule="auto"/>
      </w:pPr>
      <w:r>
        <w:t>Singapore</w:t>
      </w:r>
    </w:p>
    <w:p w14:paraId="05278D98" w14:textId="77777777" w:rsidR="00A617D1" w:rsidRDefault="00A617D1" w:rsidP="00A617D1">
      <w:pPr>
        <w:pStyle w:val="ListParagraph"/>
        <w:numPr>
          <w:ilvl w:val="0"/>
          <w:numId w:val="26"/>
        </w:numPr>
        <w:spacing w:before="0" w:after="160" w:line="259" w:lineRule="auto"/>
      </w:pPr>
      <w:r>
        <w:t>India</w:t>
      </w:r>
    </w:p>
    <w:p w14:paraId="27E0A2B7" w14:textId="2E58D94F" w:rsidR="00A617D1" w:rsidRDefault="00A617D1" w:rsidP="00A617D1">
      <w:pPr>
        <w:pStyle w:val="ListParagraph"/>
        <w:numPr>
          <w:ilvl w:val="0"/>
          <w:numId w:val="26"/>
        </w:numPr>
        <w:spacing w:before="0" w:after="160" w:line="259" w:lineRule="auto"/>
      </w:pPr>
      <w:r>
        <w:t>Malaysia</w:t>
      </w:r>
    </w:p>
    <w:p w14:paraId="6FCF0C3C" w14:textId="46F9EB60" w:rsidR="00A617D1" w:rsidRDefault="00A617D1" w:rsidP="00A617D1">
      <w:pPr>
        <w:pStyle w:val="ListParagraph"/>
        <w:numPr>
          <w:ilvl w:val="0"/>
          <w:numId w:val="26"/>
        </w:numPr>
        <w:spacing w:before="0" w:after="160" w:line="259" w:lineRule="auto"/>
      </w:pPr>
      <w:r>
        <w:t>Japan</w:t>
      </w:r>
    </w:p>
    <w:p w14:paraId="002DF0F0" w14:textId="77777777" w:rsidR="00A617D1" w:rsidRPr="00A617D1" w:rsidRDefault="00A617D1" w:rsidP="00A617D1">
      <w:pPr>
        <w:pStyle w:val="ListParagraph"/>
        <w:numPr>
          <w:ilvl w:val="0"/>
          <w:numId w:val="26"/>
        </w:numPr>
        <w:spacing w:before="0" w:after="160" w:line="259" w:lineRule="auto"/>
        <w:rPr>
          <w:bCs/>
        </w:rPr>
      </w:pPr>
      <w:r>
        <w:t xml:space="preserve">Germany </w:t>
      </w:r>
    </w:p>
    <w:p w14:paraId="500EB44E" w14:textId="77777777" w:rsidR="00A617D1" w:rsidRPr="00A617D1" w:rsidRDefault="00A617D1" w:rsidP="00A617D1">
      <w:pPr>
        <w:spacing w:before="0" w:after="160" w:line="259" w:lineRule="auto"/>
        <w:rPr>
          <w:bCs/>
        </w:rPr>
      </w:pPr>
    </w:p>
    <w:tbl>
      <w:tblPr>
        <w:tblStyle w:val="TableGrid"/>
        <w:tblW w:w="0" w:type="auto"/>
        <w:tblLook w:val="04A0" w:firstRow="1" w:lastRow="0" w:firstColumn="1" w:lastColumn="0" w:noHBand="0" w:noVBand="1"/>
      </w:tblPr>
      <w:tblGrid>
        <w:gridCol w:w="3319"/>
        <w:gridCol w:w="3319"/>
        <w:gridCol w:w="3320"/>
      </w:tblGrid>
      <w:tr w:rsidR="00A617D1" w:rsidRPr="003A58AB" w14:paraId="3E4A72AF" w14:textId="77777777" w:rsidTr="002C5908">
        <w:trPr>
          <w:tblHeader/>
        </w:trPr>
        <w:tc>
          <w:tcPr>
            <w:tcW w:w="3319" w:type="dxa"/>
            <w:shd w:val="clear" w:color="auto" w:fill="300050" w:themeFill="text2"/>
            <w:vAlign w:val="center"/>
          </w:tcPr>
          <w:p w14:paraId="3F5C894D" w14:textId="14A160B0" w:rsidR="00A617D1" w:rsidRPr="00A617D1" w:rsidRDefault="00A617D1" w:rsidP="00A617D1">
            <w:pPr>
              <w:rPr>
                <w:b/>
                <w:bCs/>
                <w:color w:val="FFFFFF" w:themeColor="background1"/>
              </w:rPr>
            </w:pPr>
            <w:r w:rsidRPr="00A617D1">
              <w:rPr>
                <w:rFonts w:asciiTheme="majorHAnsi" w:eastAsia="Verdana"/>
                <w:b/>
                <w:bCs/>
                <w:color w:val="FFFFFF" w:themeColor="background1"/>
                <w:kern w:val="24"/>
                <w:sz w:val="16"/>
                <w:szCs w:val="16"/>
              </w:rPr>
              <w:t>Top 5 markets of origin for agritourism</w:t>
            </w:r>
          </w:p>
        </w:tc>
        <w:tc>
          <w:tcPr>
            <w:tcW w:w="3319" w:type="dxa"/>
            <w:shd w:val="clear" w:color="auto" w:fill="300050" w:themeFill="text2"/>
            <w:vAlign w:val="center"/>
          </w:tcPr>
          <w:p w14:paraId="5C0C219E" w14:textId="3EABD90A" w:rsidR="00A617D1" w:rsidRPr="00A617D1" w:rsidRDefault="00A617D1" w:rsidP="00A617D1">
            <w:pPr>
              <w:rPr>
                <w:b/>
                <w:bCs/>
                <w:color w:val="FFFFFF" w:themeColor="background1"/>
              </w:rPr>
            </w:pPr>
            <w:r w:rsidRPr="00A617D1">
              <w:rPr>
                <w:rFonts w:asciiTheme="majorHAnsi" w:eastAsia="Verdana"/>
                <w:b/>
                <w:bCs/>
                <w:color w:val="FFFFFF" w:themeColor="background1"/>
                <w:kern w:val="24"/>
                <w:sz w:val="16"/>
                <w:szCs w:val="16"/>
              </w:rPr>
              <w:t>Visitors (000)</w:t>
            </w:r>
          </w:p>
        </w:tc>
        <w:tc>
          <w:tcPr>
            <w:tcW w:w="3320" w:type="dxa"/>
            <w:shd w:val="clear" w:color="auto" w:fill="300050" w:themeFill="text2"/>
            <w:vAlign w:val="center"/>
          </w:tcPr>
          <w:p w14:paraId="587291A6" w14:textId="098B8234" w:rsidR="00A617D1" w:rsidRPr="00A617D1" w:rsidRDefault="00A617D1" w:rsidP="00A617D1">
            <w:pPr>
              <w:rPr>
                <w:b/>
                <w:bCs/>
                <w:color w:val="FFFFFF" w:themeColor="background1"/>
              </w:rPr>
            </w:pPr>
            <w:r w:rsidRPr="00A617D1">
              <w:rPr>
                <w:rFonts w:asciiTheme="majorHAnsi" w:eastAsia="Verdana"/>
                <w:b/>
                <w:bCs/>
                <w:color w:val="FFFFFF" w:themeColor="background1"/>
                <w:kern w:val="24"/>
                <w:sz w:val="16"/>
                <w:szCs w:val="16"/>
              </w:rPr>
              <w:t>Expenditure ($M)</w:t>
            </w:r>
          </w:p>
        </w:tc>
      </w:tr>
      <w:tr w:rsidR="00A617D1" w:rsidRPr="003A58AB" w14:paraId="5673F5BB" w14:textId="77777777" w:rsidTr="00A617D1">
        <w:tc>
          <w:tcPr>
            <w:tcW w:w="3319" w:type="dxa"/>
            <w:vAlign w:val="center"/>
          </w:tcPr>
          <w:p w14:paraId="491E7432" w14:textId="480EC7A7" w:rsidR="00A617D1" w:rsidRPr="00A617D1" w:rsidRDefault="00A617D1" w:rsidP="00A617D1">
            <w:r w:rsidRPr="00A617D1">
              <w:t>United Kingdom</w:t>
            </w:r>
          </w:p>
        </w:tc>
        <w:tc>
          <w:tcPr>
            <w:tcW w:w="3319" w:type="dxa"/>
            <w:vAlign w:val="center"/>
          </w:tcPr>
          <w:p w14:paraId="305C8D17" w14:textId="7A0E256F" w:rsidR="00A617D1" w:rsidRPr="00A617D1" w:rsidRDefault="00A617D1" w:rsidP="00A617D1">
            <w:r w:rsidRPr="00A617D1">
              <w:t xml:space="preserve">168,033 </w:t>
            </w:r>
          </w:p>
        </w:tc>
        <w:tc>
          <w:tcPr>
            <w:tcW w:w="3320" w:type="dxa"/>
            <w:vAlign w:val="center"/>
          </w:tcPr>
          <w:p w14:paraId="699D668C" w14:textId="0BBF1661" w:rsidR="00A617D1" w:rsidRPr="00A617D1" w:rsidRDefault="00A617D1" w:rsidP="00A617D1">
            <w:r w:rsidRPr="00A617D1">
              <w:t xml:space="preserve"> $739 </w:t>
            </w:r>
          </w:p>
        </w:tc>
      </w:tr>
      <w:tr w:rsidR="00A617D1" w:rsidRPr="005F4819" w14:paraId="609C178F" w14:textId="77777777" w:rsidTr="00A617D1">
        <w:tc>
          <w:tcPr>
            <w:tcW w:w="3319" w:type="dxa"/>
            <w:vAlign w:val="center"/>
          </w:tcPr>
          <w:p w14:paraId="39A6DDDA" w14:textId="33752496" w:rsidR="00A617D1" w:rsidRPr="00A617D1" w:rsidRDefault="00A617D1" w:rsidP="00A617D1">
            <w:r w:rsidRPr="00A617D1">
              <w:t>China</w:t>
            </w:r>
          </w:p>
        </w:tc>
        <w:tc>
          <w:tcPr>
            <w:tcW w:w="3319" w:type="dxa"/>
            <w:vAlign w:val="center"/>
          </w:tcPr>
          <w:p w14:paraId="5199C2A5" w14:textId="73BAD922" w:rsidR="00A617D1" w:rsidRPr="00A617D1" w:rsidRDefault="00A617D1" w:rsidP="00A617D1">
            <w:r w:rsidRPr="00A617D1">
              <w:t xml:space="preserve">143,444 </w:t>
            </w:r>
          </w:p>
        </w:tc>
        <w:tc>
          <w:tcPr>
            <w:tcW w:w="3320" w:type="dxa"/>
            <w:vAlign w:val="center"/>
          </w:tcPr>
          <w:p w14:paraId="12CD149A" w14:textId="57F76947" w:rsidR="00A617D1" w:rsidRPr="00A617D1" w:rsidRDefault="00A617D1" w:rsidP="00A617D1">
            <w:r w:rsidRPr="00A617D1">
              <w:t xml:space="preserve"> $506 </w:t>
            </w:r>
          </w:p>
        </w:tc>
      </w:tr>
      <w:tr w:rsidR="00A617D1" w:rsidRPr="005F4819" w14:paraId="3D9A5FA6" w14:textId="77777777" w:rsidTr="00A617D1">
        <w:tc>
          <w:tcPr>
            <w:tcW w:w="3319" w:type="dxa"/>
            <w:vAlign w:val="center"/>
          </w:tcPr>
          <w:p w14:paraId="5F40AAF4" w14:textId="498EBB95" w:rsidR="00A617D1" w:rsidRPr="00A617D1" w:rsidRDefault="00A617D1" w:rsidP="00A617D1">
            <w:r w:rsidRPr="00A617D1">
              <w:t>United States of America</w:t>
            </w:r>
          </w:p>
        </w:tc>
        <w:tc>
          <w:tcPr>
            <w:tcW w:w="3319" w:type="dxa"/>
            <w:vAlign w:val="center"/>
          </w:tcPr>
          <w:p w14:paraId="4EEB42F5" w14:textId="03BF2776" w:rsidR="00A617D1" w:rsidRPr="00A617D1" w:rsidRDefault="00A617D1" w:rsidP="00A617D1">
            <w:r w:rsidRPr="00A617D1">
              <w:t xml:space="preserve">138,078 </w:t>
            </w:r>
          </w:p>
        </w:tc>
        <w:tc>
          <w:tcPr>
            <w:tcW w:w="3320" w:type="dxa"/>
            <w:vAlign w:val="center"/>
          </w:tcPr>
          <w:p w14:paraId="3274958F" w14:textId="575995A9" w:rsidR="00A617D1" w:rsidRPr="00A617D1" w:rsidRDefault="00A617D1" w:rsidP="00A617D1">
            <w:r w:rsidRPr="00A617D1">
              <w:t xml:space="preserve"> $512 </w:t>
            </w:r>
          </w:p>
        </w:tc>
      </w:tr>
      <w:tr w:rsidR="00A617D1" w:rsidRPr="005F4819" w14:paraId="0BF661D7" w14:textId="77777777" w:rsidTr="00A617D1">
        <w:tc>
          <w:tcPr>
            <w:tcW w:w="3319" w:type="dxa"/>
            <w:vAlign w:val="center"/>
          </w:tcPr>
          <w:p w14:paraId="775377A4" w14:textId="0FCB9C7C" w:rsidR="00A617D1" w:rsidRPr="00A617D1" w:rsidRDefault="00A617D1" w:rsidP="00A617D1">
            <w:r w:rsidRPr="00A617D1">
              <w:t>New Zealand</w:t>
            </w:r>
          </w:p>
        </w:tc>
        <w:tc>
          <w:tcPr>
            <w:tcW w:w="3319" w:type="dxa"/>
            <w:vAlign w:val="center"/>
          </w:tcPr>
          <w:p w14:paraId="5821C7E3" w14:textId="113EF187" w:rsidR="00A617D1" w:rsidRPr="00A617D1" w:rsidRDefault="00A617D1" w:rsidP="00A617D1">
            <w:r w:rsidRPr="00A617D1">
              <w:t xml:space="preserve">122,552 </w:t>
            </w:r>
          </w:p>
        </w:tc>
        <w:tc>
          <w:tcPr>
            <w:tcW w:w="3320" w:type="dxa"/>
            <w:vAlign w:val="center"/>
          </w:tcPr>
          <w:p w14:paraId="22FE2C4E" w14:textId="36C48F87" w:rsidR="00A617D1" w:rsidRPr="00A617D1" w:rsidRDefault="00A617D1" w:rsidP="00A617D1">
            <w:r w:rsidRPr="00A617D1">
              <w:t xml:space="preserve"> $290 </w:t>
            </w:r>
          </w:p>
        </w:tc>
      </w:tr>
      <w:tr w:rsidR="00A617D1" w:rsidRPr="005F4819" w14:paraId="19FBEE7A" w14:textId="77777777" w:rsidTr="00A617D1">
        <w:tc>
          <w:tcPr>
            <w:tcW w:w="3319" w:type="dxa"/>
            <w:vAlign w:val="center"/>
          </w:tcPr>
          <w:p w14:paraId="06141CBF" w14:textId="2DC2EC76" w:rsidR="00A617D1" w:rsidRPr="00A617D1" w:rsidRDefault="00A617D1" w:rsidP="00A617D1">
            <w:r w:rsidRPr="00A617D1">
              <w:t>Korea</w:t>
            </w:r>
          </w:p>
        </w:tc>
        <w:tc>
          <w:tcPr>
            <w:tcW w:w="3319" w:type="dxa"/>
            <w:vAlign w:val="center"/>
          </w:tcPr>
          <w:p w14:paraId="4C9F823C" w14:textId="29F62A1C" w:rsidR="00A617D1" w:rsidRPr="00A617D1" w:rsidRDefault="00A617D1" w:rsidP="00A617D1">
            <w:r w:rsidRPr="00A617D1">
              <w:t xml:space="preserve">116,116 </w:t>
            </w:r>
          </w:p>
        </w:tc>
        <w:tc>
          <w:tcPr>
            <w:tcW w:w="3320" w:type="dxa"/>
            <w:vAlign w:val="center"/>
          </w:tcPr>
          <w:p w14:paraId="1E541024" w14:textId="63BA3356" w:rsidR="00A617D1" w:rsidRPr="00A617D1" w:rsidRDefault="00A617D1" w:rsidP="00A617D1">
            <w:r w:rsidRPr="00A617D1">
              <w:t xml:space="preserve"> $491 </w:t>
            </w:r>
          </w:p>
        </w:tc>
      </w:tr>
    </w:tbl>
    <w:p w14:paraId="277CA030" w14:textId="77777777" w:rsidR="00A617D1" w:rsidRDefault="00A617D1" w:rsidP="00A617D1">
      <w:pPr>
        <w:spacing w:before="0" w:after="160" w:line="259" w:lineRule="auto"/>
      </w:pPr>
    </w:p>
    <w:p w14:paraId="731A2B93" w14:textId="4A5CED40" w:rsidR="00A617D1" w:rsidRDefault="00A617D1" w:rsidP="00A617D1">
      <w:pPr>
        <w:pStyle w:val="Heading4"/>
      </w:pPr>
      <w:r>
        <w:t>Business events and agritourism activities (engaged with agritourism vs overall i</w:t>
      </w:r>
      <w:r w:rsidRPr="005F4819">
        <w:t>nternational</w:t>
      </w:r>
      <w:r>
        <w:t xml:space="preserve"> leisure and business travellers)</w:t>
      </w:r>
    </w:p>
    <w:p w14:paraId="4E0693F2" w14:textId="28210D4A" w:rsidR="00A617D1" w:rsidRDefault="00A617D1" w:rsidP="00A617D1">
      <w:r>
        <w:t>Business events attendees, or those accompanying business events attendees, who engage with agritourism spend much more and stay longer than the average business events travellers. They are more likely to have a stopover in Western Australia and South Australia than other business events travellers.</w:t>
      </w:r>
    </w:p>
    <w:p w14:paraId="11ACD573" w14:textId="0BC55F08" w:rsidR="00C60DD6" w:rsidRPr="00C60DD6" w:rsidRDefault="00C60DD6" w:rsidP="00C60DD6">
      <w:r w:rsidRPr="00C60DD6">
        <w:t>Travellers associated with business events engaging in agritourism:</w:t>
      </w:r>
      <w:r>
        <w:t xml:space="preserve"> </w:t>
      </w:r>
      <w:r w:rsidRPr="00C60DD6">
        <w:t>573,000</w:t>
      </w:r>
    </w:p>
    <w:p w14:paraId="003474C1" w14:textId="7BCF8C68" w:rsidR="00C60DD6" w:rsidRPr="00A617D1" w:rsidRDefault="00C60DD6" w:rsidP="00A617D1">
      <w:r w:rsidRPr="00C60DD6">
        <w:t>Spend associated with business events engaging in agritourism:</w:t>
      </w:r>
      <w:r>
        <w:t xml:space="preserve"> </w:t>
      </w:r>
      <w:r w:rsidRPr="00C60DD6">
        <w:t>$1.5 billion</w:t>
      </w:r>
    </w:p>
    <w:tbl>
      <w:tblPr>
        <w:tblStyle w:val="TableGrid"/>
        <w:tblW w:w="0" w:type="auto"/>
        <w:tblLook w:val="04A0" w:firstRow="1" w:lastRow="0" w:firstColumn="1" w:lastColumn="0" w:noHBand="0" w:noVBand="1"/>
      </w:tblPr>
      <w:tblGrid>
        <w:gridCol w:w="3319"/>
        <w:gridCol w:w="3319"/>
        <w:gridCol w:w="3320"/>
      </w:tblGrid>
      <w:tr w:rsidR="00A617D1" w:rsidRPr="003A58AB" w14:paraId="3DD79582" w14:textId="77777777" w:rsidTr="00FC4969">
        <w:trPr>
          <w:tblHeader/>
        </w:trPr>
        <w:tc>
          <w:tcPr>
            <w:tcW w:w="3319" w:type="dxa"/>
            <w:shd w:val="clear" w:color="auto" w:fill="300050" w:themeFill="text2"/>
          </w:tcPr>
          <w:p w14:paraId="6D669A54" w14:textId="77777777" w:rsidR="00A617D1" w:rsidRPr="003A58AB" w:rsidRDefault="00A617D1" w:rsidP="00FC4969">
            <w:pPr>
              <w:rPr>
                <w:b/>
                <w:color w:val="FFFFFF" w:themeColor="background1"/>
              </w:rPr>
            </w:pPr>
            <w:r>
              <w:rPr>
                <w:b/>
                <w:color w:val="FFFFFF" w:themeColor="background1"/>
              </w:rPr>
              <w:t xml:space="preserve">Median age </w:t>
            </w:r>
          </w:p>
        </w:tc>
        <w:tc>
          <w:tcPr>
            <w:tcW w:w="3319" w:type="dxa"/>
            <w:shd w:val="clear" w:color="auto" w:fill="300050" w:themeFill="text2"/>
          </w:tcPr>
          <w:p w14:paraId="143B8C8B" w14:textId="77777777" w:rsidR="00A617D1" w:rsidRPr="003A58AB" w:rsidRDefault="00A617D1" w:rsidP="00FC4969">
            <w:pPr>
              <w:rPr>
                <w:b/>
                <w:color w:val="FFFFFF" w:themeColor="background1"/>
              </w:rPr>
            </w:pPr>
            <w:r>
              <w:rPr>
                <w:b/>
                <w:color w:val="FFFFFF" w:themeColor="background1"/>
              </w:rPr>
              <w:t>Gender</w:t>
            </w:r>
          </w:p>
        </w:tc>
        <w:tc>
          <w:tcPr>
            <w:tcW w:w="3320" w:type="dxa"/>
            <w:shd w:val="clear" w:color="auto" w:fill="300050" w:themeFill="text2"/>
          </w:tcPr>
          <w:p w14:paraId="4B8B6612" w14:textId="0535ED21" w:rsidR="00A617D1" w:rsidRPr="003A58AB" w:rsidRDefault="00C60DD6" w:rsidP="00FC4969">
            <w:pPr>
              <w:rPr>
                <w:b/>
                <w:color w:val="FFFFFF" w:themeColor="background1"/>
              </w:rPr>
            </w:pPr>
            <w:r w:rsidRPr="00C60DD6">
              <w:rPr>
                <w:b/>
                <w:color w:val="FFFFFF" w:themeColor="background1"/>
              </w:rPr>
              <w:t>Average length of trip</w:t>
            </w:r>
          </w:p>
        </w:tc>
      </w:tr>
      <w:tr w:rsidR="00A617D1" w:rsidRPr="003A58AB" w14:paraId="423FAFE8" w14:textId="77777777" w:rsidTr="00FC4969">
        <w:tc>
          <w:tcPr>
            <w:tcW w:w="3319" w:type="dxa"/>
          </w:tcPr>
          <w:p w14:paraId="128F7552" w14:textId="781B52E3" w:rsidR="00A617D1" w:rsidRPr="003A58AB" w:rsidRDefault="00872E57" w:rsidP="00FC4969">
            <w:r w:rsidRPr="00872E57">
              <w:t>35 – 44 (vs 45 – 54)</w:t>
            </w:r>
          </w:p>
        </w:tc>
        <w:tc>
          <w:tcPr>
            <w:tcW w:w="3319" w:type="dxa"/>
          </w:tcPr>
          <w:p w14:paraId="24947D25" w14:textId="4937225D" w:rsidR="00A617D1" w:rsidRPr="003A58AB" w:rsidRDefault="00872E57" w:rsidP="00FC4969">
            <w:r w:rsidRPr="00872E57">
              <w:t>Male (57% vs 61%)</w:t>
            </w:r>
          </w:p>
        </w:tc>
        <w:tc>
          <w:tcPr>
            <w:tcW w:w="3320" w:type="dxa"/>
          </w:tcPr>
          <w:p w14:paraId="6F91AA50" w14:textId="5F38A381" w:rsidR="00A617D1" w:rsidRPr="003A58AB" w:rsidRDefault="00872E57" w:rsidP="00FC4969">
            <w:r w:rsidRPr="00872E57">
              <w:t>9.7 nights (vs 3.5 nights)</w:t>
            </w:r>
          </w:p>
        </w:tc>
      </w:tr>
      <w:tr w:rsidR="00D624F1" w:rsidRPr="005F4819" w14:paraId="7E9FFAF9" w14:textId="77777777" w:rsidTr="00253536">
        <w:tc>
          <w:tcPr>
            <w:tcW w:w="3319" w:type="dxa"/>
            <w:shd w:val="clear" w:color="auto" w:fill="300050" w:themeFill="text2"/>
          </w:tcPr>
          <w:p w14:paraId="204C200A" w14:textId="77777777" w:rsidR="00D624F1" w:rsidRPr="005F4819" w:rsidRDefault="00D624F1" w:rsidP="00C60DD6">
            <w:pPr>
              <w:rPr>
                <w:b/>
                <w:color w:val="FFFFFF" w:themeColor="background1"/>
              </w:rPr>
            </w:pPr>
            <w:r>
              <w:rPr>
                <w:b/>
                <w:color w:val="FFFFFF" w:themeColor="background1"/>
              </w:rPr>
              <w:t>Average spend per trip</w:t>
            </w:r>
          </w:p>
        </w:tc>
        <w:tc>
          <w:tcPr>
            <w:tcW w:w="3319" w:type="dxa"/>
            <w:shd w:val="clear" w:color="auto" w:fill="300050" w:themeFill="text2"/>
          </w:tcPr>
          <w:p w14:paraId="71602E30" w14:textId="77777777" w:rsidR="00D624F1" w:rsidRPr="005F4819" w:rsidRDefault="00D624F1" w:rsidP="00C60DD6">
            <w:pPr>
              <w:rPr>
                <w:b/>
                <w:color w:val="FFFFFF" w:themeColor="background1"/>
              </w:rPr>
            </w:pPr>
            <w:r w:rsidRPr="00C60DD6">
              <w:rPr>
                <w:b/>
                <w:color w:val="FFFFFF" w:themeColor="background1"/>
              </w:rPr>
              <w:t>More likely stopover</w:t>
            </w:r>
          </w:p>
        </w:tc>
        <w:tc>
          <w:tcPr>
            <w:tcW w:w="3320" w:type="dxa"/>
            <w:shd w:val="clear" w:color="auto" w:fill="300050" w:themeFill="text2"/>
          </w:tcPr>
          <w:p w14:paraId="7C55B224" w14:textId="1E0999DB" w:rsidR="00D624F1" w:rsidRPr="005F4819" w:rsidRDefault="00D624F1" w:rsidP="00C60DD6">
            <w:pPr>
              <w:rPr>
                <w:b/>
                <w:color w:val="FFFFFF" w:themeColor="background1"/>
              </w:rPr>
            </w:pPr>
          </w:p>
        </w:tc>
      </w:tr>
      <w:tr w:rsidR="00C60DD6" w:rsidRPr="005F4819" w14:paraId="1E292D86" w14:textId="77777777" w:rsidTr="00363C9C">
        <w:tc>
          <w:tcPr>
            <w:tcW w:w="3319" w:type="dxa"/>
          </w:tcPr>
          <w:p w14:paraId="5A6C11E0" w14:textId="2AF5406C" w:rsidR="00C60DD6" w:rsidRPr="00872E57" w:rsidRDefault="00C60DD6" w:rsidP="00C60DD6">
            <w:r w:rsidRPr="00872E57">
              <w:t>$2,610 (vs $1,368)</w:t>
            </w:r>
          </w:p>
        </w:tc>
        <w:tc>
          <w:tcPr>
            <w:tcW w:w="6639" w:type="dxa"/>
            <w:gridSpan w:val="2"/>
          </w:tcPr>
          <w:p w14:paraId="0F068B5B" w14:textId="77777777" w:rsidR="00C60DD6" w:rsidRPr="00872E57" w:rsidRDefault="00C60DD6" w:rsidP="00C60DD6">
            <w:r w:rsidRPr="00872E57">
              <w:t>Western Australia (27% vs 14%)</w:t>
            </w:r>
          </w:p>
          <w:p w14:paraId="55CFC0ED" w14:textId="091CD623" w:rsidR="00C60DD6" w:rsidRPr="00872E57" w:rsidRDefault="00C60DD6" w:rsidP="00C60DD6">
            <w:r w:rsidRPr="00872E57">
              <w:t>South Australia (8% vs 7%)</w:t>
            </w:r>
          </w:p>
        </w:tc>
      </w:tr>
    </w:tbl>
    <w:p w14:paraId="3602417D" w14:textId="77777777" w:rsidR="00E515FD" w:rsidRDefault="00E515FD" w:rsidP="00E515FD">
      <w:pPr>
        <w:spacing w:before="0" w:after="160" w:line="259" w:lineRule="auto"/>
      </w:pPr>
    </w:p>
    <w:p w14:paraId="2CC436F6" w14:textId="380514F8" w:rsidR="00A617D1" w:rsidRDefault="00E515FD" w:rsidP="00E515FD">
      <w:pPr>
        <w:spacing w:before="0" w:after="160" w:line="259" w:lineRule="auto"/>
      </w:pPr>
      <w:r>
        <w:t>Note: This data includes international and domestic overnight business events attendees and associates travelling for any ‘main reason’ including employment and education due to the low base size of domestic day trip travellers.</w:t>
      </w:r>
    </w:p>
    <w:p w14:paraId="5711D487" w14:textId="77777777" w:rsidR="00E515FD" w:rsidRDefault="00E515FD" w:rsidP="00E515FD">
      <w:pPr>
        <w:pStyle w:val="Heading2"/>
      </w:pPr>
      <w:bookmarkStart w:id="12" w:name="_Toc210834162"/>
      <w:r>
        <w:t>The lay of the land: characteristics of agritourism trips</w:t>
      </w:r>
      <w:bookmarkEnd w:id="12"/>
    </w:p>
    <w:p w14:paraId="37F43DF3" w14:textId="11C9752F" w:rsidR="00E515FD" w:rsidRDefault="00E515FD" w:rsidP="00E515FD">
      <w:pPr>
        <w:pStyle w:val="Heading4"/>
      </w:pPr>
      <w:r w:rsidRPr="00E515FD">
        <w:t>Victoria and New South Wales are the key destination states for trips involving agritourism activities</w:t>
      </w:r>
    </w:p>
    <w:p w14:paraId="32AA3C6D" w14:textId="1FD1353E" w:rsidR="00E515FD" w:rsidRPr="00E515FD" w:rsidRDefault="00E515FD" w:rsidP="00E515FD">
      <w:r w:rsidRPr="00E515FD">
        <w:t>Victoria and New South Wales each had more than 5 million trips involving agritourism in 2024. These two states accounted for 59% of trips involving agritourism in 2024 aligning with overall traveller numbers in 2024.</w:t>
      </w:r>
    </w:p>
    <w:p w14:paraId="006AEE9C" w14:textId="137154BC" w:rsidR="00E515FD" w:rsidRPr="00E515FD" w:rsidRDefault="00E515FD" w:rsidP="00E515FD">
      <w:r w:rsidRPr="00E515FD">
        <w:t xml:space="preserve">Queensland, Western Australia, and South Australia account for many trips involving agritourism, with each of these states home to well-known wine regions, </w:t>
      </w:r>
      <w:r w:rsidR="00F85B71" w:rsidRPr="00E515FD">
        <w:t>Indigenous</w:t>
      </w:r>
      <w:r w:rsidRPr="00E515FD">
        <w:t xml:space="preserve"> food businesses and farm experiences. </w:t>
      </w:r>
    </w:p>
    <w:p w14:paraId="2150874D" w14:textId="22BB72F9" w:rsidR="00E515FD" w:rsidRDefault="00E515FD" w:rsidP="00E515FD">
      <w:r w:rsidRPr="00E515FD">
        <w:t xml:space="preserve">South Australia accounts for many more trips including agritourism, 12%, compared to </w:t>
      </w:r>
      <w:r w:rsidR="00314647" w:rsidRPr="00E515FD">
        <w:t>its</w:t>
      </w:r>
      <w:r w:rsidRPr="00E515FD">
        <w:t xml:space="preserve"> share of overall trips in 2024, 6.5%. As does Western Australia with trips including agritourism, 14%, accounting for a higher proportion of trips than overall trips, 9.5%. </w:t>
      </w:r>
    </w:p>
    <w:tbl>
      <w:tblPr>
        <w:tblStyle w:val="TableGrid"/>
        <w:tblW w:w="0" w:type="auto"/>
        <w:tblLook w:val="04A0" w:firstRow="1" w:lastRow="0" w:firstColumn="1" w:lastColumn="0" w:noHBand="0" w:noVBand="1"/>
      </w:tblPr>
      <w:tblGrid>
        <w:gridCol w:w="4869"/>
        <w:gridCol w:w="4869"/>
      </w:tblGrid>
      <w:tr w:rsidR="00E515FD" w:rsidRPr="005F4819" w14:paraId="60A4FA1C" w14:textId="77777777" w:rsidTr="00E515FD">
        <w:trPr>
          <w:trHeight w:val="758"/>
        </w:trPr>
        <w:tc>
          <w:tcPr>
            <w:tcW w:w="4869" w:type="dxa"/>
            <w:shd w:val="clear" w:color="auto" w:fill="300050" w:themeFill="text2"/>
          </w:tcPr>
          <w:p w14:paraId="31BF57AA" w14:textId="014BD4D3" w:rsidR="00E515FD" w:rsidRPr="005F4819" w:rsidRDefault="00E515FD" w:rsidP="00FC4969">
            <w:pPr>
              <w:rPr>
                <w:b/>
                <w:color w:val="FFFFFF" w:themeColor="background1"/>
              </w:rPr>
            </w:pPr>
            <w:r>
              <w:rPr>
                <w:b/>
                <w:color w:val="FFFFFF" w:themeColor="background1"/>
              </w:rPr>
              <w:t>State</w:t>
            </w:r>
          </w:p>
        </w:tc>
        <w:tc>
          <w:tcPr>
            <w:tcW w:w="4869" w:type="dxa"/>
            <w:shd w:val="clear" w:color="auto" w:fill="300050" w:themeFill="text2"/>
          </w:tcPr>
          <w:p w14:paraId="1492D93F" w14:textId="0D80848F" w:rsidR="00E515FD" w:rsidRPr="005F4819" w:rsidRDefault="00E515FD" w:rsidP="00FC4969">
            <w:pPr>
              <w:rPr>
                <w:b/>
                <w:color w:val="FFFFFF" w:themeColor="background1"/>
              </w:rPr>
            </w:pPr>
            <w:r>
              <w:rPr>
                <w:b/>
                <w:color w:val="FFFFFF" w:themeColor="background1"/>
              </w:rPr>
              <w:t>Proportion of trips by state and territory*</w:t>
            </w:r>
          </w:p>
        </w:tc>
      </w:tr>
      <w:tr w:rsidR="00E515FD" w:rsidRPr="005F4819" w14:paraId="20D8E472" w14:textId="77777777" w:rsidTr="00E515FD">
        <w:trPr>
          <w:trHeight w:val="744"/>
        </w:trPr>
        <w:tc>
          <w:tcPr>
            <w:tcW w:w="4869" w:type="dxa"/>
          </w:tcPr>
          <w:p w14:paraId="341BF52A" w14:textId="1588BB7F" w:rsidR="00E515FD" w:rsidRPr="00E515FD" w:rsidRDefault="00E515FD" w:rsidP="00FC4969">
            <w:pPr>
              <w:rPr>
                <w:bCs/>
                <w:color w:val="auto"/>
              </w:rPr>
            </w:pPr>
            <w:r w:rsidRPr="00E515FD">
              <w:rPr>
                <w:bCs/>
                <w:color w:val="auto"/>
              </w:rPr>
              <w:t>Victoria</w:t>
            </w:r>
          </w:p>
        </w:tc>
        <w:tc>
          <w:tcPr>
            <w:tcW w:w="4869" w:type="dxa"/>
          </w:tcPr>
          <w:p w14:paraId="2F9922CD" w14:textId="06B6E1CF" w:rsidR="00E515FD" w:rsidRPr="00E515FD" w:rsidRDefault="00E515FD" w:rsidP="00FC4969">
            <w:pPr>
              <w:rPr>
                <w:bCs/>
                <w:color w:val="auto"/>
              </w:rPr>
            </w:pPr>
            <w:r w:rsidRPr="00E515FD">
              <w:rPr>
                <w:bCs/>
                <w:color w:val="auto"/>
              </w:rPr>
              <w:t>30%</w:t>
            </w:r>
          </w:p>
        </w:tc>
      </w:tr>
      <w:tr w:rsidR="00E515FD" w:rsidRPr="005F4819" w14:paraId="032E07E9" w14:textId="77777777" w:rsidTr="00E515FD">
        <w:trPr>
          <w:trHeight w:val="744"/>
        </w:trPr>
        <w:tc>
          <w:tcPr>
            <w:tcW w:w="4869" w:type="dxa"/>
          </w:tcPr>
          <w:p w14:paraId="034016F1" w14:textId="0387DFE4" w:rsidR="00E515FD" w:rsidRPr="00E515FD" w:rsidRDefault="00E515FD" w:rsidP="00FC4969">
            <w:pPr>
              <w:rPr>
                <w:bCs/>
                <w:color w:val="auto"/>
              </w:rPr>
            </w:pPr>
            <w:r>
              <w:rPr>
                <w:bCs/>
                <w:color w:val="auto"/>
              </w:rPr>
              <w:t xml:space="preserve">New South Wales </w:t>
            </w:r>
          </w:p>
        </w:tc>
        <w:tc>
          <w:tcPr>
            <w:tcW w:w="4869" w:type="dxa"/>
          </w:tcPr>
          <w:p w14:paraId="4CBCD46C" w14:textId="53CEC214" w:rsidR="00E515FD" w:rsidRPr="00E515FD" w:rsidRDefault="00E515FD" w:rsidP="00FC4969">
            <w:pPr>
              <w:rPr>
                <w:bCs/>
                <w:color w:val="auto"/>
              </w:rPr>
            </w:pPr>
            <w:r>
              <w:rPr>
                <w:bCs/>
                <w:color w:val="auto"/>
              </w:rPr>
              <w:t>29%</w:t>
            </w:r>
          </w:p>
        </w:tc>
      </w:tr>
      <w:tr w:rsidR="00E515FD" w:rsidRPr="005F4819" w14:paraId="65D2CA6A" w14:textId="77777777" w:rsidTr="00E515FD">
        <w:trPr>
          <w:trHeight w:val="744"/>
        </w:trPr>
        <w:tc>
          <w:tcPr>
            <w:tcW w:w="4869" w:type="dxa"/>
          </w:tcPr>
          <w:p w14:paraId="17F22381" w14:textId="030388DB" w:rsidR="00E515FD" w:rsidRPr="00E515FD" w:rsidRDefault="00E515FD" w:rsidP="00FC4969">
            <w:pPr>
              <w:rPr>
                <w:bCs/>
                <w:color w:val="auto"/>
              </w:rPr>
            </w:pPr>
            <w:r>
              <w:rPr>
                <w:bCs/>
                <w:color w:val="auto"/>
              </w:rPr>
              <w:t>Queensland</w:t>
            </w:r>
          </w:p>
        </w:tc>
        <w:tc>
          <w:tcPr>
            <w:tcW w:w="4869" w:type="dxa"/>
          </w:tcPr>
          <w:p w14:paraId="3F48C5A3" w14:textId="0C31EAC6" w:rsidR="00E515FD" w:rsidRPr="00E515FD" w:rsidRDefault="00E515FD" w:rsidP="00FC4969">
            <w:pPr>
              <w:rPr>
                <w:bCs/>
                <w:color w:val="auto"/>
              </w:rPr>
            </w:pPr>
            <w:r>
              <w:rPr>
                <w:bCs/>
                <w:color w:val="auto"/>
              </w:rPr>
              <w:t>15%</w:t>
            </w:r>
          </w:p>
        </w:tc>
      </w:tr>
      <w:tr w:rsidR="00E515FD" w:rsidRPr="005F4819" w14:paraId="3BF66801" w14:textId="77777777" w:rsidTr="00E515FD">
        <w:trPr>
          <w:trHeight w:val="744"/>
        </w:trPr>
        <w:tc>
          <w:tcPr>
            <w:tcW w:w="4869" w:type="dxa"/>
          </w:tcPr>
          <w:p w14:paraId="09B20AF0" w14:textId="293A654B" w:rsidR="00E515FD" w:rsidRDefault="00E515FD" w:rsidP="00FC4969">
            <w:pPr>
              <w:rPr>
                <w:bCs/>
                <w:color w:val="auto"/>
              </w:rPr>
            </w:pPr>
            <w:r>
              <w:rPr>
                <w:bCs/>
                <w:color w:val="auto"/>
              </w:rPr>
              <w:t xml:space="preserve">Western Australia </w:t>
            </w:r>
          </w:p>
        </w:tc>
        <w:tc>
          <w:tcPr>
            <w:tcW w:w="4869" w:type="dxa"/>
          </w:tcPr>
          <w:p w14:paraId="0E5A5EE0" w14:textId="0F5645F4" w:rsidR="00E515FD" w:rsidRDefault="00E515FD" w:rsidP="00FC4969">
            <w:pPr>
              <w:rPr>
                <w:bCs/>
                <w:color w:val="auto"/>
              </w:rPr>
            </w:pPr>
            <w:r>
              <w:rPr>
                <w:bCs/>
                <w:color w:val="auto"/>
              </w:rPr>
              <w:t>14%</w:t>
            </w:r>
          </w:p>
        </w:tc>
      </w:tr>
      <w:tr w:rsidR="00E515FD" w:rsidRPr="005F4819" w14:paraId="51D1BA3A" w14:textId="77777777" w:rsidTr="00E515FD">
        <w:trPr>
          <w:trHeight w:val="744"/>
        </w:trPr>
        <w:tc>
          <w:tcPr>
            <w:tcW w:w="4869" w:type="dxa"/>
          </w:tcPr>
          <w:p w14:paraId="7700C3C7" w14:textId="3C4F3F5E" w:rsidR="00E515FD" w:rsidRDefault="00E515FD" w:rsidP="00FC4969">
            <w:pPr>
              <w:rPr>
                <w:bCs/>
                <w:color w:val="auto"/>
              </w:rPr>
            </w:pPr>
            <w:r>
              <w:rPr>
                <w:bCs/>
                <w:color w:val="auto"/>
              </w:rPr>
              <w:t xml:space="preserve">South Australia </w:t>
            </w:r>
          </w:p>
        </w:tc>
        <w:tc>
          <w:tcPr>
            <w:tcW w:w="4869" w:type="dxa"/>
          </w:tcPr>
          <w:p w14:paraId="7363AC31" w14:textId="03F289D4" w:rsidR="00E515FD" w:rsidRDefault="00E515FD" w:rsidP="00FC4969">
            <w:pPr>
              <w:rPr>
                <w:bCs/>
                <w:color w:val="auto"/>
              </w:rPr>
            </w:pPr>
            <w:r>
              <w:rPr>
                <w:bCs/>
                <w:color w:val="auto"/>
              </w:rPr>
              <w:t xml:space="preserve">12% </w:t>
            </w:r>
          </w:p>
        </w:tc>
      </w:tr>
      <w:tr w:rsidR="00E515FD" w:rsidRPr="005F4819" w14:paraId="2A910B79" w14:textId="77777777" w:rsidTr="00E515FD">
        <w:trPr>
          <w:trHeight w:val="744"/>
        </w:trPr>
        <w:tc>
          <w:tcPr>
            <w:tcW w:w="4869" w:type="dxa"/>
          </w:tcPr>
          <w:p w14:paraId="279E5634" w14:textId="3E5C7D29" w:rsidR="00E515FD" w:rsidRDefault="00E515FD" w:rsidP="00FC4969">
            <w:pPr>
              <w:rPr>
                <w:bCs/>
                <w:color w:val="auto"/>
              </w:rPr>
            </w:pPr>
            <w:r>
              <w:rPr>
                <w:bCs/>
                <w:color w:val="auto"/>
              </w:rPr>
              <w:t xml:space="preserve">Tasmania </w:t>
            </w:r>
          </w:p>
        </w:tc>
        <w:tc>
          <w:tcPr>
            <w:tcW w:w="4869" w:type="dxa"/>
          </w:tcPr>
          <w:p w14:paraId="005DD3C0" w14:textId="41B66AFB" w:rsidR="00E515FD" w:rsidRDefault="00E515FD" w:rsidP="00FC4969">
            <w:pPr>
              <w:rPr>
                <w:bCs/>
                <w:color w:val="auto"/>
              </w:rPr>
            </w:pPr>
            <w:r>
              <w:rPr>
                <w:bCs/>
                <w:color w:val="auto"/>
              </w:rPr>
              <w:t>3%</w:t>
            </w:r>
          </w:p>
        </w:tc>
      </w:tr>
      <w:tr w:rsidR="00E515FD" w:rsidRPr="005F4819" w14:paraId="44934BBC" w14:textId="77777777" w:rsidTr="00E515FD">
        <w:trPr>
          <w:trHeight w:val="744"/>
        </w:trPr>
        <w:tc>
          <w:tcPr>
            <w:tcW w:w="4869" w:type="dxa"/>
          </w:tcPr>
          <w:p w14:paraId="1971E692" w14:textId="3F0BD6C4" w:rsidR="00E515FD" w:rsidRDefault="00E515FD" w:rsidP="00FC4969">
            <w:pPr>
              <w:rPr>
                <w:bCs/>
                <w:color w:val="auto"/>
              </w:rPr>
            </w:pPr>
            <w:r>
              <w:rPr>
                <w:bCs/>
                <w:color w:val="auto"/>
              </w:rPr>
              <w:t xml:space="preserve">Northern Territory </w:t>
            </w:r>
          </w:p>
        </w:tc>
        <w:tc>
          <w:tcPr>
            <w:tcW w:w="4869" w:type="dxa"/>
          </w:tcPr>
          <w:p w14:paraId="41A72716" w14:textId="01417092" w:rsidR="00E515FD" w:rsidRDefault="00E515FD" w:rsidP="00FC4969">
            <w:pPr>
              <w:rPr>
                <w:bCs/>
                <w:color w:val="auto"/>
              </w:rPr>
            </w:pPr>
            <w:r>
              <w:rPr>
                <w:bCs/>
                <w:color w:val="auto"/>
              </w:rPr>
              <w:t>0.3%</w:t>
            </w:r>
          </w:p>
        </w:tc>
      </w:tr>
      <w:tr w:rsidR="00E515FD" w:rsidRPr="005F4819" w14:paraId="7F7DE9F8" w14:textId="77777777" w:rsidTr="00E515FD">
        <w:trPr>
          <w:trHeight w:val="744"/>
        </w:trPr>
        <w:tc>
          <w:tcPr>
            <w:tcW w:w="4869" w:type="dxa"/>
          </w:tcPr>
          <w:p w14:paraId="61CD55D8" w14:textId="278A949F" w:rsidR="00E515FD" w:rsidRDefault="00E515FD" w:rsidP="00FC4969">
            <w:pPr>
              <w:rPr>
                <w:bCs/>
                <w:color w:val="auto"/>
              </w:rPr>
            </w:pPr>
            <w:r>
              <w:rPr>
                <w:bCs/>
                <w:color w:val="auto"/>
              </w:rPr>
              <w:t>Australian Capital Territory</w:t>
            </w:r>
          </w:p>
        </w:tc>
        <w:tc>
          <w:tcPr>
            <w:tcW w:w="4869" w:type="dxa"/>
          </w:tcPr>
          <w:p w14:paraId="1D63248D" w14:textId="358E012D" w:rsidR="00E515FD" w:rsidRDefault="00E515FD" w:rsidP="00FC4969">
            <w:pPr>
              <w:rPr>
                <w:bCs/>
                <w:color w:val="auto"/>
              </w:rPr>
            </w:pPr>
            <w:r>
              <w:rPr>
                <w:bCs/>
                <w:color w:val="auto"/>
              </w:rPr>
              <w:t>0.2%</w:t>
            </w:r>
          </w:p>
        </w:tc>
      </w:tr>
    </w:tbl>
    <w:p w14:paraId="630EDFD2" w14:textId="77777777" w:rsidR="00E515FD" w:rsidRDefault="00E515FD" w:rsidP="00E515FD">
      <w:r w:rsidRPr="00E515FD">
        <w:t xml:space="preserve">*Due to low base sizes in some traveller types, some data was ‘not publishable’ leading to an underestimation in numbers, particularly for Tasmania, Northern Territory, and Australian Capital Territory. </w:t>
      </w:r>
    </w:p>
    <w:p w14:paraId="70475B43" w14:textId="77777777" w:rsidR="00C60DD6" w:rsidRPr="00E515FD" w:rsidRDefault="00C60DD6" w:rsidP="00E515FD"/>
    <w:p w14:paraId="2FCBDC6A" w14:textId="2C21A1F9" w:rsidR="00E515FD" w:rsidRDefault="00216C29" w:rsidP="00216C29">
      <w:pPr>
        <w:pStyle w:val="Heading4"/>
      </w:pPr>
      <w:r w:rsidRPr="00216C29">
        <w:t>Tourism Australia ha</w:t>
      </w:r>
      <w:r w:rsidR="000B07E3">
        <w:t>s</w:t>
      </w:r>
      <w:r w:rsidRPr="00216C29">
        <w:t xml:space="preserve"> identified regional ‘food bowls’ that are clusters of on-farm operators contributing to agritourism</w:t>
      </w:r>
    </w:p>
    <w:p w14:paraId="749907D3" w14:textId="77777777" w:rsidR="00216C29" w:rsidRPr="00216C29" w:rsidRDefault="00216C29" w:rsidP="00216C29">
      <w:r w:rsidRPr="00216C29">
        <w:t xml:space="preserve">Australian Tourism Data Warehouse (ATDW) data analysed by Tourism Australia shows several regional agritourism ‘food </w:t>
      </w:r>
      <w:proofErr w:type="gramStart"/>
      <w:r w:rsidRPr="00216C29">
        <w:t>bowls’</w:t>
      </w:r>
      <w:proofErr w:type="gramEnd"/>
      <w:r w:rsidRPr="00216C29">
        <w:t xml:space="preserve"> similarly dispersed with travel patterns, with the east coast home to a high proportion of the agritourism businesses in Australia. </w:t>
      </w:r>
    </w:p>
    <w:p w14:paraId="2DCE122E" w14:textId="731C48A0" w:rsidR="00216C29" w:rsidRPr="00216C29" w:rsidRDefault="00216C29" w:rsidP="00216C29">
      <w:r w:rsidRPr="00216C29">
        <w:t xml:space="preserve">Across Australia, there is opportunity for agritourism with activities ranging </w:t>
      </w:r>
      <w:r w:rsidR="00F85B71" w:rsidRPr="00216C29">
        <w:t>from wineries</w:t>
      </w:r>
      <w:r w:rsidRPr="00216C29">
        <w:t xml:space="preserve"> to </w:t>
      </w:r>
      <w:r w:rsidR="00F85B71" w:rsidRPr="00216C29">
        <w:t>Indigenous</w:t>
      </w:r>
      <w:r w:rsidRPr="00216C29">
        <w:t xml:space="preserve"> food experiences, and farm stays. Each state and territory provides a slightly different mix of activities due to the local environment and offerings.</w:t>
      </w:r>
    </w:p>
    <w:p w14:paraId="559C312C" w14:textId="77777777" w:rsidR="00216C29" w:rsidRPr="00216C29" w:rsidRDefault="00216C29" w:rsidP="00216C29">
      <w:r w:rsidRPr="00216C29">
        <w:t xml:space="preserve">Supported by off-farm businesses, the agritourism sector has a lot to offer, with each state highlighting its unique mix. </w:t>
      </w:r>
    </w:p>
    <w:p w14:paraId="6417433E" w14:textId="6EF4FE8F" w:rsidR="00216C29" w:rsidRDefault="00F85B71" w:rsidP="00216C29">
      <w:r w:rsidRPr="00216C29">
        <w:t>For</w:t>
      </w:r>
      <w:r w:rsidR="00216C29" w:rsidRPr="00216C29">
        <w:t xml:space="preserve"> this report, these ‘food </w:t>
      </w:r>
      <w:proofErr w:type="gramStart"/>
      <w:r w:rsidR="00216C29" w:rsidRPr="00216C29">
        <w:t>bowls’</w:t>
      </w:r>
      <w:proofErr w:type="gramEnd"/>
      <w:r w:rsidR="00216C29" w:rsidRPr="00216C29">
        <w:t xml:space="preserve"> are looking at locations with 20 or more on-farm experiences.</w:t>
      </w:r>
    </w:p>
    <w:p w14:paraId="0C47C858" w14:textId="77777777" w:rsidR="0058678C" w:rsidRDefault="0058678C" w:rsidP="0058678C">
      <w:r>
        <w:t>Queensland</w:t>
      </w:r>
    </w:p>
    <w:p w14:paraId="38DD7D22" w14:textId="77777777" w:rsidR="0058678C" w:rsidRDefault="0058678C" w:rsidP="0058678C">
      <w:pPr>
        <w:pStyle w:val="ListParagraph"/>
        <w:numPr>
          <w:ilvl w:val="0"/>
          <w:numId w:val="27"/>
        </w:numPr>
      </w:pPr>
      <w:r>
        <w:t>Darling Downs</w:t>
      </w:r>
    </w:p>
    <w:p w14:paraId="24165ECA" w14:textId="77777777" w:rsidR="0058678C" w:rsidRDefault="0058678C" w:rsidP="0058678C">
      <w:pPr>
        <w:pStyle w:val="ListParagraph"/>
        <w:numPr>
          <w:ilvl w:val="0"/>
          <w:numId w:val="27"/>
        </w:numPr>
      </w:pPr>
      <w:r>
        <w:t>Sunshine Coast</w:t>
      </w:r>
    </w:p>
    <w:p w14:paraId="093F3245" w14:textId="77777777" w:rsidR="0058678C" w:rsidRDefault="0058678C" w:rsidP="0058678C">
      <w:pPr>
        <w:pStyle w:val="ListParagraph"/>
        <w:numPr>
          <w:ilvl w:val="0"/>
          <w:numId w:val="27"/>
        </w:numPr>
      </w:pPr>
      <w:r>
        <w:t>Scenic Rim</w:t>
      </w:r>
    </w:p>
    <w:p w14:paraId="58782E19" w14:textId="77777777" w:rsidR="0058678C" w:rsidRDefault="0058678C" w:rsidP="0058678C">
      <w:pPr>
        <w:pStyle w:val="ListParagraph"/>
        <w:numPr>
          <w:ilvl w:val="0"/>
          <w:numId w:val="27"/>
        </w:numPr>
      </w:pPr>
      <w:r>
        <w:t>Bundaberg</w:t>
      </w:r>
    </w:p>
    <w:p w14:paraId="158D554B" w14:textId="77777777" w:rsidR="0058678C" w:rsidRDefault="0058678C" w:rsidP="0058678C">
      <w:pPr>
        <w:pStyle w:val="ListParagraph"/>
        <w:numPr>
          <w:ilvl w:val="0"/>
          <w:numId w:val="27"/>
        </w:numPr>
      </w:pPr>
      <w:r>
        <w:t>Greater Brisbane</w:t>
      </w:r>
    </w:p>
    <w:p w14:paraId="3080E8E1" w14:textId="77777777" w:rsidR="0058678C" w:rsidRDefault="0058678C" w:rsidP="0024477F">
      <w:r>
        <w:t>Victoria</w:t>
      </w:r>
    </w:p>
    <w:p w14:paraId="5C72C771" w14:textId="77777777" w:rsidR="0058678C" w:rsidRDefault="0058678C" w:rsidP="0058678C">
      <w:pPr>
        <w:pStyle w:val="ListParagraph"/>
        <w:numPr>
          <w:ilvl w:val="0"/>
          <w:numId w:val="27"/>
        </w:numPr>
      </w:pPr>
      <w:r>
        <w:t>Yarra Ranges</w:t>
      </w:r>
    </w:p>
    <w:p w14:paraId="3A5A33BC" w14:textId="77777777" w:rsidR="0058678C" w:rsidRDefault="0058678C" w:rsidP="0058678C">
      <w:pPr>
        <w:pStyle w:val="ListParagraph"/>
        <w:numPr>
          <w:ilvl w:val="0"/>
          <w:numId w:val="27"/>
        </w:numPr>
      </w:pPr>
      <w:r>
        <w:t>High Country</w:t>
      </w:r>
    </w:p>
    <w:p w14:paraId="317F8C8A" w14:textId="77777777" w:rsidR="0058678C" w:rsidRDefault="0058678C" w:rsidP="0058678C">
      <w:pPr>
        <w:pStyle w:val="ListParagraph"/>
        <w:numPr>
          <w:ilvl w:val="0"/>
          <w:numId w:val="27"/>
        </w:numPr>
      </w:pPr>
      <w:r>
        <w:t>Mornington Peninsula</w:t>
      </w:r>
    </w:p>
    <w:p w14:paraId="6816E53A" w14:textId="252B2DE0" w:rsidR="0058678C" w:rsidRDefault="0058678C" w:rsidP="0058678C">
      <w:pPr>
        <w:pStyle w:val="ListParagraph"/>
        <w:numPr>
          <w:ilvl w:val="0"/>
          <w:numId w:val="27"/>
        </w:numPr>
      </w:pPr>
      <w:r>
        <w:t>Geelong &amp; Bellarine Peninsula</w:t>
      </w:r>
    </w:p>
    <w:p w14:paraId="5164D3A9" w14:textId="77777777" w:rsidR="0058678C" w:rsidRDefault="0058678C" w:rsidP="0058678C">
      <w:r>
        <w:t>Tasmania</w:t>
      </w:r>
    </w:p>
    <w:p w14:paraId="2418E252" w14:textId="77777777" w:rsidR="0058678C" w:rsidRDefault="0058678C" w:rsidP="0058678C">
      <w:pPr>
        <w:pStyle w:val="ListParagraph"/>
        <w:numPr>
          <w:ilvl w:val="0"/>
          <w:numId w:val="27"/>
        </w:numPr>
      </w:pPr>
      <w:r>
        <w:t>Hobart &amp; The South</w:t>
      </w:r>
    </w:p>
    <w:p w14:paraId="69AF3B27" w14:textId="77777777" w:rsidR="0058678C" w:rsidRDefault="0058678C" w:rsidP="0058678C">
      <w:pPr>
        <w:pStyle w:val="ListParagraph"/>
        <w:numPr>
          <w:ilvl w:val="0"/>
          <w:numId w:val="27"/>
        </w:numPr>
      </w:pPr>
      <w:r>
        <w:t>Launceston &amp; The North</w:t>
      </w:r>
    </w:p>
    <w:p w14:paraId="6B2E2513" w14:textId="027D3F6F" w:rsidR="0058678C" w:rsidRDefault="0058678C" w:rsidP="0058678C">
      <w:pPr>
        <w:pStyle w:val="ListParagraph"/>
        <w:numPr>
          <w:ilvl w:val="0"/>
          <w:numId w:val="27"/>
        </w:numPr>
      </w:pPr>
      <w:r>
        <w:t>Eastern Tasmania</w:t>
      </w:r>
    </w:p>
    <w:p w14:paraId="7818653E" w14:textId="77777777" w:rsidR="0058678C" w:rsidRDefault="0058678C" w:rsidP="0058678C">
      <w:r>
        <w:t>Western Australia</w:t>
      </w:r>
    </w:p>
    <w:p w14:paraId="5AF0F3C8" w14:textId="77777777" w:rsidR="0058678C" w:rsidRDefault="0058678C" w:rsidP="0058678C">
      <w:pPr>
        <w:pStyle w:val="ListParagraph"/>
        <w:numPr>
          <w:ilvl w:val="0"/>
          <w:numId w:val="27"/>
        </w:numPr>
      </w:pPr>
      <w:r>
        <w:t>Margaret River</w:t>
      </w:r>
    </w:p>
    <w:p w14:paraId="68C52E06" w14:textId="77777777" w:rsidR="0058678C" w:rsidRDefault="0058678C" w:rsidP="0058678C">
      <w:pPr>
        <w:pStyle w:val="ListParagraph"/>
        <w:numPr>
          <w:ilvl w:val="0"/>
          <w:numId w:val="27"/>
        </w:numPr>
      </w:pPr>
      <w:r>
        <w:t>Great Southern</w:t>
      </w:r>
    </w:p>
    <w:p w14:paraId="2486AAA2" w14:textId="77777777" w:rsidR="0058678C" w:rsidRDefault="0058678C" w:rsidP="0058678C">
      <w:r>
        <w:t>Northern Territory</w:t>
      </w:r>
    </w:p>
    <w:p w14:paraId="5D4CCAB6" w14:textId="77777777" w:rsidR="0058678C" w:rsidRDefault="0058678C" w:rsidP="0058678C">
      <w:pPr>
        <w:pStyle w:val="ListParagraph"/>
        <w:numPr>
          <w:ilvl w:val="0"/>
          <w:numId w:val="27"/>
        </w:numPr>
      </w:pPr>
      <w:r>
        <w:t>Top End</w:t>
      </w:r>
    </w:p>
    <w:p w14:paraId="1999D9D6" w14:textId="77777777" w:rsidR="0058678C" w:rsidRDefault="0058678C" w:rsidP="0058678C">
      <w:r>
        <w:t>South Australia</w:t>
      </w:r>
    </w:p>
    <w:p w14:paraId="3E46B02C" w14:textId="77777777" w:rsidR="0058678C" w:rsidRDefault="0058678C" w:rsidP="0058678C">
      <w:pPr>
        <w:pStyle w:val="ListParagraph"/>
        <w:numPr>
          <w:ilvl w:val="0"/>
          <w:numId w:val="27"/>
        </w:numPr>
      </w:pPr>
      <w:r>
        <w:t>Fleurieu Peninsula</w:t>
      </w:r>
    </w:p>
    <w:p w14:paraId="38E16220" w14:textId="77777777" w:rsidR="0058678C" w:rsidRDefault="0058678C" w:rsidP="0058678C">
      <w:pPr>
        <w:pStyle w:val="ListParagraph"/>
        <w:numPr>
          <w:ilvl w:val="0"/>
          <w:numId w:val="27"/>
        </w:numPr>
      </w:pPr>
      <w:r>
        <w:t>Barossa Valley</w:t>
      </w:r>
    </w:p>
    <w:p w14:paraId="397E2CCF" w14:textId="77777777" w:rsidR="0058678C" w:rsidRDefault="0058678C" w:rsidP="0058678C">
      <w:pPr>
        <w:pStyle w:val="ListParagraph"/>
        <w:numPr>
          <w:ilvl w:val="0"/>
          <w:numId w:val="27"/>
        </w:numPr>
      </w:pPr>
      <w:r>
        <w:t>Adelaide Hills</w:t>
      </w:r>
    </w:p>
    <w:p w14:paraId="3889CA1B" w14:textId="77777777" w:rsidR="0058678C" w:rsidRDefault="0058678C" w:rsidP="0058678C">
      <w:pPr>
        <w:pStyle w:val="ListParagraph"/>
        <w:numPr>
          <w:ilvl w:val="0"/>
          <w:numId w:val="27"/>
        </w:numPr>
      </w:pPr>
      <w:r>
        <w:t>Clare Valley</w:t>
      </w:r>
    </w:p>
    <w:p w14:paraId="191B3D89" w14:textId="77777777" w:rsidR="0058678C" w:rsidRDefault="0058678C" w:rsidP="0058678C">
      <w:pPr>
        <w:pStyle w:val="ListParagraph"/>
        <w:numPr>
          <w:ilvl w:val="0"/>
          <w:numId w:val="27"/>
        </w:numPr>
      </w:pPr>
      <w:r>
        <w:lastRenderedPageBreak/>
        <w:t>Limestone Coast</w:t>
      </w:r>
    </w:p>
    <w:p w14:paraId="45146E6F" w14:textId="77777777" w:rsidR="0058678C" w:rsidRDefault="0058678C" w:rsidP="0058678C">
      <w:pPr>
        <w:pStyle w:val="ListParagraph"/>
        <w:numPr>
          <w:ilvl w:val="0"/>
          <w:numId w:val="27"/>
        </w:numPr>
      </w:pPr>
      <w:r>
        <w:t>Kangaroo Island</w:t>
      </w:r>
    </w:p>
    <w:p w14:paraId="3BDD84F9" w14:textId="77777777" w:rsidR="0058678C" w:rsidRDefault="0058678C" w:rsidP="0058678C">
      <w:pPr>
        <w:pStyle w:val="ListParagraph"/>
        <w:numPr>
          <w:ilvl w:val="0"/>
          <w:numId w:val="27"/>
        </w:numPr>
      </w:pPr>
      <w:r>
        <w:t>Flinders Ranges</w:t>
      </w:r>
    </w:p>
    <w:p w14:paraId="75E45D63" w14:textId="77777777" w:rsidR="0058678C" w:rsidRDefault="0058678C" w:rsidP="0058678C">
      <w:r>
        <w:t>New South Wales</w:t>
      </w:r>
    </w:p>
    <w:p w14:paraId="54DFA5AF" w14:textId="77777777" w:rsidR="0058678C" w:rsidRDefault="0058678C" w:rsidP="0058678C">
      <w:pPr>
        <w:pStyle w:val="ListParagraph"/>
        <w:numPr>
          <w:ilvl w:val="0"/>
          <w:numId w:val="27"/>
        </w:numPr>
      </w:pPr>
      <w:r>
        <w:t>Central West</w:t>
      </w:r>
    </w:p>
    <w:p w14:paraId="22E41B32" w14:textId="77777777" w:rsidR="0058678C" w:rsidRDefault="0058678C" w:rsidP="0058678C">
      <w:pPr>
        <w:pStyle w:val="ListParagraph"/>
        <w:numPr>
          <w:ilvl w:val="0"/>
          <w:numId w:val="27"/>
        </w:numPr>
      </w:pPr>
      <w:r>
        <w:t>Hunter Valley</w:t>
      </w:r>
    </w:p>
    <w:p w14:paraId="23F400DE" w14:textId="77777777" w:rsidR="0058678C" w:rsidRDefault="0058678C" w:rsidP="0058678C">
      <w:pPr>
        <w:pStyle w:val="ListParagraph"/>
        <w:numPr>
          <w:ilvl w:val="0"/>
          <w:numId w:val="27"/>
        </w:numPr>
      </w:pPr>
      <w:r>
        <w:t xml:space="preserve">South Coast </w:t>
      </w:r>
    </w:p>
    <w:p w14:paraId="62D204DC" w14:textId="77777777" w:rsidR="0058678C" w:rsidRDefault="0058678C" w:rsidP="0058678C">
      <w:pPr>
        <w:pStyle w:val="ListParagraph"/>
        <w:numPr>
          <w:ilvl w:val="0"/>
          <w:numId w:val="27"/>
        </w:numPr>
      </w:pPr>
      <w:r>
        <w:t>Southern Tablelands</w:t>
      </w:r>
    </w:p>
    <w:p w14:paraId="2E115F50" w14:textId="77777777" w:rsidR="0058678C" w:rsidRDefault="0058678C" w:rsidP="0058678C">
      <w:pPr>
        <w:pStyle w:val="ListParagraph"/>
        <w:numPr>
          <w:ilvl w:val="0"/>
          <w:numId w:val="27"/>
        </w:numPr>
      </w:pPr>
      <w:r>
        <w:t>Northern Rivers</w:t>
      </w:r>
    </w:p>
    <w:p w14:paraId="6B824F69" w14:textId="77777777" w:rsidR="0058678C" w:rsidRDefault="0058678C" w:rsidP="0058678C">
      <w:pPr>
        <w:pStyle w:val="ListParagraph"/>
        <w:numPr>
          <w:ilvl w:val="0"/>
          <w:numId w:val="27"/>
        </w:numPr>
      </w:pPr>
      <w:r>
        <w:t>Mid North Coast</w:t>
      </w:r>
    </w:p>
    <w:p w14:paraId="012D56B3" w14:textId="77777777" w:rsidR="0058678C" w:rsidRDefault="0058678C" w:rsidP="0058678C">
      <w:pPr>
        <w:pStyle w:val="ListParagraph"/>
        <w:numPr>
          <w:ilvl w:val="0"/>
          <w:numId w:val="27"/>
        </w:numPr>
      </w:pPr>
      <w:r>
        <w:t>New England</w:t>
      </w:r>
    </w:p>
    <w:p w14:paraId="4363C5B4" w14:textId="77777777" w:rsidR="0058678C" w:rsidRDefault="0058678C" w:rsidP="0058678C">
      <w:pPr>
        <w:pStyle w:val="ListParagraph"/>
        <w:numPr>
          <w:ilvl w:val="0"/>
          <w:numId w:val="27"/>
        </w:numPr>
      </w:pPr>
      <w:r>
        <w:t>Eastern Riverina</w:t>
      </w:r>
    </w:p>
    <w:p w14:paraId="65A45877" w14:textId="77777777" w:rsidR="0058678C" w:rsidRDefault="0058678C" w:rsidP="0058678C">
      <w:pPr>
        <w:pStyle w:val="ListParagraph"/>
        <w:numPr>
          <w:ilvl w:val="0"/>
          <w:numId w:val="27"/>
        </w:numPr>
      </w:pPr>
      <w:r>
        <w:t>Snowy Mountains</w:t>
      </w:r>
    </w:p>
    <w:p w14:paraId="6CE2BCDF" w14:textId="77777777" w:rsidR="0058678C" w:rsidRDefault="0058678C" w:rsidP="0058678C">
      <w:pPr>
        <w:pStyle w:val="ListParagraph"/>
        <w:numPr>
          <w:ilvl w:val="0"/>
          <w:numId w:val="27"/>
        </w:numPr>
      </w:pPr>
      <w:r>
        <w:t>Greater Sydney</w:t>
      </w:r>
    </w:p>
    <w:p w14:paraId="039A6245" w14:textId="19C441DA" w:rsidR="0058678C" w:rsidRDefault="0058678C" w:rsidP="0058678C">
      <w:pPr>
        <w:pStyle w:val="ListParagraph"/>
        <w:numPr>
          <w:ilvl w:val="0"/>
          <w:numId w:val="27"/>
        </w:numPr>
      </w:pPr>
      <w:r>
        <w:t>Southern Highlands</w:t>
      </w:r>
    </w:p>
    <w:p w14:paraId="54B899D4" w14:textId="77777777" w:rsidR="0058678C" w:rsidRDefault="0058678C" w:rsidP="0058678C">
      <w:r>
        <w:t>Australian Capital Territory*</w:t>
      </w:r>
    </w:p>
    <w:p w14:paraId="3EE9D317" w14:textId="1FB82022" w:rsidR="00216C29" w:rsidRPr="00216C29" w:rsidRDefault="0058678C" w:rsidP="00216C29">
      <w:pPr>
        <w:pStyle w:val="ListParagraph"/>
        <w:numPr>
          <w:ilvl w:val="0"/>
          <w:numId w:val="28"/>
        </w:numPr>
      </w:pPr>
      <w:r>
        <w:t xml:space="preserve">Canberra Districts </w:t>
      </w:r>
    </w:p>
    <w:p w14:paraId="6B7B8EB1" w14:textId="77777777" w:rsidR="00216C29" w:rsidRDefault="00216C29" w:rsidP="00216C29">
      <w:r w:rsidRPr="00216C29">
        <w:t xml:space="preserve">*Canberra Districts do not meet the 20 or more on-farm experiences due to the nature of the location however is included due to the number of experiences in the state and surrounding NSW regions. </w:t>
      </w:r>
    </w:p>
    <w:p w14:paraId="63DA8106" w14:textId="77777777" w:rsidR="00C60DD6" w:rsidRPr="00216C29" w:rsidRDefault="00C60DD6" w:rsidP="00216C29"/>
    <w:p w14:paraId="657D103D" w14:textId="77777777" w:rsidR="00DE17F9" w:rsidRPr="00DE17F9" w:rsidRDefault="00DE17F9" w:rsidP="00DE17F9">
      <w:pPr>
        <w:pStyle w:val="Heading4"/>
      </w:pPr>
      <w:r w:rsidRPr="00DE17F9">
        <w:t>In addition to on-farm experiences, many agritourism operators exist ‘off-farm’ in a way that supports and highlights each state or territory agritourism offer</w:t>
      </w:r>
    </w:p>
    <w:p w14:paraId="2ADDD3BF" w14:textId="7F3CA173" w:rsidR="00DE17F9" w:rsidRPr="00DE17F9" w:rsidRDefault="00DE17F9" w:rsidP="00DE17F9">
      <w:r w:rsidRPr="00DE17F9">
        <w:t xml:space="preserve">Most states are </w:t>
      </w:r>
      <w:r w:rsidR="00314647">
        <w:t>led</w:t>
      </w:r>
      <w:r w:rsidRPr="00DE17F9">
        <w:t xml:space="preserve"> by on-farm experiences in the agritourism sector, with Queensland having the highest proportion at 67%. </w:t>
      </w:r>
    </w:p>
    <w:p w14:paraId="77D807BA" w14:textId="546A3EB7" w:rsidR="00DE17F9" w:rsidRPr="00DE17F9" w:rsidRDefault="00DE17F9" w:rsidP="00DE17F9">
      <w:r w:rsidRPr="00DE17F9">
        <w:t xml:space="preserve">Victoria has an even mix of on-farm and off-farm experiences throughout the state with a high number of </w:t>
      </w:r>
      <w:r w:rsidR="00366F20" w:rsidRPr="00366F20">
        <w:t>food and wine tastings, farmers markets, and agricultural shows adding to off-farm experiences</w:t>
      </w:r>
    </w:p>
    <w:p w14:paraId="35AD5FAF" w14:textId="75845479" w:rsidR="00DE17F9" w:rsidRPr="00DE17F9" w:rsidRDefault="00DE17F9" w:rsidP="00DE17F9">
      <w:r w:rsidRPr="00DE17F9">
        <w:t xml:space="preserve">While most agritourism experiences are on-farm for most states, the Australian Capital Territory is </w:t>
      </w:r>
      <w:r w:rsidR="00F85B71" w:rsidRPr="00DE17F9">
        <w:t>supported</w:t>
      </w:r>
      <w:r w:rsidRPr="00DE17F9">
        <w:t xml:space="preserve"> by off-farm experiences. This includes experiences such as </w:t>
      </w:r>
      <w:r w:rsidR="00CA2853" w:rsidRPr="00CA2853">
        <w:t>farmers markets, locally sourced produce restaurants that have built direct relationships with local farmers, and distilleries.</w:t>
      </w:r>
    </w:p>
    <w:p w14:paraId="573C92D1" w14:textId="539B2627" w:rsidR="00DE17F9" w:rsidRDefault="00DE17F9" w:rsidP="00DE17F9">
      <w:r>
        <w:t xml:space="preserve">Figure: </w:t>
      </w:r>
      <w:r w:rsidR="00CA2853" w:rsidRPr="00CA2853">
        <w:t>Proportion of experiences on-farm and off-farm (ATDW data) (%)</w:t>
      </w:r>
    </w:p>
    <w:p w14:paraId="638160D8" w14:textId="77777777" w:rsidR="00DE17F9" w:rsidRDefault="00DE17F9" w:rsidP="00DE17F9"/>
    <w:p w14:paraId="7AD0A0BD" w14:textId="3CBE4931" w:rsidR="00DE17F9" w:rsidRPr="00DE17F9" w:rsidRDefault="00DE17F9" w:rsidP="00DE17F9">
      <w:pPr>
        <w:pStyle w:val="Heading4"/>
      </w:pPr>
      <w:r>
        <w:t>3 in 4 trips that include agritourism activities visited regional Australia in 2024, higher than overall trip proportions</w:t>
      </w:r>
    </w:p>
    <w:p w14:paraId="5B8B186F" w14:textId="55167F81" w:rsidR="00DE17F9" w:rsidRDefault="00DE17F9" w:rsidP="00DE17F9">
      <w:r>
        <w:t>Regional Australia is a key beneficiary of trips involving agritourism activities as we see many trips going to regional Australia. Almost 3 in 4 trips including agritourism visited regional Australia compared to 3 in 5 overall trips.</w:t>
      </w:r>
    </w:p>
    <w:p w14:paraId="68A45EFB" w14:textId="6C6BD66B" w:rsidR="00216C29" w:rsidRDefault="00DE17F9" w:rsidP="00DE17F9">
      <w:r>
        <w:lastRenderedPageBreak/>
        <w:t xml:space="preserve">Agritourism is a great economic opportunity for regional Australia. By attracting international travellers and domestic visitors, agritourism promotes all that Australia </w:t>
      </w:r>
      <w:proofErr w:type="gramStart"/>
      <w:r>
        <w:t>has to</w:t>
      </w:r>
      <w:proofErr w:type="gramEnd"/>
      <w:r>
        <w:t xml:space="preserve"> show, and offers experiences not easily replicated elsewhere.</w:t>
      </w:r>
    </w:p>
    <w:p w14:paraId="281FDDBE" w14:textId="22EB9900" w:rsidR="00DE17F9" w:rsidRPr="00216C29" w:rsidRDefault="00DE17F9" w:rsidP="00DE17F9">
      <w:r>
        <w:t>Figure: Leisure and business trips by regional Australia and capital cities (%)</w:t>
      </w:r>
    </w:p>
    <w:p w14:paraId="5526EC01" w14:textId="77777777" w:rsidR="00DE17F9" w:rsidRDefault="00DE17F9" w:rsidP="00E515FD"/>
    <w:p w14:paraId="25B0C3C7" w14:textId="2B0DA927" w:rsidR="00C60DD6" w:rsidRDefault="00DE17F9" w:rsidP="00DE17F9">
      <w:r>
        <w:t>Note: Sum of trips will be more than 100% as visitors may have gone to both regional Australia and capital cities on their trip.</w:t>
      </w:r>
    </w:p>
    <w:p w14:paraId="6E9D4428" w14:textId="057036C8" w:rsidR="00872E57" w:rsidRDefault="00845E56" w:rsidP="00845E56">
      <w:pPr>
        <w:rPr>
          <w:rStyle w:val="Heading4Char"/>
        </w:rPr>
      </w:pPr>
      <w:r w:rsidRPr="00872E57">
        <w:rPr>
          <w:rStyle w:val="Heading4Char"/>
        </w:rPr>
        <w:t>Travellers that engaged in agritourism engage in a higher number of trip activities compared with the average</w:t>
      </w:r>
      <w:r w:rsidR="000B07E3">
        <w:rPr>
          <w:rStyle w:val="Heading4Char"/>
        </w:rPr>
        <w:t xml:space="preserve"> traveller</w:t>
      </w:r>
    </w:p>
    <w:p w14:paraId="5AF81E56" w14:textId="5B0B2482" w:rsidR="00872E57" w:rsidRPr="00872E57" w:rsidRDefault="00872E57" w:rsidP="00872E57">
      <w:r w:rsidRPr="00872E57">
        <w:t>Those who engaged in agritourism were</w:t>
      </w:r>
      <w:r>
        <w:t xml:space="preserve"> </w:t>
      </w:r>
      <w:r w:rsidRPr="00872E57">
        <w:t>particularly likely to eat out, sightsee, spend</w:t>
      </w:r>
      <w:r>
        <w:t xml:space="preserve"> </w:t>
      </w:r>
      <w:r w:rsidRPr="00872E57">
        <w:t xml:space="preserve">time in </w:t>
      </w:r>
      <w:r w:rsidR="00F85B71" w:rsidRPr="00872E57">
        <w:t>nature,</w:t>
      </w:r>
      <w:r>
        <w:t xml:space="preserve"> </w:t>
      </w:r>
      <w:r w:rsidRPr="00872E57">
        <w:t>and go shopping more than</w:t>
      </w:r>
      <w:r>
        <w:t xml:space="preserve"> </w:t>
      </w:r>
      <w:r w:rsidRPr="00872E57">
        <w:t>the average traveller.</w:t>
      </w:r>
    </w:p>
    <w:p w14:paraId="07DD909E" w14:textId="2FEBE42C" w:rsidR="00872E57" w:rsidRPr="00872E57" w:rsidRDefault="00872E57" w:rsidP="00872E57">
      <w:r w:rsidRPr="00872E57">
        <w:t>This aligns with the higher-than-average trip</w:t>
      </w:r>
      <w:r>
        <w:t xml:space="preserve"> </w:t>
      </w:r>
      <w:r w:rsidRPr="00872E57">
        <w:t>spend of those doing agritourism activities</w:t>
      </w:r>
      <w:r>
        <w:t xml:space="preserve"> </w:t>
      </w:r>
      <w:r w:rsidRPr="00872E57">
        <w:t>as they are typically doing more while on their</w:t>
      </w:r>
      <w:r>
        <w:t xml:space="preserve"> </w:t>
      </w:r>
      <w:r w:rsidRPr="00872E57">
        <w:t>trip.</w:t>
      </w:r>
    </w:p>
    <w:p w14:paraId="2AE5875C" w14:textId="77777777" w:rsidR="00872E57" w:rsidRDefault="00872E57" w:rsidP="00872E57">
      <w:r w:rsidRPr="00872E57">
        <w:t>It also points to the potential pairing of</w:t>
      </w:r>
      <w:r>
        <w:t xml:space="preserve"> </w:t>
      </w:r>
      <w:r w:rsidRPr="00872E57">
        <w:t>agritourism activities with other experiences.</w:t>
      </w:r>
    </w:p>
    <w:p w14:paraId="480CF787" w14:textId="4AD62D68" w:rsidR="00872E57" w:rsidRDefault="00872E57" w:rsidP="00872E57">
      <w:r>
        <w:t xml:space="preserve">Figure: </w:t>
      </w:r>
      <w:r w:rsidRPr="00872E57">
        <w:t xml:space="preserve">Top 10 activities of agritourism </w:t>
      </w:r>
      <w:r w:rsidR="00314647" w:rsidRPr="00872E57">
        <w:t>traveller’s</w:t>
      </w:r>
      <w:r w:rsidRPr="00872E57">
        <w:t xml:space="preserve"> vs total travellers (%)</w:t>
      </w:r>
    </w:p>
    <w:p w14:paraId="4D211DDC" w14:textId="77777777" w:rsidR="00872E57" w:rsidRDefault="00872E57" w:rsidP="00872E57"/>
    <w:p w14:paraId="2D10B09D" w14:textId="77777777" w:rsidR="00872E57" w:rsidRDefault="00872E57" w:rsidP="00872E57">
      <w:pPr>
        <w:rPr>
          <w:rStyle w:val="Heading2Char"/>
        </w:rPr>
      </w:pPr>
      <w:bookmarkStart w:id="13" w:name="_Toc210834163"/>
      <w:r w:rsidRPr="00872E57">
        <w:rPr>
          <w:rStyle w:val="Heading2Char"/>
        </w:rPr>
        <w:t>Conclusions and further resources</w:t>
      </w:r>
      <w:bookmarkEnd w:id="13"/>
    </w:p>
    <w:p w14:paraId="5A96AF75" w14:textId="77777777" w:rsidR="00C60DD6" w:rsidRDefault="00872E57" w:rsidP="00872E57">
      <w:pPr>
        <w:rPr>
          <w:rStyle w:val="Heading3Char"/>
          <w:lang w:eastAsia="zh-CN"/>
        </w:rPr>
      </w:pPr>
      <w:r w:rsidRPr="00872E57">
        <w:rPr>
          <w:rStyle w:val="Heading3Char"/>
          <w:lang w:eastAsia="zh-CN"/>
        </w:rPr>
        <w:t>Agritourism in Australia presents a growing opportunity in a sector with global demand</w:t>
      </w:r>
    </w:p>
    <w:p w14:paraId="3BCFEF52" w14:textId="321913FB" w:rsidR="00872E57" w:rsidRPr="00872E57" w:rsidRDefault="00872E57" w:rsidP="00872E57">
      <w:r w:rsidRPr="00872E57">
        <w:t>Agritourism in Australia is a large and valuable sector of the visitor economy, with travellers who engage with agritourism accounting for $20.</w:t>
      </w:r>
      <w:r w:rsidR="00F1542C">
        <w:t>3</w:t>
      </w:r>
      <w:r w:rsidRPr="00872E57">
        <w:t xml:space="preserve"> billion in spend in 2024.</w:t>
      </w:r>
    </w:p>
    <w:p w14:paraId="331CE193" w14:textId="77777777" w:rsidR="00872E57" w:rsidRPr="00872E57" w:rsidRDefault="00872E57" w:rsidP="00872E57">
      <w:r w:rsidRPr="00872E57">
        <w:t>Growth in all key metrics (trips, nights, spend) in 2024 indicates the sector is well placed for continued success in future years.</w:t>
      </w:r>
    </w:p>
    <w:p w14:paraId="7606947F" w14:textId="77777777" w:rsidR="00872E57" w:rsidRPr="00872E57" w:rsidRDefault="00872E57" w:rsidP="00872E57">
      <w:r w:rsidRPr="00872E57">
        <w:t xml:space="preserve">3 in 4 trips that include an agritourism activity went to regional Australia, compared to 59% of overall leisure and business trips in 2024. This indicates agritourism may be an asset to regional Australia that can drive trips, nights, and spend as the sector grows. </w:t>
      </w:r>
    </w:p>
    <w:p w14:paraId="757BD301" w14:textId="77777777" w:rsidR="00872E57" w:rsidRPr="00872E57" w:rsidRDefault="00872E57" w:rsidP="00872E57">
      <w:r w:rsidRPr="00872E57">
        <w:t xml:space="preserve">Those who engage in agritourism activities on their trips tend to do more activities than general travellers for leisure and business. Therefore, those that do agritourism activities are more likely to engage with multiple businesses and operators than the average traveller making them a valuable segment to the visitor economy. </w:t>
      </w:r>
    </w:p>
    <w:p w14:paraId="2A5ACBC5" w14:textId="77777777" w:rsidR="00872E57" w:rsidRPr="00872E57" w:rsidRDefault="00872E57" w:rsidP="00872E57">
      <w:r w:rsidRPr="00872E57">
        <w:t>Travellers who engage with agritourism have a strong propensity to benefit the visitor economy, with:</w:t>
      </w:r>
    </w:p>
    <w:p w14:paraId="78480886" w14:textId="77777777" w:rsidR="00872E57" w:rsidRPr="00872E57" w:rsidRDefault="00872E57" w:rsidP="00872E57">
      <w:pPr>
        <w:pStyle w:val="ListParagraph"/>
        <w:numPr>
          <w:ilvl w:val="0"/>
          <w:numId w:val="28"/>
        </w:numPr>
      </w:pPr>
      <w:r w:rsidRPr="00872E57">
        <w:t>A higher than average spend per trip</w:t>
      </w:r>
    </w:p>
    <w:p w14:paraId="7E7BF336" w14:textId="77777777" w:rsidR="00872E57" w:rsidRPr="00872E57" w:rsidRDefault="00872E57" w:rsidP="00872E57">
      <w:pPr>
        <w:pStyle w:val="ListParagraph"/>
        <w:numPr>
          <w:ilvl w:val="0"/>
          <w:numId w:val="28"/>
        </w:numPr>
      </w:pPr>
      <w:r w:rsidRPr="00872E57">
        <w:t>Longer than average trip length</w:t>
      </w:r>
    </w:p>
    <w:p w14:paraId="742E6C9A" w14:textId="77777777" w:rsidR="00872E57" w:rsidRPr="00872E57" w:rsidRDefault="00872E57" w:rsidP="00872E57">
      <w:pPr>
        <w:pStyle w:val="ListParagraph"/>
        <w:numPr>
          <w:ilvl w:val="0"/>
          <w:numId w:val="28"/>
        </w:numPr>
      </w:pPr>
      <w:r w:rsidRPr="00872E57">
        <w:t>Higher visitation to regional Australia.</w:t>
      </w:r>
    </w:p>
    <w:p w14:paraId="3A882D38" w14:textId="53D7A40D" w:rsidR="005F4819" w:rsidRDefault="00872E57" w:rsidP="00872E57">
      <w:r w:rsidRPr="00872E57">
        <w:lastRenderedPageBreak/>
        <w:t>Agritourism in Australia is uniquely positioned to show off our natural landscape, Australian culture, and contributes positively to the visitor economy</w:t>
      </w:r>
    </w:p>
    <w:p w14:paraId="7BBC26C7" w14:textId="1BEF3540" w:rsidR="00DE17F9" w:rsidRPr="00872E57" w:rsidRDefault="00872E57" w:rsidP="00872E57">
      <w:pPr>
        <w:pStyle w:val="Heading2"/>
        <w:rPr>
          <w:rStyle w:val="Heading3Char"/>
        </w:rPr>
      </w:pPr>
      <w:bookmarkStart w:id="14" w:name="_Toc210834164"/>
      <w:r w:rsidRPr="00872E57">
        <w:rPr>
          <w:rStyle w:val="Heading3Char"/>
        </w:rPr>
        <w:t xml:space="preserve">Agritourism guidelines, </w:t>
      </w:r>
      <w:r w:rsidR="00F85B71" w:rsidRPr="00872E57">
        <w:rPr>
          <w:rStyle w:val="Heading3Char"/>
        </w:rPr>
        <w:t>references,</w:t>
      </w:r>
      <w:r w:rsidRPr="00872E57">
        <w:rPr>
          <w:rStyle w:val="Heading3Char"/>
        </w:rPr>
        <w:t xml:space="preserve"> and further information</w:t>
      </w:r>
      <w:bookmarkEnd w:id="14"/>
    </w:p>
    <w:p w14:paraId="4D69304A" w14:textId="77777777" w:rsidR="00872E57" w:rsidRPr="00872E57" w:rsidRDefault="00872E57" w:rsidP="00872E57">
      <w:r w:rsidRPr="00872E57">
        <w:t xml:space="preserve">‘Agritourism activities’ refers to travellers having engaged with at least one of the following activities asked in the NVS and IVS, in 2024: </w:t>
      </w:r>
    </w:p>
    <w:p w14:paraId="576E61EB" w14:textId="77777777" w:rsidR="00872E57" w:rsidRPr="00872E57" w:rsidRDefault="00872E57" w:rsidP="00872E57">
      <w:r w:rsidRPr="00872E57">
        <w:t xml:space="preserve">Q. And what (leisure activities) did you do during this trip? </w:t>
      </w:r>
    </w:p>
    <w:p w14:paraId="40AF68CF" w14:textId="77777777" w:rsidR="00872E57" w:rsidRPr="00872E57" w:rsidRDefault="00872E57" w:rsidP="00872E57">
      <w:pPr>
        <w:pStyle w:val="ListParagraph"/>
        <w:numPr>
          <w:ilvl w:val="0"/>
          <w:numId w:val="30"/>
        </w:numPr>
      </w:pPr>
      <w:r w:rsidRPr="00872E57">
        <w:t>Visit farms</w:t>
      </w:r>
    </w:p>
    <w:p w14:paraId="2454B161" w14:textId="77777777" w:rsidR="00872E57" w:rsidRPr="00872E57" w:rsidRDefault="00872E57" w:rsidP="00872E57">
      <w:pPr>
        <w:pStyle w:val="ListParagraph"/>
        <w:numPr>
          <w:ilvl w:val="0"/>
          <w:numId w:val="30"/>
        </w:numPr>
      </w:pPr>
      <w:r w:rsidRPr="00872E57">
        <w:t>Have an Aboriginal food experience</w:t>
      </w:r>
    </w:p>
    <w:p w14:paraId="6025AA75" w14:textId="77777777" w:rsidR="00872E57" w:rsidRPr="00872E57" w:rsidRDefault="00872E57" w:rsidP="00872E57">
      <w:pPr>
        <w:pStyle w:val="ListParagraph"/>
        <w:numPr>
          <w:ilvl w:val="0"/>
          <w:numId w:val="30"/>
        </w:numPr>
      </w:pPr>
      <w:r w:rsidRPr="00872E57">
        <w:t>Visit wineries</w:t>
      </w:r>
    </w:p>
    <w:p w14:paraId="20092AA4" w14:textId="77777777" w:rsidR="00872E57" w:rsidRPr="00872E57" w:rsidRDefault="00872E57" w:rsidP="00872E57">
      <w:pPr>
        <w:pStyle w:val="ListParagraph"/>
        <w:numPr>
          <w:ilvl w:val="0"/>
          <w:numId w:val="30"/>
        </w:numPr>
      </w:pPr>
      <w:r w:rsidRPr="00872E57">
        <w:t>Visit farm gates</w:t>
      </w:r>
    </w:p>
    <w:p w14:paraId="1AB58AC8" w14:textId="77777777" w:rsidR="00872E57" w:rsidRPr="00872E57" w:rsidRDefault="00872E57" w:rsidP="00872E57">
      <w:pPr>
        <w:pStyle w:val="ListParagraph"/>
        <w:numPr>
          <w:ilvl w:val="0"/>
          <w:numId w:val="30"/>
        </w:numPr>
      </w:pPr>
      <w:r w:rsidRPr="00872E57">
        <w:t>Visit food markets</w:t>
      </w:r>
    </w:p>
    <w:p w14:paraId="4199CCC9" w14:textId="77777777" w:rsidR="00872E57" w:rsidRPr="00872E57" w:rsidRDefault="00872E57" w:rsidP="00872E57">
      <w:pPr>
        <w:pStyle w:val="ListParagraph"/>
        <w:numPr>
          <w:ilvl w:val="0"/>
          <w:numId w:val="30"/>
        </w:numPr>
      </w:pPr>
      <w:r w:rsidRPr="00872E57">
        <w:t>Visit breweries</w:t>
      </w:r>
    </w:p>
    <w:p w14:paraId="4452025A" w14:textId="77777777" w:rsidR="00872E57" w:rsidRPr="00872E57" w:rsidRDefault="00872E57" w:rsidP="00872E57">
      <w:pPr>
        <w:pStyle w:val="ListParagraph"/>
        <w:numPr>
          <w:ilvl w:val="0"/>
          <w:numId w:val="30"/>
        </w:numPr>
      </w:pPr>
      <w:r w:rsidRPr="00872E57">
        <w:t>Visit distilleries</w:t>
      </w:r>
    </w:p>
    <w:p w14:paraId="1EC621D1" w14:textId="4DDBFD59" w:rsidR="00872E57" w:rsidRPr="00872E57" w:rsidRDefault="00872E57" w:rsidP="00872E57">
      <w:r w:rsidRPr="00872E57">
        <w:t xml:space="preserve">Data in this report is among leisure and business travellers for the ‘main reason for trip’ to avoid data skews caused by education and employment. </w:t>
      </w:r>
    </w:p>
    <w:p w14:paraId="479D1410" w14:textId="0B93229E" w:rsidR="00611A04" w:rsidRDefault="00872E57" w:rsidP="00872E57">
      <w:r w:rsidRPr="00872E57">
        <w:t>This approach has been agreed in consultation with Tourism Australia and each of the states and territories tourism offices. To measure and evaluate the sector, these activities are included to ensure a consistent approach to tracking the success of the sector.</w:t>
      </w:r>
    </w:p>
    <w:p w14:paraId="180B6E77" w14:textId="67BC27F1" w:rsidR="00872E57" w:rsidRDefault="00872E57" w:rsidP="00131D23">
      <w:pPr>
        <w:pStyle w:val="Heading2"/>
        <w:rPr>
          <w:color w:val="300050" w:themeColor="text2"/>
          <w:sz w:val="28"/>
          <w:szCs w:val="32"/>
        </w:rPr>
      </w:pPr>
      <w:bookmarkStart w:id="15" w:name="_Toc210834165"/>
      <w:r w:rsidRPr="00872E57">
        <w:t>References</w:t>
      </w:r>
      <w:bookmarkEnd w:id="15"/>
    </w:p>
    <w:p w14:paraId="1D21450B" w14:textId="7282F7F2" w:rsidR="00872E57" w:rsidRPr="00872E57" w:rsidRDefault="00872E57" w:rsidP="00872E57">
      <w:r w:rsidRPr="00872E57">
        <w:t xml:space="preserve">Tourism Research Australia, </w:t>
      </w:r>
      <w:r w:rsidR="00F85B71" w:rsidRPr="00872E57">
        <w:t>IVS,</w:t>
      </w:r>
      <w:r w:rsidRPr="00872E57">
        <w:t xml:space="preserve"> and NVS. Year ending December 2024. </w:t>
      </w:r>
    </w:p>
    <w:p w14:paraId="20628825" w14:textId="359CF549" w:rsidR="00872E57" w:rsidRDefault="00872E57" w:rsidP="00872E57">
      <w:r w:rsidRPr="00872E57">
        <w:t xml:space="preserve">Tourism Australia; Future of Demand (2022) </w:t>
      </w:r>
      <w:hyperlink r:id="rId13" w:history="1">
        <w:r w:rsidRPr="00EA6A89">
          <w:rPr>
            <w:rStyle w:val="Hyperlink"/>
          </w:rPr>
          <w:t>https://www.tourism.australia.com/en/insights/consumer-research/future-of-demand.html</w:t>
        </w:r>
      </w:hyperlink>
    </w:p>
    <w:p w14:paraId="46C066A7" w14:textId="7DC58B54" w:rsidR="00872E57" w:rsidRPr="00872E57" w:rsidRDefault="00872E57" w:rsidP="00872E57">
      <w:r w:rsidRPr="00872E57">
        <w:t xml:space="preserve">Australian Tourism Data Warehouse (ATDW) </w:t>
      </w:r>
      <w:r>
        <w:br/>
      </w:r>
      <w:hyperlink r:id="rId14" w:history="1">
        <w:r w:rsidRPr="00EA6A89">
          <w:rPr>
            <w:rStyle w:val="Hyperlink"/>
          </w:rPr>
          <w:t>https://www.atdw.com.au/</w:t>
        </w:r>
      </w:hyperlink>
      <w:r>
        <w:t xml:space="preserve"> </w:t>
      </w:r>
    </w:p>
    <w:p w14:paraId="7F0DC26A" w14:textId="26C66ABA" w:rsidR="00872E57" w:rsidRPr="00872E57" w:rsidRDefault="00872E57" w:rsidP="00872E57">
      <w:pPr>
        <w:pStyle w:val="Heading3"/>
      </w:pPr>
      <w:r>
        <w:t>Further resources</w:t>
      </w:r>
    </w:p>
    <w:p w14:paraId="5007A7DF" w14:textId="77777777" w:rsidR="00872E57" w:rsidRPr="00872E57" w:rsidRDefault="00872E57" w:rsidP="00872E57">
      <w:r w:rsidRPr="00872E57">
        <w:t xml:space="preserve">Australian Regional Tourism (ART) https://regionaltourism.com.au/project/agritourism/ </w:t>
      </w:r>
    </w:p>
    <w:p w14:paraId="6D55FBE4" w14:textId="77777777" w:rsidR="00872E57" w:rsidRPr="00872E57" w:rsidRDefault="00872E57" w:rsidP="00872E57">
      <w:r w:rsidRPr="00872E57">
        <w:t xml:space="preserve">Food &amp; Agribusiness Network (FAN) https://foodagribusiness.org.au/ </w:t>
      </w:r>
    </w:p>
    <w:p w14:paraId="5B9F1550" w14:textId="1CF5856A" w:rsidR="00245E86" w:rsidRPr="00245E86" w:rsidRDefault="00872E57" w:rsidP="00C60DD6">
      <w:r w:rsidRPr="00872E57">
        <w:t xml:space="preserve">Check your state and local government websites for resources for agritourism businesses. </w:t>
      </w:r>
    </w:p>
    <w:p w14:paraId="01017D27" w14:textId="77777777" w:rsidR="00245E86" w:rsidRPr="00245E86" w:rsidRDefault="00245E86" w:rsidP="00245E86"/>
    <w:p w14:paraId="312AE18A" w14:textId="77777777" w:rsidR="00245E86" w:rsidRDefault="00245E86" w:rsidP="00245E86"/>
    <w:p w14:paraId="551B3097" w14:textId="77777777" w:rsidR="004767E6" w:rsidRPr="00245E86" w:rsidRDefault="00245E86" w:rsidP="00245E86">
      <w:pPr>
        <w:tabs>
          <w:tab w:val="left" w:pos="6244"/>
        </w:tabs>
      </w:pPr>
      <w:r>
        <w:tab/>
      </w:r>
    </w:p>
    <w:sectPr w:rsidR="004767E6" w:rsidRPr="00245E86" w:rsidSect="00131D23">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984C" w14:textId="77777777" w:rsidR="00B218FE" w:rsidRDefault="00B218FE" w:rsidP="007B0021">
      <w:r>
        <w:separator/>
      </w:r>
    </w:p>
    <w:p w14:paraId="13BA7813" w14:textId="77777777" w:rsidR="00B218FE" w:rsidRDefault="00B218FE" w:rsidP="007B0021"/>
  </w:endnote>
  <w:endnote w:type="continuationSeparator" w:id="0">
    <w:p w14:paraId="6F5E2556" w14:textId="77777777" w:rsidR="00B218FE" w:rsidRDefault="00B218FE" w:rsidP="007B0021">
      <w:r>
        <w:continuationSeparator/>
      </w:r>
    </w:p>
    <w:p w14:paraId="09CB55F2" w14:textId="77777777" w:rsidR="00B218FE" w:rsidRDefault="00B218FE"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667" w14:textId="1AD5BC27" w:rsidR="007630CB" w:rsidRDefault="007630CB">
    <w:pPr>
      <w:pStyle w:val="Footer"/>
    </w:pPr>
    <w:r>
      <w:rPr>
        <w:noProof/>
      </w:rPr>
      <mc:AlternateContent>
        <mc:Choice Requires="wps">
          <w:drawing>
            <wp:anchor distT="0" distB="0" distL="0" distR="0" simplePos="0" relativeHeight="251662336" behindDoc="0" locked="0" layoutInCell="1" allowOverlap="1" wp14:anchorId="149FEBBA" wp14:editId="7C6C0CAD">
              <wp:simplePos x="635" y="635"/>
              <wp:positionH relativeFrom="page">
                <wp:align>center</wp:align>
              </wp:positionH>
              <wp:positionV relativeFrom="page">
                <wp:align>bottom</wp:align>
              </wp:positionV>
              <wp:extent cx="551815" cy="508000"/>
              <wp:effectExtent l="0" t="0" r="635" b="0"/>
              <wp:wrapNone/>
              <wp:docPr id="6245328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AA8502B" w14:textId="7618364B"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FEBBA" id="_x0000_t202" coordsize="21600,21600" o:spt="202" path="m,l,21600r21600,l21600,xe">
              <v:stroke joinstyle="miter"/>
              <v:path gradientshapeok="t" o:connecttype="rect"/>
            </v:shapetype>
            <v:shape id="Text Box 5" o:spid="_x0000_s1028" type="#_x0000_t202" alt="OFFICIAL" style="position:absolute;margin-left:0;margin-top:0;width:43.45pt;height:4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0AA8502B" w14:textId="7618364B"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536F" w14:textId="25FEACE8" w:rsidR="007630CB" w:rsidRDefault="007630CB">
    <w:pPr>
      <w:pStyle w:val="Footer"/>
    </w:pPr>
    <w:r>
      <w:rPr>
        <w:noProof/>
      </w:rPr>
      <mc:AlternateContent>
        <mc:Choice Requires="wps">
          <w:drawing>
            <wp:anchor distT="0" distB="0" distL="0" distR="0" simplePos="0" relativeHeight="251663360" behindDoc="0" locked="0" layoutInCell="1" allowOverlap="1" wp14:anchorId="363C0AE9" wp14:editId="3C26EAAA">
              <wp:simplePos x="635" y="635"/>
              <wp:positionH relativeFrom="page">
                <wp:align>center</wp:align>
              </wp:positionH>
              <wp:positionV relativeFrom="page">
                <wp:align>bottom</wp:align>
              </wp:positionV>
              <wp:extent cx="551815" cy="508000"/>
              <wp:effectExtent l="0" t="0" r="635" b="0"/>
              <wp:wrapNone/>
              <wp:docPr id="3147170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7CB5D0B" w14:textId="0FBD532E"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C0AE9" id="_x0000_t202" coordsize="21600,21600" o:spt="202" path="m,l,21600r21600,l21600,xe">
              <v:stroke joinstyle="miter"/>
              <v:path gradientshapeok="t" o:connecttype="rect"/>
            </v:shapetype>
            <v:shape id="Text Box 6" o:spid="_x0000_s1029" type="#_x0000_t202" alt="OFFICIAL" style="position:absolute;margin-left:0;margin-top:0;width:43.45pt;height:4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37CB5D0B" w14:textId="0FBD532E"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4615" w14:textId="7CF0C945" w:rsidR="00131D23" w:rsidRDefault="007630CB">
    <w:pPr>
      <w:pStyle w:val="Footer"/>
      <w:jc w:val="right"/>
    </w:pPr>
    <w:r>
      <w:rPr>
        <w:noProof/>
      </w:rPr>
      <mc:AlternateContent>
        <mc:Choice Requires="wps">
          <w:drawing>
            <wp:anchor distT="0" distB="0" distL="0" distR="0" simplePos="0" relativeHeight="251661312" behindDoc="0" locked="0" layoutInCell="1" allowOverlap="1" wp14:anchorId="3C66547A" wp14:editId="0D72AFDE">
              <wp:simplePos x="635" y="635"/>
              <wp:positionH relativeFrom="page">
                <wp:align>center</wp:align>
              </wp:positionH>
              <wp:positionV relativeFrom="page">
                <wp:align>bottom</wp:align>
              </wp:positionV>
              <wp:extent cx="551815" cy="508000"/>
              <wp:effectExtent l="0" t="0" r="635" b="0"/>
              <wp:wrapNone/>
              <wp:docPr id="11718270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C67C5C0" w14:textId="141A37DC"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547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4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textbox style="mso-fit-shape-to-text:t" inset="0,0,0,15pt">
                <w:txbxContent>
                  <w:p w14:paraId="5C67C5C0" w14:textId="141A37DC"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sdt>
    <w:sdtPr>
      <w:id w:val="-1602866965"/>
      <w:docPartObj>
        <w:docPartGallery w:val="Page Numbers (Bottom of Page)"/>
        <w:docPartUnique/>
      </w:docPartObj>
    </w:sdtPr>
    <w:sdtEndPr>
      <w:rPr>
        <w:noProof/>
      </w:rPr>
    </w:sdtEndPr>
    <w:sdtContent>
      <w:p w14:paraId="71A24D0F" w14:textId="77777777" w:rsidR="00131D23" w:rsidRDefault="00131D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CE0B2" w14:textId="440294D3" w:rsidR="00131D23" w:rsidRDefault="0013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0E2A" w14:textId="77777777" w:rsidR="00B218FE" w:rsidRDefault="00B218FE" w:rsidP="007B0021">
      <w:r>
        <w:separator/>
      </w:r>
    </w:p>
    <w:p w14:paraId="5968467C" w14:textId="77777777" w:rsidR="00B218FE" w:rsidRDefault="00B218FE" w:rsidP="007B0021"/>
  </w:footnote>
  <w:footnote w:type="continuationSeparator" w:id="0">
    <w:p w14:paraId="0AC527C2" w14:textId="77777777" w:rsidR="00B218FE" w:rsidRDefault="00B218FE" w:rsidP="007B0021">
      <w:r>
        <w:continuationSeparator/>
      </w:r>
    </w:p>
    <w:p w14:paraId="4892F3CD" w14:textId="77777777" w:rsidR="00B218FE" w:rsidRDefault="00B218FE"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1EB0" w14:textId="70742E99" w:rsidR="007630CB" w:rsidRDefault="007630CB">
    <w:pPr>
      <w:pStyle w:val="Header"/>
    </w:pPr>
    <w:r>
      <w:rPr>
        <w:noProof/>
      </w:rPr>
      <mc:AlternateContent>
        <mc:Choice Requires="wps">
          <w:drawing>
            <wp:anchor distT="0" distB="0" distL="0" distR="0" simplePos="0" relativeHeight="251659264" behindDoc="0" locked="0" layoutInCell="1" allowOverlap="1" wp14:anchorId="342C9A92" wp14:editId="3B167F99">
              <wp:simplePos x="635" y="635"/>
              <wp:positionH relativeFrom="page">
                <wp:align>center</wp:align>
              </wp:positionH>
              <wp:positionV relativeFrom="page">
                <wp:align>top</wp:align>
              </wp:positionV>
              <wp:extent cx="551815" cy="508000"/>
              <wp:effectExtent l="0" t="0" r="635" b="6350"/>
              <wp:wrapNone/>
              <wp:docPr id="10331754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001ED97" w14:textId="35046A69"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C9A92"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1001ED97" w14:textId="35046A69"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1FED" w14:textId="07BFA6A9" w:rsidR="007630CB" w:rsidRDefault="007630CB">
    <w:pPr>
      <w:pStyle w:val="Header"/>
    </w:pPr>
    <w:r>
      <w:rPr>
        <w:noProof/>
      </w:rPr>
      <mc:AlternateContent>
        <mc:Choice Requires="wps">
          <w:drawing>
            <wp:anchor distT="0" distB="0" distL="0" distR="0" simplePos="0" relativeHeight="251660288" behindDoc="0" locked="0" layoutInCell="1" allowOverlap="1" wp14:anchorId="5E6958D7" wp14:editId="0308D509">
              <wp:simplePos x="635" y="635"/>
              <wp:positionH relativeFrom="page">
                <wp:align>center</wp:align>
              </wp:positionH>
              <wp:positionV relativeFrom="page">
                <wp:align>top</wp:align>
              </wp:positionV>
              <wp:extent cx="551815" cy="508000"/>
              <wp:effectExtent l="0" t="0" r="635" b="6350"/>
              <wp:wrapNone/>
              <wp:docPr id="8561212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F23B6B5" w14:textId="6824E850"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958D7"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0F23B6B5" w14:textId="6824E850"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A4C8" w14:textId="1CB9F2F3" w:rsidR="003A58AB" w:rsidRDefault="007630CB" w:rsidP="007B0021">
    <w:pPr>
      <w:pStyle w:val="Header"/>
    </w:pPr>
    <w:r>
      <w:rPr>
        <w:noProof/>
      </w:rPr>
      <mc:AlternateContent>
        <mc:Choice Requires="wps">
          <w:drawing>
            <wp:anchor distT="0" distB="0" distL="0" distR="0" simplePos="0" relativeHeight="251658240" behindDoc="0" locked="0" layoutInCell="1" allowOverlap="1" wp14:anchorId="24AA1372" wp14:editId="4DE097B1">
              <wp:simplePos x="635" y="635"/>
              <wp:positionH relativeFrom="page">
                <wp:align>center</wp:align>
              </wp:positionH>
              <wp:positionV relativeFrom="page">
                <wp:align>top</wp:align>
              </wp:positionV>
              <wp:extent cx="551815" cy="508000"/>
              <wp:effectExtent l="0" t="0" r="635" b="6350"/>
              <wp:wrapNone/>
              <wp:docPr id="6525733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6220A00" w14:textId="72E687D3"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A1372" id="_x0000_t202" coordsize="21600,21600" o:spt="202" path="m,l,21600r21600,l21600,xe">
              <v:stroke joinstyle="miter"/>
              <v:path gradientshapeok="t" o:connecttype="rect"/>
            </v:shapetype>
            <v:shape id="Text Box 1" o:spid="_x0000_s1030"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56220A00" w14:textId="72E687D3" w:rsidR="007630CB" w:rsidRPr="007630CB" w:rsidRDefault="007630CB" w:rsidP="007630CB">
                    <w:pPr>
                      <w:spacing w:after="0"/>
                      <w:rPr>
                        <w:rFonts w:ascii="Calibri" w:eastAsia="Calibri" w:hAnsi="Calibri" w:cs="Calibri"/>
                        <w:noProof/>
                        <w:color w:val="FF0000"/>
                        <w:sz w:val="24"/>
                        <w:szCs w:val="24"/>
                      </w:rPr>
                    </w:pPr>
                    <w:r w:rsidRPr="007630CB">
                      <w:rPr>
                        <w:rFonts w:ascii="Calibri" w:eastAsia="Calibri" w:hAnsi="Calibri" w:cs="Calibri"/>
                        <w:noProof/>
                        <w:color w:val="FF0000"/>
                        <w:sz w:val="24"/>
                        <w:szCs w:val="24"/>
                      </w:rPr>
                      <w:t>OFFICIAL</w:t>
                    </w:r>
                  </w:p>
                </w:txbxContent>
              </v:textbox>
              <w10:wrap anchorx="page" anchory="page"/>
            </v:shape>
          </w:pict>
        </mc:Fallback>
      </mc:AlternateContent>
    </w:r>
  </w:p>
  <w:p w14:paraId="06AA3EA3"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EB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E24D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73234"/>
    <w:multiLevelType w:val="hybridMultilevel"/>
    <w:tmpl w:val="59B8419A"/>
    <w:lvl w:ilvl="0" w:tplc="3FE242B6">
      <w:start w:val="1"/>
      <w:numFmt w:val="bullet"/>
      <w:lvlText w:val="-"/>
      <w:lvlJc w:val="left"/>
      <w:pPr>
        <w:tabs>
          <w:tab w:val="num" w:pos="720"/>
        </w:tabs>
        <w:ind w:left="720" w:hanging="360"/>
      </w:pPr>
      <w:rPr>
        <w:rFonts w:ascii="Times New Roman" w:hAnsi="Times New Roman" w:hint="default"/>
      </w:rPr>
    </w:lvl>
    <w:lvl w:ilvl="1" w:tplc="B4468D42" w:tentative="1">
      <w:start w:val="1"/>
      <w:numFmt w:val="bullet"/>
      <w:lvlText w:val="-"/>
      <w:lvlJc w:val="left"/>
      <w:pPr>
        <w:tabs>
          <w:tab w:val="num" w:pos="1440"/>
        </w:tabs>
        <w:ind w:left="1440" w:hanging="360"/>
      </w:pPr>
      <w:rPr>
        <w:rFonts w:ascii="Times New Roman" w:hAnsi="Times New Roman" w:hint="default"/>
      </w:rPr>
    </w:lvl>
    <w:lvl w:ilvl="2" w:tplc="92126490" w:tentative="1">
      <w:start w:val="1"/>
      <w:numFmt w:val="bullet"/>
      <w:lvlText w:val="-"/>
      <w:lvlJc w:val="left"/>
      <w:pPr>
        <w:tabs>
          <w:tab w:val="num" w:pos="2160"/>
        </w:tabs>
        <w:ind w:left="2160" w:hanging="360"/>
      </w:pPr>
      <w:rPr>
        <w:rFonts w:ascii="Times New Roman" w:hAnsi="Times New Roman" w:hint="default"/>
      </w:rPr>
    </w:lvl>
    <w:lvl w:ilvl="3" w:tplc="42D8BB08" w:tentative="1">
      <w:start w:val="1"/>
      <w:numFmt w:val="bullet"/>
      <w:lvlText w:val="-"/>
      <w:lvlJc w:val="left"/>
      <w:pPr>
        <w:tabs>
          <w:tab w:val="num" w:pos="2880"/>
        </w:tabs>
        <w:ind w:left="2880" w:hanging="360"/>
      </w:pPr>
      <w:rPr>
        <w:rFonts w:ascii="Times New Roman" w:hAnsi="Times New Roman" w:hint="default"/>
      </w:rPr>
    </w:lvl>
    <w:lvl w:ilvl="4" w:tplc="B1E05D80" w:tentative="1">
      <w:start w:val="1"/>
      <w:numFmt w:val="bullet"/>
      <w:lvlText w:val="-"/>
      <w:lvlJc w:val="left"/>
      <w:pPr>
        <w:tabs>
          <w:tab w:val="num" w:pos="3600"/>
        </w:tabs>
        <w:ind w:left="3600" w:hanging="360"/>
      </w:pPr>
      <w:rPr>
        <w:rFonts w:ascii="Times New Roman" w:hAnsi="Times New Roman" w:hint="default"/>
      </w:rPr>
    </w:lvl>
    <w:lvl w:ilvl="5" w:tplc="51BC02F0" w:tentative="1">
      <w:start w:val="1"/>
      <w:numFmt w:val="bullet"/>
      <w:lvlText w:val="-"/>
      <w:lvlJc w:val="left"/>
      <w:pPr>
        <w:tabs>
          <w:tab w:val="num" w:pos="4320"/>
        </w:tabs>
        <w:ind w:left="4320" w:hanging="360"/>
      </w:pPr>
      <w:rPr>
        <w:rFonts w:ascii="Times New Roman" w:hAnsi="Times New Roman" w:hint="default"/>
      </w:rPr>
    </w:lvl>
    <w:lvl w:ilvl="6" w:tplc="EEF60050" w:tentative="1">
      <w:start w:val="1"/>
      <w:numFmt w:val="bullet"/>
      <w:lvlText w:val="-"/>
      <w:lvlJc w:val="left"/>
      <w:pPr>
        <w:tabs>
          <w:tab w:val="num" w:pos="5040"/>
        </w:tabs>
        <w:ind w:left="5040" w:hanging="360"/>
      </w:pPr>
      <w:rPr>
        <w:rFonts w:ascii="Times New Roman" w:hAnsi="Times New Roman" w:hint="default"/>
      </w:rPr>
    </w:lvl>
    <w:lvl w:ilvl="7" w:tplc="3DAC6556" w:tentative="1">
      <w:start w:val="1"/>
      <w:numFmt w:val="bullet"/>
      <w:lvlText w:val="-"/>
      <w:lvlJc w:val="left"/>
      <w:pPr>
        <w:tabs>
          <w:tab w:val="num" w:pos="5760"/>
        </w:tabs>
        <w:ind w:left="5760" w:hanging="360"/>
      </w:pPr>
      <w:rPr>
        <w:rFonts w:ascii="Times New Roman" w:hAnsi="Times New Roman" w:hint="default"/>
      </w:rPr>
    </w:lvl>
    <w:lvl w:ilvl="8" w:tplc="278ED4D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832D89"/>
    <w:multiLevelType w:val="hybridMultilevel"/>
    <w:tmpl w:val="54082B30"/>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0CED17FE"/>
    <w:multiLevelType w:val="hybridMultilevel"/>
    <w:tmpl w:val="3C169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A63362"/>
    <w:multiLevelType w:val="hybridMultilevel"/>
    <w:tmpl w:val="8C3C7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ED51F0"/>
    <w:multiLevelType w:val="hybridMultilevel"/>
    <w:tmpl w:val="4EE89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E2A17"/>
    <w:multiLevelType w:val="hybridMultilevel"/>
    <w:tmpl w:val="BBAE9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E941E5"/>
    <w:multiLevelType w:val="hybridMultilevel"/>
    <w:tmpl w:val="638E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302D0C"/>
    <w:multiLevelType w:val="hybridMultilevel"/>
    <w:tmpl w:val="B1F0F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7D12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E64056"/>
    <w:multiLevelType w:val="hybridMultilevel"/>
    <w:tmpl w:val="C86EDE5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6B0F45"/>
    <w:multiLevelType w:val="hybridMultilevel"/>
    <w:tmpl w:val="2E1EA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74179A"/>
    <w:multiLevelType w:val="hybridMultilevel"/>
    <w:tmpl w:val="36747A4A"/>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D27232"/>
    <w:multiLevelType w:val="hybridMultilevel"/>
    <w:tmpl w:val="6E3C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0D767D"/>
    <w:multiLevelType w:val="hybridMultilevel"/>
    <w:tmpl w:val="F5704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181C64"/>
    <w:multiLevelType w:val="hybridMultilevel"/>
    <w:tmpl w:val="BE64B01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DF7EA1"/>
    <w:multiLevelType w:val="hybridMultilevel"/>
    <w:tmpl w:val="3386014C"/>
    <w:lvl w:ilvl="0" w:tplc="0C090003">
      <w:start w:val="1"/>
      <w:numFmt w:val="bullet"/>
      <w:lvlText w:val="o"/>
      <w:lvlJc w:val="left"/>
      <w:pPr>
        <w:ind w:left="2520" w:hanging="360"/>
      </w:pPr>
      <w:rPr>
        <w:rFonts w:ascii="Courier New" w:hAnsi="Courier New" w:cs="Courier New" w:hint="default"/>
      </w:rPr>
    </w:lvl>
    <w:lvl w:ilvl="1" w:tplc="FCD07B5A">
      <w:start w:val="7"/>
      <w:numFmt w:val="bullet"/>
      <w:lvlText w:val="•"/>
      <w:lvlJc w:val="left"/>
      <w:pPr>
        <w:ind w:left="3240" w:hanging="360"/>
      </w:pPr>
      <w:rPr>
        <w:rFonts w:ascii="Verdana" w:eastAsiaTheme="minorHAnsi" w:hAnsi="Verdana" w:cstheme="minorBid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1" w15:restartNumberingAfterBreak="0">
    <w:nsid w:val="65750845"/>
    <w:multiLevelType w:val="hybridMultilevel"/>
    <w:tmpl w:val="DEA4B9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D1AC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778F0C1F"/>
    <w:multiLevelType w:val="hybridMultilevel"/>
    <w:tmpl w:val="6B563EFC"/>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7C535B40"/>
    <w:multiLevelType w:val="hybridMultilevel"/>
    <w:tmpl w:val="37447A1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E83310E"/>
    <w:multiLevelType w:val="hybridMultilevel"/>
    <w:tmpl w:val="37345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15"/>
  </w:num>
  <w:num w:numId="2" w16cid:durableId="784662544">
    <w:abstractNumId w:val="16"/>
  </w:num>
  <w:num w:numId="3" w16cid:durableId="1442451738">
    <w:abstractNumId w:val="16"/>
    <w:lvlOverride w:ilvl="0">
      <w:startOverride w:val="1"/>
    </w:lvlOverride>
  </w:num>
  <w:num w:numId="4" w16cid:durableId="1562522304">
    <w:abstractNumId w:val="16"/>
    <w:lvlOverride w:ilvl="0">
      <w:startOverride w:val="1"/>
    </w:lvlOverride>
  </w:num>
  <w:num w:numId="5" w16cid:durableId="1125929345">
    <w:abstractNumId w:val="16"/>
    <w:lvlOverride w:ilvl="0">
      <w:startOverride w:val="1"/>
    </w:lvlOverride>
  </w:num>
  <w:num w:numId="6" w16cid:durableId="641621793">
    <w:abstractNumId w:val="10"/>
  </w:num>
  <w:num w:numId="7" w16cid:durableId="2117015349">
    <w:abstractNumId w:val="23"/>
  </w:num>
  <w:num w:numId="8" w16cid:durableId="116532335">
    <w:abstractNumId w:val="20"/>
  </w:num>
  <w:num w:numId="9" w16cid:durableId="516622420">
    <w:abstractNumId w:val="1"/>
  </w:num>
  <w:num w:numId="10" w16cid:durableId="1589268894">
    <w:abstractNumId w:val="12"/>
  </w:num>
  <w:num w:numId="11" w16cid:durableId="320743336">
    <w:abstractNumId w:val="5"/>
  </w:num>
  <w:num w:numId="12" w16cid:durableId="72048952">
    <w:abstractNumId w:val="11"/>
  </w:num>
  <w:num w:numId="13" w16cid:durableId="2054386002">
    <w:abstractNumId w:val="0"/>
  </w:num>
  <w:num w:numId="14" w16cid:durableId="608508954">
    <w:abstractNumId w:val="22"/>
  </w:num>
  <w:num w:numId="15" w16cid:durableId="1556233367">
    <w:abstractNumId w:val="25"/>
  </w:num>
  <w:num w:numId="16" w16cid:durableId="921376551">
    <w:abstractNumId w:val="18"/>
  </w:num>
  <w:num w:numId="17" w16cid:durableId="611744562">
    <w:abstractNumId w:val="26"/>
  </w:num>
  <w:num w:numId="18" w16cid:durableId="284115449">
    <w:abstractNumId w:val="14"/>
  </w:num>
  <w:num w:numId="19" w16cid:durableId="361370851">
    <w:abstractNumId w:val="24"/>
  </w:num>
  <w:num w:numId="20" w16cid:durableId="1226642598">
    <w:abstractNumId w:val="21"/>
  </w:num>
  <w:num w:numId="21" w16cid:durableId="1706716890">
    <w:abstractNumId w:val="19"/>
  </w:num>
  <w:num w:numId="22" w16cid:durableId="2023894126">
    <w:abstractNumId w:val="7"/>
  </w:num>
  <w:num w:numId="23" w16cid:durableId="13461234">
    <w:abstractNumId w:val="3"/>
  </w:num>
  <w:num w:numId="24" w16cid:durableId="537203112">
    <w:abstractNumId w:val="6"/>
  </w:num>
  <w:num w:numId="25" w16cid:durableId="920523480">
    <w:abstractNumId w:val="4"/>
  </w:num>
  <w:num w:numId="26" w16cid:durableId="68968271">
    <w:abstractNumId w:val="13"/>
  </w:num>
  <w:num w:numId="27" w16cid:durableId="512305982">
    <w:abstractNumId w:val="9"/>
  </w:num>
  <w:num w:numId="28" w16cid:durableId="590047874">
    <w:abstractNumId w:val="17"/>
  </w:num>
  <w:num w:numId="29" w16cid:durableId="648826960">
    <w:abstractNumId w:val="2"/>
  </w:num>
  <w:num w:numId="30" w16cid:durableId="263080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04"/>
    <w:rsid w:val="000003F7"/>
    <w:rsid w:val="00093EFC"/>
    <w:rsid w:val="000B07E3"/>
    <w:rsid w:val="000E357A"/>
    <w:rsid w:val="000E7E86"/>
    <w:rsid w:val="001036A0"/>
    <w:rsid w:val="00117092"/>
    <w:rsid w:val="0012425F"/>
    <w:rsid w:val="00131D23"/>
    <w:rsid w:val="00147D40"/>
    <w:rsid w:val="0015714A"/>
    <w:rsid w:val="00164B77"/>
    <w:rsid w:val="001B0BDD"/>
    <w:rsid w:val="001E186F"/>
    <w:rsid w:val="001F603E"/>
    <w:rsid w:val="00216C29"/>
    <w:rsid w:val="00222E72"/>
    <w:rsid w:val="00243F5F"/>
    <w:rsid w:val="0024477F"/>
    <w:rsid w:val="00245E86"/>
    <w:rsid w:val="00253226"/>
    <w:rsid w:val="002535CA"/>
    <w:rsid w:val="00261F28"/>
    <w:rsid w:val="002749C0"/>
    <w:rsid w:val="0028112D"/>
    <w:rsid w:val="00282C92"/>
    <w:rsid w:val="0028696F"/>
    <w:rsid w:val="0029071D"/>
    <w:rsid w:val="002C1F51"/>
    <w:rsid w:val="002E1BC7"/>
    <w:rsid w:val="002E309C"/>
    <w:rsid w:val="002E7D8B"/>
    <w:rsid w:val="00314647"/>
    <w:rsid w:val="00321E47"/>
    <w:rsid w:val="00326B31"/>
    <w:rsid w:val="00366F20"/>
    <w:rsid w:val="00376CEA"/>
    <w:rsid w:val="00380EA5"/>
    <w:rsid w:val="00390F9A"/>
    <w:rsid w:val="003A58AB"/>
    <w:rsid w:val="003C3B0A"/>
    <w:rsid w:val="003D0704"/>
    <w:rsid w:val="003D65E7"/>
    <w:rsid w:val="003E38E3"/>
    <w:rsid w:val="003E5497"/>
    <w:rsid w:val="004122E0"/>
    <w:rsid w:val="00414084"/>
    <w:rsid w:val="0043062E"/>
    <w:rsid w:val="0045192E"/>
    <w:rsid w:val="00460A41"/>
    <w:rsid w:val="004767E6"/>
    <w:rsid w:val="004C6441"/>
    <w:rsid w:val="004D06AF"/>
    <w:rsid w:val="004D6F59"/>
    <w:rsid w:val="004F414C"/>
    <w:rsid w:val="00501469"/>
    <w:rsid w:val="005151C2"/>
    <w:rsid w:val="005202C7"/>
    <w:rsid w:val="00552F9D"/>
    <w:rsid w:val="00561542"/>
    <w:rsid w:val="00571BDC"/>
    <w:rsid w:val="0058678C"/>
    <w:rsid w:val="005A1EF0"/>
    <w:rsid w:val="005A6F23"/>
    <w:rsid w:val="005C223D"/>
    <w:rsid w:val="005D3E5E"/>
    <w:rsid w:val="005F06FD"/>
    <w:rsid w:val="005F4819"/>
    <w:rsid w:val="00611A04"/>
    <w:rsid w:val="006211DC"/>
    <w:rsid w:val="00624F5B"/>
    <w:rsid w:val="0065148D"/>
    <w:rsid w:val="00661172"/>
    <w:rsid w:val="00664683"/>
    <w:rsid w:val="00694AAD"/>
    <w:rsid w:val="00696F9E"/>
    <w:rsid w:val="006C35D7"/>
    <w:rsid w:val="006D4C12"/>
    <w:rsid w:val="006E5730"/>
    <w:rsid w:val="006F7525"/>
    <w:rsid w:val="00700CD3"/>
    <w:rsid w:val="007230AF"/>
    <w:rsid w:val="00741836"/>
    <w:rsid w:val="007466A9"/>
    <w:rsid w:val="007630CB"/>
    <w:rsid w:val="00774485"/>
    <w:rsid w:val="00776A9A"/>
    <w:rsid w:val="0078435A"/>
    <w:rsid w:val="007A0FC3"/>
    <w:rsid w:val="007B0021"/>
    <w:rsid w:val="007D5C3C"/>
    <w:rsid w:val="008407EC"/>
    <w:rsid w:val="00845E56"/>
    <w:rsid w:val="008514EC"/>
    <w:rsid w:val="00857A0A"/>
    <w:rsid w:val="00862E61"/>
    <w:rsid w:val="00865233"/>
    <w:rsid w:val="00872E57"/>
    <w:rsid w:val="00877D9B"/>
    <w:rsid w:val="008A28B8"/>
    <w:rsid w:val="008B1442"/>
    <w:rsid w:val="008B6033"/>
    <w:rsid w:val="008B74F6"/>
    <w:rsid w:val="008F4FD7"/>
    <w:rsid w:val="00904581"/>
    <w:rsid w:val="00921435"/>
    <w:rsid w:val="00926329"/>
    <w:rsid w:val="0092648B"/>
    <w:rsid w:val="0094463A"/>
    <w:rsid w:val="00945D44"/>
    <w:rsid w:val="00951286"/>
    <w:rsid w:val="0096640D"/>
    <w:rsid w:val="00972855"/>
    <w:rsid w:val="0098379B"/>
    <w:rsid w:val="009873AB"/>
    <w:rsid w:val="00996B27"/>
    <w:rsid w:val="009D6B24"/>
    <w:rsid w:val="009D70B3"/>
    <w:rsid w:val="009E1D4B"/>
    <w:rsid w:val="009E6DB3"/>
    <w:rsid w:val="00A00806"/>
    <w:rsid w:val="00A46D3B"/>
    <w:rsid w:val="00A53AC5"/>
    <w:rsid w:val="00A617D1"/>
    <w:rsid w:val="00A80680"/>
    <w:rsid w:val="00AC0F96"/>
    <w:rsid w:val="00AC40CD"/>
    <w:rsid w:val="00AD6A63"/>
    <w:rsid w:val="00AE3D08"/>
    <w:rsid w:val="00AE6913"/>
    <w:rsid w:val="00B218FE"/>
    <w:rsid w:val="00B54801"/>
    <w:rsid w:val="00B55852"/>
    <w:rsid w:val="00B96CEF"/>
    <w:rsid w:val="00BA48E9"/>
    <w:rsid w:val="00BC1EFA"/>
    <w:rsid w:val="00BC5C77"/>
    <w:rsid w:val="00BE1C64"/>
    <w:rsid w:val="00C06C20"/>
    <w:rsid w:val="00C279D9"/>
    <w:rsid w:val="00C27BF9"/>
    <w:rsid w:val="00C3141D"/>
    <w:rsid w:val="00C44557"/>
    <w:rsid w:val="00C455DA"/>
    <w:rsid w:val="00C60DD6"/>
    <w:rsid w:val="00CA2853"/>
    <w:rsid w:val="00CD0CE5"/>
    <w:rsid w:val="00CD1BE3"/>
    <w:rsid w:val="00CF4F9D"/>
    <w:rsid w:val="00D5241F"/>
    <w:rsid w:val="00D624F1"/>
    <w:rsid w:val="00D76AE4"/>
    <w:rsid w:val="00D83142"/>
    <w:rsid w:val="00D871C3"/>
    <w:rsid w:val="00D93830"/>
    <w:rsid w:val="00DB21A7"/>
    <w:rsid w:val="00DC23E6"/>
    <w:rsid w:val="00DE17F9"/>
    <w:rsid w:val="00DE31B4"/>
    <w:rsid w:val="00E24D12"/>
    <w:rsid w:val="00E26422"/>
    <w:rsid w:val="00E515FD"/>
    <w:rsid w:val="00E7626D"/>
    <w:rsid w:val="00E902C6"/>
    <w:rsid w:val="00EA4240"/>
    <w:rsid w:val="00EC306F"/>
    <w:rsid w:val="00EE05FC"/>
    <w:rsid w:val="00EE4027"/>
    <w:rsid w:val="00F007D8"/>
    <w:rsid w:val="00F1542C"/>
    <w:rsid w:val="00F23FEC"/>
    <w:rsid w:val="00F427E4"/>
    <w:rsid w:val="00F45A2B"/>
    <w:rsid w:val="00F537EE"/>
    <w:rsid w:val="00F57F70"/>
    <w:rsid w:val="00F85A20"/>
    <w:rsid w:val="00F85B71"/>
    <w:rsid w:val="00FB606A"/>
    <w:rsid w:val="00FC1ABB"/>
    <w:rsid w:val="00FC500B"/>
    <w:rsid w:val="00FD6F93"/>
    <w:rsid w:val="00FE6D7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CF8513"/>
  <w15:docId w15:val="{CCD66A8D-06F5-4FA1-82ED-AE178EA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FD"/>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DE17F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872E57"/>
    <w:rPr>
      <w:color w:val="605E5C"/>
      <w:shd w:val="clear" w:color="auto" w:fill="E1DFDD"/>
    </w:rPr>
  </w:style>
  <w:style w:type="paragraph" w:styleId="TOC1">
    <w:name w:val="toc 1"/>
    <w:basedOn w:val="Normal"/>
    <w:next w:val="Normal"/>
    <w:autoRedefine/>
    <w:uiPriority w:val="39"/>
    <w:unhideWhenUsed/>
    <w:rsid w:val="00C60DD6"/>
    <w:pPr>
      <w:spacing w:after="100"/>
    </w:pPr>
  </w:style>
  <w:style w:type="paragraph" w:styleId="TOC2">
    <w:name w:val="toc 2"/>
    <w:basedOn w:val="Normal"/>
    <w:next w:val="Normal"/>
    <w:autoRedefine/>
    <w:uiPriority w:val="39"/>
    <w:unhideWhenUsed/>
    <w:rsid w:val="00C60DD6"/>
    <w:pPr>
      <w:spacing w:after="100"/>
      <w:ind w:left="200"/>
    </w:pPr>
  </w:style>
  <w:style w:type="character" w:styleId="PlaceholderText">
    <w:name w:val="Placeholder Text"/>
    <w:basedOn w:val="DefaultParagraphFont"/>
    <w:uiPriority w:val="99"/>
    <w:semiHidden/>
    <w:rsid w:val="00314647"/>
    <w:rPr>
      <w:color w:val="666666"/>
    </w:rPr>
  </w:style>
  <w:style w:type="paragraph" w:styleId="TOC3">
    <w:name w:val="toc 3"/>
    <w:basedOn w:val="Normal"/>
    <w:next w:val="Normal"/>
    <w:autoRedefine/>
    <w:uiPriority w:val="39"/>
    <w:unhideWhenUsed/>
    <w:rsid w:val="00131D2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670">
      <w:bodyDiv w:val="1"/>
      <w:marLeft w:val="0"/>
      <w:marRight w:val="0"/>
      <w:marTop w:val="0"/>
      <w:marBottom w:val="0"/>
      <w:divBdr>
        <w:top w:val="none" w:sz="0" w:space="0" w:color="auto"/>
        <w:left w:val="none" w:sz="0" w:space="0" w:color="auto"/>
        <w:bottom w:val="none" w:sz="0" w:space="0" w:color="auto"/>
        <w:right w:val="none" w:sz="0" w:space="0" w:color="auto"/>
      </w:divBdr>
    </w:div>
    <w:div w:id="217595738">
      <w:bodyDiv w:val="1"/>
      <w:marLeft w:val="0"/>
      <w:marRight w:val="0"/>
      <w:marTop w:val="0"/>
      <w:marBottom w:val="0"/>
      <w:divBdr>
        <w:top w:val="none" w:sz="0" w:space="0" w:color="auto"/>
        <w:left w:val="none" w:sz="0" w:space="0" w:color="auto"/>
        <w:bottom w:val="none" w:sz="0" w:space="0" w:color="auto"/>
        <w:right w:val="none" w:sz="0" w:space="0" w:color="auto"/>
      </w:divBdr>
    </w:div>
    <w:div w:id="304044320">
      <w:bodyDiv w:val="1"/>
      <w:marLeft w:val="0"/>
      <w:marRight w:val="0"/>
      <w:marTop w:val="0"/>
      <w:marBottom w:val="0"/>
      <w:divBdr>
        <w:top w:val="none" w:sz="0" w:space="0" w:color="auto"/>
        <w:left w:val="none" w:sz="0" w:space="0" w:color="auto"/>
        <w:bottom w:val="none" w:sz="0" w:space="0" w:color="auto"/>
        <w:right w:val="none" w:sz="0" w:space="0" w:color="auto"/>
      </w:divBdr>
    </w:div>
    <w:div w:id="387725731">
      <w:bodyDiv w:val="1"/>
      <w:marLeft w:val="0"/>
      <w:marRight w:val="0"/>
      <w:marTop w:val="0"/>
      <w:marBottom w:val="0"/>
      <w:divBdr>
        <w:top w:val="none" w:sz="0" w:space="0" w:color="auto"/>
        <w:left w:val="none" w:sz="0" w:space="0" w:color="auto"/>
        <w:bottom w:val="none" w:sz="0" w:space="0" w:color="auto"/>
        <w:right w:val="none" w:sz="0" w:space="0" w:color="auto"/>
      </w:divBdr>
      <w:divsChild>
        <w:div w:id="2001494632">
          <w:marLeft w:val="432"/>
          <w:marRight w:val="0"/>
          <w:marTop w:val="0"/>
          <w:marBottom w:val="0"/>
          <w:divBdr>
            <w:top w:val="none" w:sz="0" w:space="0" w:color="auto"/>
            <w:left w:val="none" w:sz="0" w:space="0" w:color="auto"/>
            <w:bottom w:val="none" w:sz="0" w:space="0" w:color="auto"/>
            <w:right w:val="none" w:sz="0" w:space="0" w:color="auto"/>
          </w:divBdr>
        </w:div>
        <w:div w:id="1374694619">
          <w:marLeft w:val="432"/>
          <w:marRight w:val="0"/>
          <w:marTop w:val="0"/>
          <w:marBottom w:val="0"/>
          <w:divBdr>
            <w:top w:val="none" w:sz="0" w:space="0" w:color="auto"/>
            <w:left w:val="none" w:sz="0" w:space="0" w:color="auto"/>
            <w:bottom w:val="none" w:sz="0" w:space="0" w:color="auto"/>
            <w:right w:val="none" w:sz="0" w:space="0" w:color="auto"/>
          </w:divBdr>
        </w:div>
        <w:div w:id="555510018">
          <w:marLeft w:val="432"/>
          <w:marRight w:val="0"/>
          <w:marTop w:val="0"/>
          <w:marBottom w:val="0"/>
          <w:divBdr>
            <w:top w:val="none" w:sz="0" w:space="0" w:color="auto"/>
            <w:left w:val="none" w:sz="0" w:space="0" w:color="auto"/>
            <w:bottom w:val="none" w:sz="0" w:space="0" w:color="auto"/>
            <w:right w:val="none" w:sz="0" w:space="0" w:color="auto"/>
          </w:divBdr>
        </w:div>
      </w:divsChild>
    </w:div>
    <w:div w:id="691032527">
      <w:bodyDiv w:val="1"/>
      <w:marLeft w:val="0"/>
      <w:marRight w:val="0"/>
      <w:marTop w:val="0"/>
      <w:marBottom w:val="0"/>
      <w:divBdr>
        <w:top w:val="none" w:sz="0" w:space="0" w:color="auto"/>
        <w:left w:val="none" w:sz="0" w:space="0" w:color="auto"/>
        <w:bottom w:val="none" w:sz="0" w:space="0" w:color="auto"/>
        <w:right w:val="none" w:sz="0" w:space="0" w:color="auto"/>
      </w:divBdr>
    </w:div>
    <w:div w:id="765733340">
      <w:bodyDiv w:val="1"/>
      <w:marLeft w:val="0"/>
      <w:marRight w:val="0"/>
      <w:marTop w:val="0"/>
      <w:marBottom w:val="0"/>
      <w:divBdr>
        <w:top w:val="none" w:sz="0" w:space="0" w:color="auto"/>
        <w:left w:val="none" w:sz="0" w:space="0" w:color="auto"/>
        <w:bottom w:val="none" w:sz="0" w:space="0" w:color="auto"/>
        <w:right w:val="none" w:sz="0" w:space="0" w:color="auto"/>
      </w:divBdr>
    </w:div>
    <w:div w:id="867332534">
      <w:bodyDiv w:val="1"/>
      <w:marLeft w:val="0"/>
      <w:marRight w:val="0"/>
      <w:marTop w:val="0"/>
      <w:marBottom w:val="0"/>
      <w:divBdr>
        <w:top w:val="none" w:sz="0" w:space="0" w:color="auto"/>
        <w:left w:val="none" w:sz="0" w:space="0" w:color="auto"/>
        <w:bottom w:val="none" w:sz="0" w:space="0" w:color="auto"/>
        <w:right w:val="none" w:sz="0" w:space="0" w:color="auto"/>
      </w:divBdr>
    </w:div>
    <w:div w:id="1136683089">
      <w:bodyDiv w:val="1"/>
      <w:marLeft w:val="0"/>
      <w:marRight w:val="0"/>
      <w:marTop w:val="0"/>
      <w:marBottom w:val="0"/>
      <w:divBdr>
        <w:top w:val="none" w:sz="0" w:space="0" w:color="auto"/>
        <w:left w:val="none" w:sz="0" w:space="0" w:color="auto"/>
        <w:bottom w:val="none" w:sz="0" w:space="0" w:color="auto"/>
        <w:right w:val="none" w:sz="0" w:space="0" w:color="auto"/>
      </w:divBdr>
    </w:div>
    <w:div w:id="1349723241">
      <w:bodyDiv w:val="1"/>
      <w:marLeft w:val="0"/>
      <w:marRight w:val="0"/>
      <w:marTop w:val="0"/>
      <w:marBottom w:val="0"/>
      <w:divBdr>
        <w:top w:val="none" w:sz="0" w:space="0" w:color="auto"/>
        <w:left w:val="none" w:sz="0" w:space="0" w:color="auto"/>
        <w:bottom w:val="none" w:sz="0" w:space="0" w:color="auto"/>
        <w:right w:val="none" w:sz="0" w:space="0" w:color="auto"/>
      </w:divBdr>
    </w:div>
    <w:div w:id="19281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urism.australia.com/en/insights/consumer-research/future-of-demand.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dw.com.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66fe7816eb518ad386b95b1a3cc7f7a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a6ccc5dc2d543b47127149831d2e33f9"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documentManagement>
</p:properties>
</file>

<file path=customXml/itemProps1.xml><?xml version="1.0" encoding="utf-8"?>
<ds:datastoreItem xmlns:ds="http://schemas.openxmlformats.org/officeDocument/2006/customXml" ds:itemID="{28003B0D-D75A-4CEE-B0F9-CE9A8E1F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84193d32-96af-42bb-9a8d-e389b6b013dc"/>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32d29ee-28c9-41bc-b9e4-7f2eba331d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0</TotalTime>
  <Pages>13</Pages>
  <Words>3083</Words>
  <Characters>17577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Agritourism in Australia</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Agritourism in Australia</dc:title>
  <dc:subject/>
  <dc:creator>Silas-Irvine [Canberra]</dc:creator>
  <cp:keywords/>
  <dc:description/>
  <cp:lastModifiedBy>Silas-Irvine [Canberra]</cp:lastModifiedBy>
  <cp:revision>2</cp:revision>
  <dcterms:created xsi:type="dcterms:W3CDTF">2025-10-08T21:56:00Z</dcterms:created>
  <dcterms:modified xsi:type="dcterms:W3CDTF">2025-10-08T21:56:00Z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26e57ac3,3d9501c9,33075fce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45d8a998,25399d94,12c23363</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2025-09-12T04:47:29Z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564acad9-5032-4056-8351-27bd09c8044c</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