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SimSun" w:cs="Times New Roman"/>
          <w:b/>
          <w:bCs/>
          <w:color w:val="441D4A" w:themeColor="accent1" w:themeShade="80"/>
          <w:sz w:val="32"/>
          <w:szCs w:val="26"/>
          <w:lang w:eastAsia="zh-CN"/>
        </w:rPr>
        <w:id w:val="-1649280474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7E2854BD" w14:textId="06FFD47B" w:rsidR="003A58AB" w:rsidRPr="00DC6DE2" w:rsidRDefault="00F427E4" w:rsidP="009E6DB3">
          <w:r w:rsidRPr="00DC6DE2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DC6DE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3C4A4FE3" w:rsidR="00AC40CD" w:rsidRPr="00DC6DE2" w:rsidRDefault="001136DD" w:rsidP="00AC40CD">
          <w:pPr>
            <w:pStyle w:val="Heading1"/>
          </w:pPr>
          <w:r>
            <w:t>Agritourism</w:t>
          </w:r>
          <w:r w:rsidR="0043327B" w:rsidRPr="00DC6DE2">
            <w:t xml:space="preserve"> </w:t>
          </w:r>
          <w:r w:rsidR="001F00A1">
            <w:t>f</w:t>
          </w:r>
          <w:r>
            <w:t xml:space="preserve">act sheet </w:t>
          </w:r>
          <w:r w:rsidR="0043327B" w:rsidRPr="00DC6DE2">
            <w:t xml:space="preserve">2024: </w:t>
          </w:r>
          <w:r w:rsidR="003844F2">
            <w:t>Food market</w:t>
          </w:r>
          <w:r w:rsidR="00F07573">
            <w:t xml:space="preserve"> </w:t>
          </w:r>
          <w:r w:rsidR="0056555E">
            <w:t>visit</w:t>
          </w:r>
          <w:r>
            <w:t xml:space="preserve"> </w:t>
          </w:r>
        </w:p>
        <w:p w14:paraId="4B455EE9" w14:textId="033F4FF3" w:rsidR="003844F2" w:rsidRDefault="003844F2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3844F2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Around 4.7 million domestic trips in Australia included a visit to a food market in 2024. These trips contributed a total of $4.5 billion to the visitor economy. </w:t>
          </w:r>
          <w:r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Food market visitation is only </w:t>
          </w:r>
          <w:r w:rsidR="00834B7A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captured at the domestic level. </w:t>
          </w:r>
        </w:p>
        <w:p w14:paraId="14279F5A" w14:textId="23ECB76C" w:rsidR="00EC306F" w:rsidRPr="00DC6DE2" w:rsidRDefault="007E4DAD" w:rsidP="00D47636">
          <w:pPr>
            <w:pStyle w:val="Heading2"/>
          </w:pPr>
          <w:r w:rsidRPr="00DC6DE2">
            <w:t xml:space="preserve">Visitor </w:t>
          </w:r>
          <w:r w:rsidR="00A8069B" w:rsidRPr="00DC6DE2">
            <w:t>n</w:t>
          </w:r>
          <w:r w:rsidRPr="00DC6DE2">
            <w:t>umbers</w:t>
          </w:r>
        </w:p>
        <w:p w14:paraId="33328D96" w14:textId="749B2182" w:rsidR="00306832" w:rsidRDefault="00306832" w:rsidP="001D59B7">
          <w:pPr>
            <w:pStyle w:val="BulletList"/>
            <w:numPr>
              <w:ilvl w:val="0"/>
              <w:numId w:val="0"/>
            </w:numPr>
          </w:pPr>
          <w:r w:rsidRPr="00DC6DE2">
            <w:t xml:space="preserve">Total visitors: </w:t>
          </w:r>
          <w:r w:rsidR="00834B7A">
            <w:t>4.7</w:t>
          </w:r>
          <w:r w:rsidR="009672ED">
            <w:t xml:space="preserve"> million</w:t>
          </w:r>
        </w:p>
        <w:p w14:paraId="36730E5A" w14:textId="266F32DC" w:rsidR="00D329F0" w:rsidRDefault="00D329F0" w:rsidP="002D32DF">
          <w:pPr>
            <w:pStyle w:val="BulletList"/>
          </w:pPr>
          <w:r>
            <w:t xml:space="preserve">Domestic Overnight: </w:t>
          </w:r>
          <w:r w:rsidR="005A1F63">
            <w:t>60</w:t>
          </w:r>
          <w:r>
            <w:t>%</w:t>
          </w:r>
        </w:p>
        <w:p w14:paraId="4A39E259" w14:textId="6190543B" w:rsidR="00D329F0" w:rsidRDefault="00D329F0" w:rsidP="00D329F0">
          <w:pPr>
            <w:pStyle w:val="BulletList"/>
          </w:pPr>
          <w:r>
            <w:t xml:space="preserve">Domestic Day: </w:t>
          </w:r>
          <w:r w:rsidR="005A1F63">
            <w:t>40</w:t>
          </w:r>
          <w:r>
            <w:t>%</w:t>
          </w:r>
        </w:p>
        <w:p w14:paraId="6F5C6E66" w14:textId="77777777" w:rsidR="00D329F0" w:rsidRPr="00DC6DE2" w:rsidRDefault="00D329F0" w:rsidP="00D329F0">
          <w:pPr>
            <w:pStyle w:val="Heading2"/>
          </w:pPr>
          <w:r w:rsidRPr="00DC6DE2">
            <w:t>Visitor spend</w:t>
          </w:r>
        </w:p>
        <w:p w14:paraId="48043883" w14:textId="02C1DFFF" w:rsidR="00D329F0" w:rsidRPr="00DC6DE2" w:rsidRDefault="00944327" w:rsidP="001D59B7">
          <w:pPr>
            <w:pStyle w:val="BulletList"/>
            <w:numPr>
              <w:ilvl w:val="0"/>
              <w:numId w:val="0"/>
            </w:numPr>
          </w:pPr>
          <w:r>
            <w:t>Total</w:t>
          </w:r>
          <w:r w:rsidR="00D329F0" w:rsidRPr="00DC6DE2">
            <w:t xml:space="preserve"> visitor spend</w:t>
          </w:r>
          <w:r w:rsidR="004B329E">
            <w:t xml:space="preserve"> in Australia</w:t>
          </w:r>
          <w:r w:rsidR="00D329F0" w:rsidRPr="00DC6DE2">
            <w:t>: $</w:t>
          </w:r>
          <w:r w:rsidR="003D081C">
            <w:t>4.</w:t>
          </w:r>
          <w:r w:rsidR="005A1F63">
            <w:t>5</w:t>
          </w:r>
          <w:r w:rsidR="003D081C">
            <w:t xml:space="preserve"> </w:t>
          </w:r>
          <w:r>
            <w:t>billion</w:t>
          </w:r>
        </w:p>
        <w:p w14:paraId="5FB5CA73" w14:textId="02F500B7" w:rsidR="00944327" w:rsidRDefault="00944327" w:rsidP="00944327">
          <w:pPr>
            <w:pStyle w:val="BulletList"/>
          </w:pPr>
          <w:r>
            <w:t xml:space="preserve">Domestic Overnight: </w:t>
          </w:r>
          <w:r w:rsidR="005A1F63">
            <w:t>88</w:t>
          </w:r>
          <w:r>
            <w:t>%</w:t>
          </w:r>
        </w:p>
        <w:p w14:paraId="5C247598" w14:textId="598EB5D3" w:rsidR="00944327" w:rsidRDefault="00944327" w:rsidP="00944327">
          <w:pPr>
            <w:pStyle w:val="BulletList"/>
          </w:pPr>
          <w:r>
            <w:t xml:space="preserve">Domestic Day: </w:t>
          </w:r>
          <w:r w:rsidR="005A1F63">
            <w:t>12</w:t>
          </w:r>
          <w:r>
            <w:t>%</w:t>
          </w:r>
        </w:p>
        <w:p w14:paraId="57D4770D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3DFC7332" w14:textId="3CFDD995" w:rsidR="00D329F0" w:rsidRDefault="001D59B7" w:rsidP="001D59B7">
          <w:pPr>
            <w:pStyle w:val="BulletList"/>
            <w:numPr>
              <w:ilvl w:val="0"/>
              <w:numId w:val="0"/>
            </w:numPr>
          </w:pPr>
          <w:r>
            <w:t xml:space="preserve">Average spend per trip involving visiting a </w:t>
          </w:r>
          <w:r w:rsidR="005A1F63">
            <w:t>food market</w:t>
          </w:r>
          <w:r>
            <w:t xml:space="preserve"> (</w:t>
          </w:r>
          <w:r w:rsidR="000C16AB">
            <w:t xml:space="preserve">compared to </w:t>
          </w:r>
          <w:r>
            <w:t>average trip</w:t>
          </w:r>
          <w:r w:rsidR="007F7CED"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="007F7CED" w:rsidRPr="007F7CED">
            <w:t>spend among leisure and business travellers</w:t>
          </w:r>
          <w:r>
            <w:t>)</w:t>
          </w:r>
        </w:p>
        <w:p w14:paraId="03668A07" w14:textId="07019A0C" w:rsidR="000C16AB" w:rsidRDefault="0019584B" w:rsidP="000C16AB">
          <w:pPr>
            <w:pStyle w:val="BulletList"/>
          </w:pPr>
          <w:r>
            <w:t>D</w:t>
          </w:r>
          <w:r w:rsidR="000C16AB">
            <w:t xml:space="preserve">omestic: </w:t>
          </w:r>
          <w:r w:rsidR="007F7CED">
            <w:t>$</w:t>
          </w:r>
          <w:r>
            <w:t>1,382</w:t>
          </w:r>
          <w:r w:rsidR="004443C2">
            <w:t xml:space="preserve"> ($462)</w:t>
          </w:r>
        </w:p>
        <w:p w14:paraId="314AE6FA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87AB7BD" w14:textId="047D60E9" w:rsidR="004443C2" w:rsidRPr="004443C2" w:rsidRDefault="004443C2" w:rsidP="004443C2">
          <w:pPr>
            <w:pStyle w:val="BulletList"/>
            <w:numPr>
              <w:ilvl w:val="0"/>
              <w:numId w:val="0"/>
            </w:numPr>
          </w:pPr>
          <w:r w:rsidRPr="004443C2">
            <w:t xml:space="preserve">Average spend per night on a trip involving visiting a </w:t>
          </w:r>
          <w:r w:rsidR="005A1F63">
            <w:t>food market</w:t>
          </w:r>
          <w:r>
            <w:t xml:space="preserve"> </w:t>
          </w:r>
          <w:r w:rsidRPr="004443C2">
            <w:t>(</w:t>
          </w:r>
          <w:r>
            <w:t>compared to average night</w:t>
          </w:r>
          <w:r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Pr="007F7CED">
            <w:t>spend among leisure and business travellers</w:t>
          </w:r>
          <w:r w:rsidRPr="004443C2">
            <w:t>)</w:t>
          </w:r>
        </w:p>
        <w:p w14:paraId="00DDABAD" w14:textId="7239C014" w:rsidR="004443C2" w:rsidRDefault="004443C2" w:rsidP="004443C2">
          <w:pPr>
            <w:pStyle w:val="BulletList"/>
          </w:pPr>
          <w:r>
            <w:t>Domestic</w:t>
          </w:r>
          <w:r w:rsidR="00B513FC">
            <w:t xml:space="preserve"> overnight</w:t>
          </w:r>
          <w:r>
            <w:t>: $</w:t>
          </w:r>
          <w:r w:rsidR="0019584B">
            <w:t>294</w:t>
          </w:r>
          <w:r>
            <w:t xml:space="preserve"> ($</w:t>
          </w:r>
          <w:r w:rsidR="00B513FC">
            <w:t>278</w:t>
          </w:r>
          <w:r>
            <w:t>)</w:t>
          </w:r>
        </w:p>
        <w:p w14:paraId="18F47C1E" w14:textId="77777777" w:rsidR="004443C2" w:rsidRDefault="004443C2" w:rsidP="001D59B7">
          <w:pPr>
            <w:pStyle w:val="BulletList"/>
            <w:numPr>
              <w:ilvl w:val="0"/>
              <w:numId w:val="0"/>
            </w:numPr>
          </w:pPr>
        </w:p>
        <w:p w14:paraId="73D4E804" w14:textId="77777777" w:rsidR="008D5D5D" w:rsidRDefault="008D5D5D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602AB173" w14:textId="242D2AEF" w:rsidR="003D7D47" w:rsidRPr="00DC6DE2" w:rsidRDefault="003D7D47" w:rsidP="003D7D47">
          <w:pPr>
            <w:pStyle w:val="Heading2"/>
          </w:pPr>
          <w:r>
            <w:lastRenderedPageBreak/>
            <w:t>Activities</w:t>
          </w:r>
        </w:p>
        <w:p w14:paraId="7A86259A" w14:textId="782E7A58" w:rsidR="00BF2796" w:rsidRPr="00BF2796" w:rsidRDefault="00623B0B" w:rsidP="00BF2796">
          <w:pPr>
            <w:spacing w:before="0" w:after="160" w:line="259" w:lineRule="auto"/>
          </w:pPr>
          <w:r w:rsidRPr="00623B0B">
            <w:t>Trips including visits to food markets are more likely to eat out, go to markets, go shopping and sightseeing than average leisure and business travellers.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2551"/>
            <w:gridCol w:w="2552"/>
          </w:tblGrid>
          <w:tr w:rsidR="00A11A51" w:rsidRPr="00DC6DE2" w14:paraId="599B6EBF" w14:textId="77777777" w:rsidTr="00B80822">
            <w:trPr>
              <w:tblHeader/>
            </w:trPr>
            <w:tc>
              <w:tcPr>
                <w:tcW w:w="4531" w:type="dxa"/>
                <w:shd w:val="clear" w:color="auto" w:fill="300050" w:themeFill="text2"/>
              </w:tcPr>
              <w:p w14:paraId="77CED2DB" w14:textId="7885EFB6" w:rsidR="00A11A51" w:rsidRPr="008751B3" w:rsidRDefault="00A11A51" w:rsidP="00A11A51">
                <w:pPr>
                  <w:spacing w:line="240" w:lineRule="auto"/>
                </w:pPr>
                <w:r>
                  <w:rPr>
                    <w:rFonts w:ascii="Aptos Narrow" w:hAnsi="Aptos Narrow" w:cs="Aptos Narrow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551" w:type="dxa"/>
                <w:shd w:val="clear" w:color="auto" w:fill="300050" w:themeFill="text2"/>
              </w:tcPr>
              <w:p w14:paraId="547C0954" w14:textId="1F2D3D91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Trips including </w:t>
                </w:r>
                <w:r w:rsidR="00623B0B">
                  <w:rPr>
                    <w:rFonts w:asciiTheme="majorHAnsi" w:hAnsiTheme="majorHAnsi" w:cs="Aptos Narrow"/>
                    <w:color w:val="FFFFFF" w:themeColor="background1"/>
                  </w:rPr>
                  <w:t>food markets</w:t>
                </w: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 </w:t>
                </w:r>
              </w:p>
            </w:tc>
            <w:tc>
              <w:tcPr>
                <w:tcW w:w="2552" w:type="dxa"/>
                <w:shd w:val="clear" w:color="auto" w:fill="300050" w:themeFill="text2"/>
              </w:tcPr>
              <w:p w14:paraId="357EB967" w14:textId="75DDDCD6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Total leisure and business trips </w:t>
                </w:r>
              </w:p>
            </w:tc>
          </w:tr>
          <w:tr w:rsidR="001F0CE6" w:rsidRPr="00DC6DE2" w14:paraId="1544CB34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3AF4766B" w14:textId="27D88207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Eat out / dine at a restaurant and/or cafe</w:t>
                </w:r>
              </w:p>
            </w:tc>
            <w:tc>
              <w:tcPr>
                <w:tcW w:w="2551" w:type="dxa"/>
                <w:vAlign w:val="center"/>
              </w:tcPr>
              <w:p w14:paraId="4F6FC954" w14:textId="1D69AB1B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75%</w:t>
                </w:r>
              </w:p>
            </w:tc>
            <w:tc>
              <w:tcPr>
                <w:tcW w:w="2552" w:type="dxa"/>
                <w:vAlign w:val="center"/>
              </w:tcPr>
              <w:p w14:paraId="0E8B68EB" w14:textId="1D9D9E1B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54%</w:t>
                </w:r>
              </w:p>
            </w:tc>
          </w:tr>
          <w:tr w:rsidR="001F0CE6" w:rsidRPr="00DC6DE2" w14:paraId="2B310BDC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0B34367A" w14:textId="706F0AD7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Go to markets</w:t>
                </w:r>
              </w:p>
            </w:tc>
            <w:tc>
              <w:tcPr>
                <w:tcW w:w="2551" w:type="dxa"/>
                <w:vAlign w:val="center"/>
              </w:tcPr>
              <w:p w14:paraId="6D1A9CB7" w14:textId="655EBD5D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49%</w:t>
                </w:r>
              </w:p>
            </w:tc>
            <w:tc>
              <w:tcPr>
                <w:tcW w:w="2552" w:type="dxa"/>
                <w:vAlign w:val="center"/>
              </w:tcPr>
              <w:p w14:paraId="30FB13BD" w14:textId="7AA3EA27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6%</w:t>
                </w:r>
              </w:p>
            </w:tc>
          </w:tr>
          <w:tr w:rsidR="001F0CE6" w:rsidRPr="00DC6DE2" w14:paraId="2E27EA90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13A0B45E" w14:textId="234FAB0D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Go shopping for pleasure</w:t>
                </w:r>
              </w:p>
            </w:tc>
            <w:tc>
              <w:tcPr>
                <w:tcW w:w="2551" w:type="dxa"/>
                <w:vAlign w:val="center"/>
              </w:tcPr>
              <w:p w14:paraId="17342B87" w14:textId="3F076279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40%</w:t>
                </w:r>
              </w:p>
            </w:tc>
            <w:tc>
              <w:tcPr>
                <w:tcW w:w="2552" w:type="dxa"/>
                <w:vAlign w:val="center"/>
              </w:tcPr>
              <w:p w14:paraId="4776A86B" w14:textId="19D7E72F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20%</w:t>
                </w:r>
              </w:p>
            </w:tc>
          </w:tr>
          <w:tr w:rsidR="001F0CE6" w:rsidRPr="00DC6DE2" w14:paraId="12D8788D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4C5E5A0C" w14:textId="6BCD32A5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Sightseeing/looking around</w:t>
                </w:r>
              </w:p>
            </w:tc>
            <w:tc>
              <w:tcPr>
                <w:tcW w:w="2551" w:type="dxa"/>
                <w:vAlign w:val="center"/>
              </w:tcPr>
              <w:p w14:paraId="5AB15FFD" w14:textId="01B3EDD4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40%</w:t>
                </w:r>
              </w:p>
            </w:tc>
            <w:tc>
              <w:tcPr>
                <w:tcW w:w="2552" w:type="dxa"/>
                <w:vAlign w:val="center"/>
              </w:tcPr>
              <w:p w14:paraId="61BC60BF" w14:textId="1580277E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18%</w:t>
                </w:r>
              </w:p>
            </w:tc>
          </w:tr>
          <w:tr w:rsidR="001F0CE6" w:rsidRPr="00DC6DE2" w14:paraId="15BB254B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159561B0" w14:textId="3C42727E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Go to the beach</w:t>
                </w:r>
              </w:p>
            </w:tc>
            <w:tc>
              <w:tcPr>
                <w:tcW w:w="2551" w:type="dxa"/>
                <w:vAlign w:val="center"/>
              </w:tcPr>
              <w:p w14:paraId="1ED153B6" w14:textId="1766CDD9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36%</w:t>
                </w:r>
              </w:p>
            </w:tc>
            <w:tc>
              <w:tcPr>
                <w:tcW w:w="2552" w:type="dxa"/>
                <w:vAlign w:val="center"/>
              </w:tcPr>
              <w:p w14:paraId="5F853E7D" w14:textId="6B58992D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21%</w:t>
                </w:r>
              </w:p>
            </w:tc>
          </w:tr>
          <w:tr w:rsidR="001F0CE6" w:rsidRPr="00DC6DE2" w14:paraId="263D0965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47926698" w14:textId="358EB66C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Visit friends &amp; relatives</w:t>
                </w:r>
              </w:p>
            </w:tc>
            <w:tc>
              <w:tcPr>
                <w:tcW w:w="2551" w:type="dxa"/>
                <w:vAlign w:val="center"/>
              </w:tcPr>
              <w:p w14:paraId="56769F79" w14:textId="763A82A2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36%</w:t>
                </w:r>
              </w:p>
            </w:tc>
            <w:tc>
              <w:tcPr>
                <w:tcW w:w="2552" w:type="dxa"/>
                <w:vAlign w:val="center"/>
              </w:tcPr>
              <w:p w14:paraId="1FD0BF06" w14:textId="031F327F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34%</w:t>
                </w:r>
              </w:p>
            </w:tc>
          </w:tr>
          <w:tr w:rsidR="001F0CE6" w:rsidRPr="00DC6DE2" w14:paraId="71953095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0E9E34B9" w14:textId="7448B00B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Pubs, clubs, discos etc</w:t>
                </w:r>
              </w:p>
            </w:tc>
            <w:tc>
              <w:tcPr>
                <w:tcW w:w="2551" w:type="dxa"/>
                <w:vAlign w:val="center"/>
              </w:tcPr>
              <w:p w14:paraId="66594631" w14:textId="62327E1A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27%</w:t>
                </w:r>
              </w:p>
            </w:tc>
            <w:tc>
              <w:tcPr>
                <w:tcW w:w="2552" w:type="dxa"/>
                <w:vAlign w:val="center"/>
              </w:tcPr>
              <w:p w14:paraId="09E6AD5B" w14:textId="511D9D13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16%</w:t>
                </w:r>
              </w:p>
            </w:tc>
          </w:tr>
          <w:tr w:rsidR="001F0CE6" w:rsidRPr="00DC6DE2" w14:paraId="4BAC03B6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0375AAA3" w14:textId="780170B2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Visit national parks / state parks</w:t>
                </w:r>
              </w:p>
            </w:tc>
            <w:tc>
              <w:tcPr>
                <w:tcW w:w="2551" w:type="dxa"/>
                <w:vAlign w:val="center"/>
              </w:tcPr>
              <w:p w14:paraId="541FCEE9" w14:textId="34948689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19%</w:t>
                </w:r>
              </w:p>
            </w:tc>
            <w:tc>
              <w:tcPr>
                <w:tcW w:w="2552" w:type="dxa"/>
                <w:vAlign w:val="center"/>
              </w:tcPr>
              <w:p w14:paraId="6351941D" w14:textId="51F3DF56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  <w:tr w:rsidR="001F0CE6" w:rsidRPr="00DC6DE2" w14:paraId="2FAED2C1" w14:textId="77777777" w:rsidTr="00B80822">
            <w:trPr>
              <w:trHeight w:val="643"/>
            </w:trPr>
            <w:tc>
              <w:tcPr>
                <w:tcW w:w="4531" w:type="dxa"/>
                <w:vAlign w:val="center"/>
              </w:tcPr>
              <w:p w14:paraId="21173B87" w14:textId="0DEA70E5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Bushwalking / rainforest walks</w:t>
                </w:r>
              </w:p>
            </w:tc>
            <w:tc>
              <w:tcPr>
                <w:tcW w:w="2551" w:type="dxa"/>
                <w:vAlign w:val="center"/>
              </w:tcPr>
              <w:p w14:paraId="13537ECA" w14:textId="0810703C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18%</w:t>
                </w:r>
              </w:p>
            </w:tc>
            <w:tc>
              <w:tcPr>
                <w:tcW w:w="2552" w:type="dxa"/>
                <w:vAlign w:val="center"/>
              </w:tcPr>
              <w:p w14:paraId="0533CF92" w14:textId="33F8B388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  <w:tr w:rsidR="001F0CE6" w:rsidRPr="00DC6DE2" w14:paraId="55097ED0" w14:textId="77777777" w:rsidTr="00B80822">
            <w:trPr>
              <w:trHeight w:val="644"/>
            </w:trPr>
            <w:tc>
              <w:tcPr>
                <w:tcW w:w="4531" w:type="dxa"/>
                <w:vAlign w:val="center"/>
              </w:tcPr>
              <w:p w14:paraId="60D81139" w14:textId="59E9587E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Visit museums or art galleries</w:t>
                </w:r>
              </w:p>
            </w:tc>
            <w:tc>
              <w:tcPr>
                <w:tcW w:w="2551" w:type="dxa"/>
                <w:vAlign w:val="center"/>
              </w:tcPr>
              <w:p w14:paraId="5C19B31D" w14:textId="32B51309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13%</w:t>
                </w:r>
              </w:p>
            </w:tc>
            <w:tc>
              <w:tcPr>
                <w:tcW w:w="2552" w:type="dxa"/>
                <w:vAlign w:val="center"/>
              </w:tcPr>
              <w:p w14:paraId="60F93F97" w14:textId="33E5198A" w:rsidR="001F0CE6" w:rsidRPr="00986BDD" w:rsidRDefault="001F0CE6" w:rsidP="00986BDD">
                <w:pPr>
                  <w:spacing w:line="240" w:lineRule="auto"/>
                  <w:rPr>
                    <w:rFonts w:asciiTheme="minorHAnsi" w:eastAsiaTheme="minorEastAsia"/>
                    <w:kern w:val="24"/>
                  </w:rPr>
                </w:pPr>
                <w:r w:rsidRPr="00986BDD">
                  <w:rPr>
                    <w:rFonts w:asciiTheme="minorHAnsi" w:eastAsiaTheme="minorEastAsia"/>
                    <w:kern w:val="24"/>
                  </w:rPr>
                  <w:t>5%</w:t>
                </w:r>
              </w:p>
            </w:tc>
          </w:tr>
        </w:tbl>
        <w:p w14:paraId="2573E21C" w14:textId="54962D61" w:rsidR="00173341" w:rsidRPr="00173341" w:rsidRDefault="00173341" w:rsidP="0063625B">
          <w:pPr>
            <w:pStyle w:val="Heading2"/>
          </w:pPr>
          <w:r w:rsidRPr="00173341">
            <w:t>Trip demographics</w:t>
          </w:r>
        </w:p>
        <w:p w14:paraId="47331788" w14:textId="1FD264DD" w:rsidR="00E260AB" w:rsidRDefault="001F0CE6" w:rsidP="00D329F0">
          <w:pPr>
            <w:pStyle w:val="BulletList"/>
            <w:numPr>
              <w:ilvl w:val="0"/>
              <w:numId w:val="0"/>
            </w:numPr>
          </w:pPr>
          <w:r w:rsidRPr="001F0CE6">
            <w:t>Travellers aged 25 – 44 years old are most likely to go on a trip including a food market representing 2 in 5 trips. Adult couples are most likely to include a food market in their trip.</w:t>
          </w:r>
        </w:p>
        <w:p w14:paraId="7BE51E90" w14:textId="77777777" w:rsidR="001F0CE6" w:rsidRDefault="001F0CE6" w:rsidP="00D329F0">
          <w:pPr>
            <w:pStyle w:val="BulletList"/>
            <w:numPr>
              <w:ilvl w:val="0"/>
              <w:numId w:val="0"/>
            </w:numPr>
          </w:pPr>
        </w:p>
        <w:p w14:paraId="6661984E" w14:textId="69C9A735" w:rsidR="00173341" w:rsidRDefault="00D41673" w:rsidP="00D329F0">
          <w:pPr>
            <w:pStyle w:val="BulletList"/>
            <w:numPr>
              <w:ilvl w:val="0"/>
              <w:numId w:val="0"/>
            </w:numPr>
          </w:pPr>
          <w:r>
            <w:t xml:space="preserve">Trip by age group </w:t>
          </w:r>
        </w:p>
        <w:p w14:paraId="40B9AFE7" w14:textId="25291D73" w:rsidR="00D41673" w:rsidRDefault="00D41673" w:rsidP="00D41673">
          <w:pPr>
            <w:pStyle w:val="BulletList"/>
          </w:pPr>
          <w:r>
            <w:t xml:space="preserve">15 </w:t>
          </w:r>
          <w:r w:rsidR="00462051">
            <w:t>–</w:t>
          </w:r>
          <w:r>
            <w:t xml:space="preserve"> 24</w:t>
          </w:r>
          <w:r w:rsidR="00462051">
            <w:t xml:space="preserve">: </w:t>
          </w:r>
          <w:r w:rsidR="00B42F46">
            <w:t>13</w:t>
          </w:r>
          <w:r>
            <w:t>%</w:t>
          </w:r>
        </w:p>
        <w:p w14:paraId="2E9E0118" w14:textId="533017C3" w:rsidR="00D41673" w:rsidRDefault="00D41673" w:rsidP="00D41673">
          <w:pPr>
            <w:pStyle w:val="BulletList"/>
          </w:pPr>
          <w:r>
            <w:t xml:space="preserve">25 </w:t>
          </w:r>
          <w:r w:rsidR="00462051">
            <w:t>–</w:t>
          </w:r>
          <w:r>
            <w:t xml:space="preserve"> 34</w:t>
          </w:r>
          <w:r w:rsidR="00462051">
            <w:t xml:space="preserve">: </w:t>
          </w:r>
          <w:r w:rsidR="00B42F46">
            <w:t>21</w:t>
          </w:r>
          <w:r>
            <w:t>%</w:t>
          </w:r>
        </w:p>
        <w:p w14:paraId="7E9CB6D4" w14:textId="386821BD" w:rsidR="00D41673" w:rsidRDefault="00D41673" w:rsidP="00D41673">
          <w:pPr>
            <w:pStyle w:val="BulletList"/>
          </w:pPr>
          <w:r>
            <w:t xml:space="preserve">35 </w:t>
          </w:r>
          <w:r w:rsidR="00462051">
            <w:t>–</w:t>
          </w:r>
          <w:r>
            <w:t xml:space="preserve"> 44</w:t>
          </w:r>
          <w:r w:rsidR="00462051">
            <w:t xml:space="preserve">: </w:t>
          </w:r>
          <w:r w:rsidR="00B42F46">
            <w:t>19</w:t>
          </w:r>
          <w:r>
            <w:t>%</w:t>
          </w:r>
        </w:p>
        <w:p w14:paraId="5D1EDD4C" w14:textId="3E640302" w:rsidR="00D41673" w:rsidRDefault="00D41673" w:rsidP="00D41673">
          <w:pPr>
            <w:pStyle w:val="BulletList"/>
          </w:pPr>
          <w:r>
            <w:t xml:space="preserve">45 </w:t>
          </w:r>
          <w:r w:rsidR="00462051">
            <w:t>–</w:t>
          </w:r>
          <w:r>
            <w:t xml:space="preserve"> 54</w:t>
          </w:r>
          <w:r w:rsidR="00462051">
            <w:t xml:space="preserve">: </w:t>
          </w:r>
          <w:r w:rsidR="00B42F46">
            <w:t>14</w:t>
          </w:r>
          <w:r>
            <w:t>%</w:t>
          </w:r>
        </w:p>
        <w:p w14:paraId="041C973C" w14:textId="357346DF" w:rsidR="00D41673" w:rsidRDefault="00D41673" w:rsidP="00D41673">
          <w:pPr>
            <w:pStyle w:val="BulletList"/>
          </w:pPr>
          <w:r>
            <w:t xml:space="preserve">55 </w:t>
          </w:r>
          <w:r w:rsidR="00462051">
            <w:t>–</w:t>
          </w:r>
          <w:r>
            <w:t xml:space="preserve"> 64</w:t>
          </w:r>
          <w:r w:rsidR="00462051">
            <w:t xml:space="preserve">: </w:t>
          </w:r>
          <w:r w:rsidR="00B42F46">
            <w:t>17</w:t>
          </w:r>
          <w:r>
            <w:t>%</w:t>
          </w:r>
        </w:p>
        <w:p w14:paraId="7B9A9439" w14:textId="25B721B2" w:rsidR="00D41673" w:rsidRDefault="00D41673" w:rsidP="00D41673">
          <w:pPr>
            <w:pStyle w:val="BulletList"/>
          </w:pPr>
          <w:r>
            <w:t xml:space="preserve">65 </w:t>
          </w:r>
          <w:r w:rsidR="00462051">
            <w:t>–</w:t>
          </w:r>
          <w:r>
            <w:t xml:space="preserve"> 69</w:t>
          </w:r>
          <w:r w:rsidR="00462051">
            <w:t xml:space="preserve">: </w:t>
          </w:r>
          <w:r w:rsidR="00B42F46">
            <w:t>7</w:t>
          </w:r>
          <w:r>
            <w:t>%</w:t>
          </w:r>
        </w:p>
        <w:p w14:paraId="10EF01ED" w14:textId="43BF91F8" w:rsidR="00D41673" w:rsidRDefault="00D41673" w:rsidP="00D41673">
          <w:pPr>
            <w:pStyle w:val="BulletList"/>
          </w:pPr>
          <w:r>
            <w:t>70+</w:t>
          </w:r>
          <w:r w:rsidR="00462051">
            <w:t xml:space="preserve">: </w:t>
          </w:r>
          <w:r w:rsidR="00B42F46">
            <w:t>9</w:t>
          </w:r>
          <w:r w:rsidR="00E605C9">
            <w:t>%</w:t>
          </w:r>
        </w:p>
        <w:p w14:paraId="72C48250" w14:textId="77777777" w:rsidR="00173341" w:rsidRDefault="00173341" w:rsidP="00D329F0">
          <w:pPr>
            <w:pStyle w:val="BulletList"/>
            <w:numPr>
              <w:ilvl w:val="0"/>
              <w:numId w:val="0"/>
            </w:numPr>
          </w:pPr>
        </w:p>
        <w:p w14:paraId="2A843B22" w14:textId="77777777" w:rsidR="008D5D5D" w:rsidRDefault="008D5D5D">
          <w:pPr>
            <w:spacing w:before="0" w:after="160" w:line="259" w:lineRule="auto"/>
          </w:pPr>
          <w:r>
            <w:br w:type="page"/>
          </w:r>
        </w:p>
        <w:p w14:paraId="529E76BD" w14:textId="49D5CF73" w:rsidR="00832501" w:rsidRPr="00DC6DE2" w:rsidRDefault="00832501" w:rsidP="00D329F0">
          <w:pPr>
            <w:pStyle w:val="BulletList"/>
            <w:numPr>
              <w:ilvl w:val="0"/>
              <w:numId w:val="0"/>
            </w:numPr>
          </w:pPr>
          <w:r w:rsidRPr="00DC6DE2">
            <w:lastRenderedPageBreak/>
            <w:t xml:space="preserve">Visitor </w:t>
          </w:r>
          <w:r w:rsidR="00A8069B" w:rsidRPr="00DC6DE2">
            <w:t>g</w:t>
          </w:r>
          <w:r w:rsidR="00F56064" w:rsidRPr="00DC6DE2">
            <w:t xml:space="preserve">roup </w:t>
          </w:r>
          <w:r w:rsidR="00A8069B" w:rsidRPr="00DC6DE2">
            <w:t>t</w:t>
          </w:r>
          <w:r w:rsidR="00F56064" w:rsidRPr="00DC6DE2">
            <w:t>ype</w:t>
          </w:r>
        </w:p>
        <w:p w14:paraId="163FB343" w14:textId="18D7A5B7" w:rsidR="00376FCE" w:rsidRPr="00DC6DE2" w:rsidRDefault="00376FCE" w:rsidP="00376FCE">
          <w:pPr>
            <w:pStyle w:val="BulletList"/>
          </w:pPr>
          <w:r w:rsidRPr="00DC6DE2">
            <w:t xml:space="preserve">Solo traveller: </w:t>
          </w:r>
          <w:r w:rsidR="00B42F46">
            <w:t>19</w:t>
          </w:r>
          <w:r w:rsidRPr="00DC6DE2">
            <w:t xml:space="preserve">% </w:t>
          </w:r>
        </w:p>
        <w:p w14:paraId="24CCD29B" w14:textId="3681A68F" w:rsidR="00376FCE" w:rsidRPr="00DC6DE2" w:rsidRDefault="00376FCE" w:rsidP="00376FCE">
          <w:pPr>
            <w:pStyle w:val="BulletList"/>
          </w:pPr>
          <w:r w:rsidRPr="00DC6DE2">
            <w:t xml:space="preserve">Adult couple: </w:t>
          </w:r>
          <w:r w:rsidR="00DD0736">
            <w:t>36</w:t>
          </w:r>
          <w:r w:rsidRPr="00DC6DE2">
            <w:t xml:space="preserve">% </w:t>
          </w:r>
        </w:p>
        <w:p w14:paraId="60B83FCD" w14:textId="38F55886" w:rsidR="00376FCE" w:rsidRPr="00DC6DE2" w:rsidRDefault="00376FCE" w:rsidP="00376FCE">
          <w:pPr>
            <w:pStyle w:val="BulletList"/>
          </w:pPr>
          <w:r w:rsidRPr="00DC6DE2">
            <w:t>Family</w:t>
          </w:r>
          <w:r w:rsidR="00BA5B82">
            <w:t xml:space="preserve"> group</w:t>
          </w:r>
          <w:r w:rsidRPr="00DC6DE2">
            <w:t xml:space="preserve">: </w:t>
          </w:r>
          <w:r w:rsidR="00DD0736">
            <w:t>19</w:t>
          </w:r>
          <w:r w:rsidR="00BA5B82">
            <w:t>%</w:t>
          </w:r>
          <w:r w:rsidRPr="00DC6DE2">
            <w:t xml:space="preserve"> </w:t>
          </w:r>
        </w:p>
        <w:p w14:paraId="17747DDB" w14:textId="3AA30592" w:rsidR="00376FCE" w:rsidRDefault="00BA5B82" w:rsidP="00376FCE">
          <w:pPr>
            <w:pStyle w:val="BulletList"/>
          </w:pPr>
          <w:r>
            <w:t xml:space="preserve">Friends or relatives </w:t>
          </w:r>
          <w:r w:rsidR="00D05983">
            <w:t xml:space="preserve">travelling: </w:t>
          </w:r>
          <w:r w:rsidR="00DD0736">
            <w:t>27</w:t>
          </w:r>
          <w:r w:rsidR="00D05983">
            <w:t>%</w:t>
          </w:r>
        </w:p>
        <w:p w14:paraId="7052A46A" w14:textId="77777777" w:rsidR="004A040A" w:rsidRPr="00DC6DE2" w:rsidRDefault="004A040A" w:rsidP="00B80822">
          <w:pPr>
            <w:pStyle w:val="BulletList"/>
            <w:numPr>
              <w:ilvl w:val="0"/>
              <w:numId w:val="0"/>
            </w:numPr>
          </w:pPr>
        </w:p>
        <w:p w14:paraId="0FBEC2C3" w14:textId="66FD01E5" w:rsidR="00986BBD" w:rsidRPr="00986BBD" w:rsidRDefault="00986BBD" w:rsidP="00986BBD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986BBD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Destinations visited</w:t>
          </w:r>
        </w:p>
        <w:p w14:paraId="5FFB7EB4" w14:textId="77777777" w:rsidR="00DD0736" w:rsidRDefault="00DD0736" w:rsidP="00422824">
          <w:pPr>
            <w:spacing w:before="0" w:after="160" w:line="259" w:lineRule="auto"/>
          </w:pPr>
          <w:r w:rsidRPr="00DD0736">
            <w:t xml:space="preserve">Trips including a food market are more likely than overall leisure and business trips to take place in capital cities, connecting many travellers with the agricultural industry of Australia.  </w:t>
          </w:r>
        </w:p>
        <w:p w14:paraId="6899E652" w14:textId="0412CAD2" w:rsidR="00422824" w:rsidRDefault="00422824" w:rsidP="00422824">
          <w:pPr>
            <w:spacing w:before="0" w:after="160" w:line="259" w:lineRule="auto"/>
          </w:pPr>
          <w:r>
            <w:t xml:space="preserve">Regional vs. </w:t>
          </w:r>
          <w:r w:rsidR="00D365DE">
            <w:t>c</w:t>
          </w:r>
          <w:r>
            <w:t xml:space="preserve">apital city trip proportions </w:t>
          </w:r>
          <w:r w:rsidR="00D365DE">
            <w:t xml:space="preserve">(compared to average </w:t>
          </w:r>
          <w:r w:rsidR="00D365DE" w:rsidRPr="007F7CED">
            <w:t>among leisure and business travellers</w:t>
          </w:r>
          <w:r w:rsidR="00D365DE">
            <w:t>)</w:t>
          </w:r>
        </w:p>
        <w:p w14:paraId="1AFCB672" w14:textId="6B5C6EE2" w:rsidR="00D365DE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Capital cities</w:t>
          </w:r>
          <w:r w:rsidR="009F3D7F">
            <w:t>:</w:t>
          </w:r>
          <w:r>
            <w:tab/>
          </w:r>
          <w:r w:rsidR="008C03E2">
            <w:t>47</w:t>
          </w:r>
          <w:r>
            <w:t>%</w:t>
          </w:r>
          <w:r w:rsidR="009F3D7F">
            <w:t xml:space="preserve"> (</w:t>
          </w:r>
          <w:r w:rsidR="00D365DE">
            <w:t>43%</w:t>
          </w:r>
          <w:r w:rsidR="009F3D7F">
            <w:t xml:space="preserve">) </w:t>
          </w:r>
        </w:p>
        <w:p w14:paraId="23311D00" w14:textId="1D2104C6" w:rsidR="009F1E8A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Regional Australia</w:t>
          </w:r>
          <w:r w:rsidR="009F3D7F">
            <w:t xml:space="preserve">: </w:t>
          </w:r>
          <w:r w:rsidR="008C03E2">
            <w:t>57</w:t>
          </w:r>
          <w:r>
            <w:t>%</w:t>
          </w:r>
          <w:r w:rsidR="009F3D7F">
            <w:t xml:space="preserve"> (</w:t>
          </w:r>
          <w:r w:rsidR="00D365DE">
            <w:t>59%</w:t>
          </w:r>
          <w:r w:rsidR="009F3D7F">
            <w:t xml:space="preserve">) </w:t>
          </w:r>
        </w:p>
        <w:p w14:paraId="68804785" w14:textId="0EBBA832" w:rsidR="00D365DE" w:rsidRDefault="00D365DE" w:rsidP="00D365DE">
          <w:pPr>
            <w:spacing w:before="0" w:after="160" w:line="259" w:lineRule="auto"/>
          </w:pPr>
          <w:r>
            <w:t xml:space="preserve">States visited on trip </w:t>
          </w:r>
        </w:p>
        <w:p w14:paraId="3B0D60AE" w14:textId="35924124" w:rsidR="002E7A2C" w:rsidRDefault="002E7A2C" w:rsidP="002E7A2C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New South Wales: </w:t>
          </w:r>
          <w:r w:rsidR="008C03E2">
            <w:t>27</w:t>
          </w:r>
          <w:r>
            <w:t>% (31%)</w:t>
          </w:r>
        </w:p>
        <w:p w14:paraId="04BC8597" w14:textId="7770A098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Victoria: </w:t>
          </w:r>
          <w:r w:rsidR="008C03E2">
            <w:t>27</w:t>
          </w:r>
          <w:r>
            <w:t>%</w:t>
          </w:r>
          <w:r>
            <w:tab/>
            <w:t>(28%)</w:t>
          </w:r>
        </w:p>
        <w:p w14:paraId="44B6411B" w14:textId="1D13F0C6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Queensland: </w:t>
          </w:r>
          <w:r w:rsidR="008C03E2">
            <w:t>20</w:t>
          </w:r>
          <w:r>
            <w:t>%</w:t>
          </w:r>
          <w:r w:rsidR="00F141BB">
            <w:t xml:space="preserve"> (</w:t>
          </w:r>
          <w:r>
            <w:t>22%</w:t>
          </w:r>
          <w:r w:rsidR="00F141BB">
            <w:t>)</w:t>
          </w:r>
        </w:p>
        <w:p w14:paraId="34E1F8DF" w14:textId="52961E53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Western Australia: </w:t>
          </w:r>
          <w:r w:rsidR="008C03E2">
            <w:t>13</w:t>
          </w:r>
          <w:r>
            <w:t>% (9%)</w:t>
          </w:r>
        </w:p>
        <w:p w14:paraId="1EEC932C" w14:textId="42B6FEE6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South Australia: </w:t>
          </w:r>
          <w:r w:rsidR="00726106">
            <w:t>9</w:t>
          </w:r>
          <w:r>
            <w:t>%</w:t>
          </w:r>
          <w:r w:rsidR="00F141BB">
            <w:t xml:space="preserve"> (</w:t>
          </w:r>
          <w:r>
            <w:t>6%</w:t>
          </w:r>
          <w:r w:rsidR="00F141BB">
            <w:t>)</w:t>
          </w:r>
        </w:p>
        <w:p w14:paraId="6D7A742A" w14:textId="10F1B0CA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Tasmania: </w:t>
          </w:r>
          <w:r w:rsidR="002E7A2C">
            <w:t>4</w:t>
          </w:r>
          <w:r>
            <w:t>%</w:t>
          </w:r>
          <w:r w:rsidR="00F141BB">
            <w:t xml:space="preserve"> (</w:t>
          </w:r>
          <w:r>
            <w:t>3%</w:t>
          </w:r>
          <w:r w:rsidR="00F141BB">
            <w:t>)</w:t>
          </w:r>
        </w:p>
        <w:p w14:paraId="0DC758AF" w14:textId="0C37333C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Northern Territory: </w:t>
          </w:r>
          <w:r w:rsidR="00E2631F">
            <w:t>1</w:t>
          </w:r>
          <w:r>
            <w:t>%</w:t>
          </w:r>
          <w:r w:rsidR="00F141BB">
            <w:t xml:space="preserve"> (</w:t>
          </w:r>
          <w:r>
            <w:t>1%</w:t>
          </w:r>
          <w:r w:rsidR="00F141BB">
            <w:t>)</w:t>
          </w:r>
        </w:p>
        <w:p w14:paraId="49029869" w14:textId="008B3817" w:rsidR="00D365DE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ACT: </w:t>
          </w:r>
          <w:r w:rsidR="00726106">
            <w:t>2</w:t>
          </w:r>
          <w:r>
            <w:t>%</w:t>
          </w:r>
          <w:r w:rsidR="00F141BB">
            <w:t xml:space="preserve"> (</w:t>
          </w:r>
          <w:r>
            <w:t>2%</w:t>
          </w:r>
          <w:r w:rsidR="00F141BB">
            <w:t>)</w:t>
          </w:r>
        </w:p>
        <w:p w14:paraId="760359C0" w14:textId="77777777" w:rsidR="005B3E16" w:rsidRPr="009F3D7F" w:rsidRDefault="005B3E16" w:rsidP="005B3E16">
          <w:pPr>
            <w:pStyle w:val="ListParagraph"/>
            <w:spacing w:before="0" w:after="160" w:line="259" w:lineRule="auto"/>
          </w:pPr>
        </w:p>
        <w:p w14:paraId="20708A1D" w14:textId="04BDB15D" w:rsidR="00BA5551" w:rsidRPr="00BA5551" w:rsidRDefault="00BA5551" w:rsidP="00BA5551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BA5551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International visitation</w:t>
          </w:r>
        </w:p>
        <w:p w14:paraId="59D96B9D" w14:textId="742F6652" w:rsidR="00BF2796" w:rsidRPr="00BF2796" w:rsidRDefault="00726106" w:rsidP="00BF2796">
          <w:pPr>
            <w:spacing w:before="0" w:after="160" w:line="259" w:lineRule="auto"/>
          </w:pPr>
          <w:r w:rsidRPr="00726106">
            <w:t>The top 3 domestic state and territory markets account for almost 3 in 4 (74%) trips that include a visit to a food market. These 3 states account for 80% of spend on trips that include a visit to a food market.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218"/>
            <w:gridCol w:w="3218"/>
            <w:gridCol w:w="3218"/>
          </w:tblGrid>
          <w:tr w:rsidR="008D5624" w:rsidRPr="00DC6DE2" w14:paraId="6CDB151E" w14:textId="77777777" w:rsidTr="00462051">
            <w:trPr>
              <w:trHeight w:val="700"/>
              <w:tblHeader/>
            </w:trPr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053C252F" w14:textId="36C571A9" w:rsidR="008D5624" w:rsidRPr="00DC6DE2" w:rsidRDefault="008D5624" w:rsidP="008D5624">
                <w:pPr>
                  <w:rPr>
                    <w:b/>
                    <w:bCs/>
                    <w:color w:val="FFFFFF" w:themeColor="background1"/>
                  </w:rPr>
                </w:pPr>
              </w:p>
            </w:tc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6F6B41AE" w14:textId="3374823F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Trips</w:t>
                </w:r>
              </w:p>
            </w:tc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00C3A69A" w14:textId="268709B7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Total trip spend in Australia</w:t>
                </w:r>
              </w:p>
            </w:tc>
          </w:tr>
          <w:tr w:rsidR="001B47AC" w:rsidRPr="00232008" w14:paraId="642795B4" w14:textId="77777777" w:rsidTr="00523CF4">
            <w:trPr>
              <w:trHeight w:val="700"/>
            </w:trPr>
            <w:tc>
              <w:tcPr>
                <w:tcW w:w="3218" w:type="dxa"/>
                <w:vAlign w:val="center"/>
              </w:tcPr>
              <w:p w14:paraId="2BC6226D" w14:textId="05DD7F98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 xml:space="preserve">New South Wales </w:t>
                </w:r>
              </w:p>
            </w:tc>
            <w:tc>
              <w:tcPr>
                <w:tcW w:w="3218" w:type="dxa"/>
                <w:vAlign w:val="center"/>
              </w:tcPr>
              <w:p w14:paraId="6B237EA5" w14:textId="1BE41D95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1.34 million</w:t>
                </w:r>
              </w:p>
            </w:tc>
            <w:tc>
              <w:tcPr>
                <w:tcW w:w="3218" w:type="dxa"/>
                <w:vAlign w:val="center"/>
              </w:tcPr>
              <w:p w14:paraId="4BBE71FB" w14:textId="1F177D34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$1.6 billion</w:t>
                </w:r>
              </w:p>
            </w:tc>
          </w:tr>
          <w:tr w:rsidR="001B47AC" w:rsidRPr="00232008" w14:paraId="7ABC0CAD" w14:textId="77777777" w:rsidTr="00523CF4">
            <w:trPr>
              <w:trHeight w:val="700"/>
            </w:trPr>
            <w:tc>
              <w:tcPr>
                <w:tcW w:w="3218" w:type="dxa"/>
                <w:vAlign w:val="center"/>
              </w:tcPr>
              <w:p w14:paraId="5DA70D54" w14:textId="0267B6E4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Victoria</w:t>
                </w:r>
              </w:p>
            </w:tc>
            <w:tc>
              <w:tcPr>
                <w:tcW w:w="3218" w:type="dxa"/>
                <w:vAlign w:val="center"/>
              </w:tcPr>
              <w:p w14:paraId="6CB741C7" w14:textId="2DA2DC3D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1.32 million</w:t>
                </w:r>
              </w:p>
            </w:tc>
            <w:tc>
              <w:tcPr>
                <w:tcW w:w="3218" w:type="dxa"/>
                <w:vAlign w:val="center"/>
              </w:tcPr>
              <w:p w14:paraId="4D636F92" w14:textId="679C1B1D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$1.2 billion</w:t>
                </w:r>
              </w:p>
            </w:tc>
          </w:tr>
          <w:tr w:rsidR="001B47AC" w:rsidRPr="00232008" w14:paraId="34908845" w14:textId="77777777" w:rsidTr="00523CF4">
            <w:trPr>
              <w:trHeight w:val="700"/>
            </w:trPr>
            <w:tc>
              <w:tcPr>
                <w:tcW w:w="3218" w:type="dxa"/>
                <w:vAlign w:val="center"/>
              </w:tcPr>
              <w:p w14:paraId="1B3F447B" w14:textId="40993FC2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Queensland</w:t>
                </w:r>
              </w:p>
            </w:tc>
            <w:tc>
              <w:tcPr>
                <w:tcW w:w="3218" w:type="dxa"/>
                <w:vAlign w:val="center"/>
              </w:tcPr>
              <w:p w14:paraId="6532F16E" w14:textId="0D14C06A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834,490</w:t>
                </w:r>
              </w:p>
            </w:tc>
            <w:tc>
              <w:tcPr>
                <w:tcW w:w="3218" w:type="dxa"/>
                <w:vAlign w:val="center"/>
              </w:tcPr>
              <w:p w14:paraId="6E65057D" w14:textId="0ACBAA11" w:rsidR="001B47AC" w:rsidRPr="00232008" w:rsidRDefault="001B47AC" w:rsidP="001B47AC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1B47AC">
                  <w:rPr>
                    <w:rFonts w:asciiTheme="minorHAnsi" w:eastAsiaTheme="minorEastAsia"/>
                    <w:kern w:val="24"/>
                  </w:rPr>
                  <w:t>$877 million</w:t>
                </w:r>
              </w:p>
            </w:tc>
          </w:tr>
        </w:tbl>
        <w:p w14:paraId="3F77B886" w14:textId="77777777" w:rsidR="008D5D5D" w:rsidRDefault="008D5D5D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196E52D3" w14:textId="750798A4" w:rsidR="00556A2F" w:rsidRPr="00DC6DE2" w:rsidRDefault="00556A2F" w:rsidP="0051582E">
          <w:pPr>
            <w:pStyle w:val="Heading2"/>
          </w:pPr>
          <w:r w:rsidRPr="00DC6DE2">
            <w:lastRenderedPageBreak/>
            <w:t xml:space="preserve">Data </w:t>
          </w:r>
          <w:r w:rsidR="00032898" w:rsidRPr="00DC6DE2">
            <w:t>s</w:t>
          </w:r>
          <w:r w:rsidRPr="00DC6DE2">
            <w:t>ources</w:t>
          </w:r>
        </w:p>
      </w:sdtContent>
    </w:sdt>
    <w:p w14:paraId="45890013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International Visitor Survey (IVS)</w:t>
      </w:r>
    </w:p>
    <w:p w14:paraId="33D4A362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National Visitor Survey (NVS)</w:t>
      </w:r>
    </w:p>
    <w:p w14:paraId="7F8CAF34" w14:textId="622B3491" w:rsidR="00F80030" w:rsidRPr="00F80030" w:rsidRDefault="00F80030" w:rsidP="00F80030">
      <w:pPr>
        <w:spacing w:after="160" w:line="278" w:lineRule="auto"/>
      </w:pPr>
      <w:r w:rsidRPr="00F80030">
        <w:t xml:space="preserve">Data may not sum to 100% for all measures due to rounding and visitors can visit more than one location and/or experienced more than one activity. Updated </w:t>
      </w:r>
      <w:r>
        <w:t>November 2025</w:t>
      </w:r>
      <w:r w:rsidRPr="00F80030">
        <w:t xml:space="preserve">. </w:t>
      </w:r>
    </w:p>
    <w:p w14:paraId="532A5E77" w14:textId="77777777" w:rsidR="00F80030" w:rsidRPr="00F80030" w:rsidRDefault="00F80030" w:rsidP="00F80030">
      <w:pPr>
        <w:spacing w:after="160" w:line="278" w:lineRule="auto"/>
      </w:pPr>
      <w:r w:rsidRPr="00F80030">
        <w:t xml:space="preserve">Prepared by Tourism Research Australia, Australian Trade and Investment Commission (Austrade). Web: </w:t>
      </w:r>
      <w:hyperlink r:id="rId13" w:history="1">
        <w:r w:rsidRPr="00F80030">
          <w:rPr>
            <w:rStyle w:val="Hyperlink"/>
          </w:rPr>
          <w:t>www.tra.gov.au</w:t>
        </w:r>
      </w:hyperlink>
      <w:r w:rsidRPr="00F80030">
        <w:t xml:space="preserve">. Enquiries welcome at: </w:t>
      </w:r>
      <w:hyperlink r:id="rId14" w:history="1">
        <w:r w:rsidRPr="00F80030">
          <w:rPr>
            <w:rStyle w:val="Hyperlink"/>
          </w:rPr>
          <w:t>tourism.research@tra.gov.au</w:t>
        </w:r>
      </w:hyperlink>
      <w:r w:rsidRPr="00F80030">
        <w:t xml:space="preserve"> </w:t>
      </w:r>
    </w:p>
    <w:p w14:paraId="78E6EA69" w14:textId="400AAEF0" w:rsidR="004767E6" w:rsidRPr="00245E86" w:rsidRDefault="004767E6" w:rsidP="00F80030">
      <w:pPr>
        <w:spacing w:before="0" w:after="160" w:line="278" w:lineRule="auto"/>
      </w:pP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C49A" w14:textId="77777777" w:rsidR="007D683D" w:rsidRDefault="007D683D" w:rsidP="007B0021">
      <w:r>
        <w:separator/>
      </w:r>
    </w:p>
    <w:p w14:paraId="173225D5" w14:textId="77777777" w:rsidR="007D683D" w:rsidRDefault="007D683D" w:rsidP="007B0021"/>
  </w:endnote>
  <w:endnote w:type="continuationSeparator" w:id="0">
    <w:p w14:paraId="73F3CEC9" w14:textId="77777777" w:rsidR="007D683D" w:rsidRDefault="007D683D" w:rsidP="007B0021">
      <w:r>
        <w:continuationSeparator/>
      </w:r>
    </w:p>
    <w:p w14:paraId="6B50D78C" w14:textId="77777777" w:rsidR="007D683D" w:rsidRDefault="007D683D" w:rsidP="007B0021"/>
  </w:endnote>
  <w:endnote w:type="continuationNotice" w:id="1">
    <w:p w14:paraId="5B0E3EDF" w14:textId="77777777" w:rsidR="007D683D" w:rsidRDefault="007D68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C6A1" w14:textId="77777777" w:rsidR="007D683D" w:rsidRDefault="007D683D" w:rsidP="007B0021">
      <w:r>
        <w:separator/>
      </w:r>
    </w:p>
    <w:p w14:paraId="5F9CE22E" w14:textId="77777777" w:rsidR="007D683D" w:rsidRDefault="007D683D" w:rsidP="007B0021"/>
  </w:footnote>
  <w:footnote w:type="continuationSeparator" w:id="0">
    <w:p w14:paraId="67AB0FCA" w14:textId="77777777" w:rsidR="007D683D" w:rsidRDefault="007D683D" w:rsidP="007B0021">
      <w:r>
        <w:continuationSeparator/>
      </w:r>
    </w:p>
    <w:p w14:paraId="2889B49E" w14:textId="77777777" w:rsidR="007D683D" w:rsidRDefault="007D683D" w:rsidP="007B0021"/>
  </w:footnote>
  <w:footnote w:type="continuationNotice" w:id="1">
    <w:p w14:paraId="28934C72" w14:textId="77777777" w:rsidR="007D683D" w:rsidRDefault="007D68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92A"/>
    <w:multiLevelType w:val="hybridMultilevel"/>
    <w:tmpl w:val="93CC785A"/>
    <w:lvl w:ilvl="0" w:tplc="A2BC9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8C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2A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CD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83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CC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F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84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FC"/>
    <w:multiLevelType w:val="hybridMultilevel"/>
    <w:tmpl w:val="B756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6F01"/>
    <w:multiLevelType w:val="hybridMultilevel"/>
    <w:tmpl w:val="8986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DD"/>
    <w:multiLevelType w:val="hybridMultilevel"/>
    <w:tmpl w:val="E9121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652D9"/>
    <w:multiLevelType w:val="hybridMultilevel"/>
    <w:tmpl w:val="43CC5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10"/>
  </w:num>
  <w:num w:numId="2" w16cid:durableId="784662544">
    <w:abstractNumId w:val="11"/>
  </w:num>
  <w:num w:numId="3" w16cid:durableId="1442451738">
    <w:abstractNumId w:val="11"/>
    <w:lvlOverride w:ilvl="0">
      <w:startOverride w:val="1"/>
    </w:lvlOverride>
  </w:num>
  <w:num w:numId="4" w16cid:durableId="1562522304">
    <w:abstractNumId w:val="11"/>
    <w:lvlOverride w:ilvl="0">
      <w:startOverride w:val="1"/>
    </w:lvlOverride>
  </w:num>
  <w:num w:numId="5" w16cid:durableId="1125929345">
    <w:abstractNumId w:val="11"/>
    <w:lvlOverride w:ilvl="0">
      <w:startOverride w:val="1"/>
    </w:lvlOverride>
  </w:num>
  <w:num w:numId="6" w16cid:durableId="641621793">
    <w:abstractNumId w:val="8"/>
  </w:num>
  <w:num w:numId="7" w16cid:durableId="2117015349">
    <w:abstractNumId w:val="14"/>
  </w:num>
  <w:num w:numId="8" w16cid:durableId="116532335">
    <w:abstractNumId w:val="13"/>
  </w:num>
  <w:num w:numId="9" w16cid:durableId="977108127">
    <w:abstractNumId w:val="9"/>
  </w:num>
  <w:num w:numId="10" w16cid:durableId="1002902481">
    <w:abstractNumId w:val="15"/>
  </w:num>
  <w:num w:numId="11" w16cid:durableId="24604670">
    <w:abstractNumId w:val="7"/>
  </w:num>
  <w:num w:numId="12" w16cid:durableId="620309957">
    <w:abstractNumId w:val="2"/>
  </w:num>
  <w:num w:numId="13" w16cid:durableId="472135010">
    <w:abstractNumId w:val="5"/>
  </w:num>
  <w:num w:numId="14" w16cid:durableId="1840585057">
    <w:abstractNumId w:val="12"/>
  </w:num>
  <w:num w:numId="15" w16cid:durableId="626007981">
    <w:abstractNumId w:val="17"/>
  </w:num>
  <w:num w:numId="16" w16cid:durableId="600911578">
    <w:abstractNumId w:val="1"/>
  </w:num>
  <w:num w:numId="17" w16cid:durableId="916743401">
    <w:abstractNumId w:val="3"/>
  </w:num>
  <w:num w:numId="18" w16cid:durableId="1780444892">
    <w:abstractNumId w:val="6"/>
  </w:num>
  <w:num w:numId="19" w16cid:durableId="197164076">
    <w:abstractNumId w:val="16"/>
  </w:num>
  <w:num w:numId="20" w16cid:durableId="357857402">
    <w:abstractNumId w:val="4"/>
  </w:num>
  <w:num w:numId="21" w16cid:durableId="631978725">
    <w:abstractNumId w:val="0"/>
  </w:num>
  <w:num w:numId="22" w16cid:durableId="1796098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15F40"/>
    <w:rsid w:val="0002743F"/>
    <w:rsid w:val="00032898"/>
    <w:rsid w:val="00040EAC"/>
    <w:rsid w:val="000464FD"/>
    <w:rsid w:val="0004656A"/>
    <w:rsid w:val="000C16AB"/>
    <w:rsid w:val="000D1CBD"/>
    <w:rsid w:val="000E1AAE"/>
    <w:rsid w:val="000E7E86"/>
    <w:rsid w:val="000F7853"/>
    <w:rsid w:val="001036A0"/>
    <w:rsid w:val="001136DD"/>
    <w:rsid w:val="00117092"/>
    <w:rsid w:val="0012425F"/>
    <w:rsid w:val="00125CD3"/>
    <w:rsid w:val="00131FB1"/>
    <w:rsid w:val="001325A7"/>
    <w:rsid w:val="00141E98"/>
    <w:rsid w:val="00147D40"/>
    <w:rsid w:val="0015714A"/>
    <w:rsid w:val="00164B77"/>
    <w:rsid w:val="00173341"/>
    <w:rsid w:val="00175E34"/>
    <w:rsid w:val="00183881"/>
    <w:rsid w:val="00190CBA"/>
    <w:rsid w:val="00191628"/>
    <w:rsid w:val="00195285"/>
    <w:rsid w:val="0019584B"/>
    <w:rsid w:val="001A2CA5"/>
    <w:rsid w:val="001B0BDD"/>
    <w:rsid w:val="001B47AC"/>
    <w:rsid w:val="001C2ECD"/>
    <w:rsid w:val="001D59B7"/>
    <w:rsid w:val="001D6AC0"/>
    <w:rsid w:val="001E186F"/>
    <w:rsid w:val="001F00A1"/>
    <w:rsid w:val="001F0CE6"/>
    <w:rsid w:val="001F603E"/>
    <w:rsid w:val="00232008"/>
    <w:rsid w:val="00243074"/>
    <w:rsid w:val="00243F5F"/>
    <w:rsid w:val="00245E86"/>
    <w:rsid w:val="002505C8"/>
    <w:rsid w:val="00250BF1"/>
    <w:rsid w:val="00253226"/>
    <w:rsid w:val="002535CA"/>
    <w:rsid w:val="00261F28"/>
    <w:rsid w:val="002749C0"/>
    <w:rsid w:val="002775F3"/>
    <w:rsid w:val="002801EE"/>
    <w:rsid w:val="0028112D"/>
    <w:rsid w:val="00282C92"/>
    <w:rsid w:val="0028696F"/>
    <w:rsid w:val="0029071D"/>
    <w:rsid w:val="00291252"/>
    <w:rsid w:val="002A2497"/>
    <w:rsid w:val="002A642B"/>
    <w:rsid w:val="002C0183"/>
    <w:rsid w:val="002C0D1B"/>
    <w:rsid w:val="002C1F51"/>
    <w:rsid w:val="002C44C9"/>
    <w:rsid w:val="002D32DF"/>
    <w:rsid w:val="002D6853"/>
    <w:rsid w:val="002D7561"/>
    <w:rsid w:val="002E1BC7"/>
    <w:rsid w:val="002E236B"/>
    <w:rsid w:val="002E309C"/>
    <w:rsid w:val="002E7A2C"/>
    <w:rsid w:val="002E7D8B"/>
    <w:rsid w:val="002F27AE"/>
    <w:rsid w:val="0030019E"/>
    <w:rsid w:val="00306832"/>
    <w:rsid w:val="00321E47"/>
    <w:rsid w:val="00322218"/>
    <w:rsid w:val="00326B31"/>
    <w:rsid w:val="00334D1D"/>
    <w:rsid w:val="003513F9"/>
    <w:rsid w:val="003736DB"/>
    <w:rsid w:val="00376FCE"/>
    <w:rsid w:val="003844F2"/>
    <w:rsid w:val="003873A3"/>
    <w:rsid w:val="00387CA6"/>
    <w:rsid w:val="00390F9A"/>
    <w:rsid w:val="00395673"/>
    <w:rsid w:val="00397179"/>
    <w:rsid w:val="003976B8"/>
    <w:rsid w:val="003A4CF8"/>
    <w:rsid w:val="003A58AB"/>
    <w:rsid w:val="003A5910"/>
    <w:rsid w:val="003C3B0A"/>
    <w:rsid w:val="003D0704"/>
    <w:rsid w:val="003D081C"/>
    <w:rsid w:val="003D65E7"/>
    <w:rsid w:val="003D7D47"/>
    <w:rsid w:val="003E38E3"/>
    <w:rsid w:val="003E4598"/>
    <w:rsid w:val="003E5497"/>
    <w:rsid w:val="003F28F9"/>
    <w:rsid w:val="003F54BC"/>
    <w:rsid w:val="00406378"/>
    <w:rsid w:val="00406EA3"/>
    <w:rsid w:val="00410790"/>
    <w:rsid w:val="004122E0"/>
    <w:rsid w:val="00414084"/>
    <w:rsid w:val="00422824"/>
    <w:rsid w:val="0042769C"/>
    <w:rsid w:val="0043062E"/>
    <w:rsid w:val="0043327B"/>
    <w:rsid w:val="0043757A"/>
    <w:rsid w:val="00444376"/>
    <w:rsid w:val="004443C2"/>
    <w:rsid w:val="00447912"/>
    <w:rsid w:val="00451847"/>
    <w:rsid w:val="0045192E"/>
    <w:rsid w:val="0045276E"/>
    <w:rsid w:val="00460A41"/>
    <w:rsid w:val="00462051"/>
    <w:rsid w:val="004767E6"/>
    <w:rsid w:val="00477832"/>
    <w:rsid w:val="00484664"/>
    <w:rsid w:val="00491D79"/>
    <w:rsid w:val="004947A1"/>
    <w:rsid w:val="004970E0"/>
    <w:rsid w:val="00497858"/>
    <w:rsid w:val="004A040A"/>
    <w:rsid w:val="004A075C"/>
    <w:rsid w:val="004B1007"/>
    <w:rsid w:val="004B329E"/>
    <w:rsid w:val="004B375B"/>
    <w:rsid w:val="004B44BA"/>
    <w:rsid w:val="004B6478"/>
    <w:rsid w:val="004B798E"/>
    <w:rsid w:val="004C2005"/>
    <w:rsid w:val="004C6441"/>
    <w:rsid w:val="004C6B64"/>
    <w:rsid w:val="004D06AF"/>
    <w:rsid w:val="004D0EEA"/>
    <w:rsid w:val="004D6F59"/>
    <w:rsid w:val="004F414C"/>
    <w:rsid w:val="00501469"/>
    <w:rsid w:val="00506963"/>
    <w:rsid w:val="0051582E"/>
    <w:rsid w:val="005202C7"/>
    <w:rsid w:val="00550CB6"/>
    <w:rsid w:val="00556A2F"/>
    <w:rsid w:val="00561542"/>
    <w:rsid w:val="0056555E"/>
    <w:rsid w:val="00567426"/>
    <w:rsid w:val="00571BDC"/>
    <w:rsid w:val="005852C5"/>
    <w:rsid w:val="00591CC3"/>
    <w:rsid w:val="005A1F63"/>
    <w:rsid w:val="005A6F23"/>
    <w:rsid w:val="005B1A33"/>
    <w:rsid w:val="005B3E16"/>
    <w:rsid w:val="005B6B23"/>
    <w:rsid w:val="005C223D"/>
    <w:rsid w:val="005C4528"/>
    <w:rsid w:val="005D05B4"/>
    <w:rsid w:val="005D3E5E"/>
    <w:rsid w:val="005E4421"/>
    <w:rsid w:val="005E66BC"/>
    <w:rsid w:val="005F06FD"/>
    <w:rsid w:val="006211DC"/>
    <w:rsid w:val="00623B0B"/>
    <w:rsid w:val="00631637"/>
    <w:rsid w:val="0063625B"/>
    <w:rsid w:val="00641416"/>
    <w:rsid w:val="0065148D"/>
    <w:rsid w:val="00651BD8"/>
    <w:rsid w:val="00654397"/>
    <w:rsid w:val="00660531"/>
    <w:rsid w:val="00664683"/>
    <w:rsid w:val="0067299A"/>
    <w:rsid w:val="0068022B"/>
    <w:rsid w:val="00694AAD"/>
    <w:rsid w:val="00696F9E"/>
    <w:rsid w:val="006A2C38"/>
    <w:rsid w:val="006B7024"/>
    <w:rsid w:val="006B76FB"/>
    <w:rsid w:val="006C35D7"/>
    <w:rsid w:val="006D4C12"/>
    <w:rsid w:val="006E5730"/>
    <w:rsid w:val="006E74C7"/>
    <w:rsid w:val="006F7525"/>
    <w:rsid w:val="00710296"/>
    <w:rsid w:val="00726106"/>
    <w:rsid w:val="00741836"/>
    <w:rsid w:val="0074216D"/>
    <w:rsid w:val="00745429"/>
    <w:rsid w:val="007514FC"/>
    <w:rsid w:val="00774485"/>
    <w:rsid w:val="00776A9A"/>
    <w:rsid w:val="00776C58"/>
    <w:rsid w:val="0078435A"/>
    <w:rsid w:val="007A0FC3"/>
    <w:rsid w:val="007B0021"/>
    <w:rsid w:val="007B7335"/>
    <w:rsid w:val="007C20C0"/>
    <w:rsid w:val="007D683D"/>
    <w:rsid w:val="007E4DAD"/>
    <w:rsid w:val="007F49B4"/>
    <w:rsid w:val="007F7CED"/>
    <w:rsid w:val="008061CC"/>
    <w:rsid w:val="0080693C"/>
    <w:rsid w:val="00816916"/>
    <w:rsid w:val="00831BB9"/>
    <w:rsid w:val="00832501"/>
    <w:rsid w:val="00834B7A"/>
    <w:rsid w:val="008407EC"/>
    <w:rsid w:val="008409C3"/>
    <w:rsid w:val="008514EC"/>
    <w:rsid w:val="008530A1"/>
    <w:rsid w:val="00857A0A"/>
    <w:rsid w:val="00862E61"/>
    <w:rsid w:val="00865233"/>
    <w:rsid w:val="0087377B"/>
    <w:rsid w:val="0087477C"/>
    <w:rsid w:val="008751B3"/>
    <w:rsid w:val="00877D9B"/>
    <w:rsid w:val="008837CE"/>
    <w:rsid w:val="008900C1"/>
    <w:rsid w:val="0089138E"/>
    <w:rsid w:val="008A4AEF"/>
    <w:rsid w:val="008A5621"/>
    <w:rsid w:val="008A5795"/>
    <w:rsid w:val="008B1442"/>
    <w:rsid w:val="008B6033"/>
    <w:rsid w:val="008B74F6"/>
    <w:rsid w:val="008C03E2"/>
    <w:rsid w:val="008C186F"/>
    <w:rsid w:val="008C39BC"/>
    <w:rsid w:val="008C6636"/>
    <w:rsid w:val="008D5624"/>
    <w:rsid w:val="008D5D5D"/>
    <w:rsid w:val="008E64E3"/>
    <w:rsid w:val="008F4FD7"/>
    <w:rsid w:val="00904581"/>
    <w:rsid w:val="00905310"/>
    <w:rsid w:val="0091143A"/>
    <w:rsid w:val="00913D33"/>
    <w:rsid w:val="00921435"/>
    <w:rsid w:val="009258E1"/>
    <w:rsid w:val="0092648B"/>
    <w:rsid w:val="00936493"/>
    <w:rsid w:val="009364E8"/>
    <w:rsid w:val="00942FCB"/>
    <w:rsid w:val="00944327"/>
    <w:rsid w:val="0094463A"/>
    <w:rsid w:val="0094560D"/>
    <w:rsid w:val="00945D44"/>
    <w:rsid w:val="00950D79"/>
    <w:rsid w:val="00951286"/>
    <w:rsid w:val="0096640D"/>
    <w:rsid w:val="009672ED"/>
    <w:rsid w:val="009718AF"/>
    <w:rsid w:val="00972855"/>
    <w:rsid w:val="0098379B"/>
    <w:rsid w:val="00986BBD"/>
    <w:rsid w:val="00986BDD"/>
    <w:rsid w:val="009873AB"/>
    <w:rsid w:val="00990F4E"/>
    <w:rsid w:val="00991D88"/>
    <w:rsid w:val="00996B27"/>
    <w:rsid w:val="009B4881"/>
    <w:rsid w:val="009C307E"/>
    <w:rsid w:val="009C5C61"/>
    <w:rsid w:val="009D6B24"/>
    <w:rsid w:val="009D70B3"/>
    <w:rsid w:val="009D79DC"/>
    <w:rsid w:val="009E1D4B"/>
    <w:rsid w:val="009E6DB3"/>
    <w:rsid w:val="009F1E8A"/>
    <w:rsid w:val="009F3D7F"/>
    <w:rsid w:val="009F61B6"/>
    <w:rsid w:val="00A00806"/>
    <w:rsid w:val="00A01C07"/>
    <w:rsid w:val="00A11A51"/>
    <w:rsid w:val="00A32834"/>
    <w:rsid w:val="00A3533E"/>
    <w:rsid w:val="00A46D3B"/>
    <w:rsid w:val="00A647F4"/>
    <w:rsid w:val="00A64F58"/>
    <w:rsid w:val="00A80680"/>
    <w:rsid w:val="00A8069B"/>
    <w:rsid w:val="00A86CFC"/>
    <w:rsid w:val="00A8748A"/>
    <w:rsid w:val="00A922DE"/>
    <w:rsid w:val="00A957A4"/>
    <w:rsid w:val="00AA20DB"/>
    <w:rsid w:val="00AC0F96"/>
    <w:rsid w:val="00AC40CD"/>
    <w:rsid w:val="00AC6373"/>
    <w:rsid w:val="00AD6A63"/>
    <w:rsid w:val="00AE3D08"/>
    <w:rsid w:val="00AE5A0C"/>
    <w:rsid w:val="00B02202"/>
    <w:rsid w:val="00B06503"/>
    <w:rsid w:val="00B123FA"/>
    <w:rsid w:val="00B42F46"/>
    <w:rsid w:val="00B44505"/>
    <w:rsid w:val="00B513FC"/>
    <w:rsid w:val="00B54801"/>
    <w:rsid w:val="00B55852"/>
    <w:rsid w:val="00B80822"/>
    <w:rsid w:val="00B85748"/>
    <w:rsid w:val="00B96CEF"/>
    <w:rsid w:val="00BA48E9"/>
    <w:rsid w:val="00BA5551"/>
    <w:rsid w:val="00BA5B82"/>
    <w:rsid w:val="00BA7FE0"/>
    <w:rsid w:val="00BB2E49"/>
    <w:rsid w:val="00BB4E5F"/>
    <w:rsid w:val="00BC5C77"/>
    <w:rsid w:val="00BD576A"/>
    <w:rsid w:val="00BE1C64"/>
    <w:rsid w:val="00BF2796"/>
    <w:rsid w:val="00BF7E9C"/>
    <w:rsid w:val="00C06C20"/>
    <w:rsid w:val="00C11D49"/>
    <w:rsid w:val="00C16373"/>
    <w:rsid w:val="00C230A2"/>
    <w:rsid w:val="00C279D9"/>
    <w:rsid w:val="00C27BF9"/>
    <w:rsid w:val="00C3141D"/>
    <w:rsid w:val="00C366AC"/>
    <w:rsid w:val="00C4007B"/>
    <w:rsid w:val="00C412DE"/>
    <w:rsid w:val="00C438FA"/>
    <w:rsid w:val="00C44557"/>
    <w:rsid w:val="00C455DA"/>
    <w:rsid w:val="00C5088E"/>
    <w:rsid w:val="00C52FDE"/>
    <w:rsid w:val="00C55748"/>
    <w:rsid w:val="00C61A50"/>
    <w:rsid w:val="00C77C4B"/>
    <w:rsid w:val="00CA1497"/>
    <w:rsid w:val="00CB0682"/>
    <w:rsid w:val="00CC57CE"/>
    <w:rsid w:val="00CD0CE5"/>
    <w:rsid w:val="00CD1BE3"/>
    <w:rsid w:val="00CE3E6C"/>
    <w:rsid w:val="00CF4F9D"/>
    <w:rsid w:val="00CF5887"/>
    <w:rsid w:val="00D01F4A"/>
    <w:rsid w:val="00D05983"/>
    <w:rsid w:val="00D25DC7"/>
    <w:rsid w:val="00D329F0"/>
    <w:rsid w:val="00D350E2"/>
    <w:rsid w:val="00D365DE"/>
    <w:rsid w:val="00D41673"/>
    <w:rsid w:val="00D43305"/>
    <w:rsid w:val="00D47636"/>
    <w:rsid w:val="00D66695"/>
    <w:rsid w:val="00D76AE4"/>
    <w:rsid w:val="00D83142"/>
    <w:rsid w:val="00D838CF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C6DE2"/>
    <w:rsid w:val="00DD05D7"/>
    <w:rsid w:val="00DD0736"/>
    <w:rsid w:val="00DD0A99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0AB"/>
    <w:rsid w:val="00E2631F"/>
    <w:rsid w:val="00E26422"/>
    <w:rsid w:val="00E300B9"/>
    <w:rsid w:val="00E3100E"/>
    <w:rsid w:val="00E50964"/>
    <w:rsid w:val="00E605C9"/>
    <w:rsid w:val="00E65FB1"/>
    <w:rsid w:val="00E73A0F"/>
    <w:rsid w:val="00E85617"/>
    <w:rsid w:val="00E902C6"/>
    <w:rsid w:val="00E90542"/>
    <w:rsid w:val="00EA4240"/>
    <w:rsid w:val="00EB6ED6"/>
    <w:rsid w:val="00EC306F"/>
    <w:rsid w:val="00ED65F8"/>
    <w:rsid w:val="00EE05FC"/>
    <w:rsid w:val="00EE29FA"/>
    <w:rsid w:val="00EE3ABB"/>
    <w:rsid w:val="00EE4027"/>
    <w:rsid w:val="00EE70C0"/>
    <w:rsid w:val="00F007D8"/>
    <w:rsid w:val="00F07573"/>
    <w:rsid w:val="00F07EB6"/>
    <w:rsid w:val="00F141BB"/>
    <w:rsid w:val="00F23FEC"/>
    <w:rsid w:val="00F427E4"/>
    <w:rsid w:val="00F45A2B"/>
    <w:rsid w:val="00F56064"/>
    <w:rsid w:val="00F57F70"/>
    <w:rsid w:val="00F64021"/>
    <w:rsid w:val="00F66F0A"/>
    <w:rsid w:val="00F80030"/>
    <w:rsid w:val="00F8084C"/>
    <w:rsid w:val="00F85A20"/>
    <w:rsid w:val="00FA09E7"/>
    <w:rsid w:val="00FB4D94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2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8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84193d32-96af-42bb-9a8d-e389b6b013dc"/>
    <ds:schemaRef ds:uri="932d29ee-28c9-41bc-b9e4-7f2eba331d28"/>
  </ds:schemaRefs>
</ds:datastoreItem>
</file>

<file path=customXml/itemProps4.xml><?xml version="1.0" encoding="utf-8"?>
<ds:datastoreItem xmlns:ds="http://schemas.openxmlformats.org/officeDocument/2006/customXml" ds:itemID="{FDDBE73F-281E-4519-817C-EA621FD28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10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Bronte-Rice-Jenkins [Sydney]</cp:lastModifiedBy>
  <cp:revision>19</cp:revision>
  <dcterms:created xsi:type="dcterms:W3CDTF">2026-01-14T02:35:00Z</dcterms:created>
  <dcterms:modified xsi:type="dcterms:W3CDTF">2026-01-14T03:42:00Z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