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SimSun" w:cs="Times New Roman"/>
          <w:b/>
          <w:bCs/>
          <w:color w:val="2E1A47"/>
          <w:sz w:val="44"/>
          <w:szCs w:val="44"/>
          <w:lang w:eastAsia="zh-CN"/>
        </w:rPr>
        <w:id w:val="-1649280474"/>
        <w:docPartObj>
          <w:docPartGallery w:val="Cover Pages"/>
          <w:docPartUnique/>
        </w:docPartObj>
      </w:sdtPr>
      <w:sdtEndPr>
        <w:rPr>
          <w:b w:val="0"/>
        </w:rPr>
      </w:sdtEndPr>
      <w:sdtContent>
        <w:p w14:paraId="3D8B23E3" w14:textId="6D7E7025" w:rsidR="003A58AB" w:rsidRPr="00FC500B" w:rsidRDefault="00210BE8" w:rsidP="009E6DB3">
          <w:r>
            <w:rPr>
              <w:noProof/>
              <w:lang w:eastAsia="en-AU"/>
            </w:rPr>
            <w:drawing>
              <wp:anchor distT="0" distB="0" distL="114300" distR="114300" simplePos="0" relativeHeight="251659264" behindDoc="1" locked="0" layoutInCell="1" allowOverlap="1" wp14:anchorId="26A11AC1" wp14:editId="4E3073B3">
                <wp:simplePos x="0" y="0"/>
                <wp:positionH relativeFrom="column">
                  <wp:posOffset>-344805</wp:posOffset>
                </wp:positionH>
                <wp:positionV relativeFrom="paragraph">
                  <wp:posOffset>-868680</wp:posOffset>
                </wp:positionV>
                <wp:extent cx="6983730" cy="1492250"/>
                <wp:effectExtent l="0" t="0" r="7620" b="0"/>
                <wp:wrapNone/>
                <wp:docPr id="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6"/>
                        <pic:cNvPicPr>
                          <a:picLocks noChangeAspect="1"/>
                        </pic:cNvPicPr>
                      </pic:nvPicPr>
                      <pic:blipFill rotWithShape="1">
                        <a:blip r:embed="rId13" cstate="print">
                          <a:extLst>
                            <a:ext uri="{28A0092B-C50C-407E-A947-70E740481C1C}">
                              <a14:useLocalDpi xmlns:a14="http://schemas.microsoft.com/office/drawing/2010/main" val="0"/>
                            </a:ext>
                          </a:extLst>
                        </a:blip>
                        <a:srcRect b="33125"/>
                        <a:stretch/>
                      </pic:blipFill>
                      <pic:spPr>
                        <a:xfrm>
                          <a:off x="0" y="0"/>
                          <a:ext cx="6983730" cy="1492250"/>
                        </a:xfrm>
                        <a:prstGeom prst="rect">
                          <a:avLst/>
                        </a:prstGeom>
                      </pic:spPr>
                    </pic:pic>
                  </a:graphicData>
                </a:graphic>
              </wp:anchor>
            </w:drawing>
          </w:r>
          <w:r>
            <w:rPr>
              <w:noProof/>
              <w:lang w:eastAsia="en-AU"/>
            </w:rPr>
            <w:drawing>
              <wp:anchor distT="0" distB="0" distL="114300" distR="114300" simplePos="0" relativeHeight="251661312" behindDoc="1" locked="1" layoutInCell="1" allowOverlap="1" wp14:anchorId="72507534" wp14:editId="6A44106A">
                <wp:simplePos x="0" y="0"/>
                <wp:positionH relativeFrom="margin">
                  <wp:align>left</wp:align>
                </wp:positionH>
                <wp:positionV relativeFrom="margin">
                  <wp:posOffset>-847725</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4"/>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p>
        <w:p w14:paraId="36171A1D" w14:textId="77777777" w:rsidR="00210BE8" w:rsidRPr="00C279D9" w:rsidRDefault="00210BE8" w:rsidP="00210BE8">
          <w:pPr>
            <w:pStyle w:val="Heading1"/>
            <w:rPr>
              <w:rStyle w:val="Heading1Char"/>
              <w:bCs/>
            </w:rPr>
          </w:pPr>
          <w:bookmarkStart w:id="0" w:name="_Toc95830541"/>
          <w:bookmarkStart w:id="1" w:name="_Toc95899245"/>
          <w:bookmarkStart w:id="2" w:name="_Toc95899327"/>
          <w:r>
            <w:t>Tourism Investment Monitor</w:t>
          </w:r>
          <w:bookmarkEnd w:id="0"/>
          <w:bookmarkEnd w:id="1"/>
          <w:bookmarkEnd w:id="2"/>
        </w:p>
        <w:p w14:paraId="2F519ECB" w14:textId="77777777" w:rsidR="00210BE8" w:rsidRPr="00D464A7" w:rsidRDefault="00210BE8" w:rsidP="00210BE8">
          <w:pPr>
            <w:pStyle w:val="Heading2"/>
            <w:rPr>
              <w:b w:val="0"/>
              <w:bCs/>
              <w:color w:val="7A4282" w:themeColor="accent1"/>
              <w:sz w:val="32"/>
              <w:szCs w:val="28"/>
            </w:rPr>
          </w:pPr>
          <w:bookmarkStart w:id="3" w:name="_Toc95830542"/>
          <w:bookmarkStart w:id="4" w:name="_Toc95899246"/>
          <w:bookmarkStart w:id="5" w:name="_Toc95899328"/>
          <w:r w:rsidRPr="00D464A7">
            <w:rPr>
              <w:b w:val="0"/>
              <w:bCs/>
              <w:color w:val="7A4282" w:themeColor="accent1"/>
              <w:sz w:val="32"/>
              <w:szCs w:val="28"/>
            </w:rPr>
            <w:t>2020-21</w:t>
          </w:r>
          <w:bookmarkEnd w:id="3"/>
          <w:bookmarkEnd w:id="4"/>
          <w:bookmarkEnd w:id="5"/>
        </w:p>
        <w:p w14:paraId="6945A238" w14:textId="77777777" w:rsidR="00210BE8" w:rsidRDefault="00210BE8" w:rsidP="00210BE8">
          <w:pPr>
            <w:rPr>
              <w:lang w:eastAsia="zh-CN"/>
            </w:rPr>
          </w:pPr>
        </w:p>
        <w:p w14:paraId="2F6D1B55" w14:textId="77777777" w:rsidR="00210BE8" w:rsidRDefault="00210BE8" w:rsidP="00210BE8">
          <w:pPr>
            <w:rPr>
              <w:lang w:eastAsia="zh-CN"/>
            </w:rPr>
          </w:pPr>
        </w:p>
        <w:p w14:paraId="07BE4F51" w14:textId="77777777" w:rsidR="00210BE8" w:rsidRDefault="00210BE8" w:rsidP="00210BE8">
          <w:pPr>
            <w:rPr>
              <w:lang w:eastAsia="zh-CN"/>
            </w:rPr>
          </w:pPr>
        </w:p>
        <w:p w14:paraId="2AF59C30" w14:textId="77777777" w:rsidR="00210BE8" w:rsidRDefault="00210BE8" w:rsidP="00210BE8">
          <w:pPr>
            <w:rPr>
              <w:lang w:eastAsia="zh-CN"/>
            </w:rPr>
          </w:pPr>
        </w:p>
        <w:p w14:paraId="2B759509" w14:textId="77777777" w:rsidR="00210BE8" w:rsidRDefault="00210BE8" w:rsidP="00210BE8">
          <w:pPr>
            <w:rPr>
              <w:lang w:eastAsia="zh-CN"/>
            </w:rPr>
          </w:pPr>
        </w:p>
        <w:p w14:paraId="58E34B91" w14:textId="77777777" w:rsidR="00210BE8" w:rsidRDefault="00210BE8" w:rsidP="00210BE8">
          <w:pPr>
            <w:rPr>
              <w:lang w:eastAsia="zh-CN"/>
            </w:rPr>
          </w:pPr>
        </w:p>
        <w:p w14:paraId="22D6D697" w14:textId="77777777" w:rsidR="00210BE8" w:rsidRDefault="00210BE8" w:rsidP="00210BE8">
          <w:r>
            <w:t xml:space="preserve">Tourism Research Australia </w:t>
          </w:r>
        </w:p>
        <w:p w14:paraId="26F31B53" w14:textId="77777777" w:rsidR="00210BE8" w:rsidRDefault="00210BE8" w:rsidP="00210BE8">
          <w:r>
            <w:t xml:space="preserve">Australian Trade and Investment Commission (Austrade) </w:t>
          </w:r>
        </w:p>
        <w:p w14:paraId="576C0908" w14:textId="77777777" w:rsidR="00210BE8" w:rsidRDefault="00210BE8" w:rsidP="00210BE8">
          <w:r>
            <w:t xml:space="preserve">Email: </w:t>
          </w:r>
          <w:hyperlink r:id="rId15" w:history="1">
            <w:r w:rsidRPr="003E4536">
              <w:rPr>
                <w:rStyle w:val="Hyperlink"/>
              </w:rPr>
              <w:t>tourism.research@tra.gov.au</w:t>
            </w:r>
          </w:hyperlink>
          <w:r>
            <w:t xml:space="preserve"> </w:t>
          </w:r>
        </w:p>
        <w:p w14:paraId="66A3557D" w14:textId="77777777" w:rsidR="00210BE8" w:rsidRDefault="00210BE8" w:rsidP="00210BE8">
          <w:r>
            <w:t xml:space="preserve">Web: </w:t>
          </w:r>
          <w:hyperlink r:id="rId16" w:history="1">
            <w:r w:rsidRPr="003E4536">
              <w:rPr>
                <w:rStyle w:val="Hyperlink"/>
              </w:rPr>
              <w:t>www.tra.gov.au</w:t>
            </w:r>
          </w:hyperlink>
          <w:r>
            <w:t xml:space="preserve"> </w:t>
          </w:r>
        </w:p>
        <w:p w14:paraId="23139798" w14:textId="77777777" w:rsidR="00210BE8" w:rsidRDefault="00210BE8" w:rsidP="00210BE8">
          <w:r>
            <w:t xml:space="preserve">Publication date: March 2022 </w:t>
          </w:r>
        </w:p>
        <w:p w14:paraId="41AB6D5F" w14:textId="77777777" w:rsidR="00210BE8" w:rsidRDefault="00210BE8" w:rsidP="00210BE8">
          <w:pPr>
            <w:rPr>
              <w:lang w:eastAsia="zh-CN"/>
            </w:rPr>
          </w:pPr>
        </w:p>
        <w:p w14:paraId="688FB677" w14:textId="77777777" w:rsidR="00210BE8" w:rsidRPr="00C212D4" w:rsidRDefault="00210BE8" w:rsidP="00210BE8">
          <w:pPr>
            <w:rPr>
              <w:lang w:eastAsia="zh-CN"/>
            </w:rPr>
          </w:pPr>
        </w:p>
        <w:p w14:paraId="6C57F514" w14:textId="77777777" w:rsidR="00210BE8" w:rsidRDefault="00210BE8" w:rsidP="00210BE8"/>
        <w:p w14:paraId="0561F828" w14:textId="77777777" w:rsidR="00210BE8" w:rsidRPr="00EB16F6" w:rsidRDefault="00210BE8" w:rsidP="00210BE8">
          <w:pPr>
            <w:spacing w:line="240" w:lineRule="auto"/>
            <w:rPr>
              <w:sz w:val="16"/>
              <w:szCs w:val="16"/>
            </w:rPr>
          </w:pPr>
          <w:r w:rsidRPr="00EB16F6">
            <w:rPr>
              <w:sz w:val="16"/>
              <w:szCs w:val="16"/>
            </w:rPr>
            <w:t xml:space="preserve">This work should be attributed as </w:t>
          </w:r>
          <w:r w:rsidRPr="00EB16F6">
            <w:rPr>
              <w:i/>
              <w:iCs/>
              <w:sz w:val="16"/>
              <w:szCs w:val="16"/>
            </w:rPr>
            <w:t xml:space="preserve">Tourism </w:t>
          </w:r>
          <w:r>
            <w:rPr>
              <w:i/>
              <w:iCs/>
              <w:sz w:val="16"/>
              <w:szCs w:val="16"/>
            </w:rPr>
            <w:t xml:space="preserve">Investment Monitor </w:t>
          </w:r>
          <w:r w:rsidRPr="00EB16F6">
            <w:rPr>
              <w:i/>
              <w:iCs/>
              <w:sz w:val="16"/>
              <w:szCs w:val="16"/>
            </w:rPr>
            <w:t>202</w:t>
          </w:r>
          <w:r>
            <w:rPr>
              <w:i/>
              <w:iCs/>
              <w:sz w:val="16"/>
              <w:szCs w:val="16"/>
            </w:rPr>
            <w:t>0</w:t>
          </w:r>
          <w:r w:rsidRPr="00EB16F6">
            <w:rPr>
              <w:i/>
              <w:iCs/>
              <w:sz w:val="16"/>
              <w:szCs w:val="16"/>
            </w:rPr>
            <w:t>-2</w:t>
          </w:r>
          <w:r>
            <w:rPr>
              <w:i/>
              <w:iCs/>
              <w:sz w:val="16"/>
              <w:szCs w:val="16"/>
            </w:rPr>
            <w:t>1</w:t>
          </w:r>
          <w:r w:rsidRPr="00EB16F6">
            <w:rPr>
              <w:sz w:val="16"/>
              <w:szCs w:val="16"/>
            </w:rPr>
            <w:t xml:space="preserve">, Tourism Research Australia, Austrade, Canberra. </w:t>
          </w:r>
        </w:p>
        <w:p w14:paraId="1A79BBA0" w14:textId="32712382" w:rsidR="00210BE8" w:rsidRPr="00EB16F6" w:rsidRDefault="00210BE8" w:rsidP="00210BE8">
          <w:pPr>
            <w:pStyle w:val="Default"/>
            <w:rPr>
              <w:sz w:val="16"/>
              <w:szCs w:val="16"/>
            </w:rPr>
          </w:pPr>
          <w:r w:rsidRPr="00EB16F6">
            <w:rPr>
              <w:sz w:val="16"/>
              <w:szCs w:val="16"/>
            </w:rPr>
            <w:t xml:space="preserve">This report is available at </w:t>
          </w:r>
          <w:hyperlink r:id="rId17" w:history="1">
            <w:r w:rsidR="00C85847">
              <w:rPr>
                <w:rStyle w:val="Hyperlink"/>
                <w:sz w:val="16"/>
                <w:szCs w:val="16"/>
              </w:rPr>
              <w:t>http://www.tra.gov.au</w:t>
            </w:r>
          </w:hyperlink>
          <w:r>
            <w:rPr>
              <w:sz w:val="16"/>
              <w:szCs w:val="16"/>
            </w:rPr>
            <w:t xml:space="preserve"> </w:t>
          </w:r>
        </w:p>
        <w:p w14:paraId="4B1F993B" w14:textId="77777777" w:rsidR="00210BE8" w:rsidRPr="00EB16F6" w:rsidRDefault="00210BE8" w:rsidP="00210BE8">
          <w:pPr>
            <w:spacing w:line="240" w:lineRule="auto"/>
            <w:rPr>
              <w:sz w:val="16"/>
              <w:szCs w:val="16"/>
            </w:rPr>
          </w:pPr>
          <w:r>
            <w:rPr>
              <w:sz w:val="16"/>
              <w:szCs w:val="16"/>
            </w:rPr>
            <w:t>Further e</w:t>
          </w:r>
          <w:r w:rsidRPr="00EB16F6">
            <w:rPr>
              <w:sz w:val="16"/>
              <w:szCs w:val="16"/>
            </w:rPr>
            <w:t xml:space="preserve">nquiries are welcome at </w:t>
          </w:r>
          <w:hyperlink r:id="rId18" w:history="1">
            <w:r w:rsidRPr="00EB16F6">
              <w:rPr>
                <w:rStyle w:val="Hyperlink"/>
                <w:sz w:val="16"/>
                <w:szCs w:val="16"/>
              </w:rPr>
              <w:t>tourism.research@tra.gov.au</w:t>
            </w:r>
          </w:hyperlink>
          <w:r w:rsidRPr="00EB16F6">
            <w:rPr>
              <w:sz w:val="16"/>
              <w:szCs w:val="16"/>
            </w:rPr>
            <w:t xml:space="preserve"> </w:t>
          </w:r>
        </w:p>
        <w:p w14:paraId="16463771" w14:textId="77777777" w:rsidR="00210BE8" w:rsidRDefault="00210BE8" w:rsidP="00210BE8">
          <w:pPr>
            <w:spacing w:before="0" w:after="160" w:line="259" w:lineRule="auto"/>
            <w:rPr>
              <w:bCs/>
              <w:color w:val="2E1A47" w:themeColor="text2"/>
              <w:sz w:val="32"/>
              <w:szCs w:val="32"/>
            </w:rPr>
          </w:pPr>
          <w:r>
            <w:br w:type="page"/>
          </w:r>
        </w:p>
        <w:p w14:paraId="79AA6A94" w14:textId="77777777" w:rsidR="00210BE8" w:rsidRPr="00D464A7" w:rsidRDefault="00210BE8" w:rsidP="00210BE8">
          <w:pPr>
            <w:pStyle w:val="Heading2"/>
            <w:rPr>
              <w:b w:val="0"/>
              <w:bCs/>
              <w:color w:val="7A4282" w:themeColor="accent1"/>
              <w:sz w:val="32"/>
              <w:szCs w:val="28"/>
            </w:rPr>
          </w:pPr>
          <w:bookmarkStart w:id="6" w:name="_Toc95899247"/>
          <w:bookmarkStart w:id="7" w:name="_Toc95899329"/>
          <w:r w:rsidRPr="00D464A7">
            <w:rPr>
              <w:b w:val="0"/>
              <w:bCs/>
              <w:color w:val="7A4282" w:themeColor="accent1"/>
              <w:sz w:val="32"/>
              <w:szCs w:val="28"/>
            </w:rPr>
            <w:lastRenderedPageBreak/>
            <w:t>Contents</w:t>
          </w:r>
          <w:bookmarkEnd w:id="6"/>
          <w:bookmarkEnd w:id="7"/>
        </w:p>
        <w:p w14:paraId="19C79DD7" w14:textId="77777777" w:rsidR="00210BE8" w:rsidRDefault="00210BE8" w:rsidP="00210BE8">
          <w:pPr>
            <w:pStyle w:val="TOC1"/>
            <w:tabs>
              <w:tab w:val="right" w:leader="dot" w:pos="9958"/>
            </w:tabs>
            <w:rPr>
              <w:rFonts w:asciiTheme="minorHAnsi" w:eastAsiaTheme="minorEastAsia" w:hAnsiTheme="minorHAnsi"/>
              <w:noProof/>
              <w:color w:val="auto"/>
              <w:sz w:val="22"/>
              <w:szCs w:val="22"/>
              <w:lang w:eastAsia="en-AU"/>
            </w:rPr>
          </w:pPr>
          <w:r>
            <w:fldChar w:fldCharType="begin"/>
          </w:r>
          <w:r>
            <w:instrText xml:space="preserve"> TOC \o "1-3" \h \z \u </w:instrText>
          </w:r>
          <w:r>
            <w:fldChar w:fldCharType="separate"/>
          </w:r>
        </w:p>
        <w:p w14:paraId="19FEEE24" w14:textId="3F698A48"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30" w:history="1">
            <w:r w:rsidR="00210BE8" w:rsidRPr="00602BB6">
              <w:rPr>
                <w:rStyle w:val="Hyperlink"/>
                <w:noProof/>
              </w:rPr>
              <w:t>About this report</w:t>
            </w:r>
            <w:r w:rsidR="00210BE8">
              <w:rPr>
                <w:noProof/>
                <w:webHidden/>
              </w:rPr>
              <w:tab/>
            </w:r>
            <w:r w:rsidR="00210BE8">
              <w:rPr>
                <w:noProof/>
                <w:webHidden/>
              </w:rPr>
              <w:fldChar w:fldCharType="begin"/>
            </w:r>
            <w:r w:rsidR="00210BE8">
              <w:rPr>
                <w:noProof/>
                <w:webHidden/>
              </w:rPr>
              <w:instrText xml:space="preserve"> PAGEREF _Toc95899330 \h </w:instrText>
            </w:r>
            <w:r w:rsidR="00210BE8">
              <w:rPr>
                <w:noProof/>
                <w:webHidden/>
              </w:rPr>
            </w:r>
            <w:r w:rsidR="00210BE8">
              <w:rPr>
                <w:noProof/>
                <w:webHidden/>
              </w:rPr>
              <w:fldChar w:fldCharType="separate"/>
            </w:r>
            <w:r w:rsidR="00765897">
              <w:rPr>
                <w:noProof/>
                <w:webHidden/>
              </w:rPr>
              <w:t>2</w:t>
            </w:r>
            <w:r w:rsidR="00210BE8">
              <w:rPr>
                <w:noProof/>
                <w:webHidden/>
              </w:rPr>
              <w:fldChar w:fldCharType="end"/>
            </w:r>
          </w:hyperlink>
        </w:p>
        <w:p w14:paraId="640294EC" w14:textId="0F5A9681"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31" w:history="1">
            <w:r w:rsidR="00210BE8" w:rsidRPr="00602BB6">
              <w:rPr>
                <w:rStyle w:val="Hyperlink"/>
                <w:noProof/>
              </w:rPr>
              <w:t>The tourism investment pipeline</w:t>
            </w:r>
            <w:r w:rsidR="00210BE8">
              <w:rPr>
                <w:noProof/>
                <w:webHidden/>
              </w:rPr>
              <w:tab/>
            </w:r>
            <w:r w:rsidR="00210BE8">
              <w:rPr>
                <w:noProof/>
                <w:webHidden/>
              </w:rPr>
              <w:fldChar w:fldCharType="begin"/>
            </w:r>
            <w:r w:rsidR="00210BE8">
              <w:rPr>
                <w:noProof/>
                <w:webHidden/>
              </w:rPr>
              <w:instrText xml:space="preserve"> PAGEREF _Toc95899331 \h </w:instrText>
            </w:r>
            <w:r w:rsidR="00210BE8">
              <w:rPr>
                <w:noProof/>
                <w:webHidden/>
              </w:rPr>
            </w:r>
            <w:r w:rsidR="00210BE8">
              <w:rPr>
                <w:noProof/>
                <w:webHidden/>
              </w:rPr>
              <w:fldChar w:fldCharType="separate"/>
            </w:r>
            <w:r w:rsidR="00765897">
              <w:rPr>
                <w:noProof/>
                <w:webHidden/>
              </w:rPr>
              <w:t>3</w:t>
            </w:r>
            <w:r w:rsidR="00210BE8">
              <w:rPr>
                <w:noProof/>
                <w:webHidden/>
              </w:rPr>
              <w:fldChar w:fldCharType="end"/>
            </w:r>
          </w:hyperlink>
        </w:p>
        <w:p w14:paraId="52180444" w14:textId="3C56F42D"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37" w:history="1">
            <w:r w:rsidR="00210BE8" w:rsidRPr="00602BB6">
              <w:rPr>
                <w:rStyle w:val="Hyperlink"/>
                <w:noProof/>
              </w:rPr>
              <w:t>State and territory breakdown of the pipeline</w:t>
            </w:r>
            <w:r w:rsidR="00210BE8">
              <w:rPr>
                <w:noProof/>
                <w:webHidden/>
              </w:rPr>
              <w:tab/>
            </w:r>
            <w:r w:rsidR="00210BE8">
              <w:rPr>
                <w:noProof/>
                <w:webHidden/>
              </w:rPr>
              <w:fldChar w:fldCharType="begin"/>
            </w:r>
            <w:r w:rsidR="00210BE8">
              <w:rPr>
                <w:noProof/>
                <w:webHidden/>
              </w:rPr>
              <w:instrText xml:space="preserve"> PAGEREF _Toc95899337 \h </w:instrText>
            </w:r>
            <w:r w:rsidR="00210BE8">
              <w:rPr>
                <w:noProof/>
                <w:webHidden/>
              </w:rPr>
            </w:r>
            <w:r w:rsidR="00210BE8">
              <w:rPr>
                <w:noProof/>
                <w:webHidden/>
              </w:rPr>
              <w:fldChar w:fldCharType="separate"/>
            </w:r>
            <w:r w:rsidR="00765897">
              <w:rPr>
                <w:noProof/>
                <w:webHidden/>
              </w:rPr>
              <w:t>6</w:t>
            </w:r>
            <w:r w:rsidR="00210BE8">
              <w:rPr>
                <w:noProof/>
                <w:webHidden/>
              </w:rPr>
              <w:fldChar w:fldCharType="end"/>
            </w:r>
          </w:hyperlink>
        </w:p>
        <w:p w14:paraId="7E687912" w14:textId="0B180B94"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46" w:history="1">
            <w:r w:rsidR="00210BE8" w:rsidRPr="00602BB6">
              <w:rPr>
                <w:rStyle w:val="Hyperlink"/>
                <w:noProof/>
              </w:rPr>
              <w:t>Aviation results</w:t>
            </w:r>
            <w:r w:rsidR="00210BE8">
              <w:rPr>
                <w:noProof/>
                <w:webHidden/>
              </w:rPr>
              <w:tab/>
            </w:r>
            <w:r w:rsidR="00210BE8">
              <w:rPr>
                <w:noProof/>
                <w:webHidden/>
              </w:rPr>
              <w:fldChar w:fldCharType="begin"/>
            </w:r>
            <w:r w:rsidR="00210BE8">
              <w:rPr>
                <w:noProof/>
                <w:webHidden/>
              </w:rPr>
              <w:instrText xml:space="preserve"> PAGEREF _Toc95899346 \h </w:instrText>
            </w:r>
            <w:r w:rsidR="00210BE8">
              <w:rPr>
                <w:noProof/>
                <w:webHidden/>
              </w:rPr>
            </w:r>
            <w:r w:rsidR="00210BE8">
              <w:rPr>
                <w:noProof/>
                <w:webHidden/>
              </w:rPr>
              <w:fldChar w:fldCharType="separate"/>
            </w:r>
            <w:r w:rsidR="00765897">
              <w:rPr>
                <w:noProof/>
                <w:webHidden/>
              </w:rPr>
              <w:t>9</w:t>
            </w:r>
            <w:r w:rsidR="00210BE8">
              <w:rPr>
                <w:noProof/>
                <w:webHidden/>
              </w:rPr>
              <w:fldChar w:fldCharType="end"/>
            </w:r>
          </w:hyperlink>
        </w:p>
        <w:p w14:paraId="08F9959D" w14:textId="0D0AF871"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49" w:history="1">
            <w:r w:rsidR="00210BE8" w:rsidRPr="00602BB6">
              <w:rPr>
                <w:rStyle w:val="Hyperlink"/>
                <w:noProof/>
              </w:rPr>
              <w:t>Arts, recreation and business services results</w:t>
            </w:r>
            <w:r w:rsidR="00210BE8">
              <w:rPr>
                <w:noProof/>
                <w:webHidden/>
              </w:rPr>
              <w:tab/>
            </w:r>
            <w:r w:rsidR="00210BE8">
              <w:rPr>
                <w:noProof/>
                <w:webHidden/>
              </w:rPr>
              <w:fldChar w:fldCharType="begin"/>
            </w:r>
            <w:r w:rsidR="00210BE8">
              <w:rPr>
                <w:noProof/>
                <w:webHidden/>
              </w:rPr>
              <w:instrText xml:space="preserve"> PAGEREF _Toc95899349 \h </w:instrText>
            </w:r>
            <w:r w:rsidR="00210BE8">
              <w:rPr>
                <w:noProof/>
                <w:webHidden/>
              </w:rPr>
            </w:r>
            <w:r w:rsidR="00210BE8">
              <w:rPr>
                <w:noProof/>
                <w:webHidden/>
              </w:rPr>
              <w:fldChar w:fldCharType="separate"/>
            </w:r>
            <w:r w:rsidR="00765897">
              <w:rPr>
                <w:noProof/>
                <w:webHidden/>
              </w:rPr>
              <w:t>11</w:t>
            </w:r>
            <w:r w:rsidR="00210BE8">
              <w:rPr>
                <w:noProof/>
                <w:webHidden/>
              </w:rPr>
              <w:fldChar w:fldCharType="end"/>
            </w:r>
          </w:hyperlink>
        </w:p>
        <w:p w14:paraId="69ED5511" w14:textId="688DE746"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54" w:history="1">
            <w:r w:rsidR="00210BE8" w:rsidRPr="00602BB6">
              <w:rPr>
                <w:rStyle w:val="Hyperlink"/>
                <w:noProof/>
              </w:rPr>
              <w:t>Accommodation results (stand</w:t>
            </w:r>
            <w:r w:rsidR="0057619A">
              <w:rPr>
                <w:rStyle w:val="Hyperlink"/>
                <w:noProof/>
              </w:rPr>
              <w:t>-</w:t>
            </w:r>
            <w:r w:rsidR="00210BE8" w:rsidRPr="00602BB6">
              <w:rPr>
                <w:rStyle w:val="Hyperlink"/>
                <w:noProof/>
              </w:rPr>
              <w:t>alone)</w:t>
            </w:r>
            <w:r w:rsidR="00210BE8">
              <w:rPr>
                <w:noProof/>
                <w:webHidden/>
              </w:rPr>
              <w:tab/>
            </w:r>
            <w:r w:rsidR="00210BE8">
              <w:rPr>
                <w:noProof/>
                <w:webHidden/>
              </w:rPr>
              <w:fldChar w:fldCharType="begin"/>
            </w:r>
            <w:r w:rsidR="00210BE8">
              <w:rPr>
                <w:noProof/>
                <w:webHidden/>
              </w:rPr>
              <w:instrText xml:space="preserve"> PAGEREF _Toc95899354 \h </w:instrText>
            </w:r>
            <w:r w:rsidR="00210BE8">
              <w:rPr>
                <w:noProof/>
                <w:webHidden/>
              </w:rPr>
            </w:r>
            <w:r w:rsidR="00210BE8">
              <w:rPr>
                <w:noProof/>
                <w:webHidden/>
              </w:rPr>
              <w:fldChar w:fldCharType="separate"/>
            </w:r>
            <w:r w:rsidR="00765897">
              <w:rPr>
                <w:noProof/>
                <w:webHidden/>
              </w:rPr>
              <w:t>14</w:t>
            </w:r>
            <w:r w:rsidR="00210BE8">
              <w:rPr>
                <w:noProof/>
                <w:webHidden/>
              </w:rPr>
              <w:fldChar w:fldCharType="end"/>
            </w:r>
          </w:hyperlink>
        </w:p>
        <w:p w14:paraId="50E54D62" w14:textId="4525097B"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58" w:history="1">
            <w:r w:rsidR="00210BE8" w:rsidRPr="00602BB6">
              <w:rPr>
                <w:rStyle w:val="Hyperlink"/>
                <w:noProof/>
              </w:rPr>
              <w:t>Mixed-use accommodation results</w:t>
            </w:r>
            <w:r w:rsidR="00210BE8">
              <w:rPr>
                <w:noProof/>
                <w:webHidden/>
              </w:rPr>
              <w:tab/>
            </w:r>
            <w:r w:rsidR="00210BE8">
              <w:rPr>
                <w:noProof/>
                <w:webHidden/>
              </w:rPr>
              <w:fldChar w:fldCharType="begin"/>
            </w:r>
            <w:r w:rsidR="00210BE8">
              <w:rPr>
                <w:noProof/>
                <w:webHidden/>
              </w:rPr>
              <w:instrText xml:space="preserve"> PAGEREF _Toc95899358 \h </w:instrText>
            </w:r>
            <w:r w:rsidR="00210BE8">
              <w:rPr>
                <w:noProof/>
                <w:webHidden/>
              </w:rPr>
            </w:r>
            <w:r w:rsidR="00210BE8">
              <w:rPr>
                <w:noProof/>
                <w:webHidden/>
              </w:rPr>
              <w:fldChar w:fldCharType="separate"/>
            </w:r>
            <w:r w:rsidR="00765897">
              <w:rPr>
                <w:noProof/>
                <w:webHidden/>
              </w:rPr>
              <w:t>17</w:t>
            </w:r>
            <w:r w:rsidR="00210BE8">
              <w:rPr>
                <w:noProof/>
                <w:webHidden/>
              </w:rPr>
              <w:fldChar w:fldCharType="end"/>
            </w:r>
          </w:hyperlink>
        </w:p>
        <w:p w14:paraId="07D68B23" w14:textId="29917D26"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62" w:history="1">
            <w:r w:rsidR="00210BE8" w:rsidRPr="00602BB6">
              <w:rPr>
                <w:rStyle w:val="Hyperlink"/>
                <w:noProof/>
              </w:rPr>
              <w:t>Methodology</w:t>
            </w:r>
            <w:r w:rsidR="00210BE8">
              <w:rPr>
                <w:noProof/>
                <w:webHidden/>
              </w:rPr>
              <w:tab/>
            </w:r>
            <w:r w:rsidR="00210BE8">
              <w:rPr>
                <w:noProof/>
                <w:webHidden/>
              </w:rPr>
              <w:fldChar w:fldCharType="begin"/>
            </w:r>
            <w:r w:rsidR="00210BE8">
              <w:rPr>
                <w:noProof/>
                <w:webHidden/>
              </w:rPr>
              <w:instrText xml:space="preserve"> PAGEREF _Toc95899362 \h </w:instrText>
            </w:r>
            <w:r w:rsidR="00210BE8">
              <w:rPr>
                <w:noProof/>
                <w:webHidden/>
              </w:rPr>
            </w:r>
            <w:r w:rsidR="00210BE8">
              <w:rPr>
                <w:noProof/>
                <w:webHidden/>
              </w:rPr>
              <w:fldChar w:fldCharType="separate"/>
            </w:r>
            <w:r w:rsidR="00765897">
              <w:rPr>
                <w:noProof/>
                <w:webHidden/>
              </w:rPr>
              <w:t>19</w:t>
            </w:r>
            <w:r w:rsidR="00210BE8">
              <w:rPr>
                <w:noProof/>
                <w:webHidden/>
              </w:rPr>
              <w:fldChar w:fldCharType="end"/>
            </w:r>
          </w:hyperlink>
        </w:p>
        <w:p w14:paraId="4CA46BB8" w14:textId="653E3494" w:rsidR="00210BE8" w:rsidRDefault="00D85051" w:rsidP="00210BE8">
          <w:pPr>
            <w:pStyle w:val="TOC2"/>
            <w:tabs>
              <w:tab w:val="right" w:leader="dot" w:pos="9958"/>
            </w:tabs>
            <w:rPr>
              <w:rFonts w:asciiTheme="minorHAnsi" w:eastAsiaTheme="minorEastAsia" w:hAnsiTheme="minorHAnsi"/>
              <w:noProof/>
              <w:color w:val="auto"/>
              <w:sz w:val="22"/>
              <w:szCs w:val="22"/>
              <w:lang w:eastAsia="en-AU"/>
            </w:rPr>
          </w:pPr>
          <w:hyperlink w:anchor="_Toc95899366" w:history="1">
            <w:r w:rsidR="00210BE8" w:rsidRPr="00602BB6">
              <w:rPr>
                <w:rStyle w:val="Hyperlink"/>
                <w:noProof/>
              </w:rPr>
              <w:t>Glossary</w:t>
            </w:r>
            <w:r w:rsidR="00210BE8">
              <w:rPr>
                <w:noProof/>
                <w:webHidden/>
              </w:rPr>
              <w:tab/>
            </w:r>
            <w:r w:rsidR="00210BE8">
              <w:rPr>
                <w:noProof/>
                <w:webHidden/>
              </w:rPr>
              <w:fldChar w:fldCharType="begin"/>
            </w:r>
            <w:r w:rsidR="00210BE8">
              <w:rPr>
                <w:noProof/>
                <w:webHidden/>
              </w:rPr>
              <w:instrText xml:space="preserve"> PAGEREF _Toc95899366 \h </w:instrText>
            </w:r>
            <w:r w:rsidR="00210BE8">
              <w:rPr>
                <w:noProof/>
                <w:webHidden/>
              </w:rPr>
            </w:r>
            <w:r w:rsidR="00210BE8">
              <w:rPr>
                <w:noProof/>
                <w:webHidden/>
              </w:rPr>
              <w:fldChar w:fldCharType="separate"/>
            </w:r>
            <w:r w:rsidR="00765897">
              <w:rPr>
                <w:noProof/>
                <w:webHidden/>
              </w:rPr>
              <w:t>21</w:t>
            </w:r>
            <w:r w:rsidR="00210BE8">
              <w:rPr>
                <w:noProof/>
                <w:webHidden/>
              </w:rPr>
              <w:fldChar w:fldCharType="end"/>
            </w:r>
          </w:hyperlink>
        </w:p>
        <w:p w14:paraId="5AC55FE9" w14:textId="77777777" w:rsidR="00210BE8" w:rsidRDefault="00210BE8" w:rsidP="00210BE8">
          <w:r>
            <w:fldChar w:fldCharType="end"/>
          </w:r>
        </w:p>
        <w:p w14:paraId="60FD6754" w14:textId="77777777" w:rsidR="00210BE8" w:rsidRDefault="00210BE8" w:rsidP="00210BE8"/>
        <w:p w14:paraId="7471DAC1" w14:textId="77777777" w:rsidR="00210BE8" w:rsidRDefault="00210BE8" w:rsidP="00210BE8"/>
        <w:p w14:paraId="4EE204C4" w14:textId="77777777" w:rsidR="00210BE8" w:rsidRDefault="00210BE8" w:rsidP="00210BE8">
          <w:pPr>
            <w:pStyle w:val="Default"/>
          </w:pPr>
          <w:r>
            <w:rPr>
              <w:b/>
              <w:bCs/>
              <w:sz w:val="16"/>
              <w:szCs w:val="16"/>
            </w:rPr>
            <w:t>Copyright</w:t>
          </w:r>
        </w:p>
        <w:p w14:paraId="4FDDA759" w14:textId="77777777"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Copyright © Commonwealth of Australia 202</w:t>
          </w:r>
          <w:r>
            <w:rPr>
              <w:rFonts w:ascii="Verdana" w:hAnsi="Verdana" w:cs="Verdana"/>
              <w:color w:val="000000"/>
              <w:sz w:val="16"/>
              <w:szCs w:val="16"/>
            </w:rPr>
            <w:t>2</w:t>
          </w:r>
        </w:p>
        <w:p w14:paraId="0569DA80" w14:textId="77777777"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 xml:space="preserve">The material in this document is licensed under a Creative Commons Attribution – 4.0 International licence, </w:t>
          </w:r>
          <w:proofErr w:type="gramStart"/>
          <w:r w:rsidRPr="00EB16F6">
            <w:rPr>
              <w:rFonts w:ascii="Verdana" w:hAnsi="Verdana" w:cs="Verdana"/>
              <w:color w:val="000000"/>
              <w:sz w:val="16"/>
              <w:szCs w:val="16"/>
            </w:rPr>
            <w:t>with the exception of</w:t>
          </w:r>
          <w:proofErr w:type="gramEnd"/>
          <w:r w:rsidRPr="00EB16F6">
            <w:rPr>
              <w:rFonts w:ascii="Verdana" w:hAnsi="Verdana" w:cs="Verdana"/>
              <w:color w:val="000000"/>
              <w:sz w:val="16"/>
              <w:szCs w:val="16"/>
            </w:rPr>
            <w:t xml:space="preserve">: </w:t>
          </w:r>
        </w:p>
        <w:p w14:paraId="48F019D2"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the Commonwealth Coat of Arms </w:t>
          </w:r>
        </w:p>
        <w:p w14:paraId="3E1B6568"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the Australian Trade and Investment Commission’s logo </w:t>
          </w:r>
        </w:p>
        <w:p w14:paraId="3C0E11A3"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any third-party material </w:t>
          </w:r>
        </w:p>
        <w:p w14:paraId="02C75F4E"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any material protected by a trademark </w:t>
          </w:r>
        </w:p>
        <w:p w14:paraId="359FD295" w14:textId="77777777" w:rsidR="00210BE8" w:rsidRPr="00EB16F6" w:rsidRDefault="00210BE8" w:rsidP="00210BE8">
          <w:pPr>
            <w:pStyle w:val="Default"/>
            <w:numPr>
              <w:ilvl w:val="0"/>
              <w:numId w:val="8"/>
            </w:numPr>
            <w:ind w:left="1080" w:hanging="360"/>
            <w:rPr>
              <w:sz w:val="16"/>
              <w:szCs w:val="16"/>
            </w:rPr>
          </w:pPr>
          <w:r w:rsidRPr="00EB16F6">
            <w:rPr>
              <w:sz w:val="16"/>
              <w:szCs w:val="16"/>
            </w:rPr>
            <w:t>any images and photographs.</w:t>
          </w:r>
        </w:p>
        <w:p w14:paraId="4F5E6E27" w14:textId="77777777" w:rsidR="00210BE8" w:rsidRPr="00595005" w:rsidRDefault="00210BE8" w:rsidP="00210BE8">
          <w:pPr>
            <w:rPr>
              <w:rFonts w:cs="Verdana"/>
              <w:color w:val="000000"/>
              <w:sz w:val="16"/>
              <w:szCs w:val="16"/>
            </w:rPr>
          </w:pPr>
          <w:bookmarkStart w:id="8" w:name="_Toc89671613"/>
          <w:bookmarkStart w:id="9" w:name="_Toc95830543"/>
          <w:r w:rsidRPr="00595005">
            <w:rPr>
              <w:rFonts w:cs="Verdana"/>
              <w:color w:val="000000"/>
              <w:sz w:val="16"/>
              <w:szCs w:val="16"/>
            </w:rPr>
            <w:t xml:space="preserve">More information on this CC BY licence is set out at the creative </w:t>
          </w:r>
          <w:proofErr w:type="gramStart"/>
          <w:r w:rsidRPr="00595005">
            <w:rPr>
              <w:rFonts w:cs="Verdana"/>
              <w:color w:val="000000"/>
              <w:sz w:val="16"/>
              <w:szCs w:val="16"/>
            </w:rPr>
            <w:t>commons</w:t>
          </w:r>
          <w:proofErr w:type="gramEnd"/>
          <w:r w:rsidRPr="00595005">
            <w:rPr>
              <w:rFonts w:cs="Verdana"/>
              <w:color w:val="000000"/>
              <w:sz w:val="16"/>
              <w:szCs w:val="16"/>
            </w:rPr>
            <w:t xml:space="preserve"> website: https://creativecommons.org/licenses/by/4.0/legalcode.</w:t>
          </w:r>
          <w:bookmarkEnd w:id="8"/>
          <w:bookmarkEnd w:id="9"/>
        </w:p>
        <w:p w14:paraId="74B4BEB5" w14:textId="77777777" w:rsidR="00210BE8" w:rsidRPr="00EB16F6" w:rsidRDefault="00210BE8" w:rsidP="00210BE8">
          <w:pPr>
            <w:pStyle w:val="Default"/>
            <w:rPr>
              <w:b/>
              <w:bCs/>
              <w:sz w:val="16"/>
              <w:szCs w:val="16"/>
            </w:rPr>
          </w:pPr>
          <w:r w:rsidRPr="00EB16F6">
            <w:rPr>
              <w:b/>
              <w:bCs/>
              <w:sz w:val="16"/>
              <w:szCs w:val="16"/>
            </w:rPr>
            <w:t>Attribution</w:t>
          </w:r>
        </w:p>
        <w:p w14:paraId="55051F36" w14:textId="77777777" w:rsidR="00210BE8" w:rsidRPr="00EB16F6" w:rsidRDefault="00210BE8" w:rsidP="00210BE8">
          <w:pPr>
            <w:pStyle w:val="Default"/>
            <w:rPr>
              <w:rFonts w:asciiTheme="minorHAnsi" w:hAnsiTheme="minorHAnsi" w:cs="AU Sans BETA Text Light"/>
              <w:sz w:val="16"/>
              <w:szCs w:val="16"/>
            </w:rPr>
          </w:pPr>
          <w:r w:rsidRPr="00EB16F6">
            <w:rPr>
              <w:sz w:val="16"/>
              <w:szCs w:val="16"/>
            </w:rPr>
            <w:t>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w:t>
          </w:r>
          <w:r w:rsidRPr="00EB16F6">
            <w:rPr>
              <w:rFonts w:asciiTheme="minorHAnsi" w:hAnsiTheme="minorHAnsi"/>
              <w:sz w:val="16"/>
              <w:szCs w:val="16"/>
            </w:rPr>
            <w:t>:</w:t>
          </w:r>
          <w:r w:rsidRPr="00EB16F6">
            <w:rPr>
              <w:rFonts w:asciiTheme="minorHAnsi" w:hAnsiTheme="minorHAnsi" w:cs="AU Sans BETA Text Light"/>
              <w:sz w:val="16"/>
              <w:szCs w:val="16"/>
            </w:rPr>
            <w:t xml:space="preserve"> </w:t>
          </w:r>
          <w:hyperlink r:id="rId19" w:history="1">
            <w:r w:rsidRPr="00EB16F6">
              <w:rPr>
                <w:rStyle w:val="Hyperlink"/>
                <w:rFonts w:asciiTheme="minorHAnsi" w:hAnsiTheme="minorHAnsi" w:cs="AU Sans BETA Text Light"/>
                <w:sz w:val="16"/>
                <w:szCs w:val="16"/>
              </w:rPr>
              <w:t>advisory@austrade.gov.au</w:t>
            </w:r>
          </w:hyperlink>
          <w:r w:rsidRPr="00EB16F6">
            <w:rPr>
              <w:rFonts w:asciiTheme="minorHAnsi" w:hAnsiTheme="minorHAnsi" w:cs="AU Sans BETA Text Light"/>
              <w:sz w:val="16"/>
              <w:szCs w:val="16"/>
            </w:rPr>
            <w:t>.</w:t>
          </w:r>
        </w:p>
        <w:p w14:paraId="408B4564" w14:textId="77777777" w:rsidR="00210BE8" w:rsidRPr="00EB16F6" w:rsidRDefault="00210BE8" w:rsidP="00210BE8">
          <w:pPr>
            <w:pStyle w:val="Default"/>
            <w:rPr>
              <w:rFonts w:asciiTheme="minorHAnsi" w:hAnsiTheme="minorHAnsi"/>
              <w:b/>
              <w:bCs/>
              <w:sz w:val="16"/>
              <w:szCs w:val="16"/>
            </w:rPr>
          </w:pPr>
        </w:p>
        <w:p w14:paraId="39F1E0F3" w14:textId="77777777" w:rsidR="00210BE8" w:rsidRPr="00EB16F6" w:rsidRDefault="00210BE8" w:rsidP="00210BE8">
          <w:pPr>
            <w:pStyle w:val="Default"/>
            <w:rPr>
              <w:sz w:val="16"/>
              <w:szCs w:val="16"/>
            </w:rPr>
          </w:pPr>
          <w:r w:rsidRPr="00EB16F6">
            <w:rPr>
              <w:b/>
              <w:bCs/>
              <w:sz w:val="16"/>
              <w:szCs w:val="16"/>
            </w:rPr>
            <w:t xml:space="preserve">Use of the Coat of Arms </w:t>
          </w:r>
          <w:r w:rsidRPr="00EB16F6">
            <w:rPr>
              <w:sz w:val="16"/>
              <w:szCs w:val="16"/>
            </w:rPr>
            <w:t xml:space="preserve">The terms under which the Coat of Arms can be used are detailed on the Department of the Prime Minister and Cabinet website at pmc.gov.au/ government/commonwealth-coat-arms. </w:t>
          </w:r>
        </w:p>
        <w:p w14:paraId="0F4F9908" w14:textId="77777777" w:rsidR="00210BE8" w:rsidRDefault="00210BE8" w:rsidP="00210BE8">
          <w:pPr>
            <w:pStyle w:val="Default"/>
            <w:rPr>
              <w:sz w:val="20"/>
              <w:szCs w:val="20"/>
            </w:rPr>
          </w:pPr>
        </w:p>
        <w:p w14:paraId="7BAE77B5" w14:textId="77777777" w:rsidR="00210BE8" w:rsidRPr="00EB16F6" w:rsidRDefault="00210BE8" w:rsidP="00210BE8">
          <w:pPr>
            <w:pStyle w:val="Pa2"/>
            <w:spacing w:after="40"/>
            <w:rPr>
              <w:rFonts w:ascii="Verdana" w:hAnsi="Verdana" w:cs="Verdana"/>
              <w:b/>
              <w:bCs/>
              <w:color w:val="000000"/>
              <w:sz w:val="16"/>
              <w:szCs w:val="16"/>
            </w:rPr>
          </w:pPr>
          <w:r w:rsidRPr="00EB16F6">
            <w:rPr>
              <w:rFonts w:ascii="Verdana" w:hAnsi="Verdana" w:cs="Verdana"/>
              <w:b/>
              <w:bCs/>
              <w:color w:val="000000"/>
              <w:sz w:val="16"/>
              <w:szCs w:val="16"/>
            </w:rPr>
            <w:t>Disclaimer</w:t>
          </w:r>
        </w:p>
        <w:p w14:paraId="6F33569C" w14:textId="77777777"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w:t>
          </w:r>
        </w:p>
        <w:p w14:paraId="1F8E8241" w14:textId="77777777"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While care has been taken to ensure the information in this report is accurate, the Commonwealth does not accept any liability for any loss arising from reliance on the information, or from any error or omission, in the report.</w:t>
          </w:r>
        </w:p>
        <w:p w14:paraId="3927BA86" w14:textId="77777777" w:rsidR="00210BE8" w:rsidRPr="00EB16F6" w:rsidRDefault="00210BE8" w:rsidP="00210BE8">
          <w:pPr>
            <w:pStyle w:val="Default"/>
            <w:rPr>
              <w:bCs/>
              <w:sz w:val="16"/>
              <w:szCs w:val="16"/>
            </w:rPr>
          </w:pPr>
          <w:r w:rsidRPr="00EB16F6">
            <w:rPr>
              <w:bCs/>
              <w:sz w:val="16"/>
              <w:szCs w:val="16"/>
            </w:rPr>
            <w:t xml:space="preserve">Any person relying on this information does so at their own risk. The Commonwealth recommends the person exercise their own skill and care, including obtaining professional advice, in relation to their use of the information for their purposes. The Commonwealth does not endorse any company or activity referred to in the </w:t>
          </w:r>
          <w:proofErr w:type="gramStart"/>
          <w:r w:rsidRPr="00EB16F6">
            <w:rPr>
              <w:bCs/>
              <w:sz w:val="16"/>
              <w:szCs w:val="16"/>
            </w:rPr>
            <w:t>report, and</w:t>
          </w:r>
          <w:proofErr w:type="gramEnd"/>
          <w:r w:rsidRPr="00EB16F6">
            <w:rPr>
              <w:bCs/>
              <w:sz w:val="16"/>
              <w:szCs w:val="16"/>
            </w:rPr>
            <w:t xml:space="preserve"> does not accept responsibility for any losses suffered in connection with any company or its activities.</w:t>
          </w:r>
        </w:p>
        <w:p w14:paraId="357325FD" w14:textId="77777777" w:rsidR="00210BE8" w:rsidRPr="00D464A7" w:rsidRDefault="00210BE8" w:rsidP="00210BE8">
          <w:pPr>
            <w:pStyle w:val="Heading2"/>
            <w:rPr>
              <w:b w:val="0"/>
              <w:bCs/>
              <w:color w:val="7A4282" w:themeColor="accent1"/>
              <w:sz w:val="32"/>
              <w:szCs w:val="28"/>
            </w:rPr>
          </w:pPr>
          <w:bookmarkStart w:id="10" w:name="_Toc95805090"/>
          <w:bookmarkStart w:id="11" w:name="_Toc95899330"/>
          <w:bookmarkStart w:id="12" w:name="_Hlk95993184"/>
          <w:r w:rsidRPr="00D464A7">
            <w:rPr>
              <w:b w:val="0"/>
              <w:bCs/>
              <w:color w:val="7A4282" w:themeColor="accent1"/>
              <w:sz w:val="32"/>
              <w:szCs w:val="28"/>
            </w:rPr>
            <w:lastRenderedPageBreak/>
            <w:t>About this report</w:t>
          </w:r>
          <w:bookmarkEnd w:id="10"/>
          <w:bookmarkEnd w:id="11"/>
        </w:p>
        <w:p w14:paraId="1D85331A" w14:textId="2EAB7EF3" w:rsidR="00210BE8" w:rsidRDefault="00210BE8" w:rsidP="00210BE8">
          <w:bookmarkStart w:id="13" w:name="_Hlk96952905"/>
          <w:r>
            <w:t>Tourism Research Australia (TRA) compiles the Tourism Investment Monitor annually</w:t>
          </w:r>
          <w:r w:rsidR="0057619A">
            <w:t xml:space="preserve"> to </w:t>
          </w:r>
          <w:bookmarkEnd w:id="13"/>
          <w:r>
            <w:t xml:space="preserve">provide information on aspects of the industry’s performance. </w:t>
          </w:r>
          <w:bookmarkStart w:id="14" w:name="_Hlk96952921"/>
          <w:r w:rsidR="00292C9B">
            <w:t xml:space="preserve">The report is </w:t>
          </w:r>
          <w:r>
            <w:t xml:space="preserve">a point-in-time measure of investment (planned and </w:t>
          </w:r>
          <w:r w:rsidR="002F50CF">
            <w:t>committed</w:t>
          </w:r>
          <w:r>
            <w:t>) in Australia's tourism industry</w:t>
          </w:r>
          <w:r w:rsidR="00292C9B">
            <w:t xml:space="preserve">. </w:t>
          </w:r>
          <w:bookmarkEnd w:id="14"/>
          <w:r w:rsidR="00292C9B">
            <w:t xml:space="preserve">It </w:t>
          </w:r>
          <w:r>
            <w:t>reports on both the stock, and the progress, of projects at each stage of development. Investment projects are classified as either proposed, in the planning stage, or under construction.</w:t>
          </w:r>
        </w:p>
        <w:p w14:paraId="1A063E45" w14:textId="3BFC8C81" w:rsidR="00210BE8" w:rsidRDefault="00210BE8" w:rsidP="00210BE8">
          <w:r>
            <w:t xml:space="preserve">The 2020–21 tourism investment pipeline represents all known </w:t>
          </w:r>
          <w:r w:rsidR="00292C9B">
            <w:t xml:space="preserve">major </w:t>
          </w:r>
          <w:r>
            <w:t>tourism projects</w:t>
          </w:r>
          <w:r w:rsidR="00292C9B">
            <w:t xml:space="preserve">. </w:t>
          </w:r>
          <w:r w:rsidR="00817F5B">
            <w:t>These</w:t>
          </w:r>
          <w:r w:rsidR="00292C9B">
            <w:t xml:space="preserve"> projects</w:t>
          </w:r>
          <w:r>
            <w:t xml:space="preserve"> </w:t>
          </w:r>
          <w:r w:rsidR="00817F5B">
            <w:t>have</w:t>
          </w:r>
          <w:r>
            <w:t xml:space="preserve"> an estimated financial value of $20 million or more. </w:t>
          </w:r>
          <w:r>
            <w:rPr>
              <w:rFonts w:eastAsia="Times New Roman"/>
            </w:rPr>
            <w:t xml:space="preserve">Changes over time in the number and type of investment projects can be an indicator of confidence within the industry. </w:t>
          </w:r>
          <w:r w:rsidR="00817F5B">
            <w:rPr>
              <w:rFonts w:eastAsia="Times New Roman"/>
            </w:rPr>
            <w:t>TRA</w:t>
          </w:r>
          <w:r>
            <w:rPr>
              <w:rFonts w:eastAsia="Times New Roman"/>
            </w:rPr>
            <w:t xml:space="preserve">’s year-by-year stocktake of tourism investment projects facilitates such insights into investor confidence. Investment in the industry is vital to support its capacity to grow and adapt to demand for tourism. </w:t>
          </w:r>
        </w:p>
        <w:p w14:paraId="7C8F9E07" w14:textId="77777777" w:rsidR="00210BE8" w:rsidRDefault="00210BE8" w:rsidP="00210BE8">
          <w:r>
            <w:t>TRA analyses Australia's tourism investment pipeline to show:</w:t>
          </w:r>
        </w:p>
        <w:p w14:paraId="2CAE5EE4" w14:textId="09E63AA3" w:rsidR="00210BE8" w:rsidRDefault="00F10485" w:rsidP="00210BE8">
          <w:pPr>
            <w:pStyle w:val="ListBullet"/>
          </w:pPr>
          <w:r>
            <w:t>recent</w:t>
          </w:r>
          <w:r w:rsidR="00210BE8">
            <w:t xml:space="preserve"> trends</w:t>
          </w:r>
        </w:p>
        <w:p w14:paraId="387B1D7B" w14:textId="77777777" w:rsidR="00210BE8" w:rsidRDefault="00210BE8" w:rsidP="00210BE8">
          <w:pPr>
            <w:pStyle w:val="ListBullet"/>
          </w:pPr>
          <w:r>
            <w:t>location of projects</w:t>
          </w:r>
        </w:p>
        <w:p w14:paraId="6626CA8D" w14:textId="79D71031" w:rsidR="00210BE8" w:rsidRDefault="00210BE8" w:rsidP="00210BE8">
          <w:pPr>
            <w:pStyle w:val="ListBullet"/>
          </w:pPr>
          <w:r>
            <w:t>progress through stages of the development timeline.</w:t>
          </w:r>
        </w:p>
        <w:p w14:paraId="79357F60" w14:textId="77777777" w:rsidR="00210BE8" w:rsidRPr="009B2BE6" w:rsidRDefault="00210BE8" w:rsidP="00210BE8">
          <w:pPr>
            <w:spacing w:before="120"/>
          </w:pPr>
          <w:r w:rsidRPr="009B2BE6">
            <w:t xml:space="preserve">Projects captured in the pipeline </w:t>
          </w:r>
          <w:r>
            <w:t>cover</w:t>
          </w:r>
          <w:r w:rsidRPr="009B2BE6">
            <w:t xml:space="preserve"> 3 main tourism sectors: </w:t>
          </w:r>
        </w:p>
        <w:p w14:paraId="14648542" w14:textId="77777777" w:rsidR="00210BE8" w:rsidRDefault="00210BE8" w:rsidP="00210BE8">
          <w:pPr>
            <w:pStyle w:val="ListBullet"/>
          </w:pPr>
          <w:r>
            <w:t>Aviation</w:t>
          </w:r>
        </w:p>
        <w:p w14:paraId="6F58E05C" w14:textId="77777777" w:rsidR="00210BE8" w:rsidRDefault="00210BE8" w:rsidP="00210BE8">
          <w:pPr>
            <w:pStyle w:val="ListBullet"/>
          </w:pPr>
          <w:r>
            <w:t>Arts, recreation, and business services</w:t>
          </w:r>
          <w:r w:rsidRPr="0040294F">
            <w:t xml:space="preserve"> </w:t>
          </w:r>
        </w:p>
        <w:p w14:paraId="3FA409C8" w14:textId="073B7244" w:rsidR="00210BE8" w:rsidRDefault="00210BE8" w:rsidP="00210BE8">
          <w:pPr>
            <w:pStyle w:val="ListBullet"/>
          </w:pPr>
          <w:r>
            <w:t>Accommodation</w:t>
          </w:r>
          <w:r w:rsidR="002F50CF">
            <w:t>.</w:t>
          </w:r>
        </w:p>
        <w:p w14:paraId="131807EA" w14:textId="77777777" w:rsidR="00210BE8" w:rsidRPr="00FF23E3" w:rsidRDefault="00210BE8" w:rsidP="00210BE8">
          <w:pPr>
            <w:spacing w:before="120"/>
          </w:pPr>
          <w:r>
            <w:t>The investment pipeline includes stand-alone accommodation projects and excludes mixed-use developments. However, separate information on the value and volume of mixed-use projects with a tourism component is also provided in this report.</w:t>
          </w:r>
        </w:p>
        <w:p w14:paraId="1BF44FB6" w14:textId="77777777" w:rsidR="00210BE8" w:rsidRDefault="00210BE8" w:rsidP="00210BE8">
          <w:pPr>
            <w:spacing w:before="0" w:after="160" w:line="259" w:lineRule="auto"/>
            <w:rPr>
              <w:bCs/>
              <w:color w:val="2E1A47" w:themeColor="text2"/>
              <w:sz w:val="32"/>
              <w:szCs w:val="32"/>
            </w:rPr>
          </w:pPr>
          <w:bookmarkStart w:id="15" w:name="_Toc95805093"/>
          <w:r>
            <w:br w:type="page"/>
          </w:r>
        </w:p>
        <w:p w14:paraId="06A2B956" w14:textId="01538876" w:rsidR="00210BE8" w:rsidRPr="00D464A7" w:rsidRDefault="00210BE8" w:rsidP="00D464A7">
          <w:pPr>
            <w:pStyle w:val="Heading2"/>
            <w:spacing w:before="0"/>
            <w:rPr>
              <w:b w:val="0"/>
              <w:bCs/>
              <w:color w:val="7A4282" w:themeColor="accent1"/>
              <w:sz w:val="32"/>
              <w:szCs w:val="28"/>
            </w:rPr>
          </w:pPr>
          <w:bookmarkStart w:id="16" w:name="_Toc95899331"/>
          <w:r w:rsidRPr="00D464A7">
            <w:rPr>
              <w:b w:val="0"/>
              <w:bCs/>
              <w:color w:val="7A4282" w:themeColor="accent1"/>
              <w:sz w:val="32"/>
              <w:szCs w:val="28"/>
            </w:rPr>
            <w:lastRenderedPageBreak/>
            <w:t>The tourism investment pipeline</w:t>
          </w:r>
          <w:bookmarkEnd w:id="15"/>
          <w:bookmarkEnd w:id="16"/>
          <w:r w:rsidRPr="00D464A7">
            <w:rPr>
              <w:b w:val="0"/>
              <w:bCs/>
              <w:color w:val="7A4282" w:themeColor="accent1"/>
              <w:sz w:val="32"/>
              <w:szCs w:val="28"/>
            </w:rPr>
            <w:t xml:space="preserve"> </w:t>
          </w:r>
        </w:p>
        <w:p w14:paraId="7CA6C47F" w14:textId="77777777" w:rsidR="00D464A7" w:rsidRPr="00D464A7" w:rsidRDefault="00D464A7" w:rsidP="00D464A7">
          <w:pPr>
            <w:rPr>
              <w:lang w:eastAsia="zh-CN"/>
            </w:rPr>
          </w:pPr>
        </w:p>
        <w:tbl>
          <w:tblPr>
            <w:tblStyle w:val="TableGrid"/>
            <w:tblW w:w="0" w:type="auto"/>
            <w:jc w:val="center"/>
            <w:tblLook w:val="04A0" w:firstRow="1" w:lastRow="0" w:firstColumn="1" w:lastColumn="0" w:noHBand="0" w:noVBand="1"/>
          </w:tblPr>
          <w:tblGrid>
            <w:gridCol w:w="7933"/>
          </w:tblGrid>
          <w:tr w:rsidR="00210BE8" w:rsidRPr="003A58AB" w14:paraId="20269D0B" w14:textId="77777777" w:rsidTr="00D464A7">
            <w:trPr>
              <w:jc w:val="center"/>
            </w:trPr>
            <w:tc>
              <w:tcPr>
                <w:tcW w:w="7933" w:type="dxa"/>
                <w:shd w:val="clear" w:color="auto" w:fill="2E1A47" w:themeFill="text2"/>
              </w:tcPr>
              <w:p w14:paraId="1D2499A2" w14:textId="77777777" w:rsidR="00210BE8" w:rsidRPr="003A58AB" w:rsidRDefault="00210BE8" w:rsidP="00D464A7">
                <w:pPr>
                  <w:jc w:val="center"/>
                  <w:rPr>
                    <w:b/>
                    <w:color w:val="FFFFFF" w:themeColor="background1"/>
                  </w:rPr>
                </w:pPr>
                <w:r>
                  <w:rPr>
                    <w:b/>
                    <w:color w:val="FFFFFF" w:themeColor="background1"/>
                  </w:rPr>
                  <w:t>Tourism investment pipeline 2020-21</w:t>
                </w:r>
              </w:p>
            </w:tc>
          </w:tr>
          <w:tr w:rsidR="00210BE8" w:rsidRPr="003A58AB" w14:paraId="14F412E1" w14:textId="77777777" w:rsidTr="00D464A7">
            <w:trPr>
              <w:jc w:val="center"/>
            </w:trPr>
            <w:tc>
              <w:tcPr>
                <w:tcW w:w="7933" w:type="dxa"/>
              </w:tcPr>
              <w:p w14:paraId="04636386" w14:textId="3A56F1A5" w:rsidR="00210BE8" w:rsidRPr="00F172A2" w:rsidRDefault="00210BE8" w:rsidP="00D464A7">
                <w:pPr>
                  <w:jc w:val="center"/>
                  <w:rPr>
                    <w:b/>
                    <w:bCs/>
                    <w:sz w:val="24"/>
                    <w:szCs w:val="24"/>
                    <w:lang w:eastAsia="en-AU"/>
                  </w:rPr>
                </w:pPr>
                <w:r w:rsidRPr="00F172A2">
                  <w:rPr>
                    <w:b/>
                    <w:bCs/>
                    <w:sz w:val="24"/>
                    <w:szCs w:val="24"/>
                    <w:lang w:eastAsia="en-AU"/>
                  </w:rPr>
                  <w:t>$4</w:t>
                </w:r>
                <w:r w:rsidR="00CB617D">
                  <w:rPr>
                    <w:b/>
                    <w:bCs/>
                    <w:sz w:val="24"/>
                    <w:szCs w:val="24"/>
                    <w:lang w:eastAsia="en-AU"/>
                  </w:rPr>
                  <w:t>2</w:t>
                </w:r>
                <w:r w:rsidRPr="00F172A2">
                  <w:rPr>
                    <w:b/>
                    <w:bCs/>
                    <w:sz w:val="24"/>
                    <w:szCs w:val="24"/>
                    <w:lang w:eastAsia="en-AU"/>
                  </w:rPr>
                  <w:t>.8 billion</w:t>
                </w:r>
              </w:p>
              <w:p w14:paraId="73EDCBD1" w14:textId="561BC9A0" w:rsidR="00210BE8" w:rsidRPr="00F172A2" w:rsidRDefault="00210BE8" w:rsidP="00D464A7">
                <w:pPr>
                  <w:jc w:val="center"/>
                  <w:rPr>
                    <w:b/>
                    <w:bCs/>
                    <w:sz w:val="24"/>
                    <w:szCs w:val="24"/>
                    <w:lang w:eastAsia="en-AU"/>
                  </w:rPr>
                </w:pPr>
                <w:r w:rsidRPr="00F172A2">
                  <w:rPr>
                    <w:b/>
                    <w:bCs/>
                    <w:sz w:val="24"/>
                    <w:szCs w:val="24"/>
                    <w:lang w:eastAsia="en-AU"/>
                  </w:rPr>
                  <w:t>22</w:t>
                </w:r>
                <w:r w:rsidR="00CB617D">
                  <w:rPr>
                    <w:b/>
                    <w:bCs/>
                    <w:sz w:val="24"/>
                    <w:szCs w:val="24"/>
                    <w:lang w:eastAsia="en-AU"/>
                  </w:rPr>
                  <w:t>5</w:t>
                </w:r>
                <w:r w:rsidRPr="00F172A2">
                  <w:rPr>
                    <w:b/>
                    <w:bCs/>
                    <w:sz w:val="24"/>
                    <w:szCs w:val="24"/>
                    <w:lang w:eastAsia="en-AU"/>
                  </w:rPr>
                  <w:t xml:space="preserve"> projects</w:t>
                </w:r>
              </w:p>
              <w:p w14:paraId="04B0FD5A" w14:textId="77777777" w:rsidR="00210BE8" w:rsidRPr="003A58AB" w:rsidRDefault="00210BE8" w:rsidP="00D464A7"/>
            </w:tc>
          </w:tr>
          <w:tr w:rsidR="00210BE8" w:rsidRPr="003A58AB" w14:paraId="7A76E85B" w14:textId="77777777" w:rsidTr="00D464A7">
            <w:trPr>
              <w:jc w:val="center"/>
            </w:trPr>
            <w:tc>
              <w:tcPr>
                <w:tcW w:w="7933" w:type="dxa"/>
              </w:tcPr>
              <w:p w14:paraId="72850984" w14:textId="77777777" w:rsidR="00210BE8" w:rsidRPr="00F172A2" w:rsidRDefault="00210BE8" w:rsidP="00D464A7">
                <w:pPr>
                  <w:jc w:val="center"/>
                  <w:rPr>
                    <w:sz w:val="24"/>
                    <w:szCs w:val="24"/>
                    <w:lang w:eastAsia="en-AU"/>
                  </w:rPr>
                </w:pPr>
                <w:r w:rsidRPr="00F172A2">
                  <w:rPr>
                    <w:sz w:val="24"/>
                    <w:szCs w:val="24"/>
                    <w:lang w:eastAsia="en-AU"/>
                  </w:rPr>
                  <w:t>Change from 2019-20:</w:t>
                </w:r>
              </w:p>
              <w:p w14:paraId="74CB0D9A" w14:textId="05034E71" w:rsidR="00210BE8" w:rsidRPr="00F172A2" w:rsidRDefault="00210BE8" w:rsidP="00D464A7">
                <w:pPr>
                  <w:jc w:val="center"/>
                  <w:rPr>
                    <w:sz w:val="24"/>
                    <w:szCs w:val="24"/>
                    <w:lang w:eastAsia="en-AU"/>
                  </w:rPr>
                </w:pPr>
                <w:r w:rsidRPr="00F172A2">
                  <w:rPr>
                    <w:sz w:val="24"/>
                    <w:szCs w:val="24"/>
                    <w:lang w:eastAsia="en-AU"/>
                  </w:rPr>
                  <w:t>down $</w:t>
                </w:r>
                <w:r w:rsidR="00CB617D">
                  <w:rPr>
                    <w:sz w:val="24"/>
                    <w:szCs w:val="24"/>
                    <w:lang w:eastAsia="en-AU"/>
                  </w:rPr>
                  <w:t>0</w:t>
                </w:r>
                <w:r w:rsidRPr="00F172A2">
                  <w:rPr>
                    <w:sz w:val="24"/>
                    <w:szCs w:val="24"/>
                    <w:lang w:eastAsia="en-AU"/>
                  </w:rPr>
                  <w:t>.8 billion from $43.6 billion,</w:t>
                </w:r>
              </w:p>
              <w:p w14:paraId="2CD5C881" w14:textId="6C3F05CB" w:rsidR="00210BE8" w:rsidRPr="00E46DDF" w:rsidRDefault="00210BE8" w:rsidP="00D464A7">
                <w:pPr>
                  <w:jc w:val="center"/>
                  <w:rPr>
                    <w:lang w:eastAsia="en-AU"/>
                  </w:rPr>
                </w:pPr>
                <w:r w:rsidRPr="00F172A2">
                  <w:rPr>
                    <w:sz w:val="24"/>
                    <w:szCs w:val="24"/>
                    <w:lang w:eastAsia="en-AU"/>
                  </w:rPr>
                  <w:t>down 3</w:t>
                </w:r>
                <w:r w:rsidR="00CB617D">
                  <w:rPr>
                    <w:sz w:val="24"/>
                    <w:szCs w:val="24"/>
                    <w:lang w:eastAsia="en-AU"/>
                  </w:rPr>
                  <w:t>0</w:t>
                </w:r>
                <w:r w:rsidRPr="00F172A2">
                  <w:rPr>
                    <w:sz w:val="24"/>
                    <w:szCs w:val="24"/>
                    <w:lang w:eastAsia="en-AU"/>
                  </w:rPr>
                  <w:t xml:space="preserve"> projects from 255 projects</w:t>
                </w:r>
              </w:p>
              <w:p w14:paraId="2079C492" w14:textId="77777777" w:rsidR="00210BE8" w:rsidRPr="003A58AB" w:rsidRDefault="00210BE8" w:rsidP="00D464A7"/>
            </w:tc>
          </w:tr>
        </w:tbl>
        <w:p w14:paraId="3EBCEAA9" w14:textId="77777777" w:rsidR="00210BE8" w:rsidRDefault="00210BE8" w:rsidP="00210BE8">
          <w:pPr>
            <w:rPr>
              <w:lang w:eastAsia="zh-CN"/>
            </w:rPr>
          </w:pPr>
        </w:p>
        <w:tbl>
          <w:tblPr>
            <w:tblStyle w:val="TableGrid"/>
            <w:tblW w:w="0" w:type="auto"/>
            <w:jc w:val="center"/>
            <w:tblLook w:val="04A0" w:firstRow="1" w:lastRow="0" w:firstColumn="1" w:lastColumn="0" w:noHBand="0" w:noVBand="1"/>
          </w:tblPr>
          <w:tblGrid>
            <w:gridCol w:w="3117"/>
            <w:gridCol w:w="3116"/>
            <w:gridCol w:w="3117"/>
          </w:tblGrid>
          <w:tr w:rsidR="00210BE8" w:rsidRPr="003A58AB" w14:paraId="398F69CD" w14:textId="77777777" w:rsidTr="00D464A7">
            <w:trPr>
              <w:jc w:val="center"/>
            </w:trPr>
            <w:tc>
              <w:tcPr>
                <w:tcW w:w="3117" w:type="dxa"/>
                <w:shd w:val="clear" w:color="auto" w:fill="2E1A47" w:themeFill="text2"/>
              </w:tcPr>
              <w:p w14:paraId="75A64C39" w14:textId="77777777" w:rsidR="00210BE8" w:rsidRPr="003A58AB" w:rsidRDefault="00210BE8" w:rsidP="00D464A7">
                <w:pPr>
                  <w:jc w:val="center"/>
                  <w:rPr>
                    <w:b/>
                    <w:color w:val="FFFFFF" w:themeColor="background1"/>
                  </w:rPr>
                </w:pPr>
                <w:bookmarkStart w:id="17" w:name="_Hlk95909221"/>
                <w:r>
                  <w:rPr>
                    <w:b/>
                    <w:color w:val="FFFFFF" w:themeColor="background1"/>
                  </w:rPr>
                  <w:t>Aviation</w:t>
                </w:r>
              </w:p>
            </w:tc>
            <w:tc>
              <w:tcPr>
                <w:tcW w:w="3116" w:type="dxa"/>
                <w:shd w:val="clear" w:color="auto" w:fill="2E1A47" w:themeFill="text2"/>
              </w:tcPr>
              <w:p w14:paraId="07C71455" w14:textId="77777777" w:rsidR="00210BE8" w:rsidRPr="003A58AB" w:rsidRDefault="00210BE8" w:rsidP="00D464A7">
                <w:pPr>
                  <w:jc w:val="center"/>
                  <w:rPr>
                    <w:b/>
                    <w:color w:val="FFFFFF" w:themeColor="background1"/>
                  </w:rPr>
                </w:pPr>
                <w:r>
                  <w:rPr>
                    <w:b/>
                    <w:color w:val="FFFFFF" w:themeColor="background1"/>
                  </w:rPr>
                  <w:t>Arts, recreation and business services</w:t>
                </w:r>
              </w:p>
            </w:tc>
            <w:tc>
              <w:tcPr>
                <w:tcW w:w="3117" w:type="dxa"/>
                <w:shd w:val="clear" w:color="auto" w:fill="2E1A47" w:themeFill="text2"/>
              </w:tcPr>
              <w:p w14:paraId="7B63AA76" w14:textId="77777777" w:rsidR="00210BE8" w:rsidRPr="003A58AB" w:rsidRDefault="00210BE8" w:rsidP="00D464A7">
                <w:pPr>
                  <w:jc w:val="center"/>
                  <w:rPr>
                    <w:b/>
                    <w:color w:val="FFFFFF" w:themeColor="background1"/>
                  </w:rPr>
                </w:pPr>
                <w:r>
                  <w:rPr>
                    <w:b/>
                    <w:color w:val="FFFFFF" w:themeColor="background1"/>
                  </w:rPr>
                  <w:t>Accommodation</w:t>
                </w:r>
              </w:p>
            </w:tc>
          </w:tr>
          <w:tr w:rsidR="00210BE8" w:rsidRPr="003A58AB" w14:paraId="0EBFA094" w14:textId="77777777" w:rsidTr="00D464A7">
            <w:trPr>
              <w:jc w:val="center"/>
            </w:trPr>
            <w:tc>
              <w:tcPr>
                <w:tcW w:w="3117" w:type="dxa"/>
              </w:tcPr>
              <w:p w14:paraId="4DDABDE8" w14:textId="77777777" w:rsidR="00210BE8" w:rsidRPr="00E46DDF" w:rsidRDefault="00210BE8" w:rsidP="00D464A7">
                <w:pPr>
                  <w:jc w:val="center"/>
                  <w:rPr>
                    <w:lang w:eastAsia="en-AU"/>
                  </w:rPr>
                </w:pPr>
                <w:r w:rsidRPr="00E46DDF">
                  <w:rPr>
                    <w:lang w:eastAsia="en-AU"/>
                  </w:rPr>
                  <w:t>$1</w:t>
                </w:r>
                <w:r>
                  <w:rPr>
                    <w:lang w:eastAsia="en-AU"/>
                  </w:rPr>
                  <w:t>6.7</w:t>
                </w:r>
                <w:r w:rsidRPr="00E46DDF">
                  <w:rPr>
                    <w:lang w:eastAsia="en-AU"/>
                  </w:rPr>
                  <w:t xml:space="preserve"> </w:t>
                </w:r>
                <w:r>
                  <w:rPr>
                    <w:lang w:eastAsia="en-AU"/>
                  </w:rPr>
                  <w:t>b</w:t>
                </w:r>
                <w:r w:rsidRPr="00E46DDF">
                  <w:rPr>
                    <w:lang w:eastAsia="en-AU"/>
                  </w:rPr>
                  <w:t xml:space="preserve">illion </w:t>
                </w:r>
              </w:p>
              <w:p w14:paraId="5BB43E5A" w14:textId="77777777" w:rsidR="00210BE8" w:rsidRDefault="00210BE8" w:rsidP="00D464A7">
                <w:pPr>
                  <w:jc w:val="center"/>
                  <w:rPr>
                    <w:lang w:eastAsia="en-AU"/>
                  </w:rPr>
                </w:pPr>
                <w:r w:rsidRPr="00E46DDF">
                  <w:rPr>
                    <w:lang w:eastAsia="en-AU"/>
                  </w:rPr>
                  <w:t>1</w:t>
                </w:r>
                <w:r>
                  <w:rPr>
                    <w:lang w:eastAsia="en-AU"/>
                  </w:rPr>
                  <w:t>3</w:t>
                </w:r>
                <w:r w:rsidRPr="00E46DDF">
                  <w:rPr>
                    <w:lang w:eastAsia="en-AU"/>
                  </w:rPr>
                  <w:t xml:space="preserve"> projects </w:t>
                </w:r>
              </w:p>
              <w:p w14:paraId="2CC8F111" w14:textId="77777777" w:rsidR="00210BE8" w:rsidRPr="003A58AB" w:rsidRDefault="00210BE8" w:rsidP="00D464A7"/>
            </w:tc>
            <w:tc>
              <w:tcPr>
                <w:tcW w:w="3116" w:type="dxa"/>
              </w:tcPr>
              <w:p w14:paraId="33D4E202" w14:textId="2FD712A9" w:rsidR="00210BE8" w:rsidRPr="00E46DDF" w:rsidRDefault="00210BE8" w:rsidP="00D464A7">
                <w:pPr>
                  <w:jc w:val="center"/>
                </w:pPr>
                <w:r w:rsidRPr="00E46DDF">
                  <w:t>$</w:t>
                </w:r>
                <w:r>
                  <w:t>1</w:t>
                </w:r>
                <w:r w:rsidR="00CB617D">
                  <w:t>5</w:t>
                </w:r>
                <w:r>
                  <w:t>.</w:t>
                </w:r>
                <w:r w:rsidR="00CB617D">
                  <w:t>7</w:t>
                </w:r>
                <w:r w:rsidRPr="00E46DDF">
                  <w:t xml:space="preserve"> </w:t>
                </w:r>
                <w:r>
                  <w:t>b</w:t>
                </w:r>
                <w:r w:rsidRPr="00E46DDF">
                  <w:t>illion</w:t>
                </w:r>
              </w:p>
              <w:p w14:paraId="08EF2F7C" w14:textId="6984220F" w:rsidR="00210BE8" w:rsidRDefault="00210BE8" w:rsidP="00D464A7">
                <w:pPr>
                  <w:jc w:val="center"/>
                </w:pPr>
                <w:r>
                  <w:t>7</w:t>
                </w:r>
                <w:r w:rsidR="00CB617D">
                  <w:t>9</w:t>
                </w:r>
                <w:r w:rsidRPr="00E46DDF">
                  <w:t xml:space="preserve"> projects </w:t>
                </w:r>
              </w:p>
              <w:p w14:paraId="5AFD69D5" w14:textId="77777777" w:rsidR="00210BE8" w:rsidRPr="003A58AB" w:rsidRDefault="00210BE8" w:rsidP="00D464A7"/>
            </w:tc>
            <w:tc>
              <w:tcPr>
                <w:tcW w:w="3117" w:type="dxa"/>
              </w:tcPr>
              <w:p w14:paraId="46D1FCA6" w14:textId="76EB0CF3" w:rsidR="00210BE8" w:rsidRPr="00E46DDF" w:rsidRDefault="00210BE8" w:rsidP="00D464A7">
                <w:pPr>
                  <w:jc w:val="center"/>
                  <w:rPr>
                    <w:lang w:eastAsia="en-AU"/>
                  </w:rPr>
                </w:pPr>
                <w:r w:rsidRPr="00E46DDF">
                  <w:rPr>
                    <w:lang w:eastAsia="en-AU"/>
                  </w:rPr>
                  <w:t>$</w:t>
                </w:r>
                <w:r>
                  <w:rPr>
                    <w:lang w:eastAsia="en-AU"/>
                  </w:rPr>
                  <w:t>10.</w:t>
                </w:r>
                <w:r w:rsidR="00CB617D">
                  <w:rPr>
                    <w:lang w:eastAsia="en-AU"/>
                  </w:rPr>
                  <w:t>5</w:t>
                </w:r>
                <w:r w:rsidRPr="00E46DDF">
                  <w:rPr>
                    <w:lang w:eastAsia="en-AU"/>
                  </w:rPr>
                  <w:t xml:space="preserve"> billion </w:t>
                </w:r>
              </w:p>
              <w:p w14:paraId="00D65835" w14:textId="77777777" w:rsidR="00210BE8" w:rsidRPr="00E46DDF" w:rsidRDefault="00210BE8" w:rsidP="00D464A7">
                <w:pPr>
                  <w:jc w:val="center"/>
                  <w:rPr>
                    <w:lang w:eastAsia="en-AU"/>
                  </w:rPr>
                </w:pPr>
                <w:r>
                  <w:rPr>
                    <w:lang w:eastAsia="en-AU"/>
                  </w:rPr>
                  <w:t>133</w:t>
                </w:r>
                <w:r w:rsidRPr="00E46DDF">
                  <w:rPr>
                    <w:lang w:eastAsia="en-AU"/>
                  </w:rPr>
                  <w:t xml:space="preserve"> projects</w:t>
                </w:r>
              </w:p>
              <w:p w14:paraId="3A028BF2" w14:textId="77777777" w:rsidR="00210BE8" w:rsidRPr="003A58AB" w:rsidRDefault="00210BE8" w:rsidP="00D464A7">
                <w:pPr>
                  <w:jc w:val="center"/>
                  <w:rPr>
                    <w:lang w:eastAsia="en-AU"/>
                  </w:rPr>
                </w:pPr>
                <w:r>
                  <w:rPr>
                    <w:lang w:eastAsia="en-AU"/>
                  </w:rPr>
                  <w:t>20,100</w:t>
                </w:r>
                <w:r w:rsidRPr="00E46DDF">
                  <w:rPr>
                    <w:lang w:eastAsia="en-AU"/>
                  </w:rPr>
                  <w:t xml:space="preserve"> rooms</w:t>
                </w:r>
              </w:p>
            </w:tc>
          </w:tr>
          <w:tr w:rsidR="00210BE8" w:rsidRPr="003A58AB" w14:paraId="0B9A1133" w14:textId="77777777" w:rsidTr="00D464A7">
            <w:trPr>
              <w:jc w:val="center"/>
            </w:trPr>
            <w:tc>
              <w:tcPr>
                <w:tcW w:w="3117" w:type="dxa"/>
              </w:tcPr>
              <w:p w14:paraId="68800EA7" w14:textId="77777777" w:rsidR="00210BE8" w:rsidRDefault="00210BE8" w:rsidP="00D464A7">
                <w:pPr>
                  <w:spacing w:after="0"/>
                  <w:jc w:val="center"/>
                </w:pPr>
                <w:r>
                  <w:t xml:space="preserve">Change from 2019-20: </w:t>
                </w:r>
              </w:p>
              <w:p w14:paraId="13BF020D" w14:textId="77777777" w:rsidR="00210BE8" w:rsidRDefault="00210BE8" w:rsidP="00D464A7">
                <w:pPr>
                  <w:spacing w:after="0"/>
                  <w:jc w:val="center"/>
                  <w:rPr>
                    <w:lang w:eastAsia="en-AU"/>
                  </w:rPr>
                </w:pPr>
                <w:r>
                  <w:t>d</w:t>
                </w:r>
                <w:r w:rsidRPr="00E46DDF">
                  <w:rPr>
                    <w:lang w:eastAsia="en-AU"/>
                  </w:rPr>
                  <w:t>own $1</w:t>
                </w:r>
                <w:r>
                  <w:rPr>
                    <w:lang w:eastAsia="en-AU"/>
                  </w:rPr>
                  <w:t>.5</w:t>
                </w:r>
                <w:r w:rsidRPr="00E46DDF">
                  <w:rPr>
                    <w:lang w:eastAsia="en-AU"/>
                  </w:rPr>
                  <w:t xml:space="preserve"> </w:t>
                </w:r>
                <w:r>
                  <w:rPr>
                    <w:lang w:eastAsia="en-AU"/>
                  </w:rPr>
                  <w:t>b</w:t>
                </w:r>
                <w:r w:rsidRPr="00E46DDF">
                  <w:rPr>
                    <w:lang w:eastAsia="en-AU"/>
                  </w:rPr>
                  <w:t>illion</w:t>
                </w:r>
                <w:r>
                  <w:rPr>
                    <w:lang w:eastAsia="en-AU"/>
                  </w:rPr>
                  <w:t xml:space="preserve">, </w:t>
                </w:r>
              </w:p>
              <w:p w14:paraId="21BE56FC" w14:textId="77777777" w:rsidR="00210BE8" w:rsidRPr="00E46DDF" w:rsidRDefault="00210BE8" w:rsidP="00D464A7">
                <w:pPr>
                  <w:jc w:val="center"/>
                  <w:rPr>
                    <w:lang w:eastAsia="en-AU"/>
                  </w:rPr>
                </w:pPr>
                <w:r>
                  <w:rPr>
                    <w:lang w:eastAsia="en-AU"/>
                  </w:rPr>
                  <w:t>down 5 projects</w:t>
                </w:r>
              </w:p>
              <w:p w14:paraId="1E1BC61C" w14:textId="77777777" w:rsidR="00210BE8" w:rsidRPr="003A58AB" w:rsidRDefault="00210BE8" w:rsidP="00D464A7"/>
            </w:tc>
            <w:tc>
              <w:tcPr>
                <w:tcW w:w="3116" w:type="dxa"/>
              </w:tcPr>
              <w:p w14:paraId="2A8BDB5E" w14:textId="77777777" w:rsidR="00210BE8" w:rsidRDefault="00210BE8" w:rsidP="00D464A7">
                <w:pPr>
                  <w:spacing w:after="0"/>
                  <w:jc w:val="center"/>
                </w:pPr>
                <w:r>
                  <w:t xml:space="preserve">Change from 2019-20: </w:t>
                </w:r>
              </w:p>
              <w:p w14:paraId="526B6BA8" w14:textId="654D57DF" w:rsidR="00210BE8" w:rsidRDefault="00210BE8" w:rsidP="00D464A7">
                <w:pPr>
                  <w:spacing w:after="0"/>
                  <w:jc w:val="center"/>
                </w:pPr>
                <w:r>
                  <w:t>up $</w:t>
                </w:r>
                <w:r w:rsidR="00CB617D">
                  <w:t>1.4</w:t>
                </w:r>
                <w:r>
                  <w:t xml:space="preserve"> billion, </w:t>
                </w:r>
              </w:p>
              <w:p w14:paraId="7E0DE2F2" w14:textId="0190E05B" w:rsidR="00210BE8" w:rsidRPr="003A58AB" w:rsidRDefault="00210BE8" w:rsidP="00D464A7">
                <w:pPr>
                  <w:jc w:val="center"/>
                </w:pPr>
                <w:r>
                  <w:t xml:space="preserve">up </w:t>
                </w:r>
                <w:r w:rsidR="00CB617D">
                  <w:t>10</w:t>
                </w:r>
                <w:r>
                  <w:t xml:space="preserve"> projects</w:t>
                </w:r>
              </w:p>
            </w:tc>
            <w:tc>
              <w:tcPr>
                <w:tcW w:w="3117" w:type="dxa"/>
              </w:tcPr>
              <w:p w14:paraId="75C852B9" w14:textId="77777777" w:rsidR="00210BE8" w:rsidRDefault="00210BE8" w:rsidP="00D464A7">
                <w:pPr>
                  <w:spacing w:after="0"/>
                  <w:jc w:val="center"/>
                </w:pPr>
                <w:r>
                  <w:t xml:space="preserve">Change from 2019-20: </w:t>
                </w:r>
              </w:p>
              <w:p w14:paraId="211A8A4E" w14:textId="2A4BA479" w:rsidR="00210BE8" w:rsidRDefault="00210BE8" w:rsidP="00D464A7">
                <w:pPr>
                  <w:spacing w:after="0"/>
                  <w:jc w:val="center"/>
                  <w:rPr>
                    <w:lang w:eastAsia="en-AU"/>
                  </w:rPr>
                </w:pPr>
                <w:r>
                  <w:rPr>
                    <w:lang w:eastAsia="en-AU"/>
                  </w:rPr>
                  <w:t>down $0.</w:t>
                </w:r>
                <w:r w:rsidR="00CB617D">
                  <w:rPr>
                    <w:lang w:eastAsia="en-AU"/>
                  </w:rPr>
                  <w:t>6</w:t>
                </w:r>
                <w:r>
                  <w:rPr>
                    <w:lang w:eastAsia="en-AU"/>
                  </w:rPr>
                  <w:t xml:space="preserve"> billion, </w:t>
                </w:r>
              </w:p>
              <w:p w14:paraId="123898FF" w14:textId="77777777" w:rsidR="00210BE8" w:rsidRDefault="00210BE8" w:rsidP="00D464A7">
                <w:pPr>
                  <w:spacing w:after="0"/>
                  <w:jc w:val="center"/>
                  <w:rPr>
                    <w:lang w:eastAsia="en-AU"/>
                  </w:rPr>
                </w:pPr>
                <w:r>
                  <w:rPr>
                    <w:lang w:eastAsia="en-AU"/>
                  </w:rPr>
                  <w:t xml:space="preserve">down 35 projects, </w:t>
                </w:r>
              </w:p>
              <w:p w14:paraId="20522D21" w14:textId="77777777" w:rsidR="00210BE8" w:rsidRPr="003A58AB" w:rsidRDefault="00210BE8" w:rsidP="00D464A7">
                <w:pPr>
                  <w:jc w:val="center"/>
                </w:pPr>
                <w:r>
                  <w:rPr>
                    <w:lang w:eastAsia="en-AU"/>
                  </w:rPr>
                  <w:t>down 7,100 rooms</w:t>
                </w:r>
              </w:p>
            </w:tc>
          </w:tr>
        </w:tbl>
        <w:p w14:paraId="01279BFA" w14:textId="77777777" w:rsidR="00210BE8" w:rsidRPr="00AF7DB4" w:rsidRDefault="00210BE8" w:rsidP="00210BE8">
          <w:pPr>
            <w:pStyle w:val="Heading3"/>
          </w:pPr>
          <w:bookmarkStart w:id="18" w:name="_Toc95805094"/>
          <w:bookmarkStart w:id="19" w:name="_Toc95899250"/>
          <w:bookmarkStart w:id="20" w:name="_Toc95899332"/>
          <w:bookmarkEnd w:id="17"/>
          <w:r w:rsidRPr="00AF7DB4">
            <w:t>About the pipeline</w:t>
          </w:r>
          <w:bookmarkEnd w:id="18"/>
          <w:bookmarkEnd w:id="19"/>
          <w:bookmarkEnd w:id="20"/>
        </w:p>
        <w:p w14:paraId="67977E9D" w14:textId="492A7B3E" w:rsidR="00210BE8" w:rsidRDefault="00210BE8" w:rsidP="00210BE8">
          <w:r w:rsidRPr="00E46DDF">
            <w:t>The 20</w:t>
          </w:r>
          <w:r>
            <w:t>20-21</w:t>
          </w:r>
          <w:r w:rsidRPr="00E46DDF">
            <w:t xml:space="preserve"> tourism investment pipeline consist</w:t>
          </w:r>
          <w:r>
            <w:t>ed</w:t>
          </w:r>
          <w:r w:rsidRPr="00E46DDF">
            <w:t xml:space="preserve"> </w:t>
          </w:r>
          <w:r w:rsidRPr="00E46DDF" w:rsidDel="000E3231">
            <w:t xml:space="preserve">of </w:t>
          </w:r>
          <w:r>
            <w:t>22</w:t>
          </w:r>
          <w:r w:rsidR="00CB617D">
            <w:t>5</w:t>
          </w:r>
          <w:r w:rsidRPr="00E46DDF">
            <w:t xml:space="preserve"> projects with a value of $</w:t>
          </w:r>
          <w:r>
            <w:t>4</w:t>
          </w:r>
          <w:r w:rsidR="00CB617D">
            <w:t>2</w:t>
          </w:r>
          <w:r>
            <w:t>.8</w:t>
          </w:r>
          <w:r w:rsidRPr="00E46DDF">
            <w:t xml:space="preserve"> billion. Th</w:t>
          </w:r>
          <w:r>
            <w:t>e value of the pipeline fell by $</w:t>
          </w:r>
          <w:r w:rsidR="00CB617D">
            <w:t>0</w:t>
          </w:r>
          <w:r>
            <w:t>.8 billion (</w:t>
          </w:r>
          <w:r w:rsidR="00CB617D">
            <w:t>1.8</w:t>
          </w:r>
          <w:r>
            <w:t xml:space="preserve"> per cent) compared with </w:t>
          </w:r>
          <w:r w:rsidRPr="00E46DDF">
            <w:t>the 201</w:t>
          </w:r>
          <w:r>
            <w:t>9-20</w:t>
          </w:r>
          <w:r w:rsidRPr="00E46DDF">
            <w:t xml:space="preserve"> pipeline of $4</w:t>
          </w:r>
          <w:r>
            <w:t>3</w:t>
          </w:r>
          <w:r w:rsidRPr="00E46DDF">
            <w:t>.</w:t>
          </w:r>
          <w:r>
            <w:t>6</w:t>
          </w:r>
          <w:r w:rsidRPr="00E46DDF">
            <w:t xml:space="preserve"> billion (</w:t>
          </w:r>
          <w:r>
            <w:t>255 projects</w:t>
          </w:r>
          <w:r w:rsidRPr="00E46DDF">
            <w:t xml:space="preserve">). </w:t>
          </w:r>
        </w:p>
        <w:p w14:paraId="39E1411A" w14:textId="77777777" w:rsidR="00210BE8" w:rsidRPr="00E46DDF" w:rsidRDefault="00210BE8" w:rsidP="00210BE8">
          <w:pPr>
            <w:pStyle w:val="Heading3"/>
          </w:pPr>
          <w:bookmarkStart w:id="21" w:name="_Toc95899251"/>
          <w:bookmarkStart w:id="22" w:name="_Toc95899333"/>
          <w:r w:rsidRPr="00E46DDF">
            <w:lastRenderedPageBreak/>
            <w:t xml:space="preserve">Investment </w:t>
          </w:r>
          <w:r>
            <w:t xml:space="preserve">overview by </w:t>
          </w:r>
          <w:r w:rsidRPr="00E46DDF">
            <w:t>sector</w:t>
          </w:r>
          <w:bookmarkEnd w:id="21"/>
          <w:bookmarkEnd w:id="22"/>
        </w:p>
        <w:p w14:paraId="118B4F40" w14:textId="77777777" w:rsidR="00210BE8" w:rsidRPr="00E46DDF" w:rsidRDefault="00210BE8" w:rsidP="00210BE8">
          <w:r w:rsidRPr="00E46DDF">
            <w:t>Across the 3 tourism sectors, the pipeline was split by:</w:t>
          </w:r>
        </w:p>
        <w:p w14:paraId="286C04B2" w14:textId="77777777" w:rsidR="00210BE8" w:rsidRPr="00D94434" w:rsidRDefault="00210BE8" w:rsidP="00210BE8">
          <w:pPr>
            <w:pStyle w:val="ListBullet"/>
            <w:spacing w:after="200" w:line="300" w:lineRule="exact"/>
            <w:contextualSpacing/>
          </w:pPr>
          <w:r w:rsidRPr="00E46DDF">
            <w:t>aviation –</w:t>
          </w:r>
          <w:r w:rsidRPr="00E46DDF" w:rsidDel="00700ED2">
            <w:t xml:space="preserve"> </w:t>
          </w:r>
          <w:r w:rsidRPr="00E46DDF">
            <w:t>1</w:t>
          </w:r>
          <w:r>
            <w:t>3</w:t>
          </w:r>
          <w:r w:rsidRPr="00E46DDF">
            <w:t xml:space="preserve"> projects valued at $1</w:t>
          </w:r>
          <w:r>
            <w:t>6.7</w:t>
          </w:r>
          <w:r w:rsidRPr="00E46DDF">
            <w:t xml:space="preserve"> billion </w:t>
          </w:r>
        </w:p>
        <w:p w14:paraId="52FCEE37" w14:textId="1977108A" w:rsidR="00210BE8" w:rsidRPr="00E46DDF" w:rsidRDefault="00210BE8" w:rsidP="00210BE8">
          <w:pPr>
            <w:pStyle w:val="ListBullet"/>
            <w:spacing w:after="200" w:line="300" w:lineRule="exact"/>
            <w:contextualSpacing/>
          </w:pPr>
          <w:r w:rsidRPr="00E46DDF">
            <w:t>arts, r</w:t>
          </w:r>
          <w:r>
            <w:t>ecreation</w:t>
          </w:r>
          <w:r w:rsidRPr="00E46DDF">
            <w:t xml:space="preserve"> and business services – </w:t>
          </w:r>
          <w:r>
            <w:t>7</w:t>
          </w:r>
          <w:r w:rsidR="00CB617D">
            <w:t>9</w:t>
          </w:r>
          <w:r w:rsidRPr="00E46DDF">
            <w:t xml:space="preserve"> projects valued at $1</w:t>
          </w:r>
          <w:r w:rsidR="00CB617D">
            <w:t>5.7</w:t>
          </w:r>
          <w:r w:rsidRPr="00E46DDF">
            <w:t> billion</w:t>
          </w:r>
        </w:p>
        <w:p w14:paraId="4C4B8DBE" w14:textId="410FB2AC" w:rsidR="00210BE8" w:rsidRDefault="00210BE8" w:rsidP="00210BE8">
          <w:pPr>
            <w:pStyle w:val="ListBullet"/>
            <w:spacing w:after="200" w:line="300" w:lineRule="exact"/>
            <w:contextualSpacing/>
          </w:pPr>
          <w:r w:rsidRPr="00E46DDF">
            <w:t xml:space="preserve">accommodation – </w:t>
          </w:r>
          <w:r>
            <w:t>133</w:t>
          </w:r>
          <w:r w:rsidRPr="00E46DDF">
            <w:t> projects valued at $</w:t>
          </w:r>
          <w:r>
            <w:t>10.</w:t>
          </w:r>
          <w:r w:rsidR="00CB617D">
            <w:t>5</w:t>
          </w:r>
          <w:r w:rsidRPr="00E46DDF">
            <w:t xml:space="preserve"> billion, with the potential to add </w:t>
          </w:r>
          <w:r>
            <w:t>20,1</w:t>
          </w:r>
          <w:r w:rsidRPr="00E46DDF">
            <w:t>00 rooms to accommodation supply</w:t>
          </w:r>
          <w:r w:rsidR="002F50CF">
            <w:t>.</w:t>
          </w:r>
        </w:p>
        <w:p w14:paraId="0989A318" w14:textId="77777777" w:rsidR="00210BE8" w:rsidRPr="00E46DDF" w:rsidRDefault="00210BE8" w:rsidP="00210BE8">
          <w:pPr>
            <w:pStyle w:val="Heading3"/>
            <w:rPr>
              <w:rFonts w:ascii="Calibri" w:eastAsia="Calibri" w:hAnsi="Calibri" w:cs="Calibri"/>
            </w:rPr>
          </w:pPr>
          <w:bookmarkStart w:id="23" w:name="_Toc95899252"/>
          <w:bookmarkStart w:id="24" w:name="_Toc95899334"/>
          <w:r w:rsidRPr="00E46DDF">
            <w:t>Project phases</w:t>
          </w:r>
          <w:bookmarkEnd w:id="23"/>
          <w:bookmarkEnd w:id="24"/>
        </w:p>
        <w:p w14:paraId="004286DF" w14:textId="77777777" w:rsidR="00210BE8" w:rsidRPr="00E46DDF" w:rsidRDefault="00210BE8" w:rsidP="00210BE8">
          <w:pPr>
            <w:rPr>
              <w:b/>
              <w:bCs/>
            </w:rPr>
          </w:pPr>
          <w:r w:rsidRPr="00E46DDF">
            <w:t xml:space="preserve">The pipeline includes 3 </w:t>
          </w:r>
          <w:r>
            <w:t>development stages:</w:t>
          </w:r>
        </w:p>
        <w:p w14:paraId="133CC081" w14:textId="77777777" w:rsidR="00210BE8" w:rsidRPr="00E46DDF" w:rsidRDefault="00210BE8" w:rsidP="00210BE8">
          <w:pPr>
            <w:pStyle w:val="ListBullet"/>
            <w:spacing w:after="200" w:line="300" w:lineRule="exact"/>
            <w:contextualSpacing/>
          </w:pPr>
          <w:r w:rsidRPr="005F3DDA">
            <w:rPr>
              <w:b/>
              <w:bCs/>
            </w:rPr>
            <w:t>proposed</w:t>
          </w:r>
          <w:r w:rsidRPr="00E46DDF">
            <w:t xml:space="preserve"> –</w:t>
          </w:r>
          <w:r>
            <w:t xml:space="preserve"> </w:t>
          </w:r>
          <w:r w:rsidRPr="00E46DDF">
            <w:t xml:space="preserve">projects that </w:t>
          </w:r>
          <w:r>
            <w:t>have been announced</w:t>
          </w:r>
          <w:r w:rsidRPr="00E46DDF">
            <w:t xml:space="preserve"> but may not have </w:t>
          </w:r>
          <w:r>
            <w:t>precise</w:t>
          </w:r>
          <w:r w:rsidRPr="00E46DDF">
            <w:t xml:space="preserve"> information or formal plans </w:t>
          </w:r>
          <w:r>
            <w:t>publicly available</w:t>
          </w:r>
          <w:r w:rsidRPr="00E46DDF">
            <w:t xml:space="preserve"> </w:t>
          </w:r>
        </w:p>
        <w:p w14:paraId="1CB1BDC7" w14:textId="77777777" w:rsidR="00210BE8" w:rsidRPr="00E46DDF" w:rsidRDefault="00210BE8" w:rsidP="00210BE8">
          <w:pPr>
            <w:pStyle w:val="ListBullet"/>
            <w:spacing w:after="200" w:line="300" w:lineRule="exact"/>
            <w:contextualSpacing/>
          </w:pPr>
          <w:r w:rsidRPr="005F3DDA">
            <w:rPr>
              <w:b/>
              <w:bCs/>
            </w:rPr>
            <w:t>planning</w:t>
          </w:r>
          <w:r w:rsidRPr="00E46DDF">
            <w:t xml:space="preserve"> –</w:t>
          </w:r>
          <w:r>
            <w:t xml:space="preserve"> </w:t>
          </w:r>
          <w:r w:rsidRPr="00E46DDF">
            <w:t>project</w:t>
          </w:r>
          <w:r>
            <w:t>s</w:t>
          </w:r>
          <w:r w:rsidRPr="00E46DDF">
            <w:t xml:space="preserve"> </w:t>
          </w:r>
          <w:r>
            <w:t>which are in the</w:t>
          </w:r>
          <w:r w:rsidRPr="00E46DDF">
            <w:t xml:space="preserve"> formal planning </w:t>
          </w:r>
          <w:r>
            <w:t xml:space="preserve">stage, such as </w:t>
          </w:r>
          <w:r w:rsidRPr="00E46DDF">
            <w:t>appointing developers and architects or applying for council approval</w:t>
          </w:r>
        </w:p>
        <w:p w14:paraId="69CA43E1" w14:textId="77777777" w:rsidR="00210BE8" w:rsidRPr="00E46DDF" w:rsidRDefault="00210BE8" w:rsidP="00210BE8">
          <w:pPr>
            <w:pStyle w:val="ListBullet"/>
            <w:spacing w:after="200" w:line="300" w:lineRule="exact"/>
            <w:contextualSpacing/>
          </w:pPr>
          <w:r w:rsidRPr="005F3DDA">
            <w:rPr>
              <w:b/>
              <w:bCs/>
            </w:rPr>
            <w:t>under construction</w:t>
          </w:r>
          <w:r w:rsidRPr="00E46DDF">
            <w:t xml:space="preserve"> – </w:t>
          </w:r>
          <w:r>
            <w:t xml:space="preserve">projects where the </w:t>
          </w:r>
          <w:r w:rsidRPr="00E46DDF">
            <w:t xml:space="preserve">ground </w:t>
          </w:r>
          <w:r>
            <w:t>has been</w:t>
          </w:r>
          <w:r w:rsidRPr="00E46DDF">
            <w:t xml:space="preserve"> broken on the construction site.</w:t>
          </w:r>
        </w:p>
        <w:p w14:paraId="0F9AF0D3" w14:textId="77777777" w:rsidR="00210BE8" w:rsidRPr="00E46DDF" w:rsidRDefault="00210BE8" w:rsidP="00210BE8">
          <w:pPr>
            <w:spacing w:before="120" w:line="257" w:lineRule="auto"/>
          </w:pPr>
          <w:r>
            <w:t>Completed p</w:t>
          </w:r>
          <w:r w:rsidRPr="00E46DDF">
            <w:t xml:space="preserve">rojects </w:t>
          </w:r>
          <w:r>
            <w:t xml:space="preserve">and </w:t>
          </w:r>
          <w:r w:rsidRPr="00E46DDF">
            <w:t>recently opened</w:t>
          </w:r>
          <w:r>
            <w:t xml:space="preserve"> projects are removed from the pipeline. Similarly</w:t>
          </w:r>
          <w:r w:rsidRPr="00E46DDF">
            <w:t>,</w:t>
          </w:r>
          <w:r>
            <w:t xml:space="preserve"> projects that have been put on hold, deferred or are no longer going ahead </w:t>
          </w:r>
          <w:r w:rsidRPr="00E46DDF">
            <w:t xml:space="preserve">are </w:t>
          </w:r>
          <w:r>
            <w:t xml:space="preserve">also </w:t>
          </w:r>
          <w:r w:rsidRPr="00E46DDF">
            <w:t>deemed to have exited the pipeline in that year.</w:t>
          </w:r>
        </w:p>
        <w:p w14:paraId="46157936" w14:textId="6E5FCC8E" w:rsidR="00210BE8" w:rsidRPr="00E46DDF" w:rsidRDefault="00210BE8" w:rsidP="00210BE8">
          <w:pPr>
            <w:pStyle w:val="ListBullet"/>
            <w:numPr>
              <w:ilvl w:val="0"/>
              <w:numId w:val="0"/>
            </w:numPr>
            <w:spacing w:after="200" w:line="300" w:lineRule="exact"/>
            <w:contextualSpacing/>
          </w:pPr>
          <w:r w:rsidRPr="00E46DDF">
            <w:t>In 20</w:t>
          </w:r>
          <w:r>
            <w:t>20-</w:t>
          </w:r>
          <w:r w:rsidRPr="00E46DDF">
            <w:t>2</w:t>
          </w:r>
          <w:r>
            <w:t>1</w:t>
          </w:r>
          <w:r w:rsidRPr="00E46DDF">
            <w:t xml:space="preserve"> there were</w:t>
          </w:r>
          <w:r>
            <w:t xml:space="preserve"> 42 projects valued at $4.7 billion that were </w:t>
          </w:r>
          <w:r w:rsidRPr="00BE4705">
            <w:rPr>
              <w:b/>
              <w:bCs/>
            </w:rPr>
            <w:t>completed</w:t>
          </w:r>
          <w:r>
            <w:rPr>
              <w:b/>
              <w:bCs/>
            </w:rPr>
            <w:t xml:space="preserve"> </w:t>
          </w:r>
          <w:r w:rsidRPr="000866CF">
            <w:t>and removed from the pipeline.</w:t>
          </w:r>
          <w:r>
            <w:t xml:space="preserve"> On the other hand, there were 4</w:t>
          </w:r>
          <w:r w:rsidR="00CB617D">
            <w:t>9</w:t>
          </w:r>
          <w:r>
            <w:t xml:space="preserve"> </w:t>
          </w:r>
          <w:r w:rsidRPr="00BE4705">
            <w:rPr>
              <w:b/>
              <w:bCs/>
            </w:rPr>
            <w:t>new projects</w:t>
          </w:r>
          <w:r>
            <w:t xml:space="preserve"> valued at $6.</w:t>
          </w:r>
          <w:r w:rsidR="00CB617D">
            <w:t>5</w:t>
          </w:r>
          <w:r>
            <w:t xml:space="preserve"> billion added to the pipeline.</w:t>
          </w:r>
        </w:p>
        <w:p w14:paraId="40D7ED0D" w14:textId="77777777" w:rsidR="00210BE8" w:rsidRPr="00E46DDF" w:rsidRDefault="00210BE8" w:rsidP="00210BE8">
          <w:pPr>
            <w:spacing w:line="257" w:lineRule="auto"/>
          </w:pPr>
          <w:r>
            <w:t>The</w:t>
          </w:r>
          <w:r w:rsidRPr="00E46DDF">
            <w:t xml:space="preserve"> 20</w:t>
          </w:r>
          <w:r>
            <w:t>20-</w:t>
          </w:r>
          <w:r w:rsidRPr="00E46DDF">
            <w:t>2</w:t>
          </w:r>
          <w:r>
            <w:t>1</w:t>
          </w:r>
          <w:r w:rsidRPr="00E46DDF">
            <w:t xml:space="preserve"> </w:t>
          </w:r>
          <w:r>
            <w:t>pipeline includes</w:t>
          </w:r>
          <w:r w:rsidRPr="00E46DDF">
            <w:t>:</w:t>
          </w:r>
        </w:p>
        <w:p w14:paraId="36ADDCCC" w14:textId="06B0DDE2" w:rsidR="00210BE8" w:rsidRPr="00E46DDF" w:rsidRDefault="00CB617D" w:rsidP="00210BE8">
          <w:pPr>
            <w:pStyle w:val="ListBullet"/>
            <w:spacing w:after="200" w:line="300" w:lineRule="exact"/>
            <w:contextualSpacing/>
          </w:pPr>
          <w:r>
            <w:t>40</w:t>
          </w:r>
          <w:r w:rsidR="00210BE8" w:rsidRPr="00E46DDF">
            <w:t xml:space="preserve"> projects valued at $</w:t>
          </w:r>
          <w:r w:rsidR="00210BE8">
            <w:t>1</w:t>
          </w:r>
          <w:r>
            <w:t>4.0</w:t>
          </w:r>
          <w:r w:rsidR="00210BE8" w:rsidRPr="00E46DDF">
            <w:t xml:space="preserve"> billion in the </w:t>
          </w:r>
          <w:r w:rsidR="00210BE8" w:rsidRPr="00BE4705">
            <w:rPr>
              <w:b/>
              <w:bCs/>
            </w:rPr>
            <w:t>proposed</w:t>
          </w:r>
          <w:r w:rsidR="00210BE8" w:rsidRPr="00E46DDF">
            <w:t xml:space="preserve"> phase</w:t>
          </w:r>
        </w:p>
        <w:p w14:paraId="46FC461E" w14:textId="144D4E53" w:rsidR="00210BE8" w:rsidRPr="00E46DDF" w:rsidRDefault="00210BE8" w:rsidP="00210BE8">
          <w:pPr>
            <w:pStyle w:val="ListBullet"/>
            <w:spacing w:after="200" w:line="300" w:lineRule="exact"/>
            <w:contextualSpacing/>
          </w:pPr>
          <w:r>
            <w:t>10</w:t>
          </w:r>
          <w:r w:rsidR="00CB617D">
            <w:t>8</w:t>
          </w:r>
          <w:r w:rsidRPr="00E46DDF">
            <w:t xml:space="preserve"> projects valued at $</w:t>
          </w:r>
          <w:r>
            <w:t>1</w:t>
          </w:r>
          <w:r w:rsidR="00CB617D">
            <w:t>3.1</w:t>
          </w:r>
          <w:r w:rsidRPr="00E46DDF">
            <w:t xml:space="preserve"> billion in the </w:t>
          </w:r>
          <w:r w:rsidRPr="00BE4705">
            <w:rPr>
              <w:b/>
              <w:bCs/>
            </w:rPr>
            <w:t>planning</w:t>
          </w:r>
          <w:r w:rsidRPr="00E46DDF">
            <w:t xml:space="preserve"> phase</w:t>
          </w:r>
        </w:p>
        <w:p w14:paraId="571AB5BA" w14:textId="77777777" w:rsidR="00210BE8" w:rsidRPr="00C52B3A" w:rsidRDefault="00210BE8" w:rsidP="00210BE8">
          <w:pPr>
            <w:pStyle w:val="ListBullet"/>
            <w:spacing w:after="200" w:line="300" w:lineRule="exact"/>
            <w:contextualSpacing/>
          </w:pPr>
          <w:r>
            <w:t>77</w:t>
          </w:r>
          <w:r w:rsidRPr="00E46DDF">
            <w:t xml:space="preserve"> projects valued at $1</w:t>
          </w:r>
          <w:r>
            <w:t>5.7</w:t>
          </w:r>
          <w:r w:rsidRPr="00E46DDF">
            <w:t xml:space="preserve"> billion in the </w:t>
          </w:r>
          <w:r w:rsidRPr="00BE4705">
            <w:rPr>
              <w:b/>
              <w:bCs/>
            </w:rPr>
            <w:t>under-construction</w:t>
          </w:r>
          <w:r w:rsidRPr="00E46DDF">
            <w:t xml:space="preserve"> phase</w:t>
          </w:r>
          <w:r>
            <w:t xml:space="preserve"> (of which, 28 projects moved into the construction phase in 2020-21).</w:t>
          </w:r>
        </w:p>
        <w:p w14:paraId="36BA8FB1" w14:textId="77777777" w:rsidR="00210BE8" w:rsidRPr="00292C9B" w:rsidRDefault="00210BE8" w:rsidP="00210BE8">
          <w:pPr>
            <w:pStyle w:val="Caption"/>
            <w:keepNext/>
            <w:spacing w:before="240" w:after="0"/>
            <w:rPr>
              <w:i w:val="0"/>
              <w:iCs w:val="0"/>
              <w:sz w:val="22"/>
              <w:szCs w:val="22"/>
            </w:rPr>
          </w:pPr>
          <w:r w:rsidRPr="00292C9B">
            <w:rPr>
              <w:i w:val="0"/>
              <w:iCs w:val="0"/>
              <w:sz w:val="22"/>
              <w:szCs w:val="22"/>
            </w:rPr>
            <w:lastRenderedPageBreak/>
            <w:t xml:space="preserve">Figure </w:t>
          </w:r>
          <w:r w:rsidRPr="00292C9B">
            <w:rPr>
              <w:i w:val="0"/>
              <w:iCs w:val="0"/>
              <w:sz w:val="22"/>
              <w:szCs w:val="22"/>
            </w:rPr>
            <w:fldChar w:fldCharType="begin"/>
          </w:r>
          <w:r w:rsidRPr="00292C9B">
            <w:rPr>
              <w:i w:val="0"/>
              <w:iCs w:val="0"/>
              <w:sz w:val="22"/>
              <w:szCs w:val="22"/>
            </w:rPr>
            <w:instrText xml:space="preserve"> SEQ Figure \* ARABIC </w:instrText>
          </w:r>
          <w:r w:rsidRPr="00292C9B">
            <w:rPr>
              <w:i w:val="0"/>
              <w:iCs w:val="0"/>
              <w:sz w:val="22"/>
              <w:szCs w:val="22"/>
            </w:rPr>
            <w:fldChar w:fldCharType="separate"/>
          </w:r>
          <w:r w:rsidRPr="00292C9B">
            <w:rPr>
              <w:i w:val="0"/>
              <w:iCs w:val="0"/>
              <w:sz w:val="22"/>
              <w:szCs w:val="22"/>
            </w:rPr>
            <w:t>1</w:t>
          </w:r>
          <w:r w:rsidRPr="00292C9B">
            <w:rPr>
              <w:i w:val="0"/>
              <w:iCs w:val="0"/>
              <w:sz w:val="22"/>
              <w:szCs w:val="22"/>
            </w:rPr>
            <w:fldChar w:fldCharType="end"/>
          </w:r>
          <w:r w:rsidRPr="00292C9B">
            <w:rPr>
              <w:i w:val="0"/>
              <w:iCs w:val="0"/>
              <w:sz w:val="22"/>
              <w:szCs w:val="22"/>
            </w:rPr>
            <w:t>: Value of the tourism investment pipeline in Australia in 2020-21</w:t>
          </w:r>
        </w:p>
        <w:p w14:paraId="198E773F" w14:textId="3BE298E2" w:rsidR="00FE5FDC" w:rsidRPr="00DF72C3" w:rsidRDefault="00FE5FDC" w:rsidP="00210BE8">
          <w:pPr>
            <w:pStyle w:val="ListBullet"/>
            <w:numPr>
              <w:ilvl w:val="0"/>
              <w:numId w:val="0"/>
            </w:numPr>
          </w:pPr>
          <w:r w:rsidRPr="00FE5FDC">
            <w:rPr>
              <w:noProof/>
            </w:rPr>
            <w:drawing>
              <wp:inline distT="0" distB="0" distL="0" distR="0" wp14:anchorId="510A1393" wp14:editId="3887042A">
                <wp:extent cx="6329680" cy="2718435"/>
                <wp:effectExtent l="0" t="0" r="0" b="5715"/>
                <wp:docPr id="3" name="Picture 3" descr="This horizontal bar chart has 4 bars. The first shows the value of the total tourism investment pipeline in Australia in 2020-21. This bar is apportioned to show the share of projects at each phase - under construction, planning and proposed. There is also a bar for each of the three component pipelines - Aviation, Accommodation and Arts, recreation and business services. Each of these three bars is similarly broken down into the three project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horizontal bar chart has 4 bars. The first shows the value of the total tourism investment pipeline in Australia in 2020-21. This bar is apportioned to show the share of projects at each phase - under construction, planning and proposed. There is also a bar for each of the three component pipelines - Aviation, Accommodation and Arts, recreation and business services. Each of these three bars is similarly broken down into the three project phas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9680" cy="2718435"/>
                        </a:xfrm>
                        <a:prstGeom prst="rect">
                          <a:avLst/>
                        </a:prstGeom>
                        <a:noFill/>
                        <a:ln>
                          <a:noFill/>
                        </a:ln>
                      </pic:spPr>
                    </pic:pic>
                  </a:graphicData>
                </a:graphic>
              </wp:inline>
            </w:drawing>
          </w:r>
        </w:p>
        <w:p w14:paraId="3212A744" w14:textId="77777777" w:rsidR="00210BE8" w:rsidRDefault="00210BE8" w:rsidP="00210BE8">
          <w:pPr>
            <w:pStyle w:val="Heading3"/>
          </w:pPr>
          <w:bookmarkStart w:id="25" w:name="_Toc95899253"/>
          <w:bookmarkStart w:id="26" w:name="_Toc95899335"/>
          <w:r>
            <w:t>Assessment</w:t>
          </w:r>
          <w:bookmarkEnd w:id="25"/>
          <w:bookmarkEnd w:id="26"/>
        </w:p>
        <w:p w14:paraId="10A7A13D" w14:textId="28186A3B" w:rsidR="00210BE8" w:rsidRDefault="00210BE8" w:rsidP="00210BE8">
          <w:pPr>
            <w:spacing w:before="120"/>
          </w:pPr>
          <w:r>
            <w:t xml:space="preserve">Conditions over most of the past two years have been much less conducive for investment than prior years. The ongoing pandemic has led to increased economic uncertainty, </w:t>
          </w:r>
          <w:r w:rsidR="0057619A">
            <w:t>affected</w:t>
          </w:r>
          <w:r>
            <w:t xml:space="preserve"> global investment appetite and </w:t>
          </w:r>
          <w:r w:rsidR="0057619A">
            <w:t xml:space="preserve">initially </w:t>
          </w:r>
          <w:r>
            <w:t>reduced global investment capital flows. In addition, travel restrictions and limits to the number of people permitted on worksites may have slowed construction progress as well as the progress of projects through the planning stages (which may require site visits etc.).</w:t>
          </w:r>
          <w:r w:rsidRPr="007C7518">
            <w:t xml:space="preserve"> </w:t>
          </w:r>
          <w:r>
            <w:t>Workforces may have also been affected by illness.</w:t>
          </w:r>
        </w:p>
        <w:p w14:paraId="09E16A38" w14:textId="77777777" w:rsidR="00210BE8" w:rsidRDefault="00210BE8" w:rsidP="00210BE8">
          <w:r>
            <w:t xml:space="preserve">Nevertheless, the value of tourism investment projects in the pipeline in 2020-21 remains substantial. </w:t>
          </w:r>
          <w:proofErr w:type="gramStart"/>
          <w:r>
            <w:t>A large number of</w:t>
          </w:r>
          <w:proofErr w:type="gramEnd"/>
          <w:r>
            <w:t xml:space="preserve"> projects entered the pipeline in the year, and many others made progress through the pipeline stages. As mentioned above, 42 tourism projects, worth $4.7 billion, were completed in 2020-21. These projects continue to add to Australia’s wealth of tourism assets.</w:t>
          </w:r>
        </w:p>
        <w:p w14:paraId="27B49DA5" w14:textId="77777777" w:rsidR="00210BE8" w:rsidRDefault="00210BE8" w:rsidP="00210BE8">
          <w:r>
            <w:t xml:space="preserve">There were, however, projects that were deferred due to uncertainty (and hence removed from the pipeline). In addition, several accommodation projects had their planned opening date pushed back. These delayed openings will likely coincide with the </w:t>
          </w:r>
          <w:hyperlink r:id="rId21" w:history="1">
            <w:r w:rsidRPr="00A817AA">
              <w:rPr>
                <w:rStyle w:val="Hyperlink"/>
              </w:rPr>
              <w:t>forecast</w:t>
            </w:r>
          </w:hyperlink>
          <w:r>
            <w:t xml:space="preserve"> recovery in domestic and international demand from 2022.</w:t>
          </w:r>
        </w:p>
        <w:p w14:paraId="5710785D" w14:textId="3B0C2992" w:rsidR="00210BE8" w:rsidRDefault="00210BE8" w:rsidP="00210BE8">
          <w:r>
            <w:t xml:space="preserve">In contrast to the subdued </w:t>
          </w:r>
          <w:r w:rsidR="002F50CF">
            <w:t xml:space="preserve">overall </w:t>
          </w:r>
          <w:r>
            <w:t>investment climate, there was a</w:t>
          </w:r>
          <w:r w:rsidR="002F50CF">
            <w:t xml:space="preserve"> marginal</w:t>
          </w:r>
          <w:r>
            <w:t xml:space="preserve"> increase in tourism investment projects in the arts, recreation and business services sector. Some of these new projects are associated with the 2032 Brisbane Olympics. </w:t>
          </w:r>
        </w:p>
        <w:p w14:paraId="5EF3BFD4" w14:textId="48131509" w:rsidR="00D464A7" w:rsidRDefault="00D464A7" w:rsidP="00210BE8"/>
        <w:p w14:paraId="1F1ADF20" w14:textId="6F4F4DF3" w:rsidR="00D464A7" w:rsidRDefault="00D464A7" w:rsidP="00210BE8"/>
        <w:p w14:paraId="506E68CD" w14:textId="77777777" w:rsidR="00D464A7" w:rsidRPr="00BE4705" w:rsidRDefault="00D464A7" w:rsidP="00210BE8"/>
        <w:p w14:paraId="2DE6752F" w14:textId="77777777" w:rsidR="00210BE8" w:rsidRPr="00E46DDF" w:rsidRDefault="00210BE8" w:rsidP="00210BE8">
          <w:pPr>
            <w:pStyle w:val="Heading3"/>
          </w:pPr>
          <w:bookmarkStart w:id="27" w:name="_Toc95899254"/>
          <w:bookmarkStart w:id="28" w:name="_Toc95899336"/>
          <w:r w:rsidRPr="00E46DDF">
            <w:lastRenderedPageBreak/>
            <w:t>Mixed-use developments</w:t>
          </w:r>
          <w:bookmarkEnd w:id="27"/>
          <w:bookmarkEnd w:id="28"/>
        </w:p>
        <w:p w14:paraId="7D2A470A" w14:textId="74C1869E" w:rsidR="00210BE8" w:rsidRPr="00E46DDF" w:rsidRDefault="00210BE8" w:rsidP="00210BE8">
          <w:r w:rsidRPr="00E46DDF">
            <w:t xml:space="preserve">The investment pipeline excludes mixed-use developments. </w:t>
          </w:r>
          <w:r w:rsidR="002F50CF">
            <w:t>These</w:t>
          </w:r>
          <w:r w:rsidRPr="00E46DDF">
            <w:t xml:space="preserve"> </w:t>
          </w:r>
          <w:r>
            <w:t xml:space="preserve">projects may </w:t>
          </w:r>
          <w:r w:rsidRPr="00E46DDF">
            <w:t>combin</w:t>
          </w:r>
          <w:r>
            <w:t>e</w:t>
          </w:r>
          <w:r w:rsidRPr="00E46DDF">
            <w:t xml:space="preserve"> </w:t>
          </w:r>
          <w:r>
            <w:t>short-term</w:t>
          </w:r>
          <w:r w:rsidRPr="00E46DDF">
            <w:t xml:space="preserve"> accommodation, residential, commercial </w:t>
          </w:r>
          <w:r>
            <w:t>and</w:t>
          </w:r>
          <w:r w:rsidRPr="00E46DDF">
            <w:t xml:space="preserve"> leisure spaces. </w:t>
          </w:r>
          <w:r>
            <w:t>They</w:t>
          </w:r>
          <w:r w:rsidRPr="00E46DDF">
            <w:t xml:space="preserve"> offer significant value to Australian tourism</w:t>
          </w:r>
          <w:r>
            <w:t xml:space="preserve"> and contribute to the stock of hotel rooms. However, they are ex</w:t>
          </w:r>
          <w:r w:rsidRPr="00E46DDF">
            <w:t>cluded in the pipeline</w:t>
          </w:r>
          <w:r>
            <w:t xml:space="preserve"> due to the difficulty in attributing a value to the tourism-specific component of the project.</w:t>
          </w:r>
          <w:r w:rsidRPr="00E46DDF">
            <w:t xml:space="preserve"> </w:t>
          </w:r>
        </w:p>
        <w:p w14:paraId="59F448F6" w14:textId="77777777" w:rsidR="00210BE8" w:rsidRDefault="00210BE8" w:rsidP="00210BE8">
          <w:r w:rsidRPr="00E46DDF">
            <w:t>In 2020</w:t>
          </w:r>
          <w:r>
            <w:t>-21</w:t>
          </w:r>
          <w:r w:rsidRPr="00E46DDF">
            <w:t xml:space="preserve"> there were 1</w:t>
          </w:r>
          <w:r>
            <w:t>36</w:t>
          </w:r>
          <w:r w:rsidRPr="00E46DDF">
            <w:t xml:space="preserve"> mixed-use developments valued at $5</w:t>
          </w:r>
          <w:r>
            <w:t>8.7</w:t>
          </w:r>
          <w:r w:rsidRPr="00E46DDF">
            <w:t xml:space="preserve"> billion with the potential to add </w:t>
          </w:r>
          <w:r>
            <w:t>28,000</w:t>
          </w:r>
          <w:r w:rsidRPr="00E46DDF">
            <w:t xml:space="preserve"> rooms to accommodation supply. </w:t>
          </w:r>
          <w:r>
            <w:t xml:space="preserve">The mixed-use pipeline is very large: it has the potential to add more rooms than the stand-alone accommodation pipeline and the value is greater than the total tourism investment pipeline. </w:t>
          </w:r>
        </w:p>
        <w:p w14:paraId="0B9FE8CD" w14:textId="2F25572E" w:rsidR="00210BE8" w:rsidRDefault="00210BE8" w:rsidP="00210BE8">
          <w:r>
            <w:t xml:space="preserve">The pipeline of mixed-use projects remained very large in 2020-21, and the value of the mixed-use pipeline increased by $0.8 billion compared with 2019-20. However, there were 12 fewer mixed-use projects and a decline of 1,900 rooms in the year. This large pipeline may </w:t>
          </w:r>
          <w:r w:rsidRPr="00A171C9">
            <w:t xml:space="preserve">indicate </w:t>
          </w:r>
          <w:r>
            <w:t xml:space="preserve">a sustained high level of confidence in diversified </w:t>
          </w:r>
          <w:r w:rsidRPr="00A171C9">
            <w:t>investment</w:t>
          </w:r>
          <w:r>
            <w:t>s such as those</w:t>
          </w:r>
          <w:r w:rsidRPr="00A171C9">
            <w:t xml:space="preserve"> </w:t>
          </w:r>
          <w:r>
            <w:t xml:space="preserve">that include the </w:t>
          </w:r>
          <w:r w:rsidRPr="00A171C9">
            <w:t xml:space="preserve">tourism </w:t>
          </w:r>
          <w:r>
            <w:t xml:space="preserve">sector as well as </w:t>
          </w:r>
          <w:r w:rsidRPr="00A171C9">
            <w:t>residen</w:t>
          </w:r>
          <w:r>
            <w:t>tial</w:t>
          </w:r>
          <w:r w:rsidRPr="00A171C9">
            <w:t xml:space="preserve"> and </w:t>
          </w:r>
          <w:r>
            <w:t xml:space="preserve">commercial </w:t>
          </w:r>
          <w:r w:rsidRPr="00A171C9">
            <w:t>spaces.</w:t>
          </w:r>
        </w:p>
        <w:p w14:paraId="468E5EB8" w14:textId="77777777" w:rsidR="00D464A7" w:rsidRDefault="00D464A7" w:rsidP="00210BE8"/>
        <w:p w14:paraId="10B2B560" w14:textId="77777777" w:rsidR="00210BE8" w:rsidRPr="00D464A7" w:rsidRDefault="00210BE8" w:rsidP="00210BE8">
          <w:pPr>
            <w:pStyle w:val="Heading2"/>
            <w:rPr>
              <w:b w:val="0"/>
              <w:bCs/>
              <w:color w:val="7A4282" w:themeColor="accent1"/>
              <w:sz w:val="32"/>
              <w:szCs w:val="28"/>
            </w:rPr>
          </w:pPr>
          <w:bookmarkStart w:id="29" w:name="_Toc95805095"/>
          <w:bookmarkStart w:id="30" w:name="_Toc95899337"/>
          <w:r w:rsidRPr="00D464A7">
            <w:rPr>
              <w:b w:val="0"/>
              <w:bCs/>
              <w:color w:val="7A4282" w:themeColor="accent1"/>
              <w:sz w:val="32"/>
              <w:szCs w:val="28"/>
            </w:rPr>
            <w:t>State and territory breakdown of the pipeline</w:t>
          </w:r>
          <w:bookmarkEnd w:id="29"/>
          <w:bookmarkEnd w:id="30"/>
        </w:p>
        <w:p w14:paraId="32E4E07E" w14:textId="77777777" w:rsidR="00210BE8" w:rsidRPr="00E46DDF" w:rsidRDefault="00210BE8" w:rsidP="00210BE8">
          <w:r w:rsidRPr="00E46DDF">
            <w:t>The</w:t>
          </w:r>
          <w:r>
            <w:t xml:space="preserve"> tourism investment</w:t>
          </w:r>
          <w:r w:rsidRPr="00E46DDF">
            <w:t xml:space="preserve"> pipeline shows large variation in the type of investments across each state and territory. </w:t>
          </w:r>
          <w:r>
            <w:t xml:space="preserve">The </w:t>
          </w:r>
          <w:r w:rsidRPr="00E46DDF">
            <w:t>tourism industry in each jurisdiction varies quite significantly</w:t>
          </w:r>
          <w:r>
            <w:t>, and the pipeline reflects this</w:t>
          </w:r>
          <w:r w:rsidRPr="00E46DDF">
            <w:t xml:space="preserve">. For example, the Australian Capital Territory has a greater reliance on business travel, with a strong international student cohort. In contrast, Western Australia relies </w:t>
          </w:r>
          <w:r>
            <w:t xml:space="preserve">more </w:t>
          </w:r>
          <w:r w:rsidRPr="00E46DDF">
            <w:t xml:space="preserve">on domestic intrastate travel with a wide area to cover. </w:t>
          </w:r>
        </w:p>
        <w:p w14:paraId="11851998" w14:textId="77777777" w:rsidR="00210BE8" w:rsidRPr="00FF23E3" w:rsidRDefault="00210BE8" w:rsidP="00210BE8">
          <w:pPr>
            <w:pStyle w:val="Heading3"/>
          </w:pPr>
          <w:bookmarkStart w:id="31" w:name="_Toc95805096"/>
          <w:bookmarkStart w:id="32" w:name="_Toc95899256"/>
          <w:bookmarkStart w:id="33" w:name="_Toc95899338"/>
          <w:r w:rsidRPr="00FF23E3">
            <w:t>New South Wales</w:t>
          </w:r>
          <w:bookmarkEnd w:id="31"/>
          <w:bookmarkEnd w:id="32"/>
          <w:bookmarkEnd w:id="33"/>
        </w:p>
        <w:p w14:paraId="3A338B33" w14:textId="77777777" w:rsidR="00210BE8" w:rsidRPr="00D06896" w:rsidRDefault="00210BE8" w:rsidP="00210BE8">
          <w:pPr>
            <w:pStyle w:val="ListBullet"/>
            <w:spacing w:after="200" w:line="300" w:lineRule="exact"/>
            <w:contextualSpacing/>
            <w:rPr>
              <w:rFonts w:asciiTheme="majorHAnsi" w:eastAsia="Calibri" w:hAnsiTheme="majorHAnsi" w:cs="Calibri"/>
            </w:rPr>
          </w:pPr>
          <w:r w:rsidRPr="00D06896">
            <w:rPr>
              <w:rFonts w:asciiTheme="majorHAnsi" w:hAnsiTheme="majorHAnsi"/>
            </w:rPr>
            <w:t>The pipeline of tourism investment in New South Wales</w:t>
          </w:r>
          <w:r>
            <w:rPr>
              <w:rFonts w:asciiTheme="majorHAnsi" w:hAnsiTheme="majorHAnsi"/>
            </w:rPr>
            <w:t xml:space="preserve"> was</w:t>
          </w:r>
          <w:r w:rsidRPr="00D06896">
            <w:rPr>
              <w:rFonts w:asciiTheme="majorHAnsi" w:hAnsiTheme="majorHAnsi"/>
              <w:b/>
              <w:bCs/>
              <w:caps/>
            </w:rPr>
            <w:t xml:space="preserve"> </w:t>
          </w:r>
          <w:r>
            <w:rPr>
              <w:rFonts w:asciiTheme="majorHAnsi" w:eastAsia="Calibri" w:hAnsiTheme="majorHAnsi" w:cs="Calibri"/>
            </w:rPr>
            <w:t>the largest of all the states and territories. The NSW pipeline accounted for around one-third</w:t>
          </w:r>
          <w:r w:rsidRPr="00D06896">
            <w:rPr>
              <w:rFonts w:asciiTheme="majorHAnsi" w:eastAsia="Calibri" w:hAnsiTheme="majorHAnsi" w:cs="Calibri"/>
            </w:rPr>
            <w:t xml:space="preserve"> of all tourism investment, with </w:t>
          </w:r>
          <w:r>
            <w:rPr>
              <w:rFonts w:asciiTheme="majorHAnsi" w:eastAsia="Calibri" w:hAnsiTheme="majorHAnsi" w:cs="Calibri"/>
            </w:rPr>
            <w:t>56</w:t>
          </w:r>
          <w:r w:rsidRPr="00D06896">
            <w:rPr>
              <w:rFonts w:asciiTheme="majorHAnsi" w:eastAsia="Calibri" w:hAnsiTheme="majorHAnsi" w:cs="Calibri"/>
            </w:rPr>
            <w:t xml:space="preserve"> projects valued at $</w:t>
          </w:r>
          <w:r>
            <w:rPr>
              <w:rFonts w:asciiTheme="majorHAnsi" w:eastAsia="Calibri" w:hAnsiTheme="majorHAnsi" w:cs="Calibri"/>
            </w:rPr>
            <w:t>13.7</w:t>
          </w:r>
          <w:r w:rsidRPr="00D06896">
            <w:rPr>
              <w:rFonts w:asciiTheme="majorHAnsi" w:eastAsia="Calibri" w:hAnsiTheme="majorHAnsi" w:cs="Calibri"/>
            </w:rPr>
            <w:t xml:space="preserve"> billion. </w:t>
          </w:r>
        </w:p>
        <w:p w14:paraId="666FF918" w14:textId="3F56432D" w:rsidR="00210BE8" w:rsidRDefault="00210BE8" w:rsidP="00210BE8">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t xml:space="preserve">Investment in the aviation </w:t>
          </w:r>
          <w:r>
            <w:rPr>
              <w:rFonts w:asciiTheme="majorHAnsi" w:eastAsia="Calibri" w:hAnsiTheme="majorHAnsi" w:cs="Calibri"/>
            </w:rPr>
            <w:t xml:space="preserve">sector totalled </w:t>
          </w:r>
          <w:r w:rsidRPr="00D06896">
            <w:rPr>
              <w:rFonts w:asciiTheme="majorHAnsi" w:eastAsia="Calibri" w:hAnsiTheme="majorHAnsi" w:cs="Calibri"/>
            </w:rPr>
            <w:t>$5.</w:t>
          </w:r>
          <w:r>
            <w:rPr>
              <w:rFonts w:asciiTheme="majorHAnsi" w:eastAsia="Calibri" w:hAnsiTheme="majorHAnsi" w:cs="Calibri"/>
            </w:rPr>
            <w:t>7</w:t>
          </w:r>
          <w:r w:rsidRPr="00D06896">
            <w:rPr>
              <w:rFonts w:asciiTheme="majorHAnsi" w:eastAsia="Calibri" w:hAnsiTheme="majorHAnsi" w:cs="Calibri"/>
            </w:rPr>
            <w:t xml:space="preserve"> billion</w:t>
          </w:r>
          <w:r w:rsidR="002F50CF">
            <w:rPr>
              <w:rFonts w:asciiTheme="majorHAnsi" w:eastAsia="Calibri" w:hAnsiTheme="majorHAnsi" w:cs="Calibri"/>
            </w:rPr>
            <w:t>.</w:t>
          </w:r>
        </w:p>
        <w:p w14:paraId="70B3F830" w14:textId="6B5BDEDA" w:rsidR="00210BE8" w:rsidRDefault="00210BE8" w:rsidP="00210BE8">
          <w:pPr>
            <w:pStyle w:val="ListBullet"/>
            <w:spacing w:after="200" w:line="300" w:lineRule="exact"/>
            <w:contextualSpacing/>
            <w:rPr>
              <w:rFonts w:asciiTheme="majorHAnsi" w:eastAsia="Calibri" w:hAnsiTheme="majorHAnsi" w:cs="Calibri"/>
            </w:rPr>
          </w:pPr>
          <w:r>
            <w:rPr>
              <w:rFonts w:asciiTheme="majorHAnsi" w:eastAsia="Calibri" w:hAnsiTheme="majorHAnsi" w:cs="Calibri"/>
            </w:rPr>
            <w:t>Investment in the</w:t>
          </w:r>
          <w:r w:rsidRPr="00D06896">
            <w:rPr>
              <w:rFonts w:asciiTheme="majorHAnsi" w:eastAsia="Calibri" w:hAnsiTheme="majorHAnsi" w:cs="Calibri"/>
            </w:rPr>
            <w:t xml:space="preserve"> arts, recreation and business services </w:t>
          </w:r>
          <w:r>
            <w:rPr>
              <w:rFonts w:asciiTheme="majorHAnsi" w:eastAsia="Calibri" w:hAnsiTheme="majorHAnsi" w:cs="Calibri"/>
            </w:rPr>
            <w:t xml:space="preserve">sector totalled </w:t>
          </w:r>
          <w:r w:rsidRPr="00D06896">
            <w:rPr>
              <w:rFonts w:asciiTheme="majorHAnsi" w:eastAsia="Calibri" w:hAnsiTheme="majorHAnsi" w:cs="Calibri"/>
            </w:rPr>
            <w:t>$</w:t>
          </w:r>
          <w:r>
            <w:rPr>
              <w:rFonts w:asciiTheme="majorHAnsi" w:eastAsia="Calibri" w:hAnsiTheme="majorHAnsi" w:cs="Calibri"/>
            </w:rPr>
            <w:t>4.1</w:t>
          </w:r>
          <w:r w:rsidRPr="00D06896">
            <w:rPr>
              <w:rFonts w:asciiTheme="majorHAnsi" w:eastAsia="Calibri" w:hAnsiTheme="majorHAnsi" w:cs="Calibri"/>
            </w:rPr>
            <w:t xml:space="preserve"> billion</w:t>
          </w:r>
          <w:r w:rsidR="002F50CF">
            <w:rPr>
              <w:rFonts w:asciiTheme="majorHAnsi" w:eastAsia="Calibri" w:hAnsiTheme="majorHAnsi" w:cs="Calibri"/>
            </w:rPr>
            <w:t>.</w:t>
          </w:r>
        </w:p>
        <w:p w14:paraId="43454DE9" w14:textId="77777777" w:rsidR="00210BE8" w:rsidRPr="00D06896" w:rsidRDefault="00210BE8" w:rsidP="00210BE8">
          <w:pPr>
            <w:pStyle w:val="ListBullet"/>
            <w:spacing w:after="200" w:line="300" w:lineRule="exact"/>
            <w:contextualSpacing/>
            <w:rPr>
              <w:rFonts w:asciiTheme="majorHAnsi" w:eastAsia="Calibri" w:hAnsiTheme="majorHAnsi" w:cs="Calibri"/>
            </w:rPr>
          </w:pPr>
          <w:r>
            <w:rPr>
              <w:rFonts w:asciiTheme="majorHAnsi" w:eastAsia="Calibri" w:hAnsiTheme="majorHAnsi" w:cs="Calibri"/>
            </w:rPr>
            <w:t xml:space="preserve">Investment in the stand-alone accommodation </w:t>
          </w:r>
          <w:r w:rsidRPr="00D06896">
            <w:rPr>
              <w:rFonts w:asciiTheme="majorHAnsi" w:eastAsia="Calibri" w:hAnsiTheme="majorHAnsi" w:cs="Calibri"/>
            </w:rPr>
            <w:t>sector</w:t>
          </w:r>
          <w:r>
            <w:rPr>
              <w:rFonts w:asciiTheme="majorHAnsi" w:eastAsia="Calibri" w:hAnsiTheme="majorHAnsi" w:cs="Calibri"/>
            </w:rPr>
            <w:t xml:space="preserve"> totalled $4.0 billion</w:t>
          </w:r>
          <w:r w:rsidRPr="00D06896">
            <w:rPr>
              <w:rFonts w:asciiTheme="majorHAnsi" w:eastAsia="Calibri" w:hAnsiTheme="majorHAnsi" w:cs="Calibri"/>
            </w:rPr>
            <w:t xml:space="preserve">. </w:t>
          </w:r>
        </w:p>
        <w:p w14:paraId="54CAC2E1" w14:textId="77777777" w:rsidR="00210BE8" w:rsidRPr="00D06896" w:rsidRDefault="00210BE8" w:rsidP="00210BE8">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t>Capital city investment was $13.</w:t>
          </w:r>
          <w:r>
            <w:rPr>
              <w:rFonts w:asciiTheme="majorHAnsi" w:eastAsia="Calibri" w:hAnsiTheme="majorHAnsi" w:cs="Calibri"/>
            </w:rPr>
            <w:t>0</w:t>
          </w:r>
          <w:r w:rsidRPr="00D06896">
            <w:rPr>
              <w:rFonts w:asciiTheme="majorHAnsi" w:eastAsia="Calibri" w:hAnsiTheme="majorHAnsi" w:cs="Calibri"/>
            </w:rPr>
            <w:t xml:space="preserve"> billion</w:t>
          </w:r>
          <w:r>
            <w:rPr>
              <w:rFonts w:asciiTheme="majorHAnsi" w:eastAsia="Calibri" w:hAnsiTheme="majorHAnsi" w:cs="Calibri"/>
            </w:rPr>
            <w:t xml:space="preserve"> (down from $13.6 billion in 2019-20)</w:t>
          </w:r>
          <w:r w:rsidRPr="00D06896">
            <w:rPr>
              <w:rFonts w:asciiTheme="majorHAnsi" w:eastAsia="Calibri" w:hAnsiTheme="majorHAnsi" w:cs="Calibri"/>
            </w:rPr>
            <w:t xml:space="preserve">. </w:t>
          </w:r>
        </w:p>
        <w:p w14:paraId="01A30669" w14:textId="77777777" w:rsidR="00210BE8" w:rsidRPr="00D06896" w:rsidRDefault="00210BE8" w:rsidP="00210BE8">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t>Regional investment was $</w:t>
          </w:r>
          <w:r>
            <w:rPr>
              <w:rFonts w:asciiTheme="majorHAnsi" w:eastAsia="Calibri" w:hAnsiTheme="majorHAnsi" w:cs="Calibri"/>
            </w:rPr>
            <w:t>0.8 billion (up from $0.6 b</w:t>
          </w:r>
          <w:r w:rsidRPr="00D06896">
            <w:rPr>
              <w:rFonts w:asciiTheme="majorHAnsi" w:eastAsia="Calibri" w:hAnsiTheme="majorHAnsi" w:cs="Calibri"/>
            </w:rPr>
            <w:t>illion</w:t>
          </w:r>
          <w:r>
            <w:rPr>
              <w:rFonts w:asciiTheme="majorHAnsi" w:eastAsia="Calibri" w:hAnsiTheme="majorHAnsi" w:cs="Calibri"/>
            </w:rPr>
            <w:t xml:space="preserve"> in 2019-20)</w:t>
          </w:r>
          <w:r w:rsidRPr="00D06896">
            <w:rPr>
              <w:rFonts w:asciiTheme="majorHAnsi" w:eastAsia="Calibri" w:hAnsiTheme="majorHAnsi" w:cs="Calibri"/>
            </w:rPr>
            <w:t>.</w:t>
          </w:r>
        </w:p>
        <w:p w14:paraId="6639A75C" w14:textId="77777777" w:rsidR="00210BE8" w:rsidRPr="00AF7DB4" w:rsidRDefault="00210BE8" w:rsidP="00210BE8">
          <w:pPr>
            <w:pStyle w:val="Heading3"/>
          </w:pPr>
          <w:bookmarkStart w:id="34" w:name="_Toc95805097"/>
          <w:bookmarkStart w:id="35" w:name="_Toc95899257"/>
          <w:bookmarkStart w:id="36" w:name="_Toc95899339"/>
          <w:r w:rsidRPr="00AF7DB4">
            <w:t>Victoria</w:t>
          </w:r>
          <w:bookmarkEnd w:id="34"/>
          <w:bookmarkEnd w:id="35"/>
          <w:bookmarkEnd w:id="36"/>
        </w:p>
        <w:p w14:paraId="4CD65D9F" w14:textId="77777777" w:rsidR="00210BE8" w:rsidRPr="00E46DDF" w:rsidRDefault="00210BE8" w:rsidP="00210BE8">
          <w:pPr>
            <w:pStyle w:val="ListBullet"/>
            <w:spacing w:after="200" w:line="300" w:lineRule="exact"/>
            <w:contextualSpacing/>
          </w:pPr>
          <w:r>
            <w:t>There were also 56</w:t>
          </w:r>
          <w:r w:rsidRPr="00E46DDF">
            <w:t xml:space="preserve"> projects </w:t>
          </w:r>
          <w:r>
            <w:t xml:space="preserve">in the tourism investment pipeline in Victoria, which were </w:t>
          </w:r>
          <w:r w:rsidRPr="00E46DDF">
            <w:t>valued at $</w:t>
          </w:r>
          <w:r>
            <w:t>12.6</w:t>
          </w:r>
          <w:r w:rsidRPr="00E46DDF">
            <w:t xml:space="preserve"> billion. </w:t>
          </w:r>
        </w:p>
        <w:p w14:paraId="56D282F6" w14:textId="77777777" w:rsidR="00210BE8" w:rsidRDefault="00210BE8" w:rsidP="00210BE8">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lastRenderedPageBreak/>
            <w:t xml:space="preserve">Investment in the aviation </w:t>
          </w:r>
          <w:r>
            <w:rPr>
              <w:rFonts w:asciiTheme="majorHAnsi" w:eastAsia="Calibri" w:hAnsiTheme="majorHAnsi" w:cs="Calibri"/>
            </w:rPr>
            <w:t xml:space="preserve">sector totalled </w:t>
          </w:r>
          <w:r w:rsidRPr="00D06896">
            <w:rPr>
              <w:rFonts w:asciiTheme="majorHAnsi" w:eastAsia="Calibri" w:hAnsiTheme="majorHAnsi" w:cs="Calibri"/>
            </w:rPr>
            <w:t>$</w:t>
          </w:r>
          <w:r>
            <w:rPr>
              <w:rFonts w:asciiTheme="majorHAnsi" w:eastAsia="Calibri" w:hAnsiTheme="majorHAnsi" w:cs="Calibri"/>
            </w:rPr>
            <w:t>8.5</w:t>
          </w:r>
          <w:r w:rsidRPr="00D06896">
            <w:rPr>
              <w:rFonts w:asciiTheme="majorHAnsi" w:eastAsia="Calibri" w:hAnsiTheme="majorHAnsi" w:cs="Calibri"/>
            </w:rPr>
            <w:t xml:space="preserve"> billion</w:t>
          </w:r>
          <w:r>
            <w:rPr>
              <w:rFonts w:asciiTheme="majorHAnsi" w:eastAsia="Calibri" w:hAnsiTheme="majorHAnsi" w:cs="Calibri"/>
            </w:rPr>
            <w:t xml:space="preserve">, </w:t>
          </w:r>
          <w:r w:rsidRPr="00E46DDF">
            <w:t xml:space="preserve">with </w:t>
          </w:r>
          <w:r>
            <w:t xml:space="preserve">a major contribution from </w:t>
          </w:r>
          <w:r w:rsidRPr="00E46DDF">
            <w:t>the proposed Koo Wee Rup privately owned airport worth $7 billion.</w:t>
          </w:r>
        </w:p>
        <w:p w14:paraId="64F70E47" w14:textId="3E81324E" w:rsidR="00210BE8" w:rsidRDefault="00210BE8" w:rsidP="00210BE8">
          <w:pPr>
            <w:pStyle w:val="ListBullet"/>
            <w:spacing w:after="200" w:line="300" w:lineRule="exact"/>
            <w:contextualSpacing/>
            <w:rPr>
              <w:rFonts w:asciiTheme="majorHAnsi" w:eastAsia="Calibri" w:hAnsiTheme="majorHAnsi" w:cs="Calibri"/>
            </w:rPr>
          </w:pPr>
          <w:r>
            <w:rPr>
              <w:rFonts w:asciiTheme="majorHAnsi" w:eastAsia="Calibri" w:hAnsiTheme="majorHAnsi" w:cs="Calibri"/>
            </w:rPr>
            <w:t>Investment in the</w:t>
          </w:r>
          <w:r w:rsidRPr="00D06896">
            <w:rPr>
              <w:rFonts w:asciiTheme="majorHAnsi" w:eastAsia="Calibri" w:hAnsiTheme="majorHAnsi" w:cs="Calibri"/>
            </w:rPr>
            <w:t xml:space="preserve"> arts, recreation and business services </w:t>
          </w:r>
          <w:r>
            <w:rPr>
              <w:rFonts w:asciiTheme="majorHAnsi" w:eastAsia="Calibri" w:hAnsiTheme="majorHAnsi" w:cs="Calibri"/>
            </w:rPr>
            <w:t xml:space="preserve">sector totalled </w:t>
          </w:r>
          <w:r w:rsidRPr="00D06896">
            <w:rPr>
              <w:rFonts w:asciiTheme="majorHAnsi" w:eastAsia="Calibri" w:hAnsiTheme="majorHAnsi" w:cs="Calibri"/>
            </w:rPr>
            <w:t>$</w:t>
          </w:r>
          <w:r>
            <w:rPr>
              <w:rFonts w:asciiTheme="majorHAnsi" w:eastAsia="Calibri" w:hAnsiTheme="majorHAnsi" w:cs="Calibri"/>
            </w:rPr>
            <w:t>1.9</w:t>
          </w:r>
          <w:r w:rsidRPr="00D06896">
            <w:rPr>
              <w:rFonts w:asciiTheme="majorHAnsi" w:eastAsia="Calibri" w:hAnsiTheme="majorHAnsi" w:cs="Calibri"/>
            </w:rPr>
            <w:t xml:space="preserve"> billion</w:t>
          </w:r>
          <w:r w:rsidR="002F50CF">
            <w:rPr>
              <w:rFonts w:asciiTheme="majorHAnsi" w:eastAsia="Calibri" w:hAnsiTheme="majorHAnsi" w:cs="Calibri"/>
            </w:rPr>
            <w:t>.</w:t>
          </w:r>
        </w:p>
        <w:p w14:paraId="74EB9DBF" w14:textId="77777777" w:rsidR="00210BE8" w:rsidRPr="00D06896" w:rsidRDefault="00210BE8" w:rsidP="00210BE8">
          <w:pPr>
            <w:pStyle w:val="ListBullet"/>
            <w:spacing w:after="200" w:line="300" w:lineRule="exact"/>
            <w:contextualSpacing/>
            <w:rPr>
              <w:rFonts w:asciiTheme="majorHAnsi" w:eastAsia="Calibri" w:hAnsiTheme="majorHAnsi" w:cs="Calibri"/>
            </w:rPr>
          </w:pPr>
          <w:r>
            <w:rPr>
              <w:rFonts w:asciiTheme="majorHAnsi" w:eastAsia="Calibri" w:hAnsiTheme="majorHAnsi" w:cs="Calibri"/>
            </w:rPr>
            <w:t xml:space="preserve">Investment in the stand-alone accommodation </w:t>
          </w:r>
          <w:r w:rsidRPr="00D06896">
            <w:rPr>
              <w:rFonts w:asciiTheme="majorHAnsi" w:eastAsia="Calibri" w:hAnsiTheme="majorHAnsi" w:cs="Calibri"/>
            </w:rPr>
            <w:t>sector</w:t>
          </w:r>
          <w:r>
            <w:rPr>
              <w:rFonts w:asciiTheme="majorHAnsi" w:eastAsia="Calibri" w:hAnsiTheme="majorHAnsi" w:cs="Calibri"/>
            </w:rPr>
            <w:t xml:space="preserve"> totalled $2.1 billion</w:t>
          </w:r>
          <w:r w:rsidRPr="00D06896">
            <w:rPr>
              <w:rFonts w:asciiTheme="majorHAnsi" w:eastAsia="Calibri" w:hAnsiTheme="majorHAnsi" w:cs="Calibri"/>
            </w:rPr>
            <w:t xml:space="preserve">. </w:t>
          </w:r>
        </w:p>
        <w:p w14:paraId="0E0F8E11" w14:textId="77777777" w:rsidR="00210BE8" w:rsidRPr="00E46DDF" w:rsidRDefault="00210BE8" w:rsidP="00210BE8">
          <w:pPr>
            <w:pStyle w:val="ListBullet"/>
            <w:spacing w:after="200" w:line="300" w:lineRule="exact"/>
            <w:contextualSpacing/>
          </w:pPr>
          <w:r w:rsidRPr="00E46DDF">
            <w:t xml:space="preserve">Capital city investment was </w:t>
          </w:r>
          <w:r>
            <w:t xml:space="preserve">$4.5 billion up from </w:t>
          </w:r>
          <w:r w:rsidRPr="00E46DDF">
            <w:t>$3.0 billion</w:t>
          </w:r>
          <w:r>
            <w:t xml:space="preserve"> in the prior year.</w:t>
          </w:r>
        </w:p>
        <w:p w14:paraId="05C9E863" w14:textId="77777777" w:rsidR="00210BE8" w:rsidRPr="00E46DDF" w:rsidRDefault="00210BE8" w:rsidP="00210BE8">
          <w:pPr>
            <w:pStyle w:val="ListBullet"/>
            <w:spacing w:after="200" w:line="300" w:lineRule="exact"/>
            <w:contextualSpacing/>
          </w:pPr>
          <w:r w:rsidRPr="00E46DDF">
            <w:t xml:space="preserve">Regional investment was </w:t>
          </w:r>
          <w:r>
            <w:t xml:space="preserve">$8.1 billion up from </w:t>
          </w:r>
          <w:r w:rsidRPr="00E46DDF">
            <w:t>$7.8 billion</w:t>
          </w:r>
          <w:r>
            <w:t xml:space="preserve"> in the prior year</w:t>
          </w:r>
          <w:r w:rsidRPr="00E46DDF">
            <w:t>.</w:t>
          </w:r>
        </w:p>
        <w:p w14:paraId="2DE4D903" w14:textId="77777777" w:rsidR="00210BE8" w:rsidRPr="00AF7DB4" w:rsidRDefault="00210BE8" w:rsidP="00210BE8">
          <w:pPr>
            <w:pStyle w:val="Heading3"/>
          </w:pPr>
          <w:bookmarkStart w:id="37" w:name="_Toc95805098"/>
          <w:bookmarkStart w:id="38" w:name="_Toc95899258"/>
          <w:bookmarkStart w:id="39" w:name="_Toc95899340"/>
          <w:r w:rsidRPr="00AF7DB4">
            <w:t>Queensland</w:t>
          </w:r>
          <w:bookmarkEnd w:id="37"/>
          <w:bookmarkEnd w:id="38"/>
          <w:bookmarkEnd w:id="39"/>
        </w:p>
        <w:p w14:paraId="3F6600A9" w14:textId="77777777" w:rsidR="00210BE8" w:rsidRPr="00E46DDF" w:rsidRDefault="00210BE8" w:rsidP="00210BE8">
          <w:pPr>
            <w:pStyle w:val="ListBullet"/>
            <w:spacing w:after="200" w:line="300" w:lineRule="exact"/>
            <w:contextualSpacing/>
          </w:pPr>
          <w:r w:rsidRPr="00E46DDF">
            <w:t>Queensland had 3</w:t>
          </w:r>
          <w:r>
            <w:t>3</w:t>
          </w:r>
          <w:r w:rsidRPr="00E46DDF">
            <w:t xml:space="preserve"> projects valued at $6.</w:t>
          </w:r>
          <w:r>
            <w:t>7</w:t>
          </w:r>
          <w:r w:rsidRPr="00E46DDF">
            <w:t xml:space="preserve"> billion. </w:t>
          </w:r>
        </w:p>
        <w:p w14:paraId="4734328E" w14:textId="77777777" w:rsidR="00210BE8" w:rsidRPr="00E46DDF" w:rsidRDefault="00210BE8" w:rsidP="00210BE8">
          <w:pPr>
            <w:pStyle w:val="ListBullet"/>
            <w:spacing w:after="200" w:line="300" w:lineRule="exact"/>
            <w:contextualSpacing/>
          </w:pPr>
          <w:r w:rsidRPr="00E46DDF">
            <w:t xml:space="preserve">Most investment was in the </w:t>
          </w:r>
          <w:r>
            <w:t>arts, recreation and business services</w:t>
          </w:r>
          <w:r w:rsidRPr="00E46DDF">
            <w:t xml:space="preserve"> sector ($</w:t>
          </w:r>
          <w:r>
            <w:t>5.0</w:t>
          </w:r>
          <w:r w:rsidRPr="00E46DDF">
            <w:t xml:space="preserve"> billion).</w:t>
          </w:r>
          <w:r>
            <w:t xml:space="preserve"> There was a substantial increase in the value of projects in this sector compared to 2019-20 of $1.7 billion.</w:t>
          </w:r>
        </w:p>
        <w:p w14:paraId="38843F4A" w14:textId="77777777" w:rsidR="00210BE8" w:rsidRDefault="00210BE8" w:rsidP="00210BE8">
          <w:pPr>
            <w:pStyle w:val="ListBullet"/>
            <w:spacing w:after="200" w:line="300" w:lineRule="exact"/>
            <w:contextualSpacing/>
            <w:rPr>
              <w:rFonts w:asciiTheme="majorHAnsi" w:eastAsia="Calibri" w:hAnsiTheme="majorHAnsi" w:cs="Calibri"/>
            </w:rPr>
          </w:pPr>
          <w:r>
            <w:rPr>
              <w:rFonts w:asciiTheme="majorHAnsi" w:eastAsia="Calibri" w:hAnsiTheme="majorHAnsi" w:cs="Calibri"/>
            </w:rPr>
            <w:t xml:space="preserve">Investment in the stand-alone accommodation </w:t>
          </w:r>
          <w:r w:rsidRPr="00D06896">
            <w:rPr>
              <w:rFonts w:asciiTheme="majorHAnsi" w:eastAsia="Calibri" w:hAnsiTheme="majorHAnsi" w:cs="Calibri"/>
            </w:rPr>
            <w:t>sector</w:t>
          </w:r>
          <w:r>
            <w:rPr>
              <w:rFonts w:asciiTheme="majorHAnsi" w:eastAsia="Calibri" w:hAnsiTheme="majorHAnsi" w:cs="Calibri"/>
            </w:rPr>
            <w:t xml:space="preserve"> totalled $1.3 billion</w:t>
          </w:r>
          <w:r w:rsidRPr="00D06896">
            <w:rPr>
              <w:rFonts w:asciiTheme="majorHAnsi" w:eastAsia="Calibri" w:hAnsiTheme="majorHAnsi" w:cs="Calibri"/>
            </w:rPr>
            <w:t xml:space="preserve">. </w:t>
          </w:r>
        </w:p>
        <w:p w14:paraId="447CBB38" w14:textId="77777777" w:rsidR="00210BE8" w:rsidRPr="00D06896" w:rsidRDefault="00210BE8" w:rsidP="00210BE8">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t xml:space="preserve">Investment in the aviation </w:t>
          </w:r>
          <w:r>
            <w:rPr>
              <w:rFonts w:asciiTheme="majorHAnsi" w:eastAsia="Calibri" w:hAnsiTheme="majorHAnsi" w:cs="Calibri"/>
            </w:rPr>
            <w:t xml:space="preserve">sector totalled </w:t>
          </w:r>
          <w:r w:rsidRPr="00D06896">
            <w:rPr>
              <w:rFonts w:asciiTheme="majorHAnsi" w:eastAsia="Calibri" w:hAnsiTheme="majorHAnsi" w:cs="Calibri"/>
            </w:rPr>
            <w:t>$</w:t>
          </w:r>
          <w:r>
            <w:rPr>
              <w:rFonts w:asciiTheme="majorHAnsi" w:eastAsia="Calibri" w:hAnsiTheme="majorHAnsi" w:cs="Calibri"/>
            </w:rPr>
            <w:t>0.4</w:t>
          </w:r>
          <w:r w:rsidRPr="00D06896">
            <w:rPr>
              <w:rFonts w:asciiTheme="majorHAnsi" w:eastAsia="Calibri" w:hAnsiTheme="majorHAnsi" w:cs="Calibri"/>
            </w:rPr>
            <w:t xml:space="preserve"> billion</w:t>
          </w:r>
          <w:r>
            <w:rPr>
              <w:rFonts w:asciiTheme="majorHAnsi" w:eastAsia="Calibri" w:hAnsiTheme="majorHAnsi" w:cs="Calibri"/>
            </w:rPr>
            <w:t>, after several projects in this sector were completed.</w:t>
          </w:r>
        </w:p>
        <w:p w14:paraId="00273C2C" w14:textId="77777777" w:rsidR="00210BE8" w:rsidRPr="00E46DDF" w:rsidRDefault="00210BE8" w:rsidP="00210BE8">
          <w:pPr>
            <w:pStyle w:val="ListBullet"/>
            <w:spacing w:after="200" w:line="300" w:lineRule="exact"/>
            <w:contextualSpacing/>
          </w:pPr>
          <w:r w:rsidRPr="00E46DDF">
            <w:t xml:space="preserve">Capital city investment was </w:t>
          </w:r>
          <w:r>
            <w:t xml:space="preserve">$4.7 billion, largely unchanged from </w:t>
          </w:r>
          <w:r w:rsidRPr="00E46DDF">
            <w:t>$4.8 billion</w:t>
          </w:r>
          <w:r>
            <w:t xml:space="preserve"> in 2019-20</w:t>
          </w:r>
          <w:r w:rsidRPr="00E46DDF">
            <w:t xml:space="preserve">. </w:t>
          </w:r>
        </w:p>
        <w:p w14:paraId="7C3C1BE1" w14:textId="77777777" w:rsidR="00210BE8" w:rsidRPr="00E46DDF" w:rsidRDefault="00210BE8" w:rsidP="00210BE8">
          <w:pPr>
            <w:pStyle w:val="ListBullet"/>
            <w:spacing w:after="200" w:line="300" w:lineRule="exact"/>
            <w:contextualSpacing/>
          </w:pPr>
          <w:r w:rsidRPr="00E46DDF">
            <w:t xml:space="preserve">Regional investment was </w:t>
          </w:r>
          <w:r>
            <w:t xml:space="preserve">$2.0 billion, also </w:t>
          </w:r>
          <w:proofErr w:type="gramStart"/>
          <w:r>
            <w:t>similar to</w:t>
          </w:r>
          <w:proofErr w:type="gramEnd"/>
          <w:r>
            <w:t xml:space="preserve"> the prior year (</w:t>
          </w:r>
          <w:r w:rsidRPr="00E46DDF">
            <w:t>$2.1 billion</w:t>
          </w:r>
          <w:r>
            <w:t>)</w:t>
          </w:r>
          <w:r w:rsidRPr="00E46DDF">
            <w:t>.</w:t>
          </w:r>
        </w:p>
        <w:p w14:paraId="290673E9" w14:textId="77777777" w:rsidR="00210BE8" w:rsidRPr="00AF7DB4" w:rsidRDefault="00210BE8" w:rsidP="00210BE8">
          <w:pPr>
            <w:pStyle w:val="Heading3"/>
          </w:pPr>
          <w:bookmarkStart w:id="40" w:name="_Toc95805099"/>
          <w:bookmarkStart w:id="41" w:name="_Toc95899259"/>
          <w:bookmarkStart w:id="42" w:name="_Toc95899341"/>
          <w:r w:rsidRPr="00AF7DB4">
            <w:t>South Australia</w:t>
          </w:r>
          <w:bookmarkEnd w:id="40"/>
          <w:bookmarkEnd w:id="41"/>
          <w:bookmarkEnd w:id="42"/>
        </w:p>
        <w:p w14:paraId="77998C88" w14:textId="77777777" w:rsidR="00210BE8" w:rsidRPr="00E46DDF" w:rsidRDefault="00210BE8" w:rsidP="00210BE8">
          <w:pPr>
            <w:pStyle w:val="ListBullet"/>
            <w:spacing w:after="200" w:line="300" w:lineRule="exact"/>
            <w:contextualSpacing/>
          </w:pPr>
          <w:r w:rsidRPr="00E46DDF">
            <w:t xml:space="preserve">South Australia had </w:t>
          </w:r>
          <w:r>
            <w:t>21</w:t>
          </w:r>
          <w:r w:rsidRPr="00E46DDF">
            <w:t xml:space="preserve"> projects valued at $</w:t>
          </w:r>
          <w:r>
            <w:t>3.3</w:t>
          </w:r>
          <w:r w:rsidRPr="00E46DDF">
            <w:t xml:space="preserve"> billion. </w:t>
          </w:r>
        </w:p>
        <w:p w14:paraId="58B123E8" w14:textId="77777777" w:rsidR="00210BE8" w:rsidRPr="00E46DDF" w:rsidRDefault="00210BE8" w:rsidP="00210BE8">
          <w:pPr>
            <w:pStyle w:val="ListBullet"/>
            <w:spacing w:after="200" w:line="300" w:lineRule="exact"/>
            <w:contextualSpacing/>
          </w:pPr>
          <w:proofErr w:type="gramStart"/>
          <w:r w:rsidRPr="00E46DDF">
            <w:t>The majority of</w:t>
          </w:r>
          <w:proofErr w:type="gramEnd"/>
          <w:r w:rsidRPr="00E46DDF">
            <w:t xml:space="preserve"> these investments were in </w:t>
          </w:r>
          <w:r>
            <w:t>arts, recreation and business services</w:t>
          </w:r>
          <w:r w:rsidRPr="00E46DDF">
            <w:t xml:space="preserve"> ($</w:t>
          </w:r>
          <w:r>
            <w:t>2.</w:t>
          </w:r>
          <w:r w:rsidRPr="00E46DDF">
            <w:t xml:space="preserve">1 billion) </w:t>
          </w:r>
          <w:r>
            <w:t xml:space="preserve">followed by </w:t>
          </w:r>
          <w:r w:rsidRPr="00E46DDF">
            <w:t>accommodation ($</w:t>
          </w:r>
          <w:r>
            <w:t>1.0</w:t>
          </w:r>
          <w:r w:rsidRPr="00E46DDF">
            <w:t> billion).</w:t>
          </w:r>
        </w:p>
        <w:p w14:paraId="1EBB67B4" w14:textId="77777777" w:rsidR="00210BE8" w:rsidRPr="00E46DDF" w:rsidRDefault="00210BE8" w:rsidP="00210BE8">
          <w:pPr>
            <w:pStyle w:val="ListBullet"/>
            <w:spacing w:after="200" w:line="300" w:lineRule="exact"/>
            <w:contextualSpacing/>
          </w:pPr>
          <w:r w:rsidRPr="00E46DDF">
            <w:t xml:space="preserve">Capital city investment was </w:t>
          </w:r>
          <w:r>
            <w:t xml:space="preserve">$3.1 billion up from </w:t>
          </w:r>
          <w:r w:rsidRPr="00E46DDF">
            <w:t>$2.4 billion</w:t>
          </w:r>
          <w:r>
            <w:t xml:space="preserve"> in 2019-20</w:t>
          </w:r>
          <w:r w:rsidRPr="00E46DDF">
            <w:t>.</w:t>
          </w:r>
        </w:p>
        <w:p w14:paraId="168637DD" w14:textId="77777777" w:rsidR="00210BE8" w:rsidRPr="00E46DDF" w:rsidRDefault="00210BE8" w:rsidP="00210BE8">
          <w:pPr>
            <w:pStyle w:val="ListBullet"/>
            <w:spacing w:after="200" w:line="300" w:lineRule="exact"/>
            <w:contextualSpacing/>
          </w:pPr>
          <w:r w:rsidRPr="00E46DDF">
            <w:t>Regional investment was $</w:t>
          </w:r>
          <w:r>
            <w:t>160</w:t>
          </w:r>
          <w:r w:rsidRPr="00E46DDF">
            <w:t xml:space="preserve"> million</w:t>
          </w:r>
          <w:r>
            <w:t>, around half that of the prior year</w:t>
          </w:r>
          <w:r w:rsidRPr="00E46DDF">
            <w:t>.</w:t>
          </w:r>
        </w:p>
        <w:p w14:paraId="3619DA19" w14:textId="77777777" w:rsidR="00210BE8" w:rsidRPr="00AF7DB4" w:rsidRDefault="00210BE8" w:rsidP="00210BE8">
          <w:pPr>
            <w:pStyle w:val="Heading3"/>
          </w:pPr>
          <w:bookmarkStart w:id="43" w:name="_Toc95805100"/>
          <w:bookmarkStart w:id="44" w:name="_Toc95899260"/>
          <w:bookmarkStart w:id="45" w:name="_Toc95899342"/>
          <w:r w:rsidRPr="00AF7DB4">
            <w:t>Western Australia</w:t>
          </w:r>
          <w:bookmarkEnd w:id="43"/>
          <w:bookmarkEnd w:id="44"/>
          <w:bookmarkEnd w:id="45"/>
        </w:p>
        <w:p w14:paraId="18D0CF7F" w14:textId="77777777" w:rsidR="00210BE8" w:rsidRPr="00E46DDF" w:rsidRDefault="00210BE8" w:rsidP="00210BE8">
          <w:pPr>
            <w:pStyle w:val="ListBullet"/>
            <w:spacing w:after="200" w:line="300" w:lineRule="exact"/>
            <w:contextualSpacing/>
          </w:pPr>
          <w:r w:rsidRPr="00E46DDF">
            <w:t xml:space="preserve">Western Australia had </w:t>
          </w:r>
          <w:r>
            <w:t>20</w:t>
          </w:r>
          <w:r w:rsidRPr="00E46DDF">
            <w:t xml:space="preserve"> projects valued at $</w:t>
          </w:r>
          <w:r>
            <w:t>2.5</w:t>
          </w:r>
          <w:r w:rsidRPr="00E46DDF">
            <w:t xml:space="preserve"> billion. </w:t>
          </w:r>
        </w:p>
        <w:p w14:paraId="1DB4E985" w14:textId="77777777" w:rsidR="00210BE8" w:rsidRPr="00E46DDF" w:rsidRDefault="00210BE8" w:rsidP="00210BE8">
          <w:pPr>
            <w:pStyle w:val="ListBullet"/>
            <w:spacing w:after="200" w:line="300" w:lineRule="exact"/>
            <w:contextualSpacing/>
          </w:pPr>
          <w:proofErr w:type="gramStart"/>
          <w:r w:rsidRPr="00E46DDF">
            <w:t>The majority of</w:t>
          </w:r>
          <w:proofErr w:type="gramEnd"/>
          <w:r w:rsidRPr="00E46DDF">
            <w:t xml:space="preserve"> these investments were in aviation ($</w:t>
          </w:r>
          <w:r>
            <w:t>1.6</w:t>
          </w:r>
          <w:r w:rsidRPr="00E46DDF">
            <w:t xml:space="preserve"> billion), largely driven by construction and upgrades </w:t>
          </w:r>
          <w:r>
            <w:t>at</w:t>
          </w:r>
          <w:r w:rsidRPr="00E46DDF">
            <w:t xml:space="preserve"> Perth Airport.</w:t>
          </w:r>
        </w:p>
        <w:p w14:paraId="406F5780" w14:textId="77777777" w:rsidR="00210BE8" w:rsidRPr="00E46DDF" w:rsidRDefault="00210BE8" w:rsidP="00210BE8">
          <w:pPr>
            <w:pStyle w:val="ListBullet"/>
            <w:spacing w:after="200" w:line="300" w:lineRule="exact"/>
            <w:contextualSpacing/>
          </w:pPr>
          <w:r w:rsidRPr="00E46DDF">
            <w:t xml:space="preserve">Capital city investment was </w:t>
          </w:r>
          <w:r>
            <w:t xml:space="preserve">$2.3 billion, down from </w:t>
          </w:r>
          <w:r w:rsidRPr="00E46DDF">
            <w:t>$4.4 billion</w:t>
          </w:r>
          <w:r>
            <w:t xml:space="preserve"> in 2019-20</w:t>
          </w:r>
          <w:r w:rsidRPr="00E46DDF">
            <w:t xml:space="preserve">. </w:t>
          </w:r>
        </w:p>
        <w:p w14:paraId="0A7CAE95" w14:textId="77777777" w:rsidR="00210BE8" w:rsidRPr="00E46DDF" w:rsidRDefault="00210BE8" w:rsidP="00210BE8">
          <w:pPr>
            <w:pStyle w:val="ListBullet"/>
            <w:spacing w:after="200" w:line="300" w:lineRule="exact"/>
            <w:contextualSpacing/>
          </w:pPr>
          <w:r w:rsidRPr="00E46DDF">
            <w:t>Regional investment was $</w:t>
          </w:r>
          <w:r>
            <w:t>260 million, double that of the prior year</w:t>
          </w:r>
          <w:r w:rsidRPr="00E46DDF">
            <w:t>.</w:t>
          </w:r>
        </w:p>
        <w:p w14:paraId="6C423EE0" w14:textId="77777777" w:rsidR="00210BE8" w:rsidRPr="00AF7DB4" w:rsidRDefault="00210BE8" w:rsidP="00210BE8">
          <w:pPr>
            <w:pStyle w:val="Heading3"/>
          </w:pPr>
          <w:bookmarkStart w:id="46" w:name="_Toc95805101"/>
          <w:bookmarkStart w:id="47" w:name="_Toc95899261"/>
          <w:bookmarkStart w:id="48" w:name="_Toc95899343"/>
          <w:r w:rsidRPr="00AF7DB4">
            <w:t>Tasmania</w:t>
          </w:r>
          <w:bookmarkEnd w:id="46"/>
          <w:bookmarkEnd w:id="47"/>
          <w:bookmarkEnd w:id="48"/>
        </w:p>
        <w:p w14:paraId="447312C8" w14:textId="77777777" w:rsidR="00210BE8" w:rsidRPr="00E46DDF" w:rsidRDefault="00210BE8" w:rsidP="00210BE8">
          <w:pPr>
            <w:pStyle w:val="ListBullet"/>
            <w:spacing w:after="200" w:line="300" w:lineRule="exact"/>
            <w:contextualSpacing/>
          </w:pPr>
          <w:r w:rsidRPr="00E46DDF">
            <w:t xml:space="preserve">Tasmania had </w:t>
          </w:r>
          <w:r>
            <w:t>22</w:t>
          </w:r>
          <w:r w:rsidRPr="00E46DDF">
            <w:t xml:space="preserve"> projects valued at $</w:t>
          </w:r>
          <w:r>
            <w:t>1.5</w:t>
          </w:r>
          <w:r w:rsidRPr="00E46DDF">
            <w:t xml:space="preserve"> billion. </w:t>
          </w:r>
        </w:p>
        <w:p w14:paraId="0DA462CB" w14:textId="77777777" w:rsidR="00210BE8" w:rsidRDefault="00210BE8" w:rsidP="00210BE8">
          <w:pPr>
            <w:pStyle w:val="ListBullet"/>
            <w:spacing w:after="200" w:line="300" w:lineRule="exact"/>
            <w:contextualSpacing/>
          </w:pPr>
          <w:r w:rsidRPr="00E46DDF">
            <w:t>The</w:t>
          </w:r>
          <w:r>
            <w:t>se</w:t>
          </w:r>
          <w:r w:rsidRPr="00E46DDF">
            <w:t xml:space="preserve"> investments were </w:t>
          </w:r>
          <w:r>
            <w:t>split across the arts, recreation and business services ($0.9 billion)</w:t>
          </w:r>
          <w:r w:rsidRPr="005B5D6A">
            <w:t xml:space="preserve"> </w:t>
          </w:r>
          <w:r>
            <w:t>and accommodation ($0.6 billion) sectors.</w:t>
          </w:r>
        </w:p>
        <w:p w14:paraId="766EBAF1" w14:textId="77777777" w:rsidR="00210BE8" w:rsidRPr="00E46DDF" w:rsidRDefault="00210BE8" w:rsidP="00210BE8">
          <w:pPr>
            <w:pStyle w:val="ListBullet"/>
            <w:spacing w:after="200" w:line="300" w:lineRule="exact"/>
            <w:contextualSpacing/>
          </w:pPr>
          <w:r w:rsidRPr="00E46DDF">
            <w:t xml:space="preserve">Capital city investment was </w:t>
          </w:r>
          <w:r>
            <w:t xml:space="preserve">$0.9 billion down from </w:t>
          </w:r>
          <w:r w:rsidRPr="00E46DDF">
            <w:t>$1.3 billion</w:t>
          </w:r>
          <w:r>
            <w:t xml:space="preserve"> in 2019-20</w:t>
          </w:r>
          <w:r w:rsidRPr="00E46DDF">
            <w:t>.</w:t>
          </w:r>
        </w:p>
        <w:p w14:paraId="1106AE68" w14:textId="77777777" w:rsidR="00210BE8" w:rsidRPr="00E46DDF" w:rsidRDefault="00210BE8" w:rsidP="00210BE8">
          <w:pPr>
            <w:pStyle w:val="ListBullet"/>
            <w:spacing w:after="200" w:line="300" w:lineRule="exact"/>
            <w:contextualSpacing/>
          </w:pPr>
          <w:r w:rsidRPr="00E46DDF">
            <w:t xml:space="preserve">Regional investment was </w:t>
          </w:r>
          <w:r>
            <w:t xml:space="preserve">$0.6 billion down from </w:t>
          </w:r>
          <w:r w:rsidRPr="00E46DDF">
            <w:t>$</w:t>
          </w:r>
          <w:r>
            <w:t>0.9 b</w:t>
          </w:r>
          <w:r w:rsidRPr="00E46DDF">
            <w:t>illion</w:t>
          </w:r>
          <w:r>
            <w:t xml:space="preserve"> in the prior year</w:t>
          </w:r>
          <w:r w:rsidRPr="00E46DDF">
            <w:t>.</w:t>
          </w:r>
        </w:p>
        <w:p w14:paraId="485D9330" w14:textId="77777777" w:rsidR="00210BE8" w:rsidRPr="00AF7DB4" w:rsidRDefault="00210BE8" w:rsidP="00210BE8">
          <w:pPr>
            <w:pStyle w:val="Heading3"/>
          </w:pPr>
          <w:bookmarkStart w:id="49" w:name="_Toc95805102"/>
          <w:bookmarkStart w:id="50" w:name="_Toc95899262"/>
          <w:bookmarkStart w:id="51" w:name="_Toc95899344"/>
          <w:r w:rsidRPr="00AF7DB4">
            <w:lastRenderedPageBreak/>
            <w:t>Northern Territory</w:t>
          </w:r>
          <w:bookmarkEnd w:id="49"/>
          <w:bookmarkEnd w:id="50"/>
          <w:bookmarkEnd w:id="51"/>
        </w:p>
        <w:p w14:paraId="48E4763F" w14:textId="23B33FB2" w:rsidR="00210BE8" w:rsidRPr="00E46DDF" w:rsidRDefault="002F50CF" w:rsidP="00210BE8">
          <w:pPr>
            <w:pStyle w:val="ListBullet"/>
            <w:spacing w:after="200" w:line="300" w:lineRule="exact"/>
            <w:contextualSpacing/>
          </w:pPr>
          <w:r>
            <w:t xml:space="preserve">The </w:t>
          </w:r>
          <w:r w:rsidR="00210BE8" w:rsidRPr="00E46DDF">
            <w:t xml:space="preserve">Northern Territory had </w:t>
          </w:r>
          <w:r w:rsidR="00CB617D">
            <w:t>11</w:t>
          </w:r>
          <w:r w:rsidR="00210BE8" w:rsidRPr="00E46DDF">
            <w:t xml:space="preserve"> projects</w:t>
          </w:r>
          <w:r w:rsidR="00210BE8">
            <w:t>,</w:t>
          </w:r>
          <w:r w:rsidR="00210BE8" w:rsidRPr="00E46DDF">
            <w:t xml:space="preserve"> valued at $</w:t>
          </w:r>
          <w:r w:rsidR="00CB617D">
            <w:t>1</w:t>
          </w:r>
          <w:r w:rsidR="00210BE8" w:rsidRPr="00E46DDF">
            <w:t>.</w:t>
          </w:r>
          <w:r w:rsidR="00210BE8">
            <w:t>7</w:t>
          </w:r>
          <w:r w:rsidR="00210BE8" w:rsidRPr="00E46DDF">
            <w:t xml:space="preserve"> billion</w:t>
          </w:r>
          <w:r w:rsidR="00210BE8">
            <w:t>, in the pipeline</w:t>
          </w:r>
          <w:r w:rsidR="00210BE8" w:rsidRPr="00E46DDF">
            <w:t xml:space="preserve">. This was </w:t>
          </w:r>
          <w:r w:rsidR="00CB617D">
            <w:t>a</w:t>
          </w:r>
          <w:r w:rsidR="00BF4682">
            <w:t xml:space="preserve"> significant</w:t>
          </w:r>
          <w:r w:rsidR="00CB617D">
            <w:t xml:space="preserve"> increase </w:t>
          </w:r>
          <w:r w:rsidR="00BF4682">
            <w:t>from $0.6 billion i</w:t>
          </w:r>
          <w:r w:rsidR="00CB617D">
            <w:t>n</w:t>
          </w:r>
          <w:r w:rsidR="00210BE8">
            <w:t xml:space="preserve"> 2019-20</w:t>
          </w:r>
          <w:r w:rsidR="00210BE8" w:rsidRPr="00E46DDF">
            <w:t xml:space="preserve">. </w:t>
          </w:r>
        </w:p>
        <w:p w14:paraId="7F99389B" w14:textId="2C6B6F85" w:rsidR="00210BE8" w:rsidRPr="00E46DDF" w:rsidRDefault="00210BE8" w:rsidP="00210BE8">
          <w:pPr>
            <w:pStyle w:val="ListBullet"/>
            <w:spacing w:after="200" w:line="300" w:lineRule="exact"/>
            <w:contextualSpacing/>
          </w:pPr>
          <w:r w:rsidRPr="00E46DDF">
            <w:t>Th</w:t>
          </w:r>
          <w:r>
            <w:t>is included</w:t>
          </w:r>
          <w:r w:rsidRPr="00E46DDF">
            <w:t xml:space="preserve"> investments in</w:t>
          </w:r>
          <w:r w:rsidR="00CB617D" w:rsidRPr="00CB617D">
            <w:t xml:space="preserve"> </w:t>
          </w:r>
          <w:r w:rsidR="00CB617D">
            <w:t>the arts, recreation and business services sector</w:t>
          </w:r>
          <w:r w:rsidR="00CB617D" w:rsidRPr="00E46DDF">
            <w:t xml:space="preserve"> ($</w:t>
          </w:r>
          <w:r w:rsidR="00CB617D">
            <w:t>0.8</w:t>
          </w:r>
          <w:r w:rsidR="00CB617D" w:rsidRPr="00E46DDF">
            <w:t xml:space="preserve"> </w:t>
          </w:r>
          <w:r w:rsidR="00CB617D">
            <w:t>b</w:t>
          </w:r>
          <w:r w:rsidR="00CB617D" w:rsidRPr="00E46DDF">
            <w:t>illion</w:t>
          </w:r>
          <w:r w:rsidR="00CB617D">
            <w:t>),</w:t>
          </w:r>
          <w:r w:rsidRPr="00E46DDF">
            <w:t xml:space="preserve"> </w:t>
          </w:r>
          <w:r w:rsidR="00CB617D">
            <w:t xml:space="preserve">accommodation </w:t>
          </w:r>
          <w:r w:rsidR="00CB617D" w:rsidRPr="00E46DDF">
            <w:t>($</w:t>
          </w:r>
          <w:r w:rsidR="00CB617D">
            <w:t>0.5</w:t>
          </w:r>
          <w:r w:rsidR="00CB617D" w:rsidRPr="00E46DDF">
            <w:t xml:space="preserve"> </w:t>
          </w:r>
          <w:r w:rsidR="00CB617D">
            <w:t>b</w:t>
          </w:r>
          <w:r w:rsidR="00CB617D" w:rsidRPr="00E46DDF">
            <w:t>illion</w:t>
          </w:r>
          <w:r w:rsidR="00CB617D">
            <w:t>)</w:t>
          </w:r>
          <w:r>
            <w:t>, and</w:t>
          </w:r>
          <w:r w:rsidR="00CB617D" w:rsidRPr="00CB617D">
            <w:t xml:space="preserve"> </w:t>
          </w:r>
          <w:r w:rsidR="00CB617D" w:rsidRPr="00E46DDF">
            <w:t>aviation ($</w:t>
          </w:r>
          <w:r w:rsidR="00CB617D">
            <w:t>0.3</w:t>
          </w:r>
          <w:r w:rsidR="00CB617D" w:rsidRPr="00E46DDF">
            <w:t xml:space="preserve"> </w:t>
          </w:r>
          <w:r w:rsidR="00CB617D">
            <w:t>b</w:t>
          </w:r>
          <w:r w:rsidR="00CB617D" w:rsidRPr="00E46DDF">
            <w:t>illion)</w:t>
          </w:r>
          <w:r w:rsidRPr="00E46DDF">
            <w:t>.</w:t>
          </w:r>
        </w:p>
        <w:p w14:paraId="341D9DD3" w14:textId="5CCA2D68" w:rsidR="00210BE8" w:rsidRPr="00E46DDF" w:rsidRDefault="00210BE8" w:rsidP="00210BE8">
          <w:pPr>
            <w:pStyle w:val="ListBullet"/>
            <w:spacing w:after="200" w:line="300" w:lineRule="exact"/>
            <w:contextualSpacing/>
          </w:pPr>
          <w:r w:rsidRPr="00E46DDF">
            <w:t>Capital city investment was $</w:t>
          </w:r>
          <w:r>
            <w:t>0.</w:t>
          </w:r>
          <w:r w:rsidR="00CB617D">
            <w:t>4</w:t>
          </w:r>
          <w:r w:rsidRPr="00E46DDF">
            <w:t xml:space="preserve"> </w:t>
          </w:r>
          <w:r>
            <w:t>b</w:t>
          </w:r>
          <w:r w:rsidRPr="00E46DDF">
            <w:t>illion</w:t>
          </w:r>
          <w:r>
            <w:t xml:space="preserve">, </w:t>
          </w:r>
          <w:r w:rsidR="00BF4682">
            <w:t>more than double</w:t>
          </w:r>
          <w:r>
            <w:t xml:space="preserve"> the previous year</w:t>
          </w:r>
          <w:r w:rsidRPr="00E46DDF">
            <w:t xml:space="preserve">. </w:t>
          </w:r>
        </w:p>
        <w:p w14:paraId="6F3C89E1" w14:textId="2E59A473" w:rsidR="00210BE8" w:rsidRPr="00E46DDF" w:rsidRDefault="00210BE8" w:rsidP="00210BE8">
          <w:pPr>
            <w:pStyle w:val="ListBullet"/>
            <w:spacing w:after="200" w:line="300" w:lineRule="exact"/>
            <w:contextualSpacing/>
          </w:pPr>
          <w:r w:rsidRPr="00E46DDF">
            <w:t>Regional investment was $</w:t>
          </w:r>
          <w:r>
            <w:t>0.</w:t>
          </w:r>
          <w:r w:rsidR="00CB617D">
            <w:t>9</w:t>
          </w:r>
          <w:r w:rsidRPr="00E46DDF">
            <w:t xml:space="preserve"> </w:t>
          </w:r>
          <w:r>
            <w:t>b</w:t>
          </w:r>
          <w:r w:rsidRPr="00E46DDF">
            <w:t>illion</w:t>
          </w:r>
          <w:r>
            <w:t xml:space="preserve">, </w:t>
          </w:r>
          <w:r w:rsidR="00BF4682">
            <w:t>more than</w:t>
          </w:r>
          <w:r w:rsidR="00CB617D">
            <w:t xml:space="preserve"> double </w:t>
          </w:r>
          <w:r>
            <w:t>the value in 2019-20</w:t>
          </w:r>
          <w:r w:rsidRPr="00E46DDF">
            <w:t>.</w:t>
          </w:r>
        </w:p>
        <w:p w14:paraId="008281F7" w14:textId="77777777" w:rsidR="00210BE8" w:rsidRPr="00AF7DB4" w:rsidRDefault="00210BE8" w:rsidP="00210BE8">
          <w:pPr>
            <w:pStyle w:val="Heading3"/>
          </w:pPr>
          <w:bookmarkStart w:id="52" w:name="_Toc95805103"/>
          <w:bookmarkStart w:id="53" w:name="_Toc95899263"/>
          <w:bookmarkStart w:id="54" w:name="_Toc95899345"/>
          <w:r w:rsidRPr="00AF7DB4">
            <w:t>Australian Capital Territory</w:t>
          </w:r>
          <w:bookmarkEnd w:id="52"/>
          <w:bookmarkEnd w:id="53"/>
          <w:bookmarkEnd w:id="54"/>
        </w:p>
        <w:p w14:paraId="29C092B6" w14:textId="77777777" w:rsidR="00210BE8" w:rsidRPr="00E46DDF" w:rsidRDefault="00210BE8" w:rsidP="00210BE8">
          <w:pPr>
            <w:pStyle w:val="ListBullet"/>
            <w:spacing w:after="200" w:line="300" w:lineRule="exact"/>
            <w:contextualSpacing/>
          </w:pPr>
          <w:r w:rsidRPr="00E46DDF">
            <w:t xml:space="preserve">The Australian Capital Territory had </w:t>
          </w:r>
          <w:r>
            <w:t>6</w:t>
          </w:r>
          <w:r w:rsidRPr="00E46DDF">
            <w:t xml:space="preserve"> projects valued at $</w:t>
          </w:r>
          <w:r>
            <w:t>0.8</w:t>
          </w:r>
          <w:r w:rsidRPr="00E46DDF">
            <w:t xml:space="preserve"> billion. </w:t>
          </w:r>
        </w:p>
        <w:p w14:paraId="5BC90983" w14:textId="77777777" w:rsidR="00210BE8" w:rsidRDefault="00210BE8" w:rsidP="00210BE8">
          <w:pPr>
            <w:pStyle w:val="ListBullet"/>
            <w:spacing w:after="200" w:line="300" w:lineRule="exact"/>
            <w:contextualSpacing/>
          </w:pPr>
          <w:proofErr w:type="gramStart"/>
          <w:r w:rsidRPr="00E46DDF">
            <w:t>The majority of</w:t>
          </w:r>
          <w:proofErr w:type="gramEnd"/>
          <w:r w:rsidRPr="00E46DDF">
            <w:t xml:space="preserve"> these investments were in </w:t>
          </w:r>
          <w:r>
            <w:t>arts, recreation and business services ($0.6 billion)</w:t>
          </w:r>
          <w:r w:rsidRPr="00E46DDF">
            <w:t>. This include</w:t>
          </w:r>
          <w:r>
            <w:t>d</w:t>
          </w:r>
          <w:r w:rsidRPr="00E46DDF">
            <w:t xml:space="preserve"> the redevelopment of the Australian War Memorial ($498 million). </w:t>
          </w:r>
        </w:p>
        <w:p w14:paraId="4A7ED12D" w14:textId="77777777" w:rsidR="00210BE8" w:rsidRPr="00292C9B" w:rsidRDefault="00210BE8" w:rsidP="00210BE8">
          <w:pPr>
            <w:pStyle w:val="Caption"/>
            <w:keepNext/>
            <w:spacing w:before="480" w:after="0"/>
            <w:rPr>
              <w:i w:val="0"/>
              <w:iCs w:val="0"/>
              <w:sz w:val="22"/>
              <w:szCs w:val="22"/>
            </w:rPr>
          </w:pPr>
          <w:r w:rsidRPr="00292C9B">
            <w:rPr>
              <w:i w:val="0"/>
              <w:iCs w:val="0"/>
              <w:sz w:val="22"/>
              <w:szCs w:val="22"/>
            </w:rPr>
            <w:t xml:space="preserve">Figure </w:t>
          </w:r>
          <w:r w:rsidRPr="00292C9B">
            <w:rPr>
              <w:i w:val="0"/>
              <w:iCs w:val="0"/>
              <w:sz w:val="22"/>
              <w:szCs w:val="22"/>
            </w:rPr>
            <w:fldChar w:fldCharType="begin"/>
          </w:r>
          <w:r w:rsidRPr="00292C9B">
            <w:rPr>
              <w:i w:val="0"/>
              <w:iCs w:val="0"/>
              <w:sz w:val="22"/>
              <w:szCs w:val="22"/>
            </w:rPr>
            <w:instrText xml:space="preserve"> SEQ Figure \* ARABIC </w:instrText>
          </w:r>
          <w:r w:rsidRPr="00292C9B">
            <w:rPr>
              <w:i w:val="0"/>
              <w:iCs w:val="0"/>
              <w:sz w:val="22"/>
              <w:szCs w:val="22"/>
            </w:rPr>
            <w:fldChar w:fldCharType="separate"/>
          </w:r>
          <w:r w:rsidRPr="00292C9B">
            <w:rPr>
              <w:i w:val="0"/>
              <w:iCs w:val="0"/>
              <w:sz w:val="22"/>
              <w:szCs w:val="22"/>
            </w:rPr>
            <w:t>2</w:t>
          </w:r>
          <w:r w:rsidRPr="00292C9B">
            <w:rPr>
              <w:i w:val="0"/>
              <w:iCs w:val="0"/>
              <w:sz w:val="22"/>
              <w:szCs w:val="22"/>
            </w:rPr>
            <w:fldChar w:fldCharType="end"/>
          </w:r>
          <w:r w:rsidRPr="00292C9B">
            <w:rPr>
              <w:i w:val="0"/>
              <w:iCs w:val="0"/>
              <w:sz w:val="22"/>
              <w:szCs w:val="22"/>
            </w:rPr>
            <w:t xml:space="preserve"> ‒ Tourism investment pipeline by state and sector, 2020–21</w:t>
          </w:r>
        </w:p>
        <w:p w14:paraId="08678070" w14:textId="442ED7E1" w:rsidR="00210BE8" w:rsidRDefault="0098599E" w:rsidP="00210BE8">
          <w:pPr>
            <w:spacing w:before="0" w:after="160" w:line="259" w:lineRule="auto"/>
            <w:rPr>
              <w:rFonts w:eastAsia="SimSun" w:cs="Times New Roman"/>
              <w:b/>
              <w:color w:val="7A4282" w:themeColor="accent1"/>
              <w:sz w:val="28"/>
              <w:szCs w:val="26"/>
              <w:lang w:eastAsia="zh-CN"/>
            </w:rPr>
          </w:pPr>
          <w:bookmarkStart w:id="55" w:name="_Toc95805104"/>
          <w:r w:rsidRPr="0098599E">
            <w:rPr>
              <w:noProof/>
            </w:rPr>
            <w:drawing>
              <wp:inline distT="0" distB="0" distL="0" distR="0" wp14:anchorId="599C9C67" wp14:editId="584947FA">
                <wp:extent cx="6328925" cy="2785730"/>
                <wp:effectExtent l="0" t="0" r="0" b="0"/>
                <wp:docPr id="7" name="Picture 7" descr="This horizontal bar chart has 8 bars - one for each of the 8 states and territories. Each bar shows the value of the tourism investment pipeline in that state/territory in 2020-21. Each bar is also apportioned to show the share of projects in each of the three sectors - Aviation, Accommodation and Arts, recreation and business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horizontal bar chart has 8 bars - one for each of the 8 states and territories. Each bar shows the value of the tourism investment pipeline in that state/territory in 2020-21. Each bar is also apportioned to show the share of projects in each of the three sectors - Aviation, Accommodation and Arts, recreation and business services.&#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6806" cy="2789199"/>
                        </a:xfrm>
                        <a:prstGeom prst="rect">
                          <a:avLst/>
                        </a:prstGeom>
                        <a:noFill/>
                        <a:ln>
                          <a:noFill/>
                        </a:ln>
                      </pic:spPr>
                    </pic:pic>
                  </a:graphicData>
                </a:graphic>
              </wp:inline>
            </w:drawing>
          </w:r>
          <w:r w:rsidR="00210BE8">
            <w:rPr>
              <w:color w:val="7A4282" w:themeColor="accent1"/>
            </w:rPr>
            <w:br w:type="page"/>
          </w:r>
        </w:p>
        <w:p w14:paraId="05B6EFE1" w14:textId="77777777" w:rsidR="00210BE8" w:rsidRPr="00D464A7" w:rsidRDefault="00210BE8" w:rsidP="00210BE8">
          <w:pPr>
            <w:pStyle w:val="Heading2"/>
            <w:rPr>
              <w:b w:val="0"/>
              <w:bCs/>
              <w:color w:val="7A4282" w:themeColor="accent1"/>
              <w:sz w:val="32"/>
              <w:szCs w:val="28"/>
            </w:rPr>
          </w:pPr>
          <w:bookmarkStart w:id="56" w:name="_Toc95899346"/>
          <w:r w:rsidRPr="00D464A7">
            <w:rPr>
              <w:b w:val="0"/>
              <w:bCs/>
              <w:color w:val="7A4282" w:themeColor="accent1"/>
              <w:sz w:val="32"/>
              <w:szCs w:val="28"/>
            </w:rPr>
            <w:lastRenderedPageBreak/>
            <w:t>Aviation results</w:t>
          </w:r>
          <w:bookmarkEnd w:id="56"/>
        </w:p>
        <w:tbl>
          <w:tblPr>
            <w:tblStyle w:val="TableGrid"/>
            <w:tblW w:w="0" w:type="auto"/>
            <w:jc w:val="center"/>
            <w:tblLook w:val="04A0" w:firstRow="1" w:lastRow="0" w:firstColumn="1" w:lastColumn="0" w:noHBand="0" w:noVBand="1"/>
          </w:tblPr>
          <w:tblGrid>
            <w:gridCol w:w="3117"/>
            <w:gridCol w:w="3116"/>
            <w:gridCol w:w="3117"/>
          </w:tblGrid>
          <w:tr w:rsidR="00210BE8" w:rsidRPr="003A58AB" w14:paraId="35631A79" w14:textId="77777777" w:rsidTr="00D464A7">
            <w:trPr>
              <w:jc w:val="center"/>
            </w:trPr>
            <w:tc>
              <w:tcPr>
                <w:tcW w:w="3117" w:type="dxa"/>
                <w:shd w:val="clear" w:color="auto" w:fill="2E1A47" w:themeFill="text2"/>
              </w:tcPr>
              <w:p w14:paraId="561D3E23" w14:textId="77777777" w:rsidR="00210BE8" w:rsidRPr="003A58AB" w:rsidRDefault="00210BE8" w:rsidP="00D464A7">
                <w:pPr>
                  <w:jc w:val="center"/>
                  <w:rPr>
                    <w:b/>
                    <w:color w:val="FFFFFF" w:themeColor="background1"/>
                  </w:rPr>
                </w:pPr>
                <w:bookmarkStart w:id="57" w:name="_Hlk95909387"/>
                <w:r>
                  <w:rPr>
                    <w:b/>
                    <w:color w:val="FFFFFF" w:themeColor="background1"/>
                  </w:rPr>
                  <w:t>Total</w:t>
                </w:r>
              </w:p>
            </w:tc>
            <w:tc>
              <w:tcPr>
                <w:tcW w:w="3116" w:type="dxa"/>
                <w:shd w:val="clear" w:color="auto" w:fill="2E1A47" w:themeFill="text2"/>
              </w:tcPr>
              <w:p w14:paraId="3AE5B5C8"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text2"/>
              </w:tcPr>
              <w:p w14:paraId="197B972B"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6F148E79" w14:textId="77777777" w:rsidTr="00D464A7">
            <w:trPr>
              <w:jc w:val="center"/>
            </w:trPr>
            <w:tc>
              <w:tcPr>
                <w:tcW w:w="3117" w:type="dxa"/>
              </w:tcPr>
              <w:p w14:paraId="35FB633B" w14:textId="77777777" w:rsidR="00210BE8" w:rsidRPr="00C8055E" w:rsidRDefault="00210BE8" w:rsidP="00D464A7">
                <w:pPr>
                  <w:spacing w:after="0" w:line="240" w:lineRule="auto"/>
                  <w:jc w:val="center"/>
                  <w:rPr>
                    <w:rFonts w:asciiTheme="minorHAnsi" w:eastAsia="Times New Roman" w:hAnsiTheme="minorHAnsi" w:cs="Times New Roman"/>
                    <w:color w:val="000000"/>
                    <w:lang w:eastAsia="en-AU"/>
                  </w:rPr>
                </w:pPr>
                <w:r w:rsidRPr="00C8055E">
                  <w:rPr>
                    <w:rFonts w:asciiTheme="minorHAnsi" w:eastAsia="Times New Roman" w:hAnsiTheme="minorHAnsi" w:cs="Times New Roman"/>
                    <w:color w:val="000000"/>
                    <w:lang w:eastAsia="en-AU"/>
                  </w:rPr>
                  <w:t xml:space="preserve">$16.7 billion </w:t>
                </w:r>
              </w:p>
              <w:p w14:paraId="081AAF05" w14:textId="77777777" w:rsidR="00210BE8" w:rsidRPr="00C8055E" w:rsidRDefault="00210BE8" w:rsidP="00D464A7">
                <w:pPr>
                  <w:spacing w:after="0" w:line="240" w:lineRule="auto"/>
                  <w:jc w:val="center"/>
                  <w:rPr>
                    <w:rFonts w:asciiTheme="minorHAnsi" w:eastAsia="Times New Roman" w:hAnsiTheme="minorHAnsi" w:cs="Times New Roman"/>
                    <w:color w:val="000000"/>
                    <w:lang w:eastAsia="en-AU"/>
                  </w:rPr>
                </w:pPr>
                <w:r w:rsidRPr="00C8055E">
                  <w:rPr>
                    <w:rFonts w:asciiTheme="minorHAnsi" w:eastAsia="Times New Roman" w:hAnsiTheme="minorHAnsi" w:cs="Times New Roman"/>
                    <w:color w:val="000000"/>
                    <w:lang w:eastAsia="en-AU"/>
                  </w:rPr>
                  <w:t>13 projects</w:t>
                </w:r>
              </w:p>
              <w:p w14:paraId="02B90B77" w14:textId="77777777" w:rsidR="00210BE8" w:rsidRPr="003A58AB" w:rsidRDefault="00210BE8" w:rsidP="00D464A7"/>
            </w:tc>
            <w:tc>
              <w:tcPr>
                <w:tcW w:w="3116" w:type="dxa"/>
              </w:tcPr>
              <w:p w14:paraId="0FF993FF" w14:textId="77777777" w:rsidR="00210BE8" w:rsidRPr="00C8055E" w:rsidRDefault="00210BE8" w:rsidP="00D464A7">
                <w:pPr>
                  <w:spacing w:after="0" w:line="240" w:lineRule="auto"/>
                  <w:jc w:val="center"/>
                  <w:rPr>
                    <w:rFonts w:asciiTheme="majorHAnsi" w:eastAsia="Times New Roman" w:hAnsiTheme="majorHAnsi" w:cs="Times New Roman"/>
                    <w:color w:val="000000"/>
                    <w:lang w:eastAsia="en-AU"/>
                  </w:rPr>
                </w:pPr>
                <w:r w:rsidRPr="00C8055E">
                  <w:rPr>
                    <w:rFonts w:asciiTheme="majorHAnsi" w:eastAsia="Times New Roman" w:hAnsiTheme="majorHAnsi" w:cs="Times New Roman"/>
                    <w:color w:val="000000"/>
                    <w:lang w:eastAsia="en-AU"/>
                  </w:rPr>
                  <w:t xml:space="preserve">$9.2 billion </w:t>
                </w:r>
              </w:p>
              <w:p w14:paraId="74AF6737" w14:textId="77777777" w:rsidR="00210BE8" w:rsidRPr="00C8055E" w:rsidRDefault="00210BE8" w:rsidP="00D464A7">
                <w:pPr>
                  <w:jc w:val="center"/>
                  <w:rPr>
                    <w:rFonts w:asciiTheme="majorHAnsi" w:hAnsiTheme="majorHAnsi"/>
                  </w:rPr>
                </w:pPr>
                <w:r w:rsidRPr="00C8055E">
                  <w:rPr>
                    <w:rFonts w:asciiTheme="majorHAnsi" w:eastAsia="Times New Roman" w:hAnsiTheme="majorHAnsi" w:cs="Times New Roman"/>
                    <w:color w:val="000000"/>
                    <w:lang w:eastAsia="en-AU"/>
                  </w:rPr>
                  <w:t>7 projects</w:t>
                </w:r>
              </w:p>
              <w:p w14:paraId="0817A810" w14:textId="77777777" w:rsidR="00210BE8" w:rsidRPr="003A58AB" w:rsidRDefault="00210BE8" w:rsidP="00D464A7"/>
            </w:tc>
            <w:tc>
              <w:tcPr>
                <w:tcW w:w="3117" w:type="dxa"/>
              </w:tcPr>
              <w:p w14:paraId="0E9723B0" w14:textId="77777777" w:rsidR="00210BE8" w:rsidRPr="00C8055E" w:rsidRDefault="00210BE8" w:rsidP="00D464A7">
                <w:pPr>
                  <w:spacing w:after="0" w:line="240" w:lineRule="auto"/>
                  <w:jc w:val="center"/>
                  <w:rPr>
                    <w:rFonts w:asciiTheme="majorHAnsi" w:eastAsia="Times New Roman" w:hAnsiTheme="majorHAnsi" w:cs="Times New Roman"/>
                    <w:color w:val="000000"/>
                    <w:lang w:eastAsia="en-AU"/>
                  </w:rPr>
                </w:pPr>
                <w:r w:rsidRPr="00C8055E">
                  <w:rPr>
                    <w:rFonts w:asciiTheme="majorHAnsi" w:eastAsia="Times New Roman" w:hAnsiTheme="majorHAnsi" w:cs="Times New Roman"/>
                    <w:color w:val="000000"/>
                    <w:lang w:eastAsia="en-AU"/>
                  </w:rPr>
                  <w:t xml:space="preserve">$7.5 billion </w:t>
                </w:r>
              </w:p>
              <w:p w14:paraId="5740E16A" w14:textId="77777777" w:rsidR="00210BE8" w:rsidRPr="00C8055E" w:rsidRDefault="00210BE8" w:rsidP="00D464A7">
                <w:pPr>
                  <w:spacing w:after="0" w:line="240" w:lineRule="auto"/>
                  <w:jc w:val="center"/>
                  <w:rPr>
                    <w:rFonts w:ascii="Calibri" w:eastAsia="Times New Roman" w:hAnsi="Calibri" w:cs="Times New Roman"/>
                    <w:color w:val="000000"/>
                    <w:lang w:eastAsia="en-AU"/>
                  </w:rPr>
                </w:pPr>
                <w:r w:rsidRPr="00C8055E">
                  <w:rPr>
                    <w:rFonts w:asciiTheme="majorHAnsi" w:eastAsia="Times New Roman" w:hAnsiTheme="majorHAnsi" w:cs="Times New Roman"/>
                    <w:color w:val="000000"/>
                    <w:lang w:eastAsia="en-AU"/>
                  </w:rPr>
                  <w:t>6 projects</w:t>
                </w:r>
              </w:p>
            </w:tc>
          </w:tr>
          <w:tr w:rsidR="00210BE8" w:rsidRPr="003A58AB" w14:paraId="73E92B5A" w14:textId="77777777" w:rsidTr="00D464A7">
            <w:trPr>
              <w:jc w:val="center"/>
            </w:trPr>
            <w:tc>
              <w:tcPr>
                <w:tcW w:w="3117" w:type="dxa"/>
              </w:tcPr>
              <w:p w14:paraId="02AAB88A" w14:textId="77777777" w:rsidR="00210BE8" w:rsidRDefault="00210BE8" w:rsidP="00D464A7">
                <w:pPr>
                  <w:spacing w:after="0"/>
                  <w:jc w:val="center"/>
                </w:pPr>
                <w:r>
                  <w:t xml:space="preserve">Change from 2019-20: </w:t>
                </w:r>
              </w:p>
              <w:p w14:paraId="6A762DEB" w14:textId="77777777" w:rsidR="00210BE8" w:rsidRDefault="00210BE8" w:rsidP="00D464A7">
                <w:pPr>
                  <w:spacing w:after="0"/>
                  <w:jc w:val="center"/>
                  <w:rPr>
                    <w:lang w:eastAsia="en-AU"/>
                  </w:rPr>
                </w:pPr>
                <w:r>
                  <w:t>d</w:t>
                </w:r>
                <w:r w:rsidRPr="00E46DDF">
                  <w:rPr>
                    <w:lang w:eastAsia="en-AU"/>
                  </w:rPr>
                  <w:t>own $1</w:t>
                </w:r>
                <w:r>
                  <w:rPr>
                    <w:lang w:eastAsia="en-AU"/>
                  </w:rPr>
                  <w:t>.5</w:t>
                </w:r>
                <w:r w:rsidRPr="00E46DDF">
                  <w:rPr>
                    <w:lang w:eastAsia="en-AU"/>
                  </w:rPr>
                  <w:t xml:space="preserve"> </w:t>
                </w:r>
                <w:r>
                  <w:rPr>
                    <w:lang w:eastAsia="en-AU"/>
                  </w:rPr>
                  <w:t>b</w:t>
                </w:r>
                <w:r w:rsidRPr="00E46DDF">
                  <w:rPr>
                    <w:lang w:eastAsia="en-AU"/>
                  </w:rPr>
                  <w:t>illion</w:t>
                </w:r>
                <w:r>
                  <w:rPr>
                    <w:lang w:eastAsia="en-AU"/>
                  </w:rPr>
                  <w:t xml:space="preserve">, </w:t>
                </w:r>
              </w:p>
              <w:p w14:paraId="52CC7B85" w14:textId="77777777" w:rsidR="00210BE8" w:rsidRPr="00E46DDF" w:rsidRDefault="00210BE8" w:rsidP="00D464A7">
                <w:pPr>
                  <w:jc w:val="center"/>
                  <w:rPr>
                    <w:lang w:eastAsia="en-AU"/>
                  </w:rPr>
                </w:pPr>
                <w:r>
                  <w:rPr>
                    <w:lang w:eastAsia="en-AU"/>
                  </w:rPr>
                  <w:t>down 5 projects</w:t>
                </w:r>
              </w:p>
              <w:p w14:paraId="09AB846C" w14:textId="77777777" w:rsidR="00210BE8" w:rsidRPr="003A58AB" w:rsidRDefault="00210BE8" w:rsidP="00D464A7"/>
            </w:tc>
            <w:tc>
              <w:tcPr>
                <w:tcW w:w="3116" w:type="dxa"/>
              </w:tcPr>
              <w:p w14:paraId="1403D451" w14:textId="77777777" w:rsidR="00210BE8" w:rsidRDefault="00210BE8" w:rsidP="00D464A7">
                <w:pPr>
                  <w:spacing w:after="0"/>
                  <w:jc w:val="center"/>
                </w:pPr>
                <w:r>
                  <w:t xml:space="preserve">Change from 2019-20: </w:t>
                </w:r>
              </w:p>
              <w:p w14:paraId="71F4D9ED" w14:textId="77777777" w:rsidR="00210BE8" w:rsidRDefault="00210BE8" w:rsidP="00D464A7">
                <w:pPr>
                  <w:spacing w:after="0"/>
                  <w:jc w:val="center"/>
                </w:pPr>
                <w:r w:rsidRPr="00C8055E">
                  <w:t>down $1.1 billion</w:t>
                </w:r>
                <w:r>
                  <w:t xml:space="preserve">, </w:t>
                </w:r>
              </w:p>
              <w:p w14:paraId="59594345" w14:textId="77777777" w:rsidR="00210BE8" w:rsidRPr="003A58AB" w:rsidRDefault="00210BE8" w:rsidP="00D464A7">
                <w:pPr>
                  <w:jc w:val="center"/>
                </w:pPr>
                <w:r w:rsidRPr="00C8055E">
                  <w:t>down 2 projects</w:t>
                </w:r>
              </w:p>
            </w:tc>
            <w:tc>
              <w:tcPr>
                <w:tcW w:w="3117" w:type="dxa"/>
              </w:tcPr>
              <w:p w14:paraId="507696BE" w14:textId="77777777" w:rsidR="00210BE8" w:rsidRDefault="00210BE8" w:rsidP="00D464A7">
                <w:pPr>
                  <w:spacing w:after="0"/>
                  <w:jc w:val="center"/>
                </w:pPr>
                <w:r>
                  <w:t xml:space="preserve">Change from 2019-20: </w:t>
                </w:r>
              </w:p>
              <w:p w14:paraId="7081C758" w14:textId="77777777" w:rsidR="00210BE8" w:rsidRDefault="00210BE8" w:rsidP="00D464A7">
                <w:pPr>
                  <w:spacing w:after="0"/>
                  <w:jc w:val="center"/>
                </w:pPr>
                <w:r>
                  <w:t>d</w:t>
                </w:r>
                <w:r w:rsidRPr="00C8055E">
                  <w:t>own $0.4 billion</w:t>
                </w:r>
                <w:r>
                  <w:t xml:space="preserve">, </w:t>
                </w:r>
              </w:p>
              <w:p w14:paraId="3DC97062" w14:textId="77777777" w:rsidR="00210BE8" w:rsidRPr="003A58AB" w:rsidRDefault="00210BE8" w:rsidP="00D464A7">
                <w:pPr>
                  <w:spacing w:after="0"/>
                  <w:jc w:val="center"/>
                  <w:rPr>
                    <w:lang w:eastAsia="en-AU"/>
                  </w:rPr>
                </w:pPr>
                <w:r>
                  <w:rPr>
                    <w:lang w:eastAsia="en-AU"/>
                  </w:rPr>
                  <w:t xml:space="preserve">down 3 projects </w:t>
                </w:r>
              </w:p>
            </w:tc>
          </w:tr>
          <w:bookmarkEnd w:id="57"/>
        </w:tbl>
        <w:p w14:paraId="53310E09" w14:textId="77777777" w:rsidR="00210BE8" w:rsidRDefault="00210BE8" w:rsidP="00210BE8"/>
        <w:p w14:paraId="1BF4504E" w14:textId="570D3DC0" w:rsidR="00210BE8" w:rsidRPr="00E46DDF" w:rsidRDefault="00210BE8" w:rsidP="00210BE8">
          <w:r w:rsidRPr="00E46DDF">
            <w:t>Aviation remain</w:t>
          </w:r>
          <w:r>
            <w:t>s</w:t>
          </w:r>
          <w:r w:rsidRPr="00E46DDF">
            <w:t xml:space="preserve"> a vital component for growing Australia’s tourism industry. This is because of Australia’s </w:t>
          </w:r>
          <w:r>
            <w:t>size, distance between regions of interest,</w:t>
          </w:r>
          <w:r w:rsidRPr="00E46DDF">
            <w:t xml:space="preserve"> and </w:t>
          </w:r>
          <w:r w:rsidR="0057619A">
            <w:t xml:space="preserve">globally </w:t>
          </w:r>
          <w:r w:rsidRPr="00E46DDF">
            <w:t xml:space="preserve">remote geographical location. </w:t>
          </w:r>
          <w:r>
            <w:t>Projects in this sector cover airport construction and upgrades to runways, terminals and infrastructure. Purchases of aircraft are not included.</w:t>
          </w:r>
        </w:p>
        <w:p w14:paraId="06B97C6F" w14:textId="77777777" w:rsidR="00210BE8" w:rsidRDefault="00210BE8" w:rsidP="00210BE8">
          <w:r>
            <w:t xml:space="preserve">In 2020-21, there were 13 aviation projects worth $16.7 billion. This is a decline of $1.5 billion and 5 projects compared with the 2019-20 pipeline. The decline in the pipeline reflects the completion of 6 aviation projects (most of which were upgrades to airports in Queensland). There was 1 new project added to the pipeline. </w:t>
          </w:r>
        </w:p>
        <w:p w14:paraId="14E7555D" w14:textId="77777777" w:rsidR="00210BE8" w:rsidRDefault="00210BE8" w:rsidP="00210BE8">
          <w:r>
            <w:t>Major projects in this sector include:</w:t>
          </w:r>
        </w:p>
        <w:p w14:paraId="09C29C9E" w14:textId="77777777" w:rsidR="00210BE8" w:rsidRDefault="00210BE8" w:rsidP="00210BE8">
          <w:pPr>
            <w:pStyle w:val="ListBullet"/>
            <w:spacing w:after="200" w:line="300" w:lineRule="exact"/>
            <w:contextualSpacing/>
          </w:pPr>
          <w:r>
            <w:t>The new Western Sydney International Airport (Badgerys Creek) – $5.3 billion (under construction)</w:t>
          </w:r>
        </w:p>
        <w:p w14:paraId="09FF05FC" w14:textId="77777777" w:rsidR="00210BE8" w:rsidRDefault="00210BE8" w:rsidP="00210BE8">
          <w:pPr>
            <w:pStyle w:val="ListBullet"/>
            <w:spacing w:after="200" w:line="300" w:lineRule="exact"/>
            <w:contextualSpacing/>
          </w:pPr>
          <w:r>
            <w:t xml:space="preserve">The proposed </w:t>
          </w:r>
          <w:r w:rsidRPr="00244704">
            <w:t>Koo Wee Rup Airport</w:t>
          </w:r>
          <w:r>
            <w:t xml:space="preserve"> in Melbourne’s southeast – $7 billion </w:t>
          </w:r>
        </w:p>
        <w:p w14:paraId="17954AF3" w14:textId="77777777" w:rsidR="00210BE8" w:rsidRDefault="00210BE8" w:rsidP="00210BE8">
          <w:pPr>
            <w:pStyle w:val="ListBullet"/>
            <w:spacing w:after="200" w:line="300" w:lineRule="exact"/>
            <w:contextualSpacing/>
          </w:pPr>
          <w:r>
            <w:t>A proposed new runway at Melbourne Airport – $1.5 billion</w:t>
          </w:r>
        </w:p>
        <w:p w14:paraId="5568FACF" w14:textId="6AF5960A" w:rsidR="00210BE8" w:rsidRDefault="00210BE8" w:rsidP="00210BE8">
          <w:pPr>
            <w:pStyle w:val="ListBullet"/>
            <w:spacing w:after="200" w:line="300" w:lineRule="exact"/>
            <w:contextualSpacing/>
          </w:pPr>
          <w:r>
            <w:t>Upgrades at Perth Airport – $1.0 billion (under construction)</w:t>
          </w:r>
          <w:r w:rsidR="002F50CF">
            <w:t>.</w:t>
          </w:r>
        </w:p>
        <w:p w14:paraId="376AA952" w14:textId="77777777" w:rsidR="00210BE8" w:rsidRPr="00AF7DB4" w:rsidRDefault="00210BE8" w:rsidP="00210BE8">
          <w:pPr>
            <w:pStyle w:val="Heading3"/>
          </w:pPr>
          <w:bookmarkStart w:id="58" w:name="_Toc95805110"/>
          <w:bookmarkStart w:id="59" w:name="_Toc95899265"/>
          <w:bookmarkStart w:id="60" w:name="_Toc95899347"/>
          <w:r w:rsidRPr="00AF7DB4">
            <w:t>Breakdown by location</w:t>
          </w:r>
          <w:bookmarkEnd w:id="58"/>
          <w:bookmarkEnd w:id="59"/>
          <w:bookmarkEnd w:id="60"/>
        </w:p>
        <w:p w14:paraId="11EE8BA1" w14:textId="77777777" w:rsidR="00210BE8" w:rsidRDefault="00210BE8" w:rsidP="00210BE8">
          <w:r>
            <w:t xml:space="preserve">In 2020-21, in the aviation sector, there were 7 projects worth $9.2 billion located in capital cities. There were a further 6 projects worth $7.5 billion located in regional areas. The proposed </w:t>
          </w:r>
          <w:r w:rsidRPr="00244704">
            <w:t>Koo Wee Rup Airport</w:t>
          </w:r>
          <w:r>
            <w:t xml:space="preserve"> in Melbourne’s southeast ($7 billion) accounts for </w:t>
          </w:r>
          <w:proofErr w:type="gramStart"/>
          <w:r>
            <w:t>the vast majority of</w:t>
          </w:r>
          <w:proofErr w:type="gramEnd"/>
          <w:r>
            <w:t xml:space="preserve"> the regional pipeline.</w:t>
          </w:r>
        </w:p>
        <w:p w14:paraId="076F54FE" w14:textId="77777777" w:rsidR="00210BE8" w:rsidRDefault="00210BE8" w:rsidP="00210BE8">
          <w:r>
            <w:t>Investment in aviation is generally more geographically concentrated than the other pipelines, reflecting the location of Australia’s largest airports. In 2020-21 there were:</w:t>
          </w:r>
        </w:p>
        <w:p w14:paraId="551C3BE9" w14:textId="77777777" w:rsidR="00210BE8" w:rsidRDefault="00210BE8" w:rsidP="00210BE8">
          <w:pPr>
            <w:pStyle w:val="ListBullet"/>
            <w:spacing w:after="200" w:line="300" w:lineRule="exact"/>
            <w:contextualSpacing/>
          </w:pPr>
          <w:r>
            <w:lastRenderedPageBreak/>
            <w:t>3 aviation projects in New South Wales ($5.7 billion)</w:t>
          </w:r>
        </w:p>
        <w:p w14:paraId="373336DB" w14:textId="77777777" w:rsidR="00210BE8" w:rsidRDefault="00210BE8" w:rsidP="00210BE8">
          <w:pPr>
            <w:pStyle w:val="ListBullet"/>
            <w:spacing w:after="200" w:line="300" w:lineRule="exact"/>
            <w:contextualSpacing/>
          </w:pPr>
          <w:r>
            <w:t>2 projects in Victoria ($8.5 billion)</w:t>
          </w:r>
        </w:p>
        <w:p w14:paraId="42CC47E6" w14:textId="77777777" w:rsidR="00210BE8" w:rsidRDefault="00210BE8" w:rsidP="00210BE8">
          <w:pPr>
            <w:pStyle w:val="ListBullet"/>
            <w:spacing w:after="200" w:line="300" w:lineRule="exact"/>
            <w:contextualSpacing/>
          </w:pPr>
          <w:r>
            <w:t>3 projects in Western Australia ($1.6 billion)</w:t>
          </w:r>
        </w:p>
        <w:p w14:paraId="31EF2250" w14:textId="6A89FB83" w:rsidR="00210BE8" w:rsidRPr="00C8055E" w:rsidRDefault="00210BE8" w:rsidP="00210BE8">
          <w:pPr>
            <w:pStyle w:val="ListBullet"/>
            <w:spacing w:after="200" w:line="300" w:lineRule="exact"/>
            <w:contextualSpacing/>
          </w:pPr>
          <w:r>
            <w:t>5 projects worth ($0.9 billion) across Queensland (2 projects), South Australia (1 project), and the Northern Territory (2 projects)</w:t>
          </w:r>
          <w:bookmarkStart w:id="61" w:name="_Toc95805111"/>
          <w:r w:rsidR="002F50CF">
            <w:t>.</w:t>
          </w:r>
        </w:p>
        <w:p w14:paraId="3E043626" w14:textId="77777777" w:rsidR="00210BE8" w:rsidRPr="00AF7DB4" w:rsidRDefault="00210BE8" w:rsidP="00210BE8">
          <w:pPr>
            <w:pStyle w:val="Heading3"/>
          </w:pPr>
          <w:bookmarkStart w:id="62" w:name="_Toc95899266"/>
          <w:bookmarkStart w:id="63" w:name="_Toc95899348"/>
          <w:r w:rsidRPr="00AF7DB4">
            <w:t>Breakdown by project phase</w:t>
          </w:r>
          <w:bookmarkEnd w:id="61"/>
          <w:bookmarkEnd w:id="62"/>
          <w:bookmarkEnd w:id="63"/>
        </w:p>
        <w:p w14:paraId="429E168A" w14:textId="77777777" w:rsidR="00210BE8" w:rsidRDefault="00210BE8" w:rsidP="00210BE8">
          <w:proofErr w:type="gramStart"/>
          <w:r>
            <w:t>The majority of</w:t>
          </w:r>
          <w:proofErr w:type="gramEnd"/>
          <w:r>
            <w:t xml:space="preserve"> projects (8 projects worth $7.6 billion) in the aviation pipeline were under construction in 2020-21. These projects were all also under construction in 2019-20.</w:t>
          </w:r>
        </w:p>
        <w:p w14:paraId="45D37197" w14:textId="77777777" w:rsidR="00210BE8" w:rsidRDefault="00210BE8" w:rsidP="00210BE8">
          <w:r>
            <w:t>There were 2 projects ($0.6 billion) in the planning stage and 3 projects ($8.5 billion) in the proposed stage.</w:t>
          </w:r>
        </w:p>
        <w:p w14:paraId="5BB9964E" w14:textId="77777777" w:rsidR="00210BE8" w:rsidRPr="00292C9B" w:rsidRDefault="00210BE8" w:rsidP="00210BE8">
          <w:pPr>
            <w:pStyle w:val="Caption"/>
            <w:keepNext/>
            <w:spacing w:before="240" w:after="0"/>
            <w:rPr>
              <w:i w:val="0"/>
              <w:iCs w:val="0"/>
              <w:sz w:val="22"/>
              <w:szCs w:val="22"/>
            </w:rPr>
          </w:pPr>
          <w:r w:rsidRPr="00292C9B">
            <w:rPr>
              <w:i w:val="0"/>
              <w:iCs w:val="0"/>
              <w:sz w:val="22"/>
              <w:szCs w:val="22"/>
            </w:rPr>
            <w:t xml:space="preserve">Figure </w:t>
          </w:r>
          <w:r w:rsidRPr="00292C9B">
            <w:rPr>
              <w:i w:val="0"/>
              <w:iCs w:val="0"/>
              <w:sz w:val="22"/>
              <w:szCs w:val="22"/>
            </w:rPr>
            <w:fldChar w:fldCharType="begin"/>
          </w:r>
          <w:r w:rsidRPr="00292C9B">
            <w:rPr>
              <w:i w:val="0"/>
              <w:iCs w:val="0"/>
              <w:sz w:val="22"/>
              <w:szCs w:val="22"/>
            </w:rPr>
            <w:instrText xml:space="preserve"> SEQ Figure \* ARABIC </w:instrText>
          </w:r>
          <w:r w:rsidRPr="00292C9B">
            <w:rPr>
              <w:i w:val="0"/>
              <w:iCs w:val="0"/>
              <w:sz w:val="22"/>
              <w:szCs w:val="22"/>
            </w:rPr>
            <w:fldChar w:fldCharType="separate"/>
          </w:r>
          <w:r w:rsidRPr="00292C9B">
            <w:rPr>
              <w:i w:val="0"/>
              <w:iCs w:val="0"/>
              <w:sz w:val="22"/>
              <w:szCs w:val="22"/>
            </w:rPr>
            <w:t>3</w:t>
          </w:r>
          <w:r w:rsidRPr="00292C9B">
            <w:rPr>
              <w:i w:val="0"/>
              <w:iCs w:val="0"/>
              <w:sz w:val="22"/>
              <w:szCs w:val="22"/>
            </w:rPr>
            <w:fldChar w:fldCharType="end"/>
          </w:r>
          <w:r w:rsidRPr="00292C9B">
            <w:rPr>
              <w:i w:val="0"/>
              <w:iCs w:val="0"/>
              <w:sz w:val="22"/>
              <w:szCs w:val="22"/>
            </w:rPr>
            <w:t xml:space="preserve"> – Aviation pipeline by project phase, 2020-21</w:t>
          </w:r>
        </w:p>
        <w:p w14:paraId="79C8101D" w14:textId="77777777" w:rsidR="00210BE8" w:rsidRDefault="00210BE8" w:rsidP="00210BE8">
          <w:r w:rsidRPr="005D79B0">
            <w:rPr>
              <w:noProof/>
            </w:rPr>
            <w:drawing>
              <wp:anchor distT="0" distB="0" distL="114300" distR="114300" simplePos="0" relativeHeight="251667456" behindDoc="0" locked="0" layoutInCell="1" allowOverlap="1" wp14:anchorId="7B7FFC45" wp14:editId="77FDD2C8">
                <wp:simplePos x="0" y="0"/>
                <wp:positionH relativeFrom="margin">
                  <wp:align>left</wp:align>
                </wp:positionH>
                <wp:positionV relativeFrom="paragraph">
                  <wp:posOffset>263525</wp:posOffset>
                </wp:positionV>
                <wp:extent cx="6336000" cy="2644711"/>
                <wp:effectExtent l="0" t="0" r="8255" b="3810"/>
                <wp:wrapNone/>
                <wp:docPr id="6" name="Picture 6" descr="This horizontal bar chart shows the value of tourism investment in the aviation sector. It has 3 bars showing the value of projects at each of the 3 phases - under construction, planning and proposed. Each bar is also apportioned to show the share of projects in capital city areas and in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horizontal bar chart shows the value of tourism investment in the aviation sector. It has 3 bars showing the value of projects at each of the 3 phases - under construction, planning and proposed. Each bar is also apportioned to show the share of projects in capital city areas and in regional area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6000" cy="26447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F2A51" w14:textId="77777777" w:rsidR="00210BE8" w:rsidRDefault="00210BE8" w:rsidP="00210BE8"/>
        <w:p w14:paraId="45A7099E" w14:textId="77777777" w:rsidR="00210BE8" w:rsidRDefault="00210BE8" w:rsidP="00210BE8"/>
        <w:p w14:paraId="3428C1F9" w14:textId="77777777" w:rsidR="00210BE8" w:rsidRDefault="00210BE8" w:rsidP="00210BE8"/>
        <w:p w14:paraId="1AA6438D" w14:textId="77777777" w:rsidR="00210BE8" w:rsidRDefault="00210BE8" w:rsidP="00210BE8"/>
        <w:p w14:paraId="777A46BF" w14:textId="77777777" w:rsidR="00210BE8" w:rsidRDefault="00210BE8" w:rsidP="00210BE8"/>
        <w:p w14:paraId="28F8F504" w14:textId="77777777" w:rsidR="00210BE8" w:rsidRDefault="00210BE8" w:rsidP="00210BE8"/>
        <w:p w14:paraId="71DC5605" w14:textId="77777777" w:rsidR="00210BE8" w:rsidRDefault="00210BE8" w:rsidP="00210BE8"/>
        <w:p w14:paraId="2CDCE72B" w14:textId="77777777" w:rsidR="00210BE8" w:rsidRDefault="00210BE8" w:rsidP="00210BE8"/>
        <w:p w14:paraId="319D1F15" w14:textId="77777777" w:rsidR="00210BE8" w:rsidRDefault="00210BE8" w:rsidP="00210BE8"/>
        <w:p w14:paraId="48A641E6" w14:textId="77777777" w:rsidR="0057619A" w:rsidRDefault="0057619A">
          <w:pPr>
            <w:spacing w:before="0" w:after="160" w:line="259" w:lineRule="auto"/>
            <w:rPr>
              <w:rFonts w:eastAsia="SimSun" w:cs="Times New Roman"/>
              <w:bCs/>
              <w:color w:val="7A4282" w:themeColor="accent1"/>
              <w:sz w:val="32"/>
              <w:szCs w:val="28"/>
              <w:lang w:eastAsia="zh-CN"/>
            </w:rPr>
          </w:pPr>
          <w:bookmarkStart w:id="64" w:name="_Toc95899349"/>
          <w:r>
            <w:rPr>
              <w:b/>
              <w:bCs/>
              <w:color w:val="7A4282" w:themeColor="accent1"/>
              <w:sz w:val="32"/>
              <w:szCs w:val="28"/>
            </w:rPr>
            <w:br w:type="page"/>
          </w:r>
        </w:p>
        <w:p w14:paraId="73BE46E3" w14:textId="3206C452" w:rsidR="00210BE8" w:rsidRPr="00D464A7" w:rsidRDefault="00210BE8" w:rsidP="00210BE8">
          <w:pPr>
            <w:pStyle w:val="Heading2"/>
            <w:rPr>
              <w:b w:val="0"/>
              <w:bCs/>
              <w:color w:val="7A4282" w:themeColor="accent1"/>
              <w:sz w:val="32"/>
              <w:szCs w:val="28"/>
            </w:rPr>
          </w:pPr>
          <w:r w:rsidRPr="00D464A7">
            <w:rPr>
              <w:b w:val="0"/>
              <w:bCs/>
              <w:color w:val="7A4282" w:themeColor="accent1"/>
              <w:sz w:val="32"/>
              <w:szCs w:val="28"/>
            </w:rPr>
            <w:lastRenderedPageBreak/>
            <w:t>Arts, recreation and business services results</w:t>
          </w:r>
          <w:bookmarkEnd w:id="55"/>
          <w:bookmarkEnd w:id="64"/>
        </w:p>
        <w:tbl>
          <w:tblPr>
            <w:tblStyle w:val="TableGrid"/>
            <w:tblW w:w="0" w:type="auto"/>
            <w:jc w:val="center"/>
            <w:tblLook w:val="04A0" w:firstRow="1" w:lastRow="0" w:firstColumn="1" w:lastColumn="0" w:noHBand="0" w:noVBand="1"/>
          </w:tblPr>
          <w:tblGrid>
            <w:gridCol w:w="3117"/>
            <w:gridCol w:w="3116"/>
            <w:gridCol w:w="3117"/>
          </w:tblGrid>
          <w:tr w:rsidR="00210BE8" w:rsidRPr="003A58AB" w14:paraId="6BBEE753" w14:textId="77777777" w:rsidTr="00D464A7">
            <w:trPr>
              <w:jc w:val="center"/>
            </w:trPr>
            <w:tc>
              <w:tcPr>
                <w:tcW w:w="3117" w:type="dxa"/>
                <w:shd w:val="clear" w:color="auto" w:fill="2E1A47" w:themeFill="text2"/>
              </w:tcPr>
              <w:p w14:paraId="65B25FA2" w14:textId="77777777" w:rsidR="00210BE8" w:rsidRPr="003A58AB" w:rsidRDefault="00210BE8" w:rsidP="00D464A7">
                <w:pPr>
                  <w:jc w:val="center"/>
                  <w:rPr>
                    <w:b/>
                    <w:color w:val="FFFFFF" w:themeColor="background1"/>
                  </w:rPr>
                </w:pPr>
                <w:bookmarkStart w:id="65" w:name="_Hlk95909481"/>
                <w:bookmarkStart w:id="66" w:name="_Toc95805105"/>
                <w:bookmarkStart w:id="67" w:name="_Toc95899268"/>
                <w:bookmarkStart w:id="68" w:name="_Toc95899350"/>
                <w:r>
                  <w:rPr>
                    <w:b/>
                    <w:color w:val="FFFFFF" w:themeColor="background1"/>
                  </w:rPr>
                  <w:t>Total</w:t>
                </w:r>
              </w:p>
            </w:tc>
            <w:tc>
              <w:tcPr>
                <w:tcW w:w="3116" w:type="dxa"/>
                <w:shd w:val="clear" w:color="auto" w:fill="2E1A47" w:themeFill="text2"/>
              </w:tcPr>
              <w:p w14:paraId="070BBCB8"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text2"/>
              </w:tcPr>
              <w:p w14:paraId="6853A3C7"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3D5980BF" w14:textId="77777777" w:rsidTr="00D464A7">
            <w:trPr>
              <w:jc w:val="center"/>
            </w:trPr>
            <w:tc>
              <w:tcPr>
                <w:tcW w:w="3117" w:type="dxa"/>
              </w:tcPr>
              <w:p w14:paraId="15BD59C9" w14:textId="7228D64E"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$1</w:t>
                </w:r>
                <w:r w:rsidR="00BF4682">
                  <w:rPr>
                    <w:rFonts w:asciiTheme="majorHAnsi" w:hAnsiTheme="majorHAnsi"/>
                    <w:color w:val="000000"/>
                  </w:rPr>
                  <w:t>5</w:t>
                </w:r>
                <w:r w:rsidRPr="00C8055E">
                  <w:rPr>
                    <w:rFonts w:asciiTheme="majorHAnsi" w:hAnsiTheme="majorHAnsi"/>
                    <w:color w:val="000000"/>
                  </w:rPr>
                  <w:t>.</w:t>
                </w:r>
                <w:r w:rsidR="00BF4682">
                  <w:rPr>
                    <w:rFonts w:asciiTheme="majorHAnsi" w:hAnsiTheme="majorHAnsi"/>
                    <w:color w:val="000000"/>
                  </w:rPr>
                  <w:t>7</w:t>
                </w:r>
                <w:r w:rsidRPr="00C8055E">
                  <w:rPr>
                    <w:rFonts w:asciiTheme="majorHAnsi" w:hAnsiTheme="majorHAnsi"/>
                    <w:color w:val="000000"/>
                  </w:rPr>
                  <w:t xml:space="preserve"> billion  </w:t>
                </w:r>
              </w:p>
              <w:p w14:paraId="1C2A2699" w14:textId="0ED19B43"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7</w:t>
                </w:r>
                <w:r w:rsidR="00BF4682">
                  <w:rPr>
                    <w:rFonts w:asciiTheme="majorHAnsi" w:hAnsiTheme="majorHAnsi"/>
                    <w:color w:val="000000"/>
                  </w:rPr>
                  <w:t>9</w:t>
                </w:r>
                <w:r w:rsidRPr="00C8055E">
                  <w:rPr>
                    <w:rFonts w:asciiTheme="majorHAnsi" w:hAnsiTheme="majorHAnsi"/>
                    <w:color w:val="000000"/>
                  </w:rPr>
                  <w:t xml:space="preserve"> projects</w:t>
                </w:r>
              </w:p>
              <w:p w14:paraId="1817865D" w14:textId="77777777" w:rsidR="00210BE8" w:rsidRPr="00C8055E" w:rsidRDefault="00210BE8" w:rsidP="00D464A7">
                <w:pPr>
                  <w:rPr>
                    <w:rFonts w:asciiTheme="majorHAnsi" w:hAnsiTheme="majorHAnsi"/>
                  </w:rPr>
                </w:pPr>
              </w:p>
            </w:tc>
            <w:tc>
              <w:tcPr>
                <w:tcW w:w="3116" w:type="dxa"/>
              </w:tcPr>
              <w:p w14:paraId="598A5BE6" w14:textId="77777777"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 xml:space="preserve">$13.0 billion </w:t>
                </w:r>
              </w:p>
              <w:p w14:paraId="2BF476A6" w14:textId="77777777" w:rsidR="00210BE8" w:rsidRPr="00C8055E" w:rsidRDefault="00210BE8" w:rsidP="00D464A7">
                <w:pPr>
                  <w:jc w:val="center"/>
                  <w:rPr>
                    <w:rFonts w:asciiTheme="majorHAnsi" w:hAnsiTheme="majorHAnsi"/>
                  </w:rPr>
                </w:pPr>
                <w:r w:rsidRPr="00C8055E">
                  <w:rPr>
                    <w:rFonts w:asciiTheme="majorHAnsi" w:hAnsiTheme="majorHAnsi"/>
                  </w:rPr>
                  <w:t>55 projects</w:t>
                </w:r>
              </w:p>
            </w:tc>
            <w:tc>
              <w:tcPr>
                <w:tcW w:w="3117" w:type="dxa"/>
              </w:tcPr>
              <w:p w14:paraId="5C788DF4" w14:textId="368FF783"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$2.</w:t>
                </w:r>
                <w:r w:rsidR="00BF4682">
                  <w:rPr>
                    <w:rFonts w:asciiTheme="majorHAnsi" w:hAnsiTheme="majorHAnsi"/>
                    <w:color w:val="000000"/>
                  </w:rPr>
                  <w:t>7</w:t>
                </w:r>
                <w:r w:rsidRPr="00C8055E">
                  <w:rPr>
                    <w:rFonts w:asciiTheme="majorHAnsi" w:hAnsiTheme="majorHAnsi"/>
                    <w:color w:val="000000"/>
                  </w:rPr>
                  <w:t xml:space="preserve"> billion</w:t>
                </w:r>
              </w:p>
              <w:p w14:paraId="17EAA6B4" w14:textId="654679CA"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2</w:t>
                </w:r>
                <w:r w:rsidR="00BF4682">
                  <w:rPr>
                    <w:rFonts w:asciiTheme="majorHAnsi" w:hAnsiTheme="majorHAnsi"/>
                    <w:color w:val="000000"/>
                  </w:rPr>
                  <w:t>4</w:t>
                </w:r>
                <w:r w:rsidRPr="00C8055E">
                  <w:rPr>
                    <w:rFonts w:asciiTheme="majorHAnsi" w:hAnsiTheme="majorHAnsi"/>
                    <w:color w:val="000000"/>
                  </w:rPr>
                  <w:t xml:space="preserve"> projects</w:t>
                </w:r>
              </w:p>
              <w:p w14:paraId="200A11CC" w14:textId="77777777" w:rsidR="00210BE8" w:rsidRPr="00C8055E" w:rsidRDefault="00210BE8" w:rsidP="00D464A7">
                <w:pPr>
                  <w:spacing w:after="0" w:line="240" w:lineRule="auto"/>
                  <w:jc w:val="center"/>
                  <w:rPr>
                    <w:rFonts w:asciiTheme="majorHAnsi" w:eastAsia="Times New Roman" w:hAnsiTheme="majorHAnsi" w:cs="Times New Roman"/>
                    <w:color w:val="000000"/>
                    <w:lang w:eastAsia="en-AU"/>
                  </w:rPr>
                </w:pPr>
              </w:p>
            </w:tc>
          </w:tr>
          <w:tr w:rsidR="00210BE8" w:rsidRPr="003A58AB" w14:paraId="22106299" w14:textId="77777777" w:rsidTr="00D464A7">
            <w:trPr>
              <w:jc w:val="center"/>
            </w:trPr>
            <w:tc>
              <w:tcPr>
                <w:tcW w:w="3117" w:type="dxa"/>
              </w:tcPr>
              <w:p w14:paraId="2DACFDB9" w14:textId="77777777" w:rsidR="00210BE8" w:rsidRPr="00C8055E" w:rsidRDefault="00210BE8" w:rsidP="00D464A7">
                <w:pPr>
                  <w:spacing w:after="0"/>
                  <w:jc w:val="center"/>
                  <w:rPr>
                    <w:rFonts w:asciiTheme="majorHAnsi" w:hAnsiTheme="majorHAnsi"/>
                  </w:rPr>
                </w:pPr>
                <w:r w:rsidRPr="00C8055E">
                  <w:rPr>
                    <w:rFonts w:asciiTheme="majorHAnsi" w:hAnsiTheme="majorHAnsi"/>
                  </w:rPr>
                  <w:t xml:space="preserve">Change from 2019-20: </w:t>
                </w:r>
              </w:p>
              <w:p w14:paraId="608E6FFB" w14:textId="2756A331" w:rsidR="00210BE8" w:rsidRPr="00C8055E" w:rsidRDefault="00210BE8" w:rsidP="00D464A7">
                <w:pPr>
                  <w:spacing w:after="0"/>
                  <w:jc w:val="center"/>
                  <w:rPr>
                    <w:rFonts w:asciiTheme="majorHAnsi" w:hAnsiTheme="majorHAnsi"/>
                    <w:lang w:eastAsia="en-AU"/>
                  </w:rPr>
                </w:pPr>
                <w:r w:rsidRPr="00C8055E">
                  <w:rPr>
                    <w:rFonts w:asciiTheme="majorHAnsi" w:hAnsiTheme="majorHAnsi"/>
                    <w:color w:val="000000"/>
                  </w:rPr>
                  <w:t>up $</w:t>
                </w:r>
                <w:r w:rsidR="00BF4682">
                  <w:rPr>
                    <w:rFonts w:asciiTheme="majorHAnsi" w:hAnsiTheme="majorHAnsi"/>
                    <w:color w:val="000000"/>
                  </w:rPr>
                  <w:t>1.4</w:t>
                </w:r>
                <w:r w:rsidRPr="00C8055E">
                  <w:rPr>
                    <w:rFonts w:asciiTheme="majorHAnsi" w:hAnsiTheme="majorHAnsi"/>
                    <w:color w:val="000000"/>
                  </w:rPr>
                  <w:t xml:space="preserve"> billion</w:t>
                </w:r>
                <w:r w:rsidRPr="00C8055E">
                  <w:rPr>
                    <w:rFonts w:asciiTheme="majorHAnsi" w:hAnsiTheme="majorHAnsi"/>
                    <w:lang w:eastAsia="en-AU"/>
                  </w:rPr>
                  <w:t xml:space="preserve">, </w:t>
                </w:r>
              </w:p>
              <w:p w14:paraId="536ADEDA" w14:textId="282DF724" w:rsidR="00210BE8" w:rsidRPr="00C8055E" w:rsidRDefault="00210BE8" w:rsidP="00D464A7">
                <w:pPr>
                  <w:jc w:val="center"/>
                  <w:rPr>
                    <w:rFonts w:asciiTheme="majorHAnsi" w:hAnsiTheme="majorHAnsi"/>
                  </w:rPr>
                </w:pPr>
                <w:r w:rsidRPr="00C8055E">
                  <w:rPr>
                    <w:rFonts w:asciiTheme="majorHAnsi" w:hAnsiTheme="majorHAnsi"/>
                    <w:color w:val="000000"/>
                  </w:rPr>
                  <w:t xml:space="preserve">up </w:t>
                </w:r>
                <w:r w:rsidR="00BF4682">
                  <w:rPr>
                    <w:rFonts w:asciiTheme="majorHAnsi" w:hAnsiTheme="majorHAnsi"/>
                    <w:color w:val="000000"/>
                  </w:rPr>
                  <w:t>10</w:t>
                </w:r>
                <w:r w:rsidRPr="00C8055E">
                  <w:rPr>
                    <w:rFonts w:asciiTheme="majorHAnsi" w:hAnsiTheme="majorHAnsi"/>
                    <w:color w:val="000000"/>
                  </w:rPr>
                  <w:t xml:space="preserve"> projects</w:t>
                </w:r>
              </w:p>
            </w:tc>
            <w:tc>
              <w:tcPr>
                <w:tcW w:w="3116" w:type="dxa"/>
              </w:tcPr>
              <w:p w14:paraId="45F435E6" w14:textId="77777777" w:rsidR="00210BE8" w:rsidRPr="00C8055E" w:rsidRDefault="00210BE8" w:rsidP="00D464A7">
                <w:pPr>
                  <w:spacing w:after="0"/>
                  <w:jc w:val="center"/>
                  <w:rPr>
                    <w:rFonts w:asciiTheme="majorHAnsi" w:hAnsiTheme="majorHAnsi"/>
                  </w:rPr>
                </w:pPr>
                <w:r w:rsidRPr="00C8055E">
                  <w:rPr>
                    <w:rFonts w:asciiTheme="majorHAnsi" w:hAnsiTheme="majorHAnsi"/>
                  </w:rPr>
                  <w:t xml:space="preserve">Change from 2019-20: </w:t>
                </w:r>
              </w:p>
              <w:p w14:paraId="44C49730" w14:textId="77777777" w:rsidR="00210BE8" w:rsidRPr="00C8055E" w:rsidRDefault="00210BE8" w:rsidP="00D464A7">
                <w:pPr>
                  <w:spacing w:after="0"/>
                  <w:jc w:val="center"/>
                  <w:rPr>
                    <w:rFonts w:asciiTheme="majorHAnsi" w:hAnsiTheme="majorHAnsi"/>
                  </w:rPr>
                </w:pPr>
                <w:r w:rsidRPr="00C8055E">
                  <w:rPr>
                    <w:rFonts w:asciiTheme="majorHAnsi" w:hAnsiTheme="majorHAnsi"/>
                    <w:color w:val="000000"/>
                  </w:rPr>
                  <w:t>up $0.2 billion</w:t>
                </w:r>
                <w:r w:rsidRPr="00C8055E">
                  <w:rPr>
                    <w:rFonts w:asciiTheme="majorHAnsi" w:hAnsiTheme="majorHAnsi"/>
                  </w:rPr>
                  <w:t xml:space="preserve">, </w:t>
                </w:r>
              </w:p>
              <w:p w14:paraId="44E8F616" w14:textId="77777777" w:rsidR="00210BE8" w:rsidRPr="00C8055E" w:rsidRDefault="00210BE8" w:rsidP="00D464A7">
                <w:pPr>
                  <w:jc w:val="center"/>
                  <w:rPr>
                    <w:rFonts w:asciiTheme="majorHAnsi" w:hAnsiTheme="majorHAnsi"/>
                  </w:rPr>
                </w:pPr>
                <w:r w:rsidRPr="00C8055E">
                  <w:rPr>
                    <w:rFonts w:asciiTheme="majorHAnsi" w:hAnsiTheme="majorHAnsi"/>
                    <w:color w:val="000000"/>
                  </w:rPr>
                  <w:t>up 6 projects</w:t>
                </w:r>
              </w:p>
            </w:tc>
            <w:tc>
              <w:tcPr>
                <w:tcW w:w="3117" w:type="dxa"/>
              </w:tcPr>
              <w:p w14:paraId="3835882E" w14:textId="77777777" w:rsidR="00210BE8" w:rsidRPr="00C8055E" w:rsidRDefault="00210BE8" w:rsidP="00D464A7">
                <w:pPr>
                  <w:spacing w:after="0"/>
                  <w:jc w:val="center"/>
                  <w:rPr>
                    <w:rFonts w:asciiTheme="majorHAnsi" w:hAnsiTheme="majorHAnsi"/>
                  </w:rPr>
                </w:pPr>
                <w:r w:rsidRPr="00C8055E">
                  <w:rPr>
                    <w:rFonts w:asciiTheme="majorHAnsi" w:hAnsiTheme="majorHAnsi"/>
                  </w:rPr>
                  <w:t xml:space="preserve">Change from 2019-20: </w:t>
                </w:r>
              </w:p>
              <w:p w14:paraId="78B60C8C" w14:textId="42602036" w:rsidR="00210BE8" w:rsidRPr="00C8055E" w:rsidRDefault="00210BE8" w:rsidP="00D464A7">
                <w:pPr>
                  <w:spacing w:after="0"/>
                  <w:jc w:val="center"/>
                  <w:rPr>
                    <w:rFonts w:asciiTheme="majorHAnsi" w:hAnsiTheme="majorHAnsi"/>
                  </w:rPr>
                </w:pPr>
                <w:r w:rsidRPr="00C8055E">
                  <w:rPr>
                    <w:rFonts w:asciiTheme="majorHAnsi" w:hAnsiTheme="majorHAnsi"/>
                    <w:color w:val="000000"/>
                  </w:rPr>
                  <w:t>up $</w:t>
                </w:r>
                <w:r w:rsidR="00BF4682">
                  <w:rPr>
                    <w:rFonts w:asciiTheme="majorHAnsi" w:hAnsiTheme="majorHAnsi"/>
                    <w:color w:val="000000"/>
                  </w:rPr>
                  <w:t>1.2</w:t>
                </w:r>
                <w:r w:rsidRPr="00C8055E">
                  <w:rPr>
                    <w:rFonts w:asciiTheme="majorHAnsi" w:hAnsiTheme="majorHAnsi"/>
                    <w:color w:val="000000"/>
                  </w:rPr>
                  <w:t xml:space="preserve"> billion</w:t>
                </w:r>
                <w:r w:rsidRPr="00C8055E">
                  <w:rPr>
                    <w:rFonts w:asciiTheme="majorHAnsi" w:hAnsiTheme="majorHAnsi"/>
                  </w:rPr>
                  <w:t xml:space="preserve">, </w:t>
                </w:r>
              </w:p>
              <w:p w14:paraId="7B0C4DC4" w14:textId="1341881D" w:rsidR="00210BE8" w:rsidRPr="00C8055E" w:rsidRDefault="00210BE8" w:rsidP="00D464A7">
                <w:pPr>
                  <w:spacing w:after="0"/>
                  <w:jc w:val="center"/>
                  <w:rPr>
                    <w:rFonts w:asciiTheme="majorHAnsi" w:hAnsiTheme="majorHAnsi"/>
                    <w:lang w:eastAsia="en-AU"/>
                  </w:rPr>
                </w:pPr>
                <w:r w:rsidRPr="00C8055E">
                  <w:rPr>
                    <w:rFonts w:asciiTheme="majorHAnsi" w:hAnsiTheme="majorHAnsi"/>
                    <w:color w:val="000000"/>
                  </w:rPr>
                  <w:t xml:space="preserve">up </w:t>
                </w:r>
                <w:r w:rsidR="00BF4682">
                  <w:rPr>
                    <w:rFonts w:asciiTheme="majorHAnsi" w:hAnsiTheme="majorHAnsi"/>
                    <w:color w:val="000000"/>
                  </w:rPr>
                  <w:t>4</w:t>
                </w:r>
                <w:r w:rsidRPr="00C8055E">
                  <w:rPr>
                    <w:rFonts w:asciiTheme="majorHAnsi" w:hAnsiTheme="majorHAnsi"/>
                    <w:color w:val="000000"/>
                  </w:rPr>
                  <w:t xml:space="preserve"> project</w:t>
                </w:r>
                <w:r w:rsidR="00C20905">
                  <w:rPr>
                    <w:rFonts w:asciiTheme="majorHAnsi" w:hAnsiTheme="majorHAnsi"/>
                    <w:color w:val="000000"/>
                  </w:rPr>
                  <w:t>s</w:t>
                </w:r>
                <w:r w:rsidRPr="00C8055E">
                  <w:rPr>
                    <w:rFonts w:asciiTheme="majorHAnsi" w:hAnsiTheme="majorHAnsi"/>
                    <w:lang w:eastAsia="en-AU"/>
                  </w:rPr>
                  <w:t xml:space="preserve"> </w:t>
                </w:r>
              </w:p>
            </w:tc>
          </w:tr>
        </w:tbl>
        <w:bookmarkEnd w:id="65"/>
        <w:p w14:paraId="38F1DF88" w14:textId="77777777" w:rsidR="00210BE8" w:rsidRPr="00AF7DB4" w:rsidRDefault="00210BE8" w:rsidP="00210BE8">
          <w:pPr>
            <w:pStyle w:val="Heading3"/>
          </w:pPr>
          <w:r w:rsidRPr="00AF7DB4">
            <w:t>Summary</w:t>
          </w:r>
          <w:bookmarkEnd w:id="66"/>
          <w:bookmarkEnd w:id="67"/>
          <w:bookmarkEnd w:id="68"/>
        </w:p>
        <w:p w14:paraId="32193B19" w14:textId="77777777" w:rsidR="00210BE8" w:rsidRPr="00E46DDF" w:rsidRDefault="00210BE8" w:rsidP="00210BE8">
          <w:r w:rsidRPr="00E46DDF">
            <w:t>Arts, recreation and business services are a key driver of visitor demand. They:</w:t>
          </w:r>
        </w:p>
        <w:p w14:paraId="0CFD0DFE" w14:textId="77777777" w:rsidR="00210BE8" w:rsidRPr="00E46DDF" w:rsidRDefault="00210BE8" w:rsidP="00210BE8">
          <w:pPr>
            <w:pStyle w:val="ListBullet"/>
            <w:spacing w:after="200" w:line="300" w:lineRule="exact"/>
            <w:contextualSpacing/>
          </w:pPr>
          <w:r w:rsidRPr="00E46DDF">
            <w:t xml:space="preserve">are the services and attractions that continue to enable and enhance the visitor experience, </w:t>
          </w:r>
        </w:p>
        <w:p w14:paraId="630E8FEE" w14:textId="77777777" w:rsidR="00210BE8" w:rsidRPr="00E46DDF" w:rsidRDefault="00210BE8" w:rsidP="00210BE8">
          <w:pPr>
            <w:pStyle w:val="ListBullet"/>
            <w:spacing w:after="200" w:line="300" w:lineRule="exact"/>
            <w:contextualSpacing/>
          </w:pPr>
          <w:r w:rsidRPr="00E46DDF">
            <w:t>make a city, town or region a strong tourism drawcard</w:t>
          </w:r>
          <w:r>
            <w:t>.</w:t>
          </w:r>
        </w:p>
        <w:p w14:paraId="40B48251" w14:textId="77777777" w:rsidR="00210BE8" w:rsidRPr="00E46DDF" w:rsidRDefault="00210BE8" w:rsidP="00210BE8">
          <w:pPr>
            <w:spacing w:before="120"/>
          </w:pPr>
          <w:r w:rsidRPr="00E46DDF">
            <w:t>With competition increasing they will remain a key part of the tourism landscape.</w:t>
          </w:r>
        </w:p>
        <w:p w14:paraId="67F823A2" w14:textId="30193766" w:rsidR="00210BE8" w:rsidRDefault="00210BE8" w:rsidP="00210BE8">
          <w:r>
            <w:t>In 2020-21 there were 7</w:t>
          </w:r>
          <w:r w:rsidR="00BF4682">
            <w:t>9</w:t>
          </w:r>
          <w:r>
            <w:t xml:space="preserve"> </w:t>
          </w:r>
          <w:r w:rsidRPr="00E46DDF">
            <w:t>arts, recreation and business services projects in the pipeline valued at $</w:t>
          </w:r>
          <w:r>
            <w:t>1</w:t>
          </w:r>
          <w:r w:rsidR="00BF4682">
            <w:t>5.7</w:t>
          </w:r>
          <w:r w:rsidRPr="00E46DDF">
            <w:t xml:space="preserve"> billion.</w:t>
          </w:r>
          <w:r>
            <w:t xml:space="preserve"> This was an increase on the number and value of projects in the pipeline in the previous year. The arts, recreation and business services sector recorded a growing pipeline</w:t>
          </w:r>
          <w:r w:rsidRPr="007C2992">
            <w:t xml:space="preserve"> </w:t>
          </w:r>
          <w:r>
            <w:t>in 2020-21. In contrast, the aviation and stand-alone accommodation pipelines declined both in number and total value of projects.</w:t>
          </w:r>
        </w:p>
        <w:p w14:paraId="357BDF42" w14:textId="77777777" w:rsidR="00210BE8" w:rsidRPr="00E46DDF" w:rsidRDefault="00210BE8" w:rsidP="00210BE8">
          <w:r w:rsidRPr="00E46DDF">
            <w:t>Some of the most prominent projects in the arts, recreation and business services pipeline included the:</w:t>
          </w:r>
        </w:p>
        <w:p w14:paraId="6C30C5E9" w14:textId="77777777" w:rsidR="00210BE8" w:rsidRDefault="00210BE8" w:rsidP="00210BE8">
          <w:pPr>
            <w:pStyle w:val="ListBullet"/>
            <w:spacing w:after="200" w:line="300" w:lineRule="exact"/>
            <w:contextualSpacing/>
          </w:pPr>
          <w:r>
            <w:t xml:space="preserve">New </w:t>
          </w:r>
          <w:r w:rsidRPr="00E46DDF">
            <w:t>Brisbane Live entertainment precinct – $2.0 billion</w:t>
          </w:r>
          <w:r>
            <w:t xml:space="preserve"> </w:t>
          </w:r>
        </w:p>
        <w:p w14:paraId="26255ACE" w14:textId="77777777" w:rsidR="00210BE8" w:rsidRDefault="00210BE8" w:rsidP="00210BE8">
          <w:pPr>
            <w:pStyle w:val="ListBullet"/>
            <w:spacing w:after="200" w:line="300" w:lineRule="exact"/>
            <w:contextualSpacing/>
          </w:pPr>
          <w:r>
            <w:t xml:space="preserve">Redevelopment of the Brisbane Cricket Ground (the Gabba) </w:t>
          </w:r>
          <w:r w:rsidRPr="00E46DDF">
            <w:t>–</w:t>
          </w:r>
          <w:r>
            <w:t xml:space="preserve"> $1.0 billion </w:t>
          </w:r>
        </w:p>
        <w:p w14:paraId="02195EB1" w14:textId="77777777" w:rsidR="00210BE8" w:rsidRPr="00E46DDF" w:rsidRDefault="00210BE8" w:rsidP="00210BE8">
          <w:pPr>
            <w:pStyle w:val="ListBullet"/>
            <w:spacing w:after="200" w:line="300" w:lineRule="exact"/>
            <w:contextualSpacing/>
          </w:pPr>
          <w:r>
            <w:t xml:space="preserve">Redevelopment of Adelaide Festival Plaza (under construction) </w:t>
          </w:r>
          <w:r w:rsidRPr="00E46DDF">
            <w:t>–</w:t>
          </w:r>
          <w:r>
            <w:t xml:space="preserve"> $1.0 billion</w:t>
          </w:r>
        </w:p>
        <w:p w14:paraId="22525537" w14:textId="77777777" w:rsidR="00210BE8" w:rsidRDefault="00210BE8" w:rsidP="00210BE8">
          <w:pPr>
            <w:pStyle w:val="ListBullet"/>
            <w:spacing w:after="200" w:line="300" w:lineRule="exact"/>
            <w:contextualSpacing/>
          </w:pPr>
          <w:r>
            <w:t xml:space="preserve">New </w:t>
          </w:r>
          <w:r w:rsidRPr="00E46DDF">
            <w:t xml:space="preserve">Powerhouse Museum </w:t>
          </w:r>
          <w:r>
            <w:t xml:space="preserve">in Parramatta </w:t>
          </w:r>
          <w:r w:rsidRPr="00E46DDF">
            <w:t>– $</w:t>
          </w:r>
          <w:r>
            <w:t>0.8</w:t>
          </w:r>
          <w:r w:rsidRPr="00E46DDF">
            <w:t xml:space="preserve"> billion</w:t>
          </w:r>
        </w:p>
        <w:p w14:paraId="4B9BD934" w14:textId="77777777" w:rsidR="00210BE8" w:rsidRDefault="00210BE8" w:rsidP="00210BE8">
          <w:pPr>
            <w:pStyle w:val="ListBullet"/>
            <w:spacing w:after="200" w:line="300" w:lineRule="exact"/>
            <w:contextualSpacing/>
          </w:pPr>
          <w:r>
            <w:t xml:space="preserve">Redevelopment of the Sydney Football Stadium (under construction) </w:t>
          </w:r>
          <w:r w:rsidRPr="00E46DDF">
            <w:t>– $</w:t>
          </w:r>
          <w:r>
            <w:t>0.7</w:t>
          </w:r>
          <w:r w:rsidRPr="00E46DDF">
            <w:t xml:space="preserve"> billion</w:t>
          </w:r>
        </w:p>
        <w:p w14:paraId="34E86F8A" w14:textId="77777777" w:rsidR="00210BE8" w:rsidRDefault="00210BE8" w:rsidP="00210BE8">
          <w:pPr>
            <w:pStyle w:val="ListBullet"/>
            <w:spacing w:after="200" w:line="300" w:lineRule="exact"/>
            <w:contextualSpacing/>
          </w:pPr>
          <w:r>
            <w:t xml:space="preserve">New indoor stadium in Adelaide </w:t>
          </w:r>
          <w:r w:rsidRPr="00E46DDF">
            <w:t>–</w:t>
          </w:r>
          <w:r>
            <w:t xml:space="preserve"> $0.7 billion.</w:t>
          </w:r>
        </w:p>
        <w:p w14:paraId="497C42FE" w14:textId="77777777" w:rsidR="0057619A" w:rsidRDefault="0057619A">
          <w:pPr>
            <w:spacing w:before="0" w:after="160" w:line="259" w:lineRule="auto"/>
            <w:rPr>
              <w:bCs/>
              <w:color w:val="2E1A47" w:themeColor="text2"/>
              <w:sz w:val="32"/>
              <w:szCs w:val="32"/>
            </w:rPr>
          </w:pPr>
          <w:bookmarkStart w:id="69" w:name="_Toc95805106"/>
          <w:bookmarkStart w:id="70" w:name="_Toc95899269"/>
          <w:bookmarkStart w:id="71" w:name="_Toc95899351"/>
          <w:r>
            <w:br w:type="page"/>
          </w:r>
        </w:p>
        <w:p w14:paraId="540BDE31" w14:textId="2D3AF2AB" w:rsidR="00210BE8" w:rsidRPr="00AF7DB4" w:rsidRDefault="00210BE8" w:rsidP="00210BE8">
          <w:pPr>
            <w:pStyle w:val="Heading3"/>
          </w:pPr>
          <w:r w:rsidRPr="00AF7DB4">
            <w:lastRenderedPageBreak/>
            <w:t>Breakdown by project phase</w:t>
          </w:r>
          <w:bookmarkEnd w:id="69"/>
          <w:bookmarkEnd w:id="70"/>
          <w:bookmarkEnd w:id="71"/>
        </w:p>
        <w:p w14:paraId="6657EE91" w14:textId="77777777" w:rsidR="00210BE8" w:rsidRPr="003C61FD" w:rsidRDefault="00210BE8" w:rsidP="00210BE8">
          <w:pPr>
            <w:pStyle w:val="Heading5"/>
          </w:pPr>
          <w:r w:rsidRPr="003C61FD">
            <w:t>New projects</w:t>
          </w:r>
        </w:p>
        <w:p w14:paraId="566818AD" w14:textId="7552369E" w:rsidR="00210BE8" w:rsidRDefault="00210BE8" w:rsidP="00210BE8">
          <w:r>
            <w:t>There were 2</w:t>
          </w:r>
          <w:r w:rsidR="00BF4682">
            <w:t>7</w:t>
          </w:r>
          <w:r>
            <w:t xml:space="preserve"> </w:t>
          </w:r>
          <w:r w:rsidRPr="00652F9D">
            <w:t>new projects</w:t>
          </w:r>
          <w:r>
            <w:t xml:space="preserve"> added to the arts, recreation and business services pipeline in 2020-21. Together, these projects added $4.</w:t>
          </w:r>
          <w:r w:rsidR="00BF4682">
            <w:t>7</w:t>
          </w:r>
          <w:r>
            <w:t xml:space="preserve"> billion to the pipeline. There were:</w:t>
          </w:r>
        </w:p>
        <w:p w14:paraId="7287832E" w14:textId="77777777" w:rsidR="00210BE8" w:rsidRDefault="00210BE8" w:rsidP="00210BE8">
          <w:pPr>
            <w:pStyle w:val="ListBullet"/>
            <w:spacing w:after="200" w:line="300" w:lineRule="exact"/>
            <w:contextualSpacing/>
          </w:pPr>
          <w:r>
            <w:t xml:space="preserve">5 new projects added to the pipeline in Queensland worth $1.3 billion </w:t>
          </w:r>
        </w:p>
        <w:p w14:paraId="53C06FD9" w14:textId="77777777" w:rsidR="00210BE8" w:rsidRDefault="00210BE8" w:rsidP="00210BE8">
          <w:pPr>
            <w:pStyle w:val="ListBullet"/>
            <w:spacing w:after="200" w:line="300" w:lineRule="exact"/>
            <w:contextualSpacing/>
          </w:pPr>
          <w:r>
            <w:t xml:space="preserve">6 new projects in New South Wales worth $0.9 billion </w:t>
          </w:r>
        </w:p>
        <w:p w14:paraId="188FC6A7" w14:textId="6E064B13" w:rsidR="00210BE8" w:rsidRDefault="00210BE8" w:rsidP="00210BE8">
          <w:pPr>
            <w:pStyle w:val="ListBullet"/>
            <w:spacing w:after="200" w:line="300" w:lineRule="exact"/>
            <w:contextualSpacing/>
          </w:pPr>
          <w:r>
            <w:t>7 new projects in Victoria worth $0.7 billion</w:t>
          </w:r>
        </w:p>
        <w:p w14:paraId="027B0587" w14:textId="0925A2C2" w:rsidR="00BF4682" w:rsidRDefault="00BF4682" w:rsidP="00210BE8">
          <w:pPr>
            <w:pStyle w:val="ListBullet"/>
            <w:spacing w:after="200" w:line="300" w:lineRule="exact"/>
            <w:contextualSpacing/>
          </w:pPr>
          <w:r>
            <w:t>3 new projects in the Northern Territory worth $0.3 bi</w:t>
          </w:r>
          <w:r w:rsidR="00024BCC">
            <w:t>l</w:t>
          </w:r>
          <w:r>
            <w:t>lion</w:t>
          </w:r>
        </w:p>
        <w:p w14:paraId="5EC4C0F2" w14:textId="77777777" w:rsidR="00210BE8" w:rsidRDefault="00210BE8" w:rsidP="00210BE8">
          <w:pPr>
            <w:pStyle w:val="ListBullet"/>
            <w:spacing w:after="200" w:line="300" w:lineRule="exact"/>
            <w:contextualSpacing/>
          </w:pPr>
          <w:r>
            <w:t>2 projects in each of South Australia ($0.9 billion), Tasmania ($0.5 billion) and Western Australia ($150 million).</w:t>
          </w:r>
        </w:p>
        <w:p w14:paraId="3D2ADA4F" w14:textId="77777777" w:rsidR="00210BE8" w:rsidRDefault="00210BE8" w:rsidP="00210BE8">
          <w:pPr>
            <w:pStyle w:val="Heading5"/>
            <w:spacing w:before="120"/>
          </w:pPr>
          <w:r>
            <w:t>Under construction</w:t>
          </w:r>
        </w:p>
        <w:p w14:paraId="3005CCBC" w14:textId="77777777" w:rsidR="00210BE8" w:rsidRDefault="00210BE8" w:rsidP="00210BE8">
          <w:r>
            <w:t>There were</w:t>
          </w:r>
          <w:r w:rsidRPr="00E46DDF">
            <w:t xml:space="preserve"> 2</w:t>
          </w:r>
          <w:r>
            <w:t>9</w:t>
          </w:r>
          <w:r w:rsidRPr="00E46DDF">
            <w:t xml:space="preserve"> projects under construction</w:t>
          </w:r>
          <w:r>
            <w:t xml:space="preserve"> in 2020-21</w:t>
          </w:r>
          <w:r w:rsidRPr="00E46DDF">
            <w:t xml:space="preserve">, </w:t>
          </w:r>
          <w:r>
            <w:t>with a value of $5.1 billion. Of these, 11 projects</w:t>
          </w:r>
          <w:r w:rsidRPr="00E46DDF">
            <w:t xml:space="preserve"> enter</w:t>
          </w:r>
          <w:r>
            <w:t>ed</w:t>
          </w:r>
          <w:r w:rsidRPr="00E46DDF">
            <w:t xml:space="preserve"> the construction phase in 20</w:t>
          </w:r>
          <w:r>
            <w:t>20</w:t>
          </w:r>
          <w:r w:rsidRPr="00E46DDF">
            <w:t>–2</w:t>
          </w:r>
          <w:r>
            <w:t>1. This included 6 projects that were in the planning phase the previous year and 5 new additions to the pipeline</w:t>
          </w:r>
          <w:r w:rsidRPr="00E46DDF">
            <w:t xml:space="preserve">. </w:t>
          </w:r>
        </w:p>
        <w:p w14:paraId="698C1F70" w14:textId="77777777" w:rsidR="00210BE8" w:rsidRDefault="00210BE8" w:rsidP="00210BE8">
          <w:r>
            <w:t>In 2020-21 more projects moved into construction compared with the previous year. The number of projects that progressed to construction in 2020-21 was the same as the pre-pandemic year 2018-19, when 11 projects similarly reached the construction phase</w:t>
          </w:r>
          <w:r w:rsidRPr="00E46DDF">
            <w:t xml:space="preserve">. </w:t>
          </w:r>
        </w:p>
        <w:p w14:paraId="3F9EEF0B" w14:textId="77777777" w:rsidR="00210BE8" w:rsidRDefault="00210BE8" w:rsidP="00210BE8">
          <w:pPr>
            <w:pStyle w:val="Heading5"/>
          </w:pPr>
          <w:r>
            <w:t>Planning</w:t>
          </w:r>
        </w:p>
        <w:p w14:paraId="4F454D4A" w14:textId="40D21255" w:rsidR="00210BE8" w:rsidRDefault="00210BE8" w:rsidP="00210BE8">
          <w:r>
            <w:t xml:space="preserve">There were </w:t>
          </w:r>
          <w:r w:rsidR="00BF4682">
            <w:t>31</w:t>
          </w:r>
          <w:r>
            <w:t xml:space="preserve"> projects worth $</w:t>
          </w:r>
          <w:r w:rsidR="00BF4682">
            <w:t>7.0</w:t>
          </w:r>
          <w:r>
            <w:t xml:space="preserve"> billion </w:t>
          </w:r>
          <w:r w:rsidRPr="00E46DDF">
            <w:t>in the planning phase</w:t>
          </w:r>
          <w:r>
            <w:t>, including several expected to commence construction in the next year.  Of these, there were:</w:t>
          </w:r>
        </w:p>
        <w:p w14:paraId="30B2F6FC" w14:textId="77777777" w:rsidR="00210BE8" w:rsidRDefault="00210BE8" w:rsidP="00210BE8">
          <w:pPr>
            <w:pStyle w:val="ListBullet"/>
            <w:spacing w:after="200" w:line="300" w:lineRule="exact"/>
            <w:contextualSpacing/>
          </w:pPr>
          <w:r>
            <w:t>9 projects in Queensland worth $3.8 billion</w:t>
          </w:r>
        </w:p>
        <w:p w14:paraId="5CB9F8FD" w14:textId="77777777" w:rsidR="00210BE8" w:rsidRDefault="00210BE8" w:rsidP="00210BE8">
          <w:pPr>
            <w:pStyle w:val="ListBullet"/>
            <w:spacing w:after="200" w:line="300" w:lineRule="exact"/>
            <w:contextualSpacing/>
          </w:pPr>
          <w:r>
            <w:t>10 projects in Victoria worth $1.1 billion</w:t>
          </w:r>
        </w:p>
        <w:p w14:paraId="6591DAC6" w14:textId="77777777" w:rsidR="00210BE8" w:rsidRDefault="00210BE8" w:rsidP="00210BE8">
          <w:pPr>
            <w:pStyle w:val="ListBullet"/>
            <w:spacing w:after="200" w:line="300" w:lineRule="exact"/>
            <w:contextualSpacing/>
          </w:pPr>
          <w:r>
            <w:t>3 projects in New South Wales worth $1.0 billion</w:t>
          </w:r>
        </w:p>
        <w:p w14:paraId="2782C81B" w14:textId="2F96377C" w:rsidR="00210BE8" w:rsidRDefault="00024BCC" w:rsidP="00210BE8">
          <w:pPr>
            <w:pStyle w:val="ListBullet"/>
            <w:spacing w:after="200" w:line="300" w:lineRule="exact"/>
            <w:contextualSpacing/>
          </w:pPr>
          <w:r>
            <w:t>9</w:t>
          </w:r>
          <w:r w:rsidR="00210BE8">
            <w:t xml:space="preserve"> projects across Tasmania (4 projects), the Australian Capital Territory (2 projects)</w:t>
          </w:r>
          <w:r w:rsidR="00BF4682">
            <w:t>, Northern Territory (2 projects)</w:t>
          </w:r>
          <w:r>
            <w:t>,</w:t>
          </w:r>
          <w:r w:rsidR="00210BE8">
            <w:t xml:space="preserve"> and South Australia (1 project).</w:t>
          </w:r>
        </w:p>
        <w:p w14:paraId="5F43760B" w14:textId="77777777" w:rsidR="00210BE8" w:rsidRDefault="00210BE8" w:rsidP="00210BE8">
          <w:pPr>
            <w:pStyle w:val="Heading5"/>
            <w:spacing w:before="120"/>
          </w:pPr>
          <w:r>
            <w:t>Proposed</w:t>
          </w:r>
        </w:p>
        <w:p w14:paraId="3A1473B7" w14:textId="03B6FA3A" w:rsidR="00210BE8" w:rsidRPr="00652F9D" w:rsidRDefault="00210BE8" w:rsidP="00210BE8">
          <w:r>
            <w:t>There were 1</w:t>
          </w:r>
          <w:r w:rsidR="00BF4682">
            <w:t>9</w:t>
          </w:r>
          <w:r>
            <w:t xml:space="preserve"> projects worth $3.</w:t>
          </w:r>
          <w:r w:rsidR="00BF4682">
            <w:t>6</w:t>
          </w:r>
          <w:r>
            <w:t xml:space="preserve"> billion in the proposed phase. The majority of these (1</w:t>
          </w:r>
          <w:r w:rsidR="00BF4682">
            <w:t>2</w:t>
          </w:r>
          <w:r>
            <w:t xml:space="preserve"> projects) were newly added to the pipeline in 2020-21.</w:t>
          </w:r>
        </w:p>
        <w:p w14:paraId="3DA806A7" w14:textId="77777777" w:rsidR="00210BE8" w:rsidRDefault="00210BE8" w:rsidP="00210BE8">
          <w:pPr>
            <w:pStyle w:val="Heading5"/>
          </w:pPr>
          <w:r>
            <w:t>Completed</w:t>
          </w:r>
        </w:p>
        <w:p w14:paraId="7213FFF8" w14:textId="3F22DEF1" w:rsidR="00210BE8" w:rsidRDefault="00210BE8" w:rsidP="00210BE8">
          <w:r>
            <w:t xml:space="preserve">In 2020-21 there were 6 projects completed (and removed from the pipeline), worth $0.6 billion. </w:t>
          </w:r>
        </w:p>
        <w:p w14:paraId="37CFA722" w14:textId="365E28EA" w:rsidR="0057619A" w:rsidRDefault="0057619A" w:rsidP="00210BE8"/>
        <w:p w14:paraId="5554674F" w14:textId="220C146C" w:rsidR="0057619A" w:rsidRDefault="0057619A" w:rsidP="00210BE8"/>
        <w:p w14:paraId="44783B17" w14:textId="537FC29D" w:rsidR="0057619A" w:rsidRDefault="0057619A" w:rsidP="00210BE8"/>
        <w:p w14:paraId="6759D208" w14:textId="77777777" w:rsidR="0057619A" w:rsidRPr="00C52B3A" w:rsidRDefault="0057619A" w:rsidP="00210BE8"/>
        <w:p w14:paraId="01EBAC29" w14:textId="53038FAE" w:rsidR="00210BE8" w:rsidRPr="0098599E" w:rsidRDefault="00210BE8" w:rsidP="0098599E">
          <w:pPr>
            <w:pStyle w:val="Caption"/>
            <w:keepNext/>
            <w:spacing w:before="240" w:after="0"/>
            <w:rPr>
              <w:i w:val="0"/>
              <w:iCs w:val="0"/>
              <w:sz w:val="22"/>
              <w:szCs w:val="22"/>
            </w:rPr>
          </w:pPr>
          <w:r w:rsidRPr="00292C9B">
            <w:rPr>
              <w:i w:val="0"/>
              <w:iCs w:val="0"/>
              <w:sz w:val="22"/>
              <w:szCs w:val="22"/>
            </w:rPr>
            <w:lastRenderedPageBreak/>
            <w:t xml:space="preserve">Figure </w:t>
          </w:r>
          <w:r w:rsidRPr="00292C9B">
            <w:rPr>
              <w:i w:val="0"/>
              <w:iCs w:val="0"/>
              <w:sz w:val="22"/>
              <w:szCs w:val="22"/>
            </w:rPr>
            <w:fldChar w:fldCharType="begin"/>
          </w:r>
          <w:r w:rsidRPr="00292C9B">
            <w:rPr>
              <w:i w:val="0"/>
              <w:iCs w:val="0"/>
              <w:sz w:val="22"/>
              <w:szCs w:val="22"/>
            </w:rPr>
            <w:instrText xml:space="preserve"> SEQ Figure \* ARABIC </w:instrText>
          </w:r>
          <w:r w:rsidRPr="00292C9B">
            <w:rPr>
              <w:i w:val="0"/>
              <w:iCs w:val="0"/>
              <w:sz w:val="22"/>
              <w:szCs w:val="22"/>
            </w:rPr>
            <w:fldChar w:fldCharType="separate"/>
          </w:r>
          <w:r w:rsidRPr="00292C9B">
            <w:rPr>
              <w:i w:val="0"/>
              <w:iCs w:val="0"/>
              <w:noProof/>
              <w:sz w:val="22"/>
              <w:szCs w:val="22"/>
            </w:rPr>
            <w:t>4</w:t>
          </w:r>
          <w:r w:rsidRPr="00292C9B">
            <w:rPr>
              <w:i w:val="0"/>
              <w:iCs w:val="0"/>
              <w:sz w:val="22"/>
              <w:szCs w:val="22"/>
            </w:rPr>
            <w:fldChar w:fldCharType="end"/>
          </w:r>
          <w:r w:rsidRPr="00292C9B">
            <w:rPr>
              <w:i w:val="0"/>
              <w:iCs w:val="0"/>
              <w:sz w:val="22"/>
              <w:szCs w:val="22"/>
            </w:rPr>
            <w:t xml:space="preserve"> – Arts, recreation and business services pipeline by location, 2020-21</w:t>
          </w:r>
          <w:r w:rsidR="0098599E" w:rsidRPr="0098599E">
            <w:rPr>
              <w:noProof/>
            </w:rPr>
            <w:drawing>
              <wp:anchor distT="0" distB="0" distL="114300" distR="114300" simplePos="0" relativeHeight="251668480" behindDoc="0" locked="0" layoutInCell="1" allowOverlap="1" wp14:anchorId="462C3FC1" wp14:editId="40D51E7A">
                <wp:simplePos x="0" y="0"/>
                <wp:positionH relativeFrom="margin">
                  <wp:align>left</wp:align>
                </wp:positionH>
                <wp:positionV relativeFrom="paragraph">
                  <wp:posOffset>206006</wp:posOffset>
                </wp:positionV>
                <wp:extent cx="6474517" cy="2775097"/>
                <wp:effectExtent l="0" t="0" r="2540" b="6350"/>
                <wp:wrapNone/>
                <wp:docPr id="9" name="Picture 9" descr="This horizontal bar chart shows the value of tourism investment in the arts, recreation and business services sector. It has 8 bars showing the value of projects in each of the 8 states and territories in Australia. Each bar is also apportioned to show the share of projects in capital city areas and in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horizontal bar chart shows the value of tourism investment in the arts, recreation and business services sector. It has 8 bars showing the value of projects in each of the 8 states and territories in Australia. Each bar is also apportioned to show the share of projects in capital city areas and in regional are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7914" cy="2776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84CCD" w14:textId="77777777" w:rsidR="00210BE8" w:rsidRDefault="00210BE8" w:rsidP="00210BE8">
          <w:pPr>
            <w:rPr>
              <w:lang w:eastAsia="zh-CN"/>
            </w:rPr>
          </w:pPr>
        </w:p>
        <w:p w14:paraId="0FE73F40" w14:textId="525D6F8C" w:rsidR="00210BE8" w:rsidRDefault="00210BE8" w:rsidP="00210BE8">
          <w:pPr>
            <w:rPr>
              <w:lang w:eastAsia="zh-CN"/>
            </w:rPr>
          </w:pPr>
        </w:p>
        <w:p w14:paraId="35723E83" w14:textId="77777777" w:rsidR="00210BE8" w:rsidRDefault="00210BE8" w:rsidP="00210BE8">
          <w:pPr>
            <w:rPr>
              <w:lang w:eastAsia="zh-CN"/>
            </w:rPr>
          </w:pPr>
        </w:p>
        <w:p w14:paraId="7AD4ED45" w14:textId="77777777" w:rsidR="00210BE8" w:rsidRDefault="00210BE8" w:rsidP="00210BE8">
          <w:pPr>
            <w:rPr>
              <w:lang w:eastAsia="zh-CN"/>
            </w:rPr>
          </w:pPr>
        </w:p>
        <w:p w14:paraId="559F6D6C" w14:textId="77777777" w:rsidR="00210BE8" w:rsidRDefault="00210BE8" w:rsidP="00210BE8">
          <w:pPr>
            <w:rPr>
              <w:lang w:eastAsia="zh-CN"/>
            </w:rPr>
          </w:pPr>
        </w:p>
        <w:p w14:paraId="60359DBA" w14:textId="77777777" w:rsidR="00210BE8" w:rsidRDefault="00210BE8" w:rsidP="00210BE8">
          <w:pPr>
            <w:tabs>
              <w:tab w:val="left" w:pos="6244"/>
            </w:tabs>
            <w:rPr>
              <w:lang w:eastAsia="zh-CN"/>
            </w:rPr>
          </w:pPr>
        </w:p>
        <w:p w14:paraId="03F0CC14" w14:textId="77777777" w:rsidR="00210BE8" w:rsidRDefault="00210BE8" w:rsidP="00210BE8">
          <w:pPr>
            <w:tabs>
              <w:tab w:val="left" w:pos="6244"/>
            </w:tabs>
            <w:rPr>
              <w:lang w:eastAsia="zh-CN"/>
            </w:rPr>
          </w:pPr>
        </w:p>
        <w:p w14:paraId="47D1D722" w14:textId="0A11051D" w:rsidR="00210BE8" w:rsidRDefault="00210BE8" w:rsidP="00210BE8">
          <w:pPr>
            <w:tabs>
              <w:tab w:val="left" w:pos="6244"/>
            </w:tabs>
          </w:pPr>
        </w:p>
        <w:p w14:paraId="58371236" w14:textId="77777777" w:rsidR="00210BE8" w:rsidRPr="00AF7DB4" w:rsidRDefault="00210BE8" w:rsidP="00210BE8">
          <w:pPr>
            <w:pStyle w:val="Heading3"/>
          </w:pPr>
          <w:bookmarkStart w:id="72" w:name="_Toc95805107"/>
          <w:bookmarkStart w:id="73" w:name="_Toc95899270"/>
          <w:bookmarkStart w:id="74" w:name="_Toc95899352"/>
          <w:r w:rsidRPr="00AF7DB4">
            <w:t>Breakdown by investment area</w:t>
          </w:r>
          <w:bookmarkEnd w:id="72"/>
          <w:bookmarkEnd w:id="73"/>
          <w:bookmarkEnd w:id="74"/>
        </w:p>
        <w:p w14:paraId="53C279CF" w14:textId="77777777" w:rsidR="00210BE8" w:rsidRPr="00E46DDF" w:rsidRDefault="00210BE8" w:rsidP="00210BE8">
          <w:r>
            <w:t>By area of i</w:t>
          </w:r>
          <w:r w:rsidRPr="00E46DDF">
            <w:t>nvestment</w:t>
          </w:r>
          <w:r>
            <w:t>, there were</w:t>
          </w:r>
          <w:r w:rsidRPr="00E46DDF">
            <w:t>:</w:t>
          </w:r>
        </w:p>
        <w:p w14:paraId="66C7CC05" w14:textId="77777777" w:rsidR="00210BE8" w:rsidRPr="00E46DDF" w:rsidRDefault="00210BE8" w:rsidP="00210BE8">
          <w:pPr>
            <w:pStyle w:val="ListBullet"/>
            <w:spacing w:after="200" w:line="300" w:lineRule="exact"/>
            <w:contextualSpacing/>
          </w:pPr>
          <w:r>
            <w:t xml:space="preserve">25 </w:t>
          </w:r>
          <w:r w:rsidRPr="00E46DDF">
            <w:t>sports</w:t>
          </w:r>
          <w:r>
            <w:t>-related</w:t>
          </w:r>
          <w:r w:rsidRPr="00E46DDF">
            <w:t xml:space="preserve"> projects valued at $</w:t>
          </w:r>
          <w:r>
            <w:t>5.2</w:t>
          </w:r>
          <w:r w:rsidRPr="00E46DDF">
            <w:t xml:space="preserve"> billion </w:t>
          </w:r>
        </w:p>
        <w:p w14:paraId="19EAC325" w14:textId="19805BA3" w:rsidR="00210BE8" w:rsidRDefault="00210BE8" w:rsidP="00210BE8">
          <w:pPr>
            <w:pStyle w:val="ListBullet"/>
            <w:spacing w:after="200" w:line="300" w:lineRule="exact"/>
            <w:contextualSpacing/>
          </w:pPr>
          <w:r>
            <w:t>2</w:t>
          </w:r>
          <w:r w:rsidR="00BF4682">
            <w:t>5</w:t>
          </w:r>
          <w:r>
            <w:t xml:space="preserve"> arts/cultural/museum </w:t>
          </w:r>
          <w:r w:rsidRPr="00E46DDF">
            <w:t>projects valued at $</w:t>
          </w:r>
          <w:r w:rsidR="00BF4682">
            <w:t>4.5</w:t>
          </w:r>
          <w:r w:rsidRPr="00E46DDF">
            <w:t> billion</w:t>
          </w:r>
        </w:p>
        <w:p w14:paraId="5E4D286C" w14:textId="1A0EC4AD" w:rsidR="00210BE8" w:rsidRDefault="00BF4682" w:rsidP="00210BE8">
          <w:pPr>
            <w:pStyle w:val="ListBullet"/>
            <w:spacing w:after="200" w:line="300" w:lineRule="exact"/>
            <w:contextualSpacing/>
          </w:pPr>
          <w:r>
            <w:t>5</w:t>
          </w:r>
          <w:r w:rsidR="00210BE8">
            <w:t xml:space="preserve"> convention/exhibition/showground/plaza projects worth $3.</w:t>
          </w:r>
          <w:r>
            <w:t>5</w:t>
          </w:r>
          <w:r w:rsidR="00210BE8">
            <w:t xml:space="preserve"> billion </w:t>
          </w:r>
        </w:p>
        <w:p w14:paraId="5114AA19" w14:textId="77777777" w:rsidR="00210BE8" w:rsidRPr="00E46DDF" w:rsidRDefault="00210BE8" w:rsidP="00210BE8">
          <w:pPr>
            <w:pStyle w:val="ListBullet"/>
            <w:spacing w:after="200" w:line="300" w:lineRule="exact"/>
            <w:contextualSpacing/>
          </w:pPr>
          <w:r>
            <w:t>24 attractions/aquatic recreation/zoos projects worth $2.5 billion.</w:t>
          </w:r>
        </w:p>
        <w:p w14:paraId="20CE6C62" w14:textId="77777777" w:rsidR="00210BE8" w:rsidRPr="00AF7DB4" w:rsidRDefault="00210BE8" w:rsidP="00210BE8">
          <w:pPr>
            <w:pStyle w:val="Heading3"/>
          </w:pPr>
          <w:bookmarkStart w:id="75" w:name="_Toc95805108"/>
          <w:bookmarkStart w:id="76" w:name="_Toc95899271"/>
          <w:bookmarkStart w:id="77" w:name="_Toc95899353"/>
          <w:r w:rsidRPr="00AF7DB4">
            <w:t>Breakdown by location</w:t>
          </w:r>
          <w:bookmarkEnd w:id="75"/>
          <w:bookmarkEnd w:id="76"/>
          <w:bookmarkEnd w:id="77"/>
        </w:p>
        <w:p w14:paraId="2A20A346" w14:textId="5A092100" w:rsidR="00210BE8" w:rsidRDefault="00210BE8" w:rsidP="00210BE8">
          <w:r>
            <w:t>In 2020-21, in the arts, recreation and business services sector, there were 55 projects worth $13.0 billion located in capital cities. There were a further 2</w:t>
          </w:r>
          <w:r w:rsidR="00BF4682">
            <w:t>4</w:t>
          </w:r>
          <w:r>
            <w:t xml:space="preserve"> projects worth $2.</w:t>
          </w:r>
          <w:r w:rsidR="00BF4682">
            <w:t>7</w:t>
          </w:r>
          <w:r>
            <w:t xml:space="preserve"> billion located in regional areas. </w:t>
          </w:r>
        </w:p>
        <w:p w14:paraId="41248CB2" w14:textId="3F582360" w:rsidR="00210BE8" w:rsidRDefault="00210BE8" w:rsidP="00210BE8">
          <w:r>
            <w:t xml:space="preserve">The share of the pipeline value occurring in regional Australia increased in 2020-21 compared with the previous year. There were </w:t>
          </w:r>
          <w:r w:rsidR="00BF4682">
            <w:t>7</w:t>
          </w:r>
          <w:r>
            <w:t xml:space="preserve"> new projects added to the regional pipeline in 2020-21 worth $0.</w:t>
          </w:r>
          <w:r w:rsidR="00BF4682">
            <w:t>7</w:t>
          </w:r>
          <w:r>
            <w:t xml:space="preserve"> billion; these </w:t>
          </w:r>
          <w:r w:rsidR="0097015D">
            <w:t>occurred</w:t>
          </w:r>
          <w:r>
            <w:t xml:space="preserve"> in </w:t>
          </w:r>
          <w:r w:rsidR="0097015D">
            <w:t xml:space="preserve">the Northern Territory, </w:t>
          </w:r>
          <w:r>
            <w:t>Queensland</w:t>
          </w:r>
          <w:r w:rsidR="0097015D">
            <w:t xml:space="preserve"> and New South </w:t>
          </w:r>
          <w:r w:rsidR="00024BCC">
            <w:t>Wales</w:t>
          </w:r>
          <w:r>
            <w:t>. In 2020-21, there were investments in arts, recreation and business services located in regional areas in:</w:t>
          </w:r>
        </w:p>
        <w:p w14:paraId="32366175" w14:textId="39389CCB" w:rsidR="00210BE8" w:rsidRDefault="00210BE8" w:rsidP="00210BE8">
          <w:pPr>
            <w:pStyle w:val="ListBullet"/>
            <w:spacing w:after="200" w:line="300" w:lineRule="exact"/>
            <w:contextualSpacing/>
          </w:pPr>
          <w:r>
            <w:t>Queensland – 9 projects worth $1.</w:t>
          </w:r>
          <w:r w:rsidR="009C1C8C">
            <w:t>2</w:t>
          </w:r>
          <w:r>
            <w:t xml:space="preserve"> billion</w:t>
          </w:r>
        </w:p>
        <w:p w14:paraId="286F6101" w14:textId="77777777" w:rsidR="0097015D" w:rsidRPr="0040294F" w:rsidRDefault="0097015D" w:rsidP="0097015D">
          <w:pPr>
            <w:pStyle w:val="ListBullet"/>
            <w:spacing w:after="200" w:line="300" w:lineRule="exact"/>
            <w:contextualSpacing/>
          </w:pPr>
          <w:r>
            <w:t>Northern Territory – 5 projects worth $0.5 billion</w:t>
          </w:r>
          <w:bookmarkStart w:id="78" w:name="_Toc95805109"/>
        </w:p>
        <w:bookmarkEnd w:id="78"/>
        <w:p w14:paraId="6B458258" w14:textId="77777777" w:rsidR="00210BE8" w:rsidRDefault="00210BE8" w:rsidP="00210BE8">
          <w:pPr>
            <w:pStyle w:val="ListBullet"/>
            <w:spacing w:after="200" w:line="300" w:lineRule="exact"/>
            <w:contextualSpacing/>
          </w:pPr>
          <w:r>
            <w:t>Victoria – 3 projects worth $0.4 billion</w:t>
          </w:r>
        </w:p>
        <w:p w14:paraId="64A656B0" w14:textId="77777777" w:rsidR="00210BE8" w:rsidRDefault="00210BE8" w:rsidP="00210BE8">
          <w:pPr>
            <w:pStyle w:val="ListBullet"/>
            <w:spacing w:after="200" w:line="300" w:lineRule="exact"/>
            <w:contextualSpacing/>
          </w:pPr>
          <w:r>
            <w:t>Tasmania – 5 projects worth $0.2 billion</w:t>
          </w:r>
        </w:p>
        <w:p w14:paraId="5C588D5B" w14:textId="77777777" w:rsidR="00210BE8" w:rsidRDefault="00210BE8" w:rsidP="00210BE8">
          <w:pPr>
            <w:pStyle w:val="ListBullet"/>
            <w:spacing w:after="200" w:line="300" w:lineRule="exact"/>
            <w:contextualSpacing/>
          </w:pPr>
          <w:r>
            <w:t>New South Wales – 2 projects worth $160 million</w:t>
          </w:r>
        </w:p>
        <w:p w14:paraId="7768A3A1" w14:textId="77777777" w:rsidR="00210BE8" w:rsidRDefault="00210BE8" w:rsidP="00210BE8">
          <w:pPr>
            <w:spacing w:before="0" w:after="160" w:line="259" w:lineRule="auto"/>
            <w:rPr>
              <w:rFonts w:eastAsia="SimSun" w:cs="Times New Roman"/>
              <w:b/>
              <w:color w:val="7A4282" w:themeColor="accent1"/>
              <w:sz w:val="28"/>
              <w:szCs w:val="26"/>
              <w:lang w:eastAsia="zh-CN"/>
            </w:rPr>
          </w:pPr>
          <w:bookmarkStart w:id="79" w:name="_Toc95805112"/>
        </w:p>
        <w:p w14:paraId="045A44E3" w14:textId="4BE3E0BA" w:rsidR="00210BE8" w:rsidRPr="00D464A7" w:rsidRDefault="00210BE8" w:rsidP="00210BE8">
          <w:pPr>
            <w:pStyle w:val="Heading2"/>
            <w:rPr>
              <w:b w:val="0"/>
              <w:bCs/>
              <w:color w:val="7A4282" w:themeColor="accent1"/>
              <w:sz w:val="32"/>
              <w:szCs w:val="28"/>
            </w:rPr>
          </w:pPr>
          <w:bookmarkStart w:id="80" w:name="_Toc95899354"/>
          <w:r w:rsidRPr="00D464A7">
            <w:rPr>
              <w:b w:val="0"/>
              <w:bCs/>
              <w:color w:val="7A4282" w:themeColor="accent1"/>
              <w:sz w:val="32"/>
              <w:szCs w:val="28"/>
            </w:rPr>
            <w:lastRenderedPageBreak/>
            <w:t>Accommodation results (stand</w:t>
          </w:r>
          <w:r w:rsidR="009C1C8C">
            <w:rPr>
              <w:b w:val="0"/>
              <w:bCs/>
              <w:color w:val="7A4282" w:themeColor="accent1"/>
              <w:sz w:val="32"/>
              <w:szCs w:val="28"/>
            </w:rPr>
            <w:t>-</w:t>
          </w:r>
          <w:r w:rsidRPr="00D464A7">
            <w:rPr>
              <w:b w:val="0"/>
              <w:bCs/>
              <w:color w:val="7A4282" w:themeColor="accent1"/>
              <w:sz w:val="32"/>
              <w:szCs w:val="28"/>
            </w:rPr>
            <w:t>alone)</w:t>
          </w:r>
          <w:bookmarkEnd w:id="79"/>
          <w:bookmarkEnd w:id="80"/>
        </w:p>
        <w:tbl>
          <w:tblPr>
            <w:tblStyle w:val="TableGrid"/>
            <w:tblW w:w="0" w:type="auto"/>
            <w:jc w:val="center"/>
            <w:tblLook w:val="04A0" w:firstRow="1" w:lastRow="0" w:firstColumn="1" w:lastColumn="0" w:noHBand="0" w:noVBand="1"/>
          </w:tblPr>
          <w:tblGrid>
            <w:gridCol w:w="3117"/>
            <w:gridCol w:w="3116"/>
            <w:gridCol w:w="3117"/>
          </w:tblGrid>
          <w:tr w:rsidR="00210BE8" w:rsidRPr="003A58AB" w14:paraId="6E4AF395" w14:textId="77777777" w:rsidTr="00D464A7">
            <w:trPr>
              <w:jc w:val="center"/>
            </w:trPr>
            <w:tc>
              <w:tcPr>
                <w:tcW w:w="3117" w:type="dxa"/>
                <w:shd w:val="clear" w:color="auto" w:fill="2E1A47" w:themeFill="text2"/>
              </w:tcPr>
              <w:p w14:paraId="16117370" w14:textId="77777777" w:rsidR="00210BE8" w:rsidRPr="003A58AB" w:rsidRDefault="00210BE8" w:rsidP="00D464A7">
                <w:pPr>
                  <w:jc w:val="center"/>
                  <w:rPr>
                    <w:b/>
                    <w:color w:val="FFFFFF" w:themeColor="background1"/>
                  </w:rPr>
                </w:pPr>
                <w:bookmarkStart w:id="81" w:name="_Toc95805113"/>
                <w:bookmarkStart w:id="82" w:name="_Toc95899273"/>
                <w:bookmarkStart w:id="83" w:name="_Toc95899355"/>
                <w:r>
                  <w:rPr>
                    <w:b/>
                    <w:color w:val="FFFFFF" w:themeColor="background1"/>
                  </w:rPr>
                  <w:t>Total</w:t>
                </w:r>
              </w:p>
            </w:tc>
            <w:tc>
              <w:tcPr>
                <w:tcW w:w="3116" w:type="dxa"/>
                <w:shd w:val="clear" w:color="auto" w:fill="2E1A47" w:themeFill="text2"/>
              </w:tcPr>
              <w:p w14:paraId="3686414A"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text2"/>
              </w:tcPr>
              <w:p w14:paraId="57839729"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026AC99C" w14:textId="77777777" w:rsidTr="00D464A7">
            <w:trPr>
              <w:jc w:val="center"/>
            </w:trPr>
            <w:tc>
              <w:tcPr>
                <w:tcW w:w="3117" w:type="dxa"/>
              </w:tcPr>
              <w:p w14:paraId="4C6F865A" w14:textId="34093AA5"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$10.</w:t>
                </w:r>
                <w:r w:rsidR="0097015D">
                  <w:rPr>
                    <w:rFonts w:asciiTheme="minorHAnsi" w:eastAsia="Times New Roman" w:hAnsiTheme="minorHAnsi" w:cs="Times New Roman"/>
                    <w:color w:val="000000"/>
                    <w:lang w:eastAsia="en-AU"/>
                  </w:rPr>
                  <w:t>5</w:t>
                </w:r>
                <w:r w:rsidRPr="00187E79">
                  <w:rPr>
                    <w:rFonts w:asciiTheme="minorHAnsi" w:eastAsia="Times New Roman" w:hAnsiTheme="minorHAnsi" w:cs="Times New Roman"/>
                    <w:color w:val="000000"/>
                    <w:lang w:eastAsia="en-AU"/>
                  </w:rPr>
                  <w:t xml:space="preserve"> billion</w:t>
                </w:r>
              </w:p>
              <w:p w14:paraId="6D8201D6"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133 projects</w:t>
                </w:r>
              </w:p>
              <w:p w14:paraId="2F8D5219"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20,100 rooms</w:t>
                </w:r>
              </w:p>
              <w:p w14:paraId="5B935D86" w14:textId="77777777" w:rsidR="00210BE8" w:rsidRPr="00187E79" w:rsidRDefault="00210BE8" w:rsidP="00D464A7">
                <w:pPr>
                  <w:rPr>
                    <w:rFonts w:asciiTheme="minorHAnsi" w:hAnsiTheme="minorHAnsi"/>
                  </w:rPr>
                </w:pPr>
              </w:p>
            </w:tc>
            <w:tc>
              <w:tcPr>
                <w:tcW w:w="3116" w:type="dxa"/>
              </w:tcPr>
              <w:p w14:paraId="3F77D2B8" w14:textId="09773466"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$7.</w:t>
                </w:r>
                <w:r w:rsidR="0097015D">
                  <w:rPr>
                    <w:rFonts w:asciiTheme="minorHAnsi" w:eastAsia="Times New Roman" w:hAnsiTheme="minorHAnsi" w:cs="Times New Roman"/>
                    <w:color w:val="000000"/>
                    <w:lang w:eastAsia="en-AU"/>
                  </w:rPr>
                  <w:t>5</w:t>
                </w:r>
                <w:r w:rsidRPr="00187E79">
                  <w:rPr>
                    <w:rFonts w:asciiTheme="minorHAnsi" w:eastAsia="Times New Roman" w:hAnsiTheme="minorHAnsi" w:cs="Times New Roman"/>
                    <w:color w:val="000000"/>
                    <w:lang w:eastAsia="en-AU"/>
                  </w:rPr>
                  <w:t xml:space="preserve"> billion</w:t>
                </w:r>
              </w:p>
              <w:p w14:paraId="72DBAC0A"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84 projects</w:t>
                </w:r>
              </w:p>
              <w:p w14:paraId="7063FB9C"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14,800 rooms</w:t>
                </w:r>
              </w:p>
              <w:p w14:paraId="46B872CD" w14:textId="77777777" w:rsidR="00210BE8" w:rsidRPr="00187E79" w:rsidRDefault="00210BE8" w:rsidP="00D464A7">
                <w:pPr>
                  <w:jc w:val="center"/>
                  <w:rPr>
                    <w:rFonts w:asciiTheme="minorHAnsi" w:hAnsiTheme="minorHAnsi"/>
                  </w:rPr>
                </w:pPr>
              </w:p>
            </w:tc>
            <w:tc>
              <w:tcPr>
                <w:tcW w:w="3117" w:type="dxa"/>
              </w:tcPr>
              <w:p w14:paraId="2D19084D"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$2.9 billion</w:t>
                </w:r>
              </w:p>
              <w:p w14:paraId="3460460B"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49 projects</w:t>
                </w:r>
              </w:p>
              <w:p w14:paraId="6C6BE631"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 xml:space="preserve">5,300 rooms </w:t>
                </w:r>
              </w:p>
            </w:tc>
          </w:tr>
          <w:tr w:rsidR="00210BE8" w:rsidRPr="003A58AB" w14:paraId="4AB828CD" w14:textId="77777777" w:rsidTr="00D464A7">
            <w:trPr>
              <w:jc w:val="center"/>
            </w:trPr>
            <w:tc>
              <w:tcPr>
                <w:tcW w:w="3117" w:type="dxa"/>
              </w:tcPr>
              <w:p w14:paraId="55C5170C" w14:textId="77777777"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2019-20: </w:t>
                </w:r>
              </w:p>
              <w:p w14:paraId="05121C1B" w14:textId="79D0FC90" w:rsidR="00210BE8" w:rsidRPr="00187E79" w:rsidRDefault="00210BE8" w:rsidP="00D464A7">
                <w:pPr>
                  <w:spacing w:after="0"/>
                  <w:jc w:val="center"/>
                  <w:rPr>
                    <w:rFonts w:asciiTheme="minorHAnsi" w:hAnsiTheme="minorHAnsi"/>
                    <w:lang w:eastAsia="en-AU"/>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own $0.</w:t>
                </w:r>
                <w:r w:rsidR="0097015D">
                  <w:rPr>
                    <w:rFonts w:asciiTheme="minorHAnsi" w:eastAsia="Times New Roman" w:hAnsiTheme="minorHAnsi" w:cs="Times New Roman"/>
                    <w:color w:val="000000"/>
                    <w:lang w:eastAsia="en-AU"/>
                  </w:rPr>
                  <w:t>6</w:t>
                </w:r>
                <w:r w:rsidRPr="00187E79">
                  <w:rPr>
                    <w:rFonts w:asciiTheme="minorHAnsi" w:eastAsia="Times New Roman" w:hAnsiTheme="minorHAnsi" w:cs="Times New Roman"/>
                    <w:color w:val="000000"/>
                    <w:lang w:eastAsia="en-AU"/>
                  </w:rPr>
                  <w:t xml:space="preserve"> billion</w:t>
                </w:r>
                <w:r w:rsidRPr="00187E79">
                  <w:rPr>
                    <w:rFonts w:asciiTheme="minorHAnsi" w:hAnsiTheme="minorHAnsi"/>
                    <w:lang w:eastAsia="en-AU"/>
                  </w:rPr>
                  <w:t xml:space="preserve">, </w:t>
                </w:r>
              </w:p>
              <w:p w14:paraId="22CCDBC7" w14:textId="77777777" w:rsidR="00210BE8" w:rsidRPr="00187E79" w:rsidRDefault="00210BE8"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 xml:space="preserve">own 35 projects, </w:t>
                </w:r>
              </w:p>
              <w:p w14:paraId="28181BF7" w14:textId="7D6044A7" w:rsidR="00210BE8" w:rsidRPr="00187E79" w:rsidRDefault="00210BE8" w:rsidP="00D464A7">
                <w:pPr>
                  <w:jc w:val="center"/>
                  <w:rPr>
                    <w:rFonts w:asciiTheme="minorHAnsi" w:hAnsiTheme="minorHAnsi"/>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own 7,</w:t>
                </w:r>
                <w:r w:rsidR="00C85847">
                  <w:rPr>
                    <w:rFonts w:asciiTheme="minorHAnsi" w:eastAsia="Times New Roman" w:hAnsiTheme="minorHAnsi" w:cs="Times New Roman"/>
                    <w:color w:val="000000"/>
                    <w:lang w:eastAsia="en-AU"/>
                  </w:rPr>
                  <w:t>0</w:t>
                </w:r>
                <w:r w:rsidRPr="00187E79">
                  <w:rPr>
                    <w:rFonts w:asciiTheme="minorHAnsi" w:eastAsia="Times New Roman" w:hAnsiTheme="minorHAnsi" w:cs="Times New Roman"/>
                    <w:color w:val="000000"/>
                    <w:lang w:eastAsia="en-AU"/>
                  </w:rPr>
                  <w:t>00 rooms</w:t>
                </w:r>
              </w:p>
            </w:tc>
            <w:tc>
              <w:tcPr>
                <w:tcW w:w="3116" w:type="dxa"/>
              </w:tcPr>
              <w:p w14:paraId="3FF58ED3" w14:textId="77777777"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2019-20: </w:t>
                </w:r>
              </w:p>
              <w:p w14:paraId="4A75020E" w14:textId="6AA0E592" w:rsidR="00210BE8" w:rsidRPr="00187E79" w:rsidRDefault="00210BE8" w:rsidP="00D464A7">
                <w:pPr>
                  <w:spacing w:after="0"/>
                  <w:jc w:val="center"/>
                  <w:rPr>
                    <w:rFonts w:asciiTheme="minorHAnsi" w:hAnsiTheme="minorHAnsi"/>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own $</w:t>
                </w:r>
                <w:r w:rsidR="0097015D">
                  <w:rPr>
                    <w:rFonts w:asciiTheme="minorHAnsi" w:eastAsia="Times New Roman" w:hAnsiTheme="minorHAnsi" w:cs="Times New Roman"/>
                    <w:color w:val="000000"/>
                    <w:lang w:eastAsia="en-AU"/>
                  </w:rPr>
                  <w:t>0.8</w:t>
                </w:r>
                <w:r w:rsidRPr="00187E79">
                  <w:rPr>
                    <w:rFonts w:asciiTheme="minorHAnsi" w:eastAsia="Times New Roman" w:hAnsiTheme="minorHAnsi" w:cs="Times New Roman"/>
                    <w:color w:val="000000"/>
                    <w:lang w:eastAsia="en-AU"/>
                  </w:rPr>
                  <w:t xml:space="preserve"> billion</w:t>
                </w:r>
                <w:r w:rsidRPr="00187E79">
                  <w:rPr>
                    <w:rFonts w:asciiTheme="minorHAnsi" w:hAnsiTheme="minorHAnsi"/>
                  </w:rPr>
                  <w:t xml:space="preserve">, </w:t>
                </w:r>
              </w:p>
              <w:p w14:paraId="05DC9EEB" w14:textId="77777777" w:rsidR="00210BE8" w:rsidRPr="00187E79" w:rsidRDefault="00210BE8"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own 30 projects</w:t>
                </w:r>
                <w:r>
                  <w:rPr>
                    <w:rFonts w:asciiTheme="minorHAnsi" w:eastAsia="Times New Roman" w:hAnsiTheme="minorHAnsi" w:cs="Times New Roman"/>
                    <w:color w:val="000000"/>
                    <w:lang w:eastAsia="en-AU"/>
                  </w:rPr>
                  <w:t>,</w:t>
                </w:r>
              </w:p>
              <w:p w14:paraId="7BC949F3" w14:textId="77777777" w:rsidR="00210BE8" w:rsidRPr="00187E79" w:rsidRDefault="00210BE8" w:rsidP="00D464A7">
                <w:pPr>
                  <w:jc w:val="center"/>
                  <w:rPr>
                    <w:rFonts w:asciiTheme="minorHAnsi" w:hAnsiTheme="minorHAnsi"/>
                  </w:rPr>
                </w:pPr>
                <w:r>
                  <w:rPr>
                    <w:rFonts w:asciiTheme="minorHAnsi" w:hAnsiTheme="minorHAnsi"/>
                  </w:rPr>
                  <w:t>do</w:t>
                </w:r>
                <w:r w:rsidRPr="00187E79">
                  <w:rPr>
                    <w:rFonts w:asciiTheme="minorHAnsi" w:hAnsiTheme="minorHAnsi"/>
                  </w:rPr>
                  <w:t xml:space="preserve">wn </w:t>
                </w:r>
                <w:r w:rsidRPr="00187E79">
                  <w:rPr>
                    <w:rFonts w:asciiTheme="minorHAnsi" w:eastAsia="Times New Roman" w:hAnsiTheme="minorHAnsi" w:cs="Times New Roman"/>
                    <w:color w:val="000000"/>
                    <w:lang w:eastAsia="en-AU"/>
                  </w:rPr>
                  <w:t>5,900 rooms</w:t>
                </w:r>
              </w:p>
            </w:tc>
            <w:tc>
              <w:tcPr>
                <w:tcW w:w="3117" w:type="dxa"/>
              </w:tcPr>
              <w:p w14:paraId="7426F266" w14:textId="77777777"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2019-20: </w:t>
                </w:r>
              </w:p>
              <w:p w14:paraId="152E2E77" w14:textId="77777777" w:rsidR="00210BE8" w:rsidRPr="00187E79" w:rsidRDefault="00210BE8" w:rsidP="00D464A7">
                <w:pPr>
                  <w:spacing w:after="0"/>
                  <w:jc w:val="center"/>
                  <w:rPr>
                    <w:rFonts w:asciiTheme="minorHAnsi" w:hAnsiTheme="minorHAnsi"/>
                  </w:rPr>
                </w:pPr>
                <w:r w:rsidRPr="00187E79">
                  <w:rPr>
                    <w:rFonts w:asciiTheme="minorHAnsi" w:hAnsiTheme="minorHAnsi"/>
                    <w:color w:val="000000"/>
                  </w:rPr>
                  <w:t>up $0.1 billion</w:t>
                </w:r>
                <w:r w:rsidRPr="00187E79">
                  <w:rPr>
                    <w:rFonts w:asciiTheme="minorHAnsi" w:hAnsiTheme="minorHAnsi"/>
                  </w:rPr>
                  <w:t xml:space="preserve">, </w:t>
                </w:r>
              </w:p>
              <w:p w14:paraId="27B94501" w14:textId="77777777" w:rsidR="00210BE8" w:rsidRPr="00187E79" w:rsidRDefault="00210BE8" w:rsidP="00D464A7">
                <w:pPr>
                  <w:spacing w:after="0"/>
                  <w:jc w:val="center"/>
                  <w:rPr>
                    <w:rFonts w:asciiTheme="minorHAnsi" w:hAnsiTheme="minorHAnsi"/>
                    <w:color w:val="000000"/>
                  </w:rPr>
                </w:pPr>
                <w:r w:rsidRPr="00187E79">
                  <w:rPr>
                    <w:rFonts w:asciiTheme="minorHAnsi" w:hAnsiTheme="minorHAnsi"/>
                    <w:color w:val="000000"/>
                  </w:rPr>
                  <w:t>down 5 projects,</w:t>
                </w:r>
              </w:p>
              <w:p w14:paraId="0998EC91" w14:textId="77777777" w:rsidR="00210BE8" w:rsidRPr="00187E79" w:rsidRDefault="00210BE8" w:rsidP="00D464A7">
                <w:pPr>
                  <w:spacing w:after="0"/>
                  <w:jc w:val="center"/>
                  <w:rPr>
                    <w:rFonts w:asciiTheme="minorHAnsi" w:hAnsiTheme="minorHAnsi"/>
                    <w:lang w:eastAsia="en-AU"/>
                  </w:rPr>
                </w:pPr>
                <w:r w:rsidRPr="00187E79">
                  <w:rPr>
                    <w:rFonts w:asciiTheme="minorHAnsi" w:eastAsia="Times New Roman" w:hAnsiTheme="minorHAnsi" w:cs="Times New Roman"/>
                    <w:color w:val="000000"/>
                    <w:lang w:eastAsia="en-AU"/>
                  </w:rPr>
                  <w:t>down 1,100 rooms</w:t>
                </w:r>
                <w:r w:rsidRPr="00187E79">
                  <w:rPr>
                    <w:rFonts w:asciiTheme="minorHAnsi" w:hAnsiTheme="minorHAnsi"/>
                    <w:lang w:eastAsia="en-AU"/>
                  </w:rPr>
                  <w:t xml:space="preserve"> </w:t>
                </w:r>
              </w:p>
            </w:tc>
          </w:tr>
        </w:tbl>
        <w:p w14:paraId="16022E2C" w14:textId="77777777" w:rsidR="00210BE8" w:rsidRPr="00AF7DB4" w:rsidRDefault="00210BE8" w:rsidP="00210BE8">
          <w:pPr>
            <w:pStyle w:val="Heading3"/>
          </w:pPr>
          <w:r w:rsidRPr="00AF7DB4">
            <w:t>Summary</w:t>
          </w:r>
          <w:bookmarkEnd w:id="81"/>
          <w:bookmarkEnd w:id="82"/>
          <w:bookmarkEnd w:id="83"/>
          <w:r w:rsidRPr="00AF7DB4">
            <w:t xml:space="preserve"> </w:t>
          </w:r>
        </w:p>
        <w:p w14:paraId="6CB1FE76" w14:textId="5EFF05F3" w:rsidR="00210BE8" w:rsidRPr="00E46DDF" w:rsidRDefault="00210BE8" w:rsidP="00210BE8">
          <w:r w:rsidRPr="00E46DDF">
            <w:t xml:space="preserve">Accommodation remains a key requirement for tourism. The changing behaviour of visitors will </w:t>
          </w:r>
          <w:r>
            <w:t xml:space="preserve">continue to support </w:t>
          </w:r>
          <w:r w:rsidRPr="00E46DDF">
            <w:t xml:space="preserve">demand for diverse accommodation options. In recent years there has been a noticeable shift in the pipeline towards environmentally friendly and boutique accommodation investments. </w:t>
          </w:r>
          <w:r>
            <w:t>I</w:t>
          </w:r>
          <w:r w:rsidRPr="00E46DDF">
            <w:t xml:space="preserve">n response to </w:t>
          </w:r>
          <w:r w:rsidR="00765897">
            <w:t xml:space="preserve">greater </w:t>
          </w:r>
          <w:r w:rsidRPr="00E46DDF">
            <w:t>visitor demand for boutique and tailored accommodation options</w:t>
          </w:r>
          <w:r>
            <w:t>, t</w:t>
          </w:r>
          <w:r w:rsidRPr="00E46DDF">
            <w:t>he average number of rooms per hotel reduced slightly</w:t>
          </w:r>
          <w:r>
            <w:t xml:space="preserve"> and the </w:t>
          </w:r>
          <w:r w:rsidRPr="00E46DDF">
            <w:t xml:space="preserve">average value of new developments </w:t>
          </w:r>
          <w:r>
            <w:t>fell</w:t>
          </w:r>
          <w:r w:rsidRPr="00E46DDF">
            <w:t xml:space="preserve"> over the </w:t>
          </w:r>
          <w:r>
            <w:t>past</w:t>
          </w:r>
          <w:r w:rsidRPr="00E46DDF">
            <w:t xml:space="preserve"> few years. </w:t>
          </w:r>
        </w:p>
        <w:p w14:paraId="404EB5EC" w14:textId="303F44DD" w:rsidR="0097015D" w:rsidRDefault="0097015D" w:rsidP="00210BE8">
          <w:bookmarkStart w:id="84" w:name="_Hlk97562088"/>
          <w:r>
            <w:t>In 2020-21 there were 133 stand-alone accommodation</w:t>
          </w:r>
          <w:r w:rsidRPr="00E46DDF">
            <w:t xml:space="preserve"> projects in the pipeline valued at $</w:t>
          </w:r>
          <w:r>
            <w:t>10.5</w:t>
          </w:r>
          <w:r w:rsidR="00AC4486">
            <w:t> </w:t>
          </w:r>
          <w:r w:rsidRPr="00E46DDF">
            <w:t>billion.</w:t>
          </w:r>
          <w:r>
            <w:t xml:space="preserve"> This was a decrease in the number and value of projects in the pipeline </w:t>
          </w:r>
          <w:r w:rsidR="00AC4486">
            <w:t>compared with</w:t>
          </w:r>
          <w:r>
            <w:t xml:space="preserve"> the previous year. </w:t>
          </w:r>
        </w:p>
        <w:bookmarkEnd w:id="84"/>
        <w:p w14:paraId="037BE2B7" w14:textId="011C9362" w:rsidR="00210BE8" w:rsidRPr="00E46DDF" w:rsidRDefault="00210BE8" w:rsidP="00210BE8">
          <w:r>
            <w:t>The 2019</w:t>
          </w:r>
          <w:r>
            <w:softHyphen/>
            <w:t>-</w:t>
          </w:r>
          <w:r w:rsidRPr="00E46DDF">
            <w:t>20 pipeline included 168 standalone accommodation projects. These were</w:t>
          </w:r>
          <w:r>
            <w:t xml:space="preserve"> valued at $11.1 </w:t>
          </w:r>
          <w:r w:rsidRPr="00E46DDF">
            <w:t xml:space="preserve">billion, with the potential to contribute 27,200 rooms into the tourism accommodation supply. This was 16 more projects than the 2018–19 pipeline. However, there was no change in the total value. </w:t>
          </w:r>
        </w:p>
        <w:p w14:paraId="42B5450C" w14:textId="77777777" w:rsidR="00210BE8" w:rsidRPr="00AF7DB4" w:rsidRDefault="00210BE8" w:rsidP="00210BE8">
          <w:pPr>
            <w:pStyle w:val="Heading3"/>
          </w:pPr>
          <w:bookmarkStart w:id="85" w:name="_Toc95805114"/>
          <w:bookmarkStart w:id="86" w:name="_Toc95899274"/>
          <w:bookmarkStart w:id="87" w:name="_Toc95899356"/>
          <w:r w:rsidRPr="00AF7DB4">
            <w:t>Breakdown by project phase</w:t>
          </w:r>
          <w:bookmarkEnd w:id="85"/>
          <w:bookmarkEnd w:id="86"/>
          <w:bookmarkEnd w:id="87"/>
        </w:p>
        <w:p w14:paraId="3F26AA89" w14:textId="77777777" w:rsidR="00210BE8" w:rsidRDefault="00210BE8" w:rsidP="00210BE8">
          <w:pPr>
            <w:pStyle w:val="Heading5"/>
          </w:pPr>
          <w:r>
            <w:t>New projects</w:t>
          </w:r>
        </w:p>
        <w:p w14:paraId="4969270E" w14:textId="77777777" w:rsidR="00210BE8" w:rsidRDefault="00210BE8" w:rsidP="00210BE8">
          <w:r>
            <w:t xml:space="preserve">There were 21 </w:t>
          </w:r>
          <w:r w:rsidRPr="00640513">
            <w:t>new</w:t>
          </w:r>
          <w:r w:rsidRPr="00E46DDF">
            <w:t xml:space="preserve"> accommodation projects</w:t>
          </w:r>
          <w:r>
            <w:t xml:space="preserve"> added to the</w:t>
          </w:r>
          <w:r w:rsidRPr="00E46DDF">
            <w:t xml:space="preserve"> </w:t>
          </w:r>
          <w:r>
            <w:t>2020-21</w:t>
          </w:r>
          <w:r w:rsidRPr="00E46DDF">
            <w:t xml:space="preserve"> pipeline</w:t>
          </w:r>
          <w:r>
            <w:t xml:space="preserve">. This was fewer than the 32 new accommodation projects added in 2019-20 and less than half of the </w:t>
          </w:r>
          <w:r w:rsidRPr="00733AE7">
            <w:t>number</w:t>
          </w:r>
          <w:r w:rsidRPr="00E46DDF">
            <w:t xml:space="preserve"> of new projects added in 2018–19.</w:t>
          </w:r>
        </w:p>
        <w:p w14:paraId="620C2365" w14:textId="77777777" w:rsidR="00210BE8" w:rsidRDefault="00210BE8" w:rsidP="00210BE8">
          <w:r>
            <w:lastRenderedPageBreak/>
            <w:t>The new projects together were valued at $1.8 billion, with the potential to add 1,800 rooms.</w:t>
          </w:r>
          <w:r>
            <w:rPr>
              <w:rStyle w:val="FootnoteReference"/>
            </w:rPr>
            <w:footnoteReference w:id="1"/>
          </w:r>
          <w:r>
            <w:t xml:space="preserve"> The value of new projects in 2020-21 was larger than the value of the new projects added in the prior year, which was $1.3 billion. </w:t>
          </w:r>
        </w:p>
        <w:p w14:paraId="06B6B555" w14:textId="77777777" w:rsidR="00210BE8" w:rsidRDefault="00210BE8" w:rsidP="00210BE8">
          <w:r>
            <w:t xml:space="preserve">Of the new projects in 2020-21, 13 </w:t>
          </w:r>
          <w:proofErr w:type="gramStart"/>
          <w:r>
            <w:t>were located in</w:t>
          </w:r>
          <w:proofErr w:type="gramEnd"/>
          <w:r>
            <w:t xml:space="preserve"> regional Australia (worth $0.6 billion), and 8 were located in capital cities (worth $1.2 billion). </w:t>
          </w:r>
        </w:p>
        <w:p w14:paraId="572398D9" w14:textId="77777777" w:rsidR="00AC4486" w:rsidRDefault="00AC4486" w:rsidP="00AC4486">
          <w:pPr>
            <w:pStyle w:val="Heading5"/>
            <w:spacing w:before="120"/>
          </w:pPr>
          <w:r>
            <w:t>Under construction</w:t>
          </w:r>
        </w:p>
        <w:p w14:paraId="0BAB8E95" w14:textId="4BE0CE1D" w:rsidR="00AC4486" w:rsidRPr="00E46DDF" w:rsidRDefault="00AC4486" w:rsidP="00AC4486">
          <w:r>
            <w:t>There were</w:t>
          </w:r>
          <w:r w:rsidRPr="00E46DDF">
            <w:t xml:space="preserve"> </w:t>
          </w:r>
          <w:r>
            <w:t>40</w:t>
          </w:r>
          <w:r w:rsidRPr="00E46DDF">
            <w:t xml:space="preserve"> projects under construction</w:t>
          </w:r>
          <w:r>
            <w:t xml:space="preserve"> in 2020-21</w:t>
          </w:r>
          <w:r w:rsidRPr="00E46DDF">
            <w:t>. These were valued at $3.</w:t>
          </w:r>
          <w:r>
            <w:t>0</w:t>
          </w:r>
          <w:r w:rsidRPr="00E46DDF">
            <w:t xml:space="preserve"> billion, with the potential to add </w:t>
          </w:r>
          <w:r>
            <w:t>5,600</w:t>
          </w:r>
          <w:r w:rsidRPr="00E46DDF">
            <w:t xml:space="preserve"> rooms.</w:t>
          </w:r>
        </w:p>
        <w:p w14:paraId="6E6DF1D0" w14:textId="77777777" w:rsidR="00AC4486" w:rsidRDefault="00AC4486" w:rsidP="00AC4486">
          <w:pPr>
            <w:pStyle w:val="Heading5"/>
          </w:pPr>
          <w:r>
            <w:t>Planning</w:t>
          </w:r>
        </w:p>
        <w:p w14:paraId="0AE2A8F5" w14:textId="77777777" w:rsidR="00AC4486" w:rsidRDefault="00AC4486" w:rsidP="00AC4486">
          <w:r w:rsidRPr="00E46DDF">
            <w:t xml:space="preserve">Most </w:t>
          </w:r>
          <w:r>
            <w:t xml:space="preserve">stand-alone accommodation </w:t>
          </w:r>
          <w:r w:rsidRPr="00E46DDF">
            <w:t xml:space="preserve">projects in the </w:t>
          </w:r>
          <w:r>
            <w:t>2020</w:t>
          </w:r>
          <w:r w:rsidRPr="00E46DDF">
            <w:t>-2</w:t>
          </w:r>
          <w:r>
            <w:t>1</w:t>
          </w:r>
          <w:r w:rsidRPr="00E46DDF">
            <w:t xml:space="preserve"> pipeline were in the planning phase. There was a total of </w:t>
          </w:r>
          <w:r>
            <w:t xml:space="preserve">75 </w:t>
          </w:r>
          <w:r w:rsidRPr="00E46DDF">
            <w:t>projects in this phase</w:t>
          </w:r>
          <w:r>
            <w:t xml:space="preserve">, </w:t>
          </w:r>
          <w:r w:rsidRPr="00E46DDF">
            <w:t>valued at $</w:t>
          </w:r>
          <w:r>
            <w:t>5.5</w:t>
          </w:r>
          <w:r w:rsidRPr="00E46DDF">
            <w:t xml:space="preserve"> billion, with the potential to add 1</w:t>
          </w:r>
          <w:r>
            <w:t>1</w:t>
          </w:r>
          <w:r w:rsidRPr="00E46DDF">
            <w:t>,</w:t>
          </w:r>
          <w:r>
            <w:t>9</w:t>
          </w:r>
          <w:r w:rsidRPr="00E46DDF">
            <w:t xml:space="preserve">00 rooms. </w:t>
          </w:r>
        </w:p>
        <w:p w14:paraId="2A5736FA" w14:textId="77777777" w:rsidR="00210BE8" w:rsidRDefault="00210BE8" w:rsidP="00210BE8">
          <w:pPr>
            <w:pStyle w:val="Heading5"/>
            <w:spacing w:before="120"/>
          </w:pPr>
          <w:r>
            <w:t>Proposed</w:t>
          </w:r>
        </w:p>
        <w:p w14:paraId="6EE4D807" w14:textId="1777A66C" w:rsidR="00210BE8" w:rsidRPr="00E46DDF" w:rsidRDefault="00210BE8" w:rsidP="00210BE8">
          <w:r w:rsidRPr="00E46DDF">
            <w:t>There were</w:t>
          </w:r>
          <w:r w:rsidR="00AC4486">
            <w:t xml:space="preserve"> </w:t>
          </w:r>
          <w:r>
            <w:t xml:space="preserve">18 proposed accommodation </w:t>
          </w:r>
          <w:r w:rsidRPr="00E46DDF">
            <w:t>projects</w:t>
          </w:r>
          <w:r w:rsidR="00AC4486">
            <w:t xml:space="preserve"> in 2020-21</w:t>
          </w:r>
          <w:r>
            <w:t xml:space="preserve">, </w:t>
          </w:r>
          <w:r w:rsidRPr="00E46DDF">
            <w:t>valued at $</w:t>
          </w:r>
          <w:r>
            <w:t>1.</w:t>
          </w:r>
          <w:r w:rsidR="0097015D">
            <w:t>9</w:t>
          </w:r>
          <w:r w:rsidRPr="00E46DDF">
            <w:t xml:space="preserve"> billion, with the potential to add </w:t>
          </w:r>
          <w:r>
            <w:t>2</w:t>
          </w:r>
          <w:r w:rsidRPr="00E46DDF">
            <w:t>,</w:t>
          </w:r>
          <w:r>
            <w:t>6</w:t>
          </w:r>
          <w:r w:rsidRPr="00E46DDF">
            <w:t>00 rooms.</w:t>
          </w:r>
        </w:p>
        <w:p w14:paraId="5DCC15B7" w14:textId="77777777" w:rsidR="00210BE8" w:rsidRDefault="00210BE8" w:rsidP="00210BE8">
          <w:pPr>
            <w:pStyle w:val="Heading5"/>
          </w:pPr>
          <w:r>
            <w:t>Completed</w:t>
          </w:r>
        </w:p>
        <w:p w14:paraId="7969F81A" w14:textId="451D3BA7" w:rsidR="00210BE8" w:rsidRDefault="00210BE8" w:rsidP="00210BE8">
          <w:r>
            <w:t xml:space="preserve">There were 28 accommodation projects completed in 2020-21, with a value of $1.8 billion. These projects added 4,600 rooms to Australia’s accommodation supply. </w:t>
          </w:r>
        </w:p>
        <w:p w14:paraId="1A13A7C2" w14:textId="7F178E8C" w:rsidR="005A0486" w:rsidRPr="00C52B3A" w:rsidRDefault="00210BE8" w:rsidP="00210BE8">
          <w:r>
            <w:t>The number of accommodation projects completed in 2020-21 increased markedly from 19 in the prior year. The number of new hotel openings returned to be much closer to the number of completions achieved in pre-pandemic years. In the 2018-19 tourism investment pipeline there were 32 new hotel openings reported.</w:t>
          </w:r>
        </w:p>
        <w:p w14:paraId="1B56F265" w14:textId="77777777" w:rsidR="0057619A" w:rsidRDefault="0057619A">
          <w:pPr>
            <w:spacing w:before="0" w:after="160" w:line="259" w:lineRule="auto"/>
            <w:rPr>
              <w:rFonts w:asciiTheme="minorHAnsi" w:eastAsiaTheme="minorEastAsia" w:hAnsiTheme="minorHAnsi"/>
              <w:color w:val="2E1A47" w:themeColor="text2"/>
              <w:sz w:val="22"/>
              <w:szCs w:val="22"/>
              <w:lang w:eastAsia="zh-CN"/>
            </w:rPr>
          </w:pPr>
          <w:r>
            <w:rPr>
              <w:i/>
              <w:iCs/>
              <w:sz w:val="22"/>
              <w:szCs w:val="22"/>
            </w:rPr>
            <w:br w:type="page"/>
          </w:r>
        </w:p>
        <w:p w14:paraId="078D5DEB" w14:textId="4C600970" w:rsidR="00210BE8" w:rsidRDefault="00210BE8" w:rsidP="00210BE8">
          <w:pPr>
            <w:pStyle w:val="Caption"/>
            <w:keepNext/>
            <w:keepLines/>
            <w:rPr>
              <w:i w:val="0"/>
              <w:iCs w:val="0"/>
              <w:sz w:val="22"/>
              <w:szCs w:val="22"/>
            </w:rPr>
          </w:pPr>
          <w:r w:rsidRPr="00292C9B">
            <w:rPr>
              <w:i w:val="0"/>
              <w:iCs w:val="0"/>
              <w:sz w:val="22"/>
              <w:szCs w:val="22"/>
            </w:rPr>
            <w:lastRenderedPageBreak/>
            <w:t xml:space="preserve">Figure </w:t>
          </w:r>
          <w:r w:rsidRPr="00292C9B">
            <w:rPr>
              <w:i w:val="0"/>
              <w:iCs w:val="0"/>
              <w:sz w:val="22"/>
              <w:szCs w:val="22"/>
            </w:rPr>
            <w:fldChar w:fldCharType="begin"/>
          </w:r>
          <w:r w:rsidRPr="00292C9B">
            <w:rPr>
              <w:i w:val="0"/>
              <w:iCs w:val="0"/>
              <w:sz w:val="22"/>
              <w:szCs w:val="22"/>
            </w:rPr>
            <w:instrText xml:space="preserve"> SEQ Figure \* ARABIC </w:instrText>
          </w:r>
          <w:r w:rsidRPr="00292C9B">
            <w:rPr>
              <w:i w:val="0"/>
              <w:iCs w:val="0"/>
              <w:sz w:val="22"/>
              <w:szCs w:val="22"/>
            </w:rPr>
            <w:fldChar w:fldCharType="separate"/>
          </w:r>
          <w:r w:rsidRPr="00292C9B">
            <w:rPr>
              <w:i w:val="0"/>
              <w:iCs w:val="0"/>
              <w:noProof/>
              <w:sz w:val="22"/>
              <w:szCs w:val="22"/>
            </w:rPr>
            <w:t>5</w:t>
          </w:r>
          <w:r w:rsidRPr="00292C9B">
            <w:rPr>
              <w:i w:val="0"/>
              <w:iCs w:val="0"/>
              <w:sz w:val="22"/>
              <w:szCs w:val="22"/>
            </w:rPr>
            <w:fldChar w:fldCharType="end"/>
          </w:r>
          <w:r w:rsidRPr="00292C9B">
            <w:rPr>
              <w:i w:val="0"/>
              <w:iCs w:val="0"/>
              <w:sz w:val="22"/>
              <w:szCs w:val="22"/>
            </w:rPr>
            <w:t xml:space="preserve"> – Stand-alone accommodation pipeline by project phase, 2020-21</w:t>
          </w:r>
        </w:p>
        <w:p w14:paraId="62EA46AE" w14:textId="50A665C4" w:rsidR="0098599E" w:rsidRDefault="0098599E" w:rsidP="0098599E">
          <w:pPr>
            <w:rPr>
              <w:lang w:eastAsia="zh-CN"/>
            </w:rPr>
          </w:pPr>
        </w:p>
        <w:p w14:paraId="1A9AE0E7" w14:textId="42B2C972" w:rsidR="0098599E" w:rsidRDefault="0098599E" w:rsidP="0098599E">
          <w:pPr>
            <w:rPr>
              <w:lang w:eastAsia="zh-CN"/>
            </w:rPr>
          </w:pPr>
        </w:p>
        <w:p w14:paraId="5FE6F7D9" w14:textId="3ABF2D14" w:rsidR="0098599E" w:rsidRDefault="0098599E" w:rsidP="0098599E">
          <w:pPr>
            <w:rPr>
              <w:lang w:eastAsia="zh-CN"/>
            </w:rPr>
          </w:pPr>
        </w:p>
        <w:p w14:paraId="53312BA9" w14:textId="77777777" w:rsidR="0098599E" w:rsidRPr="0098599E" w:rsidRDefault="0098599E" w:rsidP="0098599E">
          <w:pPr>
            <w:rPr>
              <w:lang w:eastAsia="zh-CN"/>
            </w:rPr>
          </w:pPr>
        </w:p>
        <w:p w14:paraId="5558BD70" w14:textId="4658FBF3" w:rsidR="00210BE8" w:rsidRDefault="00210BE8" w:rsidP="00210BE8"/>
        <w:p w14:paraId="265D9A16" w14:textId="77777777" w:rsidR="0098599E" w:rsidRDefault="0098599E" w:rsidP="00210BE8"/>
        <w:p w14:paraId="48684CF3" w14:textId="77777777" w:rsidR="00210BE8" w:rsidRDefault="00210BE8" w:rsidP="00210BE8"/>
        <w:p w14:paraId="645CE941" w14:textId="77777777" w:rsidR="00210BE8" w:rsidRDefault="00210BE8" w:rsidP="00210BE8"/>
        <w:p w14:paraId="5B6D60CB" w14:textId="42D5B3BE" w:rsidR="00210BE8" w:rsidRDefault="0098599E" w:rsidP="00210BE8">
          <w:r w:rsidRPr="0098599E">
            <w:rPr>
              <w:noProof/>
            </w:rPr>
            <w:drawing>
              <wp:anchor distT="0" distB="0" distL="114300" distR="114300" simplePos="0" relativeHeight="251669504" behindDoc="0" locked="0" layoutInCell="1" allowOverlap="1" wp14:anchorId="2E9F69B2" wp14:editId="4D02BD8D">
                <wp:simplePos x="0" y="0"/>
                <wp:positionH relativeFrom="page">
                  <wp:posOffset>627380</wp:posOffset>
                </wp:positionH>
                <wp:positionV relativeFrom="paragraph">
                  <wp:posOffset>-2585720</wp:posOffset>
                </wp:positionV>
                <wp:extent cx="6390000" cy="2772000"/>
                <wp:effectExtent l="0" t="0" r="0" b="0"/>
                <wp:wrapNone/>
                <wp:docPr id="12" name="Picture 12" descr="This vertical bar chart shows the value of tourism investment in the accommodation sector. There are 4 bars showing the value of projects at each of the 3 phases - under construction, planning and proposed – as well as the total. The first three bars appear floating as they illustrate that summing these three gives the total bar at the end. Each bar is also apportioned to show the share of projects in capital city areas and in regional are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This vertical bar chart shows the value of tourism investment in the accommodation sector. There are 4 bars showing the value of projects at each of the 3 phases - under construction, planning and proposed – as well as the total. The first three bars appear floating as they illustrate that summing these three gives the total bar at the end. Each bar is also apportioned to show the share of projects in capital city areas and in regional area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90000" cy="277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72118" w14:textId="45C47F3B" w:rsidR="00210BE8" w:rsidRDefault="00210BE8" w:rsidP="00210BE8">
          <w:pPr>
            <w:pStyle w:val="Heading3"/>
          </w:pPr>
          <w:bookmarkStart w:id="88" w:name="_Toc95805115"/>
          <w:bookmarkStart w:id="89" w:name="_Toc95899275"/>
          <w:bookmarkStart w:id="90" w:name="_Toc95899357"/>
          <w:r w:rsidRPr="00AF7DB4">
            <w:t>Breakdown by project locations</w:t>
          </w:r>
          <w:bookmarkEnd w:id="88"/>
          <w:bookmarkEnd w:id="89"/>
          <w:bookmarkEnd w:id="90"/>
        </w:p>
        <w:p w14:paraId="0E2D44ED" w14:textId="45A79A5C" w:rsidR="00210BE8" w:rsidRPr="00E46DDF" w:rsidRDefault="00210BE8" w:rsidP="00210BE8">
          <w:proofErr w:type="gramStart"/>
          <w:r>
            <w:t>A majority of</w:t>
          </w:r>
          <w:proofErr w:type="gramEnd"/>
          <w:r w:rsidRPr="00E46DDF">
            <w:t xml:space="preserve"> projects were located in capital cities. </w:t>
          </w:r>
          <w:r>
            <w:t>In 2020-21 there were 8</w:t>
          </w:r>
          <w:r w:rsidRPr="00E46DDF">
            <w:t>4 projects</w:t>
          </w:r>
          <w:r>
            <w:t>,</w:t>
          </w:r>
          <w:r w:rsidRPr="00E46DDF">
            <w:t xml:space="preserve"> </w:t>
          </w:r>
          <w:r>
            <w:t xml:space="preserve">with a total </w:t>
          </w:r>
          <w:r w:rsidRPr="00E46DDF">
            <w:t>value of $</w:t>
          </w:r>
          <w:r>
            <w:t>7</w:t>
          </w:r>
          <w:r w:rsidRPr="00E46DDF">
            <w:t>.</w:t>
          </w:r>
          <w:r w:rsidR="0097015D">
            <w:t>5</w:t>
          </w:r>
          <w:r w:rsidRPr="00E46DDF">
            <w:t xml:space="preserve"> billion</w:t>
          </w:r>
          <w:r>
            <w:t>,</w:t>
          </w:r>
          <w:r w:rsidRPr="00E46DDF">
            <w:t xml:space="preserve"> </w:t>
          </w:r>
          <w:r>
            <w:t xml:space="preserve">in the </w:t>
          </w:r>
          <w:r w:rsidRPr="00E46DDF">
            <w:t>capital cit</w:t>
          </w:r>
          <w:r>
            <w:t>ies (including the Gold Coast)</w:t>
          </w:r>
          <w:r w:rsidRPr="00E46DDF">
            <w:t>. The highest value investments were in:</w:t>
          </w:r>
        </w:p>
        <w:p w14:paraId="79B9FC34" w14:textId="77777777" w:rsidR="00210BE8" w:rsidRPr="00E46DDF" w:rsidRDefault="00210BE8" w:rsidP="00210BE8">
          <w:pPr>
            <w:pStyle w:val="ListBullet"/>
            <w:spacing w:after="200" w:line="300" w:lineRule="exact"/>
            <w:contextualSpacing/>
          </w:pPr>
          <w:r w:rsidRPr="00E46DDF">
            <w:t>Sydney – $</w:t>
          </w:r>
          <w:r>
            <w:t>3.5</w:t>
          </w:r>
          <w:r w:rsidRPr="00E46DDF">
            <w:t xml:space="preserve"> billion across </w:t>
          </w:r>
          <w:r>
            <w:t>28</w:t>
          </w:r>
          <w:r w:rsidRPr="00E46DDF">
            <w:t xml:space="preserve"> projects</w:t>
          </w:r>
        </w:p>
        <w:p w14:paraId="6F0D5B5C" w14:textId="77777777" w:rsidR="00210BE8" w:rsidRPr="00E46DDF" w:rsidRDefault="00210BE8" w:rsidP="00210BE8">
          <w:pPr>
            <w:pStyle w:val="ListBullet"/>
            <w:spacing w:after="200" w:line="300" w:lineRule="exact"/>
            <w:contextualSpacing/>
          </w:pPr>
          <w:r w:rsidRPr="00E46DDF">
            <w:t>Melbourne – $1.</w:t>
          </w:r>
          <w:r>
            <w:t>4</w:t>
          </w:r>
          <w:r w:rsidRPr="00E46DDF">
            <w:t xml:space="preserve"> billion across </w:t>
          </w:r>
          <w:r>
            <w:t xml:space="preserve">26 </w:t>
          </w:r>
          <w:r w:rsidRPr="00E46DDF">
            <w:t>projects</w:t>
          </w:r>
        </w:p>
        <w:p w14:paraId="6E76DE04" w14:textId="32EA28EF" w:rsidR="00210BE8" w:rsidRPr="00E46DDF" w:rsidRDefault="00210BE8" w:rsidP="00210BE8">
          <w:pPr>
            <w:pStyle w:val="ListBullet"/>
            <w:spacing w:after="200" w:line="300" w:lineRule="exact"/>
            <w:contextualSpacing/>
          </w:pPr>
          <w:r w:rsidRPr="00E46DDF">
            <w:t>Adelaide – $</w:t>
          </w:r>
          <w:r>
            <w:t>0.9</w:t>
          </w:r>
          <w:r w:rsidRPr="00E46DDF">
            <w:t xml:space="preserve"> billion across 1</w:t>
          </w:r>
          <w:r>
            <w:t>1</w:t>
          </w:r>
          <w:r w:rsidRPr="00E46DDF">
            <w:t xml:space="preserve"> projects</w:t>
          </w:r>
          <w:r w:rsidR="005A0486">
            <w:t>.</w:t>
          </w:r>
        </w:p>
        <w:p w14:paraId="61303A8F" w14:textId="77777777" w:rsidR="00210BE8" w:rsidRPr="00E46DDF" w:rsidRDefault="00210BE8" w:rsidP="00210BE8">
          <w:pPr>
            <w:spacing w:before="120"/>
          </w:pPr>
          <w:r w:rsidRPr="00E46DDF">
            <w:t xml:space="preserve">By comparison, </w:t>
          </w:r>
          <w:r>
            <w:t xml:space="preserve">there were 49 </w:t>
          </w:r>
          <w:r w:rsidRPr="00E46DDF">
            <w:t>projects in regional locations valued at $2.</w:t>
          </w:r>
          <w:r>
            <w:t>9</w:t>
          </w:r>
          <w:r w:rsidRPr="00E46DDF">
            <w:t xml:space="preserve"> billion and mostly distributed across:</w:t>
          </w:r>
        </w:p>
        <w:p w14:paraId="12436A93" w14:textId="77777777" w:rsidR="00210BE8" w:rsidRPr="00E46DDF" w:rsidRDefault="00210BE8" w:rsidP="00210BE8">
          <w:pPr>
            <w:pStyle w:val="ListBullet"/>
            <w:spacing w:after="200" w:line="300" w:lineRule="exact"/>
            <w:contextualSpacing/>
          </w:pPr>
          <w:r w:rsidRPr="00E46DDF">
            <w:t>Queensland</w:t>
          </w:r>
          <w:r>
            <w:t xml:space="preserve"> – $0.8 billion across 9 projects</w:t>
          </w:r>
        </w:p>
        <w:p w14:paraId="3F5C4F16" w14:textId="77777777" w:rsidR="00210BE8" w:rsidRPr="00E46DDF" w:rsidRDefault="00210BE8" w:rsidP="00210BE8">
          <w:pPr>
            <w:pStyle w:val="ListBullet"/>
            <w:spacing w:after="200" w:line="300" w:lineRule="exact"/>
            <w:contextualSpacing/>
          </w:pPr>
          <w:r>
            <w:t>Victoria – $0.7 billion across 12 projects</w:t>
          </w:r>
        </w:p>
        <w:p w14:paraId="5352D5FC" w14:textId="77777777" w:rsidR="00210BE8" w:rsidRPr="00E46DDF" w:rsidRDefault="00210BE8" w:rsidP="00210BE8">
          <w:pPr>
            <w:pStyle w:val="ListBullet"/>
            <w:spacing w:after="200" w:line="300" w:lineRule="exact"/>
            <w:contextualSpacing/>
          </w:pPr>
          <w:r w:rsidRPr="00E46DDF">
            <w:t xml:space="preserve">New South Wales </w:t>
          </w:r>
          <w:r>
            <w:t>– $0.5 billion across 6 projects</w:t>
          </w:r>
        </w:p>
        <w:p w14:paraId="2BE7F9F7" w14:textId="5C3124E0" w:rsidR="00210BE8" w:rsidRPr="00E46DDF" w:rsidRDefault="00210BE8" w:rsidP="00210BE8">
          <w:pPr>
            <w:pStyle w:val="ListBullet"/>
            <w:spacing w:after="200" w:line="300" w:lineRule="exact"/>
            <w:contextualSpacing/>
          </w:pPr>
          <w:r w:rsidRPr="00E46DDF">
            <w:t xml:space="preserve">Tasmania </w:t>
          </w:r>
          <w:r>
            <w:t>– $0.4 billion across 11 projects</w:t>
          </w:r>
          <w:r w:rsidR="005A0486">
            <w:t>.</w:t>
          </w:r>
        </w:p>
        <w:p w14:paraId="7D6D5543" w14:textId="77777777" w:rsidR="00210BE8" w:rsidRDefault="00210BE8" w:rsidP="00210BE8">
          <w:pPr>
            <w:spacing w:before="120"/>
          </w:pPr>
          <w:r>
            <w:t>There was an increase in the regional share of the accommodation pipeline in 2020-21. In 2020-21 regional Australia accounted for:</w:t>
          </w:r>
        </w:p>
        <w:p w14:paraId="666CF80E" w14:textId="06864598" w:rsidR="00210BE8" w:rsidRDefault="00210BE8" w:rsidP="00210BE8">
          <w:pPr>
            <w:pStyle w:val="ListBullet"/>
            <w:spacing w:after="200" w:line="300" w:lineRule="exact"/>
            <w:contextualSpacing/>
          </w:pPr>
          <w:r>
            <w:t xml:space="preserve">37% of </w:t>
          </w:r>
          <w:r w:rsidR="005A0486">
            <w:t xml:space="preserve">the </w:t>
          </w:r>
          <w:r>
            <w:t>number of stand-alone accommodation projects (compared with 32% in 2019-20)</w:t>
          </w:r>
        </w:p>
        <w:p w14:paraId="7D750FB8" w14:textId="77777777" w:rsidR="00210BE8" w:rsidRDefault="00210BE8" w:rsidP="00210BE8">
          <w:pPr>
            <w:pStyle w:val="ListBullet"/>
            <w:spacing w:after="200" w:line="300" w:lineRule="exact"/>
            <w:contextualSpacing/>
          </w:pPr>
          <w:r>
            <w:t xml:space="preserve">28% of the value of accommodation projects (up from 25% in the previous year), and </w:t>
          </w:r>
        </w:p>
        <w:p w14:paraId="0EE8EF7F" w14:textId="77777777" w:rsidR="00210BE8" w:rsidRDefault="00210BE8" w:rsidP="00210BE8">
          <w:pPr>
            <w:pStyle w:val="ListBullet"/>
            <w:spacing w:after="200" w:line="300" w:lineRule="exact"/>
            <w:contextualSpacing/>
          </w:pPr>
          <w:r>
            <w:t>26% of the potential addition to room supply (up from 23%</w:t>
          </w:r>
          <w:r w:rsidRPr="00B37585">
            <w:t xml:space="preserve"> </w:t>
          </w:r>
          <w:r>
            <w:t>in the previous year).</w:t>
          </w:r>
        </w:p>
        <w:p w14:paraId="1938931C" w14:textId="77777777" w:rsidR="00210BE8" w:rsidRDefault="00210BE8" w:rsidP="00210BE8">
          <w:pPr>
            <w:rPr>
              <w:b/>
              <w:bCs/>
              <w:color w:val="1E988A" w:themeColor="background2"/>
              <w:sz w:val="26"/>
              <w:szCs w:val="26"/>
            </w:rPr>
          </w:pPr>
          <w:r>
            <w:t>Compared with accommodation projects located in capital cities, regional-based projects are, on average, around one-third smaller in terms of project cost and room numbers.</w:t>
          </w:r>
        </w:p>
        <w:p w14:paraId="2A7066F3" w14:textId="77777777" w:rsidR="00210BE8" w:rsidRPr="00D464A7" w:rsidRDefault="00210BE8" w:rsidP="00210BE8">
          <w:pPr>
            <w:pStyle w:val="Heading2"/>
            <w:rPr>
              <w:b w:val="0"/>
              <w:bCs/>
              <w:color w:val="7A4282" w:themeColor="accent1"/>
              <w:sz w:val="32"/>
              <w:szCs w:val="28"/>
            </w:rPr>
          </w:pPr>
          <w:bookmarkStart w:id="91" w:name="_Toc95805116"/>
          <w:bookmarkStart w:id="92" w:name="_Toc95899358"/>
          <w:r w:rsidRPr="00D464A7">
            <w:rPr>
              <w:b w:val="0"/>
              <w:bCs/>
              <w:color w:val="7A4282" w:themeColor="accent1"/>
              <w:sz w:val="32"/>
              <w:szCs w:val="28"/>
            </w:rPr>
            <w:lastRenderedPageBreak/>
            <w:t>Mixed-use accommodation results</w:t>
          </w:r>
          <w:bookmarkEnd w:id="91"/>
          <w:bookmarkEnd w:id="92"/>
        </w:p>
        <w:tbl>
          <w:tblPr>
            <w:tblStyle w:val="TableGrid"/>
            <w:tblW w:w="0" w:type="auto"/>
            <w:jc w:val="center"/>
            <w:tblLook w:val="04A0" w:firstRow="1" w:lastRow="0" w:firstColumn="1" w:lastColumn="0" w:noHBand="0" w:noVBand="1"/>
          </w:tblPr>
          <w:tblGrid>
            <w:gridCol w:w="3117"/>
            <w:gridCol w:w="3116"/>
            <w:gridCol w:w="3117"/>
          </w:tblGrid>
          <w:tr w:rsidR="00210BE8" w:rsidRPr="003A58AB" w14:paraId="0320F6BE" w14:textId="77777777" w:rsidTr="00D464A7">
            <w:trPr>
              <w:jc w:val="center"/>
            </w:trPr>
            <w:tc>
              <w:tcPr>
                <w:tcW w:w="3117" w:type="dxa"/>
                <w:shd w:val="clear" w:color="auto" w:fill="2E1A47" w:themeFill="text2"/>
              </w:tcPr>
              <w:p w14:paraId="352A4096" w14:textId="77777777" w:rsidR="00210BE8" w:rsidRPr="003A58AB" w:rsidRDefault="00210BE8" w:rsidP="00D464A7">
                <w:pPr>
                  <w:jc w:val="center"/>
                  <w:rPr>
                    <w:b/>
                    <w:color w:val="FFFFFF" w:themeColor="background1"/>
                  </w:rPr>
                </w:pPr>
                <w:bookmarkStart w:id="93" w:name="_Toc95805117"/>
                <w:bookmarkStart w:id="94" w:name="_Toc95899359"/>
                <w:r>
                  <w:rPr>
                    <w:b/>
                    <w:color w:val="FFFFFF" w:themeColor="background1"/>
                  </w:rPr>
                  <w:t>Total</w:t>
                </w:r>
              </w:p>
            </w:tc>
            <w:tc>
              <w:tcPr>
                <w:tcW w:w="3116" w:type="dxa"/>
                <w:shd w:val="clear" w:color="auto" w:fill="2E1A47" w:themeFill="text2"/>
              </w:tcPr>
              <w:p w14:paraId="30FC78D5"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text2"/>
              </w:tcPr>
              <w:p w14:paraId="60B46203"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4CF59148" w14:textId="77777777" w:rsidTr="00D464A7">
            <w:trPr>
              <w:jc w:val="center"/>
            </w:trPr>
            <w:tc>
              <w:tcPr>
                <w:tcW w:w="3117" w:type="dxa"/>
              </w:tcPr>
              <w:p w14:paraId="22A68ED9" w14:textId="77777777" w:rsidR="00210BE8" w:rsidRPr="00E46DDF" w:rsidRDefault="00210BE8" w:rsidP="00D464A7">
                <w:pPr>
                  <w:spacing w:after="0" w:line="240" w:lineRule="auto"/>
                  <w:jc w:val="center"/>
                  <w:rPr>
                    <w:rFonts w:ascii="Calibri" w:eastAsia="Times New Roman" w:hAnsi="Calibri" w:cs="Times New Roman"/>
                    <w:color w:val="000000"/>
                    <w:lang w:eastAsia="en-AU"/>
                  </w:rPr>
                </w:pPr>
                <w:r w:rsidRPr="00E46DDF">
                  <w:rPr>
                    <w:rFonts w:ascii="Calibri" w:eastAsia="Times New Roman" w:hAnsi="Calibri" w:cs="Times New Roman"/>
                    <w:color w:val="000000"/>
                    <w:lang w:eastAsia="en-AU"/>
                  </w:rPr>
                  <w:t>$</w:t>
                </w:r>
                <w:r>
                  <w:rPr>
                    <w:rFonts w:ascii="Calibri" w:eastAsia="Times New Roman" w:hAnsi="Calibri" w:cs="Times New Roman"/>
                    <w:color w:val="000000"/>
                    <w:lang w:eastAsia="en-AU"/>
                  </w:rPr>
                  <w:t>58.7</w:t>
                </w:r>
                <w:r w:rsidRPr="00E46DDF">
                  <w:rPr>
                    <w:rFonts w:ascii="Calibri" w:eastAsia="Times New Roman" w:hAnsi="Calibri" w:cs="Times New Roman"/>
                    <w:color w:val="000000"/>
                    <w:lang w:eastAsia="en-AU"/>
                  </w:rPr>
                  <w:t xml:space="preserve"> billion</w:t>
                </w:r>
              </w:p>
              <w:p w14:paraId="6AC2DAAC" w14:textId="77777777" w:rsidR="00210BE8" w:rsidRPr="00E46DDF" w:rsidRDefault="00210BE8" w:rsidP="00D464A7">
                <w:pPr>
                  <w:spacing w:after="0" w:line="240" w:lineRule="auto"/>
                  <w:jc w:val="center"/>
                  <w:rPr>
                    <w:rFonts w:ascii="Calibri" w:eastAsia="Times New Roman" w:hAnsi="Calibri" w:cs="Times New Roman"/>
                    <w:color w:val="000000"/>
                    <w:lang w:eastAsia="en-AU"/>
                  </w:rPr>
                </w:pPr>
                <w:r w:rsidRPr="00E46DDF">
                  <w:rPr>
                    <w:rFonts w:ascii="Calibri" w:eastAsia="Times New Roman" w:hAnsi="Calibri" w:cs="Times New Roman"/>
                    <w:color w:val="000000"/>
                    <w:lang w:eastAsia="en-AU"/>
                  </w:rPr>
                  <w:t>1</w:t>
                </w:r>
                <w:r>
                  <w:rPr>
                    <w:rFonts w:ascii="Calibri" w:eastAsia="Times New Roman" w:hAnsi="Calibri" w:cs="Times New Roman"/>
                    <w:color w:val="000000"/>
                    <w:lang w:eastAsia="en-AU"/>
                  </w:rPr>
                  <w:t>36</w:t>
                </w:r>
                <w:r w:rsidRPr="00E46DDF">
                  <w:rPr>
                    <w:rFonts w:ascii="Calibri" w:eastAsia="Times New Roman" w:hAnsi="Calibri" w:cs="Times New Roman"/>
                    <w:color w:val="000000"/>
                    <w:lang w:eastAsia="en-AU"/>
                  </w:rPr>
                  <w:t xml:space="preserve"> projects</w:t>
                </w:r>
              </w:p>
              <w:p w14:paraId="504BE009" w14:textId="77777777" w:rsidR="00210BE8" w:rsidRDefault="00210BE8" w:rsidP="00D464A7">
                <w:pPr>
                  <w:spacing w:after="0" w:line="240" w:lineRule="auto"/>
                  <w:jc w:val="center"/>
                  <w:rPr>
                    <w:rFonts w:ascii="Calibri" w:eastAsia="Times New Roman" w:hAnsi="Calibri" w:cs="Times New Roman"/>
                    <w:color w:val="000000"/>
                    <w:lang w:eastAsia="en-AU"/>
                  </w:rPr>
                </w:pPr>
                <w:r w:rsidRPr="00E46DDF">
                  <w:rPr>
                    <w:rFonts w:ascii="Calibri" w:eastAsia="Times New Roman" w:hAnsi="Calibri" w:cs="Times New Roman"/>
                    <w:color w:val="000000"/>
                    <w:lang w:eastAsia="en-AU"/>
                  </w:rPr>
                  <w:t>2</w:t>
                </w:r>
                <w:r>
                  <w:rPr>
                    <w:rFonts w:ascii="Calibri" w:eastAsia="Times New Roman" w:hAnsi="Calibri" w:cs="Times New Roman"/>
                    <w:color w:val="000000"/>
                    <w:lang w:eastAsia="en-AU"/>
                  </w:rPr>
                  <w:t>8,0</w:t>
                </w:r>
                <w:r w:rsidRPr="00E46DDF">
                  <w:rPr>
                    <w:rFonts w:ascii="Calibri" w:eastAsia="Times New Roman" w:hAnsi="Calibri" w:cs="Times New Roman"/>
                    <w:color w:val="000000"/>
                    <w:lang w:eastAsia="en-AU"/>
                  </w:rPr>
                  <w:t>00 rooms</w:t>
                </w:r>
              </w:p>
              <w:p w14:paraId="09DE9429" w14:textId="77777777" w:rsidR="00210BE8" w:rsidRPr="00187E79" w:rsidRDefault="00210BE8" w:rsidP="00D464A7">
                <w:pPr>
                  <w:rPr>
                    <w:rFonts w:asciiTheme="minorHAnsi" w:hAnsiTheme="minorHAnsi"/>
                  </w:rPr>
                </w:pPr>
              </w:p>
            </w:tc>
            <w:tc>
              <w:tcPr>
                <w:tcW w:w="3116" w:type="dxa"/>
              </w:tcPr>
              <w:p w14:paraId="3AE6A909" w14:textId="77777777" w:rsidR="00210BE8" w:rsidRPr="00E46DDF" w:rsidRDefault="00210BE8" w:rsidP="00D464A7">
                <w:pPr>
                  <w:spacing w:after="0" w:line="240" w:lineRule="auto"/>
                  <w:jc w:val="center"/>
                  <w:rPr>
                    <w:rFonts w:ascii="Calibri" w:eastAsia="Times New Roman" w:hAnsi="Calibri" w:cs="Times New Roman"/>
                    <w:color w:val="000000"/>
                    <w:lang w:eastAsia="en-AU"/>
                  </w:rPr>
                </w:pPr>
                <w:r w:rsidRPr="00E46DDF">
                  <w:rPr>
                    <w:rFonts w:ascii="Calibri" w:eastAsia="Times New Roman" w:hAnsi="Calibri" w:cs="Times New Roman"/>
                    <w:color w:val="000000"/>
                    <w:lang w:eastAsia="en-AU"/>
                  </w:rPr>
                  <w:t>$</w:t>
                </w:r>
                <w:r>
                  <w:rPr>
                    <w:rFonts w:ascii="Calibri" w:eastAsia="Times New Roman" w:hAnsi="Calibri" w:cs="Times New Roman"/>
                    <w:color w:val="000000"/>
                    <w:lang w:eastAsia="en-AU"/>
                  </w:rPr>
                  <w:t>48.0</w:t>
                </w:r>
                <w:r w:rsidRPr="00E46DDF">
                  <w:rPr>
                    <w:rFonts w:ascii="Calibri" w:eastAsia="Times New Roman" w:hAnsi="Calibri" w:cs="Times New Roman"/>
                    <w:color w:val="000000"/>
                    <w:lang w:eastAsia="en-AU"/>
                  </w:rPr>
                  <w:t xml:space="preserve"> billion</w:t>
                </w:r>
              </w:p>
              <w:p w14:paraId="3DEF8454" w14:textId="77777777" w:rsidR="00210BE8" w:rsidRPr="00E46DDF" w:rsidRDefault="00210BE8" w:rsidP="00D464A7">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107</w:t>
                </w:r>
                <w:r w:rsidRPr="00E46DDF">
                  <w:rPr>
                    <w:rFonts w:ascii="Calibri" w:eastAsia="Times New Roman" w:hAnsi="Calibri" w:cs="Times New Roman"/>
                    <w:color w:val="000000"/>
                    <w:lang w:eastAsia="en-AU"/>
                  </w:rPr>
                  <w:t xml:space="preserve"> projects</w:t>
                </w:r>
              </w:p>
              <w:p w14:paraId="28B45DFD" w14:textId="77777777" w:rsidR="00210BE8" w:rsidRDefault="00210BE8" w:rsidP="00D464A7">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22,3</w:t>
                </w:r>
                <w:r w:rsidRPr="00E46DDF">
                  <w:rPr>
                    <w:rFonts w:ascii="Calibri" w:eastAsia="Times New Roman" w:hAnsi="Calibri" w:cs="Times New Roman"/>
                    <w:color w:val="000000"/>
                    <w:lang w:eastAsia="en-AU"/>
                  </w:rPr>
                  <w:t>00 rooms</w:t>
                </w:r>
              </w:p>
              <w:p w14:paraId="2A8673BA" w14:textId="77777777" w:rsidR="00210BE8" w:rsidRPr="00187E79" w:rsidRDefault="00210BE8" w:rsidP="00D464A7">
                <w:pPr>
                  <w:jc w:val="center"/>
                  <w:rPr>
                    <w:rFonts w:asciiTheme="minorHAnsi" w:hAnsiTheme="minorHAnsi"/>
                  </w:rPr>
                </w:pPr>
              </w:p>
            </w:tc>
            <w:tc>
              <w:tcPr>
                <w:tcW w:w="3117" w:type="dxa"/>
              </w:tcPr>
              <w:p w14:paraId="03125E9F" w14:textId="77777777" w:rsidR="00210BE8" w:rsidRPr="00E46DDF" w:rsidRDefault="00210BE8" w:rsidP="00D464A7">
                <w:pPr>
                  <w:spacing w:after="0" w:line="240" w:lineRule="auto"/>
                  <w:jc w:val="center"/>
                  <w:rPr>
                    <w:rFonts w:ascii="Calibri" w:eastAsia="Times New Roman" w:hAnsi="Calibri" w:cs="Times New Roman"/>
                    <w:color w:val="000000"/>
                    <w:lang w:eastAsia="en-AU"/>
                  </w:rPr>
                </w:pPr>
                <w:r w:rsidRPr="00E46DDF">
                  <w:rPr>
                    <w:rFonts w:ascii="Calibri" w:eastAsia="Times New Roman" w:hAnsi="Calibri" w:cs="Times New Roman"/>
                    <w:color w:val="000000"/>
                    <w:lang w:eastAsia="en-AU"/>
                  </w:rPr>
                  <w:t>$</w:t>
                </w:r>
                <w:r>
                  <w:rPr>
                    <w:rFonts w:ascii="Calibri" w:eastAsia="Times New Roman" w:hAnsi="Calibri" w:cs="Times New Roman"/>
                    <w:color w:val="000000"/>
                    <w:lang w:eastAsia="en-AU"/>
                  </w:rPr>
                  <w:t>10.6</w:t>
                </w:r>
                <w:r w:rsidRPr="00E46DDF">
                  <w:rPr>
                    <w:rFonts w:ascii="Calibri" w:eastAsia="Times New Roman" w:hAnsi="Calibri" w:cs="Times New Roman"/>
                    <w:color w:val="000000"/>
                    <w:lang w:eastAsia="en-AU"/>
                  </w:rPr>
                  <w:t xml:space="preserve"> billion</w:t>
                </w:r>
              </w:p>
              <w:p w14:paraId="72C4A824" w14:textId="77777777" w:rsidR="00210BE8" w:rsidRPr="00E46DDF" w:rsidRDefault="00210BE8" w:rsidP="00D464A7">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29</w:t>
                </w:r>
                <w:r w:rsidRPr="00E46DDF">
                  <w:rPr>
                    <w:rFonts w:ascii="Calibri" w:eastAsia="Times New Roman" w:hAnsi="Calibri" w:cs="Times New Roman"/>
                    <w:color w:val="000000"/>
                    <w:lang w:eastAsia="en-AU"/>
                  </w:rPr>
                  <w:t xml:space="preserve"> projects</w:t>
                </w:r>
              </w:p>
              <w:p w14:paraId="7D7357A0" w14:textId="7777777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Pr>
                    <w:rFonts w:ascii="Calibri" w:eastAsia="Times New Roman" w:hAnsi="Calibri" w:cs="Times New Roman"/>
                    <w:color w:val="000000"/>
                    <w:lang w:eastAsia="en-AU"/>
                  </w:rPr>
                  <w:t>5,7</w:t>
                </w:r>
                <w:r w:rsidRPr="00E46DDF">
                  <w:rPr>
                    <w:rFonts w:ascii="Calibri" w:eastAsia="Times New Roman" w:hAnsi="Calibri" w:cs="Times New Roman"/>
                    <w:color w:val="000000"/>
                    <w:lang w:eastAsia="en-AU"/>
                  </w:rPr>
                  <w:t>00 rooms</w:t>
                </w:r>
              </w:p>
            </w:tc>
          </w:tr>
          <w:tr w:rsidR="00210BE8" w:rsidRPr="003A58AB" w14:paraId="068C6613" w14:textId="77777777" w:rsidTr="00D464A7">
            <w:trPr>
              <w:jc w:val="center"/>
            </w:trPr>
            <w:tc>
              <w:tcPr>
                <w:tcW w:w="3117" w:type="dxa"/>
              </w:tcPr>
              <w:p w14:paraId="03D35040" w14:textId="77777777"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2019-20: </w:t>
                </w:r>
              </w:p>
              <w:p w14:paraId="5CBA599A" w14:textId="77777777" w:rsidR="00210BE8" w:rsidRPr="00187E79" w:rsidRDefault="00210BE8" w:rsidP="00D464A7">
                <w:pPr>
                  <w:spacing w:after="0"/>
                  <w:jc w:val="center"/>
                  <w:rPr>
                    <w:rFonts w:asciiTheme="minorHAnsi" w:hAnsiTheme="minorHAnsi"/>
                    <w:lang w:eastAsia="en-AU"/>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$0.</w:t>
                </w:r>
                <w:r>
                  <w:rPr>
                    <w:rFonts w:asciiTheme="minorHAnsi" w:eastAsia="Times New Roman" w:hAnsiTheme="minorHAnsi" w:cs="Times New Roman"/>
                    <w:color w:val="000000"/>
                    <w:lang w:eastAsia="en-AU"/>
                  </w:rPr>
                  <w:t>8</w:t>
                </w:r>
                <w:r w:rsidRPr="00187E79">
                  <w:rPr>
                    <w:rFonts w:asciiTheme="minorHAnsi" w:eastAsia="Times New Roman" w:hAnsiTheme="minorHAnsi" w:cs="Times New Roman"/>
                    <w:color w:val="000000"/>
                    <w:lang w:eastAsia="en-AU"/>
                  </w:rPr>
                  <w:t xml:space="preserve"> billion</w:t>
                </w:r>
                <w:r w:rsidRPr="00187E79">
                  <w:rPr>
                    <w:rFonts w:asciiTheme="minorHAnsi" w:hAnsiTheme="minorHAnsi"/>
                    <w:lang w:eastAsia="en-AU"/>
                  </w:rPr>
                  <w:t xml:space="preserve">, </w:t>
                </w:r>
              </w:p>
              <w:p w14:paraId="740C452E" w14:textId="77777777" w:rsidR="00210BE8" w:rsidRPr="00187E79" w:rsidRDefault="00210BE8"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 xml:space="preserve">own </w:t>
                </w:r>
                <w:r>
                  <w:rPr>
                    <w:rFonts w:asciiTheme="minorHAnsi" w:eastAsia="Times New Roman" w:hAnsiTheme="minorHAnsi" w:cs="Times New Roman"/>
                    <w:color w:val="000000"/>
                    <w:lang w:eastAsia="en-AU"/>
                  </w:rPr>
                  <w:t>12</w:t>
                </w:r>
                <w:r w:rsidRPr="00187E79">
                  <w:rPr>
                    <w:rFonts w:asciiTheme="minorHAnsi" w:eastAsia="Times New Roman" w:hAnsiTheme="minorHAnsi" w:cs="Times New Roman"/>
                    <w:color w:val="000000"/>
                    <w:lang w:eastAsia="en-AU"/>
                  </w:rPr>
                  <w:t xml:space="preserve"> projects, </w:t>
                </w:r>
              </w:p>
              <w:p w14:paraId="15C6E68E" w14:textId="48D19A88" w:rsidR="00210BE8" w:rsidRPr="00187E79" w:rsidRDefault="00210BE8" w:rsidP="00D464A7">
                <w:pPr>
                  <w:jc w:val="center"/>
                  <w:rPr>
                    <w:rFonts w:asciiTheme="minorHAnsi" w:hAnsiTheme="minorHAnsi"/>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 xml:space="preserve">own </w:t>
                </w:r>
                <w:r>
                  <w:rPr>
                    <w:rFonts w:asciiTheme="minorHAnsi" w:eastAsia="Times New Roman" w:hAnsiTheme="minorHAnsi" w:cs="Times New Roman"/>
                    <w:color w:val="000000"/>
                    <w:lang w:eastAsia="en-AU"/>
                  </w:rPr>
                  <w:t>1,</w:t>
                </w:r>
                <w:r w:rsidR="00E32C50">
                  <w:rPr>
                    <w:rFonts w:asciiTheme="minorHAnsi" w:eastAsia="Times New Roman" w:hAnsiTheme="minorHAnsi" w:cs="Times New Roman"/>
                    <w:color w:val="000000"/>
                    <w:lang w:eastAsia="en-AU"/>
                  </w:rPr>
                  <w:t>7</w:t>
                </w:r>
                <w:r w:rsidRPr="00187E79">
                  <w:rPr>
                    <w:rFonts w:asciiTheme="minorHAnsi" w:eastAsia="Times New Roman" w:hAnsiTheme="minorHAnsi" w:cs="Times New Roman"/>
                    <w:color w:val="000000"/>
                    <w:lang w:eastAsia="en-AU"/>
                  </w:rPr>
                  <w:t>00 rooms</w:t>
                </w:r>
              </w:p>
            </w:tc>
            <w:tc>
              <w:tcPr>
                <w:tcW w:w="3116" w:type="dxa"/>
              </w:tcPr>
              <w:p w14:paraId="0A879E58" w14:textId="77777777"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2019-20: </w:t>
                </w:r>
              </w:p>
              <w:p w14:paraId="0FD257C2" w14:textId="77777777" w:rsidR="00210BE8" w:rsidRPr="00187E79" w:rsidRDefault="00210BE8" w:rsidP="00D464A7">
                <w:pPr>
                  <w:spacing w:after="0"/>
                  <w:jc w:val="center"/>
                  <w:rPr>
                    <w:rFonts w:asciiTheme="minorHAnsi" w:hAnsiTheme="minorHAnsi"/>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$1.</w:t>
                </w:r>
                <w:r>
                  <w:rPr>
                    <w:rFonts w:asciiTheme="minorHAnsi" w:eastAsia="Times New Roman" w:hAnsiTheme="minorHAnsi" w:cs="Times New Roman"/>
                    <w:color w:val="000000"/>
                    <w:lang w:eastAsia="en-AU"/>
                  </w:rPr>
                  <w:t>9</w:t>
                </w:r>
                <w:r w:rsidRPr="00187E79">
                  <w:rPr>
                    <w:rFonts w:asciiTheme="minorHAnsi" w:eastAsia="Times New Roman" w:hAnsiTheme="minorHAnsi" w:cs="Times New Roman"/>
                    <w:color w:val="000000"/>
                    <w:lang w:eastAsia="en-AU"/>
                  </w:rPr>
                  <w:t xml:space="preserve"> billion</w:t>
                </w:r>
                <w:r w:rsidRPr="00187E79">
                  <w:rPr>
                    <w:rFonts w:asciiTheme="minorHAnsi" w:hAnsiTheme="minorHAnsi"/>
                  </w:rPr>
                  <w:t xml:space="preserve">, </w:t>
                </w:r>
              </w:p>
              <w:p w14:paraId="137D7363" w14:textId="77777777" w:rsidR="00210BE8" w:rsidRPr="00187E79" w:rsidRDefault="00210BE8"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d</w:t>
                </w:r>
                <w:r w:rsidRPr="00187E79">
                  <w:rPr>
                    <w:rFonts w:asciiTheme="minorHAnsi" w:eastAsia="Times New Roman" w:hAnsiTheme="minorHAnsi" w:cs="Times New Roman"/>
                    <w:color w:val="000000"/>
                    <w:lang w:eastAsia="en-AU"/>
                  </w:rPr>
                  <w:t xml:space="preserve">own </w:t>
                </w:r>
                <w:r>
                  <w:rPr>
                    <w:rFonts w:asciiTheme="minorHAnsi" w:eastAsia="Times New Roman" w:hAnsiTheme="minorHAnsi" w:cs="Times New Roman"/>
                    <w:color w:val="000000"/>
                    <w:lang w:eastAsia="en-AU"/>
                  </w:rPr>
                  <w:t>4</w:t>
                </w:r>
                <w:r w:rsidRPr="00187E79">
                  <w:rPr>
                    <w:rFonts w:asciiTheme="minorHAnsi" w:eastAsia="Times New Roman" w:hAnsiTheme="minorHAnsi" w:cs="Times New Roman"/>
                    <w:color w:val="000000"/>
                    <w:lang w:eastAsia="en-AU"/>
                  </w:rPr>
                  <w:t xml:space="preserve"> projects</w:t>
                </w:r>
                <w:r>
                  <w:rPr>
                    <w:rFonts w:asciiTheme="minorHAnsi" w:eastAsia="Times New Roman" w:hAnsiTheme="minorHAnsi" w:cs="Times New Roman"/>
                    <w:color w:val="000000"/>
                    <w:lang w:eastAsia="en-AU"/>
                  </w:rPr>
                  <w:t>,</w:t>
                </w:r>
              </w:p>
              <w:p w14:paraId="4EC0627F" w14:textId="77777777" w:rsidR="00210BE8" w:rsidRPr="00187E79" w:rsidRDefault="00210BE8" w:rsidP="00D464A7">
                <w:pPr>
                  <w:jc w:val="center"/>
                  <w:rPr>
                    <w:rFonts w:asciiTheme="minorHAnsi" w:hAnsiTheme="minorHAnsi"/>
                  </w:rPr>
                </w:pPr>
                <w:r>
                  <w:rPr>
                    <w:rFonts w:asciiTheme="minorHAnsi" w:hAnsiTheme="minorHAnsi"/>
                  </w:rPr>
                  <w:t>do</w:t>
                </w:r>
                <w:r w:rsidRPr="00187E79">
                  <w:rPr>
                    <w:rFonts w:asciiTheme="minorHAnsi" w:hAnsiTheme="minorHAnsi"/>
                  </w:rPr>
                  <w:t xml:space="preserve">wn </w:t>
                </w:r>
                <w:r w:rsidRPr="00187E79">
                  <w:rPr>
                    <w:rFonts w:asciiTheme="minorHAnsi" w:eastAsia="Times New Roman" w:hAnsiTheme="minorHAnsi" w:cs="Times New Roman"/>
                    <w:color w:val="000000"/>
                    <w:lang w:eastAsia="en-AU"/>
                  </w:rPr>
                  <w:t>500 rooms</w:t>
                </w:r>
              </w:p>
            </w:tc>
            <w:tc>
              <w:tcPr>
                <w:tcW w:w="3117" w:type="dxa"/>
              </w:tcPr>
              <w:p w14:paraId="458F918E" w14:textId="77777777"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2019-20: </w:t>
                </w:r>
              </w:p>
              <w:p w14:paraId="2FCFD23F" w14:textId="35EF5E68" w:rsidR="00210BE8" w:rsidRPr="00187E79" w:rsidRDefault="00210BE8" w:rsidP="00D464A7">
                <w:pPr>
                  <w:spacing w:after="0"/>
                  <w:jc w:val="center"/>
                  <w:rPr>
                    <w:rFonts w:asciiTheme="minorHAnsi" w:hAnsiTheme="minorHAnsi"/>
                  </w:rPr>
                </w:pPr>
                <w:r>
                  <w:rPr>
                    <w:rFonts w:asciiTheme="minorHAnsi" w:hAnsiTheme="minorHAnsi"/>
                    <w:color w:val="000000"/>
                  </w:rPr>
                  <w:t>down</w:t>
                </w:r>
                <w:r w:rsidRPr="00187E79">
                  <w:rPr>
                    <w:rFonts w:asciiTheme="minorHAnsi" w:hAnsiTheme="minorHAnsi"/>
                    <w:color w:val="000000"/>
                  </w:rPr>
                  <w:t xml:space="preserve"> $</w:t>
                </w:r>
                <w:r>
                  <w:rPr>
                    <w:rFonts w:asciiTheme="minorHAnsi" w:hAnsiTheme="minorHAnsi"/>
                    <w:color w:val="000000"/>
                  </w:rPr>
                  <w:t>1</w:t>
                </w:r>
                <w:r w:rsidRPr="00187E79">
                  <w:rPr>
                    <w:rFonts w:asciiTheme="minorHAnsi" w:hAnsiTheme="minorHAnsi"/>
                    <w:color w:val="000000"/>
                  </w:rPr>
                  <w:t>.</w:t>
                </w:r>
                <w:r w:rsidR="00E32C50">
                  <w:rPr>
                    <w:rFonts w:asciiTheme="minorHAnsi" w:hAnsiTheme="minorHAnsi"/>
                    <w:color w:val="000000"/>
                  </w:rPr>
                  <w:t>1</w:t>
                </w:r>
                <w:r w:rsidRPr="00187E79">
                  <w:rPr>
                    <w:rFonts w:asciiTheme="minorHAnsi" w:hAnsiTheme="minorHAnsi"/>
                    <w:color w:val="000000"/>
                  </w:rPr>
                  <w:t xml:space="preserve"> billion</w:t>
                </w:r>
                <w:r w:rsidRPr="00187E79">
                  <w:rPr>
                    <w:rFonts w:asciiTheme="minorHAnsi" w:hAnsiTheme="minorHAnsi"/>
                  </w:rPr>
                  <w:t xml:space="preserve">, </w:t>
                </w:r>
              </w:p>
              <w:p w14:paraId="52C196AC" w14:textId="77777777" w:rsidR="00210BE8" w:rsidRPr="00187E79" w:rsidRDefault="00210BE8" w:rsidP="00D464A7">
                <w:pPr>
                  <w:spacing w:after="0"/>
                  <w:jc w:val="center"/>
                  <w:rPr>
                    <w:rFonts w:asciiTheme="minorHAnsi" w:hAnsiTheme="minorHAnsi"/>
                    <w:color w:val="000000"/>
                  </w:rPr>
                </w:pPr>
                <w:r w:rsidRPr="00187E79">
                  <w:rPr>
                    <w:rFonts w:asciiTheme="minorHAnsi" w:hAnsiTheme="minorHAnsi"/>
                    <w:color w:val="000000"/>
                  </w:rPr>
                  <w:t xml:space="preserve">down </w:t>
                </w:r>
                <w:r>
                  <w:rPr>
                    <w:rFonts w:asciiTheme="minorHAnsi" w:hAnsiTheme="minorHAnsi"/>
                    <w:color w:val="000000"/>
                  </w:rPr>
                  <w:t>8</w:t>
                </w:r>
                <w:r w:rsidRPr="00187E79">
                  <w:rPr>
                    <w:rFonts w:asciiTheme="minorHAnsi" w:hAnsiTheme="minorHAnsi"/>
                    <w:color w:val="000000"/>
                  </w:rPr>
                  <w:t xml:space="preserve"> projects,</w:t>
                </w:r>
              </w:p>
              <w:p w14:paraId="67BE31E1" w14:textId="77777777" w:rsidR="00210BE8" w:rsidRPr="00187E79" w:rsidRDefault="00210BE8" w:rsidP="00D464A7">
                <w:pPr>
                  <w:spacing w:after="0"/>
                  <w:jc w:val="center"/>
                  <w:rPr>
                    <w:rFonts w:asciiTheme="minorHAnsi" w:hAnsiTheme="minorHAnsi"/>
                    <w:lang w:eastAsia="en-AU"/>
                  </w:rPr>
                </w:pPr>
                <w:r w:rsidRPr="00187E79">
                  <w:rPr>
                    <w:rFonts w:asciiTheme="minorHAnsi" w:eastAsia="Times New Roman" w:hAnsiTheme="minorHAnsi" w:cs="Times New Roman"/>
                    <w:color w:val="000000"/>
                    <w:lang w:eastAsia="en-AU"/>
                  </w:rPr>
                  <w:t>down 1,</w:t>
                </w:r>
                <w:r>
                  <w:rPr>
                    <w:rFonts w:asciiTheme="minorHAnsi" w:eastAsia="Times New Roman" w:hAnsiTheme="minorHAnsi" w:cs="Times New Roman"/>
                    <w:color w:val="000000"/>
                    <w:lang w:eastAsia="en-AU"/>
                  </w:rPr>
                  <w:t>2</w:t>
                </w:r>
                <w:r w:rsidRPr="00187E79">
                  <w:rPr>
                    <w:rFonts w:asciiTheme="minorHAnsi" w:eastAsia="Times New Roman" w:hAnsiTheme="minorHAnsi" w:cs="Times New Roman"/>
                    <w:color w:val="000000"/>
                    <w:lang w:eastAsia="en-AU"/>
                  </w:rPr>
                  <w:t>00 rooms</w:t>
                </w:r>
                <w:r w:rsidRPr="00187E79">
                  <w:rPr>
                    <w:rFonts w:asciiTheme="minorHAnsi" w:hAnsiTheme="minorHAnsi"/>
                    <w:lang w:eastAsia="en-AU"/>
                  </w:rPr>
                  <w:t xml:space="preserve"> </w:t>
                </w:r>
              </w:p>
            </w:tc>
          </w:tr>
        </w:tbl>
        <w:p w14:paraId="53349881" w14:textId="77777777" w:rsidR="00210BE8" w:rsidRPr="00AF7DB4" w:rsidRDefault="00210BE8" w:rsidP="00210BE8">
          <w:pPr>
            <w:pStyle w:val="Heading3"/>
          </w:pPr>
          <w:r w:rsidRPr="00AF7DB4">
            <w:t>Summary</w:t>
          </w:r>
          <w:bookmarkEnd w:id="93"/>
          <w:bookmarkEnd w:id="94"/>
        </w:p>
        <w:p w14:paraId="4A3FA6CA" w14:textId="77777777" w:rsidR="0057619A" w:rsidRDefault="00210BE8" w:rsidP="0057619A">
          <w:pPr>
            <w:autoSpaceDE w:val="0"/>
            <w:autoSpaceDN w:val="0"/>
            <w:adjustRightInd w:val="0"/>
            <w:spacing w:before="0" w:after="0" w:line="240" w:lineRule="auto"/>
            <w:rPr>
              <w:rFonts w:ascii="Segoe UI" w:hAnsi="Segoe UI" w:cs="Segoe UI"/>
              <w:color w:val="auto"/>
              <w:sz w:val="14"/>
              <w:szCs w:val="14"/>
            </w:rPr>
          </w:pPr>
          <w:r w:rsidRPr="00E46DDF">
            <w:t xml:space="preserve">Mixed-use developments have been increasing in popularity in recent years. They offer developers an option to diversify their investment. </w:t>
          </w:r>
          <w:r w:rsidR="0057619A" w:rsidRPr="0057619A">
            <w:t xml:space="preserve">Each mixed-use development in this section of the report contributes to building capacity in the visitor economy. </w:t>
          </w:r>
        </w:p>
        <w:p w14:paraId="23CB7025" w14:textId="06EE612A" w:rsidR="00210BE8" w:rsidRPr="00E46DDF" w:rsidRDefault="00210BE8" w:rsidP="00210BE8">
          <w:r w:rsidRPr="00E46DDF">
            <w:t xml:space="preserve">For a tourism development to be classified as mixed-use it needs to </w:t>
          </w:r>
          <w:r w:rsidRPr="00E46DDF" w:rsidDel="00B87A56">
            <w:t>have</w:t>
          </w:r>
          <w:r>
            <w:t xml:space="preserve"> both</w:t>
          </w:r>
          <w:r w:rsidRPr="00E46DDF">
            <w:t>:</w:t>
          </w:r>
        </w:p>
        <w:p w14:paraId="4E9A08C4" w14:textId="77777777" w:rsidR="00210BE8" w:rsidRPr="00E46DDF" w:rsidRDefault="00210BE8" w:rsidP="00210BE8">
          <w:pPr>
            <w:pStyle w:val="ListBullet"/>
            <w:spacing w:after="200" w:line="300" w:lineRule="exact"/>
            <w:contextualSpacing/>
          </w:pPr>
          <w:r w:rsidRPr="00E46DDF">
            <w:t xml:space="preserve">a hotel component </w:t>
          </w:r>
        </w:p>
        <w:p w14:paraId="064F326E" w14:textId="31554361" w:rsidR="00210BE8" w:rsidRPr="00E46DDF" w:rsidRDefault="00210BE8" w:rsidP="00210BE8">
          <w:pPr>
            <w:pStyle w:val="ListBullet"/>
            <w:spacing w:after="200" w:line="300" w:lineRule="exact"/>
            <w:contextualSpacing/>
          </w:pPr>
          <w:r w:rsidRPr="00E46DDF">
            <w:t>a</w:t>
          </w:r>
          <w:r w:rsidR="0057619A">
            <w:t xml:space="preserve">nother </w:t>
          </w:r>
          <w:r w:rsidRPr="00E46DDF">
            <w:t>aspect</w:t>
          </w:r>
          <w:r w:rsidR="0057619A">
            <w:t>,</w:t>
          </w:r>
          <w:r w:rsidRPr="00E46DDF">
            <w:t xml:space="preserve"> which can include residential, commercial or leisure space</w:t>
          </w:r>
          <w:r w:rsidR="0057619A">
            <w:t>, which is not specifically associated with tourism</w:t>
          </w:r>
          <w:r w:rsidRPr="00E46DDF">
            <w:t xml:space="preserve">. </w:t>
          </w:r>
        </w:p>
        <w:p w14:paraId="274E56AB" w14:textId="77777777" w:rsidR="00210BE8" w:rsidRDefault="00210BE8" w:rsidP="00210BE8">
          <w:pPr>
            <w:spacing w:before="120"/>
          </w:pPr>
          <w:r w:rsidRPr="00E46DDF">
            <w:t>In 20</w:t>
          </w:r>
          <w:r>
            <w:t>20</w:t>
          </w:r>
          <w:r w:rsidRPr="00E46DDF">
            <w:t>–2</w:t>
          </w:r>
          <w:r>
            <w:t>1</w:t>
          </w:r>
          <w:r w:rsidRPr="00E46DDF">
            <w:t xml:space="preserve"> there were 1</w:t>
          </w:r>
          <w:r>
            <w:t>36</w:t>
          </w:r>
          <w:r w:rsidRPr="00E46DDF">
            <w:t xml:space="preserve"> mixed-use projects valued at $5</w:t>
          </w:r>
          <w:r>
            <w:t>8</w:t>
          </w:r>
          <w:r w:rsidRPr="00E46DDF">
            <w:t>.</w:t>
          </w:r>
          <w:r>
            <w:t>7</w:t>
          </w:r>
          <w:r w:rsidRPr="00E46DDF">
            <w:t xml:space="preserve"> billion,</w:t>
          </w:r>
          <w:r w:rsidRPr="00E46DDF" w:rsidDel="00B87A56">
            <w:t xml:space="preserve"> </w:t>
          </w:r>
          <w:r w:rsidRPr="00E46DDF">
            <w:t>with the potential to add 28</w:t>
          </w:r>
          <w:r>
            <w:t>,0</w:t>
          </w:r>
          <w:r w:rsidRPr="00E46DDF">
            <w:t>00 rooms.</w:t>
          </w:r>
          <w:r>
            <w:t xml:space="preserve"> This is an increase in the value of the mixed-use pipeline of $0.8 billion compared with 2019-20.</w:t>
          </w:r>
        </w:p>
        <w:p w14:paraId="035F9426" w14:textId="77777777" w:rsidR="00210BE8" w:rsidRPr="00AF7DB4" w:rsidRDefault="00210BE8" w:rsidP="00210BE8">
          <w:pPr>
            <w:pStyle w:val="Heading3"/>
          </w:pPr>
          <w:bookmarkStart w:id="95" w:name="_Toc95805119"/>
          <w:bookmarkStart w:id="96" w:name="_Toc95899360"/>
          <w:r w:rsidRPr="00AF7DB4">
            <w:t>Breakdown by project phase</w:t>
          </w:r>
          <w:bookmarkEnd w:id="95"/>
          <w:bookmarkEnd w:id="96"/>
        </w:p>
        <w:p w14:paraId="04C327DC" w14:textId="77777777" w:rsidR="00210BE8" w:rsidRDefault="00210BE8" w:rsidP="00210BE8">
          <w:r>
            <w:t>In 2020-21 there were:</w:t>
          </w:r>
        </w:p>
        <w:p w14:paraId="4DDCE349" w14:textId="77777777" w:rsidR="00210BE8" w:rsidRDefault="00210BE8" w:rsidP="00210BE8">
          <w:pPr>
            <w:pStyle w:val="ListBullet"/>
            <w:spacing w:after="200" w:line="300" w:lineRule="exact"/>
            <w:contextualSpacing/>
          </w:pPr>
          <w:r>
            <w:t xml:space="preserve">47 mixed-use projects </w:t>
          </w:r>
          <w:r w:rsidRPr="00115C18">
            <w:rPr>
              <w:b/>
              <w:bCs/>
            </w:rPr>
            <w:t>under construction</w:t>
          </w:r>
          <w:r w:rsidRPr="00E46DDF">
            <w:t>, valued at $2</w:t>
          </w:r>
          <w:r>
            <w:t>4</w:t>
          </w:r>
          <w:r w:rsidRPr="00E46DDF">
            <w:t>.</w:t>
          </w:r>
          <w:r>
            <w:t>7</w:t>
          </w:r>
          <w:r w:rsidRPr="00E46DDF">
            <w:t xml:space="preserve"> billion, adding 10,</w:t>
          </w:r>
          <w:r>
            <w:t>5</w:t>
          </w:r>
          <w:r w:rsidRPr="00E46DDF">
            <w:t>00 rooms</w:t>
          </w:r>
          <w:r>
            <w:t xml:space="preserve">. Of these, 16 projects </w:t>
          </w:r>
          <w:r w:rsidRPr="00115C18">
            <w:rPr>
              <w:b/>
              <w:bCs/>
            </w:rPr>
            <w:t>progressed</w:t>
          </w:r>
          <w:r>
            <w:t xml:space="preserve"> to the construction phase in 2020-21.</w:t>
          </w:r>
        </w:p>
        <w:p w14:paraId="2E08427C" w14:textId="77777777" w:rsidR="00210BE8" w:rsidRDefault="00210BE8" w:rsidP="00210BE8">
          <w:pPr>
            <w:pStyle w:val="ListBullet"/>
            <w:spacing w:after="200" w:line="300" w:lineRule="exact"/>
            <w:contextualSpacing/>
          </w:pPr>
          <w:r>
            <w:t>73</w:t>
          </w:r>
          <w:r w:rsidRPr="00E46DDF">
            <w:t xml:space="preserve"> projects in th</w:t>
          </w:r>
          <w:r>
            <w:t xml:space="preserve">e </w:t>
          </w:r>
          <w:r w:rsidRPr="00115C18">
            <w:rPr>
              <w:b/>
              <w:bCs/>
            </w:rPr>
            <w:t>planning</w:t>
          </w:r>
          <w:r>
            <w:t xml:space="preserve"> </w:t>
          </w:r>
          <w:r w:rsidRPr="00E46DDF">
            <w:t>phase</w:t>
          </w:r>
          <w:r>
            <w:t>,</w:t>
          </w:r>
          <w:r w:rsidRPr="00E46DDF">
            <w:t xml:space="preserve"> valued at $</w:t>
          </w:r>
          <w:r>
            <w:t>27.3</w:t>
          </w:r>
          <w:r w:rsidRPr="00E46DDF">
            <w:t xml:space="preserve"> billion, with the potential to add 1</w:t>
          </w:r>
          <w:r>
            <w:t>4,5</w:t>
          </w:r>
          <w:r w:rsidRPr="00E46DDF">
            <w:t>00 rooms</w:t>
          </w:r>
        </w:p>
        <w:p w14:paraId="0DEB5628" w14:textId="77777777" w:rsidR="00210BE8" w:rsidRDefault="00210BE8" w:rsidP="00210BE8">
          <w:pPr>
            <w:pStyle w:val="ListBullet"/>
            <w:spacing w:after="200" w:line="300" w:lineRule="exact"/>
            <w:contextualSpacing/>
          </w:pPr>
          <w:r>
            <w:t xml:space="preserve">A further 16 </w:t>
          </w:r>
          <w:r w:rsidRPr="00115C18">
            <w:rPr>
              <w:b/>
              <w:bCs/>
            </w:rPr>
            <w:t>proposed</w:t>
          </w:r>
          <w:r>
            <w:t xml:space="preserve"> projects, valued at $6.7 billion, adding 3,000 rooms</w:t>
          </w:r>
        </w:p>
        <w:p w14:paraId="1854FE79" w14:textId="68289DAD" w:rsidR="00210BE8" w:rsidRDefault="00210BE8" w:rsidP="00210BE8">
          <w:pPr>
            <w:pStyle w:val="ListBullet"/>
            <w:spacing w:after="200" w:line="300" w:lineRule="exact"/>
            <w:contextualSpacing/>
          </w:pPr>
          <w:r>
            <w:t xml:space="preserve">11 </w:t>
          </w:r>
          <w:r w:rsidRPr="00115C18">
            <w:rPr>
              <w:b/>
              <w:bCs/>
            </w:rPr>
            <w:t>new projects</w:t>
          </w:r>
          <w:r>
            <w:t xml:space="preserve"> added to the pipeline, valued at $4.7 billion, adding 1,500 rooms</w:t>
          </w:r>
          <w:r w:rsidR="005A0486">
            <w:t>.</w:t>
          </w:r>
        </w:p>
        <w:p w14:paraId="0FB31571" w14:textId="77777777" w:rsidR="00210BE8" w:rsidRDefault="00210BE8" w:rsidP="00210BE8">
          <w:pPr>
            <w:pStyle w:val="ListBullet"/>
            <w:numPr>
              <w:ilvl w:val="0"/>
              <w:numId w:val="0"/>
            </w:numPr>
          </w:pPr>
        </w:p>
        <w:p w14:paraId="644A4D57" w14:textId="229DEB65" w:rsidR="00210BE8" w:rsidRDefault="00210BE8" w:rsidP="00210BE8">
          <w:pPr>
            <w:pStyle w:val="ListBullet"/>
            <w:numPr>
              <w:ilvl w:val="0"/>
              <w:numId w:val="0"/>
            </w:numPr>
          </w:pPr>
          <w:r>
            <w:lastRenderedPageBreak/>
            <w:t>There were also 18 projects completed in 2020-21. These projects were valued at $7.6 billion and introduced 3,100 rooms to Australia’s accommodation room supply. There were more projects completed in 2020-21 than in the prior year</w:t>
          </w:r>
          <w:r w:rsidR="005A0486">
            <w:t>:</w:t>
          </w:r>
          <w:r>
            <w:t xml:space="preserve"> in 2019-20 there were 15 mixed-use project completions valued at $1.8 billion, that added 2,300 rooms to accommodation supply.</w:t>
          </w:r>
        </w:p>
        <w:p w14:paraId="1185F2C7" w14:textId="77777777" w:rsidR="00210BE8" w:rsidRDefault="00210BE8" w:rsidP="00210BE8">
          <w:pPr>
            <w:pStyle w:val="ListBullet"/>
            <w:numPr>
              <w:ilvl w:val="0"/>
              <w:numId w:val="0"/>
            </w:numPr>
          </w:pPr>
        </w:p>
        <w:p w14:paraId="5ABF6C8C" w14:textId="77777777" w:rsidR="00210BE8" w:rsidRPr="00292C9B" w:rsidRDefault="00210BE8" w:rsidP="00210BE8">
          <w:pPr>
            <w:pStyle w:val="Caption"/>
            <w:keepNext/>
            <w:rPr>
              <w:i w:val="0"/>
              <w:iCs w:val="0"/>
            </w:rPr>
          </w:pPr>
          <w:r w:rsidRPr="00292C9B">
            <w:rPr>
              <w:i w:val="0"/>
              <w:iCs w:val="0"/>
              <w:sz w:val="22"/>
              <w:szCs w:val="22"/>
            </w:rPr>
            <w:t xml:space="preserve">Figure </w:t>
          </w:r>
          <w:r w:rsidRPr="00292C9B">
            <w:rPr>
              <w:i w:val="0"/>
              <w:iCs w:val="0"/>
              <w:sz w:val="22"/>
              <w:szCs w:val="22"/>
            </w:rPr>
            <w:fldChar w:fldCharType="begin"/>
          </w:r>
          <w:r w:rsidRPr="00292C9B">
            <w:rPr>
              <w:i w:val="0"/>
              <w:iCs w:val="0"/>
              <w:sz w:val="22"/>
              <w:szCs w:val="22"/>
            </w:rPr>
            <w:instrText xml:space="preserve"> SEQ Figure \* ARABIC </w:instrText>
          </w:r>
          <w:r w:rsidRPr="00292C9B">
            <w:rPr>
              <w:i w:val="0"/>
              <w:iCs w:val="0"/>
              <w:sz w:val="22"/>
              <w:szCs w:val="22"/>
            </w:rPr>
            <w:fldChar w:fldCharType="separate"/>
          </w:r>
          <w:r w:rsidRPr="00292C9B">
            <w:rPr>
              <w:i w:val="0"/>
              <w:iCs w:val="0"/>
              <w:noProof/>
              <w:sz w:val="22"/>
              <w:szCs w:val="22"/>
            </w:rPr>
            <w:t>6</w:t>
          </w:r>
          <w:r w:rsidRPr="00292C9B">
            <w:rPr>
              <w:i w:val="0"/>
              <w:iCs w:val="0"/>
              <w:sz w:val="22"/>
              <w:szCs w:val="22"/>
            </w:rPr>
            <w:fldChar w:fldCharType="end"/>
          </w:r>
          <w:r w:rsidRPr="00292C9B">
            <w:rPr>
              <w:i w:val="0"/>
              <w:iCs w:val="0"/>
              <w:sz w:val="22"/>
              <w:szCs w:val="22"/>
            </w:rPr>
            <w:t xml:space="preserve"> – Mixed-use pipeline in Australia in 2020-21</w:t>
          </w:r>
        </w:p>
        <w:p w14:paraId="7CB40FCC" w14:textId="77777777" w:rsidR="00210BE8" w:rsidRDefault="00210BE8" w:rsidP="00210BE8">
          <w:r w:rsidRPr="00C11475">
            <w:rPr>
              <w:noProof/>
            </w:rPr>
            <w:drawing>
              <wp:anchor distT="0" distB="0" distL="114300" distR="114300" simplePos="0" relativeHeight="251666432" behindDoc="0" locked="0" layoutInCell="1" allowOverlap="1" wp14:anchorId="363FB00A" wp14:editId="44514247">
                <wp:simplePos x="0" y="0"/>
                <wp:positionH relativeFrom="column">
                  <wp:posOffset>26670</wp:posOffset>
                </wp:positionH>
                <wp:positionV relativeFrom="paragraph">
                  <wp:posOffset>13335</wp:posOffset>
                </wp:positionV>
                <wp:extent cx="6372000" cy="2821054"/>
                <wp:effectExtent l="0" t="0" r="0" b="0"/>
                <wp:wrapNone/>
                <wp:docPr id="11" name="Picture 11" descr="This vertical bar chart shows the value of tourism investment in the mixed-use sector. As with Figure 5, there are 4 bars showing the value of projects at each of the 3 phases - under construction, planning and proposed – as well as the total. The first three bars appear floating as they illustrate that summing these three gives the total bar at the end. Each bar is also apportioned to show the share of projects in capital city areas and in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vertical bar chart shows the value of tourism investment in the mixed-use sector. As with Figure 5, there are 4 bars showing the value of projects at each of the 3 phases - under construction, planning and proposed – as well as the total. The first three bars appear floating as they illustrate that summing these three gives the total bar at the end. Each bar is also apportioned to show the share of projects in capital city areas and in regional area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2000" cy="28210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EF641" w14:textId="77777777" w:rsidR="00210BE8" w:rsidRDefault="00210BE8" w:rsidP="00210BE8"/>
        <w:p w14:paraId="78C9D9E0" w14:textId="77777777" w:rsidR="00210BE8" w:rsidRDefault="00210BE8" w:rsidP="00210BE8"/>
        <w:p w14:paraId="72B86467" w14:textId="77777777" w:rsidR="00210BE8" w:rsidRDefault="00210BE8" w:rsidP="00210BE8"/>
        <w:p w14:paraId="26F0B157" w14:textId="77777777" w:rsidR="00210BE8" w:rsidRDefault="00210BE8" w:rsidP="00210BE8"/>
        <w:p w14:paraId="7AD01C10" w14:textId="77777777" w:rsidR="00210BE8" w:rsidRPr="00595005" w:rsidRDefault="00210BE8" w:rsidP="00210BE8"/>
        <w:p w14:paraId="1CD17A44" w14:textId="77777777" w:rsidR="00210BE8" w:rsidRPr="00595005" w:rsidRDefault="00210BE8" w:rsidP="00210BE8"/>
        <w:p w14:paraId="2B4C3E46" w14:textId="77777777" w:rsidR="00210BE8" w:rsidRPr="00595005" w:rsidRDefault="00210BE8" w:rsidP="00210BE8"/>
        <w:p w14:paraId="26FDC66B" w14:textId="77777777" w:rsidR="00210BE8" w:rsidRPr="00595005" w:rsidRDefault="00210BE8" w:rsidP="00210BE8"/>
        <w:p w14:paraId="70B1B92E" w14:textId="77777777" w:rsidR="00210BE8" w:rsidRPr="00AF7DB4" w:rsidRDefault="00210BE8" w:rsidP="00210BE8">
          <w:pPr>
            <w:pStyle w:val="Heading3"/>
          </w:pPr>
          <w:bookmarkStart w:id="97" w:name="_Toc95805118"/>
          <w:bookmarkStart w:id="98" w:name="_Toc95899361"/>
          <w:bookmarkStart w:id="99" w:name="_Toc95805120"/>
          <w:r w:rsidRPr="00AF7DB4">
            <w:t>Breakdown by location</w:t>
          </w:r>
          <w:bookmarkEnd w:id="97"/>
          <w:bookmarkEnd w:id="98"/>
        </w:p>
        <w:p w14:paraId="6D1A1065" w14:textId="77777777" w:rsidR="00210BE8" w:rsidRPr="00E46DDF" w:rsidRDefault="00210BE8" w:rsidP="00210BE8">
          <w:r w:rsidRPr="00E46DDF">
            <w:t xml:space="preserve">Mixed-use developments have </w:t>
          </w:r>
          <w:r>
            <w:t>historically been</w:t>
          </w:r>
          <w:r w:rsidRPr="00E46DDF">
            <w:t xml:space="preserve"> more popular in </w:t>
          </w:r>
          <w:r>
            <w:t xml:space="preserve">capital city </w:t>
          </w:r>
          <w:r w:rsidRPr="00E46DDF">
            <w:t xml:space="preserve">locations. Three-quarters of the projects </w:t>
          </w:r>
          <w:r>
            <w:t xml:space="preserve">in 2020-21 </w:t>
          </w:r>
          <w:proofErr w:type="gramStart"/>
          <w:r w:rsidRPr="00E46DDF">
            <w:t>were located in</w:t>
          </w:r>
          <w:proofErr w:type="gramEnd"/>
          <w:r w:rsidRPr="00E46DDF">
            <w:t xml:space="preserve"> capital cities, with Melbourne alone having </w:t>
          </w:r>
          <w:r>
            <w:t>38</w:t>
          </w:r>
          <w:r w:rsidRPr="00E46DDF">
            <w:t xml:space="preserve"> projects valued at $1</w:t>
          </w:r>
          <w:r>
            <w:t>7</w:t>
          </w:r>
          <w:r w:rsidRPr="00E46DDF">
            <w:t>.6 billion. Some key mixed-use developments in capital cities included:</w:t>
          </w:r>
        </w:p>
        <w:p w14:paraId="1BF3E81B" w14:textId="0EB835F2" w:rsidR="00210BE8" w:rsidRPr="00E46DDF" w:rsidRDefault="00210BE8" w:rsidP="00210BE8">
          <w:pPr>
            <w:pStyle w:val="ListBullet"/>
            <w:spacing w:after="200" w:line="300" w:lineRule="exact"/>
            <w:contextualSpacing/>
          </w:pPr>
          <w:r w:rsidRPr="00E46DDF">
            <w:t>Queen</w:t>
          </w:r>
          <w:r w:rsidR="00765897">
            <w:t>’</w:t>
          </w:r>
          <w:r w:rsidRPr="00E46DDF">
            <w:t>s Wharf Brisbane – $3.6 billion and 1,000 rooms</w:t>
          </w:r>
          <w:r>
            <w:t xml:space="preserve"> (under construction)</w:t>
          </w:r>
        </w:p>
        <w:p w14:paraId="771C1F8F" w14:textId="77777777" w:rsidR="00210BE8" w:rsidRPr="00E46DDF" w:rsidRDefault="00210BE8" w:rsidP="00210BE8">
          <w:pPr>
            <w:pStyle w:val="ListBullet"/>
            <w:spacing w:after="200" w:line="300" w:lineRule="exact"/>
            <w:contextualSpacing/>
          </w:pPr>
          <w:r w:rsidRPr="00E46DDF">
            <w:t>Hilton Melbourne Square – $2.8 billion and 621 rooms</w:t>
          </w:r>
          <w:r>
            <w:t xml:space="preserve"> (under construction)</w:t>
          </w:r>
        </w:p>
        <w:p w14:paraId="0CF3A34B" w14:textId="1F5C36D1" w:rsidR="00210BE8" w:rsidRPr="00E46DDF" w:rsidRDefault="00210BE8" w:rsidP="00210BE8">
          <w:pPr>
            <w:pStyle w:val="ListBullet"/>
            <w:spacing w:after="200" w:line="300" w:lineRule="exact"/>
            <w:contextualSpacing/>
          </w:pPr>
          <w:r w:rsidRPr="00800F1D">
            <w:t xml:space="preserve">Southbank by Beulah Hotel </w:t>
          </w:r>
          <w:r w:rsidRPr="00E46DDF">
            <w:t>–</w:t>
          </w:r>
          <w:r w:rsidRPr="00800F1D">
            <w:t xml:space="preserve"> "Green Spine"</w:t>
          </w:r>
          <w:r>
            <w:t xml:space="preserve"> in Melbourne </w:t>
          </w:r>
          <w:r w:rsidRPr="00E46DDF">
            <w:t>–</w:t>
          </w:r>
          <w:r>
            <w:t xml:space="preserve"> $2.0 billion and 322 rooms</w:t>
          </w:r>
          <w:r w:rsidR="005A0486">
            <w:t>.</w:t>
          </w:r>
        </w:p>
        <w:p w14:paraId="79CC2EE9" w14:textId="77777777" w:rsidR="00210BE8" w:rsidRPr="00E46DDF" w:rsidRDefault="00210BE8" w:rsidP="00210BE8">
          <w:pPr>
            <w:spacing w:before="120"/>
          </w:pPr>
          <w:r>
            <w:t>In 2020-21 there were also 29</w:t>
          </w:r>
          <w:r w:rsidRPr="00E46DDF">
            <w:t xml:space="preserve"> </w:t>
          </w:r>
          <w:r>
            <w:t xml:space="preserve">regional </w:t>
          </w:r>
          <w:r w:rsidRPr="00E46DDF">
            <w:t xml:space="preserve">developments </w:t>
          </w:r>
          <w:r>
            <w:t>valued at over $10.6 billion with the capacity to add 5,700 rooms</w:t>
          </w:r>
          <w:r w:rsidRPr="00E46DDF">
            <w:t xml:space="preserve">. </w:t>
          </w:r>
          <w:r>
            <w:t xml:space="preserve">Almost half of the regional developments </w:t>
          </w:r>
          <w:proofErr w:type="gramStart"/>
          <w:r>
            <w:t>were located in</w:t>
          </w:r>
          <w:proofErr w:type="gramEnd"/>
          <w:r>
            <w:t xml:space="preserve"> Queensland (14 projects worth $7.2 billion). </w:t>
          </w:r>
          <w:r w:rsidRPr="00E46DDF">
            <w:t>Some key mixed-use developments in regional Australia include:</w:t>
          </w:r>
        </w:p>
        <w:p w14:paraId="2930A977" w14:textId="77777777" w:rsidR="00210BE8" w:rsidRDefault="00210BE8" w:rsidP="00210BE8">
          <w:pPr>
            <w:pStyle w:val="ListBullet"/>
            <w:spacing w:after="200" w:line="300" w:lineRule="exact"/>
            <w:contextualSpacing/>
          </w:pPr>
          <w:proofErr w:type="spellStart"/>
          <w:r w:rsidRPr="00E46DDF">
            <w:t>Silkari</w:t>
          </w:r>
          <w:proofErr w:type="spellEnd"/>
          <w:r w:rsidRPr="00E46DDF">
            <w:t xml:space="preserve"> Resort in Avondale, New South Wales – $1.0 billion and 290 rooms</w:t>
          </w:r>
        </w:p>
        <w:p w14:paraId="4AE207C8" w14:textId="77777777" w:rsidR="00210BE8" w:rsidRDefault="00210BE8" w:rsidP="00210BE8">
          <w:pPr>
            <w:pStyle w:val="ListBullet"/>
            <w:spacing w:after="200" w:line="300" w:lineRule="exact"/>
            <w:contextualSpacing/>
          </w:pPr>
          <w:r>
            <w:t xml:space="preserve">Hummock Hill, Central Queensland </w:t>
          </w:r>
          <w:r w:rsidRPr="00E46DDF">
            <w:t>–</w:t>
          </w:r>
          <w:r>
            <w:t xml:space="preserve"> $1.2 billion</w:t>
          </w:r>
        </w:p>
        <w:p w14:paraId="5C515D6B" w14:textId="77777777" w:rsidR="00210BE8" w:rsidRDefault="00210BE8" w:rsidP="00210BE8">
          <w:pPr>
            <w:pStyle w:val="ListBullet"/>
            <w:spacing w:after="200" w:line="300" w:lineRule="exact"/>
            <w:contextualSpacing/>
          </w:pPr>
          <w:r>
            <w:t xml:space="preserve">Geelong East Shore Development </w:t>
          </w:r>
          <w:r w:rsidRPr="00E46DDF">
            <w:t>–</w:t>
          </w:r>
          <w:r>
            <w:t xml:space="preserve"> $1.2 billion</w:t>
          </w:r>
        </w:p>
        <w:p w14:paraId="32384EB3" w14:textId="77777777" w:rsidR="00210BE8" w:rsidRPr="00E46DDF" w:rsidRDefault="00210BE8" w:rsidP="00210BE8">
          <w:pPr>
            <w:pStyle w:val="ListBullet"/>
            <w:spacing w:after="200" w:line="300" w:lineRule="exact"/>
            <w:contextualSpacing/>
          </w:pPr>
          <w:r>
            <w:t>QT Newcastle $0.7 billion.</w:t>
          </w:r>
        </w:p>
        <w:p w14:paraId="5571BB87" w14:textId="77777777" w:rsidR="00342BCF" w:rsidRDefault="00342BCF">
          <w:pPr>
            <w:spacing w:before="0" w:after="160" w:line="259" w:lineRule="auto"/>
            <w:rPr>
              <w:rFonts w:eastAsia="SimSun" w:cs="Times New Roman"/>
              <w:bCs/>
              <w:color w:val="7A4282" w:themeColor="accent1"/>
              <w:sz w:val="32"/>
              <w:szCs w:val="28"/>
              <w:lang w:eastAsia="zh-CN"/>
            </w:rPr>
          </w:pPr>
          <w:bookmarkStart w:id="100" w:name="_Toc95899362"/>
          <w:r>
            <w:rPr>
              <w:b/>
              <w:bCs/>
              <w:color w:val="7A4282" w:themeColor="accent1"/>
              <w:sz w:val="32"/>
              <w:szCs w:val="28"/>
            </w:rPr>
            <w:br w:type="page"/>
          </w:r>
        </w:p>
        <w:p w14:paraId="352FF6E1" w14:textId="5AC1BCB8" w:rsidR="00210BE8" w:rsidRPr="00D464A7" w:rsidRDefault="00210BE8" w:rsidP="00210BE8">
          <w:pPr>
            <w:pStyle w:val="Heading2"/>
            <w:rPr>
              <w:b w:val="0"/>
              <w:bCs/>
              <w:color w:val="7A4282" w:themeColor="accent1"/>
              <w:sz w:val="32"/>
              <w:szCs w:val="28"/>
            </w:rPr>
          </w:pPr>
          <w:r w:rsidRPr="00D464A7">
            <w:rPr>
              <w:b w:val="0"/>
              <w:bCs/>
              <w:color w:val="7A4282" w:themeColor="accent1"/>
              <w:sz w:val="32"/>
              <w:szCs w:val="28"/>
            </w:rPr>
            <w:lastRenderedPageBreak/>
            <w:t>Methodology</w:t>
          </w:r>
          <w:bookmarkEnd w:id="99"/>
          <w:bookmarkEnd w:id="100"/>
        </w:p>
        <w:p w14:paraId="0C1EE504" w14:textId="77777777" w:rsidR="00210BE8" w:rsidRPr="00AF7DB4" w:rsidRDefault="00210BE8" w:rsidP="00210BE8">
          <w:pPr>
            <w:pStyle w:val="Heading3"/>
          </w:pPr>
          <w:bookmarkStart w:id="101" w:name="_Toc95805121"/>
          <w:bookmarkStart w:id="102" w:name="_Toc95899363"/>
          <w:r w:rsidRPr="00AF7DB4">
            <w:t>Project thresholds</w:t>
          </w:r>
          <w:bookmarkEnd w:id="101"/>
          <w:bookmarkEnd w:id="102"/>
        </w:p>
        <w:p w14:paraId="184484AD" w14:textId="429AA505" w:rsidR="00210BE8" w:rsidRPr="00505F94" w:rsidRDefault="00210BE8" w:rsidP="00210BE8">
          <w:r w:rsidRPr="00505F94">
            <w:t>The primary threshold for projects is $20 million or more.</w:t>
          </w:r>
          <w:r>
            <w:t xml:space="preserve"> </w:t>
          </w:r>
          <w:r w:rsidR="00061358">
            <w:t xml:space="preserve">Projects in the pipeline are mostly new build, but major renovation projects are also within scope. </w:t>
          </w:r>
          <w:r w:rsidRPr="00505F94">
            <w:t>The project values and pipeline progression are as at year ending June 202</w:t>
          </w:r>
          <w:r>
            <w:t>1</w:t>
          </w:r>
          <w:r w:rsidRPr="00505F94">
            <w:t xml:space="preserve">. </w:t>
          </w:r>
        </w:p>
        <w:p w14:paraId="17A2997F" w14:textId="77777777" w:rsidR="00210BE8" w:rsidRDefault="00210BE8" w:rsidP="00210BE8">
          <w:r>
            <w:t>N</w:t>
          </w:r>
          <w:r w:rsidRPr="00CE7369">
            <w:t>ote</w:t>
          </w:r>
          <w:r>
            <w:t xml:space="preserve"> that</w:t>
          </w:r>
          <w:r w:rsidRPr="00CE7369">
            <w:t>:</w:t>
          </w:r>
        </w:p>
        <w:p w14:paraId="53E75CE6" w14:textId="77777777" w:rsidR="00210BE8" w:rsidRDefault="00210BE8" w:rsidP="00210BE8">
          <w:pPr>
            <w:pStyle w:val="ListBullet"/>
            <w:spacing w:after="200" w:line="300" w:lineRule="exact"/>
            <w:contextualSpacing/>
          </w:pPr>
          <w:r>
            <w:t>This is not an exhaustive list of current or potential development projects and does not account for all tourism investments. It includes all known major investments that will impact on supply.</w:t>
          </w:r>
        </w:p>
        <w:p w14:paraId="6DE3D37F" w14:textId="77777777" w:rsidR="00210BE8" w:rsidRDefault="00210BE8" w:rsidP="00210BE8">
          <w:pPr>
            <w:pStyle w:val="ListBullet"/>
            <w:spacing w:after="200" w:line="300" w:lineRule="exact"/>
            <w:contextualSpacing/>
          </w:pPr>
          <w:r>
            <w:t>The pipeline excludes mixed-use developments, unless stated otherwise. This is due to the difficulties in apportioning</w:t>
          </w:r>
          <w:r w:rsidRPr="00905F83">
            <w:t xml:space="preserve"> </w:t>
          </w:r>
          <w:r>
            <w:t>the value of these projects to the tourism sector.</w:t>
          </w:r>
        </w:p>
        <w:p w14:paraId="58359736" w14:textId="77777777" w:rsidR="00210BE8" w:rsidRDefault="00210BE8" w:rsidP="00210BE8">
          <w:pPr>
            <w:pStyle w:val="ListBullet"/>
            <w:spacing w:after="200" w:line="300" w:lineRule="exact"/>
            <w:contextualSpacing/>
          </w:pPr>
          <w:r>
            <w:t xml:space="preserve">Some accommodation projects included in the accommodation investment pipeline may be part of a mixed-use development. Projects are </w:t>
          </w:r>
          <w:r w:rsidRPr="00905F83">
            <w:t>categorise</w:t>
          </w:r>
          <w:r>
            <w:t>d as either standalone or mixed-use accommodation based on market intelligence and key data sources available at the time.</w:t>
          </w:r>
        </w:p>
        <w:p w14:paraId="1AF6D7FF" w14:textId="77777777" w:rsidR="00210BE8" w:rsidRPr="00AF7DB4" w:rsidRDefault="00210BE8" w:rsidP="00210BE8">
          <w:pPr>
            <w:pStyle w:val="Heading3"/>
          </w:pPr>
          <w:bookmarkStart w:id="103" w:name="_Toc95805122"/>
          <w:bookmarkStart w:id="104" w:name="_Toc95899364"/>
          <w:r w:rsidRPr="00AF7DB4">
            <w:t>Data sources</w:t>
          </w:r>
          <w:bookmarkEnd w:id="103"/>
          <w:bookmarkEnd w:id="104"/>
        </w:p>
        <w:p w14:paraId="0AC92243" w14:textId="77777777" w:rsidR="00210BE8" w:rsidRDefault="00210BE8" w:rsidP="00210BE8">
          <w:r>
            <w:t>Three data sources are</w:t>
          </w:r>
          <w:r w:rsidRPr="00505F94">
            <w:t xml:space="preserve"> used to </w:t>
          </w:r>
          <w:r>
            <w:t>build</w:t>
          </w:r>
          <w:r w:rsidRPr="00505F94">
            <w:t xml:space="preserve"> the tourism investment pipeline database </w:t>
          </w:r>
          <w:r>
            <w:t>that</w:t>
          </w:r>
          <w:r w:rsidRPr="00505F94">
            <w:t xml:space="preserve"> underpins this report. </w:t>
          </w:r>
          <w:r>
            <w:t>These are:</w:t>
          </w:r>
        </w:p>
        <w:p w14:paraId="613428E6" w14:textId="77777777" w:rsidR="00210BE8" w:rsidRDefault="00210BE8" w:rsidP="00210BE8">
          <w:pPr>
            <w:pStyle w:val="ListBullet"/>
            <w:spacing w:after="200" w:line="300" w:lineRule="exact"/>
            <w:contextualSpacing/>
          </w:pPr>
          <w:r w:rsidRPr="00505F94">
            <w:t xml:space="preserve">Deloitte Access Economics’ </w:t>
          </w:r>
          <w:r>
            <w:t xml:space="preserve">(DAE) </w:t>
          </w:r>
          <w:r w:rsidRPr="00DF6C05">
            <w:rPr>
              <w:i/>
              <w:iCs/>
            </w:rPr>
            <w:t>Investment Monitor</w:t>
          </w:r>
          <w:r w:rsidRPr="00505F94">
            <w:t xml:space="preserve"> </w:t>
          </w:r>
        </w:p>
        <w:p w14:paraId="2911E11D" w14:textId="2FAFC173" w:rsidR="00210BE8" w:rsidRDefault="00210BE8" w:rsidP="00210BE8">
          <w:pPr>
            <w:pStyle w:val="ListBullet"/>
            <w:spacing w:after="200" w:line="300" w:lineRule="exact"/>
            <w:contextualSpacing/>
          </w:pPr>
          <w:r w:rsidRPr="00505F94">
            <w:t xml:space="preserve">STR Global Asia Pacific’s </w:t>
          </w:r>
          <w:r w:rsidRPr="00DF6C05">
            <w:rPr>
              <w:i/>
              <w:iCs/>
            </w:rPr>
            <w:t>Pipeline Database</w:t>
          </w:r>
          <w:r>
            <w:t xml:space="preserve"> </w:t>
          </w:r>
        </w:p>
        <w:p w14:paraId="2DF5DC0B" w14:textId="77777777" w:rsidR="00210BE8" w:rsidRPr="00505F94" w:rsidRDefault="00210BE8" w:rsidP="00210BE8">
          <w:pPr>
            <w:pStyle w:val="ListBullet"/>
            <w:spacing w:after="200" w:line="300" w:lineRule="exact"/>
            <w:contextualSpacing/>
          </w:pPr>
          <w:r>
            <w:t>the investment authorities within s</w:t>
          </w:r>
          <w:r w:rsidRPr="00505F94">
            <w:t xml:space="preserve">tate </w:t>
          </w:r>
          <w:r>
            <w:t>g</w:t>
          </w:r>
          <w:r w:rsidRPr="00505F94">
            <w:t>overnments</w:t>
          </w:r>
          <w:r>
            <w:t>.</w:t>
          </w:r>
        </w:p>
        <w:p w14:paraId="4C0768EA" w14:textId="77777777" w:rsidR="00210BE8" w:rsidRDefault="00210BE8" w:rsidP="00210BE8">
          <w:pPr>
            <w:spacing w:before="120"/>
          </w:pPr>
          <w:r w:rsidRPr="00505F94">
            <w:t>DAE</w:t>
          </w:r>
          <w:r>
            <w:t>’s</w:t>
          </w:r>
          <w:r w:rsidRPr="00505F94">
            <w:t xml:space="preserve"> </w:t>
          </w:r>
          <w:r w:rsidRPr="00DF6C05">
            <w:rPr>
              <w:i/>
            </w:rPr>
            <w:t>Investment Monitor</w:t>
          </w:r>
          <w:r w:rsidRPr="00505F94">
            <w:t xml:space="preserve"> details the total investment chain from pre-approval through to completion</w:t>
          </w:r>
          <w:r>
            <w:t>. It covers</w:t>
          </w:r>
          <w:r w:rsidRPr="00505F94">
            <w:t xml:space="preserve"> </w:t>
          </w:r>
          <w:r>
            <w:t xml:space="preserve">many </w:t>
          </w:r>
          <w:r w:rsidRPr="00505F94">
            <w:t xml:space="preserve">industries (including accommodation) in five project </w:t>
          </w:r>
          <w:r>
            <w:t>phases</w:t>
          </w:r>
          <w:r w:rsidRPr="00505F94">
            <w:t>:</w:t>
          </w:r>
        </w:p>
        <w:p w14:paraId="5350A775" w14:textId="77777777" w:rsidR="00210BE8" w:rsidRPr="00F35C06" w:rsidRDefault="00210BE8" w:rsidP="00210BE8">
          <w:pPr>
            <w:pStyle w:val="ListBullet"/>
            <w:spacing w:after="200" w:line="300" w:lineRule="exact"/>
            <w:contextualSpacing/>
          </w:pPr>
          <w:r>
            <w:t>p</w:t>
          </w:r>
          <w:r w:rsidRPr="00F35C06">
            <w:t>ossible: projects that have been announced, but no early decision has been made on whether to proceed</w:t>
          </w:r>
        </w:p>
        <w:p w14:paraId="58351429" w14:textId="77777777" w:rsidR="00210BE8" w:rsidRPr="00F35C06" w:rsidRDefault="00210BE8" w:rsidP="00210BE8">
          <w:pPr>
            <w:pStyle w:val="ListBullet"/>
            <w:spacing w:after="200" w:line="300" w:lineRule="exact"/>
            <w:contextualSpacing/>
          </w:pPr>
          <w:r>
            <w:t>u</w:t>
          </w:r>
          <w:r w:rsidRPr="00F35C06">
            <w:t xml:space="preserve">nder consideration: a decision whether to proceed is expected </w:t>
          </w:r>
          <w:proofErr w:type="gramStart"/>
          <w:r w:rsidRPr="00F35C06">
            <w:t>in the near future</w:t>
          </w:r>
          <w:proofErr w:type="gramEnd"/>
        </w:p>
        <w:p w14:paraId="07534EE0" w14:textId="77777777" w:rsidR="00210BE8" w:rsidRPr="00F35C06" w:rsidRDefault="00210BE8" w:rsidP="00210BE8">
          <w:pPr>
            <w:pStyle w:val="ListBullet"/>
            <w:spacing w:after="200" w:line="300" w:lineRule="exact"/>
            <w:contextualSpacing/>
          </w:pPr>
          <w:r>
            <w:t>c</w:t>
          </w:r>
          <w:r w:rsidRPr="00F35C06">
            <w:t>ommitted: projects where a decision to proceed has been announced but construction has not yet started</w:t>
          </w:r>
        </w:p>
        <w:p w14:paraId="2205A305" w14:textId="77777777" w:rsidR="00210BE8" w:rsidRPr="00F35C06" w:rsidRDefault="00210BE8" w:rsidP="00210BE8">
          <w:pPr>
            <w:pStyle w:val="ListBullet"/>
            <w:spacing w:after="200" w:line="300" w:lineRule="exact"/>
            <w:contextualSpacing/>
          </w:pPr>
          <w:r>
            <w:t>u</w:t>
          </w:r>
          <w:r w:rsidRPr="00F35C06">
            <w:t xml:space="preserve">nder construction: where </w:t>
          </w:r>
          <w:r w:rsidRPr="00DF6C05">
            <w:t>work ha</w:t>
          </w:r>
          <w:r w:rsidRPr="00F35C06">
            <w:t xml:space="preserve">s </w:t>
          </w:r>
          <w:r>
            <w:t>started</w:t>
          </w:r>
          <w:r w:rsidRPr="00F35C06">
            <w:t xml:space="preserve"> on the project</w:t>
          </w:r>
        </w:p>
        <w:p w14:paraId="4D4BC0C5" w14:textId="77777777" w:rsidR="00210BE8" w:rsidRPr="00F35C06" w:rsidRDefault="00210BE8" w:rsidP="00210BE8">
          <w:pPr>
            <w:pStyle w:val="ListBullet"/>
            <w:spacing w:after="200" w:line="300" w:lineRule="exact"/>
            <w:contextualSpacing/>
          </w:pPr>
          <w:r>
            <w:t>c</w:t>
          </w:r>
          <w:r w:rsidRPr="00F35C06">
            <w:t>ompleted: project has been completed</w:t>
          </w:r>
          <w:r>
            <w:t>.</w:t>
          </w:r>
        </w:p>
        <w:p w14:paraId="6E2F2A1E" w14:textId="77777777" w:rsidR="00210BE8" w:rsidRPr="00505F94" w:rsidRDefault="00210BE8" w:rsidP="00210BE8">
          <w:pPr>
            <w:spacing w:before="120"/>
          </w:pPr>
          <w:r>
            <w:t xml:space="preserve">Since 2021, </w:t>
          </w:r>
          <w:r w:rsidRPr="00505F94">
            <w:t>DAE</w:t>
          </w:r>
          <w:r>
            <w:t xml:space="preserve">’s </w:t>
          </w:r>
          <w:r w:rsidRPr="00DF6C05">
            <w:rPr>
              <w:i/>
            </w:rPr>
            <w:t>Investment Monitor</w:t>
          </w:r>
          <w:r w:rsidRPr="00505F94">
            <w:t xml:space="preserve"> only lists individual projects worth $</w:t>
          </w:r>
          <w:r>
            <w:t>5</w:t>
          </w:r>
          <w:r w:rsidRPr="00505F94">
            <w:t xml:space="preserve">0 million or more </w:t>
          </w:r>
          <w:r>
            <w:t xml:space="preserve">and </w:t>
          </w:r>
          <w:r w:rsidRPr="00505F94">
            <w:t>exclud</w:t>
          </w:r>
          <w:r>
            <w:t>es</w:t>
          </w:r>
          <w:r w:rsidRPr="00505F94">
            <w:t xml:space="preserve"> land costs</w:t>
          </w:r>
          <w:r>
            <w:t>.</w:t>
          </w:r>
          <w:r w:rsidRPr="00505F94">
            <w:t xml:space="preserve"> </w:t>
          </w:r>
          <w:r>
            <w:t xml:space="preserve">It </w:t>
          </w:r>
          <w:r w:rsidRPr="00505F94">
            <w:t>does not include the number of rooms to be built in specific investments.</w:t>
          </w:r>
        </w:p>
        <w:p w14:paraId="226FB7F6" w14:textId="77777777" w:rsidR="00210BE8" w:rsidRDefault="00210BE8" w:rsidP="00210BE8">
          <w:r w:rsidRPr="00505F94">
            <w:t>STR Global Asia Pacific</w:t>
          </w:r>
          <w:r>
            <w:t>’s</w:t>
          </w:r>
          <w:r w:rsidRPr="00505F94">
            <w:t xml:space="preserve"> </w:t>
          </w:r>
          <w:r w:rsidRPr="00DF6C05">
            <w:rPr>
              <w:i/>
            </w:rPr>
            <w:t>Pipeline Database</w:t>
          </w:r>
          <w:r w:rsidRPr="00505F94">
            <w:t xml:space="preserve"> provides a summary of the number of hotel and resort pipeline projects</w:t>
          </w:r>
          <w:r>
            <w:t>, and</w:t>
          </w:r>
          <w:r w:rsidRPr="00505F94">
            <w:t xml:space="preserve"> recently opened hotels</w:t>
          </w:r>
          <w:r>
            <w:t>. It also provides</w:t>
          </w:r>
          <w:r w:rsidRPr="00505F94">
            <w:t xml:space="preserve"> the number of existing hotels to give a picture of current and future supply within Australia. The database details the investment pipeline chain in four project stages:</w:t>
          </w:r>
        </w:p>
        <w:p w14:paraId="32F123F9" w14:textId="77777777" w:rsidR="00210BE8" w:rsidRPr="00505F94" w:rsidRDefault="00210BE8" w:rsidP="00210BE8">
          <w:pPr>
            <w:pStyle w:val="ListBullet"/>
            <w:spacing w:after="200" w:line="300" w:lineRule="exact"/>
            <w:contextualSpacing/>
          </w:pPr>
          <w:r>
            <w:lastRenderedPageBreak/>
            <w:t>u</w:t>
          </w:r>
          <w:r w:rsidRPr="00505F94">
            <w:t xml:space="preserve">nconfirmed: potential projects that remain unconfirmed </w:t>
          </w:r>
          <w:proofErr w:type="gramStart"/>
          <w:r w:rsidRPr="00505F94">
            <w:t>at this time</w:t>
          </w:r>
          <w:proofErr w:type="gramEnd"/>
        </w:p>
        <w:p w14:paraId="67FDC57F" w14:textId="77777777" w:rsidR="00210BE8" w:rsidRPr="00505F94" w:rsidRDefault="00210BE8" w:rsidP="00210BE8">
          <w:pPr>
            <w:pStyle w:val="ListBullet"/>
            <w:spacing w:after="200" w:line="300" w:lineRule="exact"/>
            <w:contextualSpacing/>
          </w:pPr>
          <w:proofErr w:type="gramStart"/>
          <w:r>
            <w:t>p</w:t>
          </w:r>
          <w:r w:rsidRPr="00505F94">
            <w:t>lanning:</w:t>
          </w:r>
          <w:proofErr w:type="gramEnd"/>
          <w:r w:rsidRPr="00505F94">
            <w:t xml:space="preserve"> confirmed, under contract projects where construction will begin in more than 12 months</w:t>
          </w:r>
        </w:p>
        <w:p w14:paraId="0D8E8244" w14:textId="77777777" w:rsidR="00210BE8" w:rsidRPr="00505F94" w:rsidRDefault="00210BE8" w:rsidP="00210BE8">
          <w:pPr>
            <w:pStyle w:val="ListBullet"/>
            <w:spacing w:after="200" w:line="300" w:lineRule="exact"/>
            <w:contextualSpacing/>
          </w:pPr>
          <w:r>
            <w:t>f</w:t>
          </w:r>
          <w:r w:rsidRPr="00505F94">
            <w:t>inal planning: confirmed, under contract projects where construction should begin within the next 12 months</w:t>
          </w:r>
        </w:p>
        <w:p w14:paraId="2F28181C" w14:textId="77777777" w:rsidR="00210BE8" w:rsidRPr="00505F94" w:rsidRDefault="00210BE8" w:rsidP="00210BE8">
          <w:pPr>
            <w:pStyle w:val="ListBullet"/>
            <w:spacing w:after="200" w:line="300" w:lineRule="exact"/>
            <w:contextualSpacing/>
          </w:pPr>
          <w:r>
            <w:t>i</w:t>
          </w:r>
          <w:r w:rsidRPr="00505F94">
            <w:t>n construction: vertical construction on the physical building has begun, not including construction on any sub-grade structures</w:t>
          </w:r>
          <w:r>
            <w:t xml:space="preserve"> such as</w:t>
          </w:r>
          <w:r w:rsidRPr="00505F94">
            <w:t xml:space="preserve"> parking garages, underground supports/footers</w:t>
          </w:r>
          <w:r>
            <w:t xml:space="preserve"> and</w:t>
          </w:r>
          <w:r w:rsidRPr="00505F94">
            <w:t xml:space="preserve"> other type</w:t>
          </w:r>
          <w:r>
            <w:t>s</w:t>
          </w:r>
          <w:r w:rsidRPr="00505F94">
            <w:t xml:space="preserve"> of sub-grade construction</w:t>
          </w:r>
        </w:p>
        <w:p w14:paraId="3031C6DC" w14:textId="77777777" w:rsidR="00210BE8" w:rsidRPr="00505F94" w:rsidRDefault="00210BE8" w:rsidP="00210BE8">
          <w:pPr>
            <w:pStyle w:val="ListBullet"/>
            <w:spacing w:after="200" w:line="300" w:lineRule="exact"/>
            <w:contextualSpacing/>
          </w:pPr>
          <w:r>
            <w:t>r</w:t>
          </w:r>
          <w:r w:rsidRPr="00505F94">
            <w:t>ecently opened: project opened within the last 12 months</w:t>
          </w:r>
        </w:p>
        <w:p w14:paraId="00A6B3DA" w14:textId="77777777" w:rsidR="00210BE8" w:rsidRPr="00505F94" w:rsidRDefault="00210BE8" w:rsidP="00210BE8">
          <w:pPr>
            <w:spacing w:before="120"/>
          </w:pPr>
          <w:r w:rsidRPr="00505F94">
            <w:t xml:space="preserve">STR Global does not supply information on the value of all projects but does include the number of rooms to be built. </w:t>
          </w:r>
          <w:r>
            <w:t xml:space="preserve">TRA </w:t>
          </w:r>
          <w:r w:rsidRPr="00505F94">
            <w:t>source</w:t>
          </w:r>
          <w:r>
            <w:t>s</w:t>
          </w:r>
          <w:r w:rsidRPr="00505F94">
            <w:t xml:space="preserve"> </w:t>
          </w:r>
          <w:r>
            <w:t>project</w:t>
          </w:r>
          <w:r w:rsidRPr="00505F94">
            <w:t xml:space="preserve"> value</w:t>
          </w:r>
          <w:r>
            <w:t>s</w:t>
          </w:r>
          <w:r w:rsidRPr="00505F94">
            <w:t xml:space="preserve"> </w:t>
          </w:r>
          <w:r>
            <w:t>from industry and media where necessary</w:t>
          </w:r>
          <w:r w:rsidRPr="00505F94">
            <w:t>.</w:t>
          </w:r>
        </w:p>
        <w:p w14:paraId="164E6214" w14:textId="77777777" w:rsidR="00210BE8" w:rsidRPr="00505F94" w:rsidRDefault="00210BE8" w:rsidP="00210BE8">
          <w:pPr>
            <w:rPr>
              <w:rFonts w:eastAsia="Times New Roman" w:cs="Segoe UI"/>
              <w:lang w:val="en-US" w:eastAsia="en-AU"/>
            </w:rPr>
          </w:pPr>
          <w:r>
            <w:t>Input from s</w:t>
          </w:r>
          <w:r w:rsidRPr="00505F94">
            <w:t xml:space="preserve">tate </w:t>
          </w:r>
          <w:r>
            <w:t>g</w:t>
          </w:r>
          <w:r w:rsidRPr="00505F94">
            <w:t xml:space="preserve">overnment </w:t>
          </w:r>
          <w:r>
            <w:t>i</w:t>
          </w:r>
          <w:r w:rsidRPr="00505F94">
            <w:t xml:space="preserve">nvestment </w:t>
          </w:r>
          <w:r>
            <w:t>a</w:t>
          </w:r>
          <w:r w:rsidRPr="00505F94">
            <w:t>uthorities ha</w:t>
          </w:r>
          <w:r>
            <w:t>s</w:t>
          </w:r>
          <w:r w:rsidRPr="00505F94">
            <w:t xml:space="preserve"> provided additional insight for the tourism investment pipeline since 2016–17. This provides an additional layer of intelligence to compile a more comprehensive pipeline, with a focus on accommodation projects. </w:t>
          </w:r>
          <w:r>
            <w:t xml:space="preserve">TRA </w:t>
          </w:r>
          <w:r w:rsidRPr="00505F94">
            <w:t>acknowledge</w:t>
          </w:r>
          <w:r>
            <w:t>s</w:t>
          </w:r>
          <w:r w:rsidRPr="00505F94">
            <w:t xml:space="preserve"> </w:t>
          </w:r>
          <w:r>
            <w:t>the following organisations for their help</w:t>
          </w:r>
          <w:r w:rsidRPr="00505F94">
            <w:t>:</w:t>
          </w:r>
        </w:p>
        <w:p w14:paraId="58154F5D"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Destination NSW</w:t>
          </w:r>
        </w:p>
        <w:p w14:paraId="44928DAC"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Department of Jobs, Precincts and Regions, Victoria</w:t>
          </w:r>
        </w:p>
        <w:p w14:paraId="4551CA6A" w14:textId="63A85948" w:rsidR="00210BE8" w:rsidRDefault="00210BE8" w:rsidP="00210BE8">
          <w:pPr>
            <w:pStyle w:val="ListBullet"/>
            <w:spacing w:after="200" w:line="300" w:lineRule="exact"/>
            <w:contextualSpacing/>
            <w:rPr>
              <w:lang w:val="en-US" w:eastAsia="en-AU"/>
            </w:rPr>
          </w:pPr>
          <w:r w:rsidRPr="00505F94">
            <w:rPr>
              <w:lang w:val="en-US" w:eastAsia="en-AU"/>
            </w:rPr>
            <w:t xml:space="preserve">Department of </w:t>
          </w:r>
          <w:r w:rsidR="009824AC">
            <w:rPr>
              <w:lang w:val="en-US" w:eastAsia="en-AU"/>
            </w:rPr>
            <w:t xml:space="preserve">Tourism, </w:t>
          </w:r>
          <w:r w:rsidRPr="00505F94">
            <w:rPr>
              <w:lang w:val="en-US" w:eastAsia="en-AU"/>
            </w:rPr>
            <w:t xml:space="preserve">Innovation and </w:t>
          </w:r>
          <w:r w:rsidR="009824AC">
            <w:rPr>
              <w:lang w:val="en-US" w:eastAsia="en-AU"/>
            </w:rPr>
            <w:t>Sport</w:t>
          </w:r>
          <w:r w:rsidRPr="00505F94">
            <w:rPr>
              <w:lang w:val="en-US" w:eastAsia="en-AU"/>
            </w:rPr>
            <w:t>, Queensland</w:t>
          </w:r>
        </w:p>
        <w:p w14:paraId="4C75F8FF" w14:textId="773BCE68" w:rsidR="009824AC" w:rsidRPr="00505F94" w:rsidRDefault="009824AC" w:rsidP="00210BE8">
          <w:pPr>
            <w:pStyle w:val="ListBullet"/>
            <w:spacing w:after="200" w:line="300" w:lineRule="exact"/>
            <w:contextualSpacing/>
            <w:rPr>
              <w:lang w:val="en-US" w:eastAsia="en-AU"/>
            </w:rPr>
          </w:pPr>
          <w:r>
            <w:rPr>
              <w:lang w:val="en-US" w:eastAsia="en-AU"/>
            </w:rPr>
            <w:t>Tourism and Events Queensland</w:t>
          </w:r>
        </w:p>
        <w:p w14:paraId="6DCF108F"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South Australian Tourism Commission</w:t>
          </w:r>
        </w:p>
        <w:p w14:paraId="3BBB25CD"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Tourism Western Australia</w:t>
          </w:r>
        </w:p>
        <w:p w14:paraId="15A5FA06"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Office of the Coordinator-General, Tasmania</w:t>
          </w:r>
        </w:p>
        <w:p w14:paraId="1B7575C6"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Tourism NT, Northern Territory</w:t>
          </w:r>
        </w:p>
        <w:p w14:paraId="0433EC40" w14:textId="550F6237" w:rsidR="00210BE8" w:rsidRPr="00505F94" w:rsidRDefault="00210BE8" w:rsidP="00210BE8">
          <w:pPr>
            <w:pStyle w:val="ListBullet"/>
            <w:spacing w:after="200" w:line="300" w:lineRule="exact"/>
            <w:contextualSpacing/>
            <w:rPr>
              <w:lang w:val="en-US" w:eastAsia="en-AU"/>
            </w:rPr>
          </w:pPr>
          <w:r w:rsidRPr="00505F94">
            <w:rPr>
              <w:lang w:val="en-US" w:eastAsia="en-AU"/>
            </w:rPr>
            <w:t xml:space="preserve">Department of </w:t>
          </w:r>
          <w:r w:rsidR="009824AC">
            <w:rPr>
              <w:lang w:val="en-US" w:eastAsia="en-AU"/>
            </w:rPr>
            <w:t>the Chief Minister and Cabinet</w:t>
          </w:r>
          <w:r w:rsidRPr="00505F94">
            <w:rPr>
              <w:lang w:val="en-US" w:eastAsia="en-AU"/>
            </w:rPr>
            <w:t>, Northern Territory</w:t>
          </w:r>
        </w:p>
        <w:p w14:paraId="56FAF305" w14:textId="77777777" w:rsidR="00210BE8" w:rsidRPr="00505F94" w:rsidRDefault="00210BE8" w:rsidP="00210BE8">
          <w:pPr>
            <w:pStyle w:val="ListBullet"/>
            <w:spacing w:after="200" w:line="300" w:lineRule="exact"/>
            <w:contextualSpacing/>
            <w:rPr>
              <w:lang w:val="en-US" w:eastAsia="en-AU"/>
            </w:rPr>
          </w:pPr>
          <w:proofErr w:type="spellStart"/>
          <w:r w:rsidRPr="00505F94">
            <w:rPr>
              <w:lang w:val="en-US" w:eastAsia="en-AU"/>
            </w:rPr>
            <w:t>VisitCanberra</w:t>
          </w:r>
          <w:proofErr w:type="spellEnd"/>
          <w:r w:rsidRPr="00505F94">
            <w:rPr>
              <w:lang w:val="en-US" w:eastAsia="en-AU"/>
            </w:rPr>
            <w:t>, Australian Capital Territory</w:t>
          </w:r>
        </w:p>
        <w:p w14:paraId="7449E141" w14:textId="77777777" w:rsidR="00210BE8" w:rsidRPr="00AF7DB4" w:rsidRDefault="00210BE8" w:rsidP="00210BE8">
          <w:pPr>
            <w:pStyle w:val="Heading3"/>
          </w:pPr>
          <w:bookmarkStart w:id="105" w:name="_Toc95805123"/>
          <w:bookmarkStart w:id="106" w:name="_Toc95899365"/>
          <w:r w:rsidRPr="00AF7DB4">
            <w:t>Alignment of data sources</w:t>
          </w:r>
          <w:bookmarkEnd w:id="105"/>
          <w:bookmarkEnd w:id="106"/>
        </w:p>
        <w:p w14:paraId="51535DAB" w14:textId="77777777" w:rsidR="00210BE8" w:rsidRDefault="00210BE8" w:rsidP="00210BE8">
          <w:r>
            <w:t xml:space="preserve">Where projects in TRA’s pipeline for the </w:t>
          </w:r>
          <w:r w:rsidRPr="007334EE">
            <w:t>Tourism Investment Monitor</w:t>
          </w:r>
          <w:r>
            <w:t xml:space="preserve"> have been sourced from the </w:t>
          </w:r>
          <w:r w:rsidRPr="00505F94">
            <w:t xml:space="preserve">DAE </w:t>
          </w:r>
          <w:r>
            <w:t>or</w:t>
          </w:r>
          <w:r w:rsidRPr="00505F94">
            <w:t xml:space="preserve"> STR Global</w:t>
          </w:r>
          <w:r>
            <w:t xml:space="preserve"> databases, they are categorised into project phases </w:t>
          </w:r>
          <w:r w:rsidRPr="00505F94">
            <w:t>in the following way:</w:t>
          </w:r>
        </w:p>
        <w:p w14:paraId="063D480F" w14:textId="77777777" w:rsidR="00210BE8" w:rsidRPr="00505F94" w:rsidRDefault="00210BE8" w:rsidP="00210BE8">
          <w:pPr>
            <w:pStyle w:val="ListBullet"/>
            <w:spacing w:after="200" w:line="300" w:lineRule="exact"/>
            <w:contextualSpacing/>
          </w:pPr>
          <w:r>
            <w:t>p</w:t>
          </w:r>
          <w:r w:rsidRPr="00505F94">
            <w:t>roposed: includes projects identified as ‘possible’ (DAE), ‘unconfirmed’ (STR Global)</w:t>
          </w:r>
        </w:p>
        <w:p w14:paraId="7802203E" w14:textId="77777777" w:rsidR="00210BE8" w:rsidRPr="00505F94" w:rsidRDefault="00210BE8" w:rsidP="00210BE8">
          <w:pPr>
            <w:pStyle w:val="ListBullet"/>
            <w:spacing w:after="200" w:line="300" w:lineRule="exact"/>
            <w:contextualSpacing/>
          </w:pPr>
          <w:proofErr w:type="gramStart"/>
          <w:r>
            <w:t>p</w:t>
          </w:r>
          <w:r w:rsidRPr="00505F94">
            <w:t>lanning:</w:t>
          </w:r>
          <w:proofErr w:type="gramEnd"/>
          <w:r w:rsidRPr="00505F94">
            <w:t xml:space="preserve"> includes projects identified as ‘under consideration’ (DAE),</w:t>
          </w:r>
          <w:r w:rsidRPr="00580D61">
            <w:t xml:space="preserve"> </w:t>
          </w:r>
          <w:r w:rsidRPr="00505F94">
            <w:t>‘in consideration’ (STR Global)</w:t>
          </w:r>
          <w:r>
            <w:t>,</w:t>
          </w:r>
          <w:r w:rsidRPr="00505F94">
            <w:t xml:space="preserve"> ‘planning’ (STR Global), ‘final planning’ (STR Global), ‘committed’ (DAE) </w:t>
          </w:r>
        </w:p>
        <w:p w14:paraId="049BDE97" w14:textId="77777777" w:rsidR="00210BE8" w:rsidRPr="00505F94" w:rsidRDefault="00210BE8" w:rsidP="00210BE8">
          <w:pPr>
            <w:pStyle w:val="ListBullet"/>
            <w:spacing w:after="200" w:line="300" w:lineRule="exact"/>
            <w:contextualSpacing/>
          </w:pPr>
          <w:r>
            <w:t>u</w:t>
          </w:r>
          <w:r w:rsidRPr="00505F94">
            <w:t xml:space="preserve">nder </w:t>
          </w:r>
          <w:proofErr w:type="gramStart"/>
          <w:r>
            <w:t>c</w:t>
          </w:r>
          <w:r w:rsidRPr="00505F94">
            <w:t>onstruction:</w:t>
          </w:r>
          <w:proofErr w:type="gramEnd"/>
          <w:r w:rsidRPr="00505F94">
            <w:t xml:space="preserve"> includes projects identified as ‘under construction’ (DAE), ‘in construction’ (STR Global)</w:t>
          </w:r>
        </w:p>
        <w:p w14:paraId="6AB70844" w14:textId="77777777" w:rsidR="00210BE8" w:rsidRPr="00C11475" w:rsidRDefault="00210BE8" w:rsidP="00210BE8">
          <w:pPr>
            <w:pStyle w:val="ListBullet"/>
            <w:spacing w:after="200" w:line="300" w:lineRule="exact"/>
            <w:contextualSpacing/>
          </w:pPr>
          <w:r>
            <w:t>r</w:t>
          </w:r>
          <w:r w:rsidRPr="00505F94">
            <w:t xml:space="preserve">ecently </w:t>
          </w:r>
          <w:r>
            <w:t>o</w:t>
          </w:r>
          <w:r w:rsidRPr="00505F94">
            <w:t>pened: includes projects identified as ‘completed’ (DAE), ‘recently opened’ (STR Global).</w:t>
          </w:r>
        </w:p>
        <w:p w14:paraId="757C791E" w14:textId="77777777" w:rsidR="00342BCF" w:rsidRDefault="00342BCF">
          <w:pPr>
            <w:spacing w:before="0" w:after="160" w:line="259" w:lineRule="auto"/>
            <w:rPr>
              <w:rFonts w:eastAsia="SimSun" w:cs="Times New Roman"/>
              <w:bCs/>
              <w:color w:val="7A4282" w:themeColor="accent1"/>
              <w:sz w:val="32"/>
              <w:szCs w:val="28"/>
              <w:lang w:eastAsia="zh-CN"/>
            </w:rPr>
          </w:pPr>
          <w:bookmarkStart w:id="107" w:name="_Toc95805124"/>
          <w:bookmarkStart w:id="108" w:name="_Toc95899366"/>
          <w:r>
            <w:rPr>
              <w:b/>
              <w:bCs/>
              <w:color w:val="7A4282" w:themeColor="accent1"/>
              <w:sz w:val="32"/>
              <w:szCs w:val="28"/>
            </w:rPr>
            <w:br w:type="page"/>
          </w:r>
        </w:p>
        <w:p w14:paraId="0AC50880" w14:textId="07341E56" w:rsidR="00210BE8" w:rsidRPr="00D464A7" w:rsidRDefault="00210BE8" w:rsidP="00210BE8">
          <w:pPr>
            <w:pStyle w:val="Heading2"/>
            <w:rPr>
              <w:b w:val="0"/>
              <w:bCs/>
              <w:color w:val="7A4282" w:themeColor="accent1"/>
              <w:sz w:val="32"/>
              <w:szCs w:val="28"/>
            </w:rPr>
          </w:pPr>
          <w:r w:rsidRPr="00D464A7">
            <w:rPr>
              <w:b w:val="0"/>
              <w:bCs/>
              <w:color w:val="7A4282" w:themeColor="accent1"/>
              <w:sz w:val="32"/>
              <w:szCs w:val="28"/>
            </w:rPr>
            <w:lastRenderedPageBreak/>
            <w:t>Glossary</w:t>
          </w:r>
          <w:bookmarkEnd w:id="107"/>
          <w:bookmarkEnd w:id="108"/>
        </w:p>
        <w:p w14:paraId="43E3CA47" w14:textId="77777777" w:rsidR="00210BE8" w:rsidRPr="00AF7DB4" w:rsidRDefault="00210BE8" w:rsidP="00210BE8">
          <w:pPr>
            <w:pStyle w:val="Heading4"/>
          </w:pPr>
          <w:bookmarkStart w:id="109" w:name="_Toc95805125"/>
          <w:r w:rsidRPr="00AF7DB4">
            <w:t>Accommodation</w:t>
          </w:r>
          <w:bookmarkEnd w:id="109"/>
        </w:p>
        <w:p w14:paraId="14D3CCFA" w14:textId="77777777" w:rsidR="00210BE8" w:rsidRDefault="00210BE8" w:rsidP="00210BE8">
          <w:r>
            <w:t>Buildings primarily providing short-term or temporary accommodation on a commercial basis, including:</w:t>
          </w:r>
        </w:p>
        <w:p w14:paraId="1C6B5BBA" w14:textId="77777777" w:rsidR="00210BE8" w:rsidRDefault="00210BE8" w:rsidP="00210BE8">
          <w:pPr>
            <w:pStyle w:val="ListBullet"/>
            <w:spacing w:after="200" w:line="300" w:lineRule="exact"/>
            <w:contextualSpacing/>
          </w:pPr>
          <w:r>
            <w:t>self-contained, short-term apartments, for example serviced apartments</w:t>
          </w:r>
        </w:p>
        <w:p w14:paraId="5DAABE4B" w14:textId="77777777" w:rsidR="00210BE8" w:rsidRDefault="00210BE8" w:rsidP="00210BE8">
          <w:pPr>
            <w:pStyle w:val="ListBullet"/>
            <w:spacing w:after="200" w:line="300" w:lineRule="exact"/>
            <w:contextualSpacing/>
          </w:pPr>
          <w:r>
            <w:t>hotels that mainly provide accommodation, motels and guest houses, boarding houses and cabins</w:t>
          </w:r>
        </w:p>
        <w:p w14:paraId="7A532746" w14:textId="77777777" w:rsidR="00210BE8" w:rsidRDefault="00210BE8" w:rsidP="00210BE8">
          <w:pPr>
            <w:pStyle w:val="ListBullet"/>
            <w:spacing w:after="200" w:line="300" w:lineRule="exact"/>
            <w:contextualSpacing/>
          </w:pPr>
          <w:r>
            <w:t>other short-term accommodation including migrant hostels, youth hostels and lodges.</w:t>
          </w:r>
        </w:p>
        <w:p w14:paraId="63169513" w14:textId="77777777" w:rsidR="00210BE8" w:rsidRPr="00AF7DB4" w:rsidRDefault="00210BE8" w:rsidP="00210BE8">
          <w:pPr>
            <w:pStyle w:val="Heading4"/>
          </w:pPr>
          <w:bookmarkStart w:id="110" w:name="_Toc95805126"/>
          <w:r w:rsidRPr="00AF7DB4">
            <w:t>Arts, recreation and business services</w:t>
          </w:r>
          <w:bookmarkEnd w:id="110"/>
        </w:p>
        <w:p w14:paraId="7461E26D" w14:textId="77777777" w:rsidR="00210BE8" w:rsidRDefault="00210BE8" w:rsidP="00210BE8">
          <w:r>
            <w:t xml:space="preserve">The arts, recreation and business services sector </w:t>
          </w:r>
          <w:proofErr w:type="gramStart"/>
          <w:r>
            <w:t>includes</w:t>
          </w:r>
          <w:proofErr w:type="gramEnd"/>
          <w:r>
            <w:t xml:space="preserve"> the following entities:</w:t>
          </w:r>
        </w:p>
        <w:p w14:paraId="6A385858" w14:textId="77777777" w:rsidR="00210BE8" w:rsidRDefault="00210BE8" w:rsidP="00210BE8">
          <w:pPr>
            <w:pStyle w:val="ListBullet"/>
            <w:spacing w:after="200" w:line="300" w:lineRule="atLeast"/>
            <w:contextualSpacing/>
          </w:pPr>
          <w:r>
            <w:t>‘heritage activities’ such as museum, parks and garden operations</w:t>
          </w:r>
        </w:p>
        <w:p w14:paraId="0EA225C7" w14:textId="77777777" w:rsidR="00210BE8" w:rsidRDefault="00210BE8" w:rsidP="00210BE8">
          <w:pPr>
            <w:pStyle w:val="ListBullet"/>
            <w:spacing w:after="200" w:line="300" w:lineRule="atLeast"/>
            <w:contextualSpacing/>
          </w:pPr>
          <w:r>
            <w:t>‘creative and performing arts activities’ such as performing arts operations, creative artists, musicians, writers and performers, and performing art venue operations</w:t>
          </w:r>
        </w:p>
        <w:p w14:paraId="7D8FF5CB" w14:textId="77777777" w:rsidR="00210BE8" w:rsidRDefault="00210BE8" w:rsidP="00210BE8">
          <w:pPr>
            <w:pStyle w:val="ListBullet"/>
            <w:spacing w:after="200" w:line="300" w:lineRule="atLeast"/>
            <w:contextualSpacing/>
          </w:pPr>
          <w:r>
            <w:t xml:space="preserve">‘sports and recreation activities’ such as </w:t>
          </w:r>
        </w:p>
        <w:p w14:paraId="16D556EC" w14:textId="77777777" w:rsidR="00210BE8" w:rsidRDefault="00210BE8" w:rsidP="00210BE8">
          <w:pPr>
            <w:pStyle w:val="ListBullet2"/>
            <w:spacing w:after="200" w:line="300" w:lineRule="atLeast"/>
            <w:contextualSpacing/>
          </w:pPr>
          <w:r>
            <w:t>health and fitness centre and gymnasium operations</w:t>
          </w:r>
        </w:p>
        <w:p w14:paraId="11745E0D" w14:textId="77777777" w:rsidR="00210BE8" w:rsidRDefault="00210BE8" w:rsidP="00210BE8">
          <w:pPr>
            <w:pStyle w:val="ListBullet2"/>
            <w:spacing w:after="200" w:line="300" w:lineRule="atLeast"/>
            <w:contextualSpacing/>
          </w:pPr>
          <w:r>
            <w:t xml:space="preserve">sports and physical </w:t>
          </w:r>
          <w:r w:rsidRPr="00905F83">
            <w:t>recreation</w:t>
          </w:r>
          <w:r>
            <w:t xml:space="preserve"> clubs and sports professionals</w:t>
          </w:r>
        </w:p>
        <w:p w14:paraId="3848C2AF" w14:textId="77777777" w:rsidR="00210BE8" w:rsidRDefault="00210BE8" w:rsidP="00210BE8">
          <w:pPr>
            <w:pStyle w:val="ListBullet2"/>
            <w:spacing w:after="200" w:line="300" w:lineRule="atLeast"/>
            <w:contextualSpacing/>
          </w:pPr>
          <w:r>
            <w:t>sports and physical recreation venue, grounds and facilities operations</w:t>
          </w:r>
        </w:p>
        <w:p w14:paraId="5A61829F" w14:textId="77777777" w:rsidR="00210BE8" w:rsidRDefault="00210BE8" w:rsidP="00210BE8">
          <w:pPr>
            <w:pStyle w:val="ListBullet2"/>
            <w:spacing w:after="200" w:line="300" w:lineRule="atLeast"/>
            <w:contextualSpacing/>
          </w:pPr>
          <w:r>
            <w:t>sports and physical recreation administrative activities</w:t>
          </w:r>
        </w:p>
        <w:p w14:paraId="69DCFFCD" w14:textId="77777777" w:rsidR="00210BE8" w:rsidRDefault="00210BE8" w:rsidP="00210BE8">
          <w:pPr>
            <w:pStyle w:val="ListBullet2"/>
            <w:spacing w:after="200" w:line="300" w:lineRule="atLeast"/>
            <w:contextualSpacing/>
          </w:pPr>
          <w:r>
            <w:t>horse and dog racing administration and track operation</w:t>
          </w:r>
        </w:p>
        <w:p w14:paraId="5E4E46D8" w14:textId="77777777" w:rsidR="00210BE8" w:rsidRDefault="00210BE8" w:rsidP="00210BE8">
          <w:pPr>
            <w:pStyle w:val="ListBullet2"/>
            <w:spacing w:after="200" w:line="300" w:lineRule="atLeast"/>
            <w:contextualSpacing/>
          </w:pPr>
          <w:r>
            <w:t>other horse and dog racing activities</w:t>
          </w:r>
        </w:p>
        <w:p w14:paraId="7C00B178" w14:textId="77777777" w:rsidR="00210BE8" w:rsidRDefault="00210BE8" w:rsidP="00210BE8">
          <w:pPr>
            <w:pStyle w:val="ListBullet2"/>
            <w:spacing w:after="200" w:line="300" w:lineRule="atLeast"/>
            <w:contextualSpacing/>
          </w:pPr>
          <w:r>
            <w:t xml:space="preserve">amusement park and </w:t>
          </w:r>
          <w:r w:rsidRPr="00905F83">
            <w:t>centre</w:t>
          </w:r>
          <w:r>
            <w:t xml:space="preserve"> operations</w:t>
          </w:r>
        </w:p>
        <w:p w14:paraId="41A5431A" w14:textId="77777777" w:rsidR="00210BE8" w:rsidRDefault="00210BE8" w:rsidP="00210BE8">
          <w:pPr>
            <w:pStyle w:val="ListBullet2"/>
            <w:spacing w:after="200" w:line="300" w:lineRule="atLeast"/>
            <w:contextualSpacing/>
          </w:pPr>
          <w:r>
            <w:t>amusement and other recreational activities not elsewhere classified</w:t>
          </w:r>
        </w:p>
        <w:p w14:paraId="7C0C15AE" w14:textId="77777777" w:rsidR="00210BE8" w:rsidRDefault="00210BE8" w:rsidP="00210BE8">
          <w:pPr>
            <w:pStyle w:val="ListBullet"/>
            <w:spacing w:after="200" w:line="300" w:lineRule="atLeast"/>
            <w:contextualSpacing/>
          </w:pPr>
          <w:r>
            <w:t>‘gambling activities’ such as casino operation, lottery operation and other gaming activities</w:t>
          </w:r>
        </w:p>
        <w:p w14:paraId="76A8C139" w14:textId="77777777" w:rsidR="00210BE8" w:rsidRDefault="00210BE8" w:rsidP="00210BE8">
          <w:pPr>
            <w:pStyle w:val="ListBullet"/>
            <w:spacing w:after="200" w:line="300" w:lineRule="atLeast"/>
            <w:contextualSpacing/>
          </w:pPr>
          <w:r>
            <w:t>‘business services’ such as facilities to host conferences, conventions, or other business services.</w:t>
          </w:r>
        </w:p>
        <w:p w14:paraId="4309A237" w14:textId="77777777" w:rsidR="00210BE8" w:rsidRPr="00AF7DB4" w:rsidRDefault="00210BE8" w:rsidP="00210BE8">
          <w:pPr>
            <w:pStyle w:val="Heading4"/>
          </w:pPr>
          <w:bookmarkStart w:id="111" w:name="_Toc95805127"/>
          <w:r w:rsidRPr="00AF7DB4">
            <w:t>Aviation</w:t>
          </w:r>
          <w:bookmarkEnd w:id="111"/>
        </w:p>
        <w:p w14:paraId="63A0F138" w14:textId="77777777" w:rsidR="00210BE8" w:rsidRDefault="00210BE8" w:rsidP="00210BE8">
          <w:r>
            <w:t>The aviation sector refers to the infrastructure required to support national and international passenger aircraft movements between domestic and international airports.</w:t>
          </w:r>
        </w:p>
        <w:p w14:paraId="3052D7FF" w14:textId="77777777" w:rsidR="00210BE8" w:rsidRPr="00AF7DB4" w:rsidRDefault="00210BE8" w:rsidP="00210BE8">
          <w:pPr>
            <w:pStyle w:val="Heading4"/>
          </w:pPr>
          <w:bookmarkStart w:id="112" w:name="_Toc95805128"/>
          <w:r w:rsidRPr="00AF7DB4">
            <w:t>Deferred</w:t>
          </w:r>
          <w:bookmarkEnd w:id="112"/>
        </w:p>
        <w:p w14:paraId="753525A1" w14:textId="77777777" w:rsidR="00210BE8" w:rsidRDefault="00210BE8" w:rsidP="00210BE8">
          <w:r w:rsidRPr="00803E8C">
            <w:t>Deferred projects are those that have exited the pipeline due to the investor placing the project on hold. These projects may re-enter the pipeline at a later stage if the investor chooses to proceed with the project.</w:t>
          </w:r>
        </w:p>
        <w:p w14:paraId="12F18315" w14:textId="77777777" w:rsidR="00210BE8" w:rsidRPr="00AF7DB4" w:rsidRDefault="00210BE8" w:rsidP="00210BE8">
          <w:pPr>
            <w:pStyle w:val="Heading4"/>
          </w:pPr>
          <w:bookmarkStart w:id="113" w:name="_Toc95805129"/>
          <w:r w:rsidRPr="00AF7DB4">
            <w:t>Planning</w:t>
          </w:r>
          <w:bookmarkEnd w:id="113"/>
        </w:p>
        <w:p w14:paraId="563E7E31" w14:textId="77777777" w:rsidR="00210BE8" w:rsidRDefault="00210BE8" w:rsidP="00210BE8">
          <w:r>
            <w:t>Includes</w:t>
          </w:r>
          <w:r w:rsidRPr="00803E8C">
            <w:t xml:space="preserve"> the value of projects that have been submitted for approval. This includes</w:t>
          </w:r>
          <w:r>
            <w:t>:</w:t>
          </w:r>
        </w:p>
        <w:p w14:paraId="367BF52B" w14:textId="77777777" w:rsidR="00210BE8" w:rsidRDefault="00210BE8" w:rsidP="00210BE8">
          <w:pPr>
            <w:pStyle w:val="ListBullet"/>
            <w:spacing w:after="200" w:line="300" w:lineRule="exact"/>
            <w:contextualSpacing/>
          </w:pPr>
          <w:r w:rsidRPr="00803E8C">
            <w:t>projects already under consideration</w:t>
          </w:r>
        </w:p>
        <w:p w14:paraId="4C794484" w14:textId="77777777" w:rsidR="00210BE8" w:rsidRDefault="00210BE8" w:rsidP="00210BE8">
          <w:pPr>
            <w:pStyle w:val="ListBullet"/>
            <w:spacing w:after="200" w:line="300" w:lineRule="exact"/>
            <w:contextualSpacing/>
          </w:pPr>
          <w:r w:rsidRPr="00803E8C">
            <w:t>projects with approval that have not yet commenced works</w:t>
          </w:r>
        </w:p>
        <w:p w14:paraId="63466A3F" w14:textId="77777777" w:rsidR="00210BE8" w:rsidRDefault="00210BE8" w:rsidP="00210BE8">
          <w:pPr>
            <w:pStyle w:val="ListBullet"/>
            <w:spacing w:after="200" w:line="300" w:lineRule="exact"/>
            <w:contextualSpacing/>
          </w:pPr>
          <w:r w:rsidRPr="00803E8C">
            <w:lastRenderedPageBreak/>
            <w:t>other projects that have plans submitted to the local council or appropriate body</w:t>
          </w:r>
          <w:r>
            <w:t>.</w:t>
          </w:r>
        </w:p>
        <w:p w14:paraId="1F66DB1D" w14:textId="77777777" w:rsidR="00210BE8" w:rsidRPr="00AF7DB4" w:rsidRDefault="00210BE8" w:rsidP="00210BE8">
          <w:pPr>
            <w:pStyle w:val="Heading4"/>
          </w:pPr>
          <w:bookmarkStart w:id="114" w:name="_Toc95805130"/>
          <w:r w:rsidRPr="00AF7DB4">
            <w:t>Proposed</w:t>
          </w:r>
          <w:bookmarkEnd w:id="114"/>
        </w:p>
        <w:p w14:paraId="47F0B469" w14:textId="77777777" w:rsidR="00210BE8" w:rsidRDefault="00210BE8" w:rsidP="00210BE8">
          <w:r>
            <w:t>P</w:t>
          </w:r>
          <w:r w:rsidRPr="00803E8C">
            <w:t xml:space="preserve">rojects that are still possibilities or proposals at this stage. This includes projects </w:t>
          </w:r>
          <w:r>
            <w:t xml:space="preserve">that </w:t>
          </w:r>
          <w:r w:rsidRPr="00803E8C">
            <w:t>have not yet submitted council plans or have a project under council consideration</w:t>
          </w:r>
          <w:r>
            <w:t>.</w:t>
          </w:r>
        </w:p>
        <w:p w14:paraId="784607EB" w14:textId="77777777" w:rsidR="00210BE8" w:rsidRPr="00AF7DB4" w:rsidRDefault="00210BE8" w:rsidP="00210BE8">
          <w:pPr>
            <w:pStyle w:val="Heading4"/>
          </w:pPr>
          <w:bookmarkStart w:id="115" w:name="_Toc95805131"/>
          <w:r w:rsidRPr="00AF7DB4">
            <w:t>Regional areas</w:t>
          </w:r>
          <w:bookmarkEnd w:id="115"/>
        </w:p>
        <w:p w14:paraId="31AAB22A" w14:textId="77777777" w:rsidR="00210BE8" w:rsidRDefault="00210BE8" w:rsidP="00210BE8">
          <w:r w:rsidRPr="00957CF5">
            <w:t>The areas of a state or territory excluding its capital city tourism region</w:t>
          </w:r>
          <w:r>
            <w:t xml:space="preserve"> and excluding the Gold Coast tourism region</w:t>
          </w:r>
          <w:r w:rsidRPr="00957CF5">
            <w:t>.</w:t>
          </w:r>
          <w:r>
            <w:t xml:space="preserve"> </w:t>
          </w:r>
        </w:p>
        <w:p w14:paraId="7C81CF65" w14:textId="77777777" w:rsidR="00210BE8" w:rsidRPr="00AF7DB4" w:rsidRDefault="00210BE8" w:rsidP="00210BE8">
          <w:pPr>
            <w:pStyle w:val="Heading4"/>
          </w:pPr>
          <w:bookmarkStart w:id="116" w:name="_Toc95805132"/>
          <w:r w:rsidRPr="00AF7DB4">
            <w:t>Rooms</w:t>
          </w:r>
          <w:bookmarkEnd w:id="116"/>
        </w:p>
        <w:p w14:paraId="1AFE433D" w14:textId="77777777" w:rsidR="00210BE8" w:rsidRDefault="00210BE8" w:rsidP="00210BE8">
          <w:r w:rsidRPr="00AF770A">
            <w:t>Rooms available for accommodating short-term paying guests at each hotel and resort, motel, guest house, and serviced apartment during the survey period. Units, apartments and suites are treated as rooms for these types of establishments.</w:t>
          </w:r>
        </w:p>
        <w:p w14:paraId="20B932A6" w14:textId="77777777" w:rsidR="00210BE8" w:rsidRPr="00AF7DB4" w:rsidRDefault="00210BE8" w:rsidP="00210BE8">
          <w:pPr>
            <w:pStyle w:val="Heading4"/>
          </w:pPr>
          <w:bookmarkStart w:id="117" w:name="_Toc95805134"/>
          <w:r w:rsidRPr="00AF7DB4">
            <w:t>Under construction</w:t>
          </w:r>
          <w:bookmarkEnd w:id="117"/>
        </w:p>
        <w:p w14:paraId="7BD8D7A1" w14:textId="77777777" w:rsidR="00210BE8" w:rsidRPr="00CE7369" w:rsidRDefault="00210BE8" w:rsidP="00210BE8">
          <w:r>
            <w:t>P</w:t>
          </w:r>
          <w:r w:rsidRPr="00AF770A">
            <w:t>rojects that have commenced building. A project will remain in this phase until its official opening.</w:t>
          </w:r>
        </w:p>
        <w:p w14:paraId="48D526B6" w14:textId="77777777" w:rsidR="00210BE8" w:rsidRPr="00BC57FC" w:rsidRDefault="00210BE8" w:rsidP="00210BE8">
          <w:pPr>
            <w:rPr>
              <w:b/>
              <w:bCs/>
              <w:color w:val="000000"/>
              <w:sz w:val="26"/>
              <w:szCs w:val="26"/>
            </w:rPr>
          </w:pPr>
        </w:p>
        <w:p w14:paraId="343AEB43" w14:textId="77777777" w:rsidR="00210BE8" w:rsidRDefault="00210BE8" w:rsidP="00210BE8">
          <w:pPr>
            <w:tabs>
              <w:tab w:val="left" w:pos="3690"/>
            </w:tabs>
          </w:pPr>
          <w:r>
            <w:tab/>
          </w:r>
        </w:p>
        <w:p w14:paraId="53602655" w14:textId="77777777" w:rsidR="00210BE8" w:rsidRDefault="00210BE8" w:rsidP="00210BE8">
          <w:pPr>
            <w:tabs>
              <w:tab w:val="left" w:pos="3690"/>
            </w:tabs>
          </w:pPr>
        </w:p>
        <w:bookmarkEnd w:id="12"/>
        <w:p w14:paraId="2AAB5F2D" w14:textId="77777777" w:rsidR="00210BE8" w:rsidRPr="00595005" w:rsidRDefault="00210BE8" w:rsidP="00210BE8">
          <w:pPr>
            <w:tabs>
              <w:tab w:val="left" w:pos="3690"/>
            </w:tabs>
          </w:pPr>
        </w:p>
        <w:p w14:paraId="442B8863" w14:textId="77777777" w:rsidR="00210BE8" w:rsidRDefault="00210BE8" w:rsidP="00210BE8">
          <w:pPr>
            <w:spacing w:before="0" w:after="160" w:line="259" w:lineRule="auto"/>
          </w:pPr>
          <w:r>
            <w:rPr>
              <w:b/>
              <w:bCs/>
            </w:rPr>
            <w:br w:type="page"/>
          </w:r>
        </w:p>
        <w:p w14:paraId="05F1511F" w14:textId="23D20F95" w:rsidR="003A58AB" w:rsidRDefault="003A58AB">
          <w:pPr>
            <w:sectPr w:rsidR="003A58AB" w:rsidSect="009E6DB3">
              <w:footerReference w:type="default" r:id="rId27"/>
              <w:headerReference w:type="first" r:id="rId28"/>
              <w:footerReference w:type="first" r:id="rId29"/>
              <w:pgSz w:w="11906" w:h="16838"/>
              <w:pgMar w:top="1843" w:right="945" w:bottom="993" w:left="993" w:header="708" w:footer="362" w:gutter="0"/>
              <w:pgNumType w:start="0"/>
              <w:cols w:space="708"/>
              <w:titlePg/>
              <w:docGrid w:linePitch="360"/>
            </w:sectPr>
          </w:pPr>
        </w:p>
        <w:p w14:paraId="32BA3A4F" w14:textId="77777777" w:rsidR="00210BE8" w:rsidRDefault="00D85051" w:rsidP="00210BE8">
          <w:pPr>
            <w:pStyle w:val="Heading1"/>
          </w:pPr>
        </w:p>
      </w:sdtContent>
    </w:sdt>
    <w:p w14:paraId="769A7296" w14:textId="5111CB89" w:rsidR="004767E6" w:rsidRPr="00245E86" w:rsidRDefault="00245E86" w:rsidP="00245E86">
      <w:pPr>
        <w:tabs>
          <w:tab w:val="left" w:pos="6244"/>
        </w:tabs>
      </w:pPr>
      <w:r>
        <w:tab/>
      </w:r>
    </w:p>
    <w:sectPr w:rsidR="004767E6" w:rsidRPr="00245E86" w:rsidSect="00501469">
      <w:headerReference w:type="first" r:id="rId30"/>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86F2" w14:textId="77777777" w:rsidR="00F10485" w:rsidRDefault="00F10485" w:rsidP="007B0021">
      <w:r>
        <w:separator/>
      </w:r>
    </w:p>
    <w:p w14:paraId="12C3F0EC" w14:textId="77777777" w:rsidR="00F10485" w:rsidRDefault="00F10485" w:rsidP="007B0021"/>
  </w:endnote>
  <w:endnote w:type="continuationSeparator" w:id="0">
    <w:p w14:paraId="116C0E0D" w14:textId="77777777" w:rsidR="00F10485" w:rsidRDefault="00F10485" w:rsidP="007B0021">
      <w:r>
        <w:continuationSeparator/>
      </w:r>
    </w:p>
    <w:p w14:paraId="7963CCD5" w14:textId="77777777" w:rsidR="00F10485" w:rsidRDefault="00F10485"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U Sans BETA Text Medium">
    <w:altName w:val="AU Sans BETA Text Medium"/>
    <w:panose1 w:val="00000000000000000000"/>
    <w:charset w:val="00"/>
    <w:family w:val="swiss"/>
    <w:notTrueType/>
    <w:pitch w:val="default"/>
    <w:sig w:usb0="00000003" w:usb1="00000000" w:usb2="00000000" w:usb3="00000000" w:csb0="00000001" w:csb1="00000000"/>
  </w:font>
  <w:font w:name="AU Sans BETA Text Light">
    <w:altName w:val="AU Sans BETA Text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44404" w14:textId="2D2EC0C6" w:rsidR="00F10485" w:rsidRPr="003D0704" w:rsidRDefault="00F10485" w:rsidP="003D0704">
    <w:pPr>
      <w:pStyle w:val="Footer"/>
      <w:tabs>
        <w:tab w:val="clear" w:pos="4513"/>
        <w:tab w:val="clear" w:pos="9026"/>
        <w:tab w:val="right" w:pos="9923"/>
      </w:tabs>
      <w:spacing w:before="0"/>
      <w:rPr>
        <w:color w:val="7A4282" w:themeColor="accent1"/>
        <w:sz w:val="14"/>
        <w:szCs w:val="14"/>
      </w:rPr>
    </w:pPr>
    <w:r w:rsidRPr="003D0704">
      <w:rPr>
        <w:noProof/>
        <w:color w:val="7A4282" w:themeColor="accent1"/>
        <w:sz w:val="14"/>
        <w:szCs w:val="14"/>
        <w:lang w:eastAsia="en-AU"/>
      </w:rPr>
      <mc:AlternateContent>
        <mc:Choice Requires="wps">
          <w:drawing>
            <wp:anchor distT="0" distB="0" distL="114300" distR="114300" simplePos="0" relativeHeight="251660288" behindDoc="0" locked="0" layoutInCell="1" allowOverlap="1" wp14:anchorId="17AEC4D1" wp14:editId="26C1404C">
              <wp:simplePos x="0" y="0"/>
              <wp:positionH relativeFrom="column">
                <wp:posOffset>-23495</wp:posOffset>
              </wp:positionH>
              <wp:positionV relativeFrom="paragraph">
                <wp:posOffset>10697</wp:posOffset>
              </wp:positionV>
              <wp:extent cx="6310386" cy="0"/>
              <wp:effectExtent l="0" t="0" r="0" b="0"/>
              <wp:wrapNone/>
              <wp:docPr id="184" name="Straight Connector 184"/>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14EA3" id="Straight Connector 18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7Q2AEAABUEAAAOAAAAZHJzL2Uyb0RvYy54bWysU8lu2zAQvRfoPxC815KT1nAFyzk4SC9F&#10;azTpBzDU0CLADUPWkv++Q8pWgm5Agl4ozfJm5j0ONzejNewIGLV3LV8uas7ASd9pd2j594e7d2vO&#10;YhKuE8Y7aPkJIr/Zvn2zGUIDV773pgNkVMTFZggt71MKTVVF2YMVceEDOAoqj1YkMvFQdSgGqm5N&#10;dVXXq2rw2AX0EmIk7+0U5NtSXymQ6atSERIzLafZUjmxnI/5rLYb0RxQhF7L8xjiFVNYoR01nUvd&#10;iiTYD9S/lbJaoo9epYX0tvJKaQmFA7FZ1r+wue9FgMKFxIlhlin+v7Lyy3GPTHd0d+v3nDlh6ZLu&#10;Ewp96BPbeedIQo8sR0mrIcSGIDu3x7MVwx4z8VGhzV+ixMai72nWF8bEJDlX18v6er3iTF5i1RMw&#10;YEyfwFuWf1putMvURSOOn2OiZpR6Sclu49hAQ3+sP9QlLXqjuzttTA6W9YGdQXYUdPFCSnBpmQlQ&#10;lWeZZBlHzkxrIlL+0snA1OMbKBKHRl9OTfJa/q2ucZSdYYqmmIHn6f4FPOdnKJSVfQl4RpTO3qUZ&#10;bLXz+Kex03iRQk35FwUm3lmCR9+dyhUXaWj3inLnd5KX+7ld4E+vefsTAAD//wMAUEsDBBQABgAI&#10;AAAAIQBIfgkY2QAAAAYBAAAPAAAAZHJzL2Rvd25yZXYueG1sTI5BS8NAEIXvgv9hGcFbu6mC2jSb&#10;ohHxIoipeN5mp0lwdyZkt2n8945e9DS8eY/3vmI7B68mHGPPZGC1zEAhNex6ag28754Wd6BisuSs&#10;Z0IDXxhhW56fFTZ3fKI3nOrUKimhmFsDXUpDrnVsOgw2LnlAEu/AY7BJ5NhqN9qTlAevr7LsRgfb&#10;kyx0dsCqw+azPgYD+kU/PPOr54+q74LnXT3Zx8qYy4v5fgMq4Zz+wvCDL+hQCtOej+Si8gYW17eS&#10;lL8csdfrbAVq/6t1Wej/+OU3AAAA//8DAFBLAQItABQABgAIAAAAIQC2gziS/gAAAOEBAAATAAAA&#10;AAAAAAAAAAAAAAAAAABbQ29udGVudF9UeXBlc10ueG1sUEsBAi0AFAAGAAgAAAAhADj9If/WAAAA&#10;lAEAAAsAAAAAAAAAAAAAAAAALwEAAF9yZWxzLy5yZWxzUEsBAi0AFAAGAAgAAAAhAHrEHtDYAQAA&#10;FQQAAA4AAAAAAAAAAAAAAAAALgIAAGRycy9lMm9Eb2MueG1sUEsBAi0AFAAGAAgAAAAhAEh+CRjZ&#10;AAAABgEAAA8AAAAAAAAAAAAAAAAAMgQAAGRycy9kb3ducmV2LnhtbFBLBQYAAAAABAAEAPMAAAA4&#10;BQAAAAA=&#10;" strokecolor="#7a4282 [3204]" strokeweight="1.5pt">
              <v:stroke joinstyle="miter"/>
            </v:line>
          </w:pict>
        </mc:Fallback>
      </mc:AlternateContent>
    </w:r>
    <w:r>
      <w:rPr>
        <w:color w:val="7A4282" w:themeColor="accent1"/>
        <w:sz w:val="14"/>
        <w:szCs w:val="14"/>
      </w:rPr>
      <w:t>Tourism Investment Monitor 2020-21</w:t>
    </w:r>
    <w:r>
      <w:rPr>
        <w:color w:val="7A4282" w:themeColor="accent1"/>
        <w:sz w:val="14"/>
        <w:szCs w:val="14"/>
      </w:rPr>
      <w:tab/>
    </w:r>
    <w:r>
      <w:rPr>
        <w:color w:val="7A4282" w:themeColor="accent1"/>
        <w:sz w:val="14"/>
        <w:szCs w:val="14"/>
      </w:rPr>
      <w:fldChar w:fldCharType="begin"/>
    </w:r>
    <w:r>
      <w:rPr>
        <w:color w:val="7A4282" w:themeColor="accent1"/>
        <w:sz w:val="14"/>
        <w:szCs w:val="14"/>
      </w:rPr>
      <w:instrText xml:space="preserve"> PAGE   \* MERGEFORMAT </w:instrText>
    </w:r>
    <w:r>
      <w:rPr>
        <w:color w:val="7A4282" w:themeColor="accent1"/>
        <w:sz w:val="14"/>
        <w:szCs w:val="14"/>
      </w:rPr>
      <w:fldChar w:fldCharType="separate"/>
    </w:r>
    <w:r>
      <w:rPr>
        <w:noProof/>
        <w:color w:val="7A4282" w:themeColor="accent1"/>
        <w:sz w:val="14"/>
        <w:szCs w:val="14"/>
      </w:rPr>
      <w:t>1</w:t>
    </w:r>
    <w:r>
      <w:rPr>
        <w:color w:val="7A4282" w:themeColor="accent1"/>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301D8" w14:textId="77777777" w:rsidR="00F10485" w:rsidRPr="003D0704" w:rsidRDefault="00F10485" w:rsidP="003D0704">
    <w:pPr>
      <w:pStyle w:val="Footer"/>
      <w:tabs>
        <w:tab w:val="clear" w:pos="4513"/>
        <w:tab w:val="clear" w:pos="9026"/>
        <w:tab w:val="center" w:pos="0"/>
        <w:tab w:val="right" w:pos="9923"/>
      </w:tabs>
      <w:spacing w:before="0"/>
      <w:rPr>
        <w:color w:val="7A4282" w:themeColor="accent1"/>
        <w:sz w:val="14"/>
        <w:szCs w:val="14"/>
      </w:rPr>
    </w:pPr>
    <w:r w:rsidRPr="003D0704">
      <w:rPr>
        <w:color w:val="7A4282" w:themeColor="accent1"/>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907E3" w14:textId="77777777" w:rsidR="00F10485" w:rsidRDefault="00F10485" w:rsidP="007B0021">
      <w:r>
        <w:separator/>
      </w:r>
    </w:p>
    <w:p w14:paraId="26604A49" w14:textId="77777777" w:rsidR="00F10485" w:rsidRDefault="00F10485" w:rsidP="007B0021"/>
  </w:footnote>
  <w:footnote w:type="continuationSeparator" w:id="0">
    <w:p w14:paraId="66989261" w14:textId="77777777" w:rsidR="00F10485" w:rsidRDefault="00F10485" w:rsidP="007B0021">
      <w:r>
        <w:continuationSeparator/>
      </w:r>
    </w:p>
    <w:p w14:paraId="0634862F" w14:textId="77777777" w:rsidR="00F10485" w:rsidRDefault="00F10485" w:rsidP="007B0021"/>
  </w:footnote>
  <w:footnote w:id="1">
    <w:p w14:paraId="7C68850A" w14:textId="6A9EFED8" w:rsidR="00F10485" w:rsidRDefault="00F10485" w:rsidP="00210BE8">
      <w:pPr>
        <w:pStyle w:val="FootnoteText"/>
      </w:pPr>
      <w:r>
        <w:rPr>
          <w:rStyle w:val="FootnoteReference"/>
        </w:rPr>
        <w:footnoteRef/>
      </w:r>
      <w:r>
        <w:t xml:space="preserve"> The number of rooms is not always available for projects, particularly newly announced projects. Consequently, the estimated number of rooms reported here is likely to be an underestimation. Of the 21 new projects, there </w:t>
      </w:r>
      <w:r w:rsidR="00765897">
        <w:t>were</w:t>
      </w:r>
      <w:r>
        <w:t xml:space="preserve"> no room numbers available for 6 of the projects at the time the </w:t>
      </w:r>
      <w:r w:rsidR="00765897">
        <w:t>T</w:t>
      </w:r>
      <w:r>
        <w:t xml:space="preserve">ourism </w:t>
      </w:r>
      <w:r w:rsidR="00765897">
        <w:t>I</w:t>
      </w:r>
      <w:r>
        <w:t xml:space="preserve">nvestment </w:t>
      </w:r>
      <w:r w:rsidR="00765897">
        <w:t>M</w:t>
      </w:r>
      <w:r>
        <w:t xml:space="preserve">onitor 2020-21 was finalised.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ED564" w14:textId="77777777" w:rsidR="00F10485" w:rsidRDefault="00F10485" w:rsidP="007B0021">
    <w:pPr>
      <w:pStyle w:val="Header"/>
    </w:pPr>
  </w:p>
  <w:p w14:paraId="196D3FF0" w14:textId="77777777" w:rsidR="00F10485" w:rsidRDefault="00F10485" w:rsidP="007B00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313F9" w14:textId="77777777" w:rsidR="00F10485" w:rsidRDefault="00F10485" w:rsidP="007B0021">
    <w:pPr>
      <w:pStyle w:val="Header"/>
    </w:pPr>
  </w:p>
  <w:p w14:paraId="1CF22FDF" w14:textId="77777777" w:rsidR="00F10485" w:rsidRDefault="00F10485"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C3FAD"/>
    <w:multiLevelType w:val="hybridMultilevel"/>
    <w:tmpl w:val="07A47E4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3"/>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E8"/>
    <w:rsid w:val="00024BCC"/>
    <w:rsid w:val="00061358"/>
    <w:rsid w:val="00086305"/>
    <w:rsid w:val="000E7E86"/>
    <w:rsid w:val="00117092"/>
    <w:rsid w:val="0012425F"/>
    <w:rsid w:val="00147D40"/>
    <w:rsid w:val="00164B77"/>
    <w:rsid w:val="001E186F"/>
    <w:rsid w:val="001F603E"/>
    <w:rsid w:val="00202C83"/>
    <w:rsid w:val="00210BE8"/>
    <w:rsid w:val="00245E86"/>
    <w:rsid w:val="00253226"/>
    <w:rsid w:val="002535CA"/>
    <w:rsid w:val="002560A6"/>
    <w:rsid w:val="00261F28"/>
    <w:rsid w:val="002749C0"/>
    <w:rsid w:val="0028112D"/>
    <w:rsid w:val="00282C92"/>
    <w:rsid w:val="0028696F"/>
    <w:rsid w:val="0029071D"/>
    <w:rsid w:val="00292C9B"/>
    <w:rsid w:val="002C1F51"/>
    <w:rsid w:val="002E309C"/>
    <w:rsid w:val="002E7D8B"/>
    <w:rsid w:val="002F50CF"/>
    <w:rsid w:val="00321E47"/>
    <w:rsid w:val="0032513D"/>
    <w:rsid w:val="00326B31"/>
    <w:rsid w:val="00342BCF"/>
    <w:rsid w:val="00390F9A"/>
    <w:rsid w:val="003956A4"/>
    <w:rsid w:val="003A58AB"/>
    <w:rsid w:val="003C3B0A"/>
    <w:rsid w:val="003D0704"/>
    <w:rsid w:val="003D65E7"/>
    <w:rsid w:val="003E38E3"/>
    <w:rsid w:val="003E5497"/>
    <w:rsid w:val="004122E0"/>
    <w:rsid w:val="00414084"/>
    <w:rsid w:val="0043062E"/>
    <w:rsid w:val="0045192E"/>
    <w:rsid w:val="00460A41"/>
    <w:rsid w:val="004767E6"/>
    <w:rsid w:val="004C6441"/>
    <w:rsid w:val="004D06AF"/>
    <w:rsid w:val="004D6F59"/>
    <w:rsid w:val="00501469"/>
    <w:rsid w:val="00561542"/>
    <w:rsid w:val="00571BDC"/>
    <w:rsid w:val="0057619A"/>
    <w:rsid w:val="005A0486"/>
    <w:rsid w:val="005A6F23"/>
    <w:rsid w:val="005D3E5E"/>
    <w:rsid w:val="005F06FD"/>
    <w:rsid w:val="0065148D"/>
    <w:rsid w:val="00664683"/>
    <w:rsid w:val="00694AAD"/>
    <w:rsid w:val="00696F9E"/>
    <w:rsid w:val="006E5730"/>
    <w:rsid w:val="006F7525"/>
    <w:rsid w:val="00765897"/>
    <w:rsid w:val="00774485"/>
    <w:rsid w:val="00776A9A"/>
    <w:rsid w:val="0078435A"/>
    <w:rsid w:val="00792928"/>
    <w:rsid w:val="007A0FC3"/>
    <w:rsid w:val="007B0021"/>
    <w:rsid w:val="00817F5B"/>
    <w:rsid w:val="008407EC"/>
    <w:rsid w:val="008514EC"/>
    <w:rsid w:val="00857A0A"/>
    <w:rsid w:val="00862E61"/>
    <w:rsid w:val="00865233"/>
    <w:rsid w:val="00877D9B"/>
    <w:rsid w:val="008B6033"/>
    <w:rsid w:val="008B7AC6"/>
    <w:rsid w:val="008F4FD7"/>
    <w:rsid w:val="008F765E"/>
    <w:rsid w:val="00904581"/>
    <w:rsid w:val="00921435"/>
    <w:rsid w:val="0092648B"/>
    <w:rsid w:val="0094463A"/>
    <w:rsid w:val="00951286"/>
    <w:rsid w:val="0096640D"/>
    <w:rsid w:val="0097015D"/>
    <w:rsid w:val="009824AC"/>
    <w:rsid w:val="0098379B"/>
    <w:rsid w:val="0098599E"/>
    <w:rsid w:val="00996B27"/>
    <w:rsid w:val="009C1C8C"/>
    <w:rsid w:val="009D6B24"/>
    <w:rsid w:val="009D70B3"/>
    <w:rsid w:val="009E1D4B"/>
    <w:rsid w:val="009E6DB3"/>
    <w:rsid w:val="00A00806"/>
    <w:rsid w:val="00A80680"/>
    <w:rsid w:val="00AC0F96"/>
    <w:rsid w:val="00AC40CD"/>
    <w:rsid w:val="00AC4486"/>
    <w:rsid w:val="00AD6A63"/>
    <w:rsid w:val="00AE3D08"/>
    <w:rsid w:val="00B54801"/>
    <w:rsid w:val="00B96CEF"/>
    <w:rsid w:val="00BC5C77"/>
    <w:rsid w:val="00BE1C64"/>
    <w:rsid w:val="00BF4682"/>
    <w:rsid w:val="00C06C20"/>
    <w:rsid w:val="00C20905"/>
    <w:rsid w:val="00C212D4"/>
    <w:rsid w:val="00C279D9"/>
    <w:rsid w:val="00C27BF9"/>
    <w:rsid w:val="00C3141D"/>
    <w:rsid w:val="00C44557"/>
    <w:rsid w:val="00C455DA"/>
    <w:rsid w:val="00C85847"/>
    <w:rsid w:val="00CB617D"/>
    <w:rsid w:val="00CD0CE5"/>
    <w:rsid w:val="00CD1BE3"/>
    <w:rsid w:val="00CF4F9D"/>
    <w:rsid w:val="00D464A7"/>
    <w:rsid w:val="00D76AE4"/>
    <w:rsid w:val="00D83142"/>
    <w:rsid w:val="00D85051"/>
    <w:rsid w:val="00D871C3"/>
    <w:rsid w:val="00D93830"/>
    <w:rsid w:val="00DB21A7"/>
    <w:rsid w:val="00DE31B4"/>
    <w:rsid w:val="00E24D12"/>
    <w:rsid w:val="00E26422"/>
    <w:rsid w:val="00E32C50"/>
    <w:rsid w:val="00E902C6"/>
    <w:rsid w:val="00EA4240"/>
    <w:rsid w:val="00EE05FC"/>
    <w:rsid w:val="00EE4027"/>
    <w:rsid w:val="00F10485"/>
    <w:rsid w:val="00F23FEC"/>
    <w:rsid w:val="00F45A2B"/>
    <w:rsid w:val="00F85A20"/>
    <w:rsid w:val="00FB606A"/>
    <w:rsid w:val="00FC1ABB"/>
    <w:rsid w:val="00FC500B"/>
    <w:rsid w:val="00FD6F93"/>
    <w:rsid w:val="00FE5FDC"/>
    <w:rsid w:val="00FE6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312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C212D4"/>
    <w:pPr>
      <w:keepNext/>
      <w:keepLines/>
      <w:spacing w:before="360" w:after="160" w:line="252" w:lineRule="auto"/>
      <w:outlineLvl w:val="1"/>
    </w:pPr>
    <w:rPr>
      <w:rFonts w:eastAsia="SimSun" w:cs="Times New Roman"/>
      <w:b/>
      <w:color w:val="1E988A"/>
      <w:sz w:val="28"/>
      <w:szCs w:val="26"/>
      <w:lang w:eastAsia="zh-CN"/>
    </w:rPr>
  </w:style>
  <w:style w:type="paragraph" w:styleId="Heading3">
    <w:name w:val="heading 3"/>
    <w:basedOn w:val="Title"/>
    <w:next w:val="Normal"/>
    <w:link w:val="Heading3Char"/>
    <w:uiPriority w:val="9"/>
    <w:unhideWhenUsed/>
    <w:qFormat/>
    <w:rsid w:val="00FC500B"/>
    <w:pPr>
      <w:outlineLvl w:val="2"/>
    </w:pPr>
    <w:rPr>
      <w:b w:val="0"/>
      <w:color w:val="2E1A47" w:themeColor="text2"/>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qFormat/>
    <w:rsid w:val="00210BE8"/>
    <w:pPr>
      <w:keepNext/>
      <w:keepLines/>
      <w:spacing w:before="40" w:after="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C212D4"/>
    <w:rPr>
      <w:rFonts w:ascii="Verdana" w:eastAsia="SimSun" w:hAnsi="Verdana" w:cs="Times New Roman"/>
      <w:b/>
      <w:color w:val="1E988A"/>
      <w:sz w:val="28"/>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FC500B"/>
    <w:rPr>
      <w:rFonts w:ascii="Verdana" w:hAnsi="Verdana"/>
      <w:bCs/>
      <w:color w:val="2E1A47" w:themeColor="text2"/>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paragraph" w:customStyle="1" w:styleId="Default">
    <w:name w:val="Default"/>
    <w:rsid w:val="00210BE8"/>
    <w:pPr>
      <w:autoSpaceDE w:val="0"/>
      <w:autoSpaceDN w:val="0"/>
      <w:adjustRightInd w:val="0"/>
      <w:spacing w:after="0" w:line="240" w:lineRule="auto"/>
    </w:pPr>
    <w:rPr>
      <w:rFonts w:ascii="Verdana" w:hAnsi="Verdana" w:cs="Verdana"/>
      <w:color w:val="000000"/>
      <w:sz w:val="24"/>
      <w:szCs w:val="24"/>
    </w:rPr>
  </w:style>
  <w:style w:type="paragraph" w:customStyle="1" w:styleId="Pa2">
    <w:name w:val="Pa2"/>
    <w:basedOn w:val="Default"/>
    <w:next w:val="Default"/>
    <w:uiPriority w:val="99"/>
    <w:rsid w:val="00210BE8"/>
    <w:pPr>
      <w:spacing w:line="141" w:lineRule="atLeast"/>
    </w:pPr>
    <w:rPr>
      <w:rFonts w:ascii="AU Sans BETA Text Medium" w:hAnsi="AU Sans BETA Text Medium" w:cstheme="minorBidi"/>
      <w:color w:val="auto"/>
    </w:rPr>
  </w:style>
  <w:style w:type="paragraph" w:styleId="TOC1">
    <w:name w:val="toc 1"/>
    <w:basedOn w:val="Normal"/>
    <w:next w:val="Normal"/>
    <w:autoRedefine/>
    <w:uiPriority w:val="39"/>
    <w:unhideWhenUsed/>
    <w:rsid w:val="00210BE8"/>
    <w:pPr>
      <w:spacing w:after="100"/>
    </w:pPr>
  </w:style>
  <w:style w:type="paragraph" w:styleId="TOC2">
    <w:name w:val="toc 2"/>
    <w:basedOn w:val="Normal"/>
    <w:next w:val="Normal"/>
    <w:autoRedefine/>
    <w:uiPriority w:val="39"/>
    <w:unhideWhenUsed/>
    <w:rsid w:val="00210BE8"/>
    <w:pPr>
      <w:spacing w:after="100"/>
      <w:ind w:left="200"/>
    </w:pPr>
  </w:style>
  <w:style w:type="character" w:customStyle="1" w:styleId="Heading5Char">
    <w:name w:val="Heading 5 Char"/>
    <w:basedOn w:val="DefaultParagraphFont"/>
    <w:link w:val="Heading5"/>
    <w:uiPriority w:val="9"/>
    <w:rsid w:val="00210BE8"/>
    <w:rPr>
      <w:rFonts w:asciiTheme="majorHAnsi" w:eastAsiaTheme="majorEastAsia" w:hAnsiTheme="majorHAnsi" w:cstheme="majorBidi"/>
      <w:color w:val="5B3161" w:themeColor="accent1" w:themeShade="BF"/>
      <w:sz w:val="20"/>
      <w:szCs w:val="20"/>
    </w:rPr>
  </w:style>
  <w:style w:type="character" w:styleId="UnresolvedMention">
    <w:name w:val="Unresolved Mention"/>
    <w:basedOn w:val="DefaultParagraphFont"/>
    <w:uiPriority w:val="99"/>
    <w:semiHidden/>
    <w:unhideWhenUsed/>
    <w:rsid w:val="00210BE8"/>
    <w:rPr>
      <w:color w:val="605E5C"/>
      <w:shd w:val="clear" w:color="auto" w:fill="E1DFDD"/>
    </w:rPr>
  </w:style>
  <w:style w:type="paragraph" w:styleId="ListBullet">
    <w:name w:val="List Bullet"/>
    <w:basedOn w:val="Normal"/>
    <w:uiPriority w:val="99"/>
    <w:unhideWhenUsed/>
    <w:qFormat/>
    <w:rsid w:val="00210BE8"/>
    <w:pPr>
      <w:numPr>
        <w:numId w:val="9"/>
      </w:numPr>
      <w:snapToGrid w:val="0"/>
      <w:spacing w:before="0" w:after="40" w:line="252" w:lineRule="auto"/>
    </w:pPr>
    <w:rPr>
      <w:rFonts w:asciiTheme="minorHAnsi" w:eastAsiaTheme="minorEastAsia" w:hAnsiTheme="minorHAnsi"/>
      <w:color w:val="auto"/>
      <w:lang w:eastAsia="zh-CN"/>
    </w:rPr>
  </w:style>
  <w:style w:type="paragraph" w:styleId="ListBullet2">
    <w:name w:val="List Bullet 2"/>
    <w:basedOn w:val="Normal"/>
    <w:uiPriority w:val="99"/>
    <w:unhideWhenUsed/>
    <w:qFormat/>
    <w:rsid w:val="00210BE8"/>
    <w:pPr>
      <w:numPr>
        <w:ilvl w:val="1"/>
        <w:numId w:val="9"/>
      </w:numPr>
      <w:snapToGrid w:val="0"/>
      <w:spacing w:before="0" w:after="40" w:line="252" w:lineRule="auto"/>
    </w:pPr>
    <w:rPr>
      <w:rFonts w:asciiTheme="minorHAnsi" w:eastAsiaTheme="minorEastAsia" w:hAnsiTheme="minorHAnsi"/>
      <w:color w:val="auto"/>
      <w:lang w:eastAsia="zh-CN"/>
    </w:rPr>
  </w:style>
  <w:style w:type="paragraph" w:styleId="ListBullet3">
    <w:name w:val="List Bullet 3"/>
    <w:basedOn w:val="Normal"/>
    <w:uiPriority w:val="99"/>
    <w:unhideWhenUsed/>
    <w:qFormat/>
    <w:rsid w:val="00210BE8"/>
    <w:pPr>
      <w:numPr>
        <w:ilvl w:val="2"/>
        <w:numId w:val="9"/>
      </w:numPr>
      <w:snapToGrid w:val="0"/>
      <w:spacing w:before="0" w:after="40" w:line="252" w:lineRule="auto"/>
    </w:pPr>
    <w:rPr>
      <w:rFonts w:asciiTheme="minorHAnsi" w:eastAsiaTheme="minorEastAsia" w:hAnsiTheme="minorHAnsi"/>
      <w:color w:val="auto"/>
      <w:lang w:eastAsia="zh-CN"/>
    </w:rPr>
  </w:style>
  <w:style w:type="paragraph" w:styleId="Caption">
    <w:name w:val="caption"/>
    <w:basedOn w:val="Normal"/>
    <w:next w:val="Normal"/>
    <w:uiPriority w:val="35"/>
    <w:unhideWhenUsed/>
    <w:qFormat/>
    <w:rsid w:val="00210BE8"/>
    <w:pPr>
      <w:spacing w:before="0" w:line="240" w:lineRule="auto"/>
    </w:pPr>
    <w:rPr>
      <w:rFonts w:asciiTheme="minorHAnsi" w:eastAsiaTheme="minorEastAsia" w:hAnsiTheme="minorHAnsi"/>
      <w:i/>
      <w:iCs/>
      <w:color w:val="2E1A47" w:themeColor="text2"/>
      <w:sz w:val="18"/>
      <w:szCs w:val="18"/>
      <w:lang w:eastAsia="zh-CN"/>
    </w:rPr>
  </w:style>
  <w:style w:type="paragraph" w:styleId="FootnoteText">
    <w:name w:val="footnote text"/>
    <w:basedOn w:val="Normal"/>
    <w:link w:val="FootnoteTextChar"/>
    <w:uiPriority w:val="99"/>
    <w:unhideWhenUsed/>
    <w:rsid w:val="00210BE8"/>
    <w:pPr>
      <w:tabs>
        <w:tab w:val="left" w:pos="142"/>
      </w:tabs>
      <w:spacing w:before="0" w:after="0" w:line="180" w:lineRule="exact"/>
      <w:ind w:left="142" w:hanging="142"/>
    </w:pPr>
    <w:rPr>
      <w:rFonts w:asciiTheme="minorHAnsi" w:eastAsiaTheme="minorEastAsia" w:hAnsiTheme="minorHAnsi"/>
      <w:color w:val="auto"/>
      <w:sz w:val="16"/>
      <w:lang w:eastAsia="zh-CN"/>
    </w:rPr>
  </w:style>
  <w:style w:type="character" w:customStyle="1" w:styleId="FootnoteTextChar">
    <w:name w:val="Footnote Text Char"/>
    <w:basedOn w:val="DefaultParagraphFont"/>
    <w:link w:val="FootnoteText"/>
    <w:uiPriority w:val="99"/>
    <w:rsid w:val="00210BE8"/>
    <w:rPr>
      <w:rFonts w:eastAsiaTheme="minorEastAsia"/>
      <w:sz w:val="16"/>
      <w:szCs w:val="20"/>
      <w:lang w:eastAsia="zh-CN"/>
    </w:rPr>
  </w:style>
  <w:style w:type="character" w:styleId="FootnoteReference">
    <w:name w:val="footnote reference"/>
    <w:basedOn w:val="DefaultParagraphFont"/>
    <w:uiPriority w:val="99"/>
    <w:semiHidden/>
    <w:unhideWhenUsed/>
    <w:rsid w:val="00210BE8"/>
    <w:rPr>
      <w:vertAlign w:val="superscript"/>
    </w:rPr>
  </w:style>
  <w:style w:type="paragraph" w:styleId="TOC3">
    <w:name w:val="toc 3"/>
    <w:basedOn w:val="Normal"/>
    <w:next w:val="Normal"/>
    <w:autoRedefine/>
    <w:uiPriority w:val="39"/>
    <w:unhideWhenUsed/>
    <w:rsid w:val="00210BE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tourism.research@tra.gov.au"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yperlink" Target="https://www.tra.gov.au/Domestic/domestic-tourism-forecas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a.gov.au" TargetMode="Externa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http://www.tra.gov.au" TargetMode="External"/><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ourism.research@tra.gov.au"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advisory@austrade.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Brand%20Website%20Publications.dotx" TargetMode="Externa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976467FC898D7945B95D3EE9111C463D" ma:contentTypeVersion="43" ma:contentTypeDescription="" ma:contentTypeScope="" ma:versionID="547e072fb8b011aa4f20dbde0de99988">
  <xsd:schema xmlns:xsd="http://www.w3.org/2001/XMLSchema" xmlns:xs="http://www.w3.org/2001/XMLSchema" xmlns:p="http://schemas.microsoft.com/office/2006/metadata/properties" xmlns:ns2="2124141f-bf93-4eca-8662-34a4511e35c8" xmlns:ns3="29ff9cd8-bf2e-4523-8fd5-254dd68a43c6" xmlns:ns4="c6215fba-df62-4d66-b0b8-48fe9a1fd12f" targetNamespace="http://schemas.microsoft.com/office/2006/metadata/properties" ma:root="true" ma:fieldsID="8fc65b18fc165c98b1a3cafcda50ef66" ns2:_="" ns3:_="" ns4:_="">
    <xsd:import namespace="2124141f-bf93-4eca-8662-34a4511e35c8"/>
    <xsd:import namespace="29ff9cd8-bf2e-4523-8fd5-254dd68a43c6"/>
    <xsd:import namespace="c6215fba-df62-4d66-b0b8-48fe9a1fd12f"/>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element ref="ns4:Project"/>
                <xsd:element ref="ns4:Product"/>
                <xsd:element ref="ns4:Subject_x0020_matter_x0020_expert" minOccurs="0"/>
                <xsd:element ref="ns4:EL2_x0020_valid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215fba-df62-4d66-b0b8-48fe9a1fd12f" elementFormDefault="qualified">
    <xsd:import namespace="http://schemas.microsoft.com/office/2006/documentManagement/types"/>
    <xsd:import namespace="http://schemas.microsoft.com/office/infopath/2007/PartnerControls"/>
    <xsd:element name="Project" ma:index="19" ma:displayName="Product" ma:format="Dropdown" ma:internalName="Proje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Product" ma:index="20" ma:displayName="Content" ma:description="Choose the relevant product" ma:format="Dropdown" ma:internalName="Product">
      <xsd:simpleType>
        <xsd:restriction base="dms:Choice">
          <xsd:enumeration value="Benchmark report"/>
          <xsd:enumeration value="Content management"/>
          <xsd:enumeration value="Exporting to India"/>
          <xsd:enumeration value="Governance"/>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investment"/>
          <xsd:enumeration value="Tourism satellite account"/>
          <xsd:enumeration value="Tourism scenarios"/>
          <xsd:enumeration value="User research"/>
        </xsd:restriction>
      </xsd:simpleType>
    </xsd:element>
    <xsd:element name="Subject_x0020_matter_x0020_expert" ma:index="21"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L2_x0020_validator" ma:index="22"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duct xmlns="c6215fba-df62-4d66-b0b8-48fe9a1fd12f">Template</Produc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Project xmlns="c6215fba-df62-4d66-b0b8-48fe9a1fd12f">AustradeGovAu</Project>
    <Tradestart-Access xmlns="2124141f-bf93-4eca-8662-34a4511e35c8">true</Tradestart-Access>
    <TaxCatchAll xmlns="2124141f-bf93-4eca-8662-34a4511e35c8"/>
    <Operational-Doc-Desc xmlns="2124141f-bf93-4eca-8662-34a4511e35c8" xsi:nil="true"/>
    <_dlc_DocId xmlns="29ff9cd8-bf2e-4523-8fd5-254dd68a43c6">HUB01-2142452017-267</_dlc_DocId>
    <_dlc_DocIdUrl xmlns="29ff9cd8-bf2e-4523-8fd5-254dd68a43c6">
      <Url>http://thehub/ws/ao/cm/_layouts/15/DocIdRedir.aspx?ID=HUB01-2142452017-267</Url>
      <Description>HUB01-2142452017-267</Description>
    </_dlc_DocIdUrl>
    <Subject_x0020_matter_x0020_expert xmlns="c6215fba-df62-4d66-b0b8-48fe9a1fd12f">
      <UserInfo>
        <DisplayName/>
        <AccountId xsi:nil="true"/>
        <AccountType/>
      </UserInfo>
    </Subject_x0020_matter_x0020_expert>
    <EL2_x0020_validator xmlns="c6215fba-df62-4d66-b0b8-48fe9a1fd12f">
      <UserInfo>
        <DisplayName/>
        <AccountId xsi:nil="true"/>
        <AccountType/>
      </UserInfo>
    </EL2_x0020_validator>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00189CA5-7BBF-457D-BDE5-3EDFAFC8EABE}">
  <ds:schemaRefs>
    <ds:schemaRef ds:uri="http://schemas.microsoft.com/sharepoint/event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C6AF7610-FA67-401E-A5DC-36498E152A66}">
  <ds:schemaRefs>
    <ds:schemaRef ds:uri="Microsoft.SharePoint.Taxonomy.ContentTypeSync"/>
  </ds:schemaRefs>
</ds:datastoreItem>
</file>

<file path=customXml/itemProps5.xml><?xml version="1.0" encoding="utf-8"?>
<ds:datastoreItem xmlns:ds="http://schemas.openxmlformats.org/officeDocument/2006/customXml" ds:itemID="{92713792-239D-4744-A6FC-C636EB65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29ff9cd8-bf2e-4523-8fd5-254dd68a43c6"/>
    <ds:schemaRef ds:uri="c6215fba-df62-4d66-b0b8-48fe9a1fd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6215fba-df62-4d66-b0b8-48fe9a1fd12f"/>
    <ds:schemaRef ds:uri="2124141f-bf93-4eca-8662-34a4511e35c8"/>
    <ds:schemaRef ds:uri="29ff9cd8-bf2e-4523-8fd5-254dd68a43c6"/>
  </ds:schemaRefs>
</ds:datastoreItem>
</file>

<file path=docProps/app.xml><?xml version="1.0" encoding="utf-8"?>
<Properties xmlns="http://schemas.openxmlformats.org/officeDocument/2006/extended-properties" xmlns:vt="http://schemas.openxmlformats.org/officeDocument/2006/docPropsVTypes">
  <Template>Austrade Brand Website Publications.dotx</Template>
  <TotalTime>0</TotalTime>
  <Pages>24</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2022-03-15T00:58:00Z</dcterms:created>
  <dcterms:modified xsi:type="dcterms:W3CDTF">2022-03-15T00:58:00Z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0x01010004862C10171BD149BCA86DC4F35484800800976467FC898D7945B95D3EE9111C463D</vt:lpwstr>
  </property>
  <property fmtid="{D5CDD505-2E9C-101B-9397-08002B2CF9AE}" pid="3" name="_dlc_DocIdItemGuid">
    <vt:lpwstr>88b9502c-3f8a-4026-8045-1aaba0925f53</vt:lpwstr>
  </property>
  <property fmtid="{D5CDD505-2E9C-101B-9397-08002B2CF9AE}" pid="4" name="Protective Markings">
    <vt:lpwstr/>
  </property>
</Properties>
</file>