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BBF76" w14:textId="00E52418" w:rsidR="00F75B32" w:rsidRDefault="002838D5" w:rsidP="009E6DB3">
      <w:pPr>
        <w:rPr>
          <w:b/>
          <w:bCs/>
        </w:rPr>
      </w:pPr>
      <w:r>
        <w:rPr>
          <w:noProof/>
        </w:rPr>
        <w:drawing>
          <wp:anchor distT="0" distB="0" distL="114300" distR="114300" simplePos="0" relativeHeight="251658240" behindDoc="0" locked="0" layoutInCell="1" allowOverlap="1" wp14:anchorId="7649F3B2" wp14:editId="23C9AE9D">
            <wp:simplePos x="0" y="0"/>
            <wp:positionH relativeFrom="margin">
              <wp:posOffset>-381000</wp:posOffset>
            </wp:positionH>
            <wp:positionV relativeFrom="paragraph">
              <wp:posOffset>-207917</wp:posOffset>
            </wp:positionV>
            <wp:extent cx="7110095" cy="1569085"/>
            <wp:effectExtent l="0" t="0" r="0" b="0"/>
            <wp:wrapNone/>
            <wp:docPr id="6339414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41493" name="Picture 1">
                      <a:extLst>
                        <a:ext uri="{C183D7F6-B498-43B3-948B-1728B52AA6E4}">
                          <adec:decorative xmlns:adec="http://schemas.microsoft.com/office/drawing/2017/decorative" val="1"/>
                        </a:ext>
                      </a:extLst>
                    </pic:cNvPr>
                    <pic:cNvPicPr>
                      <a:picLocks noChangeAspect="1"/>
                    </pic:cNvPicPr>
                  </pic:nvPicPr>
                  <pic:blipFill rotWithShape="1">
                    <a:blip r:embed="rId11"/>
                    <a:srcRect r="5264"/>
                    <a:stretch/>
                  </pic:blipFill>
                  <pic:spPr bwMode="auto">
                    <a:xfrm>
                      <a:off x="0" y="0"/>
                      <a:ext cx="7110095" cy="156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B32">
        <w:rPr>
          <w:b/>
          <w:bCs/>
        </w:rPr>
        <w:t>astra</w:t>
      </w:r>
    </w:p>
    <w:sdt>
      <w:sdtPr>
        <w:rPr>
          <w:b/>
          <w:bCs/>
        </w:rPr>
        <w:id w:val="-1649280474"/>
        <w:docPartObj>
          <w:docPartGallery w:val="Cover Pages"/>
          <w:docPartUnique/>
        </w:docPartObj>
      </w:sdtPr>
      <w:sdtEndPr>
        <w:rPr>
          <w:b w:val="0"/>
          <w:bCs w:val="0"/>
        </w:rPr>
      </w:sdtEndPr>
      <w:sdtContent>
        <w:p w14:paraId="24C6E48D" w14:textId="06803E5D" w:rsidR="003A58AB" w:rsidRPr="00FC500B" w:rsidRDefault="00644581" w:rsidP="009E6DB3">
          <w:r>
            <w:rPr>
              <w:noProof/>
            </w:rPr>
            <w:drawing>
              <wp:anchor distT="0" distB="0" distL="114300" distR="114300" simplePos="0" relativeHeight="251658241" behindDoc="0" locked="1" layoutInCell="1" allowOverlap="1" wp14:anchorId="1E49436B" wp14:editId="6213B213">
                <wp:simplePos x="0" y="0"/>
                <wp:positionH relativeFrom="column">
                  <wp:posOffset>-89535</wp:posOffset>
                </wp:positionH>
                <wp:positionV relativeFrom="page">
                  <wp:posOffset>408305</wp:posOffset>
                </wp:positionV>
                <wp:extent cx="3340735" cy="1104900"/>
                <wp:effectExtent l="0" t="0" r="0" b="0"/>
                <wp:wrapNone/>
                <wp:docPr id="1592260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60426"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3340735" cy="1104900"/>
                        </a:xfrm>
                        <a:prstGeom prst="rect">
                          <a:avLst/>
                        </a:prstGeom>
                      </pic:spPr>
                    </pic:pic>
                  </a:graphicData>
                </a:graphic>
                <wp14:sizeRelH relativeFrom="margin">
                  <wp14:pctWidth>0</wp14:pctWidth>
                </wp14:sizeRelH>
                <wp14:sizeRelV relativeFrom="margin">
                  <wp14:pctHeight>0</wp14:pctHeight>
                </wp14:sizeRelV>
              </wp:anchor>
            </w:drawing>
          </w:r>
        </w:p>
        <w:p w14:paraId="38391F08" w14:textId="77777777" w:rsidR="00501469" w:rsidRDefault="00501469"/>
        <w:p w14:paraId="02685226" w14:textId="77777777" w:rsidR="00501469" w:rsidRDefault="00501469"/>
        <w:p w14:paraId="77241FEB" w14:textId="77777777" w:rsidR="00501469" w:rsidRDefault="00501469"/>
        <w:p w14:paraId="3FE96958" w14:textId="77777777" w:rsidR="00501469" w:rsidRDefault="00501469"/>
        <w:p w14:paraId="787B1FD2" w14:textId="77777777" w:rsidR="00501469" w:rsidRDefault="00501469"/>
        <w:p w14:paraId="2680A6BD" w14:textId="77777777" w:rsidR="00501469" w:rsidRDefault="00501469"/>
        <w:p w14:paraId="3089666B" w14:textId="2B208F95" w:rsidR="003E38E3" w:rsidRPr="00C279D9" w:rsidRDefault="00BA0140" w:rsidP="00C27BF9">
          <w:pPr>
            <w:pStyle w:val="Heading1"/>
            <w:rPr>
              <w:rStyle w:val="Heading1Char"/>
              <w:bCs/>
            </w:rPr>
          </w:pPr>
          <w:bookmarkStart w:id="0" w:name="_Toc160692302"/>
          <w:bookmarkStart w:id="1" w:name="_Toc160692390"/>
          <w:bookmarkStart w:id="2" w:name="_Toc160692935"/>
          <w:bookmarkStart w:id="3" w:name="_Toc163136237"/>
          <w:bookmarkStart w:id="4" w:name="_Toc163136388"/>
          <w:bookmarkStart w:id="5" w:name="_Toc165282212"/>
          <w:bookmarkStart w:id="6" w:name="_Toc167113863"/>
          <w:r>
            <w:t>State of the Industry</w:t>
          </w:r>
          <w:bookmarkEnd w:id="0"/>
          <w:bookmarkEnd w:id="1"/>
          <w:bookmarkEnd w:id="2"/>
          <w:bookmarkEnd w:id="3"/>
          <w:bookmarkEnd w:id="4"/>
          <w:bookmarkEnd w:id="5"/>
          <w:bookmarkEnd w:id="6"/>
        </w:p>
        <w:p w14:paraId="222AF4D5" w14:textId="2AF4A1AC" w:rsidR="00C27BF9" w:rsidRPr="00C27BF9" w:rsidRDefault="00BA0140" w:rsidP="00C27BF9">
          <w:pPr>
            <w:pStyle w:val="Heading2"/>
          </w:pPr>
          <w:bookmarkStart w:id="7" w:name="_Toc160692303"/>
          <w:bookmarkStart w:id="8" w:name="_Toc160692391"/>
          <w:bookmarkStart w:id="9" w:name="_Toc160692936"/>
          <w:bookmarkStart w:id="10" w:name="_Toc163136238"/>
          <w:bookmarkStart w:id="11" w:name="_Toc163136389"/>
          <w:bookmarkStart w:id="12" w:name="_Toc165282213"/>
          <w:bookmarkStart w:id="13" w:name="_Toc167113864"/>
          <w:r>
            <w:t>Australia’s tourism sector in 2023</w:t>
          </w:r>
          <w:bookmarkEnd w:id="7"/>
          <w:bookmarkEnd w:id="8"/>
          <w:bookmarkEnd w:id="9"/>
          <w:bookmarkEnd w:id="10"/>
          <w:bookmarkEnd w:id="11"/>
          <w:bookmarkEnd w:id="12"/>
          <w:bookmarkEnd w:id="13"/>
        </w:p>
        <w:p w14:paraId="64FF60AD" w14:textId="77777777" w:rsidR="003E38E3" w:rsidRDefault="003E38E3" w:rsidP="00B23D1C"/>
        <w:p w14:paraId="2EF3A1FB" w14:textId="77777777" w:rsidR="00B23D1C" w:rsidRDefault="00B23D1C" w:rsidP="00B23D1C"/>
        <w:p w14:paraId="6EF918F1" w14:textId="7EE0E948" w:rsidR="00BA0140" w:rsidRDefault="00BA0140">
          <w:pPr>
            <w:spacing w:before="0" w:after="160" w:line="259" w:lineRule="auto"/>
            <w:rPr>
              <w:b/>
              <w:bCs/>
            </w:rPr>
          </w:pPr>
        </w:p>
        <w:p w14:paraId="1CC30840" w14:textId="77777777" w:rsidR="00B23D1C" w:rsidRDefault="00B23D1C">
          <w:pPr>
            <w:spacing w:before="0" w:after="160" w:line="259" w:lineRule="auto"/>
            <w:rPr>
              <w:b/>
              <w:bCs/>
            </w:rPr>
          </w:pPr>
        </w:p>
        <w:p w14:paraId="2C49CFA9" w14:textId="77777777" w:rsidR="00BA0140" w:rsidRDefault="00BA0140" w:rsidP="00BA0140">
          <w:r>
            <w:t xml:space="preserve">Tourism Research Australia </w:t>
          </w:r>
        </w:p>
        <w:p w14:paraId="26B05778" w14:textId="77777777" w:rsidR="00BA0140" w:rsidRDefault="00BA0140" w:rsidP="00BA0140">
          <w:r>
            <w:t xml:space="preserve">Australian Trade and Investment Commission (Austrade) </w:t>
          </w:r>
        </w:p>
        <w:p w14:paraId="56185E99" w14:textId="77777777" w:rsidR="00BA0140" w:rsidRDefault="00BA0140" w:rsidP="00BA0140">
          <w:r>
            <w:t xml:space="preserve">Email: </w:t>
          </w:r>
          <w:hyperlink r:id="rId13" w:history="1">
            <w:r>
              <w:rPr>
                <w:rStyle w:val="Hyperlink"/>
              </w:rPr>
              <w:t>tourism.research@tra.gov.au</w:t>
            </w:r>
          </w:hyperlink>
          <w:r>
            <w:t xml:space="preserve"> </w:t>
          </w:r>
        </w:p>
        <w:p w14:paraId="7FF202C6" w14:textId="77777777" w:rsidR="00BA0140" w:rsidRDefault="00BA0140" w:rsidP="00BA0140">
          <w:r>
            <w:t xml:space="preserve">Web: </w:t>
          </w:r>
          <w:hyperlink r:id="rId14" w:history="1">
            <w:r>
              <w:rPr>
                <w:rStyle w:val="Hyperlink"/>
              </w:rPr>
              <w:t>www.tra.gov.au</w:t>
            </w:r>
          </w:hyperlink>
          <w:r>
            <w:t xml:space="preserve"> </w:t>
          </w:r>
        </w:p>
        <w:p w14:paraId="0261550D" w14:textId="5E205910" w:rsidR="00BA0140" w:rsidRDefault="00BA0140" w:rsidP="00BA0140">
          <w:r>
            <w:t>Publication date: 1</w:t>
          </w:r>
          <w:r w:rsidR="00B7292C">
            <w:t>4</w:t>
          </w:r>
          <w:r>
            <w:t xml:space="preserve"> June 2024 </w:t>
          </w:r>
        </w:p>
        <w:p w14:paraId="6B089595" w14:textId="77777777" w:rsidR="00BA0140" w:rsidRDefault="00BA0140" w:rsidP="00BA0140"/>
        <w:p w14:paraId="435F685F" w14:textId="77777777" w:rsidR="00BA0140" w:rsidRDefault="00BA0140" w:rsidP="00BA0140"/>
        <w:p w14:paraId="3E33DD01" w14:textId="77777777" w:rsidR="00BA0140" w:rsidRDefault="00BA0140" w:rsidP="00BA0140"/>
        <w:p w14:paraId="66B236B1" w14:textId="4FCE7574" w:rsidR="00BA0140" w:rsidRDefault="00BA0140" w:rsidP="00BA0140">
          <w:pPr>
            <w:spacing w:line="240" w:lineRule="auto"/>
            <w:rPr>
              <w:sz w:val="16"/>
              <w:szCs w:val="16"/>
            </w:rPr>
          </w:pPr>
          <w:r>
            <w:rPr>
              <w:sz w:val="16"/>
              <w:szCs w:val="16"/>
            </w:rPr>
            <w:t xml:space="preserve">This work should be attributed as </w:t>
          </w:r>
          <w:r>
            <w:rPr>
              <w:i/>
              <w:iCs/>
              <w:sz w:val="16"/>
              <w:szCs w:val="16"/>
            </w:rPr>
            <w:t>State of the Industry: Australia’s tourism sector in 2023</w:t>
          </w:r>
          <w:r>
            <w:rPr>
              <w:sz w:val="16"/>
              <w:szCs w:val="16"/>
            </w:rPr>
            <w:t xml:space="preserve">, Tourism Research Australia, Austrade, Canberra. </w:t>
          </w:r>
        </w:p>
        <w:p w14:paraId="5DE92181" w14:textId="77777777" w:rsidR="00BA0140" w:rsidRDefault="00BA0140" w:rsidP="00BA0140">
          <w:pPr>
            <w:pStyle w:val="Default"/>
            <w:rPr>
              <w:sz w:val="16"/>
              <w:szCs w:val="16"/>
            </w:rPr>
          </w:pPr>
          <w:r>
            <w:rPr>
              <w:sz w:val="16"/>
              <w:szCs w:val="16"/>
            </w:rPr>
            <w:t xml:space="preserve">This report is available at </w:t>
          </w:r>
          <w:hyperlink r:id="rId15" w:history="1">
            <w:r>
              <w:rPr>
                <w:rStyle w:val="Hyperlink"/>
                <w:sz w:val="16"/>
                <w:szCs w:val="16"/>
              </w:rPr>
              <w:t>https://www.tra.gov.au/economic-analysis/state-of-the-industry</w:t>
            </w:r>
          </w:hyperlink>
        </w:p>
        <w:p w14:paraId="53B73FB5" w14:textId="77777777" w:rsidR="00BA0140" w:rsidRDefault="00BA0140" w:rsidP="00BA0140">
          <w:pPr>
            <w:spacing w:line="240" w:lineRule="auto"/>
            <w:rPr>
              <w:sz w:val="16"/>
              <w:szCs w:val="16"/>
            </w:rPr>
          </w:pPr>
          <w:r>
            <w:rPr>
              <w:sz w:val="16"/>
              <w:szCs w:val="16"/>
            </w:rPr>
            <w:t xml:space="preserve">Further enquiries are welcome at </w:t>
          </w:r>
          <w:hyperlink r:id="rId16" w:history="1">
            <w:r>
              <w:rPr>
                <w:rStyle w:val="Hyperlink"/>
                <w:sz w:val="16"/>
                <w:szCs w:val="16"/>
              </w:rPr>
              <w:t>tourism.research@tra.gov.au</w:t>
            </w:r>
          </w:hyperlink>
          <w:r>
            <w:rPr>
              <w:sz w:val="16"/>
              <w:szCs w:val="16"/>
            </w:rPr>
            <w:t xml:space="preserve"> </w:t>
          </w:r>
        </w:p>
        <w:p w14:paraId="279D18A8" w14:textId="078497D5" w:rsidR="00BA0140" w:rsidRDefault="00BA0140">
          <w:pPr>
            <w:spacing w:before="0" w:after="160" w:line="259" w:lineRule="auto"/>
          </w:pPr>
          <w:r>
            <w:br w:type="page"/>
          </w:r>
        </w:p>
        <w:p w14:paraId="04C17391" w14:textId="77777777" w:rsidR="00BA0140" w:rsidRDefault="00BA0140">
          <w:pPr>
            <w:spacing w:before="0" w:after="160" w:line="259" w:lineRule="auto"/>
          </w:pPr>
        </w:p>
        <w:p w14:paraId="1CA85CEF" w14:textId="77777777" w:rsidR="00BA0140" w:rsidRDefault="00BA0140" w:rsidP="00BA0140">
          <w:pPr>
            <w:pStyle w:val="Heading2"/>
          </w:pPr>
          <w:bookmarkStart w:id="14" w:name="_Toc131073750"/>
          <w:bookmarkStart w:id="15" w:name="_Toc131575115"/>
          <w:bookmarkStart w:id="16" w:name="_Toc132376731"/>
          <w:bookmarkStart w:id="17" w:name="_Toc132872872"/>
          <w:bookmarkStart w:id="18" w:name="_Toc132892953"/>
          <w:bookmarkStart w:id="19" w:name="_Toc134704436"/>
          <w:bookmarkStart w:id="20" w:name="_Toc135990450"/>
          <w:bookmarkStart w:id="21" w:name="_Toc160692304"/>
          <w:bookmarkStart w:id="22" w:name="_Toc160692392"/>
          <w:bookmarkStart w:id="23" w:name="_Toc160692937"/>
          <w:bookmarkStart w:id="24" w:name="_Toc163136239"/>
          <w:bookmarkStart w:id="25" w:name="_Toc163136390"/>
          <w:bookmarkStart w:id="26" w:name="_Toc165282214"/>
          <w:bookmarkStart w:id="27" w:name="_Toc167113865"/>
          <w:r>
            <w:t>Acknowledgement of Country</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1119964" w14:textId="77777777" w:rsidR="00C756E6" w:rsidRPr="00BF26F9" w:rsidRDefault="00C756E6" w:rsidP="00BF26F9">
          <w:pPr>
            <w:rPr>
              <w:rStyle w:val="A3"/>
              <w:sz w:val="22"/>
              <w:szCs w:val="22"/>
            </w:rPr>
          </w:pPr>
          <w:r w:rsidRPr="00BF26F9">
            <w:rPr>
              <w:rStyle w:val="A3"/>
              <w:sz w:val="22"/>
              <w:szCs w:val="22"/>
            </w:rPr>
            <w:t xml:space="preserve">We acknowledge the Traditional Custodians of lands throughout Australia and pay our respects to their Elders past and present. We recognise the enduring connection of First Nations people to land, sea and waters, and their deep care for Country over 65,000 years. We honour the enormous contribution First Nations cultures and traditions make to the visitor experience in </w:t>
          </w:r>
          <w:proofErr w:type="gramStart"/>
          <w:r w:rsidRPr="00BF26F9">
            <w:rPr>
              <w:rStyle w:val="A3"/>
              <w:sz w:val="22"/>
              <w:szCs w:val="22"/>
            </w:rPr>
            <w:t>Australia, and</w:t>
          </w:r>
          <w:proofErr w:type="gramEnd"/>
          <w:r w:rsidRPr="00BF26F9">
            <w:rPr>
              <w:rStyle w:val="A3"/>
              <w:sz w:val="22"/>
              <w:szCs w:val="22"/>
            </w:rPr>
            <w:t xml:space="preserve"> commit to protecting and nurturing these cultures in partnership with First Nations communities.</w:t>
          </w:r>
        </w:p>
        <w:p w14:paraId="6655B51A" w14:textId="77777777" w:rsidR="00C756E6" w:rsidRDefault="00C756E6" w:rsidP="00BA0140"/>
        <w:p w14:paraId="22636981" w14:textId="77777777" w:rsidR="00BA0140" w:rsidRDefault="00BA0140" w:rsidP="00BA0140"/>
        <w:p w14:paraId="4D090A46" w14:textId="77777777" w:rsidR="00BA0140" w:rsidRDefault="00BA0140" w:rsidP="00BA0140"/>
        <w:p w14:paraId="6EDBF42C" w14:textId="77777777" w:rsidR="00BA0140" w:rsidRDefault="00BA0140" w:rsidP="00BA0140"/>
        <w:p w14:paraId="07332689" w14:textId="77777777" w:rsidR="00BA0140" w:rsidRDefault="00BA0140" w:rsidP="00BA0140"/>
        <w:p w14:paraId="536FE4A5" w14:textId="77777777" w:rsidR="00B23D1C" w:rsidRDefault="00B23D1C" w:rsidP="00BA0140"/>
        <w:p w14:paraId="505A14A2" w14:textId="77777777" w:rsidR="00BA0140" w:rsidRDefault="00BA0140" w:rsidP="00BA0140"/>
        <w:p w14:paraId="2AD673E7" w14:textId="77777777" w:rsidR="00BA0140" w:rsidRDefault="00BA0140" w:rsidP="00BA0140"/>
        <w:p w14:paraId="002931B9" w14:textId="6AFE2A01" w:rsidR="00BA0140" w:rsidRDefault="00BA0140" w:rsidP="00BA0140">
          <w:pPr>
            <w:pStyle w:val="Pa2"/>
            <w:spacing w:after="40"/>
            <w:rPr>
              <w:rFonts w:ascii="Verdana" w:hAnsi="Verdana" w:cs="Verdana"/>
              <w:color w:val="000000"/>
              <w:sz w:val="16"/>
              <w:szCs w:val="16"/>
            </w:rPr>
          </w:pPr>
          <w:r>
            <w:rPr>
              <w:rFonts w:ascii="Verdana" w:hAnsi="Verdana" w:cs="Verdana"/>
              <w:color w:val="000000"/>
              <w:sz w:val="16"/>
              <w:szCs w:val="16"/>
            </w:rPr>
            <w:t>Copyright © Commonwealth of Australia 2024</w:t>
          </w:r>
        </w:p>
        <w:p w14:paraId="476540A7" w14:textId="77777777" w:rsidR="00BA0140" w:rsidRDefault="00BA0140" w:rsidP="00BA0140">
          <w:pPr>
            <w:pStyle w:val="Pa2"/>
            <w:spacing w:after="40"/>
            <w:rPr>
              <w:rFonts w:ascii="Verdana" w:hAnsi="Verdana" w:cs="Verdana"/>
              <w:color w:val="000000"/>
              <w:sz w:val="16"/>
              <w:szCs w:val="16"/>
            </w:rPr>
          </w:pPr>
          <w:r>
            <w:rPr>
              <w:rFonts w:ascii="Verdana" w:hAnsi="Verdana" w:cs="Verdana"/>
              <w:color w:val="000000"/>
              <w:sz w:val="16"/>
              <w:szCs w:val="16"/>
            </w:rPr>
            <w:t xml:space="preserve">The material in this document is licensed under a Creative Commons Attribution – 4.0 International licence, </w:t>
          </w:r>
          <w:proofErr w:type="gramStart"/>
          <w:r>
            <w:rPr>
              <w:rFonts w:ascii="Verdana" w:hAnsi="Verdana" w:cs="Verdana"/>
              <w:color w:val="000000"/>
              <w:sz w:val="16"/>
              <w:szCs w:val="16"/>
            </w:rPr>
            <w:t>with the exception of</w:t>
          </w:r>
          <w:proofErr w:type="gramEnd"/>
          <w:r>
            <w:rPr>
              <w:rFonts w:ascii="Verdana" w:hAnsi="Verdana" w:cs="Verdana"/>
              <w:color w:val="000000"/>
              <w:sz w:val="16"/>
              <w:szCs w:val="16"/>
            </w:rPr>
            <w:t xml:space="preserve">: </w:t>
          </w:r>
        </w:p>
        <w:p w14:paraId="126E1439" w14:textId="77777777" w:rsidR="00BA0140" w:rsidRDefault="00BA0140" w:rsidP="00A04A67">
          <w:pPr>
            <w:pStyle w:val="Default"/>
            <w:numPr>
              <w:ilvl w:val="0"/>
              <w:numId w:val="3"/>
            </w:numPr>
            <w:spacing w:after="5"/>
            <w:ind w:left="1080" w:hanging="360"/>
            <w:rPr>
              <w:sz w:val="16"/>
              <w:szCs w:val="16"/>
            </w:rPr>
          </w:pPr>
          <w:r>
            <w:rPr>
              <w:sz w:val="16"/>
              <w:szCs w:val="16"/>
            </w:rPr>
            <w:t xml:space="preserve">the Commonwealth Coat of Arms </w:t>
          </w:r>
        </w:p>
        <w:p w14:paraId="240A907F" w14:textId="77777777" w:rsidR="00BA0140" w:rsidRDefault="00BA0140" w:rsidP="00A04A67">
          <w:pPr>
            <w:pStyle w:val="Default"/>
            <w:numPr>
              <w:ilvl w:val="0"/>
              <w:numId w:val="3"/>
            </w:numPr>
            <w:spacing w:after="5"/>
            <w:ind w:left="1080" w:hanging="360"/>
            <w:rPr>
              <w:sz w:val="16"/>
              <w:szCs w:val="16"/>
            </w:rPr>
          </w:pPr>
          <w:r>
            <w:rPr>
              <w:sz w:val="16"/>
              <w:szCs w:val="16"/>
            </w:rPr>
            <w:t xml:space="preserve">the Australian Trade and Investment Commission’s logo </w:t>
          </w:r>
        </w:p>
        <w:p w14:paraId="44561E0B" w14:textId="77777777" w:rsidR="00BA0140" w:rsidRDefault="00BA0140" w:rsidP="00A04A67">
          <w:pPr>
            <w:pStyle w:val="Default"/>
            <w:numPr>
              <w:ilvl w:val="0"/>
              <w:numId w:val="3"/>
            </w:numPr>
            <w:spacing w:after="5"/>
            <w:ind w:left="1080" w:hanging="360"/>
            <w:rPr>
              <w:sz w:val="16"/>
              <w:szCs w:val="16"/>
            </w:rPr>
          </w:pPr>
          <w:r>
            <w:rPr>
              <w:sz w:val="16"/>
              <w:szCs w:val="16"/>
            </w:rPr>
            <w:t xml:space="preserve">any third-party material </w:t>
          </w:r>
        </w:p>
        <w:p w14:paraId="36CB77E5" w14:textId="77777777" w:rsidR="00BA0140" w:rsidRDefault="00BA0140" w:rsidP="00A04A67">
          <w:pPr>
            <w:pStyle w:val="Default"/>
            <w:numPr>
              <w:ilvl w:val="0"/>
              <w:numId w:val="3"/>
            </w:numPr>
            <w:spacing w:after="5"/>
            <w:ind w:left="1080" w:hanging="360"/>
            <w:rPr>
              <w:sz w:val="16"/>
              <w:szCs w:val="16"/>
            </w:rPr>
          </w:pPr>
          <w:r>
            <w:rPr>
              <w:sz w:val="16"/>
              <w:szCs w:val="16"/>
            </w:rPr>
            <w:t xml:space="preserve">any material protected by a trade </w:t>
          </w:r>
          <w:proofErr w:type="gramStart"/>
          <w:r>
            <w:rPr>
              <w:sz w:val="16"/>
              <w:szCs w:val="16"/>
            </w:rPr>
            <w:t>mark</w:t>
          </w:r>
          <w:proofErr w:type="gramEnd"/>
          <w:r>
            <w:rPr>
              <w:sz w:val="16"/>
              <w:szCs w:val="16"/>
            </w:rPr>
            <w:t xml:space="preserve"> </w:t>
          </w:r>
        </w:p>
        <w:p w14:paraId="36C3553F" w14:textId="77777777" w:rsidR="00BA0140" w:rsidRDefault="00BA0140" w:rsidP="00A04A67">
          <w:pPr>
            <w:pStyle w:val="Default"/>
            <w:numPr>
              <w:ilvl w:val="0"/>
              <w:numId w:val="3"/>
            </w:numPr>
            <w:ind w:left="1080" w:hanging="360"/>
            <w:rPr>
              <w:sz w:val="16"/>
              <w:szCs w:val="16"/>
            </w:rPr>
          </w:pPr>
          <w:r>
            <w:rPr>
              <w:sz w:val="16"/>
              <w:szCs w:val="16"/>
            </w:rPr>
            <w:t>any images and photographs.</w:t>
          </w:r>
        </w:p>
        <w:p w14:paraId="7EAA2F8B" w14:textId="77777777" w:rsidR="00BA0140" w:rsidRDefault="00BA0140" w:rsidP="00BA0140">
          <w:pPr>
            <w:rPr>
              <w:rFonts w:cs="Verdana"/>
              <w:color w:val="000000"/>
              <w:sz w:val="16"/>
              <w:szCs w:val="16"/>
            </w:rPr>
          </w:pPr>
          <w:bookmarkStart w:id="28" w:name="_Toc89671613"/>
          <w:bookmarkStart w:id="29" w:name="_Toc95830543"/>
          <w:r>
            <w:rPr>
              <w:rFonts w:cs="Verdana"/>
              <w:color w:val="000000"/>
              <w:sz w:val="16"/>
              <w:szCs w:val="16"/>
            </w:rPr>
            <w:t xml:space="preserve">More information on this CC BY licence is set out at the creative </w:t>
          </w:r>
          <w:proofErr w:type="gramStart"/>
          <w:r>
            <w:rPr>
              <w:rFonts w:cs="Verdana"/>
              <w:color w:val="000000"/>
              <w:sz w:val="16"/>
              <w:szCs w:val="16"/>
            </w:rPr>
            <w:t>commons</w:t>
          </w:r>
          <w:proofErr w:type="gramEnd"/>
          <w:r>
            <w:rPr>
              <w:rFonts w:cs="Verdana"/>
              <w:color w:val="000000"/>
              <w:sz w:val="16"/>
              <w:szCs w:val="16"/>
            </w:rPr>
            <w:t xml:space="preserve"> website: https://creativecommons.org/licenses/by/4.0/legalcode.</w:t>
          </w:r>
          <w:bookmarkEnd w:id="28"/>
          <w:bookmarkEnd w:id="29"/>
        </w:p>
        <w:p w14:paraId="61EEE9A5" w14:textId="77777777" w:rsidR="00BA0140" w:rsidRDefault="00BA0140" w:rsidP="00BA0140">
          <w:pPr>
            <w:pStyle w:val="Default"/>
            <w:rPr>
              <w:b/>
              <w:bCs/>
              <w:sz w:val="16"/>
              <w:szCs w:val="16"/>
            </w:rPr>
          </w:pPr>
          <w:r>
            <w:rPr>
              <w:b/>
              <w:bCs/>
              <w:sz w:val="16"/>
              <w:szCs w:val="16"/>
            </w:rPr>
            <w:t>Attribution</w:t>
          </w:r>
        </w:p>
        <w:p w14:paraId="25864C6A" w14:textId="77777777" w:rsidR="00BA0140" w:rsidRDefault="00BA0140" w:rsidP="00BA0140">
          <w:pPr>
            <w:pStyle w:val="Default"/>
            <w:rPr>
              <w:rFonts w:asciiTheme="minorHAnsi" w:hAnsiTheme="minorHAnsi" w:cs="AU Sans BETA Text Light"/>
              <w:sz w:val="16"/>
              <w:szCs w:val="16"/>
            </w:rPr>
          </w:pPr>
          <w:r>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w:t>
          </w:r>
          <w:r>
            <w:rPr>
              <w:rFonts w:asciiTheme="minorHAnsi" w:hAnsiTheme="minorHAnsi"/>
              <w:sz w:val="16"/>
              <w:szCs w:val="16"/>
            </w:rPr>
            <w:t>:</w:t>
          </w:r>
          <w:r>
            <w:rPr>
              <w:rFonts w:asciiTheme="minorHAnsi" w:hAnsiTheme="minorHAnsi" w:cs="AU Sans BETA Text Light"/>
              <w:sz w:val="16"/>
              <w:szCs w:val="16"/>
            </w:rPr>
            <w:t xml:space="preserve"> </w:t>
          </w:r>
          <w:hyperlink r:id="rId17" w:history="1">
            <w:r>
              <w:rPr>
                <w:rStyle w:val="Hyperlink"/>
                <w:rFonts w:asciiTheme="minorHAnsi" w:hAnsiTheme="minorHAnsi" w:cs="AU Sans BETA Text Light"/>
                <w:sz w:val="16"/>
                <w:szCs w:val="16"/>
              </w:rPr>
              <w:t>advisory@austrade.gov.au</w:t>
            </w:r>
          </w:hyperlink>
          <w:r>
            <w:rPr>
              <w:rFonts w:asciiTheme="minorHAnsi" w:hAnsiTheme="minorHAnsi" w:cs="AU Sans BETA Text Light"/>
              <w:sz w:val="16"/>
              <w:szCs w:val="16"/>
            </w:rPr>
            <w:t>.</w:t>
          </w:r>
        </w:p>
        <w:p w14:paraId="2C2E4072" w14:textId="77777777" w:rsidR="00BA0140" w:rsidRDefault="00BA0140" w:rsidP="00BA0140">
          <w:pPr>
            <w:pStyle w:val="Default"/>
            <w:rPr>
              <w:rFonts w:asciiTheme="minorHAnsi" w:hAnsiTheme="minorHAnsi"/>
              <w:b/>
              <w:bCs/>
              <w:sz w:val="16"/>
              <w:szCs w:val="16"/>
            </w:rPr>
          </w:pPr>
        </w:p>
        <w:p w14:paraId="056B2943" w14:textId="77777777" w:rsidR="00BA0140" w:rsidRDefault="00BA0140" w:rsidP="00BA0140">
          <w:pPr>
            <w:pStyle w:val="Default"/>
            <w:rPr>
              <w:sz w:val="16"/>
              <w:szCs w:val="16"/>
            </w:rPr>
          </w:pPr>
          <w:r>
            <w:rPr>
              <w:b/>
              <w:bCs/>
              <w:sz w:val="16"/>
              <w:szCs w:val="16"/>
            </w:rPr>
            <w:t xml:space="preserve">Using the Coat of Arms </w:t>
          </w:r>
          <w:r>
            <w:rPr>
              <w:sz w:val="16"/>
              <w:szCs w:val="16"/>
            </w:rPr>
            <w:t xml:space="preserve">The terms of use for the Coat of Arms are available on the </w:t>
          </w:r>
          <w:hyperlink r:id="rId18" w:history="1">
            <w:r>
              <w:rPr>
                <w:rStyle w:val="Hyperlink"/>
                <w:sz w:val="16"/>
                <w:szCs w:val="16"/>
              </w:rPr>
              <w:t>Department of the Prime Minister and Cabinet</w:t>
            </w:r>
          </w:hyperlink>
          <w:r>
            <w:rPr>
              <w:sz w:val="16"/>
              <w:szCs w:val="16"/>
            </w:rPr>
            <w:t xml:space="preserve"> website. </w:t>
          </w:r>
        </w:p>
        <w:p w14:paraId="7B1AACA1" w14:textId="77777777" w:rsidR="00BA0140" w:rsidRDefault="00BA0140" w:rsidP="00BA0140">
          <w:pPr>
            <w:pStyle w:val="Default"/>
            <w:rPr>
              <w:sz w:val="20"/>
              <w:szCs w:val="20"/>
            </w:rPr>
          </w:pPr>
        </w:p>
        <w:p w14:paraId="495D8CA8" w14:textId="77777777" w:rsidR="00BA0140" w:rsidRDefault="00BA0140" w:rsidP="00BA0140">
          <w:pPr>
            <w:pStyle w:val="Pa2"/>
            <w:spacing w:after="40"/>
            <w:rPr>
              <w:rFonts w:ascii="Verdana" w:hAnsi="Verdana" w:cs="Verdana"/>
              <w:b/>
              <w:bCs/>
              <w:color w:val="000000"/>
              <w:sz w:val="16"/>
              <w:szCs w:val="16"/>
            </w:rPr>
          </w:pPr>
          <w:r>
            <w:rPr>
              <w:rFonts w:ascii="Verdana" w:hAnsi="Verdana" w:cs="Verdana"/>
              <w:b/>
              <w:bCs/>
              <w:color w:val="000000"/>
              <w:sz w:val="16"/>
              <w:szCs w:val="16"/>
            </w:rPr>
            <w:t>Disclaimer</w:t>
          </w:r>
        </w:p>
        <w:p w14:paraId="24E9DFBA" w14:textId="77777777" w:rsidR="00BA0140" w:rsidRDefault="00BA0140" w:rsidP="00BA0140">
          <w:pPr>
            <w:pStyle w:val="Pa2"/>
            <w:spacing w:after="40"/>
            <w:rPr>
              <w:rFonts w:ascii="Verdana" w:hAnsi="Verdana" w:cs="Verdana"/>
              <w:color w:val="000000"/>
              <w:sz w:val="16"/>
              <w:szCs w:val="16"/>
            </w:rPr>
          </w:pPr>
          <w:r>
            <w:rPr>
              <w:rFonts w:ascii="Verdana" w:hAnsi="Verdana" w:cs="Verdana"/>
              <w:color w:val="000000"/>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3B389C1E" w14:textId="77777777" w:rsidR="00BA0140" w:rsidRDefault="00BA0140" w:rsidP="00BA0140">
          <w:pPr>
            <w:pStyle w:val="Pa2"/>
            <w:spacing w:after="40"/>
            <w:rPr>
              <w:rFonts w:ascii="Verdana" w:hAnsi="Verdana" w:cs="Verdana"/>
              <w:color w:val="000000"/>
              <w:sz w:val="16"/>
              <w:szCs w:val="16"/>
            </w:rPr>
          </w:pPr>
          <w:r>
            <w:rPr>
              <w:rFonts w:ascii="Verdana" w:hAnsi="Verdana" w:cs="Verdana"/>
              <w:color w:val="000000"/>
              <w:sz w:val="16"/>
              <w:szCs w:val="16"/>
            </w:rPr>
            <w:t>While care has been taken to ensure the information in this report is accurate, the Commonwealth does not accept any liability for any loss arising from reliance on the information, or from any error or omission, in the report.</w:t>
          </w:r>
        </w:p>
        <w:p w14:paraId="05C9F18F" w14:textId="77777777" w:rsidR="00BA0140" w:rsidRDefault="00BA0140" w:rsidP="00BA0140">
          <w:pPr>
            <w:pStyle w:val="Default"/>
            <w:rPr>
              <w:bCs/>
              <w:sz w:val="16"/>
              <w:szCs w:val="16"/>
            </w:rPr>
          </w:pPr>
          <w:r>
            <w:rPr>
              <w:bCs/>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Pr>
              <w:bCs/>
              <w:sz w:val="16"/>
              <w:szCs w:val="16"/>
            </w:rPr>
            <w:t>report, and</w:t>
          </w:r>
          <w:proofErr w:type="gramEnd"/>
          <w:r>
            <w:rPr>
              <w:bCs/>
              <w:sz w:val="16"/>
              <w:szCs w:val="16"/>
            </w:rPr>
            <w:t xml:space="preserve"> does not accept responsibility for any losses suffered in connection with any company or its activities.</w:t>
          </w:r>
        </w:p>
        <w:p w14:paraId="2F44B971" w14:textId="77777777" w:rsidR="00BA0140" w:rsidRDefault="00BA0140" w:rsidP="00BA0140">
          <w:r>
            <w:rPr>
              <w:bCs/>
            </w:rPr>
            <w:br w:type="page"/>
          </w:r>
        </w:p>
        <w:p w14:paraId="342CA9C3" w14:textId="05EB1BFB" w:rsidR="00501469" w:rsidRDefault="006C1E97">
          <w:pPr>
            <w:spacing w:before="0" w:after="160" w:line="259" w:lineRule="auto"/>
          </w:pPr>
        </w:p>
      </w:sdtContent>
    </w:sdt>
    <w:p w14:paraId="035523F0" w14:textId="77777777" w:rsidR="00BA0140" w:rsidRDefault="00BA0140" w:rsidP="00BA0140">
      <w:pPr>
        <w:pStyle w:val="Heading2"/>
      </w:pPr>
      <w:bookmarkStart w:id="30" w:name="_Toc131073751"/>
      <w:bookmarkStart w:id="31" w:name="_Toc131575116"/>
      <w:bookmarkStart w:id="32" w:name="_Toc132872873"/>
      <w:bookmarkStart w:id="33" w:name="_Toc132892954"/>
      <w:bookmarkStart w:id="34" w:name="_Toc134704437"/>
      <w:bookmarkStart w:id="35" w:name="_Toc135990451"/>
      <w:bookmarkStart w:id="36" w:name="_Toc163136240"/>
      <w:bookmarkStart w:id="37" w:name="_Toc163136391"/>
      <w:bookmarkStart w:id="38" w:name="_Toc167113866"/>
      <w:r>
        <w:t>Foreword</w:t>
      </w:r>
      <w:bookmarkEnd w:id="30"/>
      <w:bookmarkEnd w:id="31"/>
      <w:bookmarkEnd w:id="32"/>
      <w:bookmarkEnd w:id="33"/>
      <w:bookmarkEnd w:id="34"/>
      <w:bookmarkEnd w:id="35"/>
      <w:bookmarkEnd w:id="36"/>
      <w:bookmarkEnd w:id="37"/>
      <w:bookmarkEnd w:id="38"/>
    </w:p>
    <w:p w14:paraId="48391621" w14:textId="6C5D7BAB" w:rsidR="00744854" w:rsidRDefault="00370286" w:rsidP="00BA0140">
      <w:bookmarkStart w:id="39" w:name="_Hlk135031938"/>
      <w:r>
        <w:t xml:space="preserve">This annual snapshot from Tourism Research Australia </w:t>
      </w:r>
      <w:r w:rsidR="00581061">
        <w:t xml:space="preserve">(TRA) </w:t>
      </w:r>
      <w:r>
        <w:t xml:space="preserve">gathers </w:t>
      </w:r>
      <w:r w:rsidR="005D1492">
        <w:t>numerous</w:t>
      </w:r>
      <w:r>
        <w:t xml:space="preserve"> metrics and </w:t>
      </w:r>
      <w:r w:rsidR="00EC4711">
        <w:t>case studies</w:t>
      </w:r>
      <w:r>
        <w:t xml:space="preserve"> to tell the story </w:t>
      </w:r>
      <w:r w:rsidR="00EC4711">
        <w:t>of</w:t>
      </w:r>
      <w:r>
        <w:t xml:space="preserve"> </w:t>
      </w:r>
      <w:r w:rsidR="005D1492">
        <w:t xml:space="preserve">the </w:t>
      </w:r>
      <w:r>
        <w:t xml:space="preserve">Australian tourism </w:t>
      </w:r>
      <w:r w:rsidR="005D1492">
        <w:t xml:space="preserve">sector </w:t>
      </w:r>
      <w:r>
        <w:t>in 202</w:t>
      </w:r>
      <w:r w:rsidR="005D1492">
        <w:t>3</w:t>
      </w:r>
      <w:r>
        <w:t>.</w:t>
      </w:r>
    </w:p>
    <w:p w14:paraId="2971FAF1" w14:textId="5FE07F11" w:rsidR="00A778C5" w:rsidRDefault="00A778C5" w:rsidP="00BA0140">
      <w:r>
        <w:t xml:space="preserve">The report details the </w:t>
      </w:r>
      <w:r w:rsidR="0041077A">
        <w:t xml:space="preserve">ongoing </w:t>
      </w:r>
      <w:r w:rsidR="00D56550">
        <w:t>rebound</w:t>
      </w:r>
      <w:r w:rsidR="0041077A">
        <w:t xml:space="preserve"> in international travel to Australia, where some markets have come back </w:t>
      </w:r>
      <w:r w:rsidR="00643936">
        <w:t>stronger</w:t>
      </w:r>
      <w:r w:rsidR="006762D3">
        <w:t xml:space="preserve"> than before the pandemic</w:t>
      </w:r>
      <w:r w:rsidR="00275B59">
        <w:t>, while others are still recovering</w:t>
      </w:r>
      <w:r w:rsidR="00F1039A">
        <w:t xml:space="preserve">. </w:t>
      </w:r>
      <w:r w:rsidR="004B72D5">
        <w:t>T</w:t>
      </w:r>
      <w:r w:rsidR="00F1039A">
        <w:t xml:space="preserve">he emergence of strong </w:t>
      </w:r>
      <w:r w:rsidR="006762D3">
        <w:t>growth</w:t>
      </w:r>
      <w:r w:rsidR="00F1039A">
        <w:t xml:space="preserve"> markets </w:t>
      </w:r>
      <w:r w:rsidR="006762D3">
        <w:t xml:space="preserve">for Australia </w:t>
      </w:r>
      <w:r w:rsidR="00CE40B3">
        <w:t>including</w:t>
      </w:r>
      <w:r w:rsidR="00F1039A">
        <w:t xml:space="preserve"> Vietnam, Philippines and South Korea</w:t>
      </w:r>
      <w:r w:rsidR="004B72D5">
        <w:t xml:space="preserve"> is positive</w:t>
      </w:r>
      <w:r w:rsidR="00CE40B3">
        <w:t xml:space="preserve">. The reopening of China to outbound travel in </w:t>
      </w:r>
      <w:r w:rsidR="006762D3">
        <w:t>early 2023</w:t>
      </w:r>
      <w:r w:rsidR="007B1F28">
        <w:t xml:space="preserve"> commenced the recovery in that market and the re-inclusion of Australia on the Approved Destination Status </w:t>
      </w:r>
      <w:r w:rsidR="00E02B4C">
        <w:t xml:space="preserve">(ADS) </w:t>
      </w:r>
      <w:r w:rsidR="007B1F28">
        <w:t xml:space="preserve">scheme was </w:t>
      </w:r>
      <w:r w:rsidR="00C151AA">
        <w:t xml:space="preserve">further </w:t>
      </w:r>
      <w:r w:rsidR="007B1F28">
        <w:t>welcome n</w:t>
      </w:r>
      <w:r w:rsidR="00C151AA">
        <w:t xml:space="preserve">ews. </w:t>
      </w:r>
      <w:r w:rsidR="00B34F42">
        <w:t>International arrival</w:t>
      </w:r>
      <w:r w:rsidR="00E02B4C">
        <w:t xml:space="preserve"> number</w:t>
      </w:r>
      <w:r w:rsidR="00B34F42">
        <w:t>s continue to trend higher and are expected to reach record</w:t>
      </w:r>
      <w:r w:rsidR="00EE1147">
        <w:t xml:space="preserve"> high</w:t>
      </w:r>
      <w:r w:rsidR="00B34F42">
        <w:t>s in 2025</w:t>
      </w:r>
      <w:r w:rsidR="00643936">
        <w:t xml:space="preserve"> (as </w:t>
      </w:r>
      <w:r w:rsidR="00736CC1">
        <w:t>forecast by TRA last year)</w:t>
      </w:r>
      <w:r w:rsidR="00B34F42">
        <w:t xml:space="preserve">. </w:t>
      </w:r>
    </w:p>
    <w:p w14:paraId="4F53823F" w14:textId="68474C0A" w:rsidR="00EE1147" w:rsidRDefault="00EE1147" w:rsidP="00BA0140">
      <w:r>
        <w:t xml:space="preserve">On the other hand, the domestic travel sector </w:t>
      </w:r>
      <w:r w:rsidR="001605EA">
        <w:t xml:space="preserve">faced a markedly different demand </w:t>
      </w:r>
      <w:r w:rsidR="00336BB9">
        <w:t>environment</w:t>
      </w:r>
      <w:r w:rsidR="001605EA">
        <w:t xml:space="preserve"> in 2023 compared with the previous year. There was an exceptionally strong bounce-back in domestic tourism in 2022, with some states/territories and regions experiencing their </w:t>
      </w:r>
      <w:proofErr w:type="gramStart"/>
      <w:r w:rsidR="001605EA">
        <w:t>best ever</w:t>
      </w:r>
      <w:proofErr w:type="gramEnd"/>
      <w:r w:rsidR="001605EA">
        <w:t xml:space="preserve"> year</w:t>
      </w:r>
      <w:r w:rsidR="00336BB9">
        <w:t>. In 2023,</w:t>
      </w:r>
      <w:r w:rsidR="00373ACF">
        <w:t xml:space="preserve"> household</w:t>
      </w:r>
      <w:r w:rsidR="00336BB9">
        <w:t xml:space="preserve"> budget </w:t>
      </w:r>
      <w:r w:rsidR="00C45B4A">
        <w:t>pressures and the rapid uptake of outbound travel saw a marked moderation in domestic tourism demand</w:t>
      </w:r>
      <w:r w:rsidR="00373ACF">
        <w:t xml:space="preserve"> growth</w:t>
      </w:r>
      <w:r w:rsidR="00C45B4A">
        <w:t xml:space="preserve">, and </w:t>
      </w:r>
      <w:r w:rsidR="006E5434">
        <w:t xml:space="preserve">while </w:t>
      </w:r>
      <w:r w:rsidR="00C059B0">
        <w:t xml:space="preserve">Australians </w:t>
      </w:r>
      <w:r w:rsidR="006E5434">
        <w:t xml:space="preserve">continued to travel, they </w:t>
      </w:r>
      <w:r w:rsidR="00C059B0">
        <w:t>shorten</w:t>
      </w:r>
      <w:r w:rsidR="00373ACF">
        <w:t>ed</w:t>
      </w:r>
      <w:r w:rsidR="00C059B0">
        <w:t xml:space="preserve"> their domestic trips or travel</w:t>
      </w:r>
      <w:r w:rsidR="006C34F5">
        <w:t>led</w:t>
      </w:r>
      <w:r w:rsidR="00C059B0">
        <w:t xml:space="preserve"> closer to home to </w:t>
      </w:r>
      <w:r w:rsidR="006870F3">
        <w:t>manage costs</w:t>
      </w:r>
      <w:r w:rsidR="00C059B0">
        <w:t>.</w:t>
      </w:r>
    </w:p>
    <w:p w14:paraId="71236532" w14:textId="417D3D96" w:rsidR="00525865" w:rsidRDefault="006F5EDE" w:rsidP="00BA0140">
      <w:r>
        <w:t xml:space="preserve">The report </w:t>
      </w:r>
      <w:r w:rsidR="006C34F5">
        <w:t>also examines</w:t>
      </w:r>
      <w:r>
        <w:t xml:space="preserve"> </w:t>
      </w:r>
      <w:r w:rsidR="00E82071">
        <w:t xml:space="preserve">supply-side </w:t>
      </w:r>
      <w:r w:rsidR="00A03E6F">
        <w:t>trends</w:t>
      </w:r>
      <w:r w:rsidR="00E82071">
        <w:t xml:space="preserve"> </w:t>
      </w:r>
      <w:r w:rsidR="00715DA0">
        <w:t xml:space="preserve">facing </w:t>
      </w:r>
      <w:r>
        <w:t>tourism operators</w:t>
      </w:r>
      <w:r w:rsidR="00715DA0">
        <w:t>.</w:t>
      </w:r>
      <w:r w:rsidR="00A03E6F">
        <w:t xml:space="preserve"> </w:t>
      </w:r>
      <w:r w:rsidR="00715DA0">
        <w:t xml:space="preserve">It notes that there were challenges </w:t>
      </w:r>
      <w:r w:rsidR="00812C17">
        <w:t>in 2022</w:t>
      </w:r>
      <w:r w:rsidR="006A0ED7">
        <w:t xml:space="preserve"> as </w:t>
      </w:r>
      <w:r w:rsidR="00715DA0">
        <w:t xml:space="preserve">the </w:t>
      </w:r>
      <w:r w:rsidR="006A0ED7">
        <w:t xml:space="preserve">rapid growth in demand </w:t>
      </w:r>
      <w:r w:rsidR="00AD33B0">
        <w:t xml:space="preserve">quickly moved ahead of supply and workforce capabilities, and contributed to a high price growth environment, worker shortages and service disruptions. </w:t>
      </w:r>
      <w:r w:rsidR="007A52E6">
        <w:t>In 2023, supply constraints eased</w:t>
      </w:r>
      <w:r w:rsidR="0044270C">
        <w:t xml:space="preserve"> overall </w:t>
      </w:r>
      <w:r w:rsidR="00736CC1">
        <w:t>yet</w:t>
      </w:r>
      <w:r w:rsidR="0044270C">
        <w:t xml:space="preserve"> were still noticeable. </w:t>
      </w:r>
      <w:r w:rsidR="00107466">
        <w:t xml:space="preserve">Actions under the THRIVE 2030 </w:t>
      </w:r>
      <w:r w:rsidR="00536AF7">
        <w:t xml:space="preserve">national strategy for the visitor economy </w:t>
      </w:r>
      <w:r w:rsidR="0085641C">
        <w:t xml:space="preserve">assisted </w:t>
      </w:r>
      <w:r w:rsidR="00E61986">
        <w:t>with</w:t>
      </w:r>
      <w:r w:rsidR="0085641C">
        <w:t xml:space="preserve"> </w:t>
      </w:r>
      <w:r w:rsidR="00A639D4">
        <w:t xml:space="preserve">rebalancing </w:t>
      </w:r>
      <w:r w:rsidR="004C0948">
        <w:t xml:space="preserve">and </w:t>
      </w:r>
      <w:r w:rsidR="00A639D4">
        <w:t>h</w:t>
      </w:r>
      <w:r w:rsidR="004C0948">
        <w:t>ave</w:t>
      </w:r>
      <w:r w:rsidR="00A639D4">
        <w:t xml:space="preserve"> helped to </w:t>
      </w:r>
      <w:r w:rsidR="004C0948">
        <w:t xml:space="preserve">establish a sustainable growth path for the visitor economy. </w:t>
      </w:r>
      <w:r w:rsidR="00525865">
        <w:t xml:space="preserve">The </w:t>
      </w:r>
      <w:r w:rsidR="000558CD">
        <w:t>National</w:t>
      </w:r>
      <w:r w:rsidR="00525865">
        <w:t xml:space="preserve"> Sustain</w:t>
      </w:r>
      <w:r w:rsidR="000558CD">
        <w:t>ability Framework and Sustainab</w:t>
      </w:r>
      <w:r w:rsidR="00DC265D">
        <w:t xml:space="preserve">le Tourism </w:t>
      </w:r>
      <w:r w:rsidR="000558CD">
        <w:t>Toolkit</w:t>
      </w:r>
      <w:r w:rsidR="000C5662">
        <w:t xml:space="preserve">, which were endorsed and released by all of Australia’s Tourism Ministers, </w:t>
      </w:r>
      <w:r w:rsidR="00F239D4">
        <w:t>will help embed</w:t>
      </w:r>
      <w:r w:rsidR="00F239D4" w:rsidRPr="00F239D4">
        <w:t xml:space="preserve"> </w:t>
      </w:r>
      <w:r w:rsidR="00F239D4">
        <w:t>sustainable practices throughout</w:t>
      </w:r>
      <w:r w:rsidR="00F239D4" w:rsidRPr="00F239D4">
        <w:t xml:space="preserve"> </w:t>
      </w:r>
      <w:r w:rsidR="00F239D4">
        <w:t>the visitor economy.</w:t>
      </w:r>
    </w:p>
    <w:p w14:paraId="7B1CFD0F" w14:textId="62416C2C" w:rsidR="00C7684D" w:rsidRDefault="00C7684D" w:rsidP="00BA0140">
      <w:r>
        <w:rPr>
          <w:rFonts w:eastAsia="Verdana" w:cs="Times New Roman"/>
          <w:lang w:eastAsia="zh-CN"/>
        </w:rPr>
        <w:t xml:space="preserve">In 2023, </w:t>
      </w:r>
      <w:r>
        <w:t xml:space="preserve">Australia’s tourism sector </w:t>
      </w:r>
      <w:r w:rsidR="00417DA5">
        <w:t>comfortably exceed</w:t>
      </w:r>
      <w:r w:rsidR="00E7520B">
        <w:t>ed</w:t>
      </w:r>
      <w:r w:rsidR="00417DA5">
        <w:t xml:space="preserve"> the THRIVE 2030</w:t>
      </w:r>
      <w:r w:rsidR="00536AF7">
        <w:t xml:space="preserve"> </w:t>
      </w:r>
      <w:r w:rsidR="00417DA5">
        <w:t>interim spend target</w:t>
      </w:r>
      <w:r w:rsidR="00793A59">
        <w:t xml:space="preserve"> </w:t>
      </w:r>
      <w:r w:rsidR="00465665">
        <w:t xml:space="preserve">($166 billion) </w:t>
      </w:r>
      <w:r w:rsidR="00793A59">
        <w:t>a year earlier than</w:t>
      </w:r>
      <w:r w:rsidR="00657A8E" w:rsidRPr="00657A8E">
        <w:t xml:space="preserve"> </w:t>
      </w:r>
      <w:r w:rsidR="000C5662">
        <w:t>targeted</w:t>
      </w:r>
      <w:r w:rsidR="00793A59">
        <w:t xml:space="preserve">. </w:t>
      </w:r>
      <w:r w:rsidR="00657A8E">
        <w:t xml:space="preserve">Elevated inflation had some impact on nominal spend </w:t>
      </w:r>
      <w:proofErr w:type="gramStart"/>
      <w:r w:rsidR="00657A8E">
        <w:t>measures, but</w:t>
      </w:r>
      <w:proofErr w:type="gramEnd"/>
      <w:r w:rsidR="00657A8E">
        <w:t xml:space="preserve"> </w:t>
      </w:r>
      <w:r w:rsidR="001A4C3E">
        <w:t xml:space="preserve">estimates that strip out inflation still show that </w:t>
      </w:r>
      <w:r w:rsidR="00142432">
        <w:t>spend would have exceeded the target</w:t>
      </w:r>
      <w:r w:rsidR="00274801">
        <w:t>. Work i</w:t>
      </w:r>
      <w:r w:rsidR="00E7520B">
        <w:t>s</w:t>
      </w:r>
      <w:r w:rsidR="00274801">
        <w:t xml:space="preserve"> underway</w:t>
      </w:r>
      <w:r w:rsidR="00E7520B">
        <w:t xml:space="preserve"> across the sector</w:t>
      </w:r>
      <w:r w:rsidR="00274801">
        <w:t xml:space="preserve"> to specify actions to progress the second phase of the THRIVE 2030 Strategy</w:t>
      </w:r>
      <w:r w:rsidR="00693D57">
        <w:t xml:space="preserve"> from 2025</w:t>
      </w:r>
      <w:r w:rsidR="00F8764D">
        <w:t>+</w:t>
      </w:r>
      <w:r w:rsidR="00DC265D">
        <w:t>,</w:t>
      </w:r>
      <w:r w:rsidR="00E7520B">
        <w:t xml:space="preserve"> which </w:t>
      </w:r>
      <w:r w:rsidR="003058A4">
        <w:t>aims to</w:t>
      </w:r>
      <w:r w:rsidR="00E7520B">
        <w:t xml:space="preserve"> </w:t>
      </w:r>
      <w:r w:rsidR="00D62C21">
        <w:t xml:space="preserve">consolidate the gains </w:t>
      </w:r>
      <w:r w:rsidR="00546009">
        <w:t>and position the sector</w:t>
      </w:r>
      <w:r w:rsidR="00717C45">
        <w:t xml:space="preserve"> effectively for the </w:t>
      </w:r>
      <w:r w:rsidR="00030D8B">
        <w:t>final</w:t>
      </w:r>
      <w:r w:rsidR="00717C45">
        <w:t xml:space="preserve"> </w:t>
      </w:r>
      <w:r w:rsidR="00337FD3">
        <w:t xml:space="preserve">phase of the Strategy, commencing in 2028. </w:t>
      </w:r>
      <w:r w:rsidR="00581061">
        <w:t>TRA</w:t>
      </w:r>
      <w:r w:rsidR="00D62C21">
        <w:t xml:space="preserve"> </w:t>
      </w:r>
      <w:r w:rsidR="00200FDC">
        <w:t xml:space="preserve">has progressed an agenda of data </w:t>
      </w:r>
      <w:r w:rsidR="001E65AF">
        <w:t xml:space="preserve">enhancement projects, which </w:t>
      </w:r>
      <w:r w:rsidR="00960F6E">
        <w:t>will help the sector</w:t>
      </w:r>
      <w:r w:rsidR="00200FDC">
        <w:t xml:space="preserve"> </w:t>
      </w:r>
      <w:r w:rsidR="00581061">
        <w:t xml:space="preserve">to </w:t>
      </w:r>
      <w:r w:rsidR="00960F6E">
        <w:t xml:space="preserve">measure progress against a range of THRIVE </w:t>
      </w:r>
      <w:r w:rsidR="00D2475C">
        <w:t>objectives.</w:t>
      </w:r>
    </w:p>
    <w:p w14:paraId="16F9FBCB" w14:textId="4369D0AB" w:rsidR="0005106D" w:rsidRDefault="00337F28" w:rsidP="00BA0140">
      <w:r>
        <w:t xml:space="preserve">The tourism sector has undoubtedly faced significant challenges over recent years, </w:t>
      </w:r>
      <w:r w:rsidR="00993146">
        <w:t>yet</w:t>
      </w:r>
      <w:r>
        <w:t xml:space="preserve"> it continues to </w:t>
      </w:r>
      <w:r w:rsidR="00B62FCA">
        <w:t xml:space="preserve">progress and </w:t>
      </w:r>
      <w:r>
        <w:t>evolve</w:t>
      </w:r>
      <w:r w:rsidR="00B62FCA">
        <w:t xml:space="preserve"> </w:t>
      </w:r>
      <w:r w:rsidR="00331E07">
        <w:t>while</w:t>
      </w:r>
      <w:r w:rsidR="00B62FCA">
        <w:t xml:space="preserve"> offer</w:t>
      </w:r>
      <w:r w:rsidR="00331E07">
        <w:t>ing</w:t>
      </w:r>
      <w:r w:rsidR="00B62FCA">
        <w:t xml:space="preserve"> exciting travel opportunities for </w:t>
      </w:r>
      <w:r w:rsidR="009116A0">
        <w:t xml:space="preserve">all </w:t>
      </w:r>
      <w:r w:rsidR="00B62FCA">
        <w:t xml:space="preserve">Australian and international travellers. The range </w:t>
      </w:r>
      <w:r w:rsidR="00DD2B1E">
        <w:t xml:space="preserve">and quality </w:t>
      </w:r>
      <w:r w:rsidR="00B62FCA">
        <w:t xml:space="preserve">of </w:t>
      </w:r>
      <w:r w:rsidR="00E42796">
        <w:t xml:space="preserve">tourism-related </w:t>
      </w:r>
      <w:r w:rsidR="00AD44D3">
        <w:t xml:space="preserve">products, experiences and services </w:t>
      </w:r>
      <w:r w:rsidR="00331E07">
        <w:t>available</w:t>
      </w:r>
      <w:r w:rsidR="00E42796">
        <w:t xml:space="preserve"> in Australia is </w:t>
      </w:r>
      <w:r w:rsidR="00DD2B1E">
        <w:t>outstanding</w:t>
      </w:r>
      <w:r w:rsidR="009116A0">
        <w:t xml:space="preserve"> and it</w:t>
      </w:r>
      <w:r w:rsidR="0052200E">
        <w:t xml:space="preserve"> is pleasing to see the pri</w:t>
      </w:r>
      <w:r w:rsidR="00BB4764">
        <w:t>d</w:t>
      </w:r>
      <w:r w:rsidR="0052200E">
        <w:t xml:space="preserve">e and support of </w:t>
      </w:r>
      <w:r w:rsidR="002D4065">
        <w:t>Australia</w:t>
      </w:r>
      <w:r w:rsidR="0052200E">
        <w:t xml:space="preserve">ns for this </w:t>
      </w:r>
      <w:r w:rsidR="00BB4764">
        <w:t xml:space="preserve">vital sector. </w:t>
      </w:r>
    </w:p>
    <w:bookmarkEnd w:id="39"/>
    <w:p w14:paraId="495887FB" w14:textId="592050E6" w:rsidR="00BA0140" w:rsidRDefault="00C44AE4" w:rsidP="00BA0140">
      <w:pPr>
        <w:spacing w:before="0" w:after="160" w:line="254" w:lineRule="auto"/>
        <w:rPr>
          <w:b/>
          <w:bCs/>
        </w:rPr>
      </w:pPr>
      <w:r>
        <w:rPr>
          <w:b/>
          <w:bCs/>
        </w:rPr>
        <w:t>Grant Ferres</w:t>
      </w:r>
    </w:p>
    <w:p w14:paraId="6465725C" w14:textId="0975F233" w:rsidR="00BA0140" w:rsidRDefault="00C44AE4" w:rsidP="00BA0140">
      <w:pPr>
        <w:spacing w:before="0" w:after="160" w:line="254" w:lineRule="auto"/>
      </w:pPr>
      <w:r>
        <w:t>Head of Tourism Research Australia</w:t>
      </w:r>
    </w:p>
    <w:p w14:paraId="6DC1A4C1" w14:textId="38DA851D" w:rsidR="00BA0140" w:rsidRDefault="00BA0140">
      <w:pPr>
        <w:spacing w:before="0" w:after="160" w:line="259" w:lineRule="auto"/>
        <w:rPr>
          <w:rFonts w:eastAsia="SimSun" w:cs="Times New Roman"/>
          <w:bCs/>
          <w:color w:val="3D2141" w:themeColor="accent1" w:themeShade="80"/>
          <w:sz w:val="32"/>
          <w:szCs w:val="26"/>
          <w:lang w:eastAsia="zh-CN"/>
        </w:rPr>
      </w:pPr>
      <w:r>
        <w:br w:type="page"/>
      </w:r>
    </w:p>
    <w:sdt>
      <w:sdtPr>
        <w:rPr>
          <w:rFonts w:ascii="Verdana" w:eastAsiaTheme="minorEastAsia" w:hAnsi="Verdana" w:cstheme="minorBidi"/>
          <w:color w:val="000000" w:themeColor="text1"/>
          <w:sz w:val="20"/>
          <w:szCs w:val="20"/>
          <w:lang w:val="en-AU"/>
        </w:rPr>
        <w:id w:val="-741404636"/>
        <w:docPartObj>
          <w:docPartGallery w:val="Table of Contents"/>
          <w:docPartUnique/>
        </w:docPartObj>
      </w:sdtPr>
      <w:sdtEndPr>
        <w:rPr>
          <w:b/>
        </w:rPr>
      </w:sdtEndPr>
      <w:sdtContent>
        <w:p w14:paraId="4C6A1C76" w14:textId="6A9ED1EB" w:rsidR="003D6F90" w:rsidRDefault="003D6F90">
          <w:pPr>
            <w:pStyle w:val="TOCHeading"/>
          </w:pPr>
          <w:r>
            <w:t>Contents</w:t>
          </w:r>
        </w:p>
        <w:p w14:paraId="26FE9FDC" w14:textId="5148D064" w:rsidR="000F0D67" w:rsidRDefault="003D6F90" w:rsidP="009C64E4">
          <w:pPr>
            <w:pStyle w:val="TOC1"/>
            <w:spacing w:before="120" w:after="120" w:line="240" w:lineRule="exact"/>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67113867" w:history="1">
            <w:r w:rsidR="000F0D67" w:rsidRPr="00D34904">
              <w:rPr>
                <w:rStyle w:val="Hyperlink"/>
                <w:noProof/>
              </w:rPr>
              <w:t>About this report</w:t>
            </w:r>
            <w:r w:rsidR="000F0D67">
              <w:rPr>
                <w:noProof/>
                <w:webHidden/>
              </w:rPr>
              <w:tab/>
            </w:r>
            <w:r w:rsidR="000F0D67">
              <w:rPr>
                <w:noProof/>
                <w:webHidden/>
              </w:rPr>
              <w:fldChar w:fldCharType="begin"/>
            </w:r>
            <w:r w:rsidR="000F0D67">
              <w:rPr>
                <w:noProof/>
                <w:webHidden/>
              </w:rPr>
              <w:instrText xml:space="preserve"> PAGEREF _Toc167113867 \h </w:instrText>
            </w:r>
            <w:r w:rsidR="000F0D67">
              <w:rPr>
                <w:noProof/>
                <w:webHidden/>
              </w:rPr>
            </w:r>
            <w:r w:rsidR="000F0D67">
              <w:rPr>
                <w:webHidden/>
              </w:rPr>
              <w:fldChar w:fldCharType="separate"/>
            </w:r>
            <w:r w:rsidR="000F0D67">
              <w:rPr>
                <w:noProof/>
                <w:webHidden/>
              </w:rPr>
              <w:t>4</w:t>
            </w:r>
            <w:r w:rsidR="000F0D67">
              <w:rPr>
                <w:noProof/>
                <w:webHidden/>
              </w:rPr>
              <w:fldChar w:fldCharType="end"/>
            </w:r>
          </w:hyperlink>
        </w:p>
        <w:p w14:paraId="1147882D" w14:textId="24C9677A"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68" w:history="1">
            <w:r w:rsidR="000F0D67" w:rsidRPr="00D34904">
              <w:rPr>
                <w:rStyle w:val="Hyperlink"/>
              </w:rPr>
              <w:t>Overview – on the path to sustainable growth</w:t>
            </w:r>
            <w:r w:rsidR="000F0D67">
              <w:rPr>
                <w:webHidden/>
              </w:rPr>
              <w:tab/>
            </w:r>
            <w:r w:rsidR="000F0D67">
              <w:rPr>
                <w:webHidden/>
              </w:rPr>
              <w:fldChar w:fldCharType="begin"/>
            </w:r>
            <w:r w:rsidR="000F0D67">
              <w:rPr>
                <w:webHidden/>
              </w:rPr>
              <w:instrText xml:space="preserve"> PAGEREF _Toc167113868 \h </w:instrText>
            </w:r>
            <w:r w:rsidR="000F0D67">
              <w:rPr>
                <w:webHidden/>
              </w:rPr>
            </w:r>
            <w:r w:rsidR="000F0D67">
              <w:rPr>
                <w:webHidden/>
              </w:rPr>
              <w:fldChar w:fldCharType="separate"/>
            </w:r>
            <w:r w:rsidR="000F0D67">
              <w:rPr>
                <w:webHidden/>
              </w:rPr>
              <w:t>4</w:t>
            </w:r>
            <w:r w:rsidR="000F0D67">
              <w:rPr>
                <w:webHidden/>
              </w:rPr>
              <w:fldChar w:fldCharType="end"/>
            </w:r>
          </w:hyperlink>
        </w:p>
        <w:p w14:paraId="003FE43E" w14:textId="57446F4D"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69" w:history="1">
            <w:r w:rsidR="000F0D67" w:rsidRPr="00D34904">
              <w:rPr>
                <w:rStyle w:val="Hyperlink"/>
                <w:noProof/>
              </w:rPr>
              <w:t>Note on recovery terminology</w:t>
            </w:r>
            <w:r w:rsidR="000F0D67">
              <w:rPr>
                <w:noProof/>
                <w:webHidden/>
              </w:rPr>
              <w:tab/>
            </w:r>
            <w:r w:rsidR="000F0D67">
              <w:rPr>
                <w:noProof/>
                <w:webHidden/>
              </w:rPr>
              <w:fldChar w:fldCharType="begin"/>
            </w:r>
            <w:r w:rsidR="000F0D67">
              <w:rPr>
                <w:noProof/>
                <w:webHidden/>
              </w:rPr>
              <w:instrText xml:space="preserve"> PAGEREF _Toc167113869 \h </w:instrText>
            </w:r>
            <w:r w:rsidR="000F0D67">
              <w:rPr>
                <w:noProof/>
                <w:webHidden/>
              </w:rPr>
            </w:r>
            <w:r w:rsidR="000F0D67">
              <w:rPr>
                <w:noProof/>
                <w:webHidden/>
              </w:rPr>
              <w:fldChar w:fldCharType="separate"/>
            </w:r>
            <w:r w:rsidR="000F0D67">
              <w:rPr>
                <w:noProof/>
                <w:webHidden/>
              </w:rPr>
              <w:t>6</w:t>
            </w:r>
            <w:r w:rsidR="000F0D67">
              <w:rPr>
                <w:noProof/>
                <w:webHidden/>
              </w:rPr>
              <w:fldChar w:fldCharType="end"/>
            </w:r>
          </w:hyperlink>
        </w:p>
        <w:p w14:paraId="2E23D359" w14:textId="10C3FC49"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70" w:history="1">
            <w:r w:rsidR="000F0D67" w:rsidRPr="00D34904">
              <w:rPr>
                <w:rStyle w:val="Hyperlink"/>
              </w:rPr>
              <w:t>Statistical summary</w:t>
            </w:r>
            <w:r w:rsidR="000F0D67">
              <w:rPr>
                <w:webHidden/>
              </w:rPr>
              <w:tab/>
            </w:r>
            <w:r w:rsidR="000F0D67">
              <w:rPr>
                <w:webHidden/>
              </w:rPr>
              <w:fldChar w:fldCharType="begin"/>
            </w:r>
            <w:r w:rsidR="000F0D67">
              <w:rPr>
                <w:webHidden/>
              </w:rPr>
              <w:instrText xml:space="preserve"> PAGEREF _Toc167113870 \h </w:instrText>
            </w:r>
            <w:r w:rsidR="000F0D67">
              <w:rPr>
                <w:webHidden/>
              </w:rPr>
            </w:r>
            <w:r w:rsidR="000F0D67">
              <w:rPr>
                <w:webHidden/>
              </w:rPr>
              <w:fldChar w:fldCharType="separate"/>
            </w:r>
            <w:r w:rsidR="000F0D67">
              <w:rPr>
                <w:webHidden/>
              </w:rPr>
              <w:t>8</w:t>
            </w:r>
            <w:r w:rsidR="000F0D67">
              <w:rPr>
                <w:webHidden/>
              </w:rPr>
              <w:fldChar w:fldCharType="end"/>
            </w:r>
          </w:hyperlink>
        </w:p>
        <w:p w14:paraId="2F6FD959" w14:textId="02547A69"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1" w:history="1">
            <w:r w:rsidR="000F0D67" w:rsidRPr="00D34904">
              <w:rPr>
                <w:rStyle w:val="Hyperlink"/>
                <w:noProof/>
              </w:rPr>
              <w:t>Table of demand measures</w:t>
            </w:r>
            <w:r w:rsidR="000F0D67">
              <w:rPr>
                <w:noProof/>
                <w:webHidden/>
              </w:rPr>
              <w:tab/>
            </w:r>
            <w:r w:rsidR="000F0D67">
              <w:rPr>
                <w:noProof/>
                <w:webHidden/>
              </w:rPr>
              <w:fldChar w:fldCharType="begin"/>
            </w:r>
            <w:r w:rsidR="000F0D67">
              <w:rPr>
                <w:noProof/>
                <w:webHidden/>
              </w:rPr>
              <w:instrText xml:space="preserve"> PAGEREF _Toc167113871 \h </w:instrText>
            </w:r>
            <w:r w:rsidR="000F0D67">
              <w:rPr>
                <w:noProof/>
                <w:webHidden/>
              </w:rPr>
            </w:r>
            <w:r w:rsidR="000F0D67">
              <w:rPr>
                <w:noProof/>
                <w:webHidden/>
              </w:rPr>
              <w:fldChar w:fldCharType="separate"/>
            </w:r>
            <w:r w:rsidR="000F0D67">
              <w:rPr>
                <w:noProof/>
                <w:webHidden/>
              </w:rPr>
              <w:t>8</w:t>
            </w:r>
            <w:r w:rsidR="000F0D67">
              <w:rPr>
                <w:noProof/>
                <w:webHidden/>
              </w:rPr>
              <w:fldChar w:fldCharType="end"/>
            </w:r>
          </w:hyperlink>
        </w:p>
        <w:p w14:paraId="70F1EF4A" w14:textId="1F3A103B"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2" w:history="1">
            <w:r w:rsidR="000F0D67" w:rsidRPr="00D34904">
              <w:rPr>
                <w:rStyle w:val="Hyperlink"/>
                <w:noProof/>
              </w:rPr>
              <w:t>Table of supply measures</w:t>
            </w:r>
            <w:r w:rsidR="000F0D67">
              <w:rPr>
                <w:noProof/>
                <w:webHidden/>
              </w:rPr>
              <w:tab/>
            </w:r>
            <w:r w:rsidR="000F0D67">
              <w:rPr>
                <w:noProof/>
                <w:webHidden/>
              </w:rPr>
              <w:fldChar w:fldCharType="begin"/>
            </w:r>
            <w:r w:rsidR="000F0D67">
              <w:rPr>
                <w:noProof/>
                <w:webHidden/>
              </w:rPr>
              <w:instrText xml:space="preserve"> PAGEREF _Toc167113872 \h </w:instrText>
            </w:r>
            <w:r w:rsidR="000F0D67">
              <w:rPr>
                <w:noProof/>
                <w:webHidden/>
              </w:rPr>
            </w:r>
            <w:r w:rsidR="000F0D67">
              <w:rPr>
                <w:noProof/>
                <w:webHidden/>
              </w:rPr>
              <w:fldChar w:fldCharType="separate"/>
            </w:r>
            <w:r w:rsidR="000F0D67">
              <w:rPr>
                <w:noProof/>
                <w:webHidden/>
              </w:rPr>
              <w:t>9</w:t>
            </w:r>
            <w:r w:rsidR="000F0D67">
              <w:rPr>
                <w:noProof/>
                <w:webHidden/>
              </w:rPr>
              <w:fldChar w:fldCharType="end"/>
            </w:r>
          </w:hyperlink>
        </w:p>
        <w:p w14:paraId="0C75E06C" w14:textId="2EDD6A98" w:rsidR="000F0D67" w:rsidRPr="0028011D"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73" w:history="1">
            <w:r w:rsidR="000F0D67" w:rsidRPr="0028011D">
              <w:rPr>
                <w:rStyle w:val="Hyperlink"/>
                <w:b/>
                <w:bCs/>
              </w:rPr>
              <w:t>International demand</w:t>
            </w:r>
            <w:r w:rsidR="000F0D67" w:rsidRPr="0028011D">
              <w:rPr>
                <w:webHidden/>
              </w:rPr>
              <w:tab/>
            </w:r>
            <w:r w:rsidR="000F0D67" w:rsidRPr="0028011D">
              <w:rPr>
                <w:webHidden/>
              </w:rPr>
              <w:fldChar w:fldCharType="begin"/>
            </w:r>
            <w:r w:rsidR="000F0D67" w:rsidRPr="0028011D">
              <w:rPr>
                <w:webHidden/>
              </w:rPr>
              <w:instrText xml:space="preserve"> PAGEREF _Toc167113873 \h </w:instrText>
            </w:r>
            <w:r w:rsidR="000F0D67" w:rsidRPr="0028011D">
              <w:rPr>
                <w:webHidden/>
              </w:rPr>
            </w:r>
            <w:r w:rsidR="000F0D67" w:rsidRPr="0028011D">
              <w:rPr>
                <w:webHidden/>
              </w:rPr>
              <w:fldChar w:fldCharType="separate"/>
            </w:r>
            <w:r w:rsidR="000F0D67" w:rsidRPr="0028011D">
              <w:rPr>
                <w:webHidden/>
              </w:rPr>
              <w:t>12</w:t>
            </w:r>
            <w:r w:rsidR="000F0D67" w:rsidRPr="0028011D">
              <w:rPr>
                <w:webHidden/>
              </w:rPr>
              <w:fldChar w:fldCharType="end"/>
            </w:r>
          </w:hyperlink>
        </w:p>
        <w:p w14:paraId="212F5080" w14:textId="40EEDC5C"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4" w:history="1">
            <w:r w:rsidR="000F0D67" w:rsidRPr="00D34904">
              <w:rPr>
                <w:rStyle w:val="Hyperlink"/>
                <w:noProof/>
              </w:rPr>
              <w:t>Overview of international tourism demand in Australia</w:t>
            </w:r>
            <w:r w:rsidR="000F0D67">
              <w:rPr>
                <w:noProof/>
                <w:webHidden/>
              </w:rPr>
              <w:tab/>
            </w:r>
            <w:r w:rsidR="000F0D67">
              <w:rPr>
                <w:noProof/>
                <w:webHidden/>
              </w:rPr>
              <w:fldChar w:fldCharType="begin"/>
            </w:r>
            <w:r w:rsidR="000F0D67">
              <w:rPr>
                <w:noProof/>
                <w:webHidden/>
              </w:rPr>
              <w:instrText xml:space="preserve"> PAGEREF _Toc167113874 \h </w:instrText>
            </w:r>
            <w:r w:rsidR="000F0D67">
              <w:rPr>
                <w:noProof/>
                <w:webHidden/>
              </w:rPr>
            </w:r>
            <w:r w:rsidR="000F0D67">
              <w:rPr>
                <w:noProof/>
                <w:webHidden/>
              </w:rPr>
              <w:fldChar w:fldCharType="separate"/>
            </w:r>
            <w:r w:rsidR="000F0D67">
              <w:rPr>
                <w:noProof/>
                <w:webHidden/>
              </w:rPr>
              <w:t>12</w:t>
            </w:r>
            <w:r w:rsidR="000F0D67">
              <w:rPr>
                <w:noProof/>
                <w:webHidden/>
              </w:rPr>
              <w:fldChar w:fldCharType="end"/>
            </w:r>
          </w:hyperlink>
        </w:p>
        <w:p w14:paraId="2F2FF9FF" w14:textId="6FA0A5E5"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5" w:history="1">
            <w:r w:rsidR="000F0D67" w:rsidRPr="00D34904">
              <w:rPr>
                <w:rStyle w:val="Hyperlink"/>
                <w:noProof/>
                <w:lang w:eastAsia="zh-CN"/>
              </w:rPr>
              <w:t>International arrivals by purpose</w:t>
            </w:r>
            <w:r w:rsidR="000F0D67">
              <w:rPr>
                <w:noProof/>
                <w:webHidden/>
              </w:rPr>
              <w:tab/>
            </w:r>
            <w:r w:rsidR="000F0D67">
              <w:rPr>
                <w:noProof/>
                <w:webHidden/>
              </w:rPr>
              <w:fldChar w:fldCharType="begin"/>
            </w:r>
            <w:r w:rsidR="000F0D67">
              <w:rPr>
                <w:noProof/>
                <w:webHidden/>
              </w:rPr>
              <w:instrText xml:space="preserve"> PAGEREF _Toc167113875 \h </w:instrText>
            </w:r>
            <w:r w:rsidR="000F0D67">
              <w:rPr>
                <w:noProof/>
                <w:webHidden/>
              </w:rPr>
            </w:r>
            <w:r w:rsidR="000F0D67">
              <w:rPr>
                <w:noProof/>
                <w:webHidden/>
              </w:rPr>
              <w:fldChar w:fldCharType="separate"/>
            </w:r>
            <w:r w:rsidR="000F0D67">
              <w:rPr>
                <w:noProof/>
                <w:webHidden/>
              </w:rPr>
              <w:t>13</w:t>
            </w:r>
            <w:r w:rsidR="000F0D67">
              <w:rPr>
                <w:noProof/>
                <w:webHidden/>
              </w:rPr>
              <w:fldChar w:fldCharType="end"/>
            </w:r>
          </w:hyperlink>
        </w:p>
        <w:p w14:paraId="5E9667A7" w14:textId="6EC88A1B"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6" w:history="1">
            <w:r w:rsidR="000F0D67" w:rsidRPr="00D34904">
              <w:rPr>
                <w:rStyle w:val="Hyperlink"/>
                <w:noProof/>
              </w:rPr>
              <w:t>International arrivals by source market</w:t>
            </w:r>
            <w:r w:rsidR="000F0D67">
              <w:rPr>
                <w:noProof/>
                <w:webHidden/>
              </w:rPr>
              <w:tab/>
            </w:r>
            <w:r w:rsidR="000F0D67">
              <w:rPr>
                <w:noProof/>
                <w:webHidden/>
              </w:rPr>
              <w:fldChar w:fldCharType="begin"/>
            </w:r>
            <w:r w:rsidR="000F0D67">
              <w:rPr>
                <w:noProof/>
                <w:webHidden/>
              </w:rPr>
              <w:instrText xml:space="preserve"> PAGEREF _Toc167113876 \h </w:instrText>
            </w:r>
            <w:r w:rsidR="000F0D67">
              <w:rPr>
                <w:noProof/>
                <w:webHidden/>
              </w:rPr>
            </w:r>
            <w:r w:rsidR="000F0D67">
              <w:rPr>
                <w:noProof/>
                <w:webHidden/>
              </w:rPr>
              <w:fldChar w:fldCharType="separate"/>
            </w:r>
            <w:r w:rsidR="000F0D67">
              <w:rPr>
                <w:noProof/>
                <w:webHidden/>
              </w:rPr>
              <w:t>16</w:t>
            </w:r>
            <w:r w:rsidR="000F0D67">
              <w:rPr>
                <w:noProof/>
                <w:webHidden/>
              </w:rPr>
              <w:fldChar w:fldCharType="end"/>
            </w:r>
          </w:hyperlink>
        </w:p>
        <w:p w14:paraId="4B135E77" w14:textId="68E32782"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7" w:history="1">
            <w:r w:rsidR="000F0D67" w:rsidRPr="00D34904">
              <w:rPr>
                <w:rStyle w:val="Hyperlink"/>
                <w:noProof/>
              </w:rPr>
              <w:t>International visitor activities</w:t>
            </w:r>
            <w:r w:rsidR="000F0D67">
              <w:rPr>
                <w:noProof/>
                <w:webHidden/>
              </w:rPr>
              <w:tab/>
            </w:r>
            <w:r w:rsidR="000F0D67">
              <w:rPr>
                <w:noProof/>
                <w:webHidden/>
              </w:rPr>
              <w:fldChar w:fldCharType="begin"/>
            </w:r>
            <w:r w:rsidR="000F0D67">
              <w:rPr>
                <w:noProof/>
                <w:webHidden/>
              </w:rPr>
              <w:instrText xml:space="preserve"> PAGEREF _Toc167113877 \h </w:instrText>
            </w:r>
            <w:r w:rsidR="000F0D67">
              <w:rPr>
                <w:noProof/>
                <w:webHidden/>
              </w:rPr>
            </w:r>
            <w:r w:rsidR="000F0D67">
              <w:rPr>
                <w:noProof/>
                <w:webHidden/>
              </w:rPr>
              <w:fldChar w:fldCharType="separate"/>
            </w:r>
            <w:r w:rsidR="000F0D67">
              <w:rPr>
                <w:noProof/>
                <w:webHidden/>
              </w:rPr>
              <w:t>19</w:t>
            </w:r>
            <w:r w:rsidR="000F0D67">
              <w:rPr>
                <w:noProof/>
                <w:webHidden/>
              </w:rPr>
              <w:fldChar w:fldCharType="end"/>
            </w:r>
          </w:hyperlink>
        </w:p>
        <w:p w14:paraId="411BCB2E" w14:textId="04D2C7E3"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78" w:history="1">
            <w:r w:rsidR="000F0D67" w:rsidRPr="00D34904">
              <w:rPr>
                <w:rStyle w:val="Hyperlink"/>
                <w:noProof/>
                <w:lang w:eastAsia="zh-CN"/>
              </w:rPr>
              <w:t>International education travel</w:t>
            </w:r>
            <w:r w:rsidR="000F0D67">
              <w:rPr>
                <w:noProof/>
                <w:webHidden/>
              </w:rPr>
              <w:tab/>
            </w:r>
            <w:r w:rsidR="000F0D67">
              <w:rPr>
                <w:noProof/>
                <w:webHidden/>
              </w:rPr>
              <w:fldChar w:fldCharType="begin"/>
            </w:r>
            <w:r w:rsidR="000F0D67">
              <w:rPr>
                <w:noProof/>
                <w:webHidden/>
              </w:rPr>
              <w:instrText xml:space="preserve"> PAGEREF _Toc167113878 \h </w:instrText>
            </w:r>
            <w:r w:rsidR="000F0D67">
              <w:rPr>
                <w:noProof/>
                <w:webHidden/>
              </w:rPr>
            </w:r>
            <w:r w:rsidR="000F0D67">
              <w:rPr>
                <w:noProof/>
                <w:webHidden/>
              </w:rPr>
              <w:fldChar w:fldCharType="separate"/>
            </w:r>
            <w:r w:rsidR="000F0D67">
              <w:rPr>
                <w:noProof/>
                <w:webHidden/>
              </w:rPr>
              <w:t>20</w:t>
            </w:r>
            <w:r w:rsidR="000F0D67">
              <w:rPr>
                <w:noProof/>
                <w:webHidden/>
              </w:rPr>
              <w:fldChar w:fldCharType="end"/>
            </w:r>
          </w:hyperlink>
        </w:p>
        <w:p w14:paraId="624E7648" w14:textId="541A5018"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79" w:history="1">
            <w:r w:rsidR="000F0D67" w:rsidRPr="00D34904">
              <w:rPr>
                <w:rStyle w:val="Hyperlink"/>
              </w:rPr>
              <w:t>Australian resident outbound travel</w:t>
            </w:r>
            <w:r w:rsidR="000F0D67">
              <w:rPr>
                <w:webHidden/>
              </w:rPr>
              <w:tab/>
            </w:r>
            <w:r w:rsidR="000F0D67">
              <w:rPr>
                <w:webHidden/>
              </w:rPr>
              <w:fldChar w:fldCharType="begin"/>
            </w:r>
            <w:r w:rsidR="000F0D67">
              <w:rPr>
                <w:webHidden/>
              </w:rPr>
              <w:instrText xml:space="preserve"> PAGEREF _Toc167113879 \h </w:instrText>
            </w:r>
            <w:r w:rsidR="000F0D67">
              <w:rPr>
                <w:webHidden/>
              </w:rPr>
            </w:r>
            <w:r w:rsidR="000F0D67">
              <w:rPr>
                <w:webHidden/>
              </w:rPr>
              <w:fldChar w:fldCharType="separate"/>
            </w:r>
            <w:r w:rsidR="000F0D67">
              <w:rPr>
                <w:webHidden/>
              </w:rPr>
              <w:t>23</w:t>
            </w:r>
            <w:r w:rsidR="000F0D67">
              <w:rPr>
                <w:webHidden/>
              </w:rPr>
              <w:fldChar w:fldCharType="end"/>
            </w:r>
          </w:hyperlink>
        </w:p>
        <w:p w14:paraId="771C8870" w14:textId="1133F01C" w:rsidR="000F0D67" w:rsidRPr="0028011D"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80" w:history="1">
            <w:r w:rsidR="000F0D67" w:rsidRPr="0028011D">
              <w:rPr>
                <w:rStyle w:val="Hyperlink"/>
                <w:b/>
                <w:bCs/>
              </w:rPr>
              <w:t>Domestic demand</w:t>
            </w:r>
            <w:r w:rsidR="000F0D67" w:rsidRPr="0028011D">
              <w:rPr>
                <w:webHidden/>
              </w:rPr>
              <w:tab/>
            </w:r>
            <w:r w:rsidR="000F0D67" w:rsidRPr="0028011D">
              <w:rPr>
                <w:webHidden/>
              </w:rPr>
              <w:fldChar w:fldCharType="begin"/>
            </w:r>
            <w:r w:rsidR="000F0D67" w:rsidRPr="0028011D">
              <w:rPr>
                <w:webHidden/>
              </w:rPr>
              <w:instrText xml:space="preserve"> PAGEREF _Toc167113880 \h </w:instrText>
            </w:r>
            <w:r w:rsidR="000F0D67" w:rsidRPr="0028011D">
              <w:rPr>
                <w:webHidden/>
              </w:rPr>
            </w:r>
            <w:r w:rsidR="000F0D67" w:rsidRPr="0028011D">
              <w:rPr>
                <w:webHidden/>
              </w:rPr>
              <w:fldChar w:fldCharType="separate"/>
            </w:r>
            <w:r w:rsidR="000F0D67" w:rsidRPr="0028011D">
              <w:rPr>
                <w:webHidden/>
              </w:rPr>
              <w:t>27</w:t>
            </w:r>
            <w:r w:rsidR="000F0D67" w:rsidRPr="0028011D">
              <w:rPr>
                <w:webHidden/>
              </w:rPr>
              <w:fldChar w:fldCharType="end"/>
            </w:r>
          </w:hyperlink>
        </w:p>
        <w:p w14:paraId="1CAB1A30" w14:textId="4A4282EE"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1" w:history="1">
            <w:r w:rsidR="000F0D67" w:rsidRPr="00D34904">
              <w:rPr>
                <w:rStyle w:val="Hyperlink"/>
                <w:noProof/>
              </w:rPr>
              <w:t>Overview of domestic tourism demand</w:t>
            </w:r>
            <w:r w:rsidR="000F0D67">
              <w:rPr>
                <w:noProof/>
                <w:webHidden/>
              </w:rPr>
              <w:tab/>
            </w:r>
            <w:r w:rsidR="000F0D67">
              <w:rPr>
                <w:noProof/>
                <w:webHidden/>
              </w:rPr>
              <w:fldChar w:fldCharType="begin"/>
            </w:r>
            <w:r w:rsidR="000F0D67">
              <w:rPr>
                <w:noProof/>
                <w:webHidden/>
              </w:rPr>
              <w:instrText xml:space="preserve"> PAGEREF _Toc167113881 \h </w:instrText>
            </w:r>
            <w:r w:rsidR="000F0D67">
              <w:rPr>
                <w:noProof/>
                <w:webHidden/>
              </w:rPr>
            </w:r>
            <w:r w:rsidR="000F0D67">
              <w:rPr>
                <w:noProof/>
                <w:webHidden/>
              </w:rPr>
              <w:fldChar w:fldCharType="separate"/>
            </w:r>
            <w:r w:rsidR="000F0D67">
              <w:rPr>
                <w:noProof/>
                <w:webHidden/>
              </w:rPr>
              <w:t>27</w:t>
            </w:r>
            <w:r w:rsidR="000F0D67">
              <w:rPr>
                <w:noProof/>
                <w:webHidden/>
              </w:rPr>
              <w:fldChar w:fldCharType="end"/>
            </w:r>
          </w:hyperlink>
        </w:p>
        <w:p w14:paraId="6B1873AF" w14:textId="1E88BEF4"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2" w:history="1">
            <w:r w:rsidR="000F0D67" w:rsidRPr="00D34904">
              <w:rPr>
                <w:rStyle w:val="Hyperlink"/>
                <w:noProof/>
              </w:rPr>
              <w:t>Domestic travel</w:t>
            </w:r>
            <w:r w:rsidR="000F0D67">
              <w:rPr>
                <w:noProof/>
                <w:webHidden/>
              </w:rPr>
              <w:tab/>
            </w:r>
            <w:r w:rsidR="000F0D67">
              <w:rPr>
                <w:noProof/>
                <w:webHidden/>
              </w:rPr>
              <w:fldChar w:fldCharType="begin"/>
            </w:r>
            <w:r w:rsidR="000F0D67">
              <w:rPr>
                <w:noProof/>
                <w:webHidden/>
              </w:rPr>
              <w:instrText xml:space="preserve"> PAGEREF _Toc167113882 \h </w:instrText>
            </w:r>
            <w:r w:rsidR="000F0D67">
              <w:rPr>
                <w:noProof/>
                <w:webHidden/>
              </w:rPr>
            </w:r>
            <w:r w:rsidR="000F0D67">
              <w:rPr>
                <w:noProof/>
                <w:webHidden/>
              </w:rPr>
              <w:fldChar w:fldCharType="separate"/>
            </w:r>
            <w:r w:rsidR="000F0D67">
              <w:rPr>
                <w:noProof/>
                <w:webHidden/>
              </w:rPr>
              <w:t>29</w:t>
            </w:r>
            <w:r w:rsidR="000F0D67">
              <w:rPr>
                <w:noProof/>
                <w:webHidden/>
              </w:rPr>
              <w:fldChar w:fldCharType="end"/>
            </w:r>
          </w:hyperlink>
        </w:p>
        <w:p w14:paraId="241AEF05" w14:textId="1130B00A"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3" w:history="1">
            <w:r w:rsidR="000F0D67" w:rsidRPr="00D34904">
              <w:rPr>
                <w:rStyle w:val="Hyperlink"/>
                <w:noProof/>
              </w:rPr>
              <w:t>Domestic day trips</w:t>
            </w:r>
            <w:r w:rsidR="000F0D67">
              <w:rPr>
                <w:noProof/>
                <w:webHidden/>
              </w:rPr>
              <w:tab/>
            </w:r>
            <w:r w:rsidR="000F0D67">
              <w:rPr>
                <w:noProof/>
                <w:webHidden/>
              </w:rPr>
              <w:fldChar w:fldCharType="begin"/>
            </w:r>
            <w:r w:rsidR="000F0D67">
              <w:rPr>
                <w:noProof/>
                <w:webHidden/>
              </w:rPr>
              <w:instrText xml:space="preserve"> PAGEREF _Toc167113883 \h </w:instrText>
            </w:r>
            <w:r w:rsidR="000F0D67">
              <w:rPr>
                <w:noProof/>
                <w:webHidden/>
              </w:rPr>
            </w:r>
            <w:r w:rsidR="000F0D67">
              <w:rPr>
                <w:noProof/>
                <w:webHidden/>
              </w:rPr>
              <w:fldChar w:fldCharType="separate"/>
            </w:r>
            <w:r w:rsidR="000F0D67">
              <w:rPr>
                <w:noProof/>
                <w:webHidden/>
              </w:rPr>
              <w:t>31</w:t>
            </w:r>
            <w:r w:rsidR="000F0D67">
              <w:rPr>
                <w:noProof/>
                <w:webHidden/>
              </w:rPr>
              <w:fldChar w:fldCharType="end"/>
            </w:r>
          </w:hyperlink>
        </w:p>
        <w:p w14:paraId="385062C4" w14:textId="24E73A5E"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4" w:history="1">
            <w:r w:rsidR="000F0D67" w:rsidRPr="00D34904">
              <w:rPr>
                <w:rStyle w:val="Hyperlink"/>
                <w:noProof/>
              </w:rPr>
              <w:t>Domestic overnight trips</w:t>
            </w:r>
            <w:r w:rsidR="000F0D67">
              <w:rPr>
                <w:noProof/>
                <w:webHidden/>
              </w:rPr>
              <w:tab/>
            </w:r>
            <w:r w:rsidR="000F0D67">
              <w:rPr>
                <w:noProof/>
                <w:webHidden/>
              </w:rPr>
              <w:fldChar w:fldCharType="begin"/>
            </w:r>
            <w:r w:rsidR="000F0D67">
              <w:rPr>
                <w:noProof/>
                <w:webHidden/>
              </w:rPr>
              <w:instrText xml:space="preserve"> PAGEREF _Toc167113884 \h </w:instrText>
            </w:r>
            <w:r w:rsidR="000F0D67">
              <w:rPr>
                <w:noProof/>
                <w:webHidden/>
              </w:rPr>
            </w:r>
            <w:r w:rsidR="000F0D67">
              <w:rPr>
                <w:noProof/>
                <w:webHidden/>
              </w:rPr>
              <w:fldChar w:fldCharType="separate"/>
            </w:r>
            <w:r w:rsidR="000F0D67">
              <w:rPr>
                <w:noProof/>
                <w:webHidden/>
              </w:rPr>
              <w:t>32</w:t>
            </w:r>
            <w:r w:rsidR="000F0D67">
              <w:rPr>
                <w:noProof/>
                <w:webHidden/>
              </w:rPr>
              <w:fldChar w:fldCharType="end"/>
            </w:r>
          </w:hyperlink>
        </w:p>
        <w:p w14:paraId="7EE9CBC5" w14:textId="5D1EDFB8"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5" w:history="1">
            <w:r w:rsidR="000F0D67" w:rsidRPr="00D34904">
              <w:rPr>
                <w:rStyle w:val="Hyperlink"/>
                <w:noProof/>
              </w:rPr>
              <w:t>Domestic travel by state/territory</w:t>
            </w:r>
            <w:r w:rsidR="000F0D67">
              <w:rPr>
                <w:noProof/>
                <w:webHidden/>
              </w:rPr>
              <w:tab/>
            </w:r>
            <w:r w:rsidR="000F0D67">
              <w:rPr>
                <w:noProof/>
                <w:webHidden/>
              </w:rPr>
              <w:fldChar w:fldCharType="begin"/>
            </w:r>
            <w:r w:rsidR="000F0D67">
              <w:rPr>
                <w:noProof/>
                <w:webHidden/>
              </w:rPr>
              <w:instrText xml:space="preserve"> PAGEREF _Toc167113885 \h </w:instrText>
            </w:r>
            <w:r w:rsidR="000F0D67">
              <w:rPr>
                <w:noProof/>
                <w:webHidden/>
              </w:rPr>
            </w:r>
            <w:r w:rsidR="000F0D67">
              <w:rPr>
                <w:noProof/>
                <w:webHidden/>
              </w:rPr>
              <w:fldChar w:fldCharType="separate"/>
            </w:r>
            <w:r w:rsidR="000F0D67">
              <w:rPr>
                <w:noProof/>
                <w:webHidden/>
              </w:rPr>
              <w:t>39</w:t>
            </w:r>
            <w:r w:rsidR="000F0D67">
              <w:rPr>
                <w:noProof/>
                <w:webHidden/>
              </w:rPr>
              <w:fldChar w:fldCharType="end"/>
            </w:r>
          </w:hyperlink>
        </w:p>
        <w:p w14:paraId="6A3B4B36" w14:textId="7E3EFE3E"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86" w:history="1">
            <w:r w:rsidR="000F0D67" w:rsidRPr="00D34904">
              <w:rPr>
                <w:rStyle w:val="Hyperlink"/>
                <w:noProof/>
              </w:rPr>
              <w:t>Mobility data</w:t>
            </w:r>
            <w:r w:rsidR="000F0D67">
              <w:rPr>
                <w:noProof/>
                <w:webHidden/>
              </w:rPr>
              <w:tab/>
            </w:r>
            <w:r w:rsidR="000F0D67">
              <w:rPr>
                <w:noProof/>
                <w:webHidden/>
              </w:rPr>
              <w:fldChar w:fldCharType="begin"/>
            </w:r>
            <w:r w:rsidR="000F0D67">
              <w:rPr>
                <w:noProof/>
                <w:webHidden/>
              </w:rPr>
              <w:instrText xml:space="preserve"> PAGEREF _Toc167113886 \h </w:instrText>
            </w:r>
            <w:r w:rsidR="000F0D67">
              <w:rPr>
                <w:noProof/>
                <w:webHidden/>
              </w:rPr>
            </w:r>
            <w:r w:rsidR="000F0D67">
              <w:rPr>
                <w:noProof/>
                <w:webHidden/>
              </w:rPr>
              <w:fldChar w:fldCharType="separate"/>
            </w:r>
            <w:r w:rsidR="000F0D67">
              <w:rPr>
                <w:noProof/>
                <w:webHidden/>
              </w:rPr>
              <w:t>40</w:t>
            </w:r>
            <w:r w:rsidR="000F0D67">
              <w:rPr>
                <w:noProof/>
                <w:webHidden/>
              </w:rPr>
              <w:fldChar w:fldCharType="end"/>
            </w:r>
          </w:hyperlink>
        </w:p>
        <w:p w14:paraId="7FC14030" w14:textId="7093E970"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87" w:history="1">
            <w:r w:rsidR="000F0D67" w:rsidRPr="00D34904">
              <w:rPr>
                <w:rStyle w:val="Hyperlink"/>
              </w:rPr>
              <w:t>Sustainability in tourism</w:t>
            </w:r>
            <w:r w:rsidR="000F0D67">
              <w:rPr>
                <w:webHidden/>
              </w:rPr>
              <w:tab/>
            </w:r>
            <w:r w:rsidR="000F0D67">
              <w:rPr>
                <w:webHidden/>
              </w:rPr>
              <w:fldChar w:fldCharType="begin"/>
            </w:r>
            <w:r w:rsidR="000F0D67">
              <w:rPr>
                <w:webHidden/>
              </w:rPr>
              <w:instrText xml:space="preserve"> PAGEREF _Toc167113887 \h </w:instrText>
            </w:r>
            <w:r w:rsidR="000F0D67">
              <w:rPr>
                <w:webHidden/>
              </w:rPr>
            </w:r>
            <w:r w:rsidR="000F0D67">
              <w:rPr>
                <w:webHidden/>
              </w:rPr>
              <w:fldChar w:fldCharType="separate"/>
            </w:r>
            <w:r w:rsidR="000F0D67">
              <w:rPr>
                <w:webHidden/>
              </w:rPr>
              <w:t>41</w:t>
            </w:r>
            <w:r w:rsidR="000F0D67">
              <w:rPr>
                <w:webHidden/>
              </w:rPr>
              <w:fldChar w:fldCharType="end"/>
            </w:r>
          </w:hyperlink>
        </w:p>
        <w:p w14:paraId="33C86F05" w14:textId="10390FCF"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88" w:history="1">
            <w:r w:rsidR="000F0D67" w:rsidRPr="00D34904">
              <w:rPr>
                <w:rStyle w:val="Hyperlink"/>
              </w:rPr>
              <w:t>Travellers with accessibility needs</w:t>
            </w:r>
            <w:r w:rsidR="000F0D67">
              <w:rPr>
                <w:webHidden/>
              </w:rPr>
              <w:tab/>
            </w:r>
            <w:r w:rsidR="000F0D67">
              <w:rPr>
                <w:webHidden/>
              </w:rPr>
              <w:fldChar w:fldCharType="begin"/>
            </w:r>
            <w:r w:rsidR="000F0D67">
              <w:rPr>
                <w:webHidden/>
              </w:rPr>
              <w:instrText xml:space="preserve"> PAGEREF _Toc167113888 \h </w:instrText>
            </w:r>
            <w:r w:rsidR="000F0D67">
              <w:rPr>
                <w:webHidden/>
              </w:rPr>
            </w:r>
            <w:r w:rsidR="000F0D67">
              <w:rPr>
                <w:webHidden/>
              </w:rPr>
              <w:fldChar w:fldCharType="separate"/>
            </w:r>
            <w:r w:rsidR="000F0D67">
              <w:rPr>
                <w:webHidden/>
              </w:rPr>
              <w:t>44</w:t>
            </w:r>
            <w:r w:rsidR="000F0D67">
              <w:rPr>
                <w:webHidden/>
              </w:rPr>
              <w:fldChar w:fldCharType="end"/>
            </w:r>
          </w:hyperlink>
        </w:p>
        <w:p w14:paraId="2B57D6C7" w14:textId="0B7D4E6E" w:rsidR="000F0D67" w:rsidRPr="0028011D"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89" w:history="1">
            <w:r w:rsidR="000F0D67" w:rsidRPr="0028011D">
              <w:rPr>
                <w:rStyle w:val="Hyperlink"/>
                <w:b/>
                <w:bCs/>
              </w:rPr>
              <w:t>Supply measures – capacity of the Australian visitor economy</w:t>
            </w:r>
            <w:r w:rsidR="000F0D67" w:rsidRPr="0028011D">
              <w:rPr>
                <w:webHidden/>
              </w:rPr>
              <w:tab/>
            </w:r>
            <w:r w:rsidR="000F0D67" w:rsidRPr="0028011D">
              <w:rPr>
                <w:webHidden/>
              </w:rPr>
              <w:fldChar w:fldCharType="begin"/>
            </w:r>
            <w:r w:rsidR="000F0D67" w:rsidRPr="0028011D">
              <w:rPr>
                <w:webHidden/>
              </w:rPr>
              <w:instrText xml:space="preserve"> PAGEREF _Toc167113889 \h </w:instrText>
            </w:r>
            <w:r w:rsidR="000F0D67" w:rsidRPr="0028011D">
              <w:rPr>
                <w:webHidden/>
              </w:rPr>
            </w:r>
            <w:r w:rsidR="000F0D67" w:rsidRPr="0028011D">
              <w:rPr>
                <w:webHidden/>
              </w:rPr>
              <w:fldChar w:fldCharType="separate"/>
            </w:r>
            <w:r w:rsidR="000F0D67" w:rsidRPr="0028011D">
              <w:rPr>
                <w:webHidden/>
              </w:rPr>
              <w:t>47</w:t>
            </w:r>
            <w:r w:rsidR="000F0D67" w:rsidRPr="0028011D">
              <w:rPr>
                <w:webHidden/>
              </w:rPr>
              <w:fldChar w:fldCharType="end"/>
            </w:r>
          </w:hyperlink>
        </w:p>
        <w:p w14:paraId="63D76077" w14:textId="483D48CC"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0" w:history="1">
            <w:r w:rsidR="000F0D67" w:rsidRPr="00D34904">
              <w:rPr>
                <w:rStyle w:val="Hyperlink"/>
                <w:noProof/>
                <w:lang w:eastAsia="zh-CN"/>
              </w:rPr>
              <w:t>Accommodation</w:t>
            </w:r>
            <w:r w:rsidR="000F0D67">
              <w:rPr>
                <w:noProof/>
                <w:webHidden/>
              </w:rPr>
              <w:tab/>
            </w:r>
            <w:r w:rsidR="000F0D67">
              <w:rPr>
                <w:noProof/>
                <w:webHidden/>
              </w:rPr>
              <w:fldChar w:fldCharType="begin"/>
            </w:r>
            <w:r w:rsidR="000F0D67">
              <w:rPr>
                <w:noProof/>
                <w:webHidden/>
              </w:rPr>
              <w:instrText xml:space="preserve"> PAGEREF _Toc167113890 \h </w:instrText>
            </w:r>
            <w:r w:rsidR="000F0D67">
              <w:rPr>
                <w:noProof/>
                <w:webHidden/>
              </w:rPr>
            </w:r>
            <w:r w:rsidR="000F0D67">
              <w:rPr>
                <w:noProof/>
                <w:webHidden/>
              </w:rPr>
              <w:fldChar w:fldCharType="separate"/>
            </w:r>
            <w:r w:rsidR="000F0D67">
              <w:rPr>
                <w:noProof/>
                <w:webHidden/>
              </w:rPr>
              <w:t>47</w:t>
            </w:r>
            <w:r w:rsidR="000F0D67">
              <w:rPr>
                <w:noProof/>
                <w:webHidden/>
              </w:rPr>
              <w:fldChar w:fldCharType="end"/>
            </w:r>
          </w:hyperlink>
        </w:p>
        <w:p w14:paraId="589C9CB5" w14:textId="7D5B63AE"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1" w:history="1">
            <w:r w:rsidR="000F0D67" w:rsidRPr="00D34904">
              <w:rPr>
                <w:rStyle w:val="Hyperlink"/>
                <w:noProof/>
                <w:lang w:eastAsia="zh-CN"/>
              </w:rPr>
              <w:t>Aviation</w:t>
            </w:r>
            <w:r w:rsidR="000F0D67">
              <w:rPr>
                <w:noProof/>
                <w:webHidden/>
              </w:rPr>
              <w:tab/>
            </w:r>
            <w:r w:rsidR="000F0D67">
              <w:rPr>
                <w:noProof/>
                <w:webHidden/>
              </w:rPr>
              <w:fldChar w:fldCharType="begin"/>
            </w:r>
            <w:r w:rsidR="000F0D67">
              <w:rPr>
                <w:noProof/>
                <w:webHidden/>
              </w:rPr>
              <w:instrText xml:space="preserve"> PAGEREF _Toc167113891 \h </w:instrText>
            </w:r>
            <w:r w:rsidR="000F0D67">
              <w:rPr>
                <w:noProof/>
                <w:webHidden/>
              </w:rPr>
            </w:r>
            <w:r w:rsidR="000F0D67">
              <w:rPr>
                <w:noProof/>
                <w:webHidden/>
              </w:rPr>
              <w:fldChar w:fldCharType="separate"/>
            </w:r>
            <w:r w:rsidR="000F0D67">
              <w:rPr>
                <w:noProof/>
                <w:webHidden/>
              </w:rPr>
              <w:t>50</w:t>
            </w:r>
            <w:r w:rsidR="000F0D67">
              <w:rPr>
                <w:noProof/>
                <w:webHidden/>
              </w:rPr>
              <w:fldChar w:fldCharType="end"/>
            </w:r>
          </w:hyperlink>
        </w:p>
        <w:p w14:paraId="0B349FAD" w14:textId="31357BD4"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2" w:history="1">
            <w:r w:rsidR="000F0D67" w:rsidRPr="00D34904">
              <w:rPr>
                <w:rStyle w:val="Hyperlink"/>
                <w:noProof/>
                <w:lang w:eastAsia="zh-CN"/>
              </w:rPr>
              <w:t>Employment</w:t>
            </w:r>
            <w:r w:rsidR="000F0D67">
              <w:rPr>
                <w:noProof/>
                <w:webHidden/>
              </w:rPr>
              <w:tab/>
            </w:r>
            <w:r w:rsidR="000F0D67">
              <w:rPr>
                <w:noProof/>
                <w:webHidden/>
              </w:rPr>
              <w:fldChar w:fldCharType="begin"/>
            </w:r>
            <w:r w:rsidR="000F0D67">
              <w:rPr>
                <w:noProof/>
                <w:webHidden/>
              </w:rPr>
              <w:instrText xml:space="preserve"> PAGEREF _Toc167113892 \h </w:instrText>
            </w:r>
            <w:r w:rsidR="000F0D67">
              <w:rPr>
                <w:noProof/>
                <w:webHidden/>
              </w:rPr>
            </w:r>
            <w:r w:rsidR="000F0D67">
              <w:rPr>
                <w:noProof/>
                <w:webHidden/>
              </w:rPr>
              <w:fldChar w:fldCharType="separate"/>
            </w:r>
            <w:r w:rsidR="000F0D67">
              <w:rPr>
                <w:noProof/>
                <w:webHidden/>
              </w:rPr>
              <w:t>54</w:t>
            </w:r>
            <w:r w:rsidR="000F0D67">
              <w:rPr>
                <w:noProof/>
                <w:webHidden/>
              </w:rPr>
              <w:fldChar w:fldCharType="end"/>
            </w:r>
          </w:hyperlink>
        </w:p>
        <w:p w14:paraId="7CDE741B" w14:textId="576D7FBB"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3" w:history="1">
            <w:r w:rsidR="000F0D67" w:rsidRPr="00D34904">
              <w:rPr>
                <w:rStyle w:val="Hyperlink"/>
                <w:noProof/>
                <w:lang w:eastAsia="zh-CN"/>
              </w:rPr>
              <w:t>Businesses</w:t>
            </w:r>
            <w:r w:rsidR="000F0D67">
              <w:rPr>
                <w:noProof/>
                <w:webHidden/>
              </w:rPr>
              <w:tab/>
            </w:r>
            <w:r w:rsidR="000F0D67">
              <w:rPr>
                <w:noProof/>
                <w:webHidden/>
              </w:rPr>
              <w:fldChar w:fldCharType="begin"/>
            </w:r>
            <w:r w:rsidR="000F0D67">
              <w:rPr>
                <w:noProof/>
                <w:webHidden/>
              </w:rPr>
              <w:instrText xml:space="preserve"> PAGEREF _Toc167113893 \h </w:instrText>
            </w:r>
            <w:r w:rsidR="000F0D67">
              <w:rPr>
                <w:noProof/>
                <w:webHidden/>
              </w:rPr>
            </w:r>
            <w:r w:rsidR="000F0D67">
              <w:rPr>
                <w:noProof/>
                <w:webHidden/>
              </w:rPr>
              <w:fldChar w:fldCharType="separate"/>
            </w:r>
            <w:r w:rsidR="000F0D67">
              <w:rPr>
                <w:noProof/>
                <w:webHidden/>
              </w:rPr>
              <w:t>62</w:t>
            </w:r>
            <w:r w:rsidR="000F0D67">
              <w:rPr>
                <w:noProof/>
                <w:webHidden/>
              </w:rPr>
              <w:fldChar w:fldCharType="end"/>
            </w:r>
          </w:hyperlink>
        </w:p>
        <w:p w14:paraId="7D191BDA" w14:textId="499BE3B5"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4" w:history="1">
            <w:r w:rsidR="000F0D67" w:rsidRPr="00D34904">
              <w:rPr>
                <w:rStyle w:val="Hyperlink"/>
                <w:noProof/>
                <w:lang w:eastAsia="zh-CN"/>
              </w:rPr>
              <w:t>Investment</w:t>
            </w:r>
            <w:r w:rsidR="000F0D67">
              <w:rPr>
                <w:noProof/>
                <w:webHidden/>
              </w:rPr>
              <w:tab/>
            </w:r>
            <w:r w:rsidR="000F0D67">
              <w:rPr>
                <w:noProof/>
                <w:webHidden/>
              </w:rPr>
              <w:fldChar w:fldCharType="begin"/>
            </w:r>
            <w:r w:rsidR="000F0D67">
              <w:rPr>
                <w:noProof/>
                <w:webHidden/>
              </w:rPr>
              <w:instrText xml:space="preserve"> PAGEREF _Toc167113894 \h </w:instrText>
            </w:r>
            <w:r w:rsidR="000F0D67">
              <w:rPr>
                <w:noProof/>
                <w:webHidden/>
              </w:rPr>
            </w:r>
            <w:r w:rsidR="000F0D67">
              <w:rPr>
                <w:noProof/>
                <w:webHidden/>
              </w:rPr>
              <w:fldChar w:fldCharType="separate"/>
            </w:r>
            <w:r w:rsidR="000F0D67">
              <w:rPr>
                <w:noProof/>
                <w:webHidden/>
              </w:rPr>
              <w:t>64</w:t>
            </w:r>
            <w:r w:rsidR="000F0D67">
              <w:rPr>
                <w:noProof/>
                <w:webHidden/>
              </w:rPr>
              <w:fldChar w:fldCharType="end"/>
            </w:r>
          </w:hyperlink>
        </w:p>
        <w:p w14:paraId="474E77B3" w14:textId="7772C01D"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95" w:history="1">
            <w:r w:rsidR="000F0D67" w:rsidRPr="00D34904">
              <w:rPr>
                <w:rStyle w:val="Hyperlink"/>
              </w:rPr>
              <w:t>Looking forward</w:t>
            </w:r>
            <w:r w:rsidR="000F0D67">
              <w:rPr>
                <w:webHidden/>
              </w:rPr>
              <w:tab/>
            </w:r>
            <w:r w:rsidR="000F0D67">
              <w:rPr>
                <w:webHidden/>
              </w:rPr>
              <w:fldChar w:fldCharType="begin"/>
            </w:r>
            <w:r w:rsidR="000F0D67">
              <w:rPr>
                <w:webHidden/>
              </w:rPr>
              <w:instrText xml:space="preserve"> PAGEREF _Toc167113895 \h </w:instrText>
            </w:r>
            <w:r w:rsidR="000F0D67">
              <w:rPr>
                <w:webHidden/>
              </w:rPr>
            </w:r>
            <w:r w:rsidR="000F0D67">
              <w:rPr>
                <w:webHidden/>
              </w:rPr>
              <w:fldChar w:fldCharType="separate"/>
            </w:r>
            <w:r w:rsidR="000F0D67">
              <w:rPr>
                <w:webHidden/>
              </w:rPr>
              <w:t>67</w:t>
            </w:r>
            <w:r w:rsidR="000F0D67">
              <w:rPr>
                <w:webHidden/>
              </w:rPr>
              <w:fldChar w:fldCharType="end"/>
            </w:r>
          </w:hyperlink>
        </w:p>
        <w:p w14:paraId="2852F175" w14:textId="4BD847EB"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6" w:history="1">
            <w:r w:rsidR="000F0D67" w:rsidRPr="00D34904">
              <w:rPr>
                <w:rStyle w:val="Hyperlink"/>
                <w:noProof/>
                <w:lang w:eastAsia="zh-CN"/>
              </w:rPr>
              <w:t>International outlook</w:t>
            </w:r>
            <w:r w:rsidR="000F0D67">
              <w:rPr>
                <w:noProof/>
                <w:webHidden/>
              </w:rPr>
              <w:tab/>
            </w:r>
            <w:r w:rsidR="000F0D67">
              <w:rPr>
                <w:noProof/>
                <w:webHidden/>
              </w:rPr>
              <w:fldChar w:fldCharType="begin"/>
            </w:r>
            <w:r w:rsidR="000F0D67">
              <w:rPr>
                <w:noProof/>
                <w:webHidden/>
              </w:rPr>
              <w:instrText xml:space="preserve"> PAGEREF _Toc167113896 \h </w:instrText>
            </w:r>
            <w:r w:rsidR="000F0D67">
              <w:rPr>
                <w:noProof/>
                <w:webHidden/>
              </w:rPr>
            </w:r>
            <w:r w:rsidR="000F0D67">
              <w:rPr>
                <w:noProof/>
                <w:webHidden/>
              </w:rPr>
              <w:fldChar w:fldCharType="separate"/>
            </w:r>
            <w:r w:rsidR="000F0D67">
              <w:rPr>
                <w:noProof/>
                <w:webHidden/>
              </w:rPr>
              <w:t>67</w:t>
            </w:r>
            <w:r w:rsidR="000F0D67">
              <w:rPr>
                <w:noProof/>
                <w:webHidden/>
              </w:rPr>
              <w:fldChar w:fldCharType="end"/>
            </w:r>
          </w:hyperlink>
        </w:p>
        <w:p w14:paraId="1105F0C5" w14:textId="70B4F1DD" w:rsidR="000F0D67" w:rsidRDefault="006C1E97" w:rsidP="009C64E4">
          <w:pPr>
            <w:pStyle w:val="TOC3"/>
            <w:tabs>
              <w:tab w:val="right" w:leader="dot" w:pos="9958"/>
            </w:tabs>
            <w:spacing w:before="120" w:after="120" w:line="240" w:lineRule="exact"/>
            <w:rPr>
              <w:rFonts w:asciiTheme="minorHAnsi" w:eastAsiaTheme="minorEastAsia" w:hAnsiTheme="minorHAnsi"/>
              <w:noProof/>
              <w:color w:val="auto"/>
              <w:kern w:val="2"/>
              <w:sz w:val="24"/>
              <w:szCs w:val="24"/>
              <w:lang w:eastAsia="en-AU"/>
              <w14:ligatures w14:val="standardContextual"/>
            </w:rPr>
          </w:pPr>
          <w:hyperlink w:anchor="_Toc167113897" w:history="1">
            <w:r w:rsidR="000F0D67" w:rsidRPr="00D34904">
              <w:rPr>
                <w:rStyle w:val="Hyperlink"/>
                <w:noProof/>
                <w:lang w:eastAsia="zh-CN"/>
              </w:rPr>
              <w:t>Domestic outlook</w:t>
            </w:r>
            <w:r w:rsidR="000F0D67">
              <w:rPr>
                <w:noProof/>
                <w:webHidden/>
              </w:rPr>
              <w:tab/>
            </w:r>
            <w:r w:rsidR="000F0D67">
              <w:rPr>
                <w:noProof/>
                <w:webHidden/>
              </w:rPr>
              <w:fldChar w:fldCharType="begin"/>
            </w:r>
            <w:r w:rsidR="000F0D67">
              <w:rPr>
                <w:noProof/>
                <w:webHidden/>
              </w:rPr>
              <w:instrText xml:space="preserve"> PAGEREF _Toc167113897 \h </w:instrText>
            </w:r>
            <w:r w:rsidR="000F0D67">
              <w:rPr>
                <w:noProof/>
                <w:webHidden/>
              </w:rPr>
            </w:r>
            <w:r w:rsidR="000F0D67">
              <w:rPr>
                <w:noProof/>
                <w:webHidden/>
              </w:rPr>
              <w:fldChar w:fldCharType="separate"/>
            </w:r>
            <w:r w:rsidR="000F0D67">
              <w:rPr>
                <w:noProof/>
                <w:webHidden/>
              </w:rPr>
              <w:t>68</w:t>
            </w:r>
            <w:r w:rsidR="000F0D67">
              <w:rPr>
                <w:noProof/>
                <w:webHidden/>
              </w:rPr>
              <w:fldChar w:fldCharType="end"/>
            </w:r>
          </w:hyperlink>
        </w:p>
        <w:p w14:paraId="2BF2722F" w14:textId="624140AA" w:rsidR="000F0D67" w:rsidRDefault="006C1E97" w:rsidP="009C64E4">
          <w:pPr>
            <w:pStyle w:val="TOC2"/>
            <w:spacing w:before="120" w:after="120" w:line="240" w:lineRule="exact"/>
            <w:rPr>
              <w:rFonts w:asciiTheme="minorHAnsi" w:eastAsiaTheme="minorEastAsia" w:hAnsiTheme="minorHAnsi"/>
              <w:color w:val="auto"/>
              <w:kern w:val="2"/>
              <w:sz w:val="24"/>
              <w:szCs w:val="24"/>
              <w:lang w:eastAsia="en-AU"/>
              <w14:ligatures w14:val="standardContextual"/>
            </w:rPr>
          </w:pPr>
          <w:hyperlink w:anchor="_Toc167113898" w:history="1">
            <w:r w:rsidR="000F0D67" w:rsidRPr="00D34904">
              <w:rPr>
                <w:rStyle w:val="Hyperlink"/>
              </w:rPr>
              <w:t>Data sources</w:t>
            </w:r>
            <w:r w:rsidR="000F0D67">
              <w:rPr>
                <w:webHidden/>
              </w:rPr>
              <w:tab/>
            </w:r>
            <w:r w:rsidR="000F0D67">
              <w:rPr>
                <w:webHidden/>
              </w:rPr>
              <w:fldChar w:fldCharType="begin"/>
            </w:r>
            <w:r w:rsidR="000F0D67">
              <w:rPr>
                <w:webHidden/>
              </w:rPr>
              <w:instrText xml:space="preserve"> PAGEREF _Toc167113898 \h </w:instrText>
            </w:r>
            <w:r w:rsidR="000F0D67">
              <w:rPr>
                <w:webHidden/>
              </w:rPr>
            </w:r>
            <w:r w:rsidR="000F0D67">
              <w:rPr>
                <w:webHidden/>
              </w:rPr>
              <w:fldChar w:fldCharType="separate"/>
            </w:r>
            <w:r w:rsidR="000F0D67">
              <w:rPr>
                <w:webHidden/>
              </w:rPr>
              <w:t>71</w:t>
            </w:r>
            <w:r w:rsidR="000F0D67">
              <w:rPr>
                <w:webHidden/>
              </w:rPr>
              <w:fldChar w:fldCharType="end"/>
            </w:r>
          </w:hyperlink>
        </w:p>
        <w:p w14:paraId="1DD2B383" w14:textId="0F134CE5" w:rsidR="003D6F90" w:rsidRDefault="003D6F90">
          <w:r>
            <w:rPr>
              <w:b/>
              <w:bCs/>
              <w:noProof/>
            </w:rPr>
            <w:fldChar w:fldCharType="end"/>
          </w:r>
        </w:p>
      </w:sdtContent>
    </w:sdt>
    <w:p w14:paraId="34C93A18" w14:textId="77777777" w:rsidR="009C64E4" w:rsidRDefault="009C64E4">
      <w:pPr>
        <w:spacing w:before="0" w:after="160" w:line="259" w:lineRule="auto"/>
        <w:rPr>
          <w:rFonts w:eastAsia="SimSun" w:cs="Times New Roman"/>
          <w:bCs/>
          <w:color w:val="3D2141" w:themeColor="accent1" w:themeShade="80"/>
          <w:sz w:val="32"/>
          <w:szCs w:val="26"/>
          <w:lang w:eastAsia="zh-CN"/>
        </w:rPr>
      </w:pPr>
      <w:bookmarkStart w:id="40" w:name="_Toc167113867"/>
      <w:r>
        <w:br w:type="page"/>
      </w:r>
    </w:p>
    <w:p w14:paraId="0786FB93" w14:textId="735F944D" w:rsidR="00BA0140" w:rsidRDefault="008D5C2F" w:rsidP="00BA0140">
      <w:pPr>
        <w:pStyle w:val="Heading2"/>
      </w:pPr>
      <w:r>
        <w:lastRenderedPageBreak/>
        <w:t>About this report</w:t>
      </w:r>
      <w:bookmarkEnd w:id="40"/>
    </w:p>
    <w:p w14:paraId="7236BF7A" w14:textId="21867924" w:rsidR="00BA0140" w:rsidRDefault="00BA0140" w:rsidP="00BA0140">
      <w:r>
        <w:t xml:space="preserve">This State of the Industry report provides evidence and insights on how Australia’s visitor economy performed in 2023. Tourism Research Australia (TRA) produces this annual overview of major developments in the visitor economy to help the industry and governments understand and adapt to the changing demand and supply environment. </w:t>
      </w:r>
      <w:r w:rsidR="0AE834D3">
        <w:t>A</w:t>
      </w:r>
      <w:r>
        <w:t xml:space="preserve">dditional information covering the early months of 2024 and the outlook has been included to give a </w:t>
      </w:r>
      <w:r w:rsidR="598991EE">
        <w:t xml:space="preserve">better understanding of the </w:t>
      </w:r>
      <w:r w:rsidR="00557BCB">
        <w:t>trajectory</w:t>
      </w:r>
      <w:r w:rsidR="598991EE">
        <w:t xml:space="preserve"> of the visitor economy</w:t>
      </w:r>
      <w:r>
        <w:t xml:space="preserve">. </w:t>
      </w:r>
    </w:p>
    <w:p w14:paraId="2DF26F7A" w14:textId="5EA43DCF" w:rsidR="00C852FE" w:rsidRDefault="00BA0140" w:rsidP="00BA0140">
      <w:r>
        <w:t>The term 'tourism' in the international standards includes</w:t>
      </w:r>
      <w:r w:rsidR="50F294A9">
        <w:t xml:space="preserve"> </w:t>
      </w:r>
      <w:r>
        <w:t xml:space="preserve">short-term travel for </w:t>
      </w:r>
      <w:r w:rsidR="00DC7408">
        <w:t xml:space="preserve">leisure, </w:t>
      </w:r>
      <w:r>
        <w:t>business or other reasons, such as education, provided the destination is outside the person's usual environment. T</w:t>
      </w:r>
      <w:r w:rsidR="59EFFBCC">
        <w:t>ourism</w:t>
      </w:r>
      <w:r w:rsidR="00DC7408">
        <w:t xml:space="preserve"> </w:t>
      </w:r>
      <w:r>
        <w:t xml:space="preserve">is </w:t>
      </w:r>
      <w:r w:rsidR="00C33C44">
        <w:t xml:space="preserve">therefore </w:t>
      </w:r>
      <w:r>
        <w:t>defined</w:t>
      </w:r>
      <w:r w:rsidR="00693DD4">
        <w:t xml:space="preserve"> </w:t>
      </w:r>
      <w:r w:rsidR="00DE2DD1">
        <w:t xml:space="preserve">and measured </w:t>
      </w:r>
      <w:r>
        <w:t>by an individual’s movement out of their usual environment, and by the type of goods</w:t>
      </w:r>
      <w:r w:rsidR="00A12984">
        <w:t xml:space="preserve"> and </w:t>
      </w:r>
      <w:r>
        <w:t>service</w:t>
      </w:r>
      <w:r w:rsidR="00693DD4">
        <w:t>s</w:t>
      </w:r>
      <w:r>
        <w:t xml:space="preserve"> </w:t>
      </w:r>
      <w:r w:rsidR="45E7F684">
        <w:t>they use</w:t>
      </w:r>
      <w:r>
        <w:t xml:space="preserve">. Visitor demand for travel experiences, accommodation and transport needs to be complemented by </w:t>
      </w:r>
      <w:r w:rsidR="32A1A210">
        <w:t>the capacity of providers</w:t>
      </w:r>
      <w:r w:rsidR="3199A10B">
        <w:t xml:space="preserve"> to meet that demand</w:t>
      </w:r>
      <w:r>
        <w:t xml:space="preserve">. </w:t>
      </w:r>
    </w:p>
    <w:p w14:paraId="34243A4E" w14:textId="32DABB12" w:rsidR="00BA0140" w:rsidRDefault="0031130A" w:rsidP="00BA0140">
      <w:r>
        <w:t>This report provides an overview of the</w:t>
      </w:r>
      <w:r w:rsidR="00B119F7">
        <w:t xml:space="preserve"> capacity of </w:t>
      </w:r>
      <w:r w:rsidR="336E07A0">
        <w:t>providers in</w:t>
      </w:r>
      <w:r w:rsidR="00B119F7">
        <w:t xml:space="preserve"> the Australian tourism sector</w:t>
      </w:r>
      <w:r w:rsidR="00D71BBF">
        <w:t xml:space="preserve"> (supply side)</w:t>
      </w:r>
      <w:r w:rsidR="00B119F7">
        <w:t xml:space="preserve"> </w:t>
      </w:r>
      <w:r w:rsidR="27ED1A5C">
        <w:t xml:space="preserve">as well as </w:t>
      </w:r>
      <w:r w:rsidR="14390CAB">
        <w:t>trends in</w:t>
      </w:r>
      <w:r w:rsidR="00B119F7">
        <w:t xml:space="preserve"> demand.</w:t>
      </w:r>
      <w:r w:rsidR="00D64EA6" w:rsidRPr="00D64EA6">
        <w:t xml:space="preserve"> </w:t>
      </w:r>
      <w:r w:rsidR="00D64EA6">
        <w:t xml:space="preserve">It also highlights challenges and opportunities for the visitor economy as it </w:t>
      </w:r>
      <w:r w:rsidR="00A12984">
        <w:t>grows following</w:t>
      </w:r>
      <w:r w:rsidR="00D64EA6">
        <w:t xml:space="preserve"> the pandemic-</w:t>
      </w:r>
      <w:r w:rsidR="00D64EA6">
        <w:rPr>
          <w:color w:val="auto"/>
        </w:rPr>
        <w:t xml:space="preserve">related </w:t>
      </w:r>
      <w:r w:rsidR="00D64EA6">
        <w:t xml:space="preserve">downturn in travel. </w:t>
      </w:r>
    </w:p>
    <w:p w14:paraId="6CDD998D" w14:textId="4DE71067" w:rsidR="00BA0140" w:rsidRDefault="008D5C2F" w:rsidP="008D5C2F">
      <w:pPr>
        <w:pStyle w:val="Heading2"/>
      </w:pPr>
      <w:bookmarkStart w:id="41" w:name="_Toc131073754"/>
      <w:bookmarkStart w:id="42" w:name="_Toc135990454"/>
      <w:bookmarkStart w:id="43" w:name="_Toc167113868"/>
      <w:r>
        <w:t xml:space="preserve">Overview </w:t>
      </w:r>
      <w:r w:rsidR="000545E9">
        <w:t>–</w:t>
      </w:r>
      <w:r>
        <w:t xml:space="preserve"> </w:t>
      </w:r>
      <w:bookmarkEnd w:id="41"/>
      <w:bookmarkEnd w:id="42"/>
      <w:r w:rsidR="000545E9">
        <w:t xml:space="preserve">on the path to sustainable </w:t>
      </w:r>
      <w:proofErr w:type="gramStart"/>
      <w:r w:rsidR="000545E9">
        <w:t>growth</w:t>
      </w:r>
      <w:bookmarkEnd w:id="43"/>
      <w:proofErr w:type="gramEnd"/>
    </w:p>
    <w:p w14:paraId="034DB9C2" w14:textId="51DE7230" w:rsidR="004929F8" w:rsidRDefault="00BA0140" w:rsidP="006B5276">
      <w:r>
        <w:rPr>
          <w:rFonts w:eastAsia="Verdana" w:cs="Times New Roman"/>
          <w:lang w:eastAsia="zh-CN"/>
        </w:rPr>
        <w:t>In 202</w:t>
      </w:r>
      <w:r w:rsidR="008435C0">
        <w:rPr>
          <w:rFonts w:eastAsia="Verdana" w:cs="Times New Roman"/>
          <w:lang w:eastAsia="zh-CN"/>
        </w:rPr>
        <w:t>3</w:t>
      </w:r>
      <w:r>
        <w:rPr>
          <w:rFonts w:eastAsia="Verdana" w:cs="Times New Roman"/>
          <w:lang w:eastAsia="zh-CN"/>
        </w:rPr>
        <w:t xml:space="preserve">, </w:t>
      </w:r>
      <w:r>
        <w:t>Australia</w:t>
      </w:r>
      <w:r w:rsidR="008435C0">
        <w:t xml:space="preserve">’s tourism sector </w:t>
      </w:r>
      <w:r w:rsidR="009B5E52">
        <w:t xml:space="preserve">made clear progress </w:t>
      </w:r>
      <w:r w:rsidR="001C4CE1">
        <w:t>towards sustainable growth</w:t>
      </w:r>
      <w:r w:rsidR="004A4F5E">
        <w:t>, a core objective of the national strategy for the visitor economy, THRIVE 2030</w:t>
      </w:r>
      <w:r w:rsidR="001C4CE1">
        <w:t xml:space="preserve">. </w:t>
      </w:r>
      <w:r w:rsidR="00F921EB">
        <w:t xml:space="preserve">Total tourism </w:t>
      </w:r>
      <w:proofErr w:type="gramStart"/>
      <w:r w:rsidR="00F921EB">
        <w:t>spend</w:t>
      </w:r>
      <w:proofErr w:type="gramEnd"/>
      <w:r w:rsidR="00F921EB">
        <w:t xml:space="preserve"> in Australia increased by </w:t>
      </w:r>
      <w:r w:rsidR="006E38F9">
        <w:t>19</w:t>
      </w:r>
      <w:r w:rsidR="00F921EB">
        <w:t>% in 2023</w:t>
      </w:r>
      <w:r w:rsidR="00D73E3E">
        <w:t xml:space="preserve"> </w:t>
      </w:r>
      <w:r w:rsidR="00511603">
        <w:t xml:space="preserve">compared </w:t>
      </w:r>
      <w:r w:rsidR="00A436A5">
        <w:t>with</w:t>
      </w:r>
      <w:r w:rsidR="00511603">
        <w:t xml:space="preserve"> the previous year </w:t>
      </w:r>
      <w:r w:rsidR="00D73E3E">
        <w:t xml:space="preserve">and progress was made to embed sustainable practices </w:t>
      </w:r>
      <w:r w:rsidR="00CA1E55">
        <w:t>throughout the visitor economy</w:t>
      </w:r>
      <w:r w:rsidR="00A436A5">
        <w:t xml:space="preserve">, including through </w:t>
      </w:r>
      <w:r w:rsidR="00647C43">
        <w:t xml:space="preserve">the </w:t>
      </w:r>
      <w:r w:rsidR="00A436A5">
        <w:t>release of a new National Sustainability Framework</w:t>
      </w:r>
      <w:r w:rsidR="003E1EA7">
        <w:t xml:space="preserve"> for the </w:t>
      </w:r>
      <w:r w:rsidR="00900453">
        <w:t>V</w:t>
      </w:r>
      <w:r w:rsidR="003E1EA7">
        <w:t xml:space="preserve">isitor </w:t>
      </w:r>
      <w:r w:rsidR="00900453">
        <w:t>E</w:t>
      </w:r>
      <w:r w:rsidR="003E1EA7">
        <w:t>conomy</w:t>
      </w:r>
      <w:r w:rsidR="00CA1E55">
        <w:t>.</w:t>
      </w:r>
      <w:r w:rsidR="00A513A2">
        <w:t xml:space="preserve"> </w:t>
      </w:r>
      <w:r w:rsidR="003E1EA7">
        <w:t xml:space="preserve">This Framework was endorsed by all of Australia’s Federal, State and Territory </w:t>
      </w:r>
      <w:r w:rsidR="008F244E">
        <w:t>T</w:t>
      </w:r>
      <w:r w:rsidR="003E1EA7">
        <w:t xml:space="preserve">ourism Ministers. </w:t>
      </w:r>
    </w:p>
    <w:p w14:paraId="1BA67E9F" w14:textId="1AD1F26B" w:rsidR="006B5276" w:rsidRDefault="00A513A2" w:rsidP="006B5276">
      <w:r>
        <w:t>Domestic tourism demand recovered rapidly</w:t>
      </w:r>
      <w:r w:rsidR="003E1EA7">
        <w:t xml:space="preserve"> from the pandemic</w:t>
      </w:r>
      <w:r>
        <w:t xml:space="preserve"> in 2022, </w:t>
      </w:r>
      <w:r w:rsidR="005E3104">
        <w:t>before</w:t>
      </w:r>
      <w:r>
        <w:t xml:space="preserve"> growth </w:t>
      </w:r>
      <w:r w:rsidR="005E3104">
        <w:t xml:space="preserve">moderated </w:t>
      </w:r>
      <w:r>
        <w:t>in 2023</w:t>
      </w:r>
      <w:r w:rsidR="005B61FB">
        <w:t xml:space="preserve"> (Figure 1).</w:t>
      </w:r>
      <w:r w:rsidR="001452D6">
        <w:t xml:space="preserve"> On the other hand, international tourism demand is still</w:t>
      </w:r>
      <w:r w:rsidR="00203B4F">
        <w:t xml:space="preserve"> recovering</w:t>
      </w:r>
      <w:r w:rsidR="001452D6">
        <w:t xml:space="preserve"> from the COVID-19 downturn, </w:t>
      </w:r>
      <w:r w:rsidR="00470721">
        <w:t xml:space="preserve">with TRA’s latest forecasts suggesting a full recovery of international visitor numbers </w:t>
      </w:r>
      <w:r w:rsidR="003B1971">
        <w:t xml:space="preserve">is expected </w:t>
      </w:r>
      <w:r w:rsidR="001B3B20">
        <w:t>in</w:t>
      </w:r>
      <w:r w:rsidR="00470721">
        <w:t xml:space="preserve"> 2025.  </w:t>
      </w:r>
    </w:p>
    <w:p w14:paraId="2949DFE7" w14:textId="77777777" w:rsidR="00245C1A" w:rsidRDefault="006B5276" w:rsidP="006B5276">
      <w:r>
        <w:t xml:space="preserve">Notwithstanding the overall recovery in tourism spend in 2023, some parts of the visitor economy continued to experience challenging conditions. </w:t>
      </w:r>
      <w:r w:rsidR="002B1AA8">
        <w:t>For example, s</w:t>
      </w:r>
      <w:r>
        <w:t xml:space="preserve">ome tourism sectors </w:t>
      </w:r>
      <w:r w:rsidR="00245C1A">
        <w:t>or regions:</w:t>
      </w:r>
    </w:p>
    <w:p w14:paraId="1CE0660D" w14:textId="0065CFEF" w:rsidR="00245C1A" w:rsidRPr="00353CDA" w:rsidRDefault="006B5276" w:rsidP="00353CDA">
      <w:pPr>
        <w:pStyle w:val="BulletList"/>
      </w:pPr>
      <w:r w:rsidRPr="00353CDA">
        <w:t>faced ongoing supply constraints such as workforce and skills shortages, supply-chain disruptions</w:t>
      </w:r>
      <w:r w:rsidR="00245C1A" w:rsidRPr="00353CDA">
        <w:t>,</w:t>
      </w:r>
      <w:r w:rsidRPr="00353CDA">
        <w:t xml:space="preserve"> and rising cost </w:t>
      </w:r>
      <w:proofErr w:type="gramStart"/>
      <w:r w:rsidRPr="00353CDA">
        <w:t>pressures</w:t>
      </w:r>
      <w:proofErr w:type="gramEnd"/>
      <w:r w:rsidRPr="00353CDA">
        <w:t xml:space="preserve"> </w:t>
      </w:r>
    </w:p>
    <w:p w14:paraId="04E0C10C" w14:textId="77777777" w:rsidR="009418FC" w:rsidRPr="00353CDA" w:rsidRDefault="006B5276" w:rsidP="00353CDA">
      <w:pPr>
        <w:pStyle w:val="BulletList"/>
      </w:pPr>
      <w:r w:rsidRPr="00353CDA">
        <w:t xml:space="preserve">experienced a decline in domestic visitor demand in 2023, after seeing exceptionally high demand in the previous </w:t>
      </w:r>
      <w:proofErr w:type="gramStart"/>
      <w:r w:rsidRPr="00353CDA">
        <w:t>year</w:t>
      </w:r>
      <w:proofErr w:type="gramEnd"/>
    </w:p>
    <w:p w14:paraId="0B5B220B" w14:textId="77777777" w:rsidR="009418FC" w:rsidRPr="00353CDA" w:rsidRDefault="004540E7" w:rsidP="00353CDA">
      <w:pPr>
        <w:pStyle w:val="BulletList"/>
      </w:pPr>
      <w:r w:rsidRPr="00353CDA">
        <w:t xml:space="preserve">were affected by a pullback in discretionary spending in </w:t>
      </w:r>
      <w:proofErr w:type="gramStart"/>
      <w:r w:rsidRPr="00353CDA">
        <w:t>2023</w:t>
      </w:r>
      <w:proofErr w:type="gramEnd"/>
    </w:p>
    <w:p w14:paraId="0820773B" w14:textId="2226E183" w:rsidR="004540E7" w:rsidRPr="00353CDA" w:rsidRDefault="00743F90" w:rsidP="00353CDA">
      <w:pPr>
        <w:pStyle w:val="BulletList"/>
      </w:pPr>
      <w:r w:rsidRPr="00353CDA">
        <w:t xml:space="preserve">were affected </w:t>
      </w:r>
      <w:r w:rsidR="786FCB04" w:rsidRPr="00353CDA">
        <w:t>by</w:t>
      </w:r>
      <w:r w:rsidR="0016653D" w:rsidRPr="00353CDA">
        <w:t xml:space="preserve"> </w:t>
      </w:r>
      <w:r w:rsidR="00D14FBC">
        <w:t>additional</w:t>
      </w:r>
      <w:r w:rsidR="00656AC3">
        <w:t xml:space="preserve"> </w:t>
      </w:r>
      <w:r w:rsidR="0016653D" w:rsidRPr="00353CDA">
        <w:t xml:space="preserve">Australians </w:t>
      </w:r>
      <w:r w:rsidR="00656AC3">
        <w:t xml:space="preserve">preferencing </w:t>
      </w:r>
      <w:r w:rsidR="0016653D" w:rsidRPr="00353CDA">
        <w:t xml:space="preserve">overseas trips </w:t>
      </w:r>
      <w:r w:rsidR="004929F8">
        <w:t xml:space="preserve">over </w:t>
      </w:r>
      <w:r w:rsidR="0016653D" w:rsidRPr="00353CDA">
        <w:t xml:space="preserve">domestic </w:t>
      </w:r>
      <w:proofErr w:type="gramStart"/>
      <w:r w:rsidR="4EADB1ED" w:rsidRPr="00353CDA">
        <w:t>trips</w:t>
      </w:r>
      <w:proofErr w:type="gramEnd"/>
      <w:r w:rsidR="4EADB1ED" w:rsidRPr="00353CDA">
        <w:t xml:space="preserve"> </w:t>
      </w:r>
    </w:p>
    <w:p w14:paraId="2D2D437B" w14:textId="3C54C337" w:rsidR="006B5276" w:rsidRPr="00353CDA" w:rsidRDefault="00245C1A" w:rsidP="00353CDA">
      <w:pPr>
        <w:pStyle w:val="BulletList"/>
      </w:pPr>
      <w:r w:rsidRPr="00353CDA">
        <w:t xml:space="preserve">continued to see </w:t>
      </w:r>
      <w:r w:rsidR="00605BCD" w:rsidRPr="00353CDA">
        <w:t>low</w:t>
      </w:r>
      <w:r w:rsidR="00201420" w:rsidRPr="00353CDA">
        <w:t>er</w:t>
      </w:r>
      <w:r w:rsidR="00605BCD" w:rsidRPr="00353CDA">
        <w:t xml:space="preserve"> numbers of high-value international visitors relative to pre-pandemic years</w:t>
      </w:r>
      <w:r w:rsidR="006B5276" w:rsidRPr="00353CDA">
        <w:t xml:space="preserve">. </w:t>
      </w:r>
    </w:p>
    <w:p w14:paraId="1BD8577C" w14:textId="3C8289DE" w:rsidR="00F921EB" w:rsidRDefault="00F921EB" w:rsidP="00BA0140"/>
    <w:p w14:paraId="1107698E" w14:textId="77777777" w:rsidR="00F907A6" w:rsidRDefault="00F907A6" w:rsidP="00652020">
      <w:pPr>
        <w:pStyle w:val="ListBullet"/>
        <w:keepNext/>
        <w:numPr>
          <w:ilvl w:val="0"/>
          <w:numId w:val="0"/>
        </w:numPr>
        <w:spacing w:line="300" w:lineRule="atLeast"/>
        <w:ind w:left="284" w:hanging="284"/>
      </w:pPr>
      <w:r>
        <w:rPr>
          <w:rFonts w:ascii="Verdana" w:eastAsiaTheme="minorHAnsi" w:hAnsi="Verdana"/>
          <w:b/>
          <w:bCs/>
          <w:color w:val="2E1A47" w:themeColor="text2"/>
          <w:lang w:eastAsia="en-US"/>
        </w:rPr>
        <w:lastRenderedPageBreak/>
        <w:t xml:space="preserve">Figure </w:t>
      </w:r>
      <w:r>
        <w:rPr>
          <w:rFonts w:ascii="Verdana" w:eastAsiaTheme="minorHAnsi" w:hAnsi="Verdana"/>
          <w:b/>
          <w:bCs/>
          <w:color w:val="2E1A47" w:themeColor="text2"/>
          <w:lang w:eastAsia="en-US"/>
        </w:rPr>
        <w:fldChar w:fldCharType="begin"/>
      </w:r>
      <w:r>
        <w:rPr>
          <w:rFonts w:ascii="Verdana" w:eastAsiaTheme="minorHAnsi" w:hAnsi="Verdana"/>
          <w:b/>
          <w:bCs/>
          <w:color w:val="2E1A47" w:themeColor="text2"/>
          <w:lang w:eastAsia="en-US"/>
        </w:rPr>
        <w:instrText xml:space="preserve"> SEQ Figure \* ARABIC </w:instrText>
      </w:r>
      <w:r>
        <w:rPr>
          <w:rFonts w:ascii="Verdana" w:eastAsiaTheme="minorHAnsi" w:hAnsi="Verdana"/>
          <w:b/>
          <w:bCs/>
          <w:color w:val="2E1A47" w:themeColor="text2"/>
          <w:lang w:eastAsia="en-US"/>
        </w:rPr>
        <w:fldChar w:fldCharType="separate"/>
      </w:r>
      <w:r>
        <w:rPr>
          <w:rFonts w:ascii="Verdana" w:eastAsiaTheme="minorHAnsi" w:hAnsi="Verdana"/>
          <w:b/>
          <w:bCs/>
          <w:noProof/>
          <w:color w:val="2E1A47" w:themeColor="text2"/>
          <w:lang w:eastAsia="en-US"/>
        </w:rPr>
        <w:t>1</w:t>
      </w:r>
      <w:r>
        <w:rPr>
          <w:rFonts w:ascii="Verdana" w:eastAsiaTheme="minorHAnsi" w:hAnsi="Verdana"/>
          <w:b/>
          <w:bCs/>
          <w:color w:val="2E1A47" w:themeColor="text2"/>
          <w:lang w:eastAsia="en-US"/>
        </w:rPr>
        <w:fldChar w:fldCharType="end"/>
      </w:r>
      <w:r>
        <w:rPr>
          <w:rFonts w:ascii="Verdana" w:eastAsiaTheme="minorHAnsi" w:hAnsi="Verdana"/>
          <w:b/>
          <w:bCs/>
          <w:color w:val="2E1A47" w:themeColor="text2"/>
          <w:lang w:eastAsia="en-US"/>
        </w:rPr>
        <w:t>.</w:t>
      </w:r>
      <w:r>
        <w:rPr>
          <w:b/>
          <w:bCs/>
          <w:i/>
          <w:iCs/>
        </w:rPr>
        <w:t xml:space="preserve"> </w:t>
      </w:r>
      <w:r>
        <w:rPr>
          <w:rFonts w:ascii="Verdana" w:eastAsiaTheme="minorHAnsi" w:hAnsi="Verdana"/>
          <w:color w:val="2E1A47" w:themeColor="text2"/>
          <w:lang w:eastAsia="en-US"/>
        </w:rPr>
        <w:t>Domestic and international visitor spend in Australia, calendar year 2010 to 2023.</w:t>
      </w:r>
    </w:p>
    <w:p w14:paraId="79132211" w14:textId="6F55D1A8" w:rsidR="00F907A6" w:rsidRDefault="00DD2AA4" w:rsidP="00DD2AA4">
      <w:pPr>
        <w:spacing w:line="300" w:lineRule="atLeast"/>
      </w:pPr>
      <w:r w:rsidRPr="00DD2AA4">
        <w:rPr>
          <w:noProof/>
        </w:rPr>
        <w:drawing>
          <wp:inline distT="0" distB="0" distL="0" distR="0" wp14:anchorId="2E26C690" wp14:editId="4118EB63">
            <wp:extent cx="6329680" cy="3164840"/>
            <wp:effectExtent l="0" t="0" r="0" b="0"/>
            <wp:docPr id="2560196" name="Picture 1" descr="Figure 1 shows a stacked bar chart with a bar for each year from 2010 to 2023. There are component values for both domestic (the larger share) and international (the smaller share) tourism spend in Australia for each year. Total tourism spend in Australia trends up between 2010 and 2019 then declines sharply in 2020. Total visitor spend in 2023 was A$170.3 billion in 2023 (comprising $142.3 billion in domestic spend and $28.0 billion in international spend), which was a large step up from the total spend in 2022 ($144 billion) and also up from 2019 ($138.5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96" name="Picture 1" descr="Figure 1 shows a stacked bar chart with a bar for each year from 2010 to 2023. There are component values for both domestic (the larger share) and international (the smaller share) tourism spend in Australia for each year. Total tourism spend in Australia trends up between 2010 and 2019 then declines sharply in 2020. Total visitor spend in 2023 was A$170.3 billion in 2023 (comprising $142.3 billion in domestic spend and $28.0 billion in international spend), which was a large step up from the total spend in 2022 ($144 billion) and also up from 2019 ($138.5 bill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9680" cy="3164840"/>
                    </a:xfrm>
                    <a:prstGeom prst="rect">
                      <a:avLst/>
                    </a:prstGeom>
                    <a:noFill/>
                    <a:ln>
                      <a:noFill/>
                    </a:ln>
                  </pic:spPr>
                </pic:pic>
              </a:graphicData>
            </a:graphic>
          </wp:inline>
        </w:drawing>
      </w:r>
    </w:p>
    <w:p w14:paraId="0AA05DAD" w14:textId="3408495F" w:rsidR="009A1D7A" w:rsidRDefault="005A1049" w:rsidP="00BA0140">
      <w:r>
        <w:t xml:space="preserve">The </w:t>
      </w:r>
      <w:r w:rsidR="00DC083E">
        <w:t>T</w:t>
      </w:r>
      <w:r w:rsidR="00F7217C">
        <w:t xml:space="preserve">HRIVE </w:t>
      </w:r>
      <w:r>
        <w:t xml:space="preserve">interim </w:t>
      </w:r>
      <w:r w:rsidR="00F7217C">
        <w:t>t</w:t>
      </w:r>
      <w:r w:rsidR="00DC083E">
        <w:t xml:space="preserve">arget for the recovery in tourism spend </w:t>
      </w:r>
      <w:r w:rsidR="00A55A44">
        <w:t xml:space="preserve">to 2019 levels </w:t>
      </w:r>
      <w:r w:rsidR="00324D5D">
        <w:t xml:space="preserve">($166 billion) </w:t>
      </w:r>
      <w:r>
        <w:t>was</w:t>
      </w:r>
      <w:r w:rsidR="00DC083E">
        <w:t xml:space="preserve"> surpassed in 2023, </w:t>
      </w:r>
      <w:r w:rsidR="00A55A44">
        <w:t xml:space="preserve">well </w:t>
      </w:r>
      <w:r w:rsidR="00F7217C">
        <w:t xml:space="preserve">ahead of the expected timeline, </w:t>
      </w:r>
      <w:r w:rsidR="00DC083E">
        <w:t xml:space="preserve">both in actual </w:t>
      </w:r>
      <w:r w:rsidR="00451A2B">
        <w:t xml:space="preserve">(nominal) </w:t>
      </w:r>
      <w:r w:rsidR="00DC083E">
        <w:t>and inflation-</w:t>
      </w:r>
      <w:r w:rsidR="00DC083E" w:rsidDel="004F6BD4">
        <w:t xml:space="preserve">removed </w:t>
      </w:r>
      <w:r w:rsidR="004F6BD4">
        <w:t xml:space="preserve">adjusted </w:t>
      </w:r>
      <w:r w:rsidR="00451A2B">
        <w:t xml:space="preserve">(real) </w:t>
      </w:r>
      <w:r w:rsidR="00DC083E">
        <w:t>terms.</w:t>
      </w:r>
      <w:r w:rsidR="004F6BD4">
        <w:t xml:space="preserve"> This is the result of the strong recovery in domestic travel </w:t>
      </w:r>
      <w:r w:rsidR="00932D7E">
        <w:t>and international students returning to Australia following the pandemic</w:t>
      </w:r>
      <w:r w:rsidR="00110C0E">
        <w:t xml:space="preserve">. </w:t>
      </w:r>
      <w:proofErr w:type="gramStart"/>
      <w:r w:rsidR="00110C0E">
        <w:t>Total</w:t>
      </w:r>
      <w:proofErr w:type="gramEnd"/>
      <w:r w:rsidR="00110C0E">
        <w:t xml:space="preserve"> spend in Australia by all visitors in 2023 was </w:t>
      </w:r>
      <w:r w:rsidR="00213D49">
        <w:t xml:space="preserve">almost </w:t>
      </w:r>
      <w:r w:rsidR="00110C0E">
        <w:t>$208 billion (Figure 2).</w:t>
      </w:r>
      <w:r w:rsidR="001B426F" w:rsidRPr="001B426F">
        <w:t xml:space="preserve"> </w:t>
      </w:r>
      <w:r w:rsidR="0009044A">
        <w:t>It is worth n</w:t>
      </w:r>
      <w:r w:rsidR="001B426F">
        <w:t>ot</w:t>
      </w:r>
      <w:r w:rsidR="0009044A">
        <w:t>ing</w:t>
      </w:r>
      <w:r w:rsidR="001B426F">
        <w:t xml:space="preserve"> that THRIVE spend targets include spend by long-term international students in Australia, while this component is excluded from the short-term tourism measurement and indicators typically reported by TRA</w:t>
      </w:r>
      <w:r w:rsidR="004D67DF">
        <w:t xml:space="preserve"> in line with international standards</w:t>
      </w:r>
      <w:r w:rsidR="001B426F">
        <w:t>.</w:t>
      </w:r>
      <w:r w:rsidR="004A795B">
        <w:t xml:space="preserve"> </w:t>
      </w:r>
    </w:p>
    <w:p w14:paraId="276D0CE9" w14:textId="74C22460" w:rsidR="00B83706" w:rsidRDefault="00B83706" w:rsidP="00B83706">
      <w:pPr>
        <w:pStyle w:val="ListBullet"/>
        <w:numPr>
          <w:ilvl w:val="0"/>
          <w:numId w:val="0"/>
        </w:numPr>
        <w:spacing w:line="300" w:lineRule="atLeast"/>
        <w:ind w:left="284" w:hanging="284"/>
        <w:rPr>
          <w:rFonts w:ascii="Verdana" w:eastAsiaTheme="minorHAnsi" w:hAnsi="Verdana"/>
          <w:color w:val="2E1A47" w:themeColor="text2"/>
          <w:lang w:eastAsia="en-US"/>
        </w:rPr>
      </w:pPr>
      <w:r>
        <w:rPr>
          <w:rFonts w:ascii="Verdana" w:eastAsiaTheme="minorHAnsi" w:hAnsi="Verdana"/>
          <w:b/>
          <w:bCs/>
          <w:color w:val="2E1A47" w:themeColor="text2"/>
          <w:lang w:eastAsia="en-US"/>
        </w:rPr>
        <w:t xml:space="preserve">Figure </w:t>
      </w:r>
      <w:r>
        <w:rPr>
          <w:rFonts w:ascii="Verdana" w:eastAsiaTheme="minorHAnsi" w:hAnsi="Verdana"/>
          <w:b/>
          <w:bCs/>
          <w:color w:val="2E1A47" w:themeColor="text2"/>
          <w:lang w:eastAsia="en-US"/>
        </w:rPr>
        <w:fldChar w:fldCharType="begin"/>
      </w:r>
      <w:r>
        <w:rPr>
          <w:rFonts w:ascii="Verdana" w:eastAsiaTheme="minorHAnsi" w:hAnsi="Verdana"/>
          <w:b/>
          <w:bCs/>
          <w:color w:val="2E1A47" w:themeColor="text2"/>
          <w:lang w:eastAsia="en-US"/>
        </w:rPr>
        <w:instrText xml:space="preserve"> SEQ Figure \* ARABIC </w:instrText>
      </w:r>
      <w:r>
        <w:rPr>
          <w:rFonts w:ascii="Verdana" w:eastAsiaTheme="minorHAnsi" w:hAnsi="Verdana"/>
          <w:b/>
          <w:bCs/>
          <w:color w:val="2E1A47" w:themeColor="text2"/>
          <w:lang w:eastAsia="en-US"/>
        </w:rPr>
        <w:fldChar w:fldCharType="separate"/>
      </w:r>
      <w:r w:rsidR="008F0E2A">
        <w:rPr>
          <w:rFonts w:ascii="Verdana" w:eastAsiaTheme="minorHAnsi" w:hAnsi="Verdana"/>
          <w:b/>
          <w:bCs/>
          <w:noProof/>
          <w:color w:val="2E1A47" w:themeColor="text2"/>
          <w:lang w:eastAsia="en-US"/>
        </w:rPr>
        <w:t>2</w:t>
      </w:r>
      <w:r>
        <w:rPr>
          <w:rFonts w:ascii="Verdana" w:eastAsiaTheme="minorHAnsi" w:hAnsi="Verdana"/>
          <w:b/>
          <w:bCs/>
          <w:color w:val="2E1A47" w:themeColor="text2"/>
          <w:lang w:eastAsia="en-US"/>
        </w:rPr>
        <w:fldChar w:fldCharType="end"/>
      </w:r>
      <w:r w:rsidRPr="001F5CDD">
        <w:rPr>
          <w:rFonts w:ascii="Verdana" w:eastAsiaTheme="minorHAnsi" w:hAnsi="Verdana"/>
          <w:color w:val="2E1A47" w:themeColor="text2"/>
          <w:lang w:eastAsia="en-US"/>
        </w:rPr>
        <w:t xml:space="preserve">. </w:t>
      </w:r>
      <w:proofErr w:type="gramStart"/>
      <w:r w:rsidR="00B70F89" w:rsidRPr="001F5CDD">
        <w:rPr>
          <w:rFonts w:ascii="Verdana" w:eastAsiaTheme="minorHAnsi" w:hAnsi="Verdana"/>
          <w:color w:val="2E1A47" w:themeColor="text2"/>
          <w:lang w:eastAsia="en-US"/>
        </w:rPr>
        <w:t>Total</w:t>
      </w:r>
      <w:proofErr w:type="gramEnd"/>
      <w:r w:rsidR="00B70F89" w:rsidRPr="001F5CDD">
        <w:rPr>
          <w:rFonts w:ascii="Verdana" w:eastAsiaTheme="minorHAnsi" w:hAnsi="Verdana"/>
          <w:color w:val="2E1A47" w:themeColor="text2"/>
          <w:lang w:eastAsia="en-US"/>
        </w:rPr>
        <w:t xml:space="preserve"> spend in Australia by all visitors</w:t>
      </w:r>
      <w:r w:rsidR="001F5CDD" w:rsidRPr="001F5CDD">
        <w:rPr>
          <w:rFonts w:ascii="Verdana" w:eastAsiaTheme="minorHAnsi" w:hAnsi="Verdana"/>
          <w:color w:val="2E1A47" w:themeColor="text2"/>
          <w:lang w:eastAsia="en-US"/>
        </w:rPr>
        <w:t>, by visitor type, 2023.</w:t>
      </w:r>
    </w:p>
    <w:p w14:paraId="701E06C5" w14:textId="0C40861B" w:rsidR="008B5CCA" w:rsidRDefault="00D30FDE" w:rsidP="008B5CCA">
      <w:pPr>
        <w:pStyle w:val="ListBullet"/>
        <w:numPr>
          <w:ilvl w:val="0"/>
          <w:numId w:val="0"/>
        </w:numPr>
        <w:spacing w:line="300" w:lineRule="atLeast"/>
      </w:pPr>
      <w:r>
        <w:rPr>
          <w:noProof/>
        </w:rPr>
        <w:drawing>
          <wp:inline distT="0" distB="0" distL="0" distR="0" wp14:anchorId="5A1E887C" wp14:editId="307C5659">
            <wp:extent cx="6210300" cy="3165301"/>
            <wp:effectExtent l="0" t="0" r="0" b="0"/>
            <wp:docPr id="658621001" name="Picture 1" descr="Figure 2 shows the composition of the total spend in Australia in 2023 by all visitors based on the THRIVE spend measure, which includes long-term international students. The majority of total spend ($143 billion out of a total $208 billion) was accounted for by domestic visitors, while international visitors contributed a smaller share ($65 billion out of a total $208 billion). On the international side, long-term international students contributed a large amount ($37 billion) to spend in 2023. On the domestic side, holiday travel was the largest component and contributed $77 billion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21001" name="Picture 1" descr="Figure 2 shows the composition of the total spend in Australia in 2023 by all visitors based on the THRIVE spend measure, which includes long-term international students. The majority of total spend ($143 billion out of a total $208 billion) was accounted for by domestic visitors, while international visitors contributed a smaller share ($65 billion out of a total $208 billion). On the international side, long-term international students contributed a large amount ($37 billion) to spend in 2023. On the domestic side, holiday travel was the largest component and contributed $77 billion in 2023."/>
                    <pic:cNvPicPr>
                      <a:picLocks noChangeAspect="1" noChangeArrowheads="1"/>
                    </pic:cNvPicPr>
                  </pic:nvPicPr>
                  <pic:blipFill rotWithShape="1">
                    <a:blip r:embed="rId20">
                      <a:extLst>
                        <a:ext uri="{28A0092B-C50C-407E-A947-70E740481C1C}">
                          <a14:useLocalDpi xmlns:a14="http://schemas.microsoft.com/office/drawing/2010/main" val="0"/>
                        </a:ext>
                      </a:extLst>
                    </a:blip>
                    <a:srcRect l="2022" b="19331"/>
                    <a:stretch/>
                  </pic:blipFill>
                  <pic:spPr bwMode="auto">
                    <a:xfrm>
                      <a:off x="0" y="0"/>
                      <a:ext cx="6219544" cy="3170013"/>
                    </a:xfrm>
                    <a:prstGeom prst="rect">
                      <a:avLst/>
                    </a:prstGeom>
                    <a:noFill/>
                    <a:ln>
                      <a:noFill/>
                    </a:ln>
                    <a:extLst>
                      <a:ext uri="{53640926-AAD7-44D8-BBD7-CCE9431645EC}">
                        <a14:shadowObscured xmlns:a14="http://schemas.microsoft.com/office/drawing/2010/main"/>
                      </a:ext>
                    </a:extLst>
                  </pic:spPr>
                </pic:pic>
              </a:graphicData>
            </a:graphic>
          </wp:inline>
        </w:drawing>
      </w:r>
    </w:p>
    <w:p w14:paraId="3BB1A278" w14:textId="68941493" w:rsidR="00EC3872" w:rsidRDefault="00EC3872" w:rsidP="00EC3872">
      <w:pPr>
        <w:pStyle w:val="ListBullet"/>
        <w:numPr>
          <w:ilvl w:val="0"/>
          <w:numId w:val="0"/>
        </w:numPr>
        <w:spacing w:line="300" w:lineRule="atLeast"/>
        <w:jc w:val="center"/>
      </w:pPr>
      <w:r w:rsidRPr="00EC3872">
        <w:rPr>
          <w:noProof/>
        </w:rPr>
        <w:drawing>
          <wp:inline distT="0" distB="0" distL="0" distR="0" wp14:anchorId="13E63A39" wp14:editId="62B74A2B">
            <wp:extent cx="6124575" cy="565150"/>
            <wp:effectExtent l="0" t="0" r="9525" b="6350"/>
            <wp:docPr id="1272507638" name="Picture 1" descr="Source: Tourism Research Australia (TRA), International and National Visitor Surveys, 2024; Australian Bureau of Statistics, Balance of Payments, 2023.&#10;Rounded figures shown here for presentation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07638" name="Picture 1" descr="Source: Tourism Research Australia (TRA), International and National Visitor Surveys, 2024; Australian Bureau of Statistics, Balance of Payments, 2023.&#10;Rounded figures shown here for presentation purposes"/>
                    <pic:cNvPicPr/>
                  </pic:nvPicPr>
                  <pic:blipFill rotWithShape="1">
                    <a:blip r:embed="rId20"/>
                    <a:srcRect t="85575" r="3240"/>
                    <a:stretch/>
                  </pic:blipFill>
                  <pic:spPr bwMode="auto">
                    <a:xfrm>
                      <a:off x="0" y="0"/>
                      <a:ext cx="6124575" cy="565150"/>
                    </a:xfrm>
                    <a:prstGeom prst="rect">
                      <a:avLst/>
                    </a:prstGeom>
                    <a:ln>
                      <a:noFill/>
                    </a:ln>
                    <a:extLst>
                      <a:ext uri="{53640926-AAD7-44D8-BBD7-CCE9431645EC}">
                        <a14:shadowObscured xmlns:a14="http://schemas.microsoft.com/office/drawing/2010/main"/>
                      </a:ext>
                    </a:extLst>
                  </pic:spPr>
                </pic:pic>
              </a:graphicData>
            </a:graphic>
          </wp:inline>
        </w:drawing>
      </w:r>
    </w:p>
    <w:p w14:paraId="7F92E570" w14:textId="6BA328E7" w:rsidR="00186092" w:rsidRDefault="004D67DF" w:rsidP="004D67DF">
      <w:bookmarkStart w:id="44" w:name="_Toc131073756"/>
      <w:bookmarkStart w:id="45" w:name="_Toc135990456"/>
      <w:r>
        <w:lastRenderedPageBreak/>
        <w:t>The outlook for further growth is also positive, with TRA forecasting tourism spend to increase by 31%</w:t>
      </w:r>
      <w:r w:rsidR="00D646F9">
        <w:t xml:space="preserve"> over the next 5 year</w:t>
      </w:r>
      <w:r w:rsidR="007B0D17">
        <w:t>s</w:t>
      </w:r>
      <w:r w:rsidR="00186092">
        <w:t xml:space="preserve"> to reach</w:t>
      </w:r>
      <w:r>
        <w:t xml:space="preserve"> 61% above the pre-pandemic level. International visitation and domestic visitor nights are also forecast to rise to above their pre-pandemic levels.</w:t>
      </w:r>
    </w:p>
    <w:p w14:paraId="2D5ED7E7" w14:textId="25E79CCF" w:rsidR="002D233D" w:rsidRDefault="00380258" w:rsidP="00806056">
      <w:pPr>
        <w:pStyle w:val="Heading3"/>
      </w:pPr>
      <w:bookmarkStart w:id="46" w:name="_Toc167113869"/>
      <w:r>
        <w:t xml:space="preserve">Note on recovery </w:t>
      </w:r>
      <w:proofErr w:type="gramStart"/>
      <w:r>
        <w:t>terminology</w:t>
      </w:r>
      <w:bookmarkEnd w:id="46"/>
      <w:proofErr w:type="gramEnd"/>
    </w:p>
    <w:p w14:paraId="338193C6" w14:textId="2E29A2C3" w:rsidR="00163C37" w:rsidRDefault="00380258" w:rsidP="00380258">
      <w:r>
        <w:t xml:space="preserve">Throughout this report, there are </w:t>
      </w:r>
      <w:r w:rsidR="003D39FC">
        <w:t>mentions of</w:t>
      </w:r>
      <w:r>
        <w:t xml:space="preserve"> the </w:t>
      </w:r>
      <w:r w:rsidR="00312474">
        <w:t>‘</w:t>
      </w:r>
      <w:r>
        <w:t>re</w:t>
      </w:r>
      <w:r w:rsidR="00312474">
        <w:t xml:space="preserve">covery’ and measures </w:t>
      </w:r>
      <w:r w:rsidR="001B28FD">
        <w:t>are</w:t>
      </w:r>
      <w:r w:rsidR="00312474">
        <w:t xml:space="preserve"> compared to pre</w:t>
      </w:r>
      <w:r w:rsidR="00691E9B">
        <w:noBreakHyphen/>
      </w:r>
      <w:r w:rsidR="00312474">
        <w:t xml:space="preserve">pandemic levels. </w:t>
      </w:r>
      <w:r w:rsidR="001B28FD">
        <w:t xml:space="preserve">These are for reference purposes. </w:t>
      </w:r>
      <w:r w:rsidR="003D39FC">
        <w:t xml:space="preserve">The focus of this report is to detail </w:t>
      </w:r>
      <w:r w:rsidR="00B73C23">
        <w:t xml:space="preserve">developments and trends in </w:t>
      </w:r>
      <w:r w:rsidR="003D39FC">
        <w:t xml:space="preserve">the visitor economy </w:t>
      </w:r>
      <w:r w:rsidR="00B73C23">
        <w:t xml:space="preserve">and changes compared with the previous year. However, with some sectors changing rapidly over recent years, it can be helpful to provide a reference to pre-pandemic levels, when conditions were </w:t>
      </w:r>
      <w:r w:rsidR="00646CE2">
        <w:t xml:space="preserve">relatively </w:t>
      </w:r>
      <w:r w:rsidR="00B73C23">
        <w:t>more stable</w:t>
      </w:r>
      <w:r w:rsidR="005D1075">
        <w:t xml:space="preserve">. </w:t>
      </w:r>
      <w:r w:rsidR="005C7C99">
        <w:t>The pre-pandemic year</w:t>
      </w:r>
      <w:r w:rsidR="005D1075">
        <w:t xml:space="preserve"> is also a period that</w:t>
      </w:r>
      <w:r w:rsidR="00B73C23">
        <w:t xml:space="preserve"> </w:t>
      </w:r>
      <w:r w:rsidR="005D1075">
        <w:t xml:space="preserve">visitor economy participants, researchers and other users of this report </w:t>
      </w:r>
      <w:r w:rsidR="00092C8A">
        <w:t>may</w:t>
      </w:r>
      <w:r w:rsidR="005D1075">
        <w:t xml:space="preserve"> remember </w:t>
      </w:r>
      <w:r w:rsidR="002227BA">
        <w:t xml:space="preserve">and interpret as being a reasonable representation of a complete and </w:t>
      </w:r>
      <w:r w:rsidR="008A622C">
        <w:t xml:space="preserve">steady-state </w:t>
      </w:r>
      <w:r w:rsidR="002227BA">
        <w:t xml:space="preserve">visitor economy. </w:t>
      </w:r>
    </w:p>
    <w:p w14:paraId="2468DD02" w14:textId="564A56C1" w:rsidR="00380258" w:rsidRDefault="00163C37" w:rsidP="00380258">
      <w:r>
        <w:t>References to pre-pandemic are not to be interpreted as an expectation that all components of the visitor economy will, or should, return to exactly how they were in 2019</w:t>
      </w:r>
      <w:r w:rsidR="00B73C23">
        <w:t xml:space="preserve">. </w:t>
      </w:r>
      <w:r>
        <w:t xml:space="preserve">There is </w:t>
      </w:r>
      <w:r w:rsidR="00CE5523">
        <w:t>consensus</w:t>
      </w:r>
      <w:r w:rsidR="00EE1504">
        <w:t xml:space="preserve"> that much </w:t>
      </w:r>
      <w:r w:rsidR="003D39FC">
        <w:t>has</w:t>
      </w:r>
      <w:r w:rsidR="00EE1504">
        <w:t xml:space="preserve"> changed</w:t>
      </w:r>
      <w:r w:rsidR="00CE5523">
        <w:t xml:space="preserve"> over the past 5 years</w:t>
      </w:r>
      <w:r w:rsidR="00EE1504">
        <w:t xml:space="preserve">, not </w:t>
      </w:r>
      <w:r w:rsidR="00CE5523">
        <w:t>just</w:t>
      </w:r>
      <w:r w:rsidR="00EE1504">
        <w:t xml:space="preserve"> for the visitor economy, but also </w:t>
      </w:r>
      <w:r w:rsidR="00A06F11">
        <w:t>more</w:t>
      </w:r>
      <w:r w:rsidR="00EE1504">
        <w:t xml:space="preserve"> broad</w:t>
      </w:r>
      <w:r w:rsidR="00A06F11">
        <w:t>ly across the national and international economy and society</w:t>
      </w:r>
      <w:r w:rsidR="00EE1504">
        <w:t xml:space="preserve">. </w:t>
      </w:r>
      <w:r w:rsidR="5EF562A4">
        <w:t>For example, t</w:t>
      </w:r>
      <w:r w:rsidR="00CE5523">
        <w:t>he</w:t>
      </w:r>
      <w:r w:rsidR="00A06F11">
        <w:t xml:space="preserve"> progressive</w:t>
      </w:r>
      <w:r w:rsidR="008E0F65">
        <w:t>ly</w:t>
      </w:r>
      <w:r w:rsidR="00A06F11">
        <w:t xml:space="preserve"> </w:t>
      </w:r>
      <w:r w:rsidR="008E0F65">
        <w:t xml:space="preserve">strengthened </w:t>
      </w:r>
      <w:r w:rsidR="00AF70A2">
        <w:t>focus on sustainability</w:t>
      </w:r>
      <w:r w:rsidR="009A40C5">
        <w:t xml:space="preserve"> is </w:t>
      </w:r>
      <w:r w:rsidR="00A756CC">
        <w:t xml:space="preserve">likely to </w:t>
      </w:r>
      <w:r w:rsidR="00936FA5">
        <w:t xml:space="preserve">lead to </w:t>
      </w:r>
      <w:r w:rsidR="00E65200">
        <w:t>differences in the</w:t>
      </w:r>
      <w:r w:rsidR="00213E31">
        <w:t xml:space="preserve"> make-up of the</w:t>
      </w:r>
      <w:r w:rsidR="00E65200">
        <w:t xml:space="preserve"> visitor economy </w:t>
      </w:r>
      <w:r w:rsidR="009A40C5">
        <w:t xml:space="preserve">post recovery relative to pre-pandemic. </w:t>
      </w:r>
      <w:r w:rsidR="005256E2">
        <w:t>Maintaining comparison</w:t>
      </w:r>
      <w:r w:rsidR="005D07CC">
        <w:t>s</w:t>
      </w:r>
      <w:r w:rsidR="005256E2">
        <w:t xml:space="preserve"> to pre-pandemic </w:t>
      </w:r>
      <w:r w:rsidR="005D07CC">
        <w:t xml:space="preserve">will </w:t>
      </w:r>
      <w:r w:rsidR="001247DF">
        <w:t xml:space="preserve">help </w:t>
      </w:r>
      <w:r w:rsidR="005256E2">
        <w:t>provide measure</w:t>
      </w:r>
      <w:r w:rsidR="005D07CC">
        <w:t>s</w:t>
      </w:r>
      <w:r w:rsidR="005256E2">
        <w:t xml:space="preserve"> of </w:t>
      </w:r>
      <w:r w:rsidR="001B67AF">
        <w:t xml:space="preserve">where, and by </w:t>
      </w:r>
      <w:r w:rsidR="005256E2">
        <w:t xml:space="preserve">how </w:t>
      </w:r>
      <w:r w:rsidR="005D07CC">
        <w:t>much</w:t>
      </w:r>
      <w:r w:rsidR="006E6C01">
        <w:t>,</w:t>
      </w:r>
      <w:r w:rsidR="005D07CC">
        <w:t xml:space="preserve"> these </w:t>
      </w:r>
      <w:r w:rsidR="00DE5B0D">
        <w:t>emerging trends</w:t>
      </w:r>
      <w:r w:rsidR="005D07CC">
        <w:t xml:space="preserve"> are </w:t>
      </w:r>
      <w:r w:rsidR="00B80955">
        <w:t xml:space="preserve">influencing </w:t>
      </w:r>
      <w:r w:rsidR="00326622">
        <w:t xml:space="preserve">visitor economy demand and supply metrics. </w:t>
      </w:r>
    </w:p>
    <w:p w14:paraId="7AD51019" w14:textId="77777777" w:rsidR="00EA78FF" w:rsidRDefault="00EA78FF" w:rsidP="00380258"/>
    <w:p w14:paraId="25783632" w14:textId="6A5AE27A" w:rsidR="00F23947" w:rsidRDefault="00EA78FF" w:rsidP="00EA78FF">
      <w:pPr>
        <w:pStyle w:val="Heading4"/>
        <w:pBdr>
          <w:top w:val="thinThickSmallGap" w:sz="24" w:space="1" w:color="2E1A47" w:themeColor="accent2"/>
        </w:pBdr>
      </w:pPr>
      <w:r>
        <w:t xml:space="preserve">Outcomes from </w:t>
      </w:r>
      <w:r w:rsidR="00F23947">
        <w:t>THRIVE 2030 Strategy</w:t>
      </w:r>
    </w:p>
    <w:p w14:paraId="44F26A12" w14:textId="088859F4" w:rsidR="00F23947" w:rsidRDefault="00F23947" w:rsidP="00F23947">
      <w:r>
        <w:t xml:space="preserve">The industry-led and government-enabled </w:t>
      </w:r>
      <w:hyperlink r:id="rId21">
        <w:r w:rsidRPr="74278CEF">
          <w:rPr>
            <w:rStyle w:val="Hyperlink"/>
          </w:rPr>
          <w:t>THRIVE 2030 Strategy</w:t>
        </w:r>
      </w:hyperlink>
      <w:r>
        <w:rPr>
          <w:rFonts w:ascii="Times New Roman" w:hAnsi="Times New Roman" w:cs="Times New Roman"/>
          <w:color w:val="auto"/>
          <w:sz w:val="24"/>
          <w:szCs w:val="24"/>
          <w:lang w:eastAsia="en-AU"/>
        </w:rPr>
        <w:t xml:space="preserve"> </w:t>
      </w:r>
      <w:r>
        <w:t>for the Australian visitor economy</w:t>
      </w:r>
      <w:r w:rsidRPr="009A1D7A">
        <w:t xml:space="preserve"> </w:t>
      </w:r>
      <w:r>
        <w:t xml:space="preserve">has supported the visitor economy to recover </w:t>
      </w:r>
      <w:r w:rsidR="00767979">
        <w:t>from the pandemic</w:t>
      </w:r>
      <w:r>
        <w:t xml:space="preserve">. </w:t>
      </w:r>
      <w:r w:rsidR="00767979">
        <w:t>P</w:t>
      </w:r>
      <w:r>
        <w:t>hase 1 of the Strategy, the “Recovery phase”</w:t>
      </w:r>
      <w:r w:rsidR="00531570">
        <w:t>, covers the period to 2024</w:t>
      </w:r>
      <w:r>
        <w:t>. Key outcomes aligned to the 7 priority areas of Phase 1 include:</w:t>
      </w:r>
    </w:p>
    <w:p w14:paraId="22DBFBA6" w14:textId="77777777" w:rsidR="00F23947" w:rsidRDefault="00F23947" w:rsidP="00F23947">
      <w:pPr>
        <w:pStyle w:val="BulletList"/>
      </w:pPr>
      <w:r>
        <w:t xml:space="preserve">comprehensive collaboration between various levels of government and industry </w:t>
      </w:r>
    </w:p>
    <w:p w14:paraId="6C51D13D" w14:textId="46C42DD6" w:rsidR="00F23947" w:rsidRDefault="00F23947" w:rsidP="00F23947">
      <w:pPr>
        <w:pStyle w:val="BulletList"/>
      </w:pPr>
      <w:r>
        <w:t xml:space="preserve">improved data and insights including </w:t>
      </w:r>
      <w:r w:rsidR="0058244F">
        <w:t>better</w:t>
      </w:r>
      <w:r>
        <w:t xml:space="preserve"> measurement of business events and </w:t>
      </w:r>
      <w:r w:rsidR="00A85CDE">
        <w:t xml:space="preserve">release of new domestic mobility </w:t>
      </w:r>
      <w:proofErr w:type="gramStart"/>
      <w:r w:rsidR="00A85CDE">
        <w:t>data</w:t>
      </w:r>
      <w:proofErr w:type="gramEnd"/>
    </w:p>
    <w:p w14:paraId="19D50B5F" w14:textId="27BCF125" w:rsidR="00F23947" w:rsidRDefault="00F23947" w:rsidP="00F23947">
      <w:pPr>
        <w:pStyle w:val="BulletList"/>
      </w:pPr>
      <w:r>
        <w:t xml:space="preserve">growth of a secure and resilient workforce with support from targeted policy measures such as the Choose Tourism </w:t>
      </w:r>
      <w:r w:rsidR="00300789">
        <w:t>P</w:t>
      </w:r>
      <w:r>
        <w:t xml:space="preserve">rogram and fee-free TAFE </w:t>
      </w:r>
      <w:proofErr w:type="gramStart"/>
      <w:r>
        <w:t>places</w:t>
      </w:r>
      <w:proofErr w:type="gramEnd"/>
    </w:p>
    <w:p w14:paraId="1D21F8E1" w14:textId="57A0A2DA" w:rsidR="00F23947" w:rsidRDefault="00A85CDE" w:rsidP="00F23947">
      <w:pPr>
        <w:pStyle w:val="BulletList"/>
      </w:pPr>
      <w:r>
        <w:t xml:space="preserve">support to </w:t>
      </w:r>
      <w:r w:rsidR="00F23947">
        <w:t xml:space="preserve">embrace leading-edge business practices through development of the National Sustainability Framework and Sustainable Tourism Toolkit and increased focus on Accessible Tourism </w:t>
      </w:r>
      <w:r w:rsidR="002D54A4">
        <w:t>supported by the Welcome Framework</w:t>
      </w:r>
    </w:p>
    <w:p w14:paraId="3B55A083" w14:textId="2E22E450" w:rsidR="00F23947" w:rsidRDefault="00E86733" w:rsidP="00F23947">
      <w:pPr>
        <w:pStyle w:val="BulletList"/>
      </w:pPr>
      <w:r>
        <w:t xml:space="preserve">development of </w:t>
      </w:r>
      <w:r w:rsidR="00F23947">
        <w:t>enhanced visitor infrastructure through targeted programs such as the Caravan Parks Program as well as support for the Aviation White Paper and Aviation Recovery and Attraction Schemes</w:t>
      </w:r>
    </w:p>
    <w:p w14:paraId="5EFB9416" w14:textId="6C15C769" w:rsidR="00F23947" w:rsidRPr="001E7857" w:rsidRDefault="00E86733" w:rsidP="00F23947">
      <w:pPr>
        <w:pStyle w:val="BulletList"/>
      </w:pPr>
      <w:r>
        <w:t>building of new</w:t>
      </w:r>
      <w:r w:rsidR="00F23947">
        <w:t xml:space="preserve"> markets and attract</w:t>
      </w:r>
      <w:r>
        <w:t>ing visitors</w:t>
      </w:r>
      <w:r w:rsidR="00F23947">
        <w:t xml:space="preserve"> through: </w:t>
      </w:r>
    </w:p>
    <w:p w14:paraId="746CE94E" w14:textId="77777777" w:rsidR="00F23947" w:rsidRPr="001E7857" w:rsidRDefault="00F23947" w:rsidP="00F23947">
      <w:pPr>
        <w:pStyle w:val="ListParagraph"/>
        <w:numPr>
          <w:ilvl w:val="1"/>
          <w:numId w:val="21"/>
        </w:numPr>
        <w:rPr>
          <w:rStyle w:val="normaltextrun"/>
        </w:rPr>
      </w:pPr>
      <w:r w:rsidRPr="484C69EB">
        <w:rPr>
          <w:rStyle w:val="normaltextrun"/>
        </w:rPr>
        <w:t xml:space="preserve">the Reviving </w:t>
      </w:r>
      <w:r>
        <w:rPr>
          <w:rStyle w:val="normaltextrun"/>
          <w:color w:val="000000"/>
          <w:bdr w:val="none" w:sz="0" w:space="0" w:color="auto" w:frame="1"/>
        </w:rPr>
        <w:t>International Tourism Grants program</w:t>
      </w:r>
    </w:p>
    <w:p w14:paraId="113F42F6" w14:textId="0E1DA36C" w:rsidR="00F23947" w:rsidRPr="001E7857" w:rsidRDefault="00F23947" w:rsidP="00F23947">
      <w:pPr>
        <w:pStyle w:val="ListParagraph"/>
        <w:numPr>
          <w:ilvl w:val="1"/>
          <w:numId w:val="21"/>
        </w:numPr>
        <w:rPr>
          <w:rStyle w:val="normaltextrun"/>
        </w:rPr>
      </w:pPr>
      <w:r w:rsidRPr="55F863EC" w:rsidDel="2E27E5BA">
        <w:rPr>
          <w:rStyle w:val="normaltextrun"/>
        </w:rPr>
        <w:t>the r</w:t>
      </w:r>
      <w:r>
        <w:rPr>
          <w:rStyle w:val="normaltextrun"/>
          <w:color w:val="000000"/>
          <w:shd w:val="clear" w:color="auto" w:fill="FFFFFF"/>
        </w:rPr>
        <w:t xml:space="preserve">estart of the </w:t>
      </w:r>
      <w:r w:rsidRPr="003A6CE8">
        <w:rPr>
          <w:rStyle w:val="normaltextrun"/>
          <w:color w:val="000000"/>
          <w:shd w:val="clear" w:color="auto" w:fill="FFFFFF"/>
        </w:rPr>
        <w:t xml:space="preserve">Approved Destination </w:t>
      </w:r>
      <w:r w:rsidR="00A4613F">
        <w:rPr>
          <w:rStyle w:val="normaltextrun"/>
          <w:color w:val="000000"/>
          <w:shd w:val="clear" w:color="auto" w:fill="FFFFFF"/>
        </w:rPr>
        <w:t xml:space="preserve">Status (ADS) </w:t>
      </w:r>
      <w:r w:rsidR="0046311A">
        <w:rPr>
          <w:rStyle w:val="normaltextrun"/>
          <w:color w:val="000000"/>
          <w:shd w:val="clear" w:color="auto" w:fill="FFFFFF"/>
        </w:rPr>
        <w:t>s</w:t>
      </w:r>
      <w:r w:rsidRPr="003A6CE8">
        <w:rPr>
          <w:rStyle w:val="normaltextrun"/>
          <w:color w:val="000000"/>
          <w:shd w:val="clear" w:color="auto" w:fill="FFFFFF"/>
        </w:rPr>
        <w:t>cheme</w:t>
      </w:r>
      <w:r>
        <w:rPr>
          <w:rStyle w:val="normaltextrun"/>
          <w:color w:val="000000"/>
          <w:shd w:val="clear" w:color="auto" w:fill="FFFFFF"/>
        </w:rPr>
        <w:t xml:space="preserve"> with China </w:t>
      </w:r>
    </w:p>
    <w:p w14:paraId="42F880F4" w14:textId="73FAD06A" w:rsidR="00F23947" w:rsidRPr="001E7857" w:rsidRDefault="00F23947" w:rsidP="00F23947">
      <w:pPr>
        <w:pStyle w:val="ListParagraph"/>
        <w:numPr>
          <w:ilvl w:val="1"/>
          <w:numId w:val="21"/>
        </w:numPr>
      </w:pPr>
      <w:r>
        <w:rPr>
          <w:rStyle w:val="normaltextrun"/>
          <w:color w:val="000000"/>
          <w:shd w:val="clear" w:color="auto" w:fill="FFFFFF"/>
        </w:rPr>
        <w:lastRenderedPageBreak/>
        <w:t xml:space="preserve">consultation on </w:t>
      </w:r>
      <w:r w:rsidR="00A4613F">
        <w:rPr>
          <w:rStyle w:val="normaltextrun"/>
          <w:color w:val="000000"/>
          <w:shd w:val="clear" w:color="auto" w:fill="FFFFFF"/>
        </w:rPr>
        <w:t>a</w:t>
      </w:r>
      <w:r>
        <w:rPr>
          <w:rStyle w:val="normaltextrun"/>
          <w:color w:val="000000"/>
          <w:shd w:val="clear" w:color="auto" w:fill="FFFFFF"/>
        </w:rPr>
        <w:t xml:space="preserve"> diversification strategy for the visitor economy</w:t>
      </w:r>
      <w:r w:rsidR="004B42E6">
        <w:rPr>
          <w:rStyle w:val="normaltextrun"/>
          <w:color w:val="000000"/>
          <w:shd w:val="clear" w:color="auto" w:fill="FFFFFF"/>
        </w:rPr>
        <w:t>. This work is consistent</w:t>
      </w:r>
      <w:r>
        <w:rPr>
          <w:rStyle w:val="normaltextrun"/>
          <w:color w:val="000000"/>
          <w:shd w:val="clear" w:color="auto" w:fill="FFFFFF"/>
        </w:rPr>
        <w:t xml:space="preserve"> with </w:t>
      </w:r>
      <w:r w:rsidRPr="001E7857">
        <w:rPr>
          <w:rStyle w:val="normaltextrun"/>
          <w:color w:val="000000"/>
          <w:shd w:val="clear" w:color="auto" w:fill="FFFFFF"/>
        </w:rPr>
        <w:t>the Southeast Asia Economic Strategy, developed by Nicholas Moore AO, where the visitor economy was highlighted as one of 10 priority sectors.</w:t>
      </w:r>
      <w:r w:rsidRPr="001E7857">
        <w:rPr>
          <w:rStyle w:val="eop"/>
          <w:color w:val="000000"/>
          <w:shd w:val="clear" w:color="auto" w:fill="FFFFFF"/>
        </w:rPr>
        <w:t> </w:t>
      </w:r>
    </w:p>
    <w:p w14:paraId="5277E336" w14:textId="42496456" w:rsidR="00F23947" w:rsidRDefault="00F94D2B" w:rsidP="00F23947">
      <w:pPr>
        <w:pStyle w:val="BulletList"/>
      </w:pPr>
      <w:r>
        <w:t>t</w:t>
      </w:r>
      <w:r w:rsidR="004B42E6">
        <w:t xml:space="preserve">he </w:t>
      </w:r>
      <w:r w:rsidR="00F23947">
        <w:t>growth of unique and high-quality products including First Nations experiences and securing mass-participation events such as the FIFA Women’s World Cup.</w:t>
      </w:r>
    </w:p>
    <w:p w14:paraId="5C546EE6" w14:textId="0CA830CC" w:rsidR="00F23947" w:rsidRDefault="00F23947" w:rsidP="00EA78FF">
      <w:pPr>
        <w:pBdr>
          <w:bottom w:val="thickThinSmallGap" w:sz="24" w:space="1" w:color="2E1A47" w:themeColor="accent2"/>
        </w:pBdr>
      </w:pPr>
      <w:r>
        <w:t xml:space="preserve">Phase 2 of the Strategy, covering the period from 2025 to 2027, is the “Consolidation phase”. After that, Phase 3, the “Acceleration phase”, aspires to see the industry grow sustainably so that expenditure in the visitor economy reaches $230 billion by the year 2030. The visitor economy is well on the way to achieving </w:t>
      </w:r>
      <w:r w:rsidR="00536ABE">
        <w:t>this target</w:t>
      </w:r>
      <w:r w:rsidR="004B42E6">
        <w:t xml:space="preserve">, having already exceeding the interim target to return to </w:t>
      </w:r>
      <w:r w:rsidR="00C84991">
        <w:t xml:space="preserve">the </w:t>
      </w:r>
      <w:r w:rsidR="004B42E6">
        <w:t>pre-</w:t>
      </w:r>
      <w:r w:rsidR="00AC6D7B">
        <w:t>COVID-19</w:t>
      </w:r>
      <w:r w:rsidR="00C84991">
        <w:t xml:space="preserve"> level of total visitor</w:t>
      </w:r>
      <w:r w:rsidR="004B42E6">
        <w:t xml:space="preserve"> spend of $166 billion</w:t>
      </w:r>
      <w:r w:rsidR="00C84991">
        <w:t xml:space="preserve"> one year early</w:t>
      </w:r>
      <w:r>
        <w:t xml:space="preserve">. </w:t>
      </w:r>
    </w:p>
    <w:p w14:paraId="7B3DE842" w14:textId="6007C75D" w:rsidR="00ED4B68" w:rsidRDefault="006E6C01" w:rsidP="00F23947">
      <w:pPr>
        <w:pStyle w:val="Heading4"/>
        <w:sectPr w:rsidR="00ED4B68" w:rsidSect="009A6E60">
          <w:footerReference w:type="default" r:id="rId22"/>
          <w:pgSz w:w="11906" w:h="16838"/>
          <w:pgMar w:top="851" w:right="945" w:bottom="993" w:left="993" w:header="708" w:footer="362" w:gutter="0"/>
          <w:pgNumType w:start="0"/>
          <w:cols w:space="708"/>
          <w:titlePg/>
          <w:docGrid w:linePitch="360"/>
        </w:sectPr>
      </w:pPr>
      <w:r>
        <w:br w:type="page"/>
      </w:r>
    </w:p>
    <w:p w14:paraId="0EF78C28" w14:textId="77777777" w:rsidR="00ED4B68" w:rsidRDefault="00ED4B68" w:rsidP="00ED4B68">
      <w:pPr>
        <w:pStyle w:val="Heading2"/>
        <w:spacing w:before="0"/>
      </w:pPr>
      <w:bookmarkStart w:id="47" w:name="_Toc167113870"/>
      <w:r>
        <w:lastRenderedPageBreak/>
        <w:t>Statistical summary</w:t>
      </w:r>
      <w:bookmarkEnd w:id="47"/>
      <w:r>
        <w:t xml:space="preserve"> </w:t>
      </w:r>
    </w:p>
    <w:p w14:paraId="49C885EA" w14:textId="77777777" w:rsidR="00ED4B68" w:rsidRDefault="00ED4B68" w:rsidP="002D7133">
      <w:pPr>
        <w:pStyle w:val="Heading3"/>
        <w:spacing w:before="240"/>
      </w:pPr>
      <w:r>
        <w:t xml:space="preserve"> </w:t>
      </w:r>
      <w:bookmarkStart w:id="48" w:name="_Toc167113871"/>
      <w:r>
        <w:t>Table of demand measures</w:t>
      </w:r>
      <w:bookmarkEnd w:id="48"/>
    </w:p>
    <w:tbl>
      <w:tblPr>
        <w:tblW w:w="5059" w:type="pct"/>
        <w:tblCellMar>
          <w:top w:w="15" w:type="dxa"/>
          <w:left w:w="15" w:type="dxa"/>
          <w:bottom w:w="15" w:type="dxa"/>
          <w:right w:w="15" w:type="dxa"/>
        </w:tblCellMar>
        <w:tblLook w:val="04A0" w:firstRow="1" w:lastRow="0" w:firstColumn="1" w:lastColumn="0" w:noHBand="0" w:noVBand="1"/>
        <w:tblCaption w:val="Table of demand measures"/>
        <w:tblDescription w:val="This table lists a number of tourism demand metrics and their value in 2019, 2022 and 2023. It also provides the percentage change in each measure between 2019 and 2023, as well as between 2022 and 2023. "/>
      </w:tblPr>
      <w:tblGrid>
        <w:gridCol w:w="2124"/>
        <w:gridCol w:w="4493"/>
        <w:gridCol w:w="1602"/>
        <w:gridCol w:w="1559"/>
        <w:gridCol w:w="1702"/>
        <w:gridCol w:w="1841"/>
        <w:gridCol w:w="1844"/>
      </w:tblGrid>
      <w:tr w:rsidR="00BE03C9" w:rsidRPr="00746059" w14:paraId="73997DF2" w14:textId="77777777" w:rsidTr="00AB08CE">
        <w:trPr>
          <w:trHeight w:val="896"/>
          <w:tblHeader/>
        </w:trPr>
        <w:tc>
          <w:tcPr>
            <w:tcW w:w="700"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2CC6425E" w14:textId="77777777" w:rsidR="00B41E61" w:rsidRPr="00E9492B" w:rsidRDefault="00B41E61">
            <w:pPr>
              <w:rPr>
                <w:b/>
                <w:color w:val="FFFFFF" w:themeColor="background1"/>
              </w:rPr>
            </w:pPr>
            <w:r w:rsidRPr="00E9492B">
              <w:rPr>
                <w:b/>
                <w:color w:val="FFFFFF" w:themeColor="background1"/>
              </w:rPr>
              <w:t>Demand metric</w:t>
            </w:r>
          </w:p>
        </w:tc>
        <w:tc>
          <w:tcPr>
            <w:tcW w:w="1481" w:type="pct"/>
            <w:tcBorders>
              <w:top w:val="single" w:sz="2" w:space="0" w:color="auto"/>
              <w:left w:val="single" w:sz="2" w:space="0" w:color="auto"/>
              <w:bottom w:val="single" w:sz="6" w:space="0" w:color="auto"/>
              <w:right w:val="single" w:sz="2" w:space="0" w:color="auto"/>
            </w:tcBorders>
            <w:shd w:val="clear" w:color="auto" w:fill="2E1A47" w:themeFill="accent2"/>
            <w:tcMar>
              <w:left w:w="57" w:type="dxa"/>
              <w:right w:w="113" w:type="dxa"/>
            </w:tcMar>
            <w:vAlign w:val="center"/>
            <w:hideMark/>
          </w:tcPr>
          <w:p w14:paraId="4CECDA41" w14:textId="77777777" w:rsidR="00B41E61" w:rsidRPr="00E9492B" w:rsidRDefault="00B41E61">
            <w:pPr>
              <w:rPr>
                <w:b/>
                <w:color w:val="FFFFFF" w:themeColor="background1"/>
              </w:rPr>
            </w:pPr>
            <w:r w:rsidRPr="00E9492B">
              <w:rPr>
                <w:b/>
                <w:color w:val="FFFFFF" w:themeColor="background1"/>
              </w:rPr>
              <w:t>Description</w:t>
            </w:r>
          </w:p>
        </w:tc>
        <w:tc>
          <w:tcPr>
            <w:tcW w:w="528"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357DBBBE" w14:textId="77777777" w:rsidR="00B41E61" w:rsidRPr="00E9492B" w:rsidRDefault="00B41E61" w:rsidP="00685FC1">
            <w:pPr>
              <w:rPr>
                <w:b/>
                <w:color w:val="FFFFFF" w:themeColor="background1"/>
              </w:rPr>
            </w:pPr>
            <w:r w:rsidRPr="00E9492B">
              <w:rPr>
                <w:b/>
                <w:color w:val="FFFFFF" w:themeColor="background1"/>
              </w:rPr>
              <w:t>2019 value</w:t>
            </w:r>
          </w:p>
        </w:tc>
        <w:tc>
          <w:tcPr>
            <w:tcW w:w="514" w:type="pct"/>
            <w:tcBorders>
              <w:top w:val="single" w:sz="2" w:space="0" w:color="auto"/>
              <w:left w:val="single" w:sz="2" w:space="0" w:color="auto"/>
              <w:bottom w:val="single" w:sz="6" w:space="0" w:color="auto"/>
              <w:right w:val="single" w:sz="2" w:space="0" w:color="auto"/>
            </w:tcBorders>
            <w:shd w:val="clear" w:color="auto" w:fill="2E1A47" w:themeFill="accent2"/>
            <w:vAlign w:val="center"/>
          </w:tcPr>
          <w:p w14:paraId="48474C4A" w14:textId="40D2B7BB" w:rsidR="00B41E61" w:rsidRPr="00E9492B" w:rsidRDefault="00B41E61" w:rsidP="00685FC1">
            <w:pPr>
              <w:rPr>
                <w:b/>
                <w:color w:val="FFFFFF" w:themeColor="background1"/>
              </w:rPr>
            </w:pPr>
            <w:r w:rsidRPr="00E9492B">
              <w:rPr>
                <w:b/>
                <w:color w:val="FFFFFF" w:themeColor="background1"/>
              </w:rPr>
              <w:t>202</w:t>
            </w:r>
            <w:r>
              <w:rPr>
                <w:b/>
                <w:color w:val="FFFFFF" w:themeColor="background1"/>
              </w:rPr>
              <w:t>2</w:t>
            </w:r>
            <w:r w:rsidRPr="00E9492B">
              <w:rPr>
                <w:b/>
                <w:color w:val="FFFFFF" w:themeColor="background1"/>
              </w:rPr>
              <w:t xml:space="preserve"> value</w:t>
            </w:r>
          </w:p>
        </w:tc>
        <w:tc>
          <w:tcPr>
            <w:tcW w:w="561"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3398307B" w14:textId="2D1636F6" w:rsidR="00B41E61" w:rsidRPr="00E9492B" w:rsidRDefault="00B41E61" w:rsidP="00685FC1">
            <w:pPr>
              <w:rPr>
                <w:b/>
                <w:color w:val="FFFFFF" w:themeColor="background1"/>
              </w:rPr>
            </w:pPr>
            <w:r w:rsidRPr="00E9492B">
              <w:rPr>
                <w:b/>
                <w:color w:val="FFFFFF" w:themeColor="background1"/>
              </w:rPr>
              <w:t>202</w:t>
            </w:r>
            <w:r>
              <w:rPr>
                <w:b/>
                <w:color w:val="FFFFFF" w:themeColor="background1"/>
              </w:rPr>
              <w:t>3</w:t>
            </w:r>
            <w:r w:rsidRPr="00E9492B">
              <w:rPr>
                <w:b/>
                <w:color w:val="FFFFFF" w:themeColor="background1"/>
              </w:rPr>
              <w:t xml:space="preserve"> value</w:t>
            </w:r>
          </w:p>
        </w:tc>
        <w:tc>
          <w:tcPr>
            <w:tcW w:w="607"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7088AAF5" w14:textId="3965BFE8" w:rsidR="00B41E61" w:rsidRPr="00E9492B" w:rsidRDefault="00B41E61" w:rsidP="001A34FC">
            <w:pPr>
              <w:spacing w:before="0" w:after="0"/>
              <w:rPr>
                <w:b/>
                <w:color w:val="FFFFFF" w:themeColor="background1"/>
              </w:rPr>
            </w:pPr>
            <w:r w:rsidRPr="00E9492B">
              <w:rPr>
                <w:b/>
                <w:color w:val="FFFFFF" w:themeColor="background1"/>
              </w:rPr>
              <w:t xml:space="preserve">Change </w:t>
            </w:r>
            <w:r w:rsidR="00A133F6">
              <w:rPr>
                <w:b/>
                <w:bCs/>
                <w:color w:val="FFFFFF" w:themeColor="background1"/>
              </w:rPr>
              <w:t>from</w:t>
            </w:r>
            <w:r w:rsidRPr="00E9492B">
              <w:rPr>
                <w:b/>
                <w:color w:val="FFFFFF" w:themeColor="background1"/>
              </w:rPr>
              <w:t xml:space="preserve"> 2019 </w:t>
            </w:r>
            <w:r w:rsidR="00A133F6">
              <w:rPr>
                <w:b/>
                <w:bCs/>
                <w:color w:val="FFFFFF" w:themeColor="background1"/>
              </w:rPr>
              <w:t>to</w:t>
            </w:r>
            <w:r>
              <w:rPr>
                <w:b/>
                <w:bCs/>
                <w:color w:val="FFFFFF" w:themeColor="background1"/>
              </w:rPr>
              <w:t xml:space="preserve"> 2023</w:t>
            </w:r>
          </w:p>
        </w:tc>
        <w:tc>
          <w:tcPr>
            <w:tcW w:w="608"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461375C2" w14:textId="5F017AE8" w:rsidR="00B41E61" w:rsidRPr="00E9492B" w:rsidRDefault="00B41E61">
            <w:pPr>
              <w:rPr>
                <w:b/>
                <w:color w:val="FFFFFF" w:themeColor="background1"/>
              </w:rPr>
            </w:pPr>
            <w:r w:rsidRPr="00E9492B">
              <w:rPr>
                <w:b/>
                <w:color w:val="FFFFFF" w:themeColor="background1"/>
              </w:rPr>
              <w:t xml:space="preserve">Change </w:t>
            </w:r>
            <w:r w:rsidR="00A133F6">
              <w:rPr>
                <w:b/>
                <w:bCs/>
                <w:color w:val="FFFFFF" w:themeColor="background1"/>
              </w:rPr>
              <w:t>from</w:t>
            </w:r>
            <w:r w:rsidRPr="00E9492B">
              <w:rPr>
                <w:b/>
                <w:color w:val="FFFFFF" w:themeColor="background1"/>
              </w:rPr>
              <w:t xml:space="preserve"> 202</w:t>
            </w:r>
            <w:r>
              <w:rPr>
                <w:b/>
                <w:color w:val="FFFFFF" w:themeColor="background1"/>
              </w:rPr>
              <w:t>2</w:t>
            </w:r>
            <w:r>
              <w:rPr>
                <w:b/>
                <w:bCs/>
                <w:color w:val="FFFFFF" w:themeColor="background1"/>
              </w:rPr>
              <w:t xml:space="preserve"> </w:t>
            </w:r>
            <w:r w:rsidR="00A133F6">
              <w:rPr>
                <w:b/>
                <w:bCs/>
                <w:color w:val="FFFFFF" w:themeColor="background1"/>
              </w:rPr>
              <w:t>to</w:t>
            </w:r>
            <w:r>
              <w:rPr>
                <w:b/>
                <w:bCs/>
                <w:color w:val="FFFFFF" w:themeColor="background1"/>
              </w:rPr>
              <w:t xml:space="preserve"> 2023</w:t>
            </w:r>
          </w:p>
        </w:tc>
      </w:tr>
      <w:tr w:rsidR="00BE03C9" w:rsidRPr="00E9492B" w14:paraId="675A18FA"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6281B163" w14:textId="77777777" w:rsidR="00B41E61" w:rsidRPr="0087189B" w:rsidRDefault="00B41E61">
            <w:pPr>
              <w:spacing w:before="0" w:after="0" w:line="240" w:lineRule="auto"/>
              <w:rPr>
                <w:rFonts w:eastAsia="Times New Roman" w:cs="Times New Roman"/>
                <w:color w:val="auto"/>
                <w:lang w:eastAsia="en-AU"/>
              </w:rPr>
            </w:pPr>
            <w:r w:rsidRPr="0087189B">
              <w:rPr>
                <w:rFonts w:eastAsia="Times New Roman" w:cs="Times New Roman"/>
                <w:color w:val="auto"/>
                <w:lang w:eastAsia="en-AU"/>
              </w:rPr>
              <w:t>THRIVE 2030 target: Total visitor economy spend*</w:t>
            </w:r>
          </w:p>
        </w:tc>
        <w:tc>
          <w:tcPr>
            <w:tcW w:w="1481" w:type="pct"/>
            <w:tcBorders>
              <w:left w:val="single" w:sz="2" w:space="0" w:color="auto"/>
              <w:bottom w:val="single" w:sz="6" w:space="0" w:color="auto"/>
              <w:right w:val="single" w:sz="2" w:space="0" w:color="auto"/>
            </w:tcBorders>
            <w:tcMar>
              <w:left w:w="57" w:type="dxa"/>
              <w:right w:w="113" w:type="dxa"/>
            </w:tcMar>
            <w:hideMark/>
          </w:tcPr>
          <w:p w14:paraId="247F0233" w14:textId="77777777" w:rsidR="00B41E61" w:rsidRPr="001A23E1" w:rsidRDefault="00B41E61" w:rsidP="00871569">
            <w:pPr>
              <w:spacing w:before="0" w:after="0"/>
              <w:rPr>
                <w:rFonts w:eastAsia="Times New Roman" w:cs="Times New Roman"/>
                <w:color w:val="auto"/>
                <w:sz w:val="18"/>
                <w:szCs w:val="18"/>
                <w:lang w:eastAsia="en-AU"/>
              </w:rPr>
            </w:pPr>
            <w:r w:rsidRPr="001A23E1">
              <w:rPr>
                <w:rFonts w:eastAsia="Times New Roman" w:cs="Times New Roman"/>
                <w:color w:val="auto"/>
                <w:sz w:val="18"/>
                <w:szCs w:val="18"/>
                <w:lang w:eastAsia="en-AU"/>
              </w:rPr>
              <w:t xml:space="preserve">Combined value of total international visitor and total domestic visitor spend (in Australia only) </w:t>
            </w:r>
            <w:r w:rsidRPr="001A23E1">
              <w:rPr>
                <w:rFonts w:eastAsia="Times New Roman" w:cs="Times New Roman"/>
                <w:color w:val="auto"/>
                <w:sz w:val="18"/>
                <w:szCs w:val="18"/>
                <w:u w:val="single"/>
                <w:lang w:eastAsia="en-AU"/>
              </w:rPr>
              <w:t>including</w:t>
            </w:r>
            <w:r w:rsidRPr="001A23E1">
              <w:rPr>
                <w:rFonts w:eastAsia="Times New Roman" w:cs="Times New Roman"/>
                <w:color w:val="auto"/>
                <w:sz w:val="18"/>
                <w:szCs w:val="18"/>
                <w:lang w:eastAsia="en-AU"/>
              </w:rPr>
              <w:t xml:space="preserve"> international students staying </w:t>
            </w:r>
            <w:r w:rsidRPr="001A23E1">
              <w:rPr>
                <w:rFonts w:eastAsia="Times New Roman" w:cs="Times New Roman"/>
                <w:color w:val="auto"/>
                <w:sz w:val="18"/>
                <w:szCs w:val="18"/>
                <w:u w:val="single"/>
                <w:lang w:eastAsia="en-AU"/>
              </w:rPr>
              <w:t>more</w:t>
            </w:r>
            <w:r w:rsidRPr="001A23E1">
              <w:rPr>
                <w:rFonts w:eastAsia="Times New Roman" w:cs="Times New Roman"/>
                <w:color w:val="auto"/>
                <w:sz w:val="18"/>
                <w:szCs w:val="18"/>
                <w:lang w:eastAsia="en-AU"/>
              </w:rPr>
              <w:t xml:space="preserve"> than 12 months</w:t>
            </w:r>
          </w:p>
        </w:tc>
        <w:tc>
          <w:tcPr>
            <w:tcW w:w="528" w:type="pct"/>
            <w:tcBorders>
              <w:left w:val="single" w:sz="2" w:space="0" w:color="auto"/>
              <w:bottom w:val="single" w:sz="6" w:space="0" w:color="auto"/>
              <w:right w:val="single" w:sz="2" w:space="0" w:color="auto"/>
            </w:tcBorders>
            <w:hideMark/>
          </w:tcPr>
          <w:p w14:paraId="37843332" w14:textId="77777777"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$166.2 billion</w:t>
            </w:r>
          </w:p>
        </w:tc>
        <w:tc>
          <w:tcPr>
            <w:tcW w:w="514" w:type="pct"/>
            <w:tcBorders>
              <w:left w:val="single" w:sz="2" w:space="0" w:color="auto"/>
              <w:bottom w:val="single" w:sz="6" w:space="0" w:color="auto"/>
              <w:right w:val="single" w:sz="2" w:space="0" w:color="auto"/>
            </w:tcBorders>
          </w:tcPr>
          <w:p w14:paraId="7A3AD4CC" w14:textId="29375B2C" w:rsidR="00B41E61" w:rsidRPr="0087189B" w:rsidRDefault="00631BF2"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$16</w:t>
            </w:r>
            <w:r>
              <w:rPr>
                <w:rFonts w:eastAsia="Times New Roman" w:cs="Times New Roman"/>
                <w:color w:val="auto"/>
                <w:lang w:eastAsia="en-AU"/>
              </w:rPr>
              <w:t>5</w:t>
            </w:r>
            <w:r w:rsidRPr="0087189B">
              <w:rPr>
                <w:rFonts w:eastAsia="Times New Roman" w:cs="Times New Roman"/>
                <w:color w:val="auto"/>
                <w:lang w:eastAsia="en-AU"/>
              </w:rPr>
              <w:t>.</w:t>
            </w:r>
            <w:r>
              <w:rPr>
                <w:rFonts w:eastAsia="Times New Roman" w:cs="Times New Roman"/>
                <w:color w:val="auto"/>
                <w:lang w:eastAsia="en-AU"/>
              </w:rPr>
              <w:t>3</w:t>
            </w:r>
            <w:r w:rsidRPr="0087189B">
              <w:rPr>
                <w:rFonts w:eastAsia="Times New Roman" w:cs="Times New Roman"/>
                <w:color w:val="auto"/>
                <w:lang w:eastAsia="en-AU"/>
              </w:rPr>
              <w:t xml:space="preserve">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65ACE8BE" w14:textId="285905A8"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$207.7 billion</w:t>
            </w:r>
          </w:p>
        </w:tc>
        <w:tc>
          <w:tcPr>
            <w:tcW w:w="607" w:type="pct"/>
            <w:tcBorders>
              <w:left w:val="single" w:sz="2" w:space="0" w:color="auto"/>
              <w:bottom w:val="single" w:sz="6" w:space="0" w:color="auto"/>
              <w:right w:val="single" w:sz="2" w:space="0" w:color="auto"/>
            </w:tcBorders>
            <w:hideMark/>
          </w:tcPr>
          <w:p w14:paraId="3569AA39"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25% up</w:t>
            </w:r>
          </w:p>
        </w:tc>
        <w:tc>
          <w:tcPr>
            <w:tcW w:w="608" w:type="pct"/>
            <w:tcBorders>
              <w:left w:val="single" w:sz="2" w:space="0" w:color="auto"/>
              <w:bottom w:val="single" w:sz="6" w:space="0" w:color="auto"/>
              <w:right w:val="single" w:sz="2" w:space="0" w:color="auto"/>
            </w:tcBorders>
            <w:hideMark/>
          </w:tcPr>
          <w:p w14:paraId="31B42772"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26% up</w:t>
            </w:r>
          </w:p>
        </w:tc>
      </w:tr>
      <w:tr w:rsidR="00BE03C9" w:rsidRPr="00E9492B" w14:paraId="2FE3E80C"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067D237D" w14:textId="77777777" w:rsidR="00B41E61" w:rsidRPr="0087189B" w:rsidRDefault="00B41E61">
            <w:pPr>
              <w:spacing w:before="0" w:after="0" w:line="240" w:lineRule="auto"/>
              <w:rPr>
                <w:rFonts w:eastAsia="Times New Roman" w:cs="Times New Roman"/>
                <w:color w:val="auto"/>
                <w:lang w:eastAsia="en-AU"/>
              </w:rPr>
            </w:pPr>
            <w:r w:rsidRPr="0087189B">
              <w:rPr>
                <w:rFonts w:eastAsia="Times New Roman" w:cs="Times New Roman"/>
                <w:color w:val="auto"/>
                <w:lang w:eastAsia="en-AU"/>
              </w:rPr>
              <w:t xml:space="preserve">Total </w:t>
            </w:r>
            <w:proofErr w:type="gramStart"/>
            <w:r w:rsidRPr="0087189B">
              <w:rPr>
                <w:rFonts w:eastAsia="Times New Roman" w:cs="Times New Roman"/>
                <w:color w:val="auto"/>
                <w:lang w:eastAsia="en-AU"/>
              </w:rPr>
              <w:t>visitor</w:t>
            </w:r>
            <w:proofErr w:type="gramEnd"/>
            <w:r w:rsidRPr="0087189B">
              <w:rPr>
                <w:rFonts w:eastAsia="Times New Roman" w:cs="Times New Roman"/>
                <w:color w:val="auto"/>
                <w:lang w:eastAsia="en-AU"/>
              </w:rPr>
              <w:t xml:space="preserve"> spend</w:t>
            </w:r>
          </w:p>
        </w:tc>
        <w:tc>
          <w:tcPr>
            <w:tcW w:w="1481" w:type="pct"/>
            <w:tcBorders>
              <w:left w:val="single" w:sz="2" w:space="0" w:color="auto"/>
              <w:bottom w:val="single" w:sz="6" w:space="0" w:color="auto"/>
              <w:right w:val="single" w:sz="2" w:space="0" w:color="auto"/>
            </w:tcBorders>
            <w:tcMar>
              <w:left w:w="57" w:type="dxa"/>
              <w:right w:w="113" w:type="dxa"/>
            </w:tcMar>
            <w:hideMark/>
          </w:tcPr>
          <w:p w14:paraId="09C71EC5" w14:textId="77777777" w:rsidR="00B41E61" w:rsidRPr="001A23E1" w:rsidRDefault="00B41E61" w:rsidP="00871569">
            <w:pPr>
              <w:spacing w:before="0" w:after="0"/>
              <w:rPr>
                <w:rFonts w:eastAsia="Times New Roman" w:cs="Times New Roman"/>
                <w:color w:val="auto"/>
                <w:sz w:val="18"/>
                <w:szCs w:val="18"/>
                <w:lang w:eastAsia="en-AU"/>
              </w:rPr>
            </w:pPr>
            <w:r w:rsidRPr="001A23E1">
              <w:rPr>
                <w:rFonts w:eastAsia="Times New Roman" w:cs="Times New Roman"/>
                <w:color w:val="auto"/>
                <w:sz w:val="18"/>
                <w:szCs w:val="18"/>
                <w:lang w:eastAsia="en-AU"/>
              </w:rPr>
              <w:t xml:space="preserve">Combined value of total international visitor and total domestic visitor spend (in Australia only, </w:t>
            </w:r>
            <w:r w:rsidRPr="001A23E1">
              <w:rPr>
                <w:rFonts w:eastAsia="Times New Roman" w:cs="Times New Roman"/>
                <w:color w:val="auto"/>
                <w:sz w:val="18"/>
                <w:szCs w:val="18"/>
                <w:u w:val="single"/>
                <w:lang w:eastAsia="en-AU"/>
              </w:rPr>
              <w:t>excluding</w:t>
            </w:r>
            <w:r w:rsidRPr="001A23E1">
              <w:rPr>
                <w:rFonts w:eastAsia="Times New Roman" w:cs="Times New Roman"/>
                <w:color w:val="auto"/>
                <w:sz w:val="18"/>
                <w:szCs w:val="18"/>
                <w:lang w:eastAsia="en-AU"/>
              </w:rPr>
              <w:t xml:space="preserve"> international students staying more than 12 months)</w:t>
            </w:r>
          </w:p>
        </w:tc>
        <w:tc>
          <w:tcPr>
            <w:tcW w:w="528" w:type="pct"/>
            <w:tcBorders>
              <w:left w:val="single" w:sz="2" w:space="0" w:color="auto"/>
              <w:bottom w:val="single" w:sz="6" w:space="0" w:color="auto"/>
              <w:right w:val="single" w:sz="2" w:space="0" w:color="auto"/>
            </w:tcBorders>
            <w:hideMark/>
          </w:tcPr>
          <w:p w14:paraId="36F4336C" w14:textId="77777777"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$138.5 billion</w:t>
            </w:r>
          </w:p>
        </w:tc>
        <w:tc>
          <w:tcPr>
            <w:tcW w:w="514" w:type="pct"/>
            <w:tcBorders>
              <w:left w:val="single" w:sz="2" w:space="0" w:color="auto"/>
              <w:bottom w:val="single" w:sz="6" w:space="0" w:color="auto"/>
              <w:right w:val="single" w:sz="2" w:space="0" w:color="auto"/>
            </w:tcBorders>
          </w:tcPr>
          <w:p w14:paraId="491D3085" w14:textId="17561A56" w:rsidR="00B41E61" w:rsidRPr="0087189B" w:rsidRDefault="00AA3F52"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w:t>
            </w:r>
            <w:r>
              <w:rPr>
                <w:rFonts w:eastAsia="Times New Roman" w:cs="Times New Roman"/>
                <w:color w:val="auto"/>
                <w:lang w:eastAsia="en-AU"/>
              </w:rPr>
              <w:t>43</w:t>
            </w:r>
            <w:r w:rsidRPr="0087189B">
              <w:rPr>
                <w:rFonts w:eastAsia="Times New Roman" w:cs="Times New Roman"/>
                <w:color w:val="auto"/>
                <w:lang w:eastAsia="en-AU"/>
              </w:rPr>
              <w:t>.</w:t>
            </w:r>
            <w:r>
              <w:rPr>
                <w:rFonts w:eastAsia="Times New Roman" w:cs="Times New Roman"/>
                <w:color w:val="auto"/>
                <w:lang w:eastAsia="en-AU"/>
              </w:rPr>
              <w:t>0</w:t>
            </w:r>
            <w:r w:rsidRPr="0087189B">
              <w:rPr>
                <w:rFonts w:eastAsia="Times New Roman" w:cs="Times New Roman"/>
                <w:color w:val="auto"/>
                <w:lang w:eastAsia="en-AU"/>
              </w:rPr>
              <w:t xml:space="preserve">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5165977E" w14:textId="0B90B284"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$170.3 billion</w:t>
            </w:r>
          </w:p>
        </w:tc>
        <w:tc>
          <w:tcPr>
            <w:tcW w:w="607" w:type="pct"/>
            <w:tcBorders>
              <w:left w:val="single" w:sz="2" w:space="0" w:color="auto"/>
              <w:bottom w:val="single" w:sz="6" w:space="0" w:color="auto"/>
              <w:right w:val="single" w:sz="2" w:space="0" w:color="auto"/>
            </w:tcBorders>
            <w:hideMark/>
          </w:tcPr>
          <w:p w14:paraId="41718DC5"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23% up</w:t>
            </w:r>
          </w:p>
        </w:tc>
        <w:tc>
          <w:tcPr>
            <w:tcW w:w="608" w:type="pct"/>
            <w:tcBorders>
              <w:left w:val="single" w:sz="2" w:space="0" w:color="auto"/>
              <w:bottom w:val="single" w:sz="6" w:space="0" w:color="auto"/>
              <w:right w:val="single" w:sz="2" w:space="0" w:color="auto"/>
            </w:tcBorders>
            <w:hideMark/>
          </w:tcPr>
          <w:p w14:paraId="3C58A5F8"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19% up</w:t>
            </w:r>
          </w:p>
        </w:tc>
      </w:tr>
      <w:tr w:rsidR="00BE03C9" w:rsidRPr="00E9492B" w14:paraId="703696FA"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5549DCBD" w14:textId="77777777" w:rsidR="00B41E61" w:rsidRPr="0087189B" w:rsidRDefault="00B41E61">
            <w:pPr>
              <w:spacing w:before="0" w:after="0" w:line="240" w:lineRule="auto"/>
              <w:rPr>
                <w:rFonts w:eastAsia="Times New Roman" w:cs="Times New Roman"/>
                <w:color w:val="auto"/>
                <w:lang w:eastAsia="en-AU"/>
              </w:rPr>
            </w:pPr>
            <w:r w:rsidRPr="0087189B">
              <w:rPr>
                <w:rFonts w:eastAsia="Times New Roman" w:cs="Times New Roman"/>
                <w:color w:val="auto"/>
                <w:lang w:eastAsia="en-AU"/>
              </w:rPr>
              <w:t xml:space="preserve">International </w:t>
            </w:r>
            <w:proofErr w:type="gramStart"/>
            <w:r w:rsidRPr="0087189B">
              <w:rPr>
                <w:rFonts w:eastAsia="Times New Roman" w:cs="Times New Roman"/>
                <w:color w:val="auto"/>
                <w:lang w:eastAsia="en-AU"/>
              </w:rPr>
              <w:t>visitor</w:t>
            </w:r>
            <w:proofErr w:type="gramEnd"/>
            <w:r w:rsidRPr="0087189B">
              <w:rPr>
                <w:rFonts w:eastAsia="Times New Roman" w:cs="Times New Roman"/>
                <w:color w:val="auto"/>
                <w:lang w:eastAsia="en-AU"/>
              </w:rPr>
              <w:t xml:space="preserve"> spend</w:t>
            </w:r>
          </w:p>
        </w:tc>
        <w:tc>
          <w:tcPr>
            <w:tcW w:w="1481" w:type="pct"/>
            <w:tcBorders>
              <w:left w:val="single" w:sz="2" w:space="0" w:color="auto"/>
              <w:bottom w:val="single" w:sz="6" w:space="0" w:color="auto"/>
              <w:right w:val="single" w:sz="2" w:space="0" w:color="auto"/>
            </w:tcBorders>
            <w:tcMar>
              <w:left w:w="57" w:type="dxa"/>
              <w:right w:w="113" w:type="dxa"/>
            </w:tcMar>
            <w:hideMark/>
          </w:tcPr>
          <w:p w14:paraId="0DA62A56" w14:textId="77777777" w:rsidR="00B41E61" w:rsidRPr="001A23E1" w:rsidRDefault="00B41E61" w:rsidP="00871569">
            <w:pPr>
              <w:spacing w:before="0" w:after="0"/>
              <w:rPr>
                <w:rFonts w:eastAsia="Times New Roman" w:cs="Times New Roman"/>
                <w:color w:val="auto"/>
                <w:sz w:val="18"/>
                <w:szCs w:val="18"/>
                <w:lang w:eastAsia="en-AU"/>
              </w:rPr>
            </w:pPr>
            <w:r w:rsidRPr="001A23E1">
              <w:rPr>
                <w:rFonts w:eastAsia="Times New Roman" w:cs="Times New Roman"/>
                <w:color w:val="auto"/>
                <w:sz w:val="18"/>
                <w:szCs w:val="18"/>
                <w:lang w:eastAsia="en-AU"/>
              </w:rPr>
              <w:t>Spend from international visitors in Australia only (</w:t>
            </w:r>
            <w:r w:rsidRPr="001A23E1">
              <w:rPr>
                <w:rFonts w:eastAsia="Times New Roman" w:cs="Times New Roman"/>
                <w:color w:val="auto"/>
                <w:sz w:val="18"/>
                <w:szCs w:val="18"/>
                <w:u w:val="single"/>
                <w:lang w:eastAsia="en-AU"/>
              </w:rPr>
              <w:t>excluding</w:t>
            </w:r>
            <w:r w:rsidRPr="001A23E1">
              <w:rPr>
                <w:rFonts w:eastAsia="Times New Roman" w:cs="Times New Roman"/>
                <w:color w:val="auto"/>
                <w:sz w:val="18"/>
                <w:szCs w:val="18"/>
                <w:lang w:eastAsia="en-AU"/>
              </w:rPr>
              <w:t xml:space="preserve"> international students staying more than 12 months)</w:t>
            </w:r>
          </w:p>
        </w:tc>
        <w:tc>
          <w:tcPr>
            <w:tcW w:w="528" w:type="pct"/>
            <w:tcBorders>
              <w:left w:val="single" w:sz="2" w:space="0" w:color="auto"/>
              <w:bottom w:val="single" w:sz="6" w:space="0" w:color="auto"/>
              <w:right w:val="single" w:sz="2" w:space="0" w:color="auto"/>
            </w:tcBorders>
            <w:hideMark/>
          </w:tcPr>
          <w:p w14:paraId="3AB2D965" w14:textId="77777777"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$31.4 billion</w:t>
            </w:r>
          </w:p>
        </w:tc>
        <w:tc>
          <w:tcPr>
            <w:tcW w:w="514" w:type="pct"/>
            <w:tcBorders>
              <w:left w:val="single" w:sz="2" w:space="0" w:color="auto"/>
              <w:bottom w:val="single" w:sz="6" w:space="0" w:color="auto"/>
              <w:right w:val="single" w:sz="2" w:space="0" w:color="auto"/>
            </w:tcBorders>
          </w:tcPr>
          <w:p w14:paraId="180A844C" w14:textId="38BB58A7" w:rsidR="00B41E61" w:rsidRPr="0087189B" w:rsidRDefault="00AA3F52"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$1</w:t>
            </w:r>
            <w:r>
              <w:rPr>
                <w:rFonts w:eastAsia="Times New Roman" w:cs="Times New Roman"/>
                <w:color w:val="auto"/>
                <w:lang w:eastAsia="en-AU"/>
              </w:rPr>
              <w:t>2</w:t>
            </w:r>
            <w:r w:rsidRPr="0087189B">
              <w:rPr>
                <w:rFonts w:eastAsia="Times New Roman" w:cs="Times New Roman"/>
                <w:color w:val="auto"/>
                <w:lang w:eastAsia="en-AU"/>
              </w:rPr>
              <w:t>.</w:t>
            </w:r>
            <w:r>
              <w:rPr>
                <w:rFonts w:eastAsia="Times New Roman" w:cs="Times New Roman"/>
                <w:color w:val="auto"/>
                <w:lang w:eastAsia="en-AU"/>
              </w:rPr>
              <w:t>7</w:t>
            </w:r>
            <w:r w:rsidRPr="0087189B">
              <w:rPr>
                <w:rFonts w:eastAsia="Times New Roman" w:cs="Times New Roman"/>
                <w:color w:val="auto"/>
                <w:lang w:eastAsia="en-AU"/>
              </w:rPr>
              <w:t xml:space="preserve">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7A4ABB59" w14:textId="11FC530B" w:rsidR="00B41E61" w:rsidRPr="0087189B" w:rsidRDefault="00B41E61" w:rsidP="00DB3CD8">
            <w:pPr>
              <w:spacing w:after="0" w:line="240" w:lineRule="auto"/>
              <w:rPr>
                <w:rFonts w:eastAsia="Times New Roman" w:cs="Times New Roman"/>
                <w:color w:val="auto"/>
                <w:lang w:eastAsia="en-AU"/>
              </w:rPr>
            </w:pPr>
            <w:r w:rsidRPr="0087189B">
              <w:rPr>
                <w:rFonts w:eastAsia="Times New Roman" w:cs="Times New Roman"/>
                <w:color w:val="auto"/>
                <w:lang w:eastAsia="en-AU"/>
              </w:rPr>
              <w:t>$28 billion</w:t>
            </w:r>
          </w:p>
        </w:tc>
        <w:tc>
          <w:tcPr>
            <w:tcW w:w="607" w:type="pct"/>
            <w:tcBorders>
              <w:left w:val="single" w:sz="2" w:space="0" w:color="auto"/>
              <w:bottom w:val="single" w:sz="6" w:space="0" w:color="auto"/>
              <w:right w:val="single" w:sz="2" w:space="0" w:color="auto"/>
            </w:tcBorders>
            <w:hideMark/>
          </w:tcPr>
          <w:p w14:paraId="2002465C"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-11% down</w:t>
            </w:r>
          </w:p>
        </w:tc>
        <w:tc>
          <w:tcPr>
            <w:tcW w:w="608" w:type="pct"/>
            <w:tcBorders>
              <w:left w:val="single" w:sz="2" w:space="0" w:color="auto"/>
              <w:bottom w:val="single" w:sz="6" w:space="0" w:color="auto"/>
              <w:right w:val="single" w:sz="2" w:space="0" w:color="auto"/>
            </w:tcBorders>
            <w:hideMark/>
          </w:tcPr>
          <w:p w14:paraId="1252092C" w14:textId="77777777" w:rsidR="00B41E61" w:rsidRPr="0087189B" w:rsidRDefault="00B41E61" w:rsidP="00DB3CD8">
            <w:pPr>
              <w:spacing w:after="0" w:line="240" w:lineRule="auto"/>
              <w:jc w:val="center"/>
              <w:rPr>
                <w:rFonts w:eastAsia="Times New Roman" w:cs="Times New Roman"/>
                <w:color w:val="auto"/>
                <w:lang w:eastAsia="en-AU"/>
              </w:rPr>
            </w:pPr>
            <w:r w:rsidRPr="0087189B">
              <w:rPr>
                <w:rFonts w:eastAsia="Times New Roman" w:cs="Times New Roman"/>
                <w:color w:val="auto"/>
                <w:lang w:eastAsia="en-AU"/>
              </w:rPr>
              <w:t>120% up</w:t>
            </w:r>
          </w:p>
        </w:tc>
      </w:tr>
      <w:tr w:rsidR="00BE03C9" w:rsidRPr="00E9492B" w14:paraId="57594FAB"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794AE549"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 xml:space="preserve">Domestic overnight visitor </w:t>
            </w:r>
            <w:proofErr w:type="gramStart"/>
            <w:r w:rsidRPr="00E9492B">
              <w:rPr>
                <w:rFonts w:eastAsia="Times New Roman" w:cs="Times New Roman"/>
                <w:color w:val="333333"/>
                <w:lang w:eastAsia="en-AU"/>
              </w:rPr>
              <w:t>spend</w:t>
            </w:r>
            <w:proofErr w:type="gramEnd"/>
          </w:p>
        </w:tc>
        <w:tc>
          <w:tcPr>
            <w:tcW w:w="1481" w:type="pct"/>
            <w:tcBorders>
              <w:left w:val="single" w:sz="2" w:space="0" w:color="auto"/>
              <w:bottom w:val="single" w:sz="6" w:space="0" w:color="auto"/>
              <w:right w:val="single" w:sz="2" w:space="0" w:color="auto"/>
            </w:tcBorders>
            <w:tcMar>
              <w:left w:w="57" w:type="dxa"/>
              <w:right w:w="113" w:type="dxa"/>
            </w:tcMar>
            <w:hideMark/>
          </w:tcPr>
          <w:p w14:paraId="494B1416" w14:textId="7777777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Spend by Australian residents who travel away from home for at least one night (for non-routine purposes)</w:t>
            </w:r>
          </w:p>
        </w:tc>
        <w:tc>
          <w:tcPr>
            <w:tcW w:w="528" w:type="pct"/>
            <w:tcBorders>
              <w:left w:val="single" w:sz="2" w:space="0" w:color="auto"/>
              <w:bottom w:val="single" w:sz="6" w:space="0" w:color="auto"/>
              <w:right w:val="single" w:sz="2" w:space="0" w:color="auto"/>
            </w:tcBorders>
            <w:hideMark/>
          </w:tcPr>
          <w:p w14:paraId="604E5F7D"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$80.7 billion</w:t>
            </w:r>
          </w:p>
        </w:tc>
        <w:tc>
          <w:tcPr>
            <w:tcW w:w="514" w:type="pct"/>
            <w:tcBorders>
              <w:left w:val="single" w:sz="2" w:space="0" w:color="auto"/>
              <w:bottom w:val="single" w:sz="6" w:space="0" w:color="auto"/>
              <w:right w:val="single" w:sz="2" w:space="0" w:color="auto"/>
            </w:tcBorders>
          </w:tcPr>
          <w:p w14:paraId="7042C84D" w14:textId="3BA34F69" w:rsidR="00B41E61" w:rsidRPr="00E9492B" w:rsidRDefault="00B31B67" w:rsidP="00DB3CD8">
            <w:pPr>
              <w:spacing w:after="0" w:line="240" w:lineRule="auto"/>
              <w:rPr>
                <w:rFonts w:eastAsia="Times New Roman" w:cs="Times New Roman"/>
                <w:color w:val="333333"/>
                <w:lang w:eastAsia="en-AU"/>
              </w:rPr>
            </w:pPr>
            <w:r w:rsidRPr="0087189B">
              <w:rPr>
                <w:rFonts w:eastAsia="Times New Roman" w:cs="Times New Roman"/>
                <w:color w:val="auto"/>
                <w:lang w:eastAsia="en-AU"/>
              </w:rPr>
              <w:t>$</w:t>
            </w:r>
            <w:r>
              <w:rPr>
                <w:rFonts w:eastAsia="Times New Roman" w:cs="Times New Roman"/>
                <w:color w:val="auto"/>
                <w:lang w:eastAsia="en-AU"/>
              </w:rPr>
              <w:t>10</w:t>
            </w:r>
            <w:r w:rsidRPr="0087189B">
              <w:rPr>
                <w:rFonts w:eastAsia="Times New Roman" w:cs="Times New Roman"/>
                <w:color w:val="auto"/>
                <w:lang w:eastAsia="en-AU"/>
              </w:rPr>
              <w:t>1.</w:t>
            </w:r>
            <w:r>
              <w:rPr>
                <w:rFonts w:eastAsia="Times New Roman" w:cs="Times New Roman"/>
                <w:color w:val="auto"/>
                <w:lang w:eastAsia="en-AU"/>
              </w:rPr>
              <w:t>3</w:t>
            </w:r>
            <w:r w:rsidRPr="0087189B">
              <w:rPr>
                <w:rFonts w:eastAsia="Times New Roman" w:cs="Times New Roman"/>
                <w:color w:val="auto"/>
                <w:lang w:eastAsia="en-AU"/>
              </w:rPr>
              <w:t xml:space="preserve">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39B233E6" w14:textId="3AAF404E"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$10</w:t>
            </w:r>
            <w:r>
              <w:rPr>
                <w:rFonts w:eastAsia="Times New Roman" w:cs="Times New Roman"/>
                <w:color w:val="333333"/>
                <w:lang w:eastAsia="en-AU"/>
              </w:rPr>
              <w:t>9</w:t>
            </w:r>
            <w:r w:rsidRPr="00E9492B">
              <w:rPr>
                <w:rFonts w:eastAsia="Times New Roman" w:cs="Times New Roman"/>
                <w:color w:val="333333"/>
                <w:lang w:eastAsia="en-AU"/>
              </w:rPr>
              <w:t>.3 billion</w:t>
            </w:r>
          </w:p>
        </w:tc>
        <w:tc>
          <w:tcPr>
            <w:tcW w:w="607" w:type="pct"/>
            <w:tcBorders>
              <w:left w:val="single" w:sz="2" w:space="0" w:color="auto"/>
              <w:bottom w:val="single" w:sz="6" w:space="0" w:color="auto"/>
              <w:right w:val="single" w:sz="2" w:space="0" w:color="auto"/>
            </w:tcBorders>
            <w:hideMark/>
          </w:tcPr>
          <w:p w14:paraId="047DD134"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3</w:t>
            </w:r>
            <w:r w:rsidRPr="00E9492B">
              <w:rPr>
                <w:rFonts w:eastAsia="Times New Roman" w:cs="Times New Roman"/>
                <w:color w:val="333333"/>
                <w:lang w:eastAsia="en-AU"/>
              </w:rPr>
              <w:t>5% up</w:t>
            </w:r>
          </w:p>
        </w:tc>
        <w:tc>
          <w:tcPr>
            <w:tcW w:w="608" w:type="pct"/>
            <w:tcBorders>
              <w:left w:val="single" w:sz="2" w:space="0" w:color="auto"/>
              <w:bottom w:val="single" w:sz="6" w:space="0" w:color="auto"/>
              <w:right w:val="single" w:sz="2" w:space="0" w:color="auto"/>
            </w:tcBorders>
            <w:hideMark/>
          </w:tcPr>
          <w:p w14:paraId="69CF78C7"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8</w:t>
            </w:r>
            <w:r w:rsidRPr="00E9492B">
              <w:rPr>
                <w:rFonts w:eastAsia="Times New Roman" w:cs="Times New Roman"/>
                <w:color w:val="333333"/>
                <w:lang w:eastAsia="en-AU"/>
              </w:rPr>
              <w:t>% up</w:t>
            </w:r>
          </w:p>
        </w:tc>
      </w:tr>
      <w:tr w:rsidR="00BE03C9" w:rsidRPr="00E9492B" w14:paraId="3AB7485A"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18524A1C"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 xml:space="preserve">Domestic day trip visitor </w:t>
            </w:r>
            <w:proofErr w:type="gramStart"/>
            <w:r w:rsidRPr="00E9492B">
              <w:rPr>
                <w:rFonts w:eastAsia="Times New Roman" w:cs="Times New Roman"/>
                <w:color w:val="333333"/>
                <w:lang w:eastAsia="en-AU"/>
              </w:rPr>
              <w:t>spend</w:t>
            </w:r>
            <w:proofErr w:type="gramEnd"/>
          </w:p>
        </w:tc>
        <w:tc>
          <w:tcPr>
            <w:tcW w:w="1481" w:type="pct"/>
            <w:tcBorders>
              <w:left w:val="single" w:sz="2" w:space="0" w:color="auto"/>
              <w:bottom w:val="single" w:sz="6" w:space="0" w:color="auto"/>
              <w:right w:val="single" w:sz="2" w:space="0" w:color="auto"/>
            </w:tcBorders>
            <w:tcMar>
              <w:left w:w="57" w:type="dxa"/>
              <w:right w:w="113" w:type="dxa"/>
            </w:tcMar>
            <w:hideMark/>
          </w:tcPr>
          <w:p w14:paraId="27F1D8BC" w14:textId="4818C584"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Spend by Australian residents travelling on a day trip (more than 4 hours and 50</w:t>
            </w:r>
            <w:r w:rsidR="00312D9E">
              <w:rPr>
                <w:rFonts w:eastAsia="Times New Roman" w:cs="Times New Roman"/>
                <w:color w:val="333333"/>
                <w:sz w:val="18"/>
                <w:szCs w:val="18"/>
                <w:lang w:eastAsia="en-AU"/>
              </w:rPr>
              <w:t> </w:t>
            </w:r>
            <w:r w:rsidRPr="001A23E1">
              <w:rPr>
                <w:rFonts w:eastAsia="Times New Roman" w:cs="Times New Roman"/>
                <w:color w:val="333333"/>
                <w:sz w:val="18"/>
                <w:szCs w:val="18"/>
                <w:lang w:eastAsia="en-AU"/>
              </w:rPr>
              <w:t>km round-trip from their home, for non-routine purposes)</w:t>
            </w:r>
          </w:p>
        </w:tc>
        <w:tc>
          <w:tcPr>
            <w:tcW w:w="528" w:type="pct"/>
            <w:tcBorders>
              <w:left w:val="single" w:sz="2" w:space="0" w:color="auto"/>
              <w:bottom w:val="single" w:sz="6" w:space="0" w:color="auto"/>
              <w:right w:val="single" w:sz="2" w:space="0" w:color="auto"/>
            </w:tcBorders>
            <w:hideMark/>
          </w:tcPr>
          <w:p w14:paraId="04145F7F"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$26.3 billion</w:t>
            </w:r>
          </w:p>
        </w:tc>
        <w:tc>
          <w:tcPr>
            <w:tcW w:w="514" w:type="pct"/>
            <w:tcBorders>
              <w:left w:val="single" w:sz="2" w:space="0" w:color="auto"/>
              <w:bottom w:val="single" w:sz="6" w:space="0" w:color="auto"/>
              <w:right w:val="single" w:sz="2" w:space="0" w:color="auto"/>
            </w:tcBorders>
          </w:tcPr>
          <w:p w14:paraId="02E4DA1B" w14:textId="4AA24F3B" w:rsidR="00B41E61" w:rsidRPr="00E9492B" w:rsidRDefault="00341F38" w:rsidP="00DB3CD8">
            <w:pPr>
              <w:spacing w:after="0" w:line="240" w:lineRule="auto"/>
              <w:rPr>
                <w:rFonts w:eastAsia="Times New Roman" w:cs="Times New Roman"/>
                <w:color w:val="333333"/>
                <w:lang w:eastAsia="en-AU"/>
              </w:rPr>
            </w:pPr>
            <w:r w:rsidRPr="0087189B">
              <w:rPr>
                <w:rFonts w:eastAsia="Times New Roman" w:cs="Times New Roman"/>
                <w:color w:val="auto"/>
                <w:lang w:eastAsia="en-AU"/>
              </w:rPr>
              <w:t>$</w:t>
            </w:r>
            <w:r>
              <w:rPr>
                <w:rFonts w:eastAsia="Times New Roman" w:cs="Times New Roman"/>
                <w:color w:val="auto"/>
                <w:lang w:eastAsia="en-AU"/>
              </w:rPr>
              <w:t>29</w:t>
            </w:r>
            <w:r w:rsidRPr="0087189B">
              <w:rPr>
                <w:rFonts w:eastAsia="Times New Roman" w:cs="Times New Roman"/>
                <w:color w:val="auto"/>
                <w:lang w:eastAsia="en-AU"/>
              </w:rPr>
              <w:t>.</w:t>
            </w:r>
            <w:r>
              <w:rPr>
                <w:rFonts w:eastAsia="Times New Roman" w:cs="Times New Roman"/>
                <w:color w:val="auto"/>
                <w:lang w:eastAsia="en-AU"/>
              </w:rPr>
              <w:t>0</w:t>
            </w:r>
            <w:r w:rsidRPr="0087189B">
              <w:rPr>
                <w:rFonts w:eastAsia="Times New Roman" w:cs="Times New Roman"/>
                <w:color w:val="auto"/>
                <w:lang w:eastAsia="en-AU"/>
              </w:rPr>
              <w:t xml:space="preserve">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1CA02B49" w14:textId="22146148"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w:t>
            </w:r>
            <w:r>
              <w:rPr>
                <w:rFonts w:eastAsia="Times New Roman" w:cs="Times New Roman"/>
                <w:color w:val="333333"/>
                <w:lang w:eastAsia="en-AU"/>
              </w:rPr>
              <w:t>3</w:t>
            </w:r>
            <w:r w:rsidRPr="00E9492B">
              <w:rPr>
                <w:rFonts w:eastAsia="Times New Roman" w:cs="Times New Roman"/>
                <w:color w:val="333333"/>
                <w:lang w:eastAsia="en-AU"/>
              </w:rPr>
              <w:t>2</w:t>
            </w:r>
            <w:r>
              <w:rPr>
                <w:rFonts w:eastAsia="Times New Roman" w:cs="Times New Roman"/>
                <w:color w:val="333333"/>
                <w:lang w:eastAsia="en-AU"/>
              </w:rPr>
              <w:t>.</w:t>
            </w:r>
            <w:r w:rsidRPr="00E9492B">
              <w:rPr>
                <w:rFonts w:eastAsia="Times New Roman" w:cs="Times New Roman"/>
                <w:color w:val="333333"/>
                <w:lang w:eastAsia="en-AU"/>
              </w:rPr>
              <w:t>9 billion</w:t>
            </w:r>
          </w:p>
        </w:tc>
        <w:tc>
          <w:tcPr>
            <w:tcW w:w="607" w:type="pct"/>
            <w:tcBorders>
              <w:left w:val="single" w:sz="2" w:space="0" w:color="auto"/>
              <w:bottom w:val="single" w:sz="6" w:space="0" w:color="auto"/>
              <w:right w:val="single" w:sz="2" w:space="0" w:color="auto"/>
            </w:tcBorders>
            <w:hideMark/>
          </w:tcPr>
          <w:p w14:paraId="47A94013"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25</w:t>
            </w:r>
            <w:r w:rsidRPr="00E9492B">
              <w:rPr>
                <w:rFonts w:eastAsia="Times New Roman" w:cs="Times New Roman"/>
                <w:color w:val="333333"/>
                <w:lang w:eastAsia="en-AU"/>
              </w:rPr>
              <w:t>% up</w:t>
            </w:r>
          </w:p>
        </w:tc>
        <w:tc>
          <w:tcPr>
            <w:tcW w:w="608" w:type="pct"/>
            <w:tcBorders>
              <w:left w:val="single" w:sz="2" w:space="0" w:color="auto"/>
              <w:bottom w:val="single" w:sz="6" w:space="0" w:color="auto"/>
              <w:right w:val="single" w:sz="2" w:space="0" w:color="auto"/>
            </w:tcBorders>
            <w:hideMark/>
          </w:tcPr>
          <w:p w14:paraId="430BE75A"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13</w:t>
            </w:r>
            <w:r w:rsidRPr="00E9492B">
              <w:rPr>
                <w:rFonts w:eastAsia="Times New Roman" w:cs="Times New Roman"/>
                <w:color w:val="333333"/>
                <w:lang w:eastAsia="en-AU"/>
              </w:rPr>
              <w:t>% up</w:t>
            </w:r>
          </w:p>
        </w:tc>
      </w:tr>
      <w:tr w:rsidR="00BE03C9" w:rsidRPr="00E9492B" w14:paraId="51169786"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245F8AAD"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International visitors</w:t>
            </w:r>
          </w:p>
        </w:tc>
        <w:tc>
          <w:tcPr>
            <w:tcW w:w="1481" w:type="pct"/>
            <w:tcBorders>
              <w:left w:val="single" w:sz="2" w:space="0" w:color="auto"/>
              <w:bottom w:val="single" w:sz="6" w:space="0" w:color="auto"/>
              <w:right w:val="single" w:sz="2" w:space="0" w:color="auto"/>
            </w:tcBorders>
            <w:tcMar>
              <w:left w:w="57" w:type="dxa"/>
              <w:right w:w="113" w:type="dxa"/>
            </w:tcMar>
            <w:hideMark/>
          </w:tcPr>
          <w:p w14:paraId="0057CA7F" w14:textId="7777777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All international visitors to Australia aged 15 or over who stay less than 12 months</w:t>
            </w:r>
          </w:p>
        </w:tc>
        <w:tc>
          <w:tcPr>
            <w:tcW w:w="528" w:type="pct"/>
            <w:tcBorders>
              <w:left w:val="single" w:sz="2" w:space="0" w:color="auto"/>
              <w:bottom w:val="single" w:sz="6" w:space="0" w:color="auto"/>
              <w:right w:val="single" w:sz="2" w:space="0" w:color="auto"/>
            </w:tcBorders>
            <w:hideMark/>
          </w:tcPr>
          <w:p w14:paraId="43000DBA"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8.7 million</w:t>
            </w:r>
          </w:p>
        </w:tc>
        <w:tc>
          <w:tcPr>
            <w:tcW w:w="514" w:type="pct"/>
            <w:tcBorders>
              <w:left w:val="single" w:sz="2" w:space="0" w:color="auto"/>
              <w:bottom w:val="single" w:sz="6" w:space="0" w:color="auto"/>
              <w:right w:val="single" w:sz="2" w:space="0" w:color="auto"/>
            </w:tcBorders>
          </w:tcPr>
          <w:p w14:paraId="3CBBAA3B" w14:textId="06C58818" w:rsidR="00B41E61" w:rsidRDefault="00341F38" w:rsidP="00DB3CD8">
            <w:pPr>
              <w:spacing w:after="0" w:line="240" w:lineRule="auto"/>
              <w:rPr>
                <w:rFonts w:eastAsia="Times New Roman" w:cs="Times New Roman"/>
                <w:color w:val="333333"/>
                <w:lang w:eastAsia="en-AU"/>
              </w:rPr>
            </w:pPr>
            <w:r>
              <w:rPr>
                <w:rFonts w:eastAsia="Times New Roman" w:cs="Times New Roman"/>
                <w:color w:val="333333"/>
                <w:lang w:eastAsia="en-AU"/>
              </w:rPr>
              <w:t>3.4</w:t>
            </w:r>
            <w:r w:rsidRPr="00E9492B">
              <w:rPr>
                <w:rFonts w:eastAsia="Times New Roman" w:cs="Times New Roman"/>
                <w:color w:val="333333"/>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741B7D1F" w14:textId="6B2D1CED" w:rsidR="00B41E61" w:rsidRPr="00E9492B" w:rsidRDefault="00B41E61" w:rsidP="00DB3CD8">
            <w:pPr>
              <w:spacing w:after="0" w:line="240" w:lineRule="auto"/>
              <w:rPr>
                <w:rFonts w:eastAsia="Times New Roman" w:cs="Times New Roman"/>
                <w:color w:val="333333"/>
                <w:lang w:eastAsia="en-AU"/>
              </w:rPr>
            </w:pPr>
            <w:r>
              <w:rPr>
                <w:rFonts w:eastAsia="Times New Roman" w:cs="Times New Roman"/>
                <w:color w:val="333333"/>
                <w:lang w:eastAsia="en-AU"/>
              </w:rPr>
              <w:t>6.6</w:t>
            </w:r>
            <w:r w:rsidRPr="00E9492B">
              <w:rPr>
                <w:rFonts w:eastAsia="Times New Roman" w:cs="Times New Roman"/>
                <w:color w:val="333333"/>
                <w:lang w:eastAsia="en-AU"/>
              </w:rPr>
              <w:t xml:space="preserve"> million</w:t>
            </w:r>
          </w:p>
        </w:tc>
        <w:tc>
          <w:tcPr>
            <w:tcW w:w="607" w:type="pct"/>
            <w:tcBorders>
              <w:left w:val="single" w:sz="2" w:space="0" w:color="auto"/>
              <w:bottom w:val="single" w:sz="6" w:space="0" w:color="auto"/>
              <w:right w:val="single" w:sz="2" w:space="0" w:color="auto"/>
            </w:tcBorders>
            <w:hideMark/>
          </w:tcPr>
          <w:p w14:paraId="5D9C13B5" w14:textId="77777777" w:rsidR="00B41E61" w:rsidRPr="00E9492B" w:rsidRDefault="00B41E61" w:rsidP="00DB3CD8">
            <w:pPr>
              <w:spacing w:after="0" w:line="240" w:lineRule="auto"/>
              <w:jc w:val="center"/>
              <w:rPr>
                <w:rFonts w:eastAsia="Times New Roman" w:cs="Times New Roman"/>
                <w:color w:val="333333"/>
                <w:lang w:eastAsia="en-AU"/>
              </w:rPr>
            </w:pPr>
            <w:r w:rsidRPr="00E9492B">
              <w:rPr>
                <w:rFonts w:eastAsia="Times New Roman" w:cs="Times New Roman"/>
                <w:color w:val="333333"/>
                <w:lang w:eastAsia="en-AU"/>
              </w:rPr>
              <w:t>-</w:t>
            </w:r>
            <w:r>
              <w:rPr>
                <w:rFonts w:eastAsia="Times New Roman" w:cs="Times New Roman"/>
                <w:color w:val="333333"/>
                <w:lang w:eastAsia="en-AU"/>
              </w:rPr>
              <w:t>24</w:t>
            </w:r>
            <w:r w:rsidRPr="00E9492B">
              <w:rPr>
                <w:rFonts w:eastAsia="Times New Roman" w:cs="Times New Roman"/>
                <w:color w:val="333333"/>
                <w:lang w:eastAsia="en-AU"/>
              </w:rPr>
              <w:t>% down</w:t>
            </w:r>
          </w:p>
        </w:tc>
        <w:tc>
          <w:tcPr>
            <w:tcW w:w="608" w:type="pct"/>
            <w:tcBorders>
              <w:left w:val="single" w:sz="2" w:space="0" w:color="auto"/>
              <w:bottom w:val="single" w:sz="6" w:space="0" w:color="auto"/>
              <w:right w:val="single" w:sz="2" w:space="0" w:color="auto"/>
            </w:tcBorders>
            <w:hideMark/>
          </w:tcPr>
          <w:p w14:paraId="47ACF3ED"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9</w:t>
            </w:r>
            <w:r w:rsidRPr="00E9492B">
              <w:rPr>
                <w:rFonts w:eastAsia="Times New Roman" w:cs="Times New Roman"/>
                <w:color w:val="333333"/>
                <w:lang w:eastAsia="en-AU"/>
              </w:rPr>
              <w:t>4% up</w:t>
            </w:r>
          </w:p>
        </w:tc>
      </w:tr>
      <w:tr w:rsidR="00BE03C9" w:rsidRPr="00E9492B" w14:paraId="69BBDC01"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tcPr>
          <w:p w14:paraId="6ABFD402" w14:textId="77777777" w:rsidR="00B41E61" w:rsidRPr="00E9492B" w:rsidRDefault="00B41E61">
            <w:pPr>
              <w:spacing w:before="0" w:after="0" w:line="240" w:lineRule="auto"/>
              <w:rPr>
                <w:rFonts w:eastAsia="Times New Roman" w:cs="Times New Roman"/>
                <w:color w:val="333333"/>
                <w:lang w:eastAsia="en-AU"/>
              </w:rPr>
            </w:pPr>
            <w:r>
              <w:rPr>
                <w:rFonts w:eastAsia="Times New Roman" w:cs="Times New Roman"/>
                <w:color w:val="333333"/>
                <w:lang w:eastAsia="en-AU"/>
              </w:rPr>
              <w:t>International arrivals</w:t>
            </w:r>
          </w:p>
        </w:tc>
        <w:tc>
          <w:tcPr>
            <w:tcW w:w="1481" w:type="pct"/>
            <w:tcBorders>
              <w:left w:val="single" w:sz="2" w:space="0" w:color="auto"/>
              <w:bottom w:val="single" w:sz="6" w:space="0" w:color="auto"/>
              <w:right w:val="single" w:sz="2" w:space="0" w:color="auto"/>
            </w:tcBorders>
            <w:tcMar>
              <w:left w:w="57" w:type="dxa"/>
              <w:right w:w="113" w:type="dxa"/>
            </w:tcMar>
          </w:tcPr>
          <w:p w14:paraId="5C3532E2" w14:textId="7777777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 xml:space="preserve">All short-term international visitor arrivals into Australia </w:t>
            </w:r>
          </w:p>
        </w:tc>
        <w:tc>
          <w:tcPr>
            <w:tcW w:w="528" w:type="pct"/>
            <w:tcBorders>
              <w:left w:val="single" w:sz="2" w:space="0" w:color="auto"/>
              <w:bottom w:val="single" w:sz="6" w:space="0" w:color="auto"/>
              <w:right w:val="single" w:sz="2" w:space="0" w:color="auto"/>
            </w:tcBorders>
          </w:tcPr>
          <w:p w14:paraId="7FEDDFFD" w14:textId="77777777" w:rsidR="00B41E61" w:rsidRPr="00E9492B" w:rsidRDefault="00B41E61" w:rsidP="00DB3CD8">
            <w:pPr>
              <w:spacing w:after="0" w:line="240" w:lineRule="auto"/>
              <w:rPr>
                <w:rFonts w:eastAsia="Times New Roman" w:cs="Times New Roman"/>
                <w:color w:val="333333"/>
                <w:lang w:eastAsia="en-AU"/>
              </w:rPr>
            </w:pPr>
            <w:r>
              <w:rPr>
                <w:rFonts w:eastAsia="Times New Roman" w:cs="Times New Roman"/>
                <w:color w:val="333333"/>
                <w:lang w:eastAsia="en-AU"/>
              </w:rPr>
              <w:t>9.5 million</w:t>
            </w:r>
          </w:p>
        </w:tc>
        <w:tc>
          <w:tcPr>
            <w:tcW w:w="514" w:type="pct"/>
            <w:tcBorders>
              <w:left w:val="single" w:sz="2" w:space="0" w:color="auto"/>
              <w:bottom w:val="single" w:sz="6" w:space="0" w:color="auto"/>
              <w:right w:val="single" w:sz="2" w:space="0" w:color="auto"/>
            </w:tcBorders>
          </w:tcPr>
          <w:p w14:paraId="0F52B415" w14:textId="0827666A" w:rsidR="00B41E61" w:rsidRDefault="00066418" w:rsidP="00DB3CD8">
            <w:pPr>
              <w:spacing w:after="0" w:line="240" w:lineRule="auto"/>
              <w:rPr>
                <w:rFonts w:eastAsia="Times New Roman" w:cs="Times New Roman"/>
                <w:color w:val="333333"/>
                <w:lang w:eastAsia="en-AU"/>
              </w:rPr>
            </w:pPr>
            <w:r>
              <w:rPr>
                <w:rFonts w:eastAsia="Times New Roman" w:cs="Times New Roman"/>
                <w:color w:val="333333"/>
                <w:lang w:eastAsia="en-AU"/>
              </w:rPr>
              <w:t>3.7</w:t>
            </w:r>
            <w:r w:rsidRPr="00E9492B">
              <w:rPr>
                <w:rFonts w:eastAsia="Times New Roman" w:cs="Times New Roman"/>
                <w:color w:val="333333"/>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tcPr>
          <w:p w14:paraId="63B6EF95" w14:textId="64724876" w:rsidR="00B41E61" w:rsidRPr="00E9492B" w:rsidRDefault="00B41E61" w:rsidP="00DB3CD8">
            <w:pPr>
              <w:spacing w:after="0" w:line="240" w:lineRule="auto"/>
              <w:rPr>
                <w:rFonts w:eastAsia="Times New Roman" w:cs="Times New Roman"/>
                <w:color w:val="333333"/>
                <w:lang w:eastAsia="en-AU"/>
              </w:rPr>
            </w:pPr>
            <w:r>
              <w:rPr>
                <w:rFonts w:eastAsia="Times New Roman" w:cs="Times New Roman"/>
                <w:color w:val="333333"/>
                <w:lang w:eastAsia="en-AU"/>
              </w:rPr>
              <w:t>7.2 million</w:t>
            </w:r>
          </w:p>
        </w:tc>
        <w:tc>
          <w:tcPr>
            <w:tcW w:w="607" w:type="pct"/>
            <w:tcBorders>
              <w:left w:val="single" w:sz="2" w:space="0" w:color="auto"/>
              <w:bottom w:val="single" w:sz="6" w:space="0" w:color="auto"/>
              <w:right w:val="single" w:sz="2" w:space="0" w:color="auto"/>
            </w:tcBorders>
          </w:tcPr>
          <w:p w14:paraId="7C121EF0" w14:textId="77777777" w:rsidR="00B41E61" w:rsidRPr="00E9492B" w:rsidRDefault="00B41E61" w:rsidP="00DB3CD8">
            <w:pPr>
              <w:spacing w:after="0" w:line="240" w:lineRule="auto"/>
              <w:jc w:val="center"/>
              <w:rPr>
                <w:rFonts w:eastAsia="Times New Roman" w:cs="Times New Roman"/>
                <w:color w:val="333333"/>
                <w:lang w:eastAsia="en-AU"/>
              </w:rPr>
            </w:pPr>
            <w:r w:rsidRPr="00E9492B">
              <w:rPr>
                <w:rFonts w:eastAsia="Times New Roman" w:cs="Times New Roman"/>
                <w:color w:val="333333"/>
                <w:lang w:eastAsia="en-AU"/>
              </w:rPr>
              <w:t>-</w:t>
            </w:r>
            <w:r>
              <w:rPr>
                <w:rFonts w:eastAsia="Times New Roman" w:cs="Times New Roman"/>
                <w:color w:val="333333"/>
                <w:lang w:eastAsia="en-AU"/>
              </w:rPr>
              <w:t>24</w:t>
            </w:r>
            <w:r w:rsidRPr="00E9492B">
              <w:rPr>
                <w:rFonts w:eastAsia="Times New Roman" w:cs="Times New Roman"/>
                <w:color w:val="333333"/>
                <w:lang w:eastAsia="en-AU"/>
              </w:rPr>
              <w:t>% down</w:t>
            </w:r>
          </w:p>
        </w:tc>
        <w:tc>
          <w:tcPr>
            <w:tcW w:w="608" w:type="pct"/>
            <w:tcBorders>
              <w:left w:val="single" w:sz="2" w:space="0" w:color="auto"/>
              <w:bottom w:val="single" w:sz="6" w:space="0" w:color="auto"/>
              <w:right w:val="single" w:sz="2" w:space="0" w:color="auto"/>
            </w:tcBorders>
          </w:tcPr>
          <w:p w14:paraId="5E39C809"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95</w:t>
            </w:r>
            <w:r w:rsidRPr="00E9492B">
              <w:rPr>
                <w:rFonts w:eastAsia="Times New Roman" w:cs="Times New Roman"/>
                <w:color w:val="333333"/>
                <w:lang w:eastAsia="en-AU"/>
              </w:rPr>
              <w:t>% up</w:t>
            </w:r>
          </w:p>
        </w:tc>
      </w:tr>
      <w:tr w:rsidR="00BE03C9" w:rsidRPr="00E9492B" w14:paraId="0DB2E5C9"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66F4114A"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International student visa holders in Australia**</w:t>
            </w:r>
          </w:p>
        </w:tc>
        <w:tc>
          <w:tcPr>
            <w:tcW w:w="1481" w:type="pct"/>
            <w:tcBorders>
              <w:left w:val="single" w:sz="2" w:space="0" w:color="auto"/>
              <w:bottom w:val="single" w:sz="6" w:space="0" w:color="auto"/>
              <w:right w:val="single" w:sz="2" w:space="0" w:color="auto"/>
            </w:tcBorders>
            <w:tcMar>
              <w:left w:w="57" w:type="dxa"/>
              <w:right w:w="113" w:type="dxa"/>
            </w:tcMar>
            <w:hideMark/>
          </w:tcPr>
          <w:p w14:paraId="3C48388C" w14:textId="7777777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Number of international students in Australia that hold a student visa (primary and secondary, excluding the foreign affairs and defence sectors).</w:t>
            </w:r>
          </w:p>
        </w:tc>
        <w:tc>
          <w:tcPr>
            <w:tcW w:w="528" w:type="pct"/>
            <w:tcBorders>
              <w:left w:val="single" w:sz="2" w:space="0" w:color="auto"/>
              <w:bottom w:val="single" w:sz="6" w:space="0" w:color="auto"/>
              <w:right w:val="single" w:sz="2" w:space="0" w:color="auto"/>
            </w:tcBorders>
            <w:hideMark/>
          </w:tcPr>
          <w:p w14:paraId="39AE2595" w14:textId="23391D40" w:rsidR="00B41E61" w:rsidRPr="00E9492B" w:rsidRDefault="00083548" w:rsidP="00DB3CD8">
            <w:pPr>
              <w:spacing w:after="0" w:line="240" w:lineRule="auto"/>
              <w:rPr>
                <w:rFonts w:eastAsia="Times New Roman" w:cs="Times New Roman"/>
                <w:color w:val="333333"/>
                <w:lang w:eastAsia="en-AU"/>
              </w:rPr>
            </w:pPr>
            <w:r>
              <w:rPr>
                <w:rFonts w:eastAsia="Times New Roman" w:cs="Times New Roman"/>
                <w:color w:val="333333"/>
                <w:lang w:eastAsia="en-AU"/>
              </w:rPr>
              <w:t>629.1</w:t>
            </w:r>
            <w:r w:rsidR="00B41E61" w:rsidRPr="00E9492B">
              <w:rPr>
                <w:rFonts w:eastAsia="Times New Roman" w:cs="Times New Roman"/>
                <w:color w:val="333333"/>
                <w:lang w:eastAsia="en-AU"/>
              </w:rPr>
              <w:t xml:space="preserve"> </w:t>
            </w:r>
            <w:r w:rsidR="00B41E61" w:rsidRPr="00CC66FE">
              <w:rPr>
                <w:rFonts w:eastAsia="Times New Roman" w:cs="Times New Roman"/>
                <w:color w:val="333333"/>
                <w:sz w:val="18"/>
                <w:szCs w:val="18"/>
                <w:lang w:eastAsia="en-AU"/>
              </w:rPr>
              <w:t>thousand</w:t>
            </w:r>
          </w:p>
        </w:tc>
        <w:tc>
          <w:tcPr>
            <w:tcW w:w="514" w:type="pct"/>
            <w:tcBorders>
              <w:left w:val="single" w:sz="2" w:space="0" w:color="auto"/>
              <w:bottom w:val="single" w:sz="6" w:space="0" w:color="auto"/>
              <w:right w:val="single" w:sz="2" w:space="0" w:color="auto"/>
            </w:tcBorders>
          </w:tcPr>
          <w:p w14:paraId="7B5B00CF" w14:textId="16135F72" w:rsidR="00B41E61" w:rsidRPr="00E9492B" w:rsidRDefault="00083548" w:rsidP="00DB3CD8">
            <w:pPr>
              <w:spacing w:after="0" w:line="240" w:lineRule="auto"/>
              <w:rPr>
                <w:rFonts w:eastAsia="Times New Roman" w:cs="Times New Roman"/>
                <w:color w:val="333333"/>
                <w:lang w:eastAsia="en-AU"/>
              </w:rPr>
            </w:pPr>
            <w:r>
              <w:rPr>
                <w:rFonts w:eastAsia="Times New Roman" w:cs="Times New Roman"/>
                <w:color w:val="333333"/>
                <w:lang w:eastAsia="en-AU"/>
              </w:rPr>
              <w:t>416.9</w:t>
            </w:r>
            <w:r w:rsidR="00704031">
              <w:rPr>
                <w:rFonts w:eastAsia="Times New Roman" w:cs="Times New Roman"/>
                <w:color w:val="333333"/>
                <w:lang w:eastAsia="en-AU"/>
              </w:rPr>
              <w:t xml:space="preserve"> </w:t>
            </w:r>
            <w:r w:rsidR="00704031" w:rsidRPr="00704031">
              <w:rPr>
                <w:rFonts w:eastAsia="Times New Roman" w:cs="Times New Roman"/>
                <w:color w:val="333333"/>
                <w:sz w:val="18"/>
                <w:szCs w:val="18"/>
                <w:lang w:eastAsia="en-AU"/>
              </w:rPr>
              <w:t>thousand</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68E48CFC" w14:textId="678919B7" w:rsidR="00B41E61" w:rsidRPr="00E9492B" w:rsidRDefault="00083548" w:rsidP="00DB3CD8">
            <w:pPr>
              <w:spacing w:after="0" w:line="240" w:lineRule="auto"/>
              <w:rPr>
                <w:rFonts w:eastAsia="Times New Roman" w:cs="Times New Roman"/>
                <w:color w:val="333333"/>
                <w:lang w:eastAsia="en-AU"/>
              </w:rPr>
            </w:pPr>
            <w:r>
              <w:rPr>
                <w:rFonts w:eastAsia="Times New Roman" w:cs="Times New Roman"/>
                <w:color w:val="333333"/>
                <w:lang w:eastAsia="en-AU"/>
              </w:rPr>
              <w:t>660.5</w:t>
            </w:r>
            <w:r w:rsidR="00B41E61" w:rsidRPr="00E9492B">
              <w:rPr>
                <w:rFonts w:eastAsia="Times New Roman" w:cs="Times New Roman"/>
                <w:color w:val="333333"/>
                <w:lang w:eastAsia="en-AU"/>
              </w:rPr>
              <w:t xml:space="preserve"> </w:t>
            </w:r>
            <w:r w:rsidR="00B41E61" w:rsidRPr="00CC66FE">
              <w:rPr>
                <w:rFonts w:eastAsia="Times New Roman" w:cs="Times New Roman"/>
                <w:color w:val="333333"/>
                <w:sz w:val="18"/>
                <w:szCs w:val="18"/>
                <w:lang w:eastAsia="en-AU"/>
              </w:rPr>
              <w:t>thousand</w:t>
            </w:r>
          </w:p>
        </w:tc>
        <w:tc>
          <w:tcPr>
            <w:tcW w:w="607" w:type="pct"/>
            <w:tcBorders>
              <w:left w:val="single" w:sz="2" w:space="0" w:color="auto"/>
              <w:bottom w:val="single" w:sz="6" w:space="0" w:color="auto"/>
              <w:right w:val="single" w:sz="2" w:space="0" w:color="auto"/>
            </w:tcBorders>
            <w:hideMark/>
          </w:tcPr>
          <w:p w14:paraId="230180CE" w14:textId="3F6FC54E" w:rsidR="00B41E61" w:rsidRPr="00E9492B" w:rsidRDefault="00AB08CE"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5</w:t>
            </w:r>
            <w:r w:rsidR="00B41E61" w:rsidRPr="00E9492B">
              <w:rPr>
                <w:rFonts w:eastAsia="Times New Roman" w:cs="Times New Roman"/>
                <w:color w:val="333333"/>
                <w:lang w:eastAsia="en-AU"/>
              </w:rPr>
              <w:t>% up</w:t>
            </w:r>
          </w:p>
        </w:tc>
        <w:tc>
          <w:tcPr>
            <w:tcW w:w="608" w:type="pct"/>
            <w:tcBorders>
              <w:left w:val="single" w:sz="2" w:space="0" w:color="auto"/>
              <w:bottom w:val="single" w:sz="6" w:space="0" w:color="auto"/>
              <w:right w:val="single" w:sz="2" w:space="0" w:color="auto"/>
            </w:tcBorders>
            <w:hideMark/>
          </w:tcPr>
          <w:p w14:paraId="0BB72FD6" w14:textId="1B6EC756" w:rsidR="00B41E61" w:rsidRPr="00E9492B" w:rsidRDefault="00AB08CE"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58</w:t>
            </w:r>
            <w:r w:rsidR="00B41E61" w:rsidRPr="00E9492B">
              <w:rPr>
                <w:rFonts w:eastAsia="Times New Roman" w:cs="Times New Roman"/>
                <w:color w:val="333333"/>
                <w:lang w:eastAsia="en-AU"/>
              </w:rPr>
              <w:t>% up</w:t>
            </w:r>
          </w:p>
        </w:tc>
      </w:tr>
      <w:tr w:rsidR="00BE03C9" w:rsidRPr="00E9492B" w14:paraId="7D21DB67"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2325F69C"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lastRenderedPageBreak/>
              <w:t>Domestic overnight trips</w:t>
            </w:r>
          </w:p>
        </w:tc>
        <w:tc>
          <w:tcPr>
            <w:tcW w:w="1481" w:type="pct"/>
            <w:tcBorders>
              <w:left w:val="single" w:sz="2" w:space="0" w:color="auto"/>
              <w:bottom w:val="single" w:sz="6" w:space="0" w:color="auto"/>
              <w:right w:val="single" w:sz="2" w:space="0" w:color="auto"/>
            </w:tcBorders>
            <w:tcMar>
              <w:left w:w="57" w:type="dxa"/>
              <w:right w:w="113" w:type="dxa"/>
            </w:tcMar>
            <w:hideMark/>
          </w:tcPr>
          <w:p w14:paraId="0272870F" w14:textId="7777777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Australian residents aged 15 or over who travel away from home for at least one night (for non-routine purposes)</w:t>
            </w:r>
          </w:p>
        </w:tc>
        <w:tc>
          <w:tcPr>
            <w:tcW w:w="528" w:type="pct"/>
            <w:tcBorders>
              <w:left w:val="single" w:sz="2" w:space="0" w:color="auto"/>
              <w:bottom w:val="single" w:sz="6" w:space="0" w:color="auto"/>
              <w:right w:val="single" w:sz="2" w:space="0" w:color="auto"/>
            </w:tcBorders>
            <w:hideMark/>
          </w:tcPr>
          <w:p w14:paraId="7EB3E964"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117.4 million</w:t>
            </w:r>
          </w:p>
        </w:tc>
        <w:tc>
          <w:tcPr>
            <w:tcW w:w="514" w:type="pct"/>
            <w:tcBorders>
              <w:left w:val="single" w:sz="2" w:space="0" w:color="auto"/>
              <w:bottom w:val="single" w:sz="6" w:space="0" w:color="auto"/>
              <w:right w:val="single" w:sz="2" w:space="0" w:color="auto"/>
            </w:tcBorders>
          </w:tcPr>
          <w:p w14:paraId="7E147323" w14:textId="1DAEB6BE" w:rsidR="00B41E61" w:rsidRPr="00E9492B" w:rsidRDefault="004609E4"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1</w:t>
            </w:r>
            <w:r>
              <w:rPr>
                <w:rFonts w:eastAsia="Times New Roman" w:cs="Times New Roman"/>
                <w:color w:val="333333"/>
                <w:lang w:eastAsia="en-AU"/>
              </w:rPr>
              <w:t>08.2</w:t>
            </w:r>
            <w:r w:rsidRPr="00E9492B">
              <w:rPr>
                <w:rFonts w:eastAsia="Times New Roman" w:cs="Times New Roman"/>
                <w:color w:val="333333"/>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570DA235" w14:textId="13534F43"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1</w:t>
            </w:r>
            <w:r>
              <w:rPr>
                <w:rFonts w:eastAsia="Times New Roman" w:cs="Times New Roman"/>
                <w:color w:val="333333"/>
                <w:lang w:eastAsia="en-AU"/>
              </w:rPr>
              <w:t>1</w:t>
            </w:r>
            <w:r w:rsidRPr="00E9492B">
              <w:rPr>
                <w:rFonts w:eastAsia="Times New Roman" w:cs="Times New Roman"/>
                <w:color w:val="333333"/>
                <w:lang w:eastAsia="en-AU"/>
              </w:rPr>
              <w:t>2</w:t>
            </w:r>
            <w:r>
              <w:rPr>
                <w:rFonts w:eastAsia="Times New Roman" w:cs="Times New Roman"/>
                <w:color w:val="333333"/>
                <w:lang w:eastAsia="en-AU"/>
              </w:rPr>
              <w:t>.6</w:t>
            </w:r>
            <w:r w:rsidRPr="00E9492B">
              <w:rPr>
                <w:rFonts w:eastAsia="Times New Roman" w:cs="Times New Roman"/>
                <w:color w:val="333333"/>
                <w:lang w:eastAsia="en-AU"/>
              </w:rPr>
              <w:t xml:space="preserve"> million</w:t>
            </w:r>
          </w:p>
        </w:tc>
        <w:tc>
          <w:tcPr>
            <w:tcW w:w="607" w:type="pct"/>
            <w:tcBorders>
              <w:left w:val="single" w:sz="2" w:space="0" w:color="auto"/>
              <w:bottom w:val="single" w:sz="6" w:space="0" w:color="auto"/>
              <w:right w:val="single" w:sz="2" w:space="0" w:color="auto"/>
            </w:tcBorders>
            <w:hideMark/>
          </w:tcPr>
          <w:p w14:paraId="4114A5FE" w14:textId="77777777" w:rsidR="00B41E61" w:rsidRPr="00E9492B" w:rsidRDefault="00B41E61" w:rsidP="00DB3CD8">
            <w:pPr>
              <w:spacing w:after="0" w:line="240" w:lineRule="auto"/>
              <w:jc w:val="center"/>
              <w:rPr>
                <w:rFonts w:eastAsia="Times New Roman" w:cs="Times New Roman"/>
                <w:color w:val="333333"/>
                <w:lang w:eastAsia="en-AU"/>
              </w:rPr>
            </w:pPr>
            <w:r w:rsidRPr="00E9492B">
              <w:rPr>
                <w:rFonts w:eastAsia="Times New Roman" w:cs="Times New Roman"/>
                <w:color w:val="333333"/>
                <w:lang w:eastAsia="en-AU"/>
              </w:rPr>
              <w:t>-</w:t>
            </w:r>
            <w:r>
              <w:rPr>
                <w:rFonts w:eastAsia="Times New Roman" w:cs="Times New Roman"/>
                <w:color w:val="333333"/>
                <w:lang w:eastAsia="en-AU"/>
              </w:rPr>
              <w:t>4</w:t>
            </w:r>
            <w:r w:rsidRPr="00E9492B">
              <w:rPr>
                <w:rFonts w:eastAsia="Times New Roman" w:cs="Times New Roman"/>
                <w:color w:val="333333"/>
                <w:lang w:eastAsia="en-AU"/>
              </w:rPr>
              <w:t>% down</w:t>
            </w:r>
          </w:p>
        </w:tc>
        <w:tc>
          <w:tcPr>
            <w:tcW w:w="608" w:type="pct"/>
            <w:tcBorders>
              <w:left w:val="single" w:sz="2" w:space="0" w:color="auto"/>
              <w:bottom w:val="single" w:sz="6" w:space="0" w:color="auto"/>
              <w:right w:val="single" w:sz="2" w:space="0" w:color="auto"/>
            </w:tcBorders>
            <w:hideMark/>
          </w:tcPr>
          <w:p w14:paraId="5030D9D7"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4</w:t>
            </w:r>
            <w:r w:rsidRPr="00E9492B">
              <w:rPr>
                <w:rFonts w:eastAsia="Times New Roman" w:cs="Times New Roman"/>
                <w:color w:val="333333"/>
                <w:lang w:eastAsia="en-AU"/>
              </w:rPr>
              <w:t>% up</w:t>
            </w:r>
          </w:p>
        </w:tc>
      </w:tr>
      <w:tr w:rsidR="00BE03C9" w:rsidRPr="00E9492B" w14:paraId="15D810F0"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16EAF781"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Domestic day trips</w:t>
            </w:r>
          </w:p>
        </w:tc>
        <w:tc>
          <w:tcPr>
            <w:tcW w:w="1481" w:type="pct"/>
            <w:tcBorders>
              <w:left w:val="single" w:sz="2" w:space="0" w:color="auto"/>
              <w:bottom w:val="single" w:sz="6" w:space="0" w:color="auto"/>
              <w:right w:val="single" w:sz="2" w:space="0" w:color="auto"/>
            </w:tcBorders>
            <w:tcMar>
              <w:left w:w="57" w:type="dxa"/>
              <w:right w:w="113" w:type="dxa"/>
            </w:tcMar>
            <w:hideMark/>
          </w:tcPr>
          <w:p w14:paraId="4F25D7B8" w14:textId="13F22007"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Australian residents aged 15 or over travelling on a day trip (more than 4</w:t>
            </w:r>
            <w:r w:rsidR="00312D9E">
              <w:rPr>
                <w:rFonts w:eastAsia="Times New Roman" w:cs="Times New Roman"/>
                <w:color w:val="333333"/>
                <w:sz w:val="18"/>
                <w:szCs w:val="18"/>
                <w:lang w:eastAsia="en-AU"/>
              </w:rPr>
              <w:t> </w:t>
            </w:r>
            <w:r w:rsidRPr="001A23E1">
              <w:rPr>
                <w:rFonts w:eastAsia="Times New Roman" w:cs="Times New Roman"/>
                <w:color w:val="333333"/>
                <w:sz w:val="18"/>
                <w:szCs w:val="18"/>
                <w:lang w:eastAsia="en-AU"/>
              </w:rPr>
              <w:t>hours and 50 km round-trip from their home, for non-routine purposes)</w:t>
            </w:r>
          </w:p>
        </w:tc>
        <w:tc>
          <w:tcPr>
            <w:tcW w:w="528" w:type="pct"/>
            <w:tcBorders>
              <w:left w:val="single" w:sz="2" w:space="0" w:color="auto"/>
              <w:bottom w:val="single" w:sz="6" w:space="0" w:color="auto"/>
              <w:right w:val="single" w:sz="2" w:space="0" w:color="auto"/>
            </w:tcBorders>
            <w:hideMark/>
          </w:tcPr>
          <w:p w14:paraId="79D18F19"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248.3 million</w:t>
            </w:r>
          </w:p>
        </w:tc>
        <w:tc>
          <w:tcPr>
            <w:tcW w:w="514" w:type="pct"/>
            <w:tcBorders>
              <w:left w:val="single" w:sz="2" w:space="0" w:color="auto"/>
              <w:bottom w:val="single" w:sz="6" w:space="0" w:color="auto"/>
              <w:right w:val="single" w:sz="2" w:space="0" w:color="auto"/>
            </w:tcBorders>
          </w:tcPr>
          <w:p w14:paraId="1ECBDE87" w14:textId="070AA1A4" w:rsidR="00B41E61" w:rsidRPr="00E9492B" w:rsidRDefault="004609E4"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2</w:t>
            </w:r>
            <w:r w:rsidR="00E27546">
              <w:rPr>
                <w:rFonts w:eastAsia="Times New Roman" w:cs="Times New Roman"/>
                <w:color w:val="333333"/>
                <w:lang w:eastAsia="en-AU"/>
              </w:rPr>
              <w:t>01</w:t>
            </w:r>
            <w:r>
              <w:rPr>
                <w:rFonts w:eastAsia="Times New Roman" w:cs="Times New Roman"/>
                <w:color w:val="333333"/>
                <w:lang w:eastAsia="en-AU"/>
              </w:rPr>
              <w:t>.</w:t>
            </w:r>
            <w:r w:rsidR="00E27546">
              <w:rPr>
                <w:rFonts w:eastAsia="Times New Roman" w:cs="Times New Roman"/>
                <w:color w:val="333333"/>
                <w:lang w:eastAsia="en-AU"/>
              </w:rPr>
              <w:t>4</w:t>
            </w:r>
            <w:r w:rsidRPr="00E9492B">
              <w:rPr>
                <w:rFonts w:eastAsia="Times New Roman" w:cs="Times New Roman"/>
                <w:color w:val="333333"/>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776BA971" w14:textId="733A4DE9"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21</w:t>
            </w:r>
            <w:r>
              <w:rPr>
                <w:rFonts w:eastAsia="Times New Roman" w:cs="Times New Roman"/>
                <w:color w:val="333333"/>
                <w:lang w:eastAsia="en-AU"/>
              </w:rPr>
              <w:t>6</w:t>
            </w:r>
            <w:r w:rsidRPr="00E9492B">
              <w:rPr>
                <w:rFonts w:eastAsia="Times New Roman" w:cs="Times New Roman"/>
                <w:color w:val="333333"/>
                <w:lang w:eastAsia="en-AU"/>
              </w:rPr>
              <w:t>.</w:t>
            </w:r>
            <w:r>
              <w:rPr>
                <w:rFonts w:eastAsia="Times New Roman" w:cs="Times New Roman"/>
                <w:color w:val="333333"/>
                <w:lang w:eastAsia="en-AU"/>
              </w:rPr>
              <w:t>2</w:t>
            </w:r>
            <w:r w:rsidRPr="00E9492B">
              <w:rPr>
                <w:rFonts w:eastAsia="Times New Roman" w:cs="Times New Roman"/>
                <w:color w:val="333333"/>
                <w:lang w:eastAsia="en-AU"/>
              </w:rPr>
              <w:t xml:space="preserve"> million</w:t>
            </w:r>
          </w:p>
        </w:tc>
        <w:tc>
          <w:tcPr>
            <w:tcW w:w="607" w:type="pct"/>
            <w:tcBorders>
              <w:left w:val="single" w:sz="2" w:space="0" w:color="auto"/>
              <w:bottom w:val="single" w:sz="6" w:space="0" w:color="auto"/>
              <w:right w:val="single" w:sz="2" w:space="0" w:color="auto"/>
            </w:tcBorders>
            <w:hideMark/>
          </w:tcPr>
          <w:p w14:paraId="78503B86" w14:textId="77777777" w:rsidR="00B41E61" w:rsidRPr="00E9492B" w:rsidRDefault="00B41E61" w:rsidP="00DB3CD8">
            <w:pPr>
              <w:spacing w:after="0" w:line="240" w:lineRule="auto"/>
              <w:jc w:val="center"/>
              <w:rPr>
                <w:rFonts w:eastAsia="Times New Roman" w:cs="Times New Roman"/>
                <w:color w:val="333333"/>
                <w:lang w:eastAsia="en-AU"/>
              </w:rPr>
            </w:pPr>
            <w:r w:rsidRPr="00E9492B">
              <w:rPr>
                <w:rFonts w:eastAsia="Times New Roman" w:cs="Times New Roman"/>
                <w:color w:val="333333"/>
                <w:lang w:eastAsia="en-AU"/>
              </w:rPr>
              <w:t>-1</w:t>
            </w:r>
            <w:r>
              <w:rPr>
                <w:rFonts w:eastAsia="Times New Roman" w:cs="Times New Roman"/>
                <w:color w:val="333333"/>
                <w:lang w:eastAsia="en-AU"/>
              </w:rPr>
              <w:t>3</w:t>
            </w:r>
            <w:r w:rsidRPr="00E9492B">
              <w:rPr>
                <w:rFonts w:eastAsia="Times New Roman" w:cs="Times New Roman"/>
                <w:color w:val="333333"/>
                <w:lang w:eastAsia="en-AU"/>
              </w:rPr>
              <w:t>% down</w:t>
            </w:r>
          </w:p>
        </w:tc>
        <w:tc>
          <w:tcPr>
            <w:tcW w:w="608" w:type="pct"/>
            <w:tcBorders>
              <w:left w:val="single" w:sz="2" w:space="0" w:color="auto"/>
              <w:bottom w:val="single" w:sz="6" w:space="0" w:color="auto"/>
              <w:right w:val="single" w:sz="2" w:space="0" w:color="auto"/>
            </w:tcBorders>
            <w:hideMark/>
          </w:tcPr>
          <w:p w14:paraId="39087E0A"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7</w:t>
            </w:r>
            <w:r w:rsidRPr="00E9492B">
              <w:rPr>
                <w:rFonts w:eastAsia="Times New Roman" w:cs="Times New Roman"/>
                <w:color w:val="333333"/>
                <w:lang w:eastAsia="en-AU"/>
              </w:rPr>
              <w:t>% up</w:t>
            </w:r>
          </w:p>
        </w:tc>
      </w:tr>
      <w:tr w:rsidR="00BE03C9" w:rsidRPr="00E9492B" w14:paraId="12000E41" w14:textId="77777777" w:rsidTr="00AB08CE">
        <w:trPr>
          <w:trHeight w:val="300"/>
        </w:trPr>
        <w:tc>
          <w:tcPr>
            <w:tcW w:w="700" w:type="pct"/>
            <w:tcBorders>
              <w:top w:val="single" w:sz="2" w:space="0" w:color="auto"/>
              <w:left w:val="single" w:sz="2" w:space="0" w:color="auto"/>
              <w:bottom w:val="single" w:sz="6" w:space="0" w:color="auto"/>
              <w:right w:val="single" w:sz="2" w:space="0" w:color="auto"/>
            </w:tcBorders>
            <w:vAlign w:val="center"/>
            <w:hideMark/>
          </w:tcPr>
          <w:p w14:paraId="1D0E8FB8" w14:textId="77777777" w:rsidR="00B41E61" w:rsidRPr="00E9492B" w:rsidRDefault="00B41E61">
            <w:pPr>
              <w:spacing w:before="0" w:after="0" w:line="240" w:lineRule="auto"/>
              <w:rPr>
                <w:rFonts w:eastAsia="Times New Roman" w:cs="Times New Roman"/>
                <w:color w:val="333333"/>
                <w:lang w:eastAsia="en-AU"/>
              </w:rPr>
            </w:pPr>
            <w:r w:rsidRPr="00E9492B">
              <w:rPr>
                <w:rFonts w:eastAsia="Times New Roman" w:cs="Times New Roman"/>
                <w:color w:val="333333"/>
                <w:lang w:eastAsia="en-AU"/>
              </w:rPr>
              <w:t xml:space="preserve">Australian resident </w:t>
            </w:r>
            <w:r>
              <w:rPr>
                <w:rFonts w:eastAsia="Times New Roman" w:cs="Times New Roman"/>
                <w:color w:val="333333"/>
                <w:lang w:eastAsia="en-AU"/>
              </w:rPr>
              <w:t xml:space="preserve">returns from international </w:t>
            </w:r>
            <w:r w:rsidRPr="00E9492B">
              <w:rPr>
                <w:rFonts w:eastAsia="Times New Roman" w:cs="Times New Roman"/>
                <w:color w:val="333333"/>
                <w:lang w:eastAsia="en-AU"/>
              </w:rPr>
              <w:t>outbound trips</w:t>
            </w:r>
          </w:p>
        </w:tc>
        <w:tc>
          <w:tcPr>
            <w:tcW w:w="1481" w:type="pct"/>
            <w:tcBorders>
              <w:left w:val="single" w:sz="2" w:space="0" w:color="auto"/>
              <w:bottom w:val="single" w:sz="6" w:space="0" w:color="auto"/>
              <w:right w:val="single" w:sz="2" w:space="0" w:color="auto"/>
            </w:tcBorders>
            <w:tcMar>
              <w:left w:w="57" w:type="dxa"/>
              <w:right w:w="113" w:type="dxa"/>
            </w:tcMar>
            <w:hideMark/>
          </w:tcPr>
          <w:p w14:paraId="52AC5917" w14:textId="307B88A4" w:rsidR="00B41E61" w:rsidRPr="001A23E1" w:rsidRDefault="00B41E61" w:rsidP="00871569">
            <w:pPr>
              <w:spacing w:before="0" w:after="0"/>
              <w:rPr>
                <w:rFonts w:eastAsia="Times New Roman" w:cs="Times New Roman"/>
                <w:color w:val="333333"/>
                <w:sz w:val="18"/>
                <w:szCs w:val="18"/>
                <w:lang w:eastAsia="en-AU"/>
              </w:rPr>
            </w:pPr>
            <w:r w:rsidRPr="001A23E1">
              <w:rPr>
                <w:rFonts w:eastAsia="Times New Roman" w:cs="Times New Roman"/>
                <w:color w:val="333333"/>
                <w:sz w:val="18"/>
                <w:szCs w:val="18"/>
                <w:lang w:eastAsia="en-AU"/>
              </w:rPr>
              <w:t>All Australian residents returning from travel out of Australia for less than 12</w:t>
            </w:r>
            <w:r w:rsidR="00312D9E">
              <w:rPr>
                <w:rFonts w:eastAsia="Times New Roman" w:cs="Times New Roman"/>
                <w:color w:val="333333"/>
                <w:sz w:val="18"/>
                <w:szCs w:val="18"/>
                <w:lang w:eastAsia="en-AU"/>
              </w:rPr>
              <w:t> </w:t>
            </w:r>
            <w:r w:rsidRPr="001A23E1">
              <w:rPr>
                <w:rFonts w:eastAsia="Times New Roman" w:cs="Times New Roman"/>
                <w:color w:val="333333"/>
                <w:sz w:val="18"/>
                <w:szCs w:val="18"/>
                <w:lang w:eastAsia="en-AU"/>
              </w:rPr>
              <w:t>months</w:t>
            </w:r>
          </w:p>
        </w:tc>
        <w:tc>
          <w:tcPr>
            <w:tcW w:w="528" w:type="pct"/>
            <w:tcBorders>
              <w:left w:val="single" w:sz="2" w:space="0" w:color="auto"/>
              <w:bottom w:val="single" w:sz="6" w:space="0" w:color="auto"/>
              <w:right w:val="single" w:sz="2" w:space="0" w:color="auto"/>
            </w:tcBorders>
            <w:hideMark/>
          </w:tcPr>
          <w:p w14:paraId="38E299A1" w14:textId="77777777" w:rsidR="00B41E61" w:rsidRPr="00E9492B" w:rsidRDefault="00B41E61" w:rsidP="00DB3CD8">
            <w:pPr>
              <w:spacing w:after="0" w:line="240" w:lineRule="auto"/>
              <w:rPr>
                <w:rFonts w:eastAsia="Times New Roman" w:cs="Times New Roman"/>
                <w:color w:val="333333"/>
                <w:lang w:eastAsia="en-AU"/>
              </w:rPr>
            </w:pPr>
            <w:r w:rsidRPr="00E9492B">
              <w:rPr>
                <w:rFonts w:eastAsia="Times New Roman" w:cs="Times New Roman"/>
                <w:color w:val="333333"/>
                <w:lang w:eastAsia="en-AU"/>
              </w:rPr>
              <w:t>11.3 million</w:t>
            </w:r>
          </w:p>
        </w:tc>
        <w:tc>
          <w:tcPr>
            <w:tcW w:w="514" w:type="pct"/>
            <w:tcBorders>
              <w:left w:val="single" w:sz="2" w:space="0" w:color="auto"/>
              <w:bottom w:val="single" w:sz="6" w:space="0" w:color="auto"/>
              <w:right w:val="single" w:sz="2" w:space="0" w:color="auto"/>
            </w:tcBorders>
          </w:tcPr>
          <w:p w14:paraId="3679E6A9" w14:textId="36692B92" w:rsidR="00B41E61" w:rsidRDefault="00B11BE5" w:rsidP="00DB3CD8">
            <w:pPr>
              <w:spacing w:after="0" w:line="240" w:lineRule="auto"/>
              <w:rPr>
                <w:rFonts w:eastAsia="Times New Roman" w:cs="Times New Roman"/>
                <w:color w:val="333333"/>
                <w:lang w:eastAsia="en-AU"/>
              </w:rPr>
            </w:pPr>
            <w:r>
              <w:rPr>
                <w:rFonts w:eastAsia="Times New Roman" w:cs="Times New Roman"/>
                <w:color w:val="333333"/>
                <w:lang w:eastAsia="en-AU"/>
              </w:rPr>
              <w:t>5.2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682C79E5" w14:textId="47DAF871" w:rsidR="00B41E61" w:rsidRPr="00E9492B" w:rsidRDefault="00B41E61" w:rsidP="00DB3CD8">
            <w:pPr>
              <w:spacing w:after="0" w:line="240" w:lineRule="auto"/>
              <w:rPr>
                <w:rFonts w:eastAsia="Times New Roman" w:cs="Times New Roman"/>
                <w:color w:val="333333"/>
                <w:lang w:eastAsia="en-AU"/>
              </w:rPr>
            </w:pPr>
            <w:r>
              <w:rPr>
                <w:rFonts w:eastAsia="Times New Roman" w:cs="Times New Roman"/>
                <w:color w:val="333333"/>
                <w:lang w:eastAsia="en-AU"/>
              </w:rPr>
              <w:t xml:space="preserve">10.0 </w:t>
            </w:r>
            <w:r w:rsidRPr="00E9492B">
              <w:rPr>
                <w:rFonts w:eastAsia="Times New Roman" w:cs="Times New Roman"/>
                <w:color w:val="333333"/>
                <w:lang w:eastAsia="en-AU"/>
              </w:rPr>
              <w:t>million</w:t>
            </w:r>
          </w:p>
        </w:tc>
        <w:tc>
          <w:tcPr>
            <w:tcW w:w="607" w:type="pct"/>
            <w:tcBorders>
              <w:left w:val="single" w:sz="2" w:space="0" w:color="auto"/>
              <w:bottom w:val="single" w:sz="6" w:space="0" w:color="auto"/>
              <w:right w:val="single" w:sz="2" w:space="0" w:color="auto"/>
            </w:tcBorders>
            <w:hideMark/>
          </w:tcPr>
          <w:p w14:paraId="0D4D402E" w14:textId="77777777" w:rsidR="00B41E61" w:rsidRPr="00E9492B" w:rsidRDefault="00B41E61" w:rsidP="00DB3CD8">
            <w:pPr>
              <w:spacing w:after="0" w:line="240" w:lineRule="auto"/>
              <w:jc w:val="center"/>
              <w:rPr>
                <w:rFonts w:eastAsia="Times New Roman" w:cs="Times New Roman"/>
                <w:color w:val="333333"/>
                <w:lang w:eastAsia="en-AU"/>
              </w:rPr>
            </w:pPr>
            <w:r w:rsidRPr="00E9492B">
              <w:rPr>
                <w:rFonts w:eastAsia="Times New Roman" w:cs="Times New Roman"/>
                <w:color w:val="333333"/>
                <w:lang w:eastAsia="en-AU"/>
              </w:rPr>
              <w:t>-</w:t>
            </w:r>
            <w:r>
              <w:rPr>
                <w:rFonts w:eastAsia="Times New Roman" w:cs="Times New Roman"/>
                <w:color w:val="333333"/>
                <w:lang w:eastAsia="en-AU"/>
              </w:rPr>
              <w:t>12</w:t>
            </w:r>
            <w:r w:rsidRPr="00E9492B">
              <w:rPr>
                <w:rFonts w:eastAsia="Times New Roman" w:cs="Times New Roman"/>
                <w:color w:val="333333"/>
                <w:lang w:eastAsia="en-AU"/>
              </w:rPr>
              <w:t>% down</w:t>
            </w:r>
          </w:p>
        </w:tc>
        <w:tc>
          <w:tcPr>
            <w:tcW w:w="608" w:type="pct"/>
            <w:tcBorders>
              <w:left w:val="single" w:sz="2" w:space="0" w:color="auto"/>
              <w:bottom w:val="single" w:sz="6" w:space="0" w:color="auto"/>
              <w:right w:val="single" w:sz="2" w:space="0" w:color="auto"/>
            </w:tcBorders>
            <w:hideMark/>
          </w:tcPr>
          <w:p w14:paraId="67A3CD18" w14:textId="77777777" w:rsidR="00B41E61" w:rsidRPr="00E9492B" w:rsidRDefault="00B41E61" w:rsidP="00DB3CD8">
            <w:pPr>
              <w:spacing w:after="0" w:line="240" w:lineRule="auto"/>
              <w:jc w:val="center"/>
              <w:rPr>
                <w:rFonts w:eastAsia="Times New Roman" w:cs="Times New Roman"/>
                <w:color w:val="333333"/>
                <w:lang w:eastAsia="en-AU"/>
              </w:rPr>
            </w:pPr>
            <w:r>
              <w:rPr>
                <w:rFonts w:eastAsia="Times New Roman" w:cs="Times New Roman"/>
                <w:color w:val="333333"/>
                <w:lang w:eastAsia="en-AU"/>
              </w:rPr>
              <w:t>91</w:t>
            </w:r>
            <w:r w:rsidRPr="00E9492B">
              <w:rPr>
                <w:rFonts w:eastAsia="Times New Roman" w:cs="Times New Roman"/>
                <w:color w:val="333333"/>
                <w:lang w:eastAsia="en-AU"/>
              </w:rPr>
              <w:t>% up</w:t>
            </w:r>
          </w:p>
        </w:tc>
      </w:tr>
    </w:tbl>
    <w:p w14:paraId="272F82BF" w14:textId="77777777" w:rsidR="00ED4B68" w:rsidRPr="00432025" w:rsidRDefault="00ED4B68" w:rsidP="00ED4B68">
      <w:pPr>
        <w:spacing w:before="0" w:after="0"/>
        <w:rPr>
          <w:sz w:val="18"/>
          <w:szCs w:val="18"/>
        </w:rPr>
      </w:pPr>
      <w:r w:rsidRPr="00432025">
        <w:rPr>
          <w:sz w:val="18"/>
          <w:szCs w:val="18"/>
        </w:rPr>
        <w:t>* This metric aligns with the THRIVE 2030 Strategy</w:t>
      </w:r>
      <w:r w:rsidRPr="00432025">
        <w:rPr>
          <w:i/>
          <w:iCs/>
          <w:sz w:val="18"/>
          <w:szCs w:val="18"/>
        </w:rPr>
        <w:t> </w:t>
      </w:r>
      <w:r w:rsidRPr="00432025">
        <w:rPr>
          <w:sz w:val="18"/>
          <w:szCs w:val="18"/>
        </w:rPr>
        <w:t>spend targets</w:t>
      </w:r>
    </w:p>
    <w:p w14:paraId="64B79687" w14:textId="1B5CCDA5" w:rsidR="00ED4B68" w:rsidRPr="00432025" w:rsidRDefault="00ED4B68" w:rsidP="00ED4B68">
      <w:pPr>
        <w:spacing w:before="0" w:after="0"/>
        <w:rPr>
          <w:sz w:val="18"/>
          <w:szCs w:val="18"/>
        </w:rPr>
      </w:pPr>
      <w:r w:rsidRPr="00432025">
        <w:rPr>
          <w:sz w:val="18"/>
          <w:szCs w:val="18"/>
        </w:rPr>
        <w:t xml:space="preserve">** Student visa holders in Australia as </w:t>
      </w:r>
      <w:proofErr w:type="gramStart"/>
      <w:r w:rsidRPr="00432025">
        <w:rPr>
          <w:sz w:val="18"/>
          <w:szCs w:val="18"/>
        </w:rPr>
        <w:t>at</w:t>
      </w:r>
      <w:proofErr w:type="gramEnd"/>
      <w:r w:rsidRPr="00432025">
        <w:rPr>
          <w:sz w:val="18"/>
          <w:szCs w:val="18"/>
        </w:rPr>
        <w:t xml:space="preserve"> 3</w:t>
      </w:r>
      <w:r w:rsidR="00E80B35">
        <w:rPr>
          <w:sz w:val="18"/>
          <w:szCs w:val="18"/>
        </w:rPr>
        <w:t>0</w:t>
      </w:r>
      <w:r w:rsidRPr="00432025">
        <w:rPr>
          <w:sz w:val="18"/>
          <w:szCs w:val="18"/>
        </w:rPr>
        <w:t xml:space="preserve"> </w:t>
      </w:r>
      <w:r w:rsidR="00E80B35">
        <w:rPr>
          <w:sz w:val="18"/>
          <w:szCs w:val="18"/>
        </w:rPr>
        <w:t>Septe</w:t>
      </w:r>
      <w:r w:rsidRPr="00432025">
        <w:rPr>
          <w:sz w:val="18"/>
          <w:szCs w:val="18"/>
        </w:rPr>
        <w:t>mber of the relevant year.</w:t>
      </w:r>
      <w:r w:rsidR="00E80B35">
        <w:rPr>
          <w:sz w:val="18"/>
          <w:szCs w:val="18"/>
        </w:rPr>
        <w:t xml:space="preserve"> The </w:t>
      </w:r>
      <w:r w:rsidR="0039143B">
        <w:rPr>
          <w:sz w:val="18"/>
          <w:szCs w:val="18"/>
        </w:rPr>
        <w:t>number of student visa holders in Australia is higher during semester than at the end of the year, as many students return home for the summer holiday break.</w:t>
      </w:r>
    </w:p>
    <w:p w14:paraId="72169B45" w14:textId="0C1188B6" w:rsidR="00ED4B68" w:rsidRDefault="00ED4B68" w:rsidP="00CB196B">
      <w:pPr>
        <w:pStyle w:val="Heading3"/>
        <w:spacing w:before="360"/>
      </w:pPr>
      <w:bookmarkStart w:id="49" w:name="_Toc167113872"/>
      <w:r>
        <w:t>Table of supply measures</w:t>
      </w:r>
      <w:bookmarkEnd w:id="49"/>
    </w:p>
    <w:tbl>
      <w:tblPr>
        <w:tblW w:w="5059" w:type="pct"/>
        <w:tblCellMar>
          <w:top w:w="15" w:type="dxa"/>
          <w:left w:w="15" w:type="dxa"/>
          <w:bottom w:w="15" w:type="dxa"/>
          <w:right w:w="15" w:type="dxa"/>
        </w:tblCellMar>
        <w:tblLook w:val="04A0" w:firstRow="1" w:lastRow="0" w:firstColumn="1" w:lastColumn="0" w:noHBand="0" w:noVBand="1"/>
        <w:tblCaption w:val="Table of supply measures"/>
        <w:tblDescription w:val="This table lists a variety of tourism supply-side metrics as well as their definition and value in each of 2019, 2022 and 2023. It also provides the percentage change in each value between 2019 and 2023, as well as between 2022 and 2023."/>
      </w:tblPr>
      <w:tblGrid>
        <w:gridCol w:w="2124"/>
        <w:gridCol w:w="3967"/>
        <w:gridCol w:w="1702"/>
        <w:gridCol w:w="1702"/>
        <w:gridCol w:w="1702"/>
        <w:gridCol w:w="1984"/>
        <w:gridCol w:w="1984"/>
      </w:tblGrid>
      <w:tr w:rsidR="00432025" w:rsidRPr="00255177" w14:paraId="478EBE2B" w14:textId="77777777" w:rsidTr="003C1CC5">
        <w:trPr>
          <w:tblHeader/>
        </w:trPr>
        <w:tc>
          <w:tcPr>
            <w:tcW w:w="700"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536B0E39" w14:textId="77777777" w:rsidR="00685FC1" w:rsidRPr="00255177" w:rsidRDefault="00685FC1">
            <w:pPr>
              <w:rPr>
                <w:b/>
                <w:color w:val="FFFFFF" w:themeColor="background1"/>
              </w:rPr>
            </w:pPr>
            <w:r w:rsidRPr="00255177">
              <w:rPr>
                <w:b/>
                <w:color w:val="FFFFFF" w:themeColor="background1"/>
              </w:rPr>
              <w:t>Supply metric</w:t>
            </w:r>
          </w:p>
        </w:tc>
        <w:tc>
          <w:tcPr>
            <w:tcW w:w="1308"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4D0D8077" w14:textId="77777777" w:rsidR="00685FC1" w:rsidRPr="00255177" w:rsidRDefault="00685FC1">
            <w:pPr>
              <w:rPr>
                <w:b/>
                <w:color w:val="FFFFFF" w:themeColor="background1"/>
              </w:rPr>
            </w:pPr>
            <w:r w:rsidRPr="00255177">
              <w:rPr>
                <w:b/>
                <w:color w:val="FFFFFF" w:themeColor="background1"/>
              </w:rPr>
              <w:t>Description</w:t>
            </w:r>
          </w:p>
        </w:tc>
        <w:tc>
          <w:tcPr>
            <w:tcW w:w="561"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1A063451" w14:textId="77777777" w:rsidR="00685FC1" w:rsidRPr="00255177" w:rsidRDefault="00685FC1" w:rsidP="00685FC1">
            <w:pPr>
              <w:rPr>
                <w:b/>
                <w:color w:val="FFFFFF" w:themeColor="background1"/>
              </w:rPr>
            </w:pPr>
            <w:r w:rsidRPr="00255177">
              <w:rPr>
                <w:b/>
                <w:color w:val="FFFFFF" w:themeColor="background1"/>
              </w:rPr>
              <w:t>2019 value</w:t>
            </w:r>
          </w:p>
        </w:tc>
        <w:tc>
          <w:tcPr>
            <w:tcW w:w="561" w:type="pct"/>
            <w:tcBorders>
              <w:top w:val="single" w:sz="2" w:space="0" w:color="auto"/>
              <w:left w:val="single" w:sz="2" w:space="0" w:color="auto"/>
              <w:bottom w:val="single" w:sz="6" w:space="0" w:color="auto"/>
              <w:right w:val="single" w:sz="2" w:space="0" w:color="auto"/>
            </w:tcBorders>
            <w:shd w:val="clear" w:color="auto" w:fill="2E1A47" w:themeFill="accent2"/>
            <w:vAlign w:val="center"/>
          </w:tcPr>
          <w:p w14:paraId="435DAC4C" w14:textId="673E45B3" w:rsidR="00685FC1" w:rsidRPr="00255177" w:rsidRDefault="00685FC1" w:rsidP="00685FC1">
            <w:pPr>
              <w:rPr>
                <w:b/>
                <w:color w:val="FFFFFF" w:themeColor="background1"/>
              </w:rPr>
            </w:pPr>
            <w:r w:rsidRPr="00255177">
              <w:rPr>
                <w:b/>
                <w:color w:val="FFFFFF" w:themeColor="background1"/>
              </w:rPr>
              <w:t>20</w:t>
            </w:r>
            <w:r>
              <w:rPr>
                <w:b/>
                <w:color w:val="FFFFFF" w:themeColor="background1"/>
              </w:rPr>
              <w:t>22</w:t>
            </w:r>
            <w:r w:rsidRPr="00255177">
              <w:rPr>
                <w:b/>
                <w:color w:val="FFFFFF" w:themeColor="background1"/>
              </w:rPr>
              <w:t xml:space="preserve"> value</w:t>
            </w:r>
          </w:p>
        </w:tc>
        <w:tc>
          <w:tcPr>
            <w:tcW w:w="561"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7B11CE28" w14:textId="05204E04" w:rsidR="00685FC1" w:rsidRPr="00255177" w:rsidRDefault="00685FC1">
            <w:pPr>
              <w:rPr>
                <w:b/>
                <w:color w:val="FFFFFF" w:themeColor="background1"/>
              </w:rPr>
            </w:pPr>
            <w:r w:rsidRPr="00255177">
              <w:rPr>
                <w:b/>
                <w:color w:val="FFFFFF" w:themeColor="background1"/>
              </w:rPr>
              <w:t>202</w:t>
            </w:r>
            <w:r>
              <w:rPr>
                <w:b/>
                <w:color w:val="FFFFFF" w:themeColor="background1"/>
              </w:rPr>
              <w:t>3</w:t>
            </w:r>
            <w:r w:rsidRPr="00255177">
              <w:rPr>
                <w:b/>
                <w:color w:val="FFFFFF" w:themeColor="background1"/>
              </w:rPr>
              <w:t xml:space="preserve"> value</w:t>
            </w:r>
          </w:p>
        </w:tc>
        <w:tc>
          <w:tcPr>
            <w:tcW w:w="654"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751EC05A" w14:textId="2551F8CB" w:rsidR="00685FC1" w:rsidRPr="00255177" w:rsidRDefault="00685FC1" w:rsidP="00240780">
            <w:pPr>
              <w:spacing w:before="0" w:after="0"/>
              <w:rPr>
                <w:b/>
                <w:color w:val="FFFFFF" w:themeColor="background1"/>
              </w:rPr>
            </w:pPr>
            <w:r w:rsidRPr="00255177">
              <w:rPr>
                <w:b/>
                <w:color w:val="FFFFFF" w:themeColor="background1"/>
              </w:rPr>
              <w:t xml:space="preserve">Change </w:t>
            </w:r>
            <w:r>
              <w:rPr>
                <w:b/>
                <w:bCs/>
                <w:color w:val="FFFFFF" w:themeColor="background1"/>
              </w:rPr>
              <w:t>between</w:t>
            </w:r>
            <w:r w:rsidRPr="00255177">
              <w:rPr>
                <w:b/>
                <w:color w:val="FFFFFF" w:themeColor="background1"/>
              </w:rPr>
              <w:t xml:space="preserve"> 2019 </w:t>
            </w:r>
            <w:r>
              <w:rPr>
                <w:b/>
                <w:bCs/>
                <w:color w:val="FFFFFF" w:themeColor="background1"/>
              </w:rPr>
              <w:t>and 2023</w:t>
            </w:r>
          </w:p>
        </w:tc>
        <w:tc>
          <w:tcPr>
            <w:tcW w:w="654" w:type="pct"/>
            <w:tcBorders>
              <w:top w:val="single" w:sz="2" w:space="0" w:color="auto"/>
              <w:left w:val="single" w:sz="2" w:space="0" w:color="auto"/>
              <w:bottom w:val="single" w:sz="6" w:space="0" w:color="auto"/>
              <w:right w:val="single" w:sz="2" w:space="0" w:color="auto"/>
            </w:tcBorders>
            <w:shd w:val="clear" w:color="auto" w:fill="2E1A47" w:themeFill="accent2"/>
            <w:vAlign w:val="center"/>
            <w:hideMark/>
          </w:tcPr>
          <w:p w14:paraId="37C62539" w14:textId="7582B4D7" w:rsidR="00685FC1" w:rsidRPr="00255177" w:rsidRDefault="00685FC1">
            <w:pPr>
              <w:rPr>
                <w:b/>
                <w:color w:val="FFFFFF" w:themeColor="background1"/>
              </w:rPr>
            </w:pPr>
            <w:r w:rsidRPr="00255177">
              <w:rPr>
                <w:b/>
                <w:color w:val="FFFFFF" w:themeColor="background1"/>
              </w:rPr>
              <w:t xml:space="preserve">Change </w:t>
            </w:r>
            <w:r>
              <w:rPr>
                <w:b/>
                <w:bCs/>
                <w:color w:val="FFFFFF" w:themeColor="background1"/>
              </w:rPr>
              <w:t>between</w:t>
            </w:r>
            <w:r w:rsidRPr="00255177">
              <w:rPr>
                <w:b/>
                <w:color w:val="FFFFFF" w:themeColor="background1"/>
              </w:rPr>
              <w:t xml:space="preserve"> 202</w:t>
            </w:r>
            <w:r>
              <w:rPr>
                <w:b/>
                <w:color w:val="FFFFFF" w:themeColor="background1"/>
              </w:rPr>
              <w:t>2</w:t>
            </w:r>
            <w:r>
              <w:rPr>
                <w:b/>
                <w:bCs/>
                <w:color w:val="FFFFFF" w:themeColor="background1"/>
              </w:rPr>
              <w:t xml:space="preserve"> and 2023</w:t>
            </w:r>
          </w:p>
        </w:tc>
      </w:tr>
      <w:tr w:rsidR="00685FC1" w:rsidRPr="00196380" w14:paraId="037325F6"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4A2255E1" w14:textId="77777777" w:rsidR="00685FC1" w:rsidRPr="00196380" w:rsidRDefault="00685FC1">
            <w:pPr>
              <w:rPr>
                <w:lang w:eastAsia="en-AU"/>
              </w:rPr>
            </w:pPr>
            <w:r w:rsidRPr="00196380">
              <w:rPr>
                <w:lang w:eastAsia="en-AU"/>
              </w:rPr>
              <w:t>Accommodation rooms</w:t>
            </w:r>
          </w:p>
        </w:tc>
        <w:tc>
          <w:tcPr>
            <w:tcW w:w="1308" w:type="pct"/>
            <w:tcBorders>
              <w:left w:val="single" w:sz="2" w:space="0" w:color="auto"/>
              <w:bottom w:val="single" w:sz="6" w:space="0" w:color="auto"/>
              <w:right w:val="single" w:sz="2" w:space="0" w:color="auto"/>
            </w:tcBorders>
            <w:hideMark/>
          </w:tcPr>
          <w:p w14:paraId="224585E9" w14:textId="3EF661D3" w:rsidR="00685FC1" w:rsidRPr="00432025" w:rsidRDefault="00685FC1" w:rsidP="00240780">
            <w:pPr>
              <w:spacing w:before="0" w:after="0"/>
              <w:rPr>
                <w:sz w:val="18"/>
                <w:szCs w:val="18"/>
                <w:lang w:eastAsia="en-AU"/>
              </w:rPr>
            </w:pPr>
            <w:r w:rsidRPr="00432025">
              <w:rPr>
                <w:sz w:val="18"/>
                <w:szCs w:val="18"/>
                <w:lang w:eastAsia="en-AU"/>
              </w:rPr>
              <w:t>Total number of rooms available in accommodation establishments with 10</w:t>
            </w:r>
            <w:r w:rsidR="00312D9E">
              <w:rPr>
                <w:sz w:val="18"/>
                <w:szCs w:val="18"/>
                <w:lang w:eastAsia="en-AU"/>
              </w:rPr>
              <w:t> </w:t>
            </w:r>
            <w:r w:rsidRPr="00432025">
              <w:rPr>
                <w:sz w:val="18"/>
                <w:szCs w:val="18"/>
                <w:lang w:eastAsia="en-AU"/>
              </w:rPr>
              <w:t xml:space="preserve">rooms or more (as </w:t>
            </w:r>
            <w:proofErr w:type="gramStart"/>
            <w:r w:rsidRPr="00432025">
              <w:rPr>
                <w:sz w:val="18"/>
                <w:szCs w:val="18"/>
                <w:lang w:eastAsia="en-AU"/>
              </w:rPr>
              <w:t>at</w:t>
            </w:r>
            <w:proofErr w:type="gramEnd"/>
            <w:r w:rsidRPr="00432025">
              <w:rPr>
                <w:sz w:val="18"/>
                <w:szCs w:val="18"/>
                <w:lang w:eastAsia="en-AU"/>
              </w:rPr>
              <w:t xml:space="preserve"> December)</w:t>
            </w:r>
          </w:p>
        </w:tc>
        <w:tc>
          <w:tcPr>
            <w:tcW w:w="561" w:type="pct"/>
            <w:tcBorders>
              <w:left w:val="single" w:sz="2" w:space="0" w:color="auto"/>
              <w:bottom w:val="single" w:sz="6" w:space="0" w:color="auto"/>
              <w:right w:val="single" w:sz="2" w:space="0" w:color="auto"/>
            </w:tcBorders>
            <w:hideMark/>
          </w:tcPr>
          <w:p w14:paraId="602F0812" w14:textId="77777777" w:rsidR="00685FC1" w:rsidRPr="00196380" w:rsidRDefault="00685FC1" w:rsidP="00DB3CD8">
            <w:pPr>
              <w:rPr>
                <w:lang w:eastAsia="en-AU"/>
              </w:rPr>
            </w:pPr>
            <w:r w:rsidRPr="00196380">
              <w:rPr>
                <w:lang w:eastAsia="en-AU"/>
              </w:rPr>
              <w:t>304.9 thousand</w:t>
            </w:r>
          </w:p>
        </w:tc>
        <w:tc>
          <w:tcPr>
            <w:tcW w:w="561" w:type="pct"/>
            <w:tcBorders>
              <w:left w:val="single" w:sz="2" w:space="0" w:color="auto"/>
              <w:bottom w:val="single" w:sz="6" w:space="0" w:color="auto"/>
              <w:right w:val="single" w:sz="2" w:space="0" w:color="auto"/>
            </w:tcBorders>
          </w:tcPr>
          <w:p w14:paraId="2DA2FDDF" w14:textId="2C845A7A" w:rsidR="00685FC1" w:rsidRDefault="00B21094" w:rsidP="00DB3CD8">
            <w:pPr>
              <w:rPr>
                <w:lang w:eastAsia="en-AU"/>
              </w:rPr>
            </w:pPr>
            <w:r>
              <w:rPr>
                <w:lang w:eastAsia="en-AU"/>
              </w:rPr>
              <w:t>316.</w:t>
            </w:r>
            <w:r w:rsidR="00D11D69">
              <w:rPr>
                <w:lang w:eastAsia="en-AU"/>
              </w:rPr>
              <w:t>1</w:t>
            </w:r>
            <w:r w:rsidRPr="00196380">
              <w:rPr>
                <w:lang w:eastAsia="en-AU"/>
              </w:rPr>
              <w:t xml:space="preserve"> thousand</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07557EDF" w14:textId="21ED0EE7" w:rsidR="00685FC1" w:rsidRPr="00196380" w:rsidRDefault="00685FC1" w:rsidP="00DB3CD8">
            <w:pPr>
              <w:rPr>
                <w:lang w:eastAsia="en-AU"/>
              </w:rPr>
            </w:pPr>
            <w:r>
              <w:rPr>
                <w:lang w:eastAsia="en-AU"/>
              </w:rPr>
              <w:t>328.</w:t>
            </w:r>
            <w:r w:rsidR="001F1FDF">
              <w:rPr>
                <w:lang w:eastAsia="en-AU"/>
              </w:rPr>
              <w:t>5</w:t>
            </w:r>
            <w:r w:rsidRPr="00196380">
              <w:rPr>
                <w:lang w:eastAsia="en-AU"/>
              </w:rPr>
              <w:t xml:space="preserve"> thousand</w:t>
            </w:r>
          </w:p>
        </w:tc>
        <w:tc>
          <w:tcPr>
            <w:tcW w:w="654" w:type="pct"/>
            <w:tcBorders>
              <w:left w:val="single" w:sz="2" w:space="0" w:color="auto"/>
              <w:bottom w:val="single" w:sz="6" w:space="0" w:color="auto"/>
              <w:right w:val="single" w:sz="2" w:space="0" w:color="auto"/>
            </w:tcBorders>
            <w:hideMark/>
          </w:tcPr>
          <w:p w14:paraId="75F0ECCD" w14:textId="77777777" w:rsidR="00685FC1" w:rsidRPr="00196380" w:rsidRDefault="00685FC1" w:rsidP="00DB3CD8">
            <w:pPr>
              <w:jc w:val="center"/>
              <w:rPr>
                <w:lang w:eastAsia="en-AU"/>
              </w:rPr>
            </w:pPr>
            <w:r>
              <w:rPr>
                <w:lang w:eastAsia="en-AU"/>
              </w:rPr>
              <w:t>8</w:t>
            </w:r>
            <w:r w:rsidRPr="00196380">
              <w:rPr>
                <w:lang w:eastAsia="en-AU"/>
              </w:rPr>
              <w:t>% up</w:t>
            </w:r>
          </w:p>
        </w:tc>
        <w:tc>
          <w:tcPr>
            <w:tcW w:w="654" w:type="pct"/>
            <w:tcBorders>
              <w:left w:val="single" w:sz="2" w:space="0" w:color="auto"/>
              <w:bottom w:val="single" w:sz="6" w:space="0" w:color="auto"/>
              <w:right w:val="single" w:sz="2" w:space="0" w:color="auto"/>
            </w:tcBorders>
            <w:hideMark/>
          </w:tcPr>
          <w:p w14:paraId="36B972BA" w14:textId="77777777" w:rsidR="00685FC1" w:rsidRPr="00196380" w:rsidRDefault="00685FC1" w:rsidP="00DB3CD8">
            <w:pPr>
              <w:jc w:val="center"/>
              <w:rPr>
                <w:lang w:eastAsia="en-AU"/>
              </w:rPr>
            </w:pPr>
            <w:r w:rsidRPr="00196380">
              <w:rPr>
                <w:lang w:eastAsia="en-AU"/>
              </w:rPr>
              <w:t>4% up</w:t>
            </w:r>
          </w:p>
        </w:tc>
      </w:tr>
      <w:tr w:rsidR="00685FC1" w:rsidRPr="00196380" w14:paraId="2E854AC6"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7384006B" w14:textId="77777777" w:rsidR="00685FC1" w:rsidRPr="00196380" w:rsidRDefault="00685FC1">
            <w:pPr>
              <w:rPr>
                <w:lang w:eastAsia="en-AU"/>
              </w:rPr>
            </w:pPr>
            <w:r w:rsidRPr="00196380">
              <w:rPr>
                <w:lang w:eastAsia="en-AU"/>
              </w:rPr>
              <w:t>Accommodation occupancy</w:t>
            </w:r>
          </w:p>
        </w:tc>
        <w:tc>
          <w:tcPr>
            <w:tcW w:w="1308" w:type="pct"/>
            <w:tcBorders>
              <w:left w:val="single" w:sz="2" w:space="0" w:color="auto"/>
              <w:bottom w:val="single" w:sz="6" w:space="0" w:color="auto"/>
              <w:right w:val="single" w:sz="2" w:space="0" w:color="auto"/>
            </w:tcBorders>
            <w:hideMark/>
          </w:tcPr>
          <w:p w14:paraId="2A10EF99" w14:textId="336226E0" w:rsidR="00685FC1" w:rsidRPr="00432025" w:rsidRDefault="00685FC1" w:rsidP="00240780">
            <w:pPr>
              <w:spacing w:before="0" w:after="0"/>
              <w:rPr>
                <w:sz w:val="18"/>
                <w:szCs w:val="18"/>
                <w:lang w:eastAsia="en-AU"/>
              </w:rPr>
            </w:pPr>
            <w:r w:rsidRPr="00432025">
              <w:rPr>
                <w:sz w:val="18"/>
                <w:szCs w:val="18"/>
                <w:lang w:eastAsia="en-AU"/>
              </w:rPr>
              <w:t>Percentage of rooms sold, or occupied in establishments of 10 rooms or more (</w:t>
            </w:r>
            <w:r w:rsidR="003E6014">
              <w:rPr>
                <w:sz w:val="18"/>
                <w:szCs w:val="18"/>
                <w:lang w:eastAsia="en-AU"/>
              </w:rPr>
              <w:t>average for the year</w:t>
            </w:r>
            <w:r w:rsidRPr="00432025">
              <w:rPr>
                <w:sz w:val="18"/>
                <w:szCs w:val="18"/>
                <w:lang w:eastAsia="en-AU"/>
              </w:rPr>
              <w:t>)</w:t>
            </w:r>
          </w:p>
        </w:tc>
        <w:tc>
          <w:tcPr>
            <w:tcW w:w="561" w:type="pct"/>
            <w:tcBorders>
              <w:left w:val="single" w:sz="2" w:space="0" w:color="auto"/>
              <w:bottom w:val="single" w:sz="6" w:space="0" w:color="auto"/>
              <w:right w:val="single" w:sz="2" w:space="0" w:color="auto"/>
            </w:tcBorders>
            <w:hideMark/>
          </w:tcPr>
          <w:p w14:paraId="66C49B9E" w14:textId="1C4B02B1" w:rsidR="00685FC1" w:rsidRPr="00196380" w:rsidRDefault="006E0559" w:rsidP="00DB3CD8">
            <w:pPr>
              <w:rPr>
                <w:lang w:eastAsia="en-AU"/>
              </w:rPr>
            </w:pPr>
            <w:r>
              <w:rPr>
                <w:lang w:eastAsia="en-AU"/>
              </w:rPr>
              <w:t>74.0</w:t>
            </w:r>
            <w:r w:rsidR="00685FC1" w:rsidRPr="00196380">
              <w:rPr>
                <w:lang w:eastAsia="en-AU"/>
              </w:rPr>
              <w:t>%</w:t>
            </w:r>
          </w:p>
        </w:tc>
        <w:tc>
          <w:tcPr>
            <w:tcW w:w="561" w:type="pct"/>
            <w:tcBorders>
              <w:left w:val="single" w:sz="2" w:space="0" w:color="auto"/>
              <w:bottom w:val="single" w:sz="6" w:space="0" w:color="auto"/>
              <w:right w:val="single" w:sz="2" w:space="0" w:color="auto"/>
            </w:tcBorders>
          </w:tcPr>
          <w:p w14:paraId="3A4DC6A5" w14:textId="1BA672E2" w:rsidR="00685FC1" w:rsidRDefault="006E0559" w:rsidP="00DB3CD8">
            <w:pPr>
              <w:rPr>
                <w:lang w:eastAsia="en-AU"/>
              </w:rPr>
            </w:pPr>
            <w:r>
              <w:rPr>
                <w:lang w:eastAsia="en-AU"/>
              </w:rPr>
              <w:t>65.5</w:t>
            </w:r>
            <w:r w:rsidR="00D11D69" w:rsidRPr="00196380">
              <w:rPr>
                <w:lang w:eastAsia="en-AU"/>
              </w:rPr>
              <w:t>%</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1F92F0D7" w14:textId="68A9ACAA" w:rsidR="00685FC1" w:rsidRPr="00196380" w:rsidRDefault="006E0559" w:rsidP="00DB3CD8">
            <w:pPr>
              <w:rPr>
                <w:lang w:eastAsia="en-AU"/>
              </w:rPr>
            </w:pPr>
            <w:r>
              <w:rPr>
                <w:lang w:eastAsia="en-AU"/>
              </w:rPr>
              <w:t>69.8</w:t>
            </w:r>
            <w:r w:rsidR="00685FC1" w:rsidRPr="00196380">
              <w:rPr>
                <w:lang w:eastAsia="en-AU"/>
              </w:rPr>
              <w:t>%</w:t>
            </w:r>
          </w:p>
        </w:tc>
        <w:tc>
          <w:tcPr>
            <w:tcW w:w="654" w:type="pct"/>
            <w:tcBorders>
              <w:left w:val="single" w:sz="2" w:space="0" w:color="auto"/>
              <w:bottom w:val="single" w:sz="6" w:space="0" w:color="auto"/>
              <w:right w:val="single" w:sz="2" w:space="0" w:color="auto"/>
            </w:tcBorders>
            <w:hideMark/>
          </w:tcPr>
          <w:p w14:paraId="632E25EB" w14:textId="1EB0DB9F" w:rsidR="00685FC1" w:rsidRPr="00196380" w:rsidRDefault="00B92B02" w:rsidP="00DB3CD8">
            <w:pPr>
              <w:jc w:val="center"/>
              <w:rPr>
                <w:lang w:eastAsia="en-AU"/>
              </w:rPr>
            </w:pPr>
            <w:r>
              <w:rPr>
                <w:lang w:eastAsia="en-AU"/>
              </w:rPr>
              <w:t>4</w:t>
            </w:r>
            <w:r w:rsidR="009A2A79">
              <w:rPr>
                <w:lang w:eastAsia="en-AU"/>
              </w:rPr>
              <w:t>.3</w:t>
            </w:r>
            <w:r w:rsidR="00685FC1" w:rsidRPr="00196380">
              <w:rPr>
                <w:lang w:eastAsia="en-AU"/>
              </w:rPr>
              <w:t xml:space="preserve"> percentage points (ppts) </w:t>
            </w:r>
            <w:r w:rsidR="009A2A79">
              <w:rPr>
                <w:lang w:eastAsia="en-AU"/>
              </w:rPr>
              <w:t>down</w:t>
            </w:r>
          </w:p>
        </w:tc>
        <w:tc>
          <w:tcPr>
            <w:tcW w:w="654" w:type="pct"/>
            <w:tcBorders>
              <w:left w:val="single" w:sz="2" w:space="0" w:color="auto"/>
              <w:bottom w:val="single" w:sz="6" w:space="0" w:color="auto"/>
              <w:right w:val="single" w:sz="2" w:space="0" w:color="auto"/>
            </w:tcBorders>
            <w:hideMark/>
          </w:tcPr>
          <w:p w14:paraId="7C71A2F3" w14:textId="166E3E3D" w:rsidR="00685FC1" w:rsidRPr="00196380" w:rsidRDefault="00B92B02" w:rsidP="00DB3CD8">
            <w:pPr>
              <w:jc w:val="center"/>
              <w:rPr>
                <w:lang w:eastAsia="en-AU"/>
              </w:rPr>
            </w:pPr>
            <w:r>
              <w:rPr>
                <w:lang w:eastAsia="en-AU"/>
              </w:rPr>
              <w:t>4.3</w:t>
            </w:r>
            <w:r w:rsidR="00685FC1" w:rsidRPr="00196380">
              <w:rPr>
                <w:lang w:eastAsia="en-AU"/>
              </w:rPr>
              <w:t>ppts up</w:t>
            </w:r>
          </w:p>
        </w:tc>
      </w:tr>
      <w:tr w:rsidR="00685FC1" w:rsidRPr="00196380" w14:paraId="5B068E64"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4A926991" w14:textId="77777777" w:rsidR="00685FC1" w:rsidRPr="00196380" w:rsidRDefault="00685FC1">
            <w:pPr>
              <w:rPr>
                <w:lang w:eastAsia="en-AU"/>
              </w:rPr>
            </w:pPr>
            <w:r w:rsidRPr="00196380">
              <w:rPr>
                <w:lang w:eastAsia="en-AU"/>
              </w:rPr>
              <w:lastRenderedPageBreak/>
              <w:t>International aviation seats</w:t>
            </w:r>
          </w:p>
        </w:tc>
        <w:tc>
          <w:tcPr>
            <w:tcW w:w="1308" w:type="pct"/>
            <w:tcBorders>
              <w:left w:val="single" w:sz="2" w:space="0" w:color="auto"/>
              <w:bottom w:val="single" w:sz="6" w:space="0" w:color="auto"/>
              <w:right w:val="single" w:sz="2" w:space="0" w:color="auto"/>
            </w:tcBorders>
            <w:hideMark/>
          </w:tcPr>
          <w:p w14:paraId="6DE8BF22" w14:textId="77777777" w:rsidR="00685FC1" w:rsidRPr="00432025" w:rsidRDefault="00685FC1" w:rsidP="00240780">
            <w:pPr>
              <w:spacing w:before="0" w:after="0"/>
              <w:rPr>
                <w:sz w:val="18"/>
                <w:szCs w:val="18"/>
                <w:lang w:eastAsia="en-AU"/>
              </w:rPr>
            </w:pPr>
            <w:r w:rsidRPr="00432025">
              <w:rPr>
                <w:sz w:val="18"/>
                <w:szCs w:val="18"/>
                <w:lang w:eastAsia="en-AU"/>
              </w:rPr>
              <w:t>Total number of seats available on flights to Australia</w:t>
            </w:r>
          </w:p>
        </w:tc>
        <w:tc>
          <w:tcPr>
            <w:tcW w:w="561" w:type="pct"/>
            <w:tcBorders>
              <w:left w:val="single" w:sz="2" w:space="0" w:color="auto"/>
              <w:bottom w:val="single" w:sz="6" w:space="0" w:color="auto"/>
              <w:right w:val="single" w:sz="2" w:space="0" w:color="auto"/>
            </w:tcBorders>
            <w:hideMark/>
          </w:tcPr>
          <w:p w14:paraId="14F964EE" w14:textId="77777777" w:rsidR="00685FC1" w:rsidRPr="00196380" w:rsidRDefault="00685FC1" w:rsidP="00DB3CD8">
            <w:pPr>
              <w:rPr>
                <w:lang w:eastAsia="en-AU"/>
              </w:rPr>
            </w:pPr>
            <w:r w:rsidRPr="00196380">
              <w:rPr>
                <w:lang w:eastAsia="en-AU"/>
              </w:rPr>
              <w:t>26.8 million</w:t>
            </w:r>
          </w:p>
        </w:tc>
        <w:tc>
          <w:tcPr>
            <w:tcW w:w="561" w:type="pct"/>
            <w:tcBorders>
              <w:left w:val="single" w:sz="2" w:space="0" w:color="auto"/>
              <w:bottom w:val="single" w:sz="6" w:space="0" w:color="auto"/>
              <w:right w:val="single" w:sz="2" w:space="0" w:color="auto"/>
            </w:tcBorders>
          </w:tcPr>
          <w:p w14:paraId="108AFC83" w14:textId="0DD5C81B" w:rsidR="00685FC1" w:rsidRDefault="004F6781" w:rsidP="00DB3CD8">
            <w:pPr>
              <w:rPr>
                <w:lang w:eastAsia="en-AU"/>
              </w:rPr>
            </w:pPr>
            <w:r>
              <w:rPr>
                <w:lang w:eastAsia="en-AU"/>
              </w:rPr>
              <w:t>12.2</w:t>
            </w:r>
            <w:r w:rsidRPr="00196380">
              <w:rPr>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3EA1AF64" w14:textId="7B51EA00" w:rsidR="00685FC1" w:rsidRPr="00196380" w:rsidRDefault="00685FC1" w:rsidP="00DB3CD8">
            <w:pPr>
              <w:rPr>
                <w:lang w:eastAsia="en-AU"/>
              </w:rPr>
            </w:pPr>
            <w:r>
              <w:rPr>
                <w:lang w:eastAsia="en-AU"/>
              </w:rPr>
              <w:t>22.6</w:t>
            </w:r>
            <w:r w:rsidRPr="00196380">
              <w:rPr>
                <w:lang w:eastAsia="en-AU"/>
              </w:rPr>
              <w:t xml:space="preserve"> million</w:t>
            </w:r>
          </w:p>
        </w:tc>
        <w:tc>
          <w:tcPr>
            <w:tcW w:w="654" w:type="pct"/>
            <w:tcBorders>
              <w:left w:val="single" w:sz="2" w:space="0" w:color="auto"/>
              <w:bottom w:val="single" w:sz="6" w:space="0" w:color="auto"/>
              <w:right w:val="single" w:sz="2" w:space="0" w:color="auto"/>
            </w:tcBorders>
            <w:hideMark/>
          </w:tcPr>
          <w:p w14:paraId="5BD25A41" w14:textId="77777777" w:rsidR="00685FC1" w:rsidRPr="00196380" w:rsidRDefault="00685FC1" w:rsidP="00DB3CD8">
            <w:pPr>
              <w:jc w:val="center"/>
              <w:rPr>
                <w:lang w:eastAsia="en-AU"/>
              </w:rPr>
            </w:pPr>
            <w:r w:rsidRPr="00196380">
              <w:rPr>
                <w:lang w:eastAsia="en-AU"/>
              </w:rPr>
              <w:t>-</w:t>
            </w:r>
            <w:r>
              <w:rPr>
                <w:lang w:eastAsia="en-AU"/>
              </w:rPr>
              <w:t>16</w:t>
            </w:r>
            <w:r w:rsidRPr="00196380">
              <w:rPr>
                <w:lang w:eastAsia="en-AU"/>
              </w:rPr>
              <w:t>% down</w:t>
            </w:r>
          </w:p>
        </w:tc>
        <w:tc>
          <w:tcPr>
            <w:tcW w:w="654" w:type="pct"/>
            <w:tcBorders>
              <w:left w:val="single" w:sz="2" w:space="0" w:color="auto"/>
              <w:bottom w:val="single" w:sz="6" w:space="0" w:color="auto"/>
              <w:right w:val="single" w:sz="2" w:space="0" w:color="auto"/>
            </w:tcBorders>
            <w:hideMark/>
          </w:tcPr>
          <w:p w14:paraId="2FDD6208" w14:textId="77777777" w:rsidR="00685FC1" w:rsidRPr="00196380" w:rsidRDefault="00685FC1" w:rsidP="00DB3CD8">
            <w:pPr>
              <w:jc w:val="center"/>
              <w:rPr>
                <w:lang w:eastAsia="en-AU"/>
              </w:rPr>
            </w:pPr>
            <w:r>
              <w:rPr>
                <w:lang w:eastAsia="en-AU"/>
              </w:rPr>
              <w:t>85</w:t>
            </w:r>
            <w:r w:rsidRPr="00196380">
              <w:rPr>
                <w:lang w:eastAsia="en-AU"/>
              </w:rPr>
              <w:t>% up</w:t>
            </w:r>
          </w:p>
        </w:tc>
      </w:tr>
      <w:tr w:rsidR="00685FC1" w:rsidRPr="00196380" w14:paraId="0DFCBC71"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25918917" w14:textId="77777777" w:rsidR="00685FC1" w:rsidRPr="00196380" w:rsidRDefault="00685FC1">
            <w:pPr>
              <w:rPr>
                <w:lang w:eastAsia="en-AU"/>
              </w:rPr>
            </w:pPr>
            <w:r w:rsidRPr="00196380">
              <w:rPr>
                <w:lang w:eastAsia="en-AU"/>
              </w:rPr>
              <w:t>International aviation load factor</w:t>
            </w:r>
          </w:p>
        </w:tc>
        <w:tc>
          <w:tcPr>
            <w:tcW w:w="1308" w:type="pct"/>
            <w:tcBorders>
              <w:left w:val="single" w:sz="2" w:space="0" w:color="auto"/>
              <w:bottom w:val="single" w:sz="6" w:space="0" w:color="auto"/>
              <w:right w:val="single" w:sz="2" w:space="0" w:color="auto"/>
            </w:tcBorders>
            <w:hideMark/>
          </w:tcPr>
          <w:p w14:paraId="5B450D5F" w14:textId="77777777" w:rsidR="00685FC1" w:rsidRPr="00432025" w:rsidRDefault="00685FC1" w:rsidP="00240780">
            <w:pPr>
              <w:spacing w:before="0" w:after="0"/>
              <w:rPr>
                <w:sz w:val="18"/>
                <w:szCs w:val="18"/>
                <w:lang w:eastAsia="en-AU"/>
              </w:rPr>
            </w:pPr>
            <w:r w:rsidRPr="00432025">
              <w:rPr>
                <w:sz w:val="18"/>
                <w:szCs w:val="18"/>
                <w:lang w:eastAsia="en-AU"/>
              </w:rPr>
              <w:t>Percentage of seats on flights into Australia occupied by revenue passengers</w:t>
            </w:r>
          </w:p>
        </w:tc>
        <w:tc>
          <w:tcPr>
            <w:tcW w:w="561" w:type="pct"/>
            <w:tcBorders>
              <w:left w:val="single" w:sz="2" w:space="0" w:color="auto"/>
              <w:bottom w:val="single" w:sz="6" w:space="0" w:color="auto"/>
              <w:right w:val="single" w:sz="2" w:space="0" w:color="auto"/>
            </w:tcBorders>
            <w:hideMark/>
          </w:tcPr>
          <w:p w14:paraId="031EE370" w14:textId="77777777" w:rsidR="00685FC1" w:rsidRPr="00196380" w:rsidRDefault="00685FC1" w:rsidP="00DB3CD8">
            <w:pPr>
              <w:rPr>
                <w:lang w:eastAsia="en-AU"/>
              </w:rPr>
            </w:pPr>
            <w:r w:rsidRPr="00196380">
              <w:rPr>
                <w:lang w:eastAsia="en-AU"/>
              </w:rPr>
              <w:t>81.7%</w:t>
            </w:r>
          </w:p>
        </w:tc>
        <w:tc>
          <w:tcPr>
            <w:tcW w:w="561" w:type="pct"/>
            <w:tcBorders>
              <w:left w:val="single" w:sz="2" w:space="0" w:color="auto"/>
              <w:bottom w:val="single" w:sz="6" w:space="0" w:color="auto"/>
              <w:right w:val="single" w:sz="2" w:space="0" w:color="auto"/>
            </w:tcBorders>
          </w:tcPr>
          <w:p w14:paraId="5BC0674F" w14:textId="4C3D8101" w:rsidR="00685FC1" w:rsidRPr="00196380" w:rsidRDefault="00430173" w:rsidP="00DB3CD8">
            <w:pPr>
              <w:rPr>
                <w:lang w:eastAsia="en-AU"/>
              </w:rPr>
            </w:pPr>
            <w:r w:rsidRPr="00196380">
              <w:rPr>
                <w:lang w:eastAsia="en-AU"/>
              </w:rPr>
              <w:t>8</w:t>
            </w:r>
            <w:r>
              <w:rPr>
                <w:lang w:eastAsia="en-AU"/>
              </w:rPr>
              <w:t>0.4</w:t>
            </w:r>
            <w:r w:rsidRPr="00196380">
              <w:rPr>
                <w:lang w:eastAsia="en-AU"/>
              </w:rPr>
              <w:t>%</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5307DEB5" w14:textId="77178118" w:rsidR="00685FC1" w:rsidRPr="00196380" w:rsidRDefault="00685FC1" w:rsidP="00DB3CD8">
            <w:pPr>
              <w:rPr>
                <w:lang w:eastAsia="en-AU"/>
              </w:rPr>
            </w:pPr>
            <w:r w:rsidRPr="00196380">
              <w:rPr>
                <w:lang w:eastAsia="en-AU"/>
              </w:rPr>
              <w:t>8</w:t>
            </w:r>
            <w:r>
              <w:rPr>
                <w:lang w:eastAsia="en-AU"/>
              </w:rPr>
              <w:t>2</w:t>
            </w:r>
            <w:r w:rsidRPr="00196380">
              <w:rPr>
                <w:lang w:eastAsia="en-AU"/>
              </w:rPr>
              <w:t>.</w:t>
            </w:r>
            <w:r>
              <w:rPr>
                <w:lang w:eastAsia="en-AU"/>
              </w:rPr>
              <w:t>1</w:t>
            </w:r>
            <w:r w:rsidRPr="00196380">
              <w:rPr>
                <w:lang w:eastAsia="en-AU"/>
              </w:rPr>
              <w:t>%</w:t>
            </w:r>
          </w:p>
        </w:tc>
        <w:tc>
          <w:tcPr>
            <w:tcW w:w="654" w:type="pct"/>
            <w:tcBorders>
              <w:left w:val="single" w:sz="2" w:space="0" w:color="auto"/>
              <w:bottom w:val="single" w:sz="6" w:space="0" w:color="auto"/>
              <w:right w:val="single" w:sz="2" w:space="0" w:color="auto"/>
            </w:tcBorders>
            <w:hideMark/>
          </w:tcPr>
          <w:p w14:paraId="6FF7A73C" w14:textId="77777777" w:rsidR="00685FC1" w:rsidRPr="00196380" w:rsidRDefault="00685FC1" w:rsidP="00DB3CD8">
            <w:pPr>
              <w:jc w:val="center"/>
              <w:rPr>
                <w:lang w:eastAsia="en-AU"/>
              </w:rPr>
            </w:pPr>
            <w:r>
              <w:rPr>
                <w:lang w:eastAsia="en-AU"/>
              </w:rPr>
              <w:t>0.4</w:t>
            </w:r>
            <w:r w:rsidRPr="00196380">
              <w:rPr>
                <w:lang w:eastAsia="en-AU"/>
              </w:rPr>
              <w:t xml:space="preserve">ppts </w:t>
            </w:r>
            <w:r>
              <w:rPr>
                <w:lang w:eastAsia="en-AU"/>
              </w:rPr>
              <w:t>up</w:t>
            </w:r>
          </w:p>
        </w:tc>
        <w:tc>
          <w:tcPr>
            <w:tcW w:w="654" w:type="pct"/>
            <w:tcBorders>
              <w:left w:val="single" w:sz="2" w:space="0" w:color="auto"/>
              <w:bottom w:val="single" w:sz="6" w:space="0" w:color="auto"/>
              <w:right w:val="single" w:sz="2" w:space="0" w:color="auto"/>
            </w:tcBorders>
            <w:hideMark/>
          </w:tcPr>
          <w:p w14:paraId="0AD7A5B5" w14:textId="77777777" w:rsidR="00685FC1" w:rsidRPr="00196380" w:rsidRDefault="00685FC1" w:rsidP="00DB3CD8">
            <w:pPr>
              <w:jc w:val="center"/>
              <w:rPr>
                <w:lang w:eastAsia="en-AU"/>
              </w:rPr>
            </w:pPr>
            <w:r>
              <w:rPr>
                <w:lang w:eastAsia="en-AU"/>
              </w:rPr>
              <w:t>1</w:t>
            </w:r>
            <w:r w:rsidRPr="00196380">
              <w:rPr>
                <w:lang w:eastAsia="en-AU"/>
              </w:rPr>
              <w:t>.</w:t>
            </w:r>
            <w:r>
              <w:rPr>
                <w:lang w:eastAsia="en-AU"/>
              </w:rPr>
              <w:t>8</w:t>
            </w:r>
            <w:r w:rsidRPr="00196380">
              <w:rPr>
                <w:lang w:eastAsia="en-AU"/>
              </w:rPr>
              <w:t>ppts up</w:t>
            </w:r>
          </w:p>
        </w:tc>
      </w:tr>
      <w:tr w:rsidR="00685FC1" w:rsidRPr="00196380" w14:paraId="125C3B3F"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33D5EA8E" w14:textId="77777777" w:rsidR="00685FC1" w:rsidRPr="00196380" w:rsidRDefault="00685FC1">
            <w:pPr>
              <w:rPr>
                <w:lang w:eastAsia="en-AU"/>
              </w:rPr>
            </w:pPr>
            <w:r w:rsidRPr="00196380">
              <w:rPr>
                <w:lang w:eastAsia="en-AU"/>
              </w:rPr>
              <w:t>Domestic aviation seats</w:t>
            </w:r>
          </w:p>
        </w:tc>
        <w:tc>
          <w:tcPr>
            <w:tcW w:w="1308" w:type="pct"/>
            <w:tcBorders>
              <w:left w:val="single" w:sz="2" w:space="0" w:color="auto"/>
              <w:bottom w:val="single" w:sz="6" w:space="0" w:color="auto"/>
              <w:right w:val="single" w:sz="2" w:space="0" w:color="auto"/>
            </w:tcBorders>
            <w:hideMark/>
          </w:tcPr>
          <w:p w14:paraId="30942992" w14:textId="77777777" w:rsidR="00685FC1" w:rsidRPr="00432025" w:rsidRDefault="00685FC1" w:rsidP="00240780">
            <w:pPr>
              <w:spacing w:before="0" w:after="0"/>
              <w:rPr>
                <w:sz w:val="18"/>
                <w:szCs w:val="18"/>
                <w:lang w:eastAsia="en-AU"/>
              </w:rPr>
            </w:pPr>
            <w:r w:rsidRPr="00432025">
              <w:rPr>
                <w:sz w:val="18"/>
                <w:szCs w:val="18"/>
                <w:lang w:eastAsia="en-AU"/>
              </w:rPr>
              <w:t>Number of seats available to people flying within Australia</w:t>
            </w:r>
          </w:p>
        </w:tc>
        <w:tc>
          <w:tcPr>
            <w:tcW w:w="561" w:type="pct"/>
            <w:tcBorders>
              <w:left w:val="single" w:sz="2" w:space="0" w:color="auto"/>
              <w:bottom w:val="single" w:sz="6" w:space="0" w:color="auto"/>
              <w:right w:val="single" w:sz="2" w:space="0" w:color="auto"/>
            </w:tcBorders>
            <w:hideMark/>
          </w:tcPr>
          <w:p w14:paraId="3F0B93AA" w14:textId="77777777" w:rsidR="00685FC1" w:rsidRPr="00196380" w:rsidRDefault="00685FC1" w:rsidP="00DB3CD8">
            <w:pPr>
              <w:rPr>
                <w:lang w:eastAsia="en-AU"/>
              </w:rPr>
            </w:pPr>
            <w:r w:rsidRPr="00196380">
              <w:rPr>
                <w:lang w:eastAsia="en-AU"/>
              </w:rPr>
              <w:t>77.5 million</w:t>
            </w:r>
          </w:p>
        </w:tc>
        <w:tc>
          <w:tcPr>
            <w:tcW w:w="561" w:type="pct"/>
            <w:tcBorders>
              <w:left w:val="single" w:sz="2" w:space="0" w:color="auto"/>
              <w:bottom w:val="single" w:sz="6" w:space="0" w:color="auto"/>
              <w:right w:val="single" w:sz="2" w:space="0" w:color="auto"/>
            </w:tcBorders>
          </w:tcPr>
          <w:p w14:paraId="3EE83B28" w14:textId="6817A637" w:rsidR="00685FC1" w:rsidRDefault="005A127C" w:rsidP="00DB3CD8">
            <w:pPr>
              <w:rPr>
                <w:lang w:eastAsia="en-AU"/>
              </w:rPr>
            </w:pPr>
            <w:r>
              <w:rPr>
                <w:lang w:eastAsia="en-AU"/>
              </w:rPr>
              <w:t>65.3</w:t>
            </w:r>
            <w:r w:rsidRPr="00196380">
              <w:rPr>
                <w:lang w:eastAsia="en-AU"/>
              </w:rPr>
              <w:t xml:space="preserve"> million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3A2CC17E" w14:textId="3B72D1D2" w:rsidR="00685FC1" w:rsidRPr="00196380" w:rsidRDefault="00685FC1" w:rsidP="00DB3CD8">
            <w:pPr>
              <w:rPr>
                <w:lang w:eastAsia="en-AU"/>
              </w:rPr>
            </w:pPr>
            <w:r>
              <w:rPr>
                <w:lang w:eastAsia="en-AU"/>
              </w:rPr>
              <w:t>7</w:t>
            </w:r>
            <w:r w:rsidRPr="00196380">
              <w:rPr>
                <w:lang w:eastAsia="en-AU"/>
              </w:rPr>
              <w:t>2</w:t>
            </w:r>
            <w:r>
              <w:rPr>
                <w:lang w:eastAsia="en-AU"/>
              </w:rPr>
              <w:t>.9</w:t>
            </w:r>
            <w:r w:rsidRPr="00196380">
              <w:rPr>
                <w:lang w:eastAsia="en-AU"/>
              </w:rPr>
              <w:t xml:space="preserve"> million</w:t>
            </w:r>
          </w:p>
        </w:tc>
        <w:tc>
          <w:tcPr>
            <w:tcW w:w="654" w:type="pct"/>
            <w:tcBorders>
              <w:left w:val="single" w:sz="2" w:space="0" w:color="auto"/>
              <w:bottom w:val="single" w:sz="6" w:space="0" w:color="auto"/>
              <w:right w:val="single" w:sz="2" w:space="0" w:color="auto"/>
            </w:tcBorders>
            <w:hideMark/>
          </w:tcPr>
          <w:p w14:paraId="6207C55B" w14:textId="77777777" w:rsidR="00685FC1" w:rsidRPr="00196380" w:rsidRDefault="00685FC1" w:rsidP="00DB3CD8">
            <w:pPr>
              <w:jc w:val="center"/>
              <w:rPr>
                <w:lang w:eastAsia="en-AU"/>
              </w:rPr>
            </w:pPr>
            <w:r w:rsidRPr="00196380">
              <w:rPr>
                <w:lang w:eastAsia="en-AU"/>
              </w:rPr>
              <w:t>-6% down</w:t>
            </w:r>
          </w:p>
        </w:tc>
        <w:tc>
          <w:tcPr>
            <w:tcW w:w="654" w:type="pct"/>
            <w:tcBorders>
              <w:left w:val="single" w:sz="2" w:space="0" w:color="auto"/>
              <w:bottom w:val="single" w:sz="6" w:space="0" w:color="auto"/>
              <w:right w:val="single" w:sz="2" w:space="0" w:color="auto"/>
            </w:tcBorders>
            <w:hideMark/>
          </w:tcPr>
          <w:p w14:paraId="5F2B11F1" w14:textId="77777777" w:rsidR="00685FC1" w:rsidRPr="00196380" w:rsidRDefault="00685FC1" w:rsidP="00DB3CD8">
            <w:pPr>
              <w:jc w:val="center"/>
              <w:rPr>
                <w:lang w:eastAsia="en-AU"/>
              </w:rPr>
            </w:pPr>
            <w:r>
              <w:rPr>
                <w:lang w:eastAsia="en-AU"/>
              </w:rPr>
              <w:t>12</w:t>
            </w:r>
            <w:r w:rsidRPr="00196380">
              <w:rPr>
                <w:lang w:eastAsia="en-AU"/>
              </w:rPr>
              <w:t>% up</w:t>
            </w:r>
          </w:p>
        </w:tc>
      </w:tr>
      <w:tr w:rsidR="00685FC1" w:rsidRPr="00196380" w14:paraId="7BA8B9E4"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77599A8D" w14:textId="77777777" w:rsidR="00685FC1" w:rsidRPr="00196380" w:rsidRDefault="00685FC1">
            <w:pPr>
              <w:rPr>
                <w:lang w:eastAsia="en-AU"/>
              </w:rPr>
            </w:pPr>
            <w:r w:rsidRPr="00196380">
              <w:rPr>
                <w:lang w:eastAsia="en-AU"/>
              </w:rPr>
              <w:t>Domestic aviation load factor</w:t>
            </w:r>
          </w:p>
        </w:tc>
        <w:tc>
          <w:tcPr>
            <w:tcW w:w="1308" w:type="pct"/>
            <w:tcBorders>
              <w:left w:val="single" w:sz="2" w:space="0" w:color="auto"/>
              <w:bottom w:val="single" w:sz="6" w:space="0" w:color="auto"/>
              <w:right w:val="single" w:sz="2" w:space="0" w:color="auto"/>
            </w:tcBorders>
            <w:hideMark/>
          </w:tcPr>
          <w:p w14:paraId="438B1C0B" w14:textId="77777777" w:rsidR="00685FC1" w:rsidRPr="00432025" w:rsidRDefault="00685FC1" w:rsidP="00240780">
            <w:pPr>
              <w:spacing w:before="0" w:after="0"/>
              <w:rPr>
                <w:sz w:val="18"/>
                <w:szCs w:val="18"/>
                <w:lang w:eastAsia="en-AU"/>
              </w:rPr>
            </w:pPr>
            <w:r w:rsidRPr="00432025">
              <w:rPr>
                <w:sz w:val="18"/>
                <w:szCs w:val="18"/>
                <w:lang w:eastAsia="en-AU"/>
              </w:rPr>
              <w:t>Percentage of seats on domestic flights occupied by revenue passengers</w:t>
            </w:r>
          </w:p>
        </w:tc>
        <w:tc>
          <w:tcPr>
            <w:tcW w:w="561" w:type="pct"/>
            <w:tcBorders>
              <w:left w:val="single" w:sz="2" w:space="0" w:color="auto"/>
              <w:bottom w:val="single" w:sz="6" w:space="0" w:color="auto"/>
              <w:right w:val="single" w:sz="2" w:space="0" w:color="auto"/>
            </w:tcBorders>
            <w:hideMark/>
          </w:tcPr>
          <w:p w14:paraId="4ABF9F8C" w14:textId="77777777" w:rsidR="00685FC1" w:rsidRPr="00196380" w:rsidRDefault="00685FC1" w:rsidP="00DB3CD8">
            <w:pPr>
              <w:rPr>
                <w:lang w:eastAsia="en-AU"/>
              </w:rPr>
            </w:pPr>
            <w:r w:rsidRPr="00196380">
              <w:rPr>
                <w:lang w:eastAsia="en-AU"/>
              </w:rPr>
              <w:t>80.8%</w:t>
            </w:r>
          </w:p>
        </w:tc>
        <w:tc>
          <w:tcPr>
            <w:tcW w:w="561" w:type="pct"/>
            <w:tcBorders>
              <w:left w:val="single" w:sz="2" w:space="0" w:color="auto"/>
              <w:bottom w:val="single" w:sz="6" w:space="0" w:color="auto"/>
              <w:right w:val="single" w:sz="2" w:space="0" w:color="auto"/>
            </w:tcBorders>
          </w:tcPr>
          <w:p w14:paraId="1AA98916" w14:textId="7A3400D2" w:rsidR="00685FC1" w:rsidRPr="00196380" w:rsidRDefault="00430173" w:rsidP="00DB3CD8">
            <w:pPr>
              <w:rPr>
                <w:lang w:eastAsia="en-AU"/>
              </w:rPr>
            </w:pPr>
            <w:r>
              <w:rPr>
                <w:lang w:eastAsia="en-AU"/>
              </w:rPr>
              <w:t>7</w:t>
            </w:r>
            <w:r w:rsidRPr="00196380">
              <w:rPr>
                <w:lang w:eastAsia="en-AU"/>
              </w:rPr>
              <w:t>8</w:t>
            </w:r>
            <w:r>
              <w:rPr>
                <w:lang w:eastAsia="en-AU"/>
              </w:rPr>
              <w:t>.9</w:t>
            </w:r>
            <w:r w:rsidRPr="00196380">
              <w:rPr>
                <w:lang w:eastAsia="en-AU"/>
              </w:rPr>
              <w:t>%</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345897A0" w14:textId="676EA47F" w:rsidR="00685FC1" w:rsidRPr="00196380" w:rsidRDefault="00685FC1" w:rsidP="00DB3CD8">
            <w:pPr>
              <w:rPr>
                <w:lang w:eastAsia="en-AU"/>
              </w:rPr>
            </w:pPr>
            <w:r w:rsidRPr="00196380">
              <w:rPr>
                <w:lang w:eastAsia="en-AU"/>
              </w:rPr>
              <w:t>8</w:t>
            </w:r>
            <w:r>
              <w:rPr>
                <w:lang w:eastAsia="en-AU"/>
              </w:rPr>
              <w:t>0.5</w:t>
            </w:r>
            <w:r w:rsidRPr="00196380">
              <w:rPr>
                <w:lang w:eastAsia="en-AU"/>
              </w:rPr>
              <w:t>%</w:t>
            </w:r>
          </w:p>
        </w:tc>
        <w:tc>
          <w:tcPr>
            <w:tcW w:w="654" w:type="pct"/>
            <w:tcBorders>
              <w:left w:val="single" w:sz="2" w:space="0" w:color="auto"/>
              <w:bottom w:val="single" w:sz="6" w:space="0" w:color="auto"/>
              <w:right w:val="single" w:sz="2" w:space="0" w:color="auto"/>
            </w:tcBorders>
            <w:hideMark/>
          </w:tcPr>
          <w:p w14:paraId="45BD9FD4" w14:textId="77777777" w:rsidR="00685FC1" w:rsidRPr="00196380" w:rsidRDefault="00685FC1" w:rsidP="00DB3CD8">
            <w:pPr>
              <w:jc w:val="center"/>
              <w:rPr>
                <w:lang w:eastAsia="en-AU"/>
              </w:rPr>
            </w:pPr>
            <w:r w:rsidRPr="00196380">
              <w:rPr>
                <w:lang w:eastAsia="en-AU"/>
              </w:rPr>
              <w:t>-</w:t>
            </w:r>
            <w:r>
              <w:rPr>
                <w:lang w:eastAsia="en-AU"/>
              </w:rPr>
              <w:t>0.2</w:t>
            </w:r>
            <w:r w:rsidRPr="00196380">
              <w:rPr>
                <w:lang w:eastAsia="en-AU"/>
              </w:rPr>
              <w:t>ppts down</w:t>
            </w:r>
          </w:p>
        </w:tc>
        <w:tc>
          <w:tcPr>
            <w:tcW w:w="654" w:type="pct"/>
            <w:tcBorders>
              <w:left w:val="single" w:sz="2" w:space="0" w:color="auto"/>
              <w:bottom w:val="single" w:sz="6" w:space="0" w:color="auto"/>
              <w:right w:val="single" w:sz="2" w:space="0" w:color="auto"/>
            </w:tcBorders>
            <w:hideMark/>
          </w:tcPr>
          <w:p w14:paraId="16A96587" w14:textId="77777777" w:rsidR="00685FC1" w:rsidRPr="00196380" w:rsidRDefault="00685FC1" w:rsidP="00DB3CD8">
            <w:pPr>
              <w:jc w:val="center"/>
              <w:rPr>
                <w:lang w:eastAsia="en-AU"/>
              </w:rPr>
            </w:pPr>
            <w:r w:rsidRPr="00196380">
              <w:rPr>
                <w:lang w:eastAsia="en-AU"/>
              </w:rPr>
              <w:t>1</w:t>
            </w:r>
            <w:r>
              <w:rPr>
                <w:lang w:eastAsia="en-AU"/>
              </w:rPr>
              <w:t>.6</w:t>
            </w:r>
            <w:r w:rsidRPr="00196380">
              <w:rPr>
                <w:lang w:eastAsia="en-AU"/>
              </w:rPr>
              <w:t>ppts up</w:t>
            </w:r>
          </w:p>
        </w:tc>
      </w:tr>
      <w:tr w:rsidR="00685FC1" w:rsidRPr="00196380" w14:paraId="5DD99922"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12F05578" w14:textId="77777777" w:rsidR="00685FC1" w:rsidRPr="00196380" w:rsidRDefault="00685FC1">
            <w:pPr>
              <w:rPr>
                <w:lang w:eastAsia="en-AU"/>
              </w:rPr>
            </w:pPr>
            <w:r w:rsidRPr="00196380">
              <w:rPr>
                <w:lang w:eastAsia="en-AU"/>
              </w:rPr>
              <w:t>Tourism jobs</w:t>
            </w:r>
          </w:p>
        </w:tc>
        <w:tc>
          <w:tcPr>
            <w:tcW w:w="1308" w:type="pct"/>
            <w:tcBorders>
              <w:left w:val="single" w:sz="2" w:space="0" w:color="auto"/>
              <w:bottom w:val="single" w:sz="6" w:space="0" w:color="auto"/>
              <w:right w:val="single" w:sz="2" w:space="0" w:color="auto"/>
            </w:tcBorders>
            <w:hideMark/>
          </w:tcPr>
          <w:p w14:paraId="290B96F7" w14:textId="77777777" w:rsidR="00685FC1" w:rsidRPr="00432025" w:rsidRDefault="00685FC1" w:rsidP="00240780">
            <w:pPr>
              <w:spacing w:before="0" w:after="0"/>
              <w:rPr>
                <w:sz w:val="18"/>
                <w:szCs w:val="18"/>
                <w:lang w:eastAsia="en-AU"/>
              </w:rPr>
            </w:pPr>
            <w:r w:rsidRPr="00432025">
              <w:rPr>
                <w:sz w:val="18"/>
                <w:szCs w:val="18"/>
                <w:lang w:eastAsia="en-AU"/>
              </w:rPr>
              <w:t>Number of filled jobs in the tourism industry (as at end December)</w:t>
            </w:r>
          </w:p>
        </w:tc>
        <w:tc>
          <w:tcPr>
            <w:tcW w:w="561" w:type="pct"/>
            <w:tcBorders>
              <w:left w:val="single" w:sz="2" w:space="0" w:color="auto"/>
              <w:bottom w:val="single" w:sz="6" w:space="0" w:color="auto"/>
              <w:right w:val="single" w:sz="2" w:space="0" w:color="auto"/>
            </w:tcBorders>
            <w:hideMark/>
          </w:tcPr>
          <w:p w14:paraId="3CAB4850" w14:textId="0450CFD4" w:rsidR="00685FC1" w:rsidRPr="00196380" w:rsidRDefault="00685FC1" w:rsidP="00DB3CD8">
            <w:pPr>
              <w:rPr>
                <w:lang w:eastAsia="en-AU"/>
              </w:rPr>
            </w:pPr>
            <w:r w:rsidRPr="00196380">
              <w:rPr>
                <w:lang w:eastAsia="en-AU"/>
              </w:rPr>
              <w:t>75</w:t>
            </w:r>
            <w:r>
              <w:rPr>
                <w:lang w:eastAsia="en-AU"/>
              </w:rPr>
              <w:t>0</w:t>
            </w:r>
            <w:r w:rsidR="00305ACE">
              <w:rPr>
                <w:lang w:eastAsia="en-AU"/>
              </w:rPr>
              <w:t>.0</w:t>
            </w:r>
            <w:r w:rsidRPr="00196380">
              <w:rPr>
                <w:lang w:eastAsia="en-AU"/>
              </w:rPr>
              <w:t xml:space="preserve"> thousand</w:t>
            </w:r>
          </w:p>
        </w:tc>
        <w:tc>
          <w:tcPr>
            <w:tcW w:w="561" w:type="pct"/>
            <w:tcBorders>
              <w:left w:val="single" w:sz="2" w:space="0" w:color="auto"/>
              <w:bottom w:val="single" w:sz="6" w:space="0" w:color="auto"/>
              <w:right w:val="single" w:sz="2" w:space="0" w:color="auto"/>
            </w:tcBorders>
          </w:tcPr>
          <w:p w14:paraId="599BBCE4" w14:textId="1BD9B9CB" w:rsidR="00685FC1" w:rsidRPr="00196380" w:rsidRDefault="00305ACE" w:rsidP="00DB3CD8">
            <w:pPr>
              <w:rPr>
                <w:lang w:eastAsia="en-AU"/>
              </w:rPr>
            </w:pPr>
            <w:r w:rsidRPr="00196380">
              <w:rPr>
                <w:lang w:eastAsia="en-AU"/>
              </w:rPr>
              <w:t>6</w:t>
            </w:r>
            <w:r>
              <w:rPr>
                <w:lang w:eastAsia="en-AU"/>
              </w:rPr>
              <w:t>47</w:t>
            </w:r>
            <w:r w:rsidRPr="00196380">
              <w:rPr>
                <w:lang w:eastAsia="en-AU"/>
              </w:rPr>
              <w:t>.4 thousand</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120202F3" w14:textId="7DB9BD2F" w:rsidR="00685FC1" w:rsidRPr="00196380" w:rsidRDefault="00685FC1" w:rsidP="00DB3CD8">
            <w:pPr>
              <w:rPr>
                <w:lang w:eastAsia="en-AU"/>
              </w:rPr>
            </w:pPr>
            <w:r w:rsidRPr="00196380">
              <w:rPr>
                <w:lang w:eastAsia="en-AU"/>
              </w:rPr>
              <w:t>6</w:t>
            </w:r>
            <w:r>
              <w:rPr>
                <w:lang w:eastAsia="en-AU"/>
              </w:rPr>
              <w:t>55</w:t>
            </w:r>
            <w:r w:rsidRPr="00196380">
              <w:rPr>
                <w:lang w:eastAsia="en-AU"/>
              </w:rPr>
              <w:t>.4 thousand</w:t>
            </w:r>
          </w:p>
        </w:tc>
        <w:tc>
          <w:tcPr>
            <w:tcW w:w="654" w:type="pct"/>
            <w:tcBorders>
              <w:left w:val="single" w:sz="2" w:space="0" w:color="auto"/>
              <w:bottom w:val="single" w:sz="6" w:space="0" w:color="auto"/>
              <w:right w:val="single" w:sz="2" w:space="0" w:color="auto"/>
            </w:tcBorders>
            <w:hideMark/>
          </w:tcPr>
          <w:p w14:paraId="7237EE9A" w14:textId="77777777" w:rsidR="00685FC1" w:rsidRPr="00196380" w:rsidRDefault="00685FC1" w:rsidP="00DB3CD8">
            <w:pPr>
              <w:jc w:val="center"/>
              <w:rPr>
                <w:lang w:eastAsia="en-AU"/>
              </w:rPr>
            </w:pPr>
            <w:r w:rsidRPr="00196380">
              <w:rPr>
                <w:lang w:eastAsia="en-AU"/>
              </w:rPr>
              <w:t>-1</w:t>
            </w:r>
            <w:r>
              <w:rPr>
                <w:lang w:eastAsia="en-AU"/>
              </w:rPr>
              <w:t>3</w:t>
            </w:r>
            <w:r w:rsidRPr="00196380">
              <w:rPr>
                <w:lang w:eastAsia="en-AU"/>
              </w:rPr>
              <w:t>% down</w:t>
            </w:r>
          </w:p>
        </w:tc>
        <w:tc>
          <w:tcPr>
            <w:tcW w:w="654" w:type="pct"/>
            <w:tcBorders>
              <w:left w:val="single" w:sz="2" w:space="0" w:color="auto"/>
              <w:bottom w:val="single" w:sz="6" w:space="0" w:color="auto"/>
              <w:right w:val="single" w:sz="2" w:space="0" w:color="auto"/>
            </w:tcBorders>
            <w:hideMark/>
          </w:tcPr>
          <w:p w14:paraId="66C99157" w14:textId="77777777" w:rsidR="00685FC1" w:rsidRPr="00196380" w:rsidRDefault="00685FC1" w:rsidP="00DB3CD8">
            <w:pPr>
              <w:jc w:val="center"/>
              <w:rPr>
                <w:lang w:eastAsia="en-AU"/>
              </w:rPr>
            </w:pPr>
            <w:r>
              <w:rPr>
                <w:lang w:eastAsia="en-AU"/>
              </w:rPr>
              <w:t>1.</w:t>
            </w:r>
            <w:r w:rsidRPr="00196380">
              <w:rPr>
                <w:lang w:eastAsia="en-AU"/>
              </w:rPr>
              <w:t>2% up</w:t>
            </w:r>
          </w:p>
        </w:tc>
      </w:tr>
      <w:tr w:rsidR="00685FC1" w:rsidRPr="00196380" w14:paraId="35176735" w14:textId="77777777" w:rsidTr="003C1CC5">
        <w:tc>
          <w:tcPr>
            <w:tcW w:w="700" w:type="pct"/>
            <w:tcBorders>
              <w:top w:val="single" w:sz="2" w:space="0" w:color="auto"/>
              <w:left w:val="single" w:sz="2" w:space="0" w:color="auto"/>
              <w:bottom w:val="single" w:sz="6" w:space="0" w:color="auto"/>
              <w:right w:val="single" w:sz="2" w:space="0" w:color="auto"/>
            </w:tcBorders>
            <w:vAlign w:val="center"/>
          </w:tcPr>
          <w:p w14:paraId="7FD4A815" w14:textId="77777777" w:rsidR="00685FC1" w:rsidRPr="00196380" w:rsidRDefault="00685FC1">
            <w:pPr>
              <w:rPr>
                <w:lang w:eastAsia="en-AU"/>
              </w:rPr>
            </w:pPr>
            <w:r>
              <w:rPr>
                <w:lang w:eastAsia="en-AU"/>
              </w:rPr>
              <w:t>Tourism job vacancies</w:t>
            </w:r>
          </w:p>
        </w:tc>
        <w:tc>
          <w:tcPr>
            <w:tcW w:w="1308" w:type="pct"/>
            <w:tcBorders>
              <w:left w:val="single" w:sz="2" w:space="0" w:color="auto"/>
              <w:bottom w:val="single" w:sz="6" w:space="0" w:color="auto"/>
              <w:right w:val="single" w:sz="2" w:space="0" w:color="auto"/>
            </w:tcBorders>
          </w:tcPr>
          <w:p w14:paraId="1C411BB3" w14:textId="77777777" w:rsidR="00685FC1" w:rsidRPr="00432025" w:rsidRDefault="00685FC1" w:rsidP="00240780">
            <w:pPr>
              <w:spacing w:before="0" w:after="0"/>
              <w:rPr>
                <w:sz w:val="18"/>
                <w:szCs w:val="18"/>
                <w:lang w:eastAsia="en-AU"/>
              </w:rPr>
            </w:pPr>
            <w:r w:rsidRPr="00432025">
              <w:rPr>
                <w:sz w:val="18"/>
                <w:szCs w:val="18"/>
                <w:lang w:eastAsia="en-AU"/>
              </w:rPr>
              <w:t xml:space="preserve">Number of tourism-related job vacancies advertised online (as </w:t>
            </w:r>
            <w:proofErr w:type="gramStart"/>
            <w:r w:rsidRPr="00432025">
              <w:rPr>
                <w:sz w:val="18"/>
                <w:szCs w:val="18"/>
                <w:lang w:eastAsia="en-AU"/>
              </w:rPr>
              <w:t>at</w:t>
            </w:r>
            <w:proofErr w:type="gramEnd"/>
            <w:r w:rsidRPr="00432025">
              <w:rPr>
                <w:sz w:val="18"/>
                <w:szCs w:val="18"/>
                <w:lang w:eastAsia="en-AU"/>
              </w:rPr>
              <w:t xml:space="preserve"> December)</w:t>
            </w:r>
          </w:p>
        </w:tc>
        <w:tc>
          <w:tcPr>
            <w:tcW w:w="561" w:type="pct"/>
            <w:tcBorders>
              <w:left w:val="single" w:sz="2" w:space="0" w:color="auto"/>
              <w:bottom w:val="single" w:sz="6" w:space="0" w:color="auto"/>
              <w:right w:val="single" w:sz="2" w:space="0" w:color="auto"/>
            </w:tcBorders>
          </w:tcPr>
          <w:p w14:paraId="08D0756D" w14:textId="77777777" w:rsidR="00685FC1" w:rsidRPr="00196380" w:rsidRDefault="00685FC1">
            <w:pPr>
              <w:rPr>
                <w:lang w:eastAsia="en-AU"/>
              </w:rPr>
            </w:pPr>
            <w:r>
              <w:rPr>
                <w:lang w:eastAsia="en-AU"/>
              </w:rPr>
              <w:t>9.5 thousand</w:t>
            </w:r>
          </w:p>
        </w:tc>
        <w:tc>
          <w:tcPr>
            <w:tcW w:w="561" w:type="pct"/>
            <w:tcBorders>
              <w:left w:val="single" w:sz="2" w:space="0" w:color="auto"/>
              <w:bottom w:val="single" w:sz="6" w:space="0" w:color="auto"/>
              <w:right w:val="single" w:sz="2" w:space="0" w:color="auto"/>
            </w:tcBorders>
          </w:tcPr>
          <w:p w14:paraId="43346D81" w14:textId="6BAAE083" w:rsidR="00685FC1" w:rsidRDefault="00517E03">
            <w:pPr>
              <w:rPr>
                <w:lang w:eastAsia="en-AU"/>
              </w:rPr>
            </w:pPr>
            <w:r>
              <w:rPr>
                <w:lang w:eastAsia="en-AU"/>
              </w:rPr>
              <w:t>20.5 thousand</w:t>
            </w:r>
          </w:p>
        </w:tc>
        <w:tc>
          <w:tcPr>
            <w:tcW w:w="561" w:type="pct"/>
            <w:tcBorders>
              <w:left w:val="single" w:sz="2" w:space="0" w:color="auto"/>
              <w:bottom w:val="single" w:sz="6" w:space="0" w:color="auto"/>
              <w:right w:val="single" w:sz="2" w:space="0" w:color="auto"/>
            </w:tcBorders>
            <w:shd w:val="clear" w:color="auto" w:fill="FCF5E6" w:themeFill="accent4" w:themeFillTint="33"/>
          </w:tcPr>
          <w:p w14:paraId="40359071" w14:textId="7D691415" w:rsidR="00685FC1" w:rsidRPr="00196380" w:rsidRDefault="00685FC1">
            <w:pPr>
              <w:rPr>
                <w:lang w:eastAsia="en-AU"/>
              </w:rPr>
            </w:pPr>
            <w:r>
              <w:rPr>
                <w:lang w:eastAsia="en-AU"/>
              </w:rPr>
              <w:t>14.7 thousand</w:t>
            </w:r>
          </w:p>
        </w:tc>
        <w:tc>
          <w:tcPr>
            <w:tcW w:w="654" w:type="pct"/>
            <w:tcBorders>
              <w:left w:val="single" w:sz="2" w:space="0" w:color="auto"/>
              <w:bottom w:val="single" w:sz="6" w:space="0" w:color="auto"/>
              <w:right w:val="single" w:sz="2" w:space="0" w:color="auto"/>
            </w:tcBorders>
          </w:tcPr>
          <w:p w14:paraId="61F32194" w14:textId="77777777" w:rsidR="00685FC1" w:rsidRPr="00196380" w:rsidRDefault="00685FC1" w:rsidP="00312D9E">
            <w:pPr>
              <w:jc w:val="center"/>
              <w:rPr>
                <w:lang w:eastAsia="en-AU"/>
              </w:rPr>
            </w:pPr>
            <w:r>
              <w:rPr>
                <w:lang w:eastAsia="en-AU"/>
              </w:rPr>
              <w:t>54% up</w:t>
            </w:r>
          </w:p>
        </w:tc>
        <w:tc>
          <w:tcPr>
            <w:tcW w:w="654" w:type="pct"/>
            <w:tcBorders>
              <w:left w:val="single" w:sz="2" w:space="0" w:color="auto"/>
              <w:bottom w:val="single" w:sz="6" w:space="0" w:color="auto"/>
              <w:right w:val="single" w:sz="2" w:space="0" w:color="auto"/>
            </w:tcBorders>
          </w:tcPr>
          <w:p w14:paraId="475C257F" w14:textId="77777777" w:rsidR="00685FC1" w:rsidRPr="00196380" w:rsidRDefault="00685FC1" w:rsidP="00312D9E">
            <w:pPr>
              <w:jc w:val="center"/>
              <w:rPr>
                <w:lang w:eastAsia="en-AU"/>
              </w:rPr>
            </w:pPr>
            <w:r>
              <w:rPr>
                <w:lang w:eastAsia="en-AU"/>
              </w:rPr>
              <w:t>-28% down</w:t>
            </w:r>
          </w:p>
        </w:tc>
      </w:tr>
      <w:tr w:rsidR="00685FC1" w:rsidRPr="00196380" w14:paraId="18FD8327"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5DDF2F93" w14:textId="77777777" w:rsidR="00685FC1" w:rsidRPr="00196380" w:rsidRDefault="00685FC1">
            <w:pPr>
              <w:rPr>
                <w:lang w:eastAsia="en-AU"/>
              </w:rPr>
            </w:pPr>
            <w:r w:rsidRPr="00196380">
              <w:rPr>
                <w:lang w:eastAsia="en-AU"/>
              </w:rPr>
              <w:t>Tourism businesses</w:t>
            </w:r>
          </w:p>
        </w:tc>
        <w:tc>
          <w:tcPr>
            <w:tcW w:w="1308" w:type="pct"/>
            <w:tcBorders>
              <w:left w:val="single" w:sz="2" w:space="0" w:color="auto"/>
              <w:bottom w:val="single" w:sz="6" w:space="0" w:color="auto"/>
              <w:right w:val="single" w:sz="2" w:space="0" w:color="auto"/>
            </w:tcBorders>
            <w:hideMark/>
          </w:tcPr>
          <w:p w14:paraId="5630F3A4" w14:textId="77777777" w:rsidR="00685FC1" w:rsidRPr="00432025" w:rsidRDefault="00685FC1" w:rsidP="00240780">
            <w:pPr>
              <w:spacing w:before="0" w:after="0"/>
              <w:rPr>
                <w:sz w:val="18"/>
                <w:szCs w:val="18"/>
                <w:lang w:eastAsia="en-AU"/>
              </w:rPr>
            </w:pPr>
            <w:r w:rsidRPr="00432025">
              <w:rPr>
                <w:sz w:val="18"/>
                <w:szCs w:val="18"/>
                <w:lang w:eastAsia="en-AU"/>
              </w:rPr>
              <w:t>Number of Australian businesses in tourism-related industries (as at end June)</w:t>
            </w:r>
          </w:p>
        </w:tc>
        <w:tc>
          <w:tcPr>
            <w:tcW w:w="561" w:type="pct"/>
            <w:tcBorders>
              <w:left w:val="single" w:sz="2" w:space="0" w:color="auto"/>
              <w:bottom w:val="single" w:sz="6" w:space="0" w:color="auto"/>
              <w:right w:val="single" w:sz="2" w:space="0" w:color="auto"/>
            </w:tcBorders>
            <w:hideMark/>
          </w:tcPr>
          <w:p w14:paraId="2EFFC13B" w14:textId="77777777" w:rsidR="00685FC1" w:rsidRPr="00196380" w:rsidRDefault="00685FC1">
            <w:pPr>
              <w:rPr>
                <w:lang w:eastAsia="en-AU"/>
              </w:rPr>
            </w:pPr>
            <w:r w:rsidRPr="00196380">
              <w:rPr>
                <w:lang w:eastAsia="en-AU"/>
              </w:rPr>
              <w:t>32</w:t>
            </w:r>
            <w:r>
              <w:rPr>
                <w:lang w:eastAsia="en-AU"/>
              </w:rPr>
              <w:t>5</w:t>
            </w:r>
            <w:r w:rsidRPr="00196380">
              <w:rPr>
                <w:lang w:eastAsia="en-AU"/>
              </w:rPr>
              <w:t>.</w:t>
            </w:r>
            <w:r>
              <w:rPr>
                <w:lang w:eastAsia="en-AU"/>
              </w:rPr>
              <w:t>6</w:t>
            </w:r>
            <w:r w:rsidRPr="00196380">
              <w:rPr>
                <w:lang w:eastAsia="en-AU"/>
              </w:rPr>
              <w:t xml:space="preserve"> thousand</w:t>
            </w:r>
          </w:p>
        </w:tc>
        <w:tc>
          <w:tcPr>
            <w:tcW w:w="561" w:type="pct"/>
            <w:tcBorders>
              <w:left w:val="single" w:sz="2" w:space="0" w:color="auto"/>
              <w:bottom w:val="single" w:sz="6" w:space="0" w:color="auto"/>
              <w:right w:val="single" w:sz="2" w:space="0" w:color="auto"/>
            </w:tcBorders>
          </w:tcPr>
          <w:p w14:paraId="769CA1AC" w14:textId="1379A196" w:rsidR="00685FC1" w:rsidRDefault="00247F2F">
            <w:pPr>
              <w:rPr>
                <w:lang w:eastAsia="en-AU"/>
              </w:rPr>
            </w:pPr>
            <w:r>
              <w:rPr>
                <w:lang w:eastAsia="en-AU"/>
              </w:rPr>
              <w:t>360.8</w:t>
            </w:r>
            <w:r w:rsidRPr="00196380">
              <w:rPr>
                <w:lang w:eastAsia="en-AU"/>
              </w:rPr>
              <w:t xml:space="preserve"> thousand</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24A4C86E" w14:textId="710C0EB1" w:rsidR="00685FC1" w:rsidRPr="00196380" w:rsidRDefault="00685FC1">
            <w:pPr>
              <w:rPr>
                <w:lang w:eastAsia="en-AU"/>
              </w:rPr>
            </w:pPr>
            <w:r>
              <w:rPr>
                <w:lang w:eastAsia="en-AU"/>
              </w:rPr>
              <w:t>355.6</w:t>
            </w:r>
            <w:r w:rsidRPr="00196380">
              <w:rPr>
                <w:lang w:eastAsia="en-AU"/>
              </w:rPr>
              <w:t xml:space="preserve"> thousand</w:t>
            </w:r>
          </w:p>
        </w:tc>
        <w:tc>
          <w:tcPr>
            <w:tcW w:w="654" w:type="pct"/>
            <w:tcBorders>
              <w:left w:val="single" w:sz="2" w:space="0" w:color="auto"/>
              <w:bottom w:val="single" w:sz="6" w:space="0" w:color="auto"/>
              <w:right w:val="single" w:sz="2" w:space="0" w:color="auto"/>
            </w:tcBorders>
            <w:hideMark/>
          </w:tcPr>
          <w:p w14:paraId="60A9EF30" w14:textId="77777777" w:rsidR="00685FC1" w:rsidRPr="00196380" w:rsidRDefault="00685FC1" w:rsidP="00312D9E">
            <w:pPr>
              <w:jc w:val="center"/>
              <w:rPr>
                <w:lang w:eastAsia="en-AU"/>
              </w:rPr>
            </w:pPr>
            <w:r>
              <w:rPr>
                <w:lang w:eastAsia="en-AU"/>
              </w:rPr>
              <w:t>9</w:t>
            </w:r>
            <w:r w:rsidRPr="00196380">
              <w:rPr>
                <w:lang w:eastAsia="en-AU"/>
              </w:rPr>
              <w:t>%</w:t>
            </w:r>
            <w:r>
              <w:rPr>
                <w:lang w:eastAsia="en-AU"/>
              </w:rPr>
              <w:t xml:space="preserve"> </w:t>
            </w:r>
            <w:r w:rsidRPr="00196380">
              <w:rPr>
                <w:lang w:eastAsia="en-AU"/>
              </w:rPr>
              <w:t>up</w:t>
            </w:r>
          </w:p>
        </w:tc>
        <w:tc>
          <w:tcPr>
            <w:tcW w:w="654" w:type="pct"/>
            <w:tcBorders>
              <w:left w:val="single" w:sz="2" w:space="0" w:color="auto"/>
              <w:bottom w:val="single" w:sz="6" w:space="0" w:color="auto"/>
              <w:right w:val="single" w:sz="2" w:space="0" w:color="auto"/>
            </w:tcBorders>
            <w:hideMark/>
          </w:tcPr>
          <w:p w14:paraId="7249EC5C" w14:textId="3C38BE00" w:rsidR="00685FC1" w:rsidRPr="00196380" w:rsidRDefault="00247F2F" w:rsidP="00312D9E">
            <w:pPr>
              <w:jc w:val="center"/>
              <w:rPr>
                <w:lang w:eastAsia="en-AU"/>
              </w:rPr>
            </w:pPr>
            <w:r>
              <w:rPr>
                <w:lang w:eastAsia="en-AU"/>
              </w:rPr>
              <w:t>-</w:t>
            </w:r>
            <w:r w:rsidR="00685FC1">
              <w:rPr>
                <w:lang w:eastAsia="en-AU"/>
              </w:rPr>
              <w:t>1.5</w:t>
            </w:r>
            <w:r w:rsidR="00685FC1" w:rsidRPr="00196380">
              <w:rPr>
                <w:lang w:eastAsia="en-AU"/>
              </w:rPr>
              <w:t xml:space="preserve">% </w:t>
            </w:r>
            <w:r w:rsidR="00685FC1">
              <w:rPr>
                <w:lang w:eastAsia="en-AU"/>
              </w:rPr>
              <w:t>down</w:t>
            </w:r>
          </w:p>
        </w:tc>
      </w:tr>
      <w:tr w:rsidR="00685FC1" w:rsidRPr="00196380" w14:paraId="5C1CB960" w14:textId="77777777" w:rsidTr="003C1CC5">
        <w:tc>
          <w:tcPr>
            <w:tcW w:w="700" w:type="pct"/>
            <w:tcBorders>
              <w:top w:val="single" w:sz="2" w:space="0" w:color="auto"/>
              <w:left w:val="single" w:sz="2" w:space="0" w:color="auto"/>
              <w:bottom w:val="single" w:sz="6" w:space="0" w:color="auto"/>
              <w:right w:val="single" w:sz="2" w:space="0" w:color="auto"/>
            </w:tcBorders>
            <w:vAlign w:val="center"/>
            <w:hideMark/>
          </w:tcPr>
          <w:p w14:paraId="509D4137" w14:textId="77777777" w:rsidR="00685FC1" w:rsidRPr="00196380" w:rsidRDefault="00685FC1">
            <w:pPr>
              <w:rPr>
                <w:lang w:eastAsia="en-AU"/>
              </w:rPr>
            </w:pPr>
            <w:r w:rsidRPr="00196380">
              <w:rPr>
                <w:lang w:eastAsia="en-AU"/>
              </w:rPr>
              <w:t>Tourism investment</w:t>
            </w:r>
          </w:p>
        </w:tc>
        <w:tc>
          <w:tcPr>
            <w:tcW w:w="1308" w:type="pct"/>
            <w:tcBorders>
              <w:left w:val="single" w:sz="2" w:space="0" w:color="auto"/>
              <w:bottom w:val="single" w:sz="6" w:space="0" w:color="auto"/>
              <w:right w:val="single" w:sz="2" w:space="0" w:color="auto"/>
            </w:tcBorders>
            <w:hideMark/>
          </w:tcPr>
          <w:p w14:paraId="3BDBB0D9" w14:textId="46EA42AC" w:rsidR="00685FC1" w:rsidRPr="00432025" w:rsidRDefault="00685FC1" w:rsidP="00240780">
            <w:pPr>
              <w:spacing w:before="0" w:after="0"/>
              <w:rPr>
                <w:sz w:val="18"/>
                <w:szCs w:val="18"/>
                <w:lang w:eastAsia="en-AU"/>
              </w:rPr>
            </w:pPr>
            <w:r w:rsidRPr="00432025">
              <w:rPr>
                <w:sz w:val="18"/>
                <w:szCs w:val="18"/>
                <w:lang w:eastAsia="en-AU"/>
              </w:rPr>
              <w:t>Total value of investment in tourism infrastructure projects valued over $20</w:t>
            </w:r>
            <w:r w:rsidR="00312D9E">
              <w:rPr>
                <w:sz w:val="18"/>
                <w:szCs w:val="18"/>
                <w:lang w:eastAsia="en-AU"/>
              </w:rPr>
              <w:t> </w:t>
            </w:r>
            <w:r w:rsidRPr="00432025">
              <w:rPr>
                <w:sz w:val="18"/>
                <w:szCs w:val="18"/>
                <w:lang w:eastAsia="en-AU"/>
              </w:rPr>
              <w:t>million (as at end June)</w:t>
            </w:r>
          </w:p>
        </w:tc>
        <w:tc>
          <w:tcPr>
            <w:tcW w:w="561" w:type="pct"/>
            <w:tcBorders>
              <w:left w:val="single" w:sz="2" w:space="0" w:color="auto"/>
              <w:bottom w:val="single" w:sz="6" w:space="0" w:color="auto"/>
              <w:right w:val="single" w:sz="2" w:space="0" w:color="auto"/>
            </w:tcBorders>
            <w:hideMark/>
          </w:tcPr>
          <w:p w14:paraId="761C54D0" w14:textId="77777777" w:rsidR="00685FC1" w:rsidRPr="00196380" w:rsidRDefault="00685FC1">
            <w:pPr>
              <w:rPr>
                <w:lang w:eastAsia="en-AU"/>
              </w:rPr>
            </w:pPr>
            <w:r w:rsidRPr="00196380">
              <w:rPr>
                <w:lang w:eastAsia="en-AU"/>
              </w:rPr>
              <w:t>$45.3 billion</w:t>
            </w:r>
          </w:p>
        </w:tc>
        <w:tc>
          <w:tcPr>
            <w:tcW w:w="561" w:type="pct"/>
            <w:tcBorders>
              <w:left w:val="single" w:sz="2" w:space="0" w:color="auto"/>
              <w:bottom w:val="single" w:sz="6" w:space="0" w:color="auto"/>
              <w:right w:val="single" w:sz="2" w:space="0" w:color="auto"/>
            </w:tcBorders>
          </w:tcPr>
          <w:p w14:paraId="196B513D" w14:textId="2C190968" w:rsidR="00685FC1" w:rsidRPr="00196380" w:rsidRDefault="00D700C0">
            <w:pPr>
              <w:rPr>
                <w:lang w:eastAsia="en-AU"/>
              </w:rPr>
            </w:pPr>
            <w:r w:rsidRPr="00196380">
              <w:rPr>
                <w:lang w:eastAsia="en-AU"/>
              </w:rPr>
              <w:t>$4</w:t>
            </w:r>
            <w:r>
              <w:rPr>
                <w:lang w:eastAsia="en-AU"/>
              </w:rPr>
              <w:t>4</w:t>
            </w:r>
            <w:r w:rsidRPr="00196380">
              <w:rPr>
                <w:lang w:eastAsia="en-AU"/>
              </w:rPr>
              <w:t>.3 billion</w:t>
            </w:r>
          </w:p>
        </w:tc>
        <w:tc>
          <w:tcPr>
            <w:tcW w:w="561" w:type="pct"/>
            <w:tcBorders>
              <w:left w:val="single" w:sz="2" w:space="0" w:color="auto"/>
              <w:bottom w:val="single" w:sz="6" w:space="0" w:color="auto"/>
              <w:right w:val="single" w:sz="2" w:space="0" w:color="auto"/>
            </w:tcBorders>
            <w:shd w:val="clear" w:color="auto" w:fill="FCF5E6" w:themeFill="accent4" w:themeFillTint="33"/>
            <w:hideMark/>
          </w:tcPr>
          <w:p w14:paraId="37EEA38D" w14:textId="6F68900E" w:rsidR="00685FC1" w:rsidRPr="00196380" w:rsidRDefault="00685FC1">
            <w:pPr>
              <w:rPr>
                <w:lang w:eastAsia="en-AU"/>
              </w:rPr>
            </w:pPr>
            <w:r w:rsidRPr="00196380">
              <w:rPr>
                <w:lang w:eastAsia="en-AU"/>
              </w:rPr>
              <w:t>$</w:t>
            </w:r>
            <w:r>
              <w:rPr>
                <w:lang w:eastAsia="en-AU"/>
              </w:rPr>
              <w:t>56</w:t>
            </w:r>
            <w:r w:rsidRPr="00196380">
              <w:rPr>
                <w:lang w:eastAsia="en-AU"/>
              </w:rPr>
              <w:t>.</w:t>
            </w:r>
            <w:r>
              <w:rPr>
                <w:lang w:eastAsia="en-AU"/>
              </w:rPr>
              <w:t>1</w:t>
            </w:r>
            <w:r w:rsidRPr="00196380">
              <w:rPr>
                <w:lang w:eastAsia="en-AU"/>
              </w:rPr>
              <w:t xml:space="preserve"> billion</w:t>
            </w:r>
          </w:p>
        </w:tc>
        <w:tc>
          <w:tcPr>
            <w:tcW w:w="654" w:type="pct"/>
            <w:tcBorders>
              <w:left w:val="single" w:sz="2" w:space="0" w:color="auto"/>
              <w:bottom w:val="single" w:sz="6" w:space="0" w:color="auto"/>
              <w:right w:val="single" w:sz="2" w:space="0" w:color="auto"/>
            </w:tcBorders>
            <w:hideMark/>
          </w:tcPr>
          <w:p w14:paraId="590538F4" w14:textId="77777777" w:rsidR="00685FC1" w:rsidRPr="00196380" w:rsidRDefault="00685FC1" w:rsidP="00312D9E">
            <w:pPr>
              <w:jc w:val="center"/>
              <w:rPr>
                <w:lang w:eastAsia="en-AU"/>
              </w:rPr>
            </w:pPr>
            <w:r>
              <w:rPr>
                <w:lang w:eastAsia="en-AU"/>
              </w:rPr>
              <w:t>24</w:t>
            </w:r>
            <w:r w:rsidRPr="00196380">
              <w:rPr>
                <w:lang w:eastAsia="en-AU"/>
              </w:rPr>
              <w:t xml:space="preserve">% </w:t>
            </w:r>
            <w:r>
              <w:rPr>
                <w:lang w:eastAsia="en-AU"/>
              </w:rPr>
              <w:t>up</w:t>
            </w:r>
          </w:p>
        </w:tc>
        <w:tc>
          <w:tcPr>
            <w:tcW w:w="654" w:type="pct"/>
            <w:tcBorders>
              <w:left w:val="single" w:sz="2" w:space="0" w:color="auto"/>
              <w:bottom w:val="single" w:sz="6" w:space="0" w:color="auto"/>
              <w:right w:val="single" w:sz="2" w:space="0" w:color="auto"/>
            </w:tcBorders>
            <w:hideMark/>
          </w:tcPr>
          <w:p w14:paraId="3866D596" w14:textId="77777777" w:rsidR="00685FC1" w:rsidRPr="00196380" w:rsidRDefault="00685FC1" w:rsidP="00312D9E">
            <w:pPr>
              <w:jc w:val="center"/>
              <w:rPr>
                <w:lang w:eastAsia="en-AU"/>
              </w:rPr>
            </w:pPr>
            <w:r>
              <w:rPr>
                <w:lang w:eastAsia="en-AU"/>
              </w:rPr>
              <w:t>27</w:t>
            </w:r>
            <w:r w:rsidRPr="00196380">
              <w:rPr>
                <w:lang w:eastAsia="en-AU"/>
              </w:rPr>
              <w:t>% up</w:t>
            </w:r>
          </w:p>
        </w:tc>
      </w:tr>
    </w:tbl>
    <w:p w14:paraId="55008891" w14:textId="77777777" w:rsidR="00ED4B68" w:rsidRDefault="00ED4B68" w:rsidP="00ED4B68">
      <w:pPr>
        <w:rPr>
          <w:lang w:eastAsia="zh-CN"/>
        </w:rPr>
      </w:pPr>
    </w:p>
    <w:p w14:paraId="4530B30B" w14:textId="77777777" w:rsidR="00ED4B68" w:rsidRDefault="00ED4B68">
      <w:pPr>
        <w:spacing w:before="0" w:after="160" w:line="259" w:lineRule="auto"/>
        <w:sectPr w:rsidR="00ED4B68" w:rsidSect="009A1BFD">
          <w:footerReference w:type="default" r:id="rId23"/>
          <w:footerReference w:type="first" r:id="rId24"/>
          <w:pgSz w:w="16838" w:h="11906" w:orient="landscape"/>
          <w:pgMar w:top="851" w:right="851" w:bottom="945" w:left="993" w:header="708" w:footer="362" w:gutter="0"/>
          <w:cols w:space="708"/>
          <w:titlePg/>
          <w:docGrid w:linePitch="360"/>
        </w:sectPr>
      </w:pPr>
    </w:p>
    <w:p w14:paraId="1CD1F17D" w14:textId="25A1058E" w:rsidR="00BA0140" w:rsidRPr="008867B2" w:rsidRDefault="00BA0140" w:rsidP="00BA0140">
      <w:pPr>
        <w:pStyle w:val="Heading2"/>
        <w:rPr>
          <w:sz w:val="36"/>
          <w:szCs w:val="28"/>
        </w:rPr>
      </w:pPr>
      <w:bookmarkStart w:id="50" w:name="_Toc167113873"/>
      <w:r w:rsidRPr="008867B2">
        <w:rPr>
          <w:sz w:val="36"/>
          <w:szCs w:val="28"/>
        </w:rPr>
        <w:lastRenderedPageBreak/>
        <w:t xml:space="preserve">International </w:t>
      </w:r>
      <w:bookmarkEnd w:id="44"/>
      <w:r w:rsidRPr="008867B2">
        <w:rPr>
          <w:sz w:val="36"/>
          <w:szCs w:val="28"/>
        </w:rPr>
        <w:t>demand</w:t>
      </w:r>
      <w:bookmarkEnd w:id="45"/>
      <w:bookmarkEnd w:id="50"/>
    </w:p>
    <w:p w14:paraId="70F3CB04" w14:textId="065517EF" w:rsidR="00511BB3" w:rsidRDefault="00511BB3" w:rsidP="00511BB3">
      <w:pPr>
        <w:pStyle w:val="Heading3"/>
      </w:pPr>
      <w:bookmarkStart w:id="51" w:name="_Toc167113874"/>
      <w:r>
        <w:t>Overview of international tourism demand in Australia</w:t>
      </w:r>
      <w:bookmarkEnd w:id="51"/>
    </w:p>
    <w:p w14:paraId="7B648E44" w14:textId="6475AC0A" w:rsidR="00644A0C" w:rsidRDefault="00BA0140" w:rsidP="00680239">
      <w:pPr>
        <w:shd w:val="clear" w:color="auto" w:fill="FFFFFF"/>
        <w:spacing w:before="360"/>
        <w:rPr>
          <w:rFonts w:eastAsia="Times New Roman" w:cs="Times New Roman"/>
          <w:color w:val="000000"/>
          <w:lang w:eastAsia="en-AU"/>
        </w:rPr>
      </w:pPr>
      <w:r>
        <w:rPr>
          <w:rFonts w:eastAsia="Times New Roman" w:cs="Times New Roman"/>
          <w:color w:val="000000"/>
          <w:lang w:eastAsia="en-AU"/>
        </w:rPr>
        <w:t xml:space="preserve">Australia’s international border </w:t>
      </w:r>
      <w:r w:rsidR="000A66A8">
        <w:rPr>
          <w:rFonts w:eastAsia="Times New Roman" w:cs="Times New Roman"/>
          <w:color w:val="000000"/>
          <w:lang w:eastAsia="en-AU"/>
        </w:rPr>
        <w:t xml:space="preserve">was </w:t>
      </w:r>
      <w:r>
        <w:rPr>
          <w:rFonts w:eastAsia="Times New Roman" w:cs="Times New Roman"/>
          <w:color w:val="000000"/>
          <w:lang w:eastAsia="en-AU"/>
        </w:rPr>
        <w:t xml:space="preserve">closed </w:t>
      </w:r>
      <w:r w:rsidR="007335F3">
        <w:rPr>
          <w:rFonts w:eastAsia="Times New Roman" w:cs="Times New Roman"/>
          <w:color w:val="000000"/>
          <w:lang w:eastAsia="en-AU"/>
        </w:rPr>
        <w:t xml:space="preserve">for </w:t>
      </w:r>
      <w:r w:rsidR="005B7EEF">
        <w:rPr>
          <w:rFonts w:eastAsia="Times New Roman" w:cs="Times New Roman"/>
          <w:color w:val="000000"/>
          <w:lang w:eastAsia="en-AU"/>
        </w:rPr>
        <w:t>around</w:t>
      </w:r>
      <w:r w:rsidR="007335F3">
        <w:rPr>
          <w:rFonts w:eastAsia="Times New Roman" w:cs="Times New Roman"/>
          <w:color w:val="000000"/>
          <w:lang w:eastAsia="en-AU"/>
        </w:rPr>
        <w:t xml:space="preserve"> </w:t>
      </w:r>
      <w:r w:rsidR="005B7EEF">
        <w:rPr>
          <w:rFonts w:eastAsia="Times New Roman" w:cs="Times New Roman"/>
          <w:color w:val="000000"/>
          <w:lang w:eastAsia="en-AU"/>
        </w:rPr>
        <w:t xml:space="preserve">2 years from </w:t>
      </w:r>
      <w:r>
        <w:rPr>
          <w:rFonts w:eastAsia="Times New Roman" w:cs="Times New Roman"/>
          <w:color w:val="000000"/>
          <w:lang w:eastAsia="en-AU"/>
        </w:rPr>
        <w:t xml:space="preserve">March 2020. </w:t>
      </w:r>
      <w:r w:rsidR="000A66A8">
        <w:rPr>
          <w:rFonts w:eastAsia="Times New Roman" w:cs="Times New Roman"/>
          <w:color w:val="000000"/>
          <w:lang w:eastAsia="en-AU"/>
        </w:rPr>
        <w:t xml:space="preserve">The </w:t>
      </w:r>
      <w:r w:rsidR="000A66A8">
        <w:t>prolonged disruption to international travel led to significant losses in international tourism expenditure</w:t>
      </w:r>
      <w:r w:rsidR="00AA7FF1">
        <w:t>.</w:t>
      </w:r>
      <w:r w:rsidR="00AA7FF1">
        <w:rPr>
          <w:rFonts w:eastAsia="Times New Roman" w:cs="Times New Roman"/>
          <w:color w:val="000000"/>
          <w:lang w:eastAsia="en-AU"/>
        </w:rPr>
        <w:t xml:space="preserve"> </w:t>
      </w:r>
      <w:r w:rsidR="009406CE">
        <w:rPr>
          <w:rFonts w:eastAsia="Verdana" w:cs="Times New Roman"/>
          <w:color w:val="000000"/>
        </w:rPr>
        <w:t>As</w:t>
      </w:r>
      <w:r>
        <w:rPr>
          <w:rFonts w:eastAsia="Verdana" w:cs="Times New Roman"/>
          <w:color w:val="000000"/>
        </w:rPr>
        <w:t xml:space="preserve"> travel restrictions to Australia </w:t>
      </w:r>
      <w:r w:rsidR="009406CE">
        <w:rPr>
          <w:rFonts w:eastAsia="Verdana" w:cs="Times New Roman"/>
          <w:color w:val="000000"/>
        </w:rPr>
        <w:t>eased</w:t>
      </w:r>
      <w:r w:rsidR="00680239">
        <w:rPr>
          <w:rFonts w:eastAsia="Verdana" w:cs="Times New Roman"/>
          <w:color w:val="000000"/>
        </w:rPr>
        <w:t xml:space="preserve"> in 2022</w:t>
      </w:r>
      <w:r w:rsidR="009406CE">
        <w:rPr>
          <w:rFonts w:eastAsia="Verdana" w:cs="Times New Roman"/>
          <w:color w:val="000000"/>
        </w:rPr>
        <w:t xml:space="preserve">, </w:t>
      </w:r>
      <w:r w:rsidR="00AC182E">
        <w:rPr>
          <w:rFonts w:eastAsia="Verdana" w:cs="Times New Roman"/>
          <w:color w:val="000000"/>
        </w:rPr>
        <w:t xml:space="preserve">international visitation increased strongly, </w:t>
      </w:r>
      <w:r w:rsidR="00AC182E">
        <w:rPr>
          <w:rFonts w:eastAsia="Times New Roman" w:cs="Times New Roman"/>
          <w:color w:val="000000"/>
          <w:lang w:eastAsia="en-AU"/>
        </w:rPr>
        <w:t>off an extremely low level.</w:t>
      </w:r>
      <w:r w:rsidR="00AC182E">
        <w:rPr>
          <w:rFonts w:eastAsia="Verdana" w:cs="Times New Roman"/>
          <w:color w:val="000000"/>
        </w:rPr>
        <w:t xml:space="preserve"> S</w:t>
      </w:r>
      <w:r>
        <w:rPr>
          <w:rFonts w:eastAsia="Verdana" w:cs="Times New Roman"/>
          <w:color w:val="000000"/>
        </w:rPr>
        <w:t>trong pent-up demand to connect with family and loved ones</w:t>
      </w:r>
      <w:r w:rsidR="00294C5F">
        <w:rPr>
          <w:rFonts w:eastAsia="Verdana" w:cs="Times New Roman"/>
          <w:color w:val="000000"/>
        </w:rPr>
        <w:t xml:space="preserve"> </w:t>
      </w:r>
      <w:r w:rsidR="003E6802">
        <w:rPr>
          <w:rFonts w:eastAsia="Verdana" w:cs="Times New Roman"/>
          <w:color w:val="000000"/>
        </w:rPr>
        <w:t xml:space="preserve">in </w:t>
      </w:r>
      <w:r>
        <w:rPr>
          <w:rFonts w:eastAsia="Verdana" w:cs="Times New Roman"/>
          <w:color w:val="000000"/>
        </w:rPr>
        <w:t xml:space="preserve">Australia </w:t>
      </w:r>
      <w:r w:rsidR="00AC182E">
        <w:rPr>
          <w:rFonts w:eastAsia="Verdana" w:cs="Times New Roman"/>
          <w:color w:val="000000"/>
        </w:rPr>
        <w:t xml:space="preserve">drove a surge in </w:t>
      </w:r>
      <w:r w:rsidR="000554F0">
        <w:rPr>
          <w:rFonts w:eastAsia="Verdana" w:cs="Times New Roman"/>
          <w:color w:val="000000"/>
        </w:rPr>
        <w:t xml:space="preserve">international </w:t>
      </w:r>
      <w:r w:rsidR="00680239">
        <w:rPr>
          <w:rFonts w:eastAsia="Verdana" w:cs="Times New Roman"/>
          <w:color w:val="000000"/>
        </w:rPr>
        <w:t xml:space="preserve">arrivals and Australia </w:t>
      </w:r>
      <w:r>
        <w:rPr>
          <w:rFonts w:eastAsia="Verdana" w:cs="Times New Roman"/>
          <w:color w:val="000000"/>
        </w:rPr>
        <w:t>benefited from its long-held status as an attractive, welcoming, and safe destination for international visitors.</w:t>
      </w:r>
      <w:r>
        <w:rPr>
          <w:rFonts w:eastAsia="Times New Roman" w:cs="Times New Roman"/>
          <w:color w:val="000000"/>
          <w:lang w:eastAsia="en-AU"/>
        </w:rPr>
        <w:t xml:space="preserve"> </w:t>
      </w:r>
    </w:p>
    <w:p w14:paraId="67763D12" w14:textId="05DE5432" w:rsidR="00680239" w:rsidRDefault="00682AD1" w:rsidP="26FD075B">
      <w:pPr>
        <w:shd w:val="clear" w:color="auto" w:fill="FFFFFF" w:themeFill="background1"/>
        <w:spacing w:before="360"/>
        <w:rPr>
          <w:rFonts w:eastAsia="Times New Roman" w:cs="Times New Roman"/>
          <w:color w:val="000000"/>
          <w:lang w:eastAsia="en-AU"/>
        </w:rPr>
      </w:pPr>
      <w:r w:rsidRPr="26FD075B">
        <w:rPr>
          <w:rFonts w:eastAsia="Times New Roman" w:cs="Times New Roman"/>
          <w:lang w:eastAsia="en-AU"/>
        </w:rPr>
        <w:t xml:space="preserve">In 2023, </w:t>
      </w:r>
      <w:r w:rsidR="00E46A51" w:rsidRPr="26FD075B">
        <w:rPr>
          <w:rFonts w:eastAsia="Times New Roman" w:cs="Times New Roman"/>
          <w:lang w:eastAsia="en-AU"/>
        </w:rPr>
        <w:t xml:space="preserve">international outbound travel resumed for Australia’s largest pre-pandemic source market, China. This was a year later than most other countries, which </w:t>
      </w:r>
      <w:r w:rsidR="00F60CBE">
        <w:rPr>
          <w:rFonts w:eastAsia="Times New Roman" w:cs="Times New Roman"/>
          <w:lang w:eastAsia="en-AU"/>
        </w:rPr>
        <w:t xml:space="preserve">has </w:t>
      </w:r>
      <w:r w:rsidR="00637EA9" w:rsidRPr="26FD075B">
        <w:rPr>
          <w:rFonts w:eastAsia="Times New Roman" w:cs="Times New Roman"/>
          <w:lang w:eastAsia="en-AU"/>
        </w:rPr>
        <w:t xml:space="preserve">contributed to the delayed recovery in arrivals </w:t>
      </w:r>
      <w:r w:rsidR="001B5334" w:rsidRPr="26FD075B">
        <w:rPr>
          <w:rFonts w:eastAsia="Times New Roman" w:cs="Times New Roman"/>
          <w:lang w:eastAsia="en-AU"/>
        </w:rPr>
        <w:t xml:space="preserve">in Australia </w:t>
      </w:r>
      <w:r w:rsidR="00637EA9" w:rsidRPr="26FD075B">
        <w:rPr>
          <w:rFonts w:eastAsia="Times New Roman" w:cs="Times New Roman"/>
          <w:lang w:eastAsia="en-AU"/>
        </w:rPr>
        <w:t xml:space="preserve">from this </w:t>
      </w:r>
      <w:r w:rsidR="009E6EC3" w:rsidRPr="26FD075B">
        <w:rPr>
          <w:rFonts w:eastAsia="Times New Roman" w:cs="Times New Roman"/>
          <w:lang w:eastAsia="en-AU"/>
        </w:rPr>
        <w:t>key</w:t>
      </w:r>
      <w:r w:rsidR="001B5334" w:rsidRPr="26FD075B">
        <w:rPr>
          <w:rFonts w:eastAsia="Times New Roman" w:cs="Times New Roman"/>
          <w:lang w:eastAsia="en-AU"/>
        </w:rPr>
        <w:t xml:space="preserve"> market</w:t>
      </w:r>
      <w:r w:rsidR="00637EA9" w:rsidRPr="26FD075B">
        <w:rPr>
          <w:rFonts w:eastAsia="Times New Roman" w:cs="Times New Roman"/>
          <w:lang w:eastAsia="en-AU"/>
        </w:rPr>
        <w:t>.</w:t>
      </w:r>
      <w:r w:rsidR="00D80132" w:rsidRPr="26FD075B">
        <w:rPr>
          <w:rFonts w:eastAsia="Times New Roman" w:cs="Times New Roman"/>
          <w:lang w:eastAsia="en-AU"/>
        </w:rPr>
        <w:t xml:space="preserve"> The </w:t>
      </w:r>
      <w:r w:rsidR="009E6EC3" w:rsidRPr="26FD075B">
        <w:rPr>
          <w:rFonts w:eastAsia="Times New Roman" w:cs="Times New Roman"/>
          <w:lang w:eastAsia="en-AU"/>
        </w:rPr>
        <w:t xml:space="preserve">re-inclusion </w:t>
      </w:r>
      <w:r w:rsidR="00D80132" w:rsidRPr="26FD075B">
        <w:rPr>
          <w:rFonts w:eastAsia="Times New Roman" w:cs="Times New Roman"/>
          <w:lang w:eastAsia="en-AU"/>
        </w:rPr>
        <w:t xml:space="preserve">of Australia </w:t>
      </w:r>
      <w:r w:rsidR="009E6EC3" w:rsidRPr="26FD075B">
        <w:rPr>
          <w:rFonts w:eastAsia="Times New Roman" w:cs="Times New Roman"/>
          <w:lang w:eastAsia="en-AU"/>
        </w:rPr>
        <w:t xml:space="preserve">in </w:t>
      </w:r>
      <w:r w:rsidR="00D80132" w:rsidRPr="26FD075B">
        <w:rPr>
          <w:rFonts w:eastAsia="Times New Roman" w:cs="Times New Roman"/>
          <w:lang w:eastAsia="en-AU"/>
        </w:rPr>
        <w:t xml:space="preserve">China’s Approved Destination Status </w:t>
      </w:r>
      <w:r w:rsidR="009E6EC3" w:rsidRPr="26FD075B">
        <w:rPr>
          <w:rFonts w:eastAsia="Times New Roman" w:cs="Times New Roman"/>
          <w:lang w:eastAsia="en-AU"/>
        </w:rPr>
        <w:t>scheme</w:t>
      </w:r>
      <w:r w:rsidR="00D95037" w:rsidRPr="26FD075B">
        <w:rPr>
          <w:rFonts w:eastAsia="Times New Roman" w:cs="Times New Roman"/>
          <w:lang w:eastAsia="en-AU"/>
        </w:rPr>
        <w:t xml:space="preserve"> in the second half of 2023</w:t>
      </w:r>
      <w:r w:rsidR="009E6EC3" w:rsidRPr="26FD075B">
        <w:rPr>
          <w:rFonts w:eastAsia="Times New Roman" w:cs="Times New Roman"/>
          <w:lang w:eastAsia="en-AU"/>
        </w:rPr>
        <w:t xml:space="preserve"> </w:t>
      </w:r>
      <w:r w:rsidR="00D80132" w:rsidRPr="26FD075B">
        <w:rPr>
          <w:rFonts w:eastAsia="Times New Roman" w:cs="Times New Roman"/>
          <w:lang w:eastAsia="en-AU"/>
        </w:rPr>
        <w:t xml:space="preserve">was welcome </w:t>
      </w:r>
      <w:r w:rsidR="008C3213" w:rsidRPr="26FD075B">
        <w:rPr>
          <w:rFonts w:eastAsia="Times New Roman" w:cs="Times New Roman"/>
          <w:lang w:eastAsia="en-AU"/>
        </w:rPr>
        <w:t>news and</w:t>
      </w:r>
      <w:r w:rsidR="00FF2716" w:rsidRPr="26FD075B">
        <w:rPr>
          <w:rFonts w:eastAsia="Times New Roman" w:cs="Times New Roman"/>
          <w:lang w:eastAsia="en-AU"/>
        </w:rPr>
        <w:t xml:space="preserve"> should support further growth in arrivals going forward.</w:t>
      </w:r>
      <w:r w:rsidR="00D95037" w:rsidRPr="26FD075B">
        <w:rPr>
          <w:rFonts w:eastAsia="Times New Roman" w:cs="Times New Roman"/>
          <w:lang w:eastAsia="en-AU"/>
        </w:rPr>
        <w:t xml:space="preserve"> </w:t>
      </w:r>
    </w:p>
    <w:p w14:paraId="254709D6" w14:textId="2792C65A" w:rsidR="00856669" w:rsidRDefault="0065117B" w:rsidP="00975B82">
      <w:pPr>
        <w:rPr>
          <w:lang w:eastAsia="en-AU"/>
        </w:rPr>
      </w:pPr>
      <w:r>
        <w:rPr>
          <w:color w:val="000000"/>
        </w:rPr>
        <w:t>In 2023, international visitation continued to trend higher</w:t>
      </w:r>
      <w:r w:rsidR="005935E2">
        <w:rPr>
          <w:color w:val="000000"/>
        </w:rPr>
        <w:t xml:space="preserve"> (Figure </w:t>
      </w:r>
      <w:r w:rsidR="001C1885">
        <w:rPr>
          <w:color w:val="000000"/>
        </w:rPr>
        <w:t>3</w:t>
      </w:r>
      <w:r w:rsidR="005935E2">
        <w:rPr>
          <w:color w:val="000000"/>
        </w:rPr>
        <w:t>)</w:t>
      </w:r>
      <w:r w:rsidR="000674A7">
        <w:rPr>
          <w:color w:val="000000"/>
        </w:rPr>
        <w:t>. There were 7.2 million s</w:t>
      </w:r>
      <w:r w:rsidR="006F65AB">
        <w:rPr>
          <w:color w:val="000000"/>
        </w:rPr>
        <w:t xml:space="preserve">hort-term visitor arrivals to Australia </w:t>
      </w:r>
      <w:r w:rsidR="000674A7">
        <w:rPr>
          <w:color w:val="000000"/>
        </w:rPr>
        <w:t>in 2023, nearly double the number of arrivals in 2022 (3.</w:t>
      </w:r>
      <w:r w:rsidR="00206730">
        <w:rPr>
          <w:color w:val="000000"/>
        </w:rPr>
        <w:t>7</w:t>
      </w:r>
      <w:r w:rsidR="00D22705">
        <w:rPr>
          <w:color w:val="000000"/>
        </w:rPr>
        <w:t> </w:t>
      </w:r>
      <w:r w:rsidR="000674A7">
        <w:rPr>
          <w:color w:val="000000"/>
        </w:rPr>
        <w:t>million)</w:t>
      </w:r>
      <w:r w:rsidR="003033BC">
        <w:rPr>
          <w:color w:val="000000"/>
        </w:rPr>
        <w:t xml:space="preserve"> and </w:t>
      </w:r>
      <w:r w:rsidR="008410B0">
        <w:rPr>
          <w:color w:val="000000"/>
        </w:rPr>
        <w:t>7</w:t>
      </w:r>
      <w:r w:rsidR="00ED7CAC">
        <w:rPr>
          <w:color w:val="000000"/>
        </w:rPr>
        <w:t>6</w:t>
      </w:r>
      <w:r w:rsidR="008410B0">
        <w:rPr>
          <w:color w:val="000000"/>
        </w:rPr>
        <w:t>% of the pre-pandemic level</w:t>
      </w:r>
      <w:r w:rsidR="003033BC">
        <w:rPr>
          <w:color w:val="000000"/>
        </w:rPr>
        <w:t xml:space="preserve"> in 2019</w:t>
      </w:r>
      <w:r w:rsidR="008410B0">
        <w:rPr>
          <w:color w:val="000000"/>
        </w:rPr>
        <w:t>.</w:t>
      </w:r>
      <w:r w:rsidR="000E1BA1">
        <w:rPr>
          <w:color w:val="000000"/>
        </w:rPr>
        <w:t xml:space="preserve"> </w:t>
      </w:r>
      <w:r w:rsidR="001C1885">
        <w:rPr>
          <w:color w:val="000000"/>
        </w:rPr>
        <w:t xml:space="preserve">The rate of growth in international arrivals has been rapid during the </w:t>
      </w:r>
      <w:r w:rsidR="006C381B">
        <w:rPr>
          <w:color w:val="000000"/>
        </w:rPr>
        <w:t xml:space="preserve">initial </w:t>
      </w:r>
      <w:r w:rsidR="001C1885">
        <w:rPr>
          <w:color w:val="000000"/>
        </w:rPr>
        <w:t xml:space="preserve">recovery period but will ease going forward. </w:t>
      </w:r>
      <w:r w:rsidR="00393589">
        <w:rPr>
          <w:color w:val="000000"/>
        </w:rPr>
        <w:t>N</w:t>
      </w:r>
      <w:r w:rsidR="006C381B">
        <w:rPr>
          <w:color w:val="000000"/>
        </w:rPr>
        <w:t xml:space="preserve">evertheless, </w:t>
      </w:r>
      <w:r w:rsidR="00975B82">
        <w:rPr>
          <w:color w:val="000000"/>
        </w:rPr>
        <w:t xml:space="preserve">TRA expects that international visitor numbers will increase further in 2024, </w:t>
      </w:r>
      <w:r w:rsidR="00A04B8C">
        <w:rPr>
          <w:color w:val="000000"/>
        </w:rPr>
        <w:t xml:space="preserve">by around 29%, </w:t>
      </w:r>
      <w:r w:rsidR="00975B82">
        <w:rPr>
          <w:color w:val="000000"/>
        </w:rPr>
        <w:t xml:space="preserve">and then surpass the pre-pandemic peak in 2025. </w:t>
      </w:r>
      <w:r w:rsidR="00633B20">
        <w:rPr>
          <w:lang w:eastAsia="en-AU"/>
        </w:rPr>
        <w:t>The return of international visitors is critical for the Australian tourism sector to make a full recovery. International travellers take significantly longer trips than domestic travellers and spend substantially more during their travel in Australia.</w:t>
      </w:r>
      <w:r w:rsidR="00633B20">
        <w:rPr>
          <w:rStyle w:val="FootnoteReference"/>
          <w:lang w:eastAsia="en-AU"/>
        </w:rPr>
        <w:footnoteReference w:id="2"/>
      </w:r>
    </w:p>
    <w:p w14:paraId="45566F3E" w14:textId="77777777" w:rsidR="004E7A3E" w:rsidRDefault="004E7A3E" w:rsidP="004E7A3E">
      <w:pPr>
        <w:rPr>
          <w:color w:val="000000"/>
        </w:rPr>
      </w:pPr>
      <w:r>
        <w:rPr>
          <w:color w:val="000000"/>
        </w:rPr>
        <w:t xml:space="preserve">International </w:t>
      </w:r>
      <w:proofErr w:type="gramStart"/>
      <w:r>
        <w:rPr>
          <w:color w:val="000000"/>
        </w:rPr>
        <w:t>visitor</w:t>
      </w:r>
      <w:proofErr w:type="gramEnd"/>
      <w:r>
        <w:rPr>
          <w:color w:val="000000"/>
        </w:rPr>
        <w:t xml:space="preserve"> spend and nights in Australia have recovered faster than the number of arrivals. In 2023, international visitor spend in Australia was $28 billion, which was 120% higher than in 2022, but 11% below the pre-pandemic level. Inflationary effects on the cost of travelling also contributed to strong growth in international spend in Australia. </w:t>
      </w:r>
    </w:p>
    <w:p w14:paraId="1FF66C6D" w14:textId="77777777" w:rsidR="004E7A3E" w:rsidRPr="003D7AAC" w:rsidRDefault="004E7A3E" w:rsidP="004E7A3E">
      <w:pPr>
        <w:spacing w:after="360"/>
        <w:rPr>
          <w:rFonts w:eastAsia="Times New Roman" w:cstheme="minorHAnsi"/>
          <w:lang w:eastAsia="en-AU"/>
        </w:rPr>
      </w:pPr>
      <w:r>
        <w:rPr>
          <w:color w:val="000000"/>
        </w:rPr>
        <w:t>International visitor nights were 92% higher than in 2022 and 12% below the pre-pandemic level. T</w:t>
      </w:r>
      <w:r>
        <w:rPr>
          <w:lang w:eastAsia="en-AU"/>
        </w:rPr>
        <w:t>he average length of stay in Australia for international visitors remained elevated relative to before the pandemic. In 2023, the average length of stay by an international visitor was 36 nights, up from 32 nights in 2019. I</w:t>
      </w:r>
      <w:r w:rsidRPr="0097132D">
        <w:rPr>
          <w:lang w:eastAsia="en-AU"/>
        </w:rPr>
        <w:t>nternational visits for the purpose of education, visiting friends and relatives, and holiday all had notably longer average trip lengths in 2023 than in 2019.</w:t>
      </w:r>
      <w:r>
        <w:rPr>
          <w:rFonts w:eastAsia="Times New Roman" w:cstheme="minorHAnsi"/>
          <w:lang w:eastAsia="en-AU"/>
        </w:rPr>
        <w:t xml:space="preserve"> </w:t>
      </w:r>
    </w:p>
    <w:p w14:paraId="5EA49D34" w14:textId="5B51A16C" w:rsidR="0073369B" w:rsidRDefault="0073369B" w:rsidP="000C2925">
      <w:pPr>
        <w:pStyle w:val="Caption"/>
        <w:keepNext/>
        <w:spacing w:line="300" w:lineRule="atLeast"/>
        <w:rPr>
          <w:i w:val="0"/>
          <w:iCs w:val="0"/>
          <w:noProof/>
          <w:color w:val="000000" w:themeColor="text1"/>
          <w:sz w:val="22"/>
          <w:szCs w:val="22"/>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1C1885">
        <w:rPr>
          <w:b/>
          <w:bCs/>
          <w:i w:val="0"/>
          <w:iCs w:val="0"/>
          <w:noProof/>
          <w:sz w:val="20"/>
          <w:szCs w:val="20"/>
        </w:rPr>
        <w:t>3</w:t>
      </w:r>
      <w:r>
        <w:rPr>
          <w:b/>
          <w:bCs/>
          <w:i w:val="0"/>
          <w:iCs w:val="0"/>
          <w:sz w:val="20"/>
          <w:szCs w:val="20"/>
        </w:rPr>
        <w:fldChar w:fldCharType="end"/>
      </w:r>
      <w:r>
        <w:rPr>
          <w:b/>
          <w:bCs/>
          <w:i w:val="0"/>
          <w:iCs w:val="0"/>
          <w:sz w:val="20"/>
          <w:szCs w:val="20"/>
        </w:rPr>
        <w:t xml:space="preserve">. </w:t>
      </w:r>
      <w:r>
        <w:rPr>
          <w:i w:val="0"/>
          <w:iCs w:val="0"/>
          <w:sz w:val="20"/>
          <w:szCs w:val="20"/>
        </w:rPr>
        <w:t>International short-term visitor arrivals, rolling annual volumes, 1986 to 202</w:t>
      </w:r>
      <w:r w:rsidR="00A178D4">
        <w:rPr>
          <w:i w:val="0"/>
          <w:iCs w:val="0"/>
          <w:sz w:val="20"/>
          <w:szCs w:val="20"/>
        </w:rPr>
        <w:t>3</w:t>
      </w:r>
      <w:r>
        <w:rPr>
          <w:i w:val="0"/>
          <w:iCs w:val="0"/>
          <w:sz w:val="20"/>
          <w:szCs w:val="20"/>
        </w:rPr>
        <w:t>.</w:t>
      </w:r>
    </w:p>
    <w:p w14:paraId="7A9BE7E0" w14:textId="39C1BDCF" w:rsidR="00BA0140" w:rsidRDefault="00D057F8" w:rsidP="000C2925">
      <w:pPr>
        <w:shd w:val="clear" w:color="auto" w:fill="FFFFFF" w:themeFill="background1"/>
        <w:spacing w:before="0" w:line="300" w:lineRule="atLeast"/>
        <w:rPr>
          <w:color w:val="000000"/>
        </w:rPr>
      </w:pPr>
      <w:r w:rsidRPr="00D057F8">
        <w:rPr>
          <w:noProof/>
        </w:rPr>
        <w:drawing>
          <wp:inline distT="0" distB="0" distL="0" distR="0" wp14:anchorId="785FAE5F" wp14:editId="1736C63E">
            <wp:extent cx="6329680" cy="3638550"/>
            <wp:effectExtent l="0" t="0" r="0" b="0"/>
            <wp:docPr id="1318849525" name="Picture 1" descr="Figure 3 shows a line chart with the number of international short-term visitor arrivals between 1986 and 2023. The number of visitor arrivals reached a record high of 9.5 million in 2019 before falling sharply to near zero during the COVID-19 pandemic. There were 7.2 million arrivals in 2023, which was 76% of the 201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49525" name="Picture 1" descr="Figure 3 shows a line chart with the number of international short-term visitor arrivals between 1986 and 2023. The number of visitor arrivals reached a record high of 9.5 million in 2019 before falling sharply to near zero during the COVID-19 pandemic. There were 7.2 million arrivals in 2023, which was 76% of the 2019 level."/>
                    <pic:cNvPicPr>
                      <a:picLocks noChangeAspect="1" noChangeArrowheads="1"/>
                    </pic:cNvPicPr>
                  </pic:nvPicPr>
                  <pic:blipFill rotWithShape="1">
                    <a:blip r:embed="rId25">
                      <a:extLst>
                        <a:ext uri="{28A0092B-C50C-407E-A947-70E740481C1C}">
                          <a14:useLocalDpi xmlns:a14="http://schemas.microsoft.com/office/drawing/2010/main" val="0"/>
                        </a:ext>
                      </a:extLst>
                    </a:blip>
                    <a:srcRect t="2388"/>
                    <a:stretch/>
                  </pic:blipFill>
                  <pic:spPr bwMode="auto">
                    <a:xfrm>
                      <a:off x="0" y="0"/>
                      <a:ext cx="6329680"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50B74C91" w14:textId="30319823" w:rsidR="005F277B" w:rsidRDefault="005F277B" w:rsidP="005E55D4">
      <w:pPr>
        <w:pBdr>
          <w:top w:val="thinThickSmallGap" w:sz="24" w:space="1" w:color="2E1A47" w:themeColor="accent2"/>
          <w:left w:val="thinThickSmallGap" w:sz="24" w:space="4" w:color="2E1A47" w:themeColor="accent2"/>
          <w:bottom w:val="thickThinSmallGap" w:sz="24" w:space="1" w:color="2E1A47" w:themeColor="accent2"/>
          <w:right w:val="thickThinSmallGap" w:sz="24" w:space="4" w:color="2E1A47" w:themeColor="accent2"/>
        </w:pBdr>
        <w:rPr>
          <w:lang w:eastAsia="en-AU"/>
        </w:rPr>
      </w:pPr>
      <w:r w:rsidRPr="005E55D4">
        <w:rPr>
          <w:b/>
          <w:bCs/>
          <w:lang w:eastAsia="en-AU"/>
        </w:rPr>
        <w:t>Note</w:t>
      </w:r>
      <w:r w:rsidR="009F42FA" w:rsidRPr="005E55D4">
        <w:rPr>
          <w:b/>
          <w:bCs/>
          <w:lang w:eastAsia="en-AU"/>
        </w:rPr>
        <w:t xml:space="preserve"> on methodology:</w:t>
      </w:r>
      <w:r>
        <w:rPr>
          <w:lang w:eastAsia="en-AU"/>
        </w:rPr>
        <w:t xml:space="preserve"> throughout this report, </w:t>
      </w:r>
      <w:r w:rsidRPr="00711C29">
        <w:rPr>
          <w:lang w:eastAsia="en-AU"/>
        </w:rPr>
        <w:t>international visitor expenditure refers to spend in Australia by international visitors</w:t>
      </w:r>
      <w:r w:rsidR="00422C2E">
        <w:rPr>
          <w:lang w:eastAsia="en-AU"/>
        </w:rPr>
        <w:t>, as measured by TRA’s International Visitor Survey (IVS)</w:t>
      </w:r>
      <w:r w:rsidRPr="00711C29">
        <w:rPr>
          <w:lang w:eastAsia="en-AU"/>
        </w:rPr>
        <w:t>. International visitors are all visitor types, including students, who travel to Australia for short-term visits (i.e. less than 12 months). TRA reports on the value of spending by travellers in Australia, which excludes the amount spent by travellers in other countries before or after their trip to Australia.</w:t>
      </w:r>
    </w:p>
    <w:p w14:paraId="4A1B8186" w14:textId="15D5A1BF" w:rsidR="00BA0140" w:rsidRDefault="00BA0140" w:rsidP="00570252">
      <w:pPr>
        <w:pStyle w:val="Heading3"/>
        <w:spacing w:before="360"/>
        <w:rPr>
          <w:lang w:eastAsia="zh-CN"/>
        </w:rPr>
      </w:pPr>
      <w:bookmarkStart w:id="52" w:name="_Toc131073757"/>
      <w:bookmarkStart w:id="53" w:name="_Toc135990457"/>
      <w:bookmarkStart w:id="54" w:name="_Toc167113875"/>
      <w:r>
        <w:rPr>
          <w:lang w:eastAsia="zh-CN"/>
        </w:rPr>
        <w:t xml:space="preserve">International </w:t>
      </w:r>
      <w:bookmarkEnd w:id="52"/>
      <w:bookmarkEnd w:id="53"/>
      <w:r w:rsidR="00974830">
        <w:rPr>
          <w:lang w:eastAsia="zh-CN"/>
        </w:rPr>
        <w:t>arrivals by purpose</w:t>
      </w:r>
      <w:bookmarkEnd w:id="54"/>
    </w:p>
    <w:p w14:paraId="66F275BA" w14:textId="5A0293B2" w:rsidR="00BA0140" w:rsidRDefault="00BA0140" w:rsidP="00570252">
      <w:pPr>
        <w:spacing w:line="300" w:lineRule="atLeast"/>
        <w:rPr>
          <w:lang w:eastAsia="en-AU"/>
        </w:rPr>
      </w:pPr>
      <w:r>
        <w:rPr>
          <w:lang w:eastAsia="en-AU"/>
        </w:rPr>
        <w:t xml:space="preserve">Of the </w:t>
      </w:r>
      <w:r w:rsidR="00355940">
        <w:rPr>
          <w:lang w:eastAsia="en-AU"/>
        </w:rPr>
        <w:t>7.2</w:t>
      </w:r>
      <w:r>
        <w:rPr>
          <w:lang w:eastAsia="en-AU"/>
        </w:rPr>
        <w:t xml:space="preserve"> million </w:t>
      </w:r>
      <w:r w:rsidR="00355940">
        <w:rPr>
          <w:lang w:eastAsia="en-AU"/>
        </w:rPr>
        <w:t>international visitors</w:t>
      </w:r>
      <w:r>
        <w:rPr>
          <w:lang w:eastAsia="en-AU"/>
        </w:rPr>
        <w:t xml:space="preserve"> to Australia in 202</w:t>
      </w:r>
      <w:r w:rsidR="00355940">
        <w:rPr>
          <w:lang w:eastAsia="en-AU"/>
        </w:rPr>
        <w:t>3</w:t>
      </w:r>
      <w:r>
        <w:rPr>
          <w:lang w:eastAsia="en-AU"/>
        </w:rPr>
        <w:t xml:space="preserve">, </w:t>
      </w:r>
      <w:r w:rsidR="00510B88">
        <w:rPr>
          <w:lang w:eastAsia="en-AU"/>
        </w:rPr>
        <w:t>the largest share came</w:t>
      </w:r>
      <w:r w:rsidR="001314B1">
        <w:rPr>
          <w:lang w:eastAsia="en-AU"/>
        </w:rPr>
        <w:t xml:space="preserve"> </w:t>
      </w:r>
      <w:r w:rsidR="00510B88">
        <w:rPr>
          <w:lang w:eastAsia="en-AU"/>
        </w:rPr>
        <w:t xml:space="preserve">for the purpose of a holiday. This </w:t>
      </w:r>
      <w:r w:rsidR="001314B1">
        <w:rPr>
          <w:lang w:eastAsia="en-AU"/>
        </w:rPr>
        <w:t>highlights</w:t>
      </w:r>
      <w:r w:rsidR="00510B88">
        <w:rPr>
          <w:lang w:eastAsia="en-AU"/>
        </w:rPr>
        <w:t xml:space="preserve"> the progress in the recovery of international holiday travel, which had </w:t>
      </w:r>
      <w:proofErr w:type="gramStart"/>
      <w:r w:rsidR="00510B88">
        <w:rPr>
          <w:lang w:eastAsia="en-AU"/>
        </w:rPr>
        <w:t xml:space="preserve">lagged </w:t>
      </w:r>
      <w:r w:rsidR="7F268C5B" w:rsidRPr="484C69EB">
        <w:rPr>
          <w:lang w:eastAsia="en-AU"/>
        </w:rPr>
        <w:t>behind</w:t>
      </w:r>
      <w:proofErr w:type="gramEnd"/>
      <w:r w:rsidR="7F268C5B" w:rsidRPr="484C69EB">
        <w:rPr>
          <w:lang w:eastAsia="en-AU"/>
        </w:rPr>
        <w:t xml:space="preserve"> </w:t>
      </w:r>
      <w:r w:rsidR="00510B88">
        <w:rPr>
          <w:lang w:eastAsia="en-AU"/>
        </w:rPr>
        <w:t>other purposes</w:t>
      </w:r>
      <w:r w:rsidR="36DBEBC6" w:rsidRPr="7589D71F">
        <w:rPr>
          <w:lang w:eastAsia="en-AU"/>
        </w:rPr>
        <w:t>, or reasons</w:t>
      </w:r>
      <w:r w:rsidR="691CCE71" w:rsidRPr="484C69EB">
        <w:rPr>
          <w:lang w:eastAsia="en-AU"/>
        </w:rPr>
        <w:t xml:space="preserve"> to visit</w:t>
      </w:r>
      <w:r w:rsidR="36DBEBC6" w:rsidRPr="7589D71F">
        <w:rPr>
          <w:lang w:eastAsia="en-AU"/>
        </w:rPr>
        <w:t>,</w:t>
      </w:r>
      <w:r w:rsidR="00510B88">
        <w:rPr>
          <w:lang w:eastAsia="en-AU"/>
        </w:rPr>
        <w:t xml:space="preserve"> </w:t>
      </w:r>
      <w:r w:rsidR="001314B1">
        <w:rPr>
          <w:lang w:eastAsia="en-AU"/>
        </w:rPr>
        <w:t xml:space="preserve">in the previous year. In 2023, </w:t>
      </w:r>
      <w:r w:rsidR="00AE3377">
        <w:rPr>
          <w:lang w:eastAsia="en-AU"/>
        </w:rPr>
        <w:t>40</w:t>
      </w:r>
      <w:r>
        <w:rPr>
          <w:lang w:eastAsia="en-AU"/>
        </w:rPr>
        <w:t>%</w:t>
      </w:r>
      <w:r w:rsidR="00130A6B">
        <w:rPr>
          <w:lang w:eastAsia="en-AU"/>
        </w:rPr>
        <w:t xml:space="preserve"> </w:t>
      </w:r>
      <w:r w:rsidR="00FF61C1">
        <w:rPr>
          <w:lang w:eastAsia="en-AU"/>
        </w:rPr>
        <w:t xml:space="preserve">of short-term overseas arrivals </w:t>
      </w:r>
      <w:r w:rsidR="00130A6B">
        <w:rPr>
          <w:lang w:eastAsia="en-AU"/>
        </w:rPr>
        <w:t>(</w:t>
      </w:r>
      <w:r w:rsidR="00B326C8">
        <w:rPr>
          <w:lang w:eastAsia="en-AU"/>
        </w:rPr>
        <w:t>2.</w:t>
      </w:r>
      <w:r w:rsidR="00310BF8">
        <w:rPr>
          <w:lang w:eastAsia="en-AU"/>
        </w:rPr>
        <w:t>9</w:t>
      </w:r>
      <w:r w:rsidR="00B326C8">
        <w:rPr>
          <w:lang w:eastAsia="en-AU"/>
        </w:rPr>
        <w:t xml:space="preserve"> million</w:t>
      </w:r>
      <w:r>
        <w:rPr>
          <w:lang w:eastAsia="en-AU"/>
        </w:rPr>
        <w:t xml:space="preserve">) </w:t>
      </w:r>
      <w:r w:rsidR="00130A6B">
        <w:rPr>
          <w:lang w:eastAsia="en-AU"/>
        </w:rPr>
        <w:t>came for a holiday</w:t>
      </w:r>
      <w:r w:rsidR="00B326C8">
        <w:rPr>
          <w:lang w:eastAsia="en-AU"/>
        </w:rPr>
        <w:t xml:space="preserve"> and 37% (2.</w:t>
      </w:r>
      <w:r w:rsidR="00AE3377">
        <w:rPr>
          <w:lang w:eastAsia="en-AU"/>
        </w:rPr>
        <w:t>6</w:t>
      </w:r>
      <w:r w:rsidR="00B326C8">
        <w:rPr>
          <w:lang w:eastAsia="en-AU"/>
        </w:rPr>
        <w:t xml:space="preserve"> million)</w:t>
      </w:r>
      <w:r w:rsidR="00130A6B">
        <w:rPr>
          <w:lang w:eastAsia="en-AU"/>
        </w:rPr>
        <w:t xml:space="preserve"> </w:t>
      </w:r>
      <w:r w:rsidR="00355940">
        <w:rPr>
          <w:lang w:eastAsia="en-AU"/>
        </w:rPr>
        <w:t>came</w:t>
      </w:r>
      <w:r>
        <w:rPr>
          <w:lang w:eastAsia="en-AU"/>
        </w:rPr>
        <w:t xml:space="preserve"> </w:t>
      </w:r>
      <w:r w:rsidR="36388E31" w:rsidRPr="484C69EB">
        <w:rPr>
          <w:lang w:eastAsia="en-AU"/>
        </w:rPr>
        <w:t xml:space="preserve">to </w:t>
      </w:r>
      <w:r w:rsidRPr="484C69EB">
        <w:rPr>
          <w:lang w:eastAsia="en-AU"/>
        </w:rPr>
        <w:t>visit</w:t>
      </w:r>
      <w:r>
        <w:rPr>
          <w:lang w:eastAsia="en-AU"/>
        </w:rPr>
        <w:t xml:space="preserve"> friends and</w:t>
      </w:r>
      <w:r w:rsidR="0040590D">
        <w:rPr>
          <w:lang w:eastAsia="en-AU"/>
        </w:rPr>
        <w:t>/or</w:t>
      </w:r>
      <w:r>
        <w:rPr>
          <w:lang w:eastAsia="en-AU"/>
        </w:rPr>
        <w:t xml:space="preserve"> relatives (VFR). A further </w:t>
      </w:r>
      <w:r w:rsidR="00506CDA">
        <w:rPr>
          <w:lang w:eastAsia="en-AU"/>
        </w:rPr>
        <w:t>1</w:t>
      </w:r>
      <w:r w:rsidR="00AE3377">
        <w:rPr>
          <w:lang w:eastAsia="en-AU"/>
        </w:rPr>
        <w:t>0</w:t>
      </w:r>
      <w:r>
        <w:rPr>
          <w:lang w:eastAsia="en-AU"/>
        </w:rPr>
        <w:t>% (</w:t>
      </w:r>
      <w:r w:rsidR="00166FFE">
        <w:rPr>
          <w:lang w:eastAsia="en-AU"/>
        </w:rPr>
        <w:t>688</w:t>
      </w:r>
      <w:r>
        <w:rPr>
          <w:lang w:eastAsia="en-AU"/>
        </w:rPr>
        <w:t>,</w:t>
      </w:r>
      <w:r w:rsidR="00166FFE">
        <w:rPr>
          <w:lang w:eastAsia="en-AU"/>
        </w:rPr>
        <w:t>0</w:t>
      </w:r>
      <w:r>
        <w:rPr>
          <w:lang w:eastAsia="en-AU"/>
        </w:rPr>
        <w:t>00)</w:t>
      </w:r>
      <w:r w:rsidR="00506CDA">
        <w:rPr>
          <w:lang w:eastAsia="en-AU"/>
        </w:rPr>
        <w:t xml:space="preserve"> came</w:t>
      </w:r>
      <w:r>
        <w:rPr>
          <w:lang w:eastAsia="en-AU"/>
        </w:rPr>
        <w:t xml:space="preserve"> for business, 6% for education (</w:t>
      </w:r>
      <w:r w:rsidR="00166FFE">
        <w:rPr>
          <w:lang w:eastAsia="en-AU"/>
        </w:rPr>
        <w:t>415</w:t>
      </w:r>
      <w:r>
        <w:rPr>
          <w:lang w:eastAsia="en-AU"/>
        </w:rPr>
        <w:t>,</w:t>
      </w:r>
      <w:r w:rsidR="00E660C7">
        <w:rPr>
          <w:lang w:eastAsia="en-AU"/>
        </w:rPr>
        <w:t>2</w:t>
      </w:r>
      <w:r>
        <w:rPr>
          <w:lang w:eastAsia="en-AU"/>
        </w:rPr>
        <w:t>00) and 4% for employment (</w:t>
      </w:r>
      <w:r w:rsidR="00E660C7">
        <w:rPr>
          <w:lang w:eastAsia="en-AU"/>
        </w:rPr>
        <w:t>2</w:t>
      </w:r>
      <w:r w:rsidR="00166FFE">
        <w:rPr>
          <w:lang w:eastAsia="en-AU"/>
        </w:rPr>
        <w:t>87</w:t>
      </w:r>
      <w:r>
        <w:rPr>
          <w:lang w:eastAsia="en-AU"/>
        </w:rPr>
        <w:t>,</w:t>
      </w:r>
      <w:r w:rsidR="00166FFE">
        <w:rPr>
          <w:lang w:eastAsia="en-AU"/>
        </w:rPr>
        <w:t>6</w:t>
      </w:r>
      <w:r>
        <w:rPr>
          <w:lang w:eastAsia="en-AU"/>
        </w:rPr>
        <w:t xml:space="preserve">00). </w:t>
      </w:r>
      <w:r w:rsidR="1148AE90" w:rsidRPr="484C69EB">
        <w:rPr>
          <w:lang w:eastAsia="en-AU"/>
        </w:rPr>
        <w:t>T</w:t>
      </w:r>
      <w:r w:rsidRPr="484C69EB">
        <w:rPr>
          <w:lang w:eastAsia="en-AU"/>
        </w:rPr>
        <w:t>his</w:t>
      </w:r>
      <w:r>
        <w:rPr>
          <w:lang w:eastAsia="en-AU"/>
        </w:rPr>
        <w:t xml:space="preserve"> covers short-term visitors only (i.e. staying in Australia for 12 months or less). Prior to the pandemic, holiday trips were the largest category of international travel (Figure </w:t>
      </w:r>
      <w:r w:rsidR="00145F65">
        <w:rPr>
          <w:lang w:eastAsia="en-AU"/>
        </w:rPr>
        <w:t>4</w:t>
      </w:r>
      <w:r>
        <w:rPr>
          <w:lang w:eastAsia="en-AU"/>
        </w:rPr>
        <w:t>).</w:t>
      </w:r>
    </w:p>
    <w:p w14:paraId="0B3BEB27" w14:textId="4E40C69D" w:rsidR="008A0F95" w:rsidRDefault="008A0F95" w:rsidP="008A0F95">
      <w:pPr>
        <w:rPr>
          <w:lang w:eastAsia="en-AU"/>
        </w:rPr>
      </w:pPr>
      <w:r>
        <w:rPr>
          <w:lang w:eastAsia="en-AU"/>
        </w:rPr>
        <w:t xml:space="preserve">The share of holiday arrivals increased in 2023 but remained well below the pre-pandemic average, while the share of VFR arrivals declined in 2023 but remained elevated relative to 2019. The rise in international holiday travel is important for the Australian visitor economy as </w:t>
      </w:r>
      <w:r>
        <w:rPr>
          <w:lang w:eastAsia="en-AU"/>
        </w:rPr>
        <w:lastRenderedPageBreak/>
        <w:t xml:space="preserve">international holiday trips have a higher average spend than VFR trips. </w:t>
      </w:r>
      <w:r w:rsidR="009B001A">
        <w:rPr>
          <w:lang w:eastAsia="en-AU"/>
        </w:rPr>
        <w:t>Holidaymakers</w:t>
      </w:r>
      <w:r>
        <w:rPr>
          <w:lang w:eastAsia="en-AU"/>
        </w:rPr>
        <w:t xml:space="preserve"> also tend to disperse more widely around Australia than VFR travellers.</w:t>
      </w:r>
      <w:r>
        <w:rPr>
          <w:rStyle w:val="FootnoteReference"/>
          <w:lang w:eastAsia="en-AU"/>
        </w:rPr>
        <w:footnoteReference w:id="3"/>
      </w:r>
      <w:r>
        <w:rPr>
          <w:lang w:eastAsia="en-AU"/>
        </w:rPr>
        <w:t xml:space="preserve"> </w:t>
      </w:r>
    </w:p>
    <w:p w14:paraId="282C23F5" w14:textId="08916D11" w:rsidR="008A0F95" w:rsidRDefault="008A0F95" w:rsidP="008A0F95">
      <w:pPr>
        <w:rPr>
          <w:lang w:eastAsia="en-AU"/>
        </w:rPr>
      </w:pPr>
      <w:r>
        <w:rPr>
          <w:lang w:eastAsia="en-AU"/>
        </w:rPr>
        <w:t xml:space="preserve">The share of arrivals for employment purposes was higher in 2023 (4%) than it was before the pandemic (2% in 2019). This reflects the marked increase in the number of international visitors arriving for the purpose of employment, which was 33% higher in 2023 than in 2019, and was the only category of visitor to record an increase relative to pre-pandemic. Conversely, the shares of business and education arrivals were still marginally below their pre-pandemic level in 2023. Arrivals for the purpose of education increased by 108% in 2023 compared to the previous year but remained 33% lower than the pre-pandemic level. Arrivals for the purpose of business increased by 78% in 2023 compared to the previous year but remained 32% lower than the pre-pandemic level. </w:t>
      </w:r>
    </w:p>
    <w:p w14:paraId="79DBA5AD" w14:textId="6C202187" w:rsidR="00486732" w:rsidRDefault="00486732" w:rsidP="00A44900">
      <w:pPr>
        <w:pStyle w:val="Caption"/>
        <w:keepNext/>
        <w:spacing w:after="0" w:line="300" w:lineRule="atLeast"/>
        <w:rPr>
          <w:i w:val="0"/>
          <w:iCs w:val="0"/>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145F65">
        <w:rPr>
          <w:b/>
          <w:bCs/>
          <w:i w:val="0"/>
          <w:iCs w:val="0"/>
          <w:noProof/>
          <w:sz w:val="20"/>
          <w:szCs w:val="20"/>
        </w:rPr>
        <w:t>4</w:t>
      </w:r>
      <w:r>
        <w:rPr>
          <w:b/>
          <w:bCs/>
          <w:i w:val="0"/>
          <w:iCs w:val="0"/>
          <w:sz w:val="20"/>
          <w:szCs w:val="20"/>
        </w:rPr>
        <w:fldChar w:fldCharType="end"/>
      </w:r>
      <w:r>
        <w:rPr>
          <w:b/>
          <w:bCs/>
          <w:i w:val="0"/>
          <w:iCs w:val="0"/>
          <w:sz w:val="20"/>
          <w:szCs w:val="20"/>
        </w:rPr>
        <w:t xml:space="preserve">. </w:t>
      </w:r>
      <w:r>
        <w:rPr>
          <w:i w:val="0"/>
          <w:iCs w:val="0"/>
          <w:sz w:val="20"/>
          <w:szCs w:val="20"/>
        </w:rPr>
        <w:t xml:space="preserve">International </w:t>
      </w:r>
      <w:r w:rsidR="00457E0E">
        <w:rPr>
          <w:i w:val="0"/>
          <w:iCs w:val="0"/>
          <w:sz w:val="20"/>
          <w:szCs w:val="20"/>
        </w:rPr>
        <w:t xml:space="preserve">short-term </w:t>
      </w:r>
      <w:r>
        <w:rPr>
          <w:i w:val="0"/>
          <w:iCs w:val="0"/>
          <w:sz w:val="20"/>
          <w:szCs w:val="20"/>
        </w:rPr>
        <w:t xml:space="preserve">visitor </w:t>
      </w:r>
      <w:r w:rsidR="006068C1">
        <w:rPr>
          <w:i w:val="0"/>
          <w:iCs w:val="0"/>
          <w:sz w:val="20"/>
          <w:szCs w:val="20"/>
        </w:rPr>
        <w:t>arrivals</w:t>
      </w:r>
      <w:r>
        <w:rPr>
          <w:i w:val="0"/>
          <w:iCs w:val="0"/>
          <w:sz w:val="20"/>
          <w:szCs w:val="20"/>
        </w:rPr>
        <w:t xml:space="preserve"> to Australia by </w:t>
      </w:r>
      <w:r w:rsidR="008D3BAE">
        <w:rPr>
          <w:i w:val="0"/>
          <w:iCs w:val="0"/>
          <w:sz w:val="20"/>
          <w:szCs w:val="20"/>
        </w:rPr>
        <w:t xml:space="preserve">main </w:t>
      </w:r>
      <w:r>
        <w:rPr>
          <w:i w:val="0"/>
          <w:iCs w:val="0"/>
          <w:sz w:val="20"/>
          <w:szCs w:val="20"/>
        </w:rPr>
        <w:t>purpose, 2017 to 2023.</w:t>
      </w:r>
    </w:p>
    <w:p w14:paraId="19A77FA6" w14:textId="12F69A04" w:rsidR="00B30674" w:rsidRPr="00570252" w:rsidRDefault="005037B5" w:rsidP="00AF7A9E">
      <w:pPr>
        <w:spacing w:before="0" w:after="0" w:line="300" w:lineRule="atLeast"/>
      </w:pPr>
      <w:r w:rsidRPr="005037B5">
        <w:rPr>
          <w:noProof/>
        </w:rPr>
        <w:drawing>
          <wp:inline distT="0" distB="0" distL="0" distR="0" wp14:anchorId="45955135" wp14:editId="5CE07B4C">
            <wp:extent cx="6329680" cy="3226435"/>
            <wp:effectExtent l="0" t="0" r="0" b="0"/>
            <wp:docPr id="788936638" name="Picture 3" descr="Figure 4 shows stacked bars for each year from 2017 to 2023 with the number of international visitor arrivals. Each bar shows arrivals for the 6 main purposes of international visits (holiday, VFR, business, education, employment and other). International holiday arrivals typically account for the largest share of arrivals (40% in 2023, 47% in 2019), followed by VFR (37% in 2023, 3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36638" name="Picture 3" descr="Figure 4 shows stacked bars for each year from 2017 to 2023 with the number of international visitor arrivals. Each bar shows arrivals for the 6 main purposes of international visits (holiday, VFR, business, education, employment and other). International holiday arrivals typically account for the largest share of arrivals (40% in 2023, 47% in 2019), followed by VFR (37% in 2023, 30% in 20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9680" cy="3226435"/>
                    </a:xfrm>
                    <a:prstGeom prst="rect">
                      <a:avLst/>
                    </a:prstGeom>
                    <a:noFill/>
                    <a:ln>
                      <a:noFill/>
                    </a:ln>
                  </pic:spPr>
                </pic:pic>
              </a:graphicData>
            </a:graphic>
          </wp:inline>
        </w:drawing>
      </w:r>
    </w:p>
    <w:p w14:paraId="32550231" w14:textId="13135B64" w:rsidR="006F1F59" w:rsidRDefault="00915626" w:rsidP="00F46AF5">
      <w:pPr>
        <w:spacing w:before="0"/>
        <w:rPr>
          <w:lang w:eastAsia="en-AU"/>
        </w:rPr>
      </w:pPr>
      <w:r>
        <w:rPr>
          <w:lang w:eastAsia="en-AU"/>
        </w:rPr>
        <w:t xml:space="preserve">In </w:t>
      </w:r>
      <w:r w:rsidR="00C73014">
        <w:rPr>
          <w:lang w:eastAsia="en-AU"/>
        </w:rPr>
        <w:t xml:space="preserve">summary, in </w:t>
      </w:r>
      <w:r>
        <w:rPr>
          <w:lang w:eastAsia="en-AU"/>
        </w:rPr>
        <w:t xml:space="preserve">2023, </w:t>
      </w:r>
      <w:r w:rsidR="0098284B">
        <w:rPr>
          <w:lang w:eastAsia="en-AU"/>
        </w:rPr>
        <w:t xml:space="preserve">the number of </w:t>
      </w:r>
      <w:r>
        <w:rPr>
          <w:lang w:eastAsia="en-AU"/>
        </w:rPr>
        <w:t>international visitors for the purpose of:</w:t>
      </w:r>
    </w:p>
    <w:p w14:paraId="4F399469" w14:textId="323F9918" w:rsidR="00915626" w:rsidRDefault="00DA37DA" w:rsidP="00FD4BA8">
      <w:pPr>
        <w:pStyle w:val="BulletList"/>
        <w:rPr>
          <w:lang w:eastAsia="en-AU"/>
        </w:rPr>
      </w:pPr>
      <w:r>
        <w:rPr>
          <w:lang w:eastAsia="en-AU"/>
        </w:rPr>
        <w:t>h</w:t>
      </w:r>
      <w:r w:rsidR="00915626">
        <w:rPr>
          <w:lang w:eastAsia="en-AU"/>
        </w:rPr>
        <w:t xml:space="preserve">oliday </w:t>
      </w:r>
      <w:r w:rsidR="0098284B">
        <w:rPr>
          <w:lang w:eastAsia="en-AU"/>
        </w:rPr>
        <w:t>was</w:t>
      </w:r>
      <w:r w:rsidR="009700A2">
        <w:rPr>
          <w:lang w:eastAsia="en-AU"/>
        </w:rPr>
        <w:t xml:space="preserve"> 2.</w:t>
      </w:r>
      <w:r w:rsidR="0070029D">
        <w:rPr>
          <w:lang w:eastAsia="en-AU"/>
        </w:rPr>
        <w:t>9</w:t>
      </w:r>
      <w:r w:rsidR="009700A2">
        <w:rPr>
          <w:lang w:eastAsia="en-AU"/>
        </w:rPr>
        <w:t xml:space="preserve"> million, </w:t>
      </w:r>
      <w:r w:rsidR="00C73014">
        <w:rPr>
          <w:lang w:eastAsia="en-AU"/>
        </w:rPr>
        <w:t xml:space="preserve">which was </w:t>
      </w:r>
      <w:r w:rsidR="009700A2">
        <w:rPr>
          <w:lang w:eastAsia="en-AU"/>
        </w:rPr>
        <w:t>17</w:t>
      </w:r>
      <w:r w:rsidR="0070029D">
        <w:rPr>
          <w:lang w:eastAsia="en-AU"/>
        </w:rPr>
        <w:t>3</w:t>
      </w:r>
      <w:r w:rsidR="009700A2">
        <w:rPr>
          <w:lang w:eastAsia="en-AU"/>
        </w:rPr>
        <w:t xml:space="preserve">% </w:t>
      </w:r>
      <w:r w:rsidR="00C73014">
        <w:rPr>
          <w:lang w:eastAsia="en-AU"/>
        </w:rPr>
        <w:t>higher than t</w:t>
      </w:r>
      <w:r w:rsidR="009700A2">
        <w:rPr>
          <w:lang w:eastAsia="en-AU"/>
        </w:rPr>
        <w:t>he number in 2022, but down 3</w:t>
      </w:r>
      <w:r w:rsidR="0070029D">
        <w:rPr>
          <w:lang w:eastAsia="en-AU"/>
        </w:rPr>
        <w:t>6</w:t>
      </w:r>
      <w:r w:rsidR="009700A2">
        <w:rPr>
          <w:lang w:eastAsia="en-AU"/>
        </w:rPr>
        <w:t xml:space="preserve">% on the number in </w:t>
      </w:r>
      <w:proofErr w:type="gramStart"/>
      <w:r w:rsidR="009700A2">
        <w:rPr>
          <w:lang w:eastAsia="en-AU"/>
        </w:rPr>
        <w:t>2019</w:t>
      </w:r>
      <w:proofErr w:type="gramEnd"/>
    </w:p>
    <w:p w14:paraId="2B97DDCC" w14:textId="4CE10396" w:rsidR="009700A2" w:rsidRDefault="009700A2" w:rsidP="00FD4BA8">
      <w:pPr>
        <w:pStyle w:val="BulletList"/>
        <w:rPr>
          <w:lang w:eastAsia="en-AU"/>
        </w:rPr>
      </w:pPr>
      <w:r>
        <w:rPr>
          <w:lang w:eastAsia="en-AU"/>
        </w:rPr>
        <w:t xml:space="preserve">VFR </w:t>
      </w:r>
      <w:r w:rsidR="001F5444">
        <w:rPr>
          <w:lang w:eastAsia="en-AU"/>
        </w:rPr>
        <w:t>was</w:t>
      </w:r>
      <w:r>
        <w:rPr>
          <w:lang w:eastAsia="en-AU"/>
        </w:rPr>
        <w:t xml:space="preserve"> 2.</w:t>
      </w:r>
      <w:r w:rsidR="0070029D">
        <w:rPr>
          <w:lang w:eastAsia="en-AU"/>
        </w:rPr>
        <w:t>6</w:t>
      </w:r>
      <w:r>
        <w:rPr>
          <w:lang w:eastAsia="en-AU"/>
        </w:rPr>
        <w:t xml:space="preserve"> million, up </w:t>
      </w:r>
      <w:r w:rsidR="0070029D">
        <w:rPr>
          <w:lang w:eastAsia="en-AU"/>
        </w:rPr>
        <w:t>49</w:t>
      </w:r>
      <w:r>
        <w:rPr>
          <w:lang w:eastAsia="en-AU"/>
        </w:rPr>
        <w:t xml:space="preserve">% </w:t>
      </w:r>
      <w:r w:rsidR="00D000E2">
        <w:rPr>
          <w:lang w:eastAsia="en-AU"/>
        </w:rPr>
        <w:t>o</w:t>
      </w:r>
      <w:r>
        <w:rPr>
          <w:lang w:eastAsia="en-AU"/>
        </w:rPr>
        <w:t xml:space="preserve">n </w:t>
      </w:r>
      <w:r w:rsidR="005E713B">
        <w:rPr>
          <w:lang w:eastAsia="en-AU"/>
        </w:rPr>
        <w:t xml:space="preserve">2022, but still down </w:t>
      </w:r>
      <w:r w:rsidR="0070029D">
        <w:rPr>
          <w:lang w:eastAsia="en-AU"/>
        </w:rPr>
        <w:t>8</w:t>
      </w:r>
      <w:r w:rsidR="005E713B">
        <w:rPr>
          <w:lang w:eastAsia="en-AU"/>
        </w:rPr>
        <w:t xml:space="preserve">% on the 2019 </w:t>
      </w:r>
      <w:proofErr w:type="gramStart"/>
      <w:r w:rsidR="005E713B">
        <w:rPr>
          <w:lang w:eastAsia="en-AU"/>
        </w:rPr>
        <w:t>level</w:t>
      </w:r>
      <w:proofErr w:type="gramEnd"/>
    </w:p>
    <w:p w14:paraId="1DD01D38" w14:textId="05C5DB37" w:rsidR="005E713B" w:rsidRDefault="00DA37DA" w:rsidP="00FD4BA8">
      <w:pPr>
        <w:pStyle w:val="BulletList"/>
        <w:rPr>
          <w:lang w:eastAsia="en-AU"/>
        </w:rPr>
      </w:pPr>
      <w:r>
        <w:rPr>
          <w:lang w:eastAsia="en-AU"/>
        </w:rPr>
        <w:t>b</w:t>
      </w:r>
      <w:r w:rsidR="005E713B">
        <w:rPr>
          <w:lang w:eastAsia="en-AU"/>
        </w:rPr>
        <w:t xml:space="preserve">usiness </w:t>
      </w:r>
      <w:r w:rsidR="0098284B">
        <w:rPr>
          <w:lang w:eastAsia="en-AU"/>
        </w:rPr>
        <w:t>was</w:t>
      </w:r>
      <w:r w:rsidR="005E713B">
        <w:rPr>
          <w:lang w:eastAsia="en-AU"/>
        </w:rPr>
        <w:t xml:space="preserve"> </w:t>
      </w:r>
      <w:r w:rsidR="00B018B5">
        <w:rPr>
          <w:lang w:eastAsia="en-AU"/>
        </w:rPr>
        <w:t>688</w:t>
      </w:r>
      <w:r w:rsidR="005E713B">
        <w:rPr>
          <w:lang w:eastAsia="en-AU"/>
        </w:rPr>
        <w:t>,</w:t>
      </w:r>
      <w:r w:rsidR="00B018B5">
        <w:rPr>
          <w:lang w:eastAsia="en-AU"/>
        </w:rPr>
        <w:t>0</w:t>
      </w:r>
      <w:r w:rsidR="005E713B">
        <w:rPr>
          <w:lang w:eastAsia="en-AU"/>
        </w:rPr>
        <w:t>00, up 7</w:t>
      </w:r>
      <w:r w:rsidR="00B018B5">
        <w:rPr>
          <w:lang w:eastAsia="en-AU"/>
        </w:rPr>
        <w:t>8</w:t>
      </w:r>
      <w:r w:rsidR="005E713B">
        <w:rPr>
          <w:lang w:eastAsia="en-AU"/>
        </w:rPr>
        <w:t xml:space="preserve">% </w:t>
      </w:r>
      <w:r w:rsidR="00D000E2">
        <w:rPr>
          <w:lang w:eastAsia="en-AU"/>
        </w:rPr>
        <w:t>o</w:t>
      </w:r>
      <w:r w:rsidR="005E713B">
        <w:rPr>
          <w:lang w:eastAsia="en-AU"/>
        </w:rPr>
        <w:t xml:space="preserve">n 2022, but down </w:t>
      </w:r>
      <w:r w:rsidR="00B018B5">
        <w:rPr>
          <w:lang w:eastAsia="en-AU"/>
        </w:rPr>
        <w:t>32</w:t>
      </w:r>
      <w:r w:rsidR="00D000E2">
        <w:rPr>
          <w:lang w:eastAsia="en-AU"/>
        </w:rPr>
        <w:t xml:space="preserve">% on the 2019 </w:t>
      </w:r>
      <w:proofErr w:type="gramStart"/>
      <w:r w:rsidR="00D000E2">
        <w:rPr>
          <w:lang w:eastAsia="en-AU"/>
        </w:rPr>
        <w:t>level</w:t>
      </w:r>
      <w:proofErr w:type="gramEnd"/>
    </w:p>
    <w:p w14:paraId="3404B78B" w14:textId="12777452" w:rsidR="00D000E2" w:rsidRDefault="00DA37DA" w:rsidP="00FD4BA8">
      <w:pPr>
        <w:pStyle w:val="BulletList"/>
        <w:rPr>
          <w:lang w:eastAsia="en-AU"/>
        </w:rPr>
      </w:pPr>
      <w:r>
        <w:rPr>
          <w:lang w:eastAsia="en-AU"/>
        </w:rPr>
        <w:t>e</w:t>
      </w:r>
      <w:r w:rsidR="00D000E2">
        <w:rPr>
          <w:lang w:eastAsia="en-AU"/>
        </w:rPr>
        <w:t xml:space="preserve">ducation </w:t>
      </w:r>
      <w:r w:rsidR="0098284B">
        <w:rPr>
          <w:lang w:eastAsia="en-AU"/>
        </w:rPr>
        <w:t>was</w:t>
      </w:r>
      <w:r w:rsidR="00D000E2">
        <w:rPr>
          <w:lang w:eastAsia="en-AU"/>
        </w:rPr>
        <w:t xml:space="preserve"> 41</w:t>
      </w:r>
      <w:r w:rsidR="00B018B5">
        <w:rPr>
          <w:lang w:eastAsia="en-AU"/>
        </w:rPr>
        <w:t>5</w:t>
      </w:r>
      <w:r w:rsidR="00D000E2">
        <w:rPr>
          <w:lang w:eastAsia="en-AU"/>
        </w:rPr>
        <w:t>,200, up 10</w:t>
      </w:r>
      <w:r w:rsidR="00B018B5">
        <w:rPr>
          <w:lang w:eastAsia="en-AU"/>
        </w:rPr>
        <w:t>8</w:t>
      </w:r>
      <w:r w:rsidR="00D000E2">
        <w:rPr>
          <w:lang w:eastAsia="en-AU"/>
        </w:rPr>
        <w:t>% on 2022, but down 3</w:t>
      </w:r>
      <w:r w:rsidR="00B018B5">
        <w:rPr>
          <w:lang w:eastAsia="en-AU"/>
        </w:rPr>
        <w:t>3</w:t>
      </w:r>
      <w:r w:rsidR="00D000E2">
        <w:rPr>
          <w:lang w:eastAsia="en-AU"/>
        </w:rPr>
        <w:t xml:space="preserve">% on the 2019 </w:t>
      </w:r>
      <w:proofErr w:type="gramStart"/>
      <w:r w:rsidR="00D000E2">
        <w:rPr>
          <w:lang w:eastAsia="en-AU"/>
        </w:rPr>
        <w:t>level</w:t>
      </w:r>
      <w:proofErr w:type="gramEnd"/>
    </w:p>
    <w:p w14:paraId="36024A87" w14:textId="0BB62F21" w:rsidR="00D000E2" w:rsidRDefault="00DA37DA" w:rsidP="00FD4BA8">
      <w:pPr>
        <w:pStyle w:val="BulletList"/>
        <w:rPr>
          <w:lang w:eastAsia="en-AU"/>
        </w:rPr>
      </w:pPr>
      <w:r>
        <w:rPr>
          <w:lang w:eastAsia="en-AU"/>
        </w:rPr>
        <w:t>e</w:t>
      </w:r>
      <w:r w:rsidR="00D000E2">
        <w:rPr>
          <w:lang w:eastAsia="en-AU"/>
        </w:rPr>
        <w:t xml:space="preserve">mployment </w:t>
      </w:r>
      <w:r w:rsidR="0098284B">
        <w:rPr>
          <w:lang w:eastAsia="en-AU"/>
        </w:rPr>
        <w:t>was</w:t>
      </w:r>
      <w:r w:rsidR="00D000E2">
        <w:rPr>
          <w:lang w:eastAsia="en-AU"/>
        </w:rPr>
        <w:t xml:space="preserve"> </w:t>
      </w:r>
      <w:r w:rsidR="00EC7AD0">
        <w:rPr>
          <w:lang w:eastAsia="en-AU"/>
        </w:rPr>
        <w:t>2</w:t>
      </w:r>
      <w:r w:rsidR="002A4C46">
        <w:rPr>
          <w:lang w:eastAsia="en-AU"/>
        </w:rPr>
        <w:t>8</w:t>
      </w:r>
      <w:r w:rsidR="00EC7AD0">
        <w:rPr>
          <w:lang w:eastAsia="en-AU"/>
        </w:rPr>
        <w:t>7,6</w:t>
      </w:r>
      <w:r w:rsidR="002A4C46">
        <w:rPr>
          <w:lang w:eastAsia="en-AU"/>
        </w:rPr>
        <w:t xml:space="preserve">00, up </w:t>
      </w:r>
      <w:r w:rsidR="00EC7AD0">
        <w:rPr>
          <w:lang w:eastAsia="en-AU"/>
        </w:rPr>
        <w:t>92</w:t>
      </w:r>
      <w:r w:rsidR="002A4C46">
        <w:rPr>
          <w:lang w:eastAsia="en-AU"/>
        </w:rPr>
        <w:t xml:space="preserve">% on 2022 and up </w:t>
      </w:r>
      <w:r w:rsidR="00EC7AD0">
        <w:rPr>
          <w:lang w:eastAsia="en-AU"/>
        </w:rPr>
        <w:t>33</w:t>
      </w:r>
      <w:r w:rsidR="002A4C46">
        <w:rPr>
          <w:lang w:eastAsia="en-AU"/>
        </w:rPr>
        <w:t xml:space="preserve">% on the 2019 </w:t>
      </w:r>
      <w:proofErr w:type="gramStart"/>
      <w:r w:rsidR="002A4C46">
        <w:rPr>
          <w:lang w:eastAsia="en-AU"/>
        </w:rPr>
        <w:t>level</w:t>
      </w:r>
      <w:proofErr w:type="gramEnd"/>
    </w:p>
    <w:p w14:paraId="79826042" w14:textId="130D7172" w:rsidR="002A4C46" w:rsidRDefault="00DA37DA" w:rsidP="00FD4BA8">
      <w:pPr>
        <w:pStyle w:val="BulletList"/>
        <w:rPr>
          <w:lang w:eastAsia="en-AU"/>
        </w:rPr>
      </w:pPr>
      <w:r>
        <w:rPr>
          <w:lang w:eastAsia="en-AU"/>
        </w:rPr>
        <w:t>o</w:t>
      </w:r>
      <w:r w:rsidR="00C73014">
        <w:rPr>
          <w:lang w:eastAsia="en-AU"/>
        </w:rPr>
        <w:t xml:space="preserve">ther </w:t>
      </w:r>
      <w:r w:rsidR="0098284B">
        <w:rPr>
          <w:lang w:eastAsia="en-AU"/>
        </w:rPr>
        <w:t>was</w:t>
      </w:r>
      <w:r w:rsidR="00C73014">
        <w:rPr>
          <w:lang w:eastAsia="en-AU"/>
        </w:rPr>
        <w:t xml:space="preserve"> 28</w:t>
      </w:r>
      <w:r w:rsidR="00FF4689">
        <w:rPr>
          <w:lang w:eastAsia="en-AU"/>
        </w:rPr>
        <w:t>3,5</w:t>
      </w:r>
      <w:r w:rsidR="00C73014">
        <w:rPr>
          <w:lang w:eastAsia="en-AU"/>
        </w:rPr>
        <w:t xml:space="preserve">00, up </w:t>
      </w:r>
      <w:r w:rsidR="00EC7AD0">
        <w:rPr>
          <w:lang w:eastAsia="en-AU"/>
        </w:rPr>
        <w:t>113</w:t>
      </w:r>
      <w:r w:rsidR="00C73014">
        <w:rPr>
          <w:lang w:eastAsia="en-AU"/>
        </w:rPr>
        <w:t xml:space="preserve">% on 2022, but down </w:t>
      </w:r>
      <w:r w:rsidR="00EC7AD0">
        <w:rPr>
          <w:lang w:eastAsia="en-AU"/>
        </w:rPr>
        <w:t>6</w:t>
      </w:r>
      <w:r w:rsidR="00C73014">
        <w:rPr>
          <w:lang w:eastAsia="en-AU"/>
        </w:rPr>
        <w:t>% on the 2019 level.</w:t>
      </w:r>
    </w:p>
    <w:p w14:paraId="41393027" w14:textId="69FBA717" w:rsidR="006824E5" w:rsidRDefault="0026583E" w:rsidP="00B810F6">
      <w:pPr>
        <w:rPr>
          <w:lang w:eastAsia="en-AU"/>
        </w:rPr>
      </w:pPr>
      <w:r>
        <w:rPr>
          <w:lang w:eastAsia="en-AU"/>
        </w:rPr>
        <w:lastRenderedPageBreak/>
        <w:t xml:space="preserve">In line with </w:t>
      </w:r>
      <w:r w:rsidR="00506527">
        <w:rPr>
          <w:lang w:eastAsia="en-AU"/>
        </w:rPr>
        <w:t>t</w:t>
      </w:r>
      <w:r w:rsidR="00D12163" w:rsidRPr="484C69EB">
        <w:rPr>
          <w:lang w:eastAsia="en-AU"/>
        </w:rPr>
        <w:t>he</w:t>
      </w:r>
      <w:r w:rsidR="00D12163">
        <w:rPr>
          <w:lang w:eastAsia="en-AU"/>
        </w:rPr>
        <w:t xml:space="preserve"> </w:t>
      </w:r>
      <w:r w:rsidR="00506527">
        <w:rPr>
          <w:lang w:eastAsia="en-AU"/>
        </w:rPr>
        <w:t xml:space="preserve">more advanced </w:t>
      </w:r>
      <w:r w:rsidR="00D12163">
        <w:rPr>
          <w:lang w:eastAsia="en-AU"/>
        </w:rPr>
        <w:t xml:space="preserve">recovery in international visitor nights and spend </w:t>
      </w:r>
      <w:r w:rsidR="00B6190B">
        <w:rPr>
          <w:lang w:eastAsia="en-AU"/>
        </w:rPr>
        <w:t>overall</w:t>
      </w:r>
      <w:r w:rsidR="00D12163">
        <w:rPr>
          <w:lang w:eastAsia="en-AU"/>
        </w:rPr>
        <w:t xml:space="preserve"> </w:t>
      </w:r>
      <w:r w:rsidR="00506527">
        <w:rPr>
          <w:lang w:eastAsia="en-AU"/>
        </w:rPr>
        <w:t>compared with</w:t>
      </w:r>
      <w:r w:rsidR="00D12163">
        <w:rPr>
          <w:lang w:eastAsia="en-AU"/>
        </w:rPr>
        <w:t xml:space="preserve"> arrivals</w:t>
      </w:r>
      <w:r w:rsidR="00E1300A">
        <w:rPr>
          <w:lang w:eastAsia="en-AU"/>
        </w:rPr>
        <w:t>, in 2023,</w:t>
      </w:r>
      <w:r w:rsidR="003D52F7" w:rsidRPr="003D52F7">
        <w:rPr>
          <w:lang w:eastAsia="en-AU"/>
        </w:rPr>
        <w:t xml:space="preserve"> </w:t>
      </w:r>
      <w:r w:rsidR="003D52F7">
        <w:rPr>
          <w:lang w:eastAsia="en-AU"/>
        </w:rPr>
        <w:t>international visitor night</w:t>
      </w:r>
      <w:r w:rsidR="001360F6">
        <w:rPr>
          <w:lang w:eastAsia="en-AU"/>
        </w:rPr>
        <w:t xml:space="preserve">s and spend in Australia </w:t>
      </w:r>
      <w:r w:rsidR="00506527">
        <w:rPr>
          <w:lang w:eastAsia="en-AU"/>
        </w:rPr>
        <w:t xml:space="preserve">for VFR </w:t>
      </w:r>
      <w:r w:rsidR="001360F6">
        <w:rPr>
          <w:lang w:eastAsia="en-AU"/>
        </w:rPr>
        <w:t xml:space="preserve">and for employment </w:t>
      </w:r>
      <w:r w:rsidR="00E1300A">
        <w:rPr>
          <w:lang w:eastAsia="en-AU"/>
        </w:rPr>
        <w:t xml:space="preserve">purposes </w:t>
      </w:r>
      <w:r w:rsidR="001360F6">
        <w:rPr>
          <w:lang w:eastAsia="en-AU"/>
        </w:rPr>
        <w:t>surpassed the</w:t>
      </w:r>
      <w:r w:rsidR="00506527">
        <w:rPr>
          <w:lang w:eastAsia="en-AU"/>
        </w:rPr>
        <w:t>ir</w:t>
      </w:r>
      <w:r w:rsidR="001360F6">
        <w:rPr>
          <w:lang w:eastAsia="en-AU"/>
        </w:rPr>
        <w:t xml:space="preserve"> 2019</w:t>
      </w:r>
      <w:r w:rsidR="00506527">
        <w:rPr>
          <w:lang w:eastAsia="en-AU"/>
        </w:rPr>
        <w:t xml:space="preserve"> level</w:t>
      </w:r>
      <w:r w:rsidR="7373BC26" w:rsidRPr="484C69EB">
        <w:rPr>
          <w:lang w:eastAsia="en-AU"/>
        </w:rPr>
        <w:t xml:space="preserve">. </w:t>
      </w:r>
      <w:r w:rsidR="000D6AD6">
        <w:rPr>
          <w:lang w:eastAsia="en-AU"/>
        </w:rPr>
        <w:t>M</w:t>
      </w:r>
      <w:r w:rsidR="00E814F0">
        <w:rPr>
          <w:lang w:eastAsia="en-AU"/>
        </w:rPr>
        <w:t xml:space="preserve">eanwhile, holiday trips remained the least recovered </w:t>
      </w:r>
      <w:r w:rsidR="00E814F0" w:rsidRPr="484C69EB">
        <w:rPr>
          <w:lang w:eastAsia="en-AU"/>
        </w:rPr>
        <w:t xml:space="preserve">travel </w:t>
      </w:r>
      <w:r w:rsidR="00E814F0">
        <w:rPr>
          <w:lang w:eastAsia="en-AU"/>
        </w:rPr>
        <w:t xml:space="preserve">purpose </w:t>
      </w:r>
      <w:r w:rsidR="00E814F0" w:rsidRPr="484C69EB">
        <w:rPr>
          <w:lang w:eastAsia="en-AU"/>
        </w:rPr>
        <w:t xml:space="preserve">group </w:t>
      </w:r>
      <w:r w:rsidR="00E814F0">
        <w:rPr>
          <w:lang w:eastAsia="en-AU"/>
        </w:rPr>
        <w:t>relative to 2019 in terms of v</w:t>
      </w:r>
      <w:r w:rsidR="7373BC26" w:rsidRPr="484C69EB">
        <w:rPr>
          <w:lang w:eastAsia="en-AU"/>
        </w:rPr>
        <w:t xml:space="preserve">isitor nights and spend </w:t>
      </w:r>
      <w:r w:rsidR="00E814F0">
        <w:rPr>
          <w:lang w:eastAsia="en-AU"/>
        </w:rPr>
        <w:t>in Australia</w:t>
      </w:r>
      <w:r w:rsidR="7373BC26" w:rsidRPr="484C69EB">
        <w:rPr>
          <w:lang w:eastAsia="en-AU"/>
        </w:rPr>
        <w:t xml:space="preserve"> </w:t>
      </w:r>
      <w:r w:rsidR="00E14E75">
        <w:rPr>
          <w:lang w:eastAsia="en-AU"/>
        </w:rPr>
        <w:t xml:space="preserve">(Figure </w:t>
      </w:r>
      <w:r w:rsidR="00E70370">
        <w:rPr>
          <w:lang w:eastAsia="en-AU"/>
        </w:rPr>
        <w:t>5</w:t>
      </w:r>
      <w:r w:rsidR="00E14E75">
        <w:rPr>
          <w:lang w:eastAsia="en-AU"/>
        </w:rPr>
        <w:t>).</w:t>
      </w:r>
      <w:r w:rsidR="007334DB">
        <w:rPr>
          <w:lang w:eastAsia="en-AU"/>
        </w:rPr>
        <w:t xml:space="preserve"> </w:t>
      </w:r>
      <w:r w:rsidR="009A2E1A">
        <w:rPr>
          <w:lang w:eastAsia="en-AU"/>
        </w:rPr>
        <w:t>Estimates of international visitor nights and spend in Australia are sourced from TRA’s International Visitor Survey</w:t>
      </w:r>
      <w:r w:rsidR="00E814F0">
        <w:rPr>
          <w:lang w:eastAsia="en-AU"/>
        </w:rPr>
        <w:t xml:space="preserve"> (IVS)</w:t>
      </w:r>
      <w:r w:rsidR="009A2E1A">
        <w:rPr>
          <w:lang w:eastAsia="en-AU"/>
        </w:rPr>
        <w:t xml:space="preserve">, </w:t>
      </w:r>
      <w:r w:rsidR="00E814F0">
        <w:rPr>
          <w:lang w:eastAsia="en-AU"/>
        </w:rPr>
        <w:t>and</w:t>
      </w:r>
      <w:r w:rsidR="009A2E1A">
        <w:rPr>
          <w:lang w:eastAsia="en-AU"/>
        </w:rPr>
        <w:t xml:space="preserve"> </w:t>
      </w:r>
      <w:r w:rsidR="004B36C1">
        <w:rPr>
          <w:lang w:eastAsia="en-AU"/>
        </w:rPr>
        <w:t xml:space="preserve">cover only short-term visitors aged 15 and over, while the arrivals numbers </w:t>
      </w:r>
      <w:r w:rsidR="00EC5590">
        <w:rPr>
          <w:lang w:eastAsia="en-AU"/>
        </w:rPr>
        <w:t xml:space="preserve">also </w:t>
      </w:r>
      <w:r w:rsidR="004B36C1">
        <w:rPr>
          <w:lang w:eastAsia="en-AU"/>
        </w:rPr>
        <w:t>include visitors aged under 15.</w:t>
      </w:r>
      <w:r w:rsidR="009A2E1A">
        <w:rPr>
          <w:lang w:eastAsia="en-AU"/>
        </w:rPr>
        <w:t xml:space="preserve"> </w:t>
      </w:r>
    </w:p>
    <w:p w14:paraId="277DDC03" w14:textId="77777777" w:rsidR="002A200A" w:rsidRPr="00397E0F" w:rsidRDefault="002A200A" w:rsidP="002A200A">
      <w:pPr>
        <w:pStyle w:val="Caption"/>
        <w:keepNext/>
        <w:spacing w:line="300" w:lineRule="atLeast"/>
        <w:rPr>
          <w:i w:val="0"/>
          <w:iCs w:val="0"/>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Pr>
          <w:b/>
          <w:bCs/>
          <w:i w:val="0"/>
          <w:iCs w:val="0"/>
          <w:noProof/>
          <w:sz w:val="20"/>
          <w:szCs w:val="20"/>
        </w:rPr>
        <w:t>5</w:t>
      </w:r>
      <w:r>
        <w:rPr>
          <w:b/>
          <w:bCs/>
          <w:i w:val="0"/>
          <w:iCs w:val="0"/>
          <w:sz w:val="20"/>
          <w:szCs w:val="20"/>
        </w:rPr>
        <w:fldChar w:fldCharType="end"/>
      </w:r>
      <w:r>
        <w:rPr>
          <w:b/>
          <w:bCs/>
          <w:i w:val="0"/>
          <w:iCs w:val="0"/>
          <w:sz w:val="20"/>
          <w:szCs w:val="20"/>
        </w:rPr>
        <w:t xml:space="preserve">. </w:t>
      </w:r>
      <w:r>
        <w:rPr>
          <w:i w:val="0"/>
          <w:iCs w:val="0"/>
          <w:sz w:val="20"/>
          <w:szCs w:val="20"/>
        </w:rPr>
        <w:t>International visitor nights and spend by main purpose of trip in 2019, 2022 and 2023.</w:t>
      </w:r>
    </w:p>
    <w:p w14:paraId="226E17AA" w14:textId="2DAF6D09" w:rsidR="002A200A" w:rsidRPr="00804A2E" w:rsidRDefault="00D13B43" w:rsidP="002A200A">
      <w:pPr>
        <w:spacing w:line="300" w:lineRule="atLeast"/>
      </w:pPr>
      <w:r w:rsidRPr="00D13B43">
        <w:rPr>
          <w:noProof/>
        </w:rPr>
        <w:drawing>
          <wp:inline distT="0" distB="0" distL="0" distR="0" wp14:anchorId="481DE876" wp14:editId="28DD1F32">
            <wp:extent cx="6329680" cy="3548380"/>
            <wp:effectExtent l="0" t="0" r="0" b="0"/>
            <wp:docPr id="1453268011" name="Picture 3" descr="Figure 5 shows 2 bar charts side-by-side with international visitor nights in Australia by main purpose on the left side and international visitor spend in Australia by main purpose on the right side. There are bars for each of the 6 main reasons for international visit that show the nights or spend in 2019, 2022 and in 2023. Visitor nights and visitor spend for VFR and employment trips were higher in 2023 than in 2019, but lower for all other purposes. All categories showed an increased from 202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68011" name="Picture 3" descr="Figure 5 shows 2 bar charts side-by-side with international visitor nights in Australia by main purpose on the left side and international visitor spend in Australia by main purpose on the right side. There are bars for each of the 6 main reasons for international visit that show the nights or spend in 2019, 2022 and in 2023. Visitor nights and visitor spend for VFR and employment trips were higher in 2023 than in 2019, but lower for all other purposes. All categories showed an increased from 2022 to 20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9680" cy="3548380"/>
                    </a:xfrm>
                    <a:prstGeom prst="rect">
                      <a:avLst/>
                    </a:prstGeom>
                    <a:noFill/>
                    <a:ln>
                      <a:noFill/>
                    </a:ln>
                  </pic:spPr>
                </pic:pic>
              </a:graphicData>
            </a:graphic>
          </wp:inline>
        </w:drawing>
      </w:r>
    </w:p>
    <w:p w14:paraId="5D2131A6" w14:textId="77777777" w:rsidR="00BE0524" w:rsidRDefault="00BE0524" w:rsidP="00464AFB">
      <w:pPr>
        <w:spacing w:before="120" w:after="120"/>
        <w:rPr>
          <w:lang w:eastAsia="en-AU"/>
        </w:rPr>
      </w:pPr>
      <w:r>
        <w:rPr>
          <w:lang w:eastAsia="en-AU"/>
        </w:rPr>
        <w:t>By purpose</w:t>
      </w:r>
      <w:r w:rsidRPr="484C69EB">
        <w:rPr>
          <w:lang w:eastAsia="en-AU"/>
        </w:rPr>
        <w:t xml:space="preserve"> group</w:t>
      </w:r>
      <w:r>
        <w:rPr>
          <w:lang w:eastAsia="en-AU"/>
        </w:rPr>
        <w:t>, there were:</w:t>
      </w:r>
    </w:p>
    <w:p w14:paraId="5D7A8498" w14:textId="77777777" w:rsidR="00BE0524" w:rsidRDefault="00BE0524" w:rsidP="00BE0524">
      <w:pPr>
        <w:pStyle w:val="BulletList"/>
        <w:rPr>
          <w:lang w:eastAsia="en-AU"/>
        </w:rPr>
      </w:pPr>
      <w:r>
        <w:rPr>
          <w:lang w:eastAsia="en-AU"/>
        </w:rPr>
        <w:t xml:space="preserve">60 million </w:t>
      </w:r>
      <w:r w:rsidRPr="00A15AA1">
        <w:rPr>
          <w:b/>
          <w:bCs/>
          <w:lang w:eastAsia="en-AU"/>
        </w:rPr>
        <w:t>holiday</w:t>
      </w:r>
      <w:r>
        <w:rPr>
          <w:lang w:eastAsia="en-AU"/>
        </w:rPr>
        <w:t xml:space="preserve"> nights (which was 197% higher than in 2022, but down 27% on the number in 2019) and $8.3 billion in international holiday spend in Australia (which was 198% higher than in 2022, but down 20% on the number in 2019)</w:t>
      </w:r>
    </w:p>
    <w:p w14:paraId="403DAC83" w14:textId="77777777" w:rsidR="00BE0524" w:rsidRDefault="00BE0524" w:rsidP="00BE0524">
      <w:pPr>
        <w:pStyle w:val="BulletList"/>
        <w:rPr>
          <w:lang w:eastAsia="en-AU"/>
        </w:rPr>
      </w:pPr>
      <w:r>
        <w:rPr>
          <w:lang w:eastAsia="en-AU"/>
        </w:rPr>
        <w:t xml:space="preserve">75 million </w:t>
      </w:r>
      <w:r w:rsidRPr="00A15AA1">
        <w:rPr>
          <w:b/>
          <w:bCs/>
          <w:lang w:eastAsia="en-AU"/>
        </w:rPr>
        <w:t>VFR</w:t>
      </w:r>
      <w:r>
        <w:rPr>
          <w:lang w:eastAsia="en-AU"/>
        </w:rPr>
        <w:t xml:space="preserve"> nights (up 43% on 2022 and up 5% on the 2019 level) and $4.6 billion in VFR spend (up 46% on 2022 and up 11% on the 2019 level)</w:t>
      </w:r>
    </w:p>
    <w:p w14:paraId="190FE9A5" w14:textId="0B466496" w:rsidR="00BE0524" w:rsidRDefault="00BE0524" w:rsidP="00BE0524">
      <w:pPr>
        <w:pStyle w:val="BulletList"/>
        <w:rPr>
          <w:lang w:eastAsia="en-AU"/>
        </w:rPr>
      </w:pPr>
      <w:r>
        <w:rPr>
          <w:lang w:eastAsia="en-AU"/>
        </w:rPr>
        <w:t xml:space="preserve">9 million </w:t>
      </w:r>
      <w:r w:rsidRPr="00A15AA1">
        <w:rPr>
          <w:b/>
          <w:bCs/>
          <w:lang w:eastAsia="en-AU"/>
        </w:rPr>
        <w:t>business</w:t>
      </w:r>
      <w:r>
        <w:rPr>
          <w:lang w:eastAsia="en-AU"/>
        </w:rPr>
        <w:t xml:space="preserve"> nights (up 38% on 2022, but down 23% on the 2019 level) and $2.1 billion in business spend (up 84% on 2022, but down just 2% on the 2019 level)</w:t>
      </w:r>
    </w:p>
    <w:p w14:paraId="1283206F" w14:textId="77777777" w:rsidR="00BE0524" w:rsidRDefault="00BE0524" w:rsidP="00BE0524">
      <w:pPr>
        <w:pStyle w:val="BulletList"/>
        <w:rPr>
          <w:lang w:eastAsia="en-AU"/>
        </w:rPr>
      </w:pPr>
      <w:r>
        <w:rPr>
          <w:lang w:eastAsia="en-AU"/>
        </w:rPr>
        <w:t xml:space="preserve">62 million </w:t>
      </w:r>
      <w:r w:rsidRPr="00A15AA1">
        <w:rPr>
          <w:b/>
          <w:bCs/>
          <w:lang w:eastAsia="en-AU"/>
        </w:rPr>
        <w:t>education</w:t>
      </w:r>
      <w:r>
        <w:rPr>
          <w:lang w:eastAsia="en-AU"/>
        </w:rPr>
        <w:t xml:space="preserve"> nights (up 125% on 2022, but down 19% on the 2019 level) and $10.4 billion in education spend (up 140% on 2022, but down 16% on the 2019 level)</w:t>
      </w:r>
    </w:p>
    <w:p w14:paraId="4B7FEC5C" w14:textId="77777777" w:rsidR="00BE0524" w:rsidRDefault="00BE0524" w:rsidP="00BE0524">
      <w:pPr>
        <w:pStyle w:val="BulletList"/>
        <w:rPr>
          <w:lang w:eastAsia="en-AU"/>
        </w:rPr>
      </w:pPr>
      <w:r>
        <w:rPr>
          <w:lang w:eastAsia="en-AU"/>
        </w:rPr>
        <w:t xml:space="preserve">30 million </w:t>
      </w:r>
      <w:r w:rsidRPr="00A15AA1">
        <w:rPr>
          <w:b/>
          <w:bCs/>
          <w:lang w:eastAsia="en-AU"/>
        </w:rPr>
        <w:t>employment</w:t>
      </w:r>
      <w:r>
        <w:rPr>
          <w:lang w:eastAsia="en-AU"/>
        </w:rPr>
        <w:t xml:space="preserve"> nights (up 100% on 2022 and up 20% on the 2019 level) and $2.1 billion in employment spend (up 113% on 2022 and up 19% on the 2019 level).</w:t>
      </w:r>
    </w:p>
    <w:p w14:paraId="2FD0F080" w14:textId="268D89EA" w:rsidR="00B709C9" w:rsidRDefault="00B709C9" w:rsidP="00B709C9">
      <w:pPr>
        <w:rPr>
          <w:lang w:eastAsia="en-AU"/>
        </w:rPr>
      </w:pPr>
      <w:r>
        <w:rPr>
          <w:lang w:eastAsia="en-AU"/>
        </w:rPr>
        <w:t>TRA forecasts arrivals for VFR purposes to surpass their pre-pandemic level in 2024, while arrivals for holiday are expected to fully recover in 2025. International business arrivals are expected to surpass the 2019 level</w:t>
      </w:r>
      <w:r w:rsidR="00B1473D">
        <w:rPr>
          <w:lang w:eastAsia="en-AU"/>
        </w:rPr>
        <w:t xml:space="preserve"> the following year,</w:t>
      </w:r>
      <w:r>
        <w:rPr>
          <w:lang w:eastAsia="en-AU"/>
        </w:rPr>
        <w:t xml:space="preserve"> in 2026. TRA expects that changed business </w:t>
      </w:r>
      <w:r w:rsidR="00CD548C">
        <w:rPr>
          <w:lang w:eastAsia="en-AU"/>
        </w:rPr>
        <w:t>practices</w:t>
      </w:r>
      <w:r w:rsidR="00AF2E24">
        <w:rPr>
          <w:lang w:eastAsia="en-AU"/>
        </w:rPr>
        <w:t xml:space="preserve">, such as broader take up of video conferencing technology, along with increasing </w:t>
      </w:r>
      <w:r>
        <w:rPr>
          <w:lang w:eastAsia="en-AU"/>
        </w:rPr>
        <w:t>carbon emissions concerns</w:t>
      </w:r>
      <w:r w:rsidR="005E471C">
        <w:rPr>
          <w:lang w:eastAsia="en-AU"/>
        </w:rPr>
        <w:t>,</w:t>
      </w:r>
      <w:r>
        <w:rPr>
          <w:lang w:eastAsia="en-AU"/>
        </w:rPr>
        <w:t xml:space="preserve"> will see business travel take longer to return to its pre-pandemic high.</w:t>
      </w:r>
    </w:p>
    <w:p w14:paraId="5CB2380E" w14:textId="1CD2018B" w:rsidR="00095C66" w:rsidRPr="002C333F" w:rsidRDefault="00095C66" w:rsidP="002C333F">
      <w:pPr>
        <w:pStyle w:val="Heading3"/>
      </w:pPr>
      <w:bookmarkStart w:id="55" w:name="_Toc167113876"/>
      <w:r w:rsidRPr="002C333F">
        <w:lastRenderedPageBreak/>
        <w:t>International arrivals by source market</w:t>
      </w:r>
      <w:bookmarkEnd w:id="55"/>
    </w:p>
    <w:p w14:paraId="50F66CEA" w14:textId="00AA8C2F" w:rsidR="00BA0140" w:rsidRDefault="00586001" w:rsidP="006156A0">
      <w:r>
        <w:t xml:space="preserve">While overall </w:t>
      </w:r>
      <w:r w:rsidR="00BA0140">
        <w:t xml:space="preserve">short-term visitor arrivals </w:t>
      </w:r>
      <w:r>
        <w:t>in 2023 recovered to 76% of the</w:t>
      </w:r>
      <w:r w:rsidR="00880478">
        <w:t>ir</w:t>
      </w:r>
      <w:r>
        <w:t xml:space="preserve"> 2019 level, </w:t>
      </w:r>
      <w:r w:rsidR="00774705">
        <w:t xml:space="preserve">trends </w:t>
      </w:r>
      <w:r w:rsidR="00BA0140">
        <w:t xml:space="preserve">varied by source market. </w:t>
      </w:r>
      <w:r w:rsidR="00774705">
        <w:t xml:space="preserve">Among Australia’s top 20 source markets, there were 3 that more than </w:t>
      </w:r>
      <w:r w:rsidR="00F5380A">
        <w:t>recovered their pre-pandemic level in 2023</w:t>
      </w:r>
      <w:r w:rsidR="00043850">
        <w:t xml:space="preserve"> (Figure </w:t>
      </w:r>
      <w:r w:rsidR="00B42013">
        <w:t>6</w:t>
      </w:r>
      <w:r w:rsidR="00043850">
        <w:t>)</w:t>
      </w:r>
      <w:r w:rsidR="00F5380A">
        <w:t>. These were:</w:t>
      </w:r>
    </w:p>
    <w:p w14:paraId="7181054F" w14:textId="09FBE937" w:rsidR="00F5380A" w:rsidRDefault="00F5380A" w:rsidP="007563A9">
      <w:pPr>
        <w:pStyle w:val="BulletList"/>
      </w:pPr>
      <w:r>
        <w:t>Vietnam</w:t>
      </w:r>
      <w:r w:rsidR="00B51D3A">
        <w:t xml:space="preserve"> </w:t>
      </w:r>
      <w:r w:rsidR="005516EC">
        <w:t>–</w:t>
      </w:r>
      <w:r w:rsidR="00B51D3A">
        <w:t xml:space="preserve"> </w:t>
      </w:r>
      <w:r w:rsidR="005516EC">
        <w:t>166,600 arrivals in 2023</w:t>
      </w:r>
      <w:r w:rsidR="008878A0">
        <w:t>, which was</w:t>
      </w:r>
      <w:r w:rsidR="005516EC">
        <w:t xml:space="preserve"> </w:t>
      </w:r>
      <w:r w:rsidR="008878A0">
        <w:t>35% higher than</w:t>
      </w:r>
      <w:r w:rsidR="00E138A9">
        <w:t xml:space="preserve"> the number of arrivals</w:t>
      </w:r>
      <w:r w:rsidR="008878A0">
        <w:t xml:space="preserve"> in 2019 (</w:t>
      </w:r>
      <w:r w:rsidR="005516EC">
        <w:t>123,500)</w:t>
      </w:r>
    </w:p>
    <w:p w14:paraId="380EE331" w14:textId="691A43F4" w:rsidR="002F1F30" w:rsidRDefault="002F1F30" w:rsidP="007563A9">
      <w:pPr>
        <w:pStyle w:val="BulletList"/>
      </w:pPr>
      <w:r>
        <w:t xml:space="preserve">Ireland – </w:t>
      </w:r>
      <w:r w:rsidR="00FB7A3E">
        <w:t>79,200</w:t>
      </w:r>
      <w:r>
        <w:t xml:space="preserve"> arrivals in 2023</w:t>
      </w:r>
      <w:r w:rsidR="008878A0">
        <w:t>, which was</w:t>
      </w:r>
      <w:r>
        <w:t xml:space="preserve"> </w:t>
      </w:r>
      <w:r w:rsidR="008878A0">
        <w:t>18% higher than in 2019 (</w:t>
      </w:r>
      <w:r w:rsidR="00FB7A3E">
        <w:t>67,300</w:t>
      </w:r>
      <w:r>
        <w:t>)</w:t>
      </w:r>
    </w:p>
    <w:p w14:paraId="7DB58B80" w14:textId="141EE6DD" w:rsidR="00F5380A" w:rsidRDefault="00F5380A" w:rsidP="007563A9">
      <w:pPr>
        <w:pStyle w:val="BulletList"/>
      </w:pPr>
      <w:r>
        <w:t>South Korea</w:t>
      </w:r>
      <w:r w:rsidR="005516EC">
        <w:t xml:space="preserve"> – </w:t>
      </w:r>
      <w:r w:rsidR="008878A0">
        <w:t>288</w:t>
      </w:r>
      <w:r w:rsidR="005516EC">
        <w:t>,</w:t>
      </w:r>
      <w:r w:rsidR="008878A0">
        <w:t>0</w:t>
      </w:r>
      <w:r w:rsidR="005516EC">
        <w:t>00 arrivals in 2023</w:t>
      </w:r>
      <w:r w:rsidR="00E138A9">
        <w:t>, which was</w:t>
      </w:r>
      <w:r w:rsidR="005516EC">
        <w:t xml:space="preserve"> </w:t>
      </w:r>
      <w:r w:rsidR="003801DC">
        <w:t>3</w:t>
      </w:r>
      <w:r w:rsidR="00E138A9">
        <w:t>% higher than in 2019 (</w:t>
      </w:r>
      <w:r w:rsidR="008878A0">
        <w:t>280</w:t>
      </w:r>
      <w:r w:rsidR="005516EC">
        <w:t>,500)</w:t>
      </w:r>
      <w:r w:rsidR="00E138A9">
        <w:t>.</w:t>
      </w:r>
    </w:p>
    <w:p w14:paraId="27B616C4" w14:textId="645AB9B3" w:rsidR="004E18C3" w:rsidRDefault="00E2386D" w:rsidP="00797E96">
      <w:r>
        <w:t xml:space="preserve">Arrivals from India and the Philippines reached 99% of their pre-pandemic levels in </w:t>
      </w:r>
      <w:r w:rsidR="00F428C2">
        <w:t xml:space="preserve">2023 and are also considered to have </w:t>
      </w:r>
      <w:r w:rsidR="005E471C">
        <w:t xml:space="preserve">effectively </w:t>
      </w:r>
      <w:r w:rsidR="004E18C3">
        <w:t>fully recovered.</w:t>
      </w:r>
    </w:p>
    <w:p w14:paraId="4FD3063F" w14:textId="050199A6" w:rsidR="00230622" w:rsidRDefault="00230622" w:rsidP="00B709C9">
      <w:pPr>
        <w:pStyle w:val="Caption"/>
        <w:keepNext/>
        <w:rPr>
          <w:b/>
          <w:bCs/>
          <w:i w:val="0"/>
          <w:iCs w:val="0"/>
          <w:color w:val="000000" w:themeColor="text1"/>
          <w:sz w:val="20"/>
          <w:szCs w:val="20"/>
        </w:rPr>
      </w:pPr>
      <w:bookmarkStart w:id="56" w:name="_Hlk166163764"/>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142564">
        <w:rPr>
          <w:b/>
          <w:bCs/>
          <w:i w:val="0"/>
          <w:iCs w:val="0"/>
          <w:noProof/>
          <w:sz w:val="20"/>
          <w:szCs w:val="20"/>
        </w:rPr>
        <w:t>6</w:t>
      </w:r>
      <w:r>
        <w:rPr>
          <w:b/>
          <w:bCs/>
          <w:i w:val="0"/>
          <w:iCs w:val="0"/>
          <w:sz w:val="20"/>
          <w:szCs w:val="20"/>
        </w:rPr>
        <w:fldChar w:fldCharType="end"/>
      </w:r>
      <w:r>
        <w:rPr>
          <w:b/>
          <w:bCs/>
          <w:i w:val="0"/>
          <w:iCs w:val="0"/>
          <w:sz w:val="20"/>
          <w:szCs w:val="20"/>
        </w:rPr>
        <w:t xml:space="preserve">. </w:t>
      </w:r>
      <w:r>
        <w:rPr>
          <w:i w:val="0"/>
          <w:iCs w:val="0"/>
          <w:sz w:val="20"/>
          <w:szCs w:val="20"/>
        </w:rPr>
        <w:t>International short-term visitor arrivals from the top 20 source markets</w:t>
      </w:r>
      <w:r w:rsidR="008B7AB9" w:rsidRPr="008B7AB9">
        <w:rPr>
          <w:i w:val="0"/>
          <w:iCs w:val="0"/>
          <w:sz w:val="20"/>
          <w:szCs w:val="20"/>
        </w:rPr>
        <w:t xml:space="preserve"> </w:t>
      </w:r>
      <w:r w:rsidR="008B7AB9">
        <w:rPr>
          <w:i w:val="0"/>
          <w:iCs w:val="0"/>
          <w:sz w:val="20"/>
          <w:szCs w:val="20"/>
        </w:rPr>
        <w:t>in</w:t>
      </w:r>
      <w:r w:rsidR="00BE02BD">
        <w:rPr>
          <w:i w:val="0"/>
          <w:iCs w:val="0"/>
          <w:sz w:val="20"/>
          <w:szCs w:val="20"/>
        </w:rPr>
        <w:t xml:space="preserve"> 2023, compared with</w:t>
      </w:r>
      <w:r w:rsidR="008B7AB9">
        <w:rPr>
          <w:i w:val="0"/>
          <w:iCs w:val="0"/>
          <w:sz w:val="20"/>
          <w:szCs w:val="20"/>
        </w:rPr>
        <w:t xml:space="preserve"> 2019</w:t>
      </w:r>
      <w:r w:rsidR="00BE02BD">
        <w:rPr>
          <w:i w:val="0"/>
          <w:iCs w:val="0"/>
          <w:sz w:val="20"/>
          <w:szCs w:val="20"/>
        </w:rPr>
        <w:t xml:space="preserve"> and</w:t>
      </w:r>
      <w:r w:rsidR="008B7AB9">
        <w:rPr>
          <w:i w:val="0"/>
          <w:iCs w:val="0"/>
          <w:sz w:val="20"/>
          <w:szCs w:val="20"/>
        </w:rPr>
        <w:t xml:space="preserve"> 2022</w:t>
      </w:r>
      <w:r>
        <w:rPr>
          <w:i w:val="0"/>
          <w:iCs w:val="0"/>
          <w:sz w:val="20"/>
          <w:szCs w:val="20"/>
        </w:rPr>
        <w:t xml:space="preserve">. </w:t>
      </w:r>
    </w:p>
    <w:bookmarkEnd w:id="56"/>
    <w:p w14:paraId="2B8BA9B2" w14:textId="7B5113DB" w:rsidR="004B0763" w:rsidRDefault="00B24323" w:rsidP="004B0763">
      <w:pPr>
        <w:spacing w:before="0" w:after="160" w:line="240" w:lineRule="atLeast"/>
      </w:pPr>
      <w:r w:rsidRPr="00B24323">
        <w:rPr>
          <w:noProof/>
        </w:rPr>
        <w:drawing>
          <wp:inline distT="0" distB="0" distL="0" distR="0" wp14:anchorId="74F23256" wp14:editId="0DD1F348">
            <wp:extent cx="6329680" cy="3173095"/>
            <wp:effectExtent l="0" t="0" r="0" b="8255"/>
            <wp:docPr id="706865591" name="Picture 3" descr="Figure 6 shows a bar chart with the number of international short-term visitor arrivals to Australia in 2019, 2022 and in 2023 for each of the top 20 source markets. New Zealand is typically Australia's largest source market. In 2023, arrivals from South Korea, Vietnam and Ireland were higher than they were in 2019. All other sources were still below the pre-pandemic level in 2023. All markets showed an increased from 202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65591" name="Picture 3" descr="Figure 6 shows a bar chart with the number of international short-term visitor arrivals to Australia in 2019, 2022 and in 2023 for each of the top 20 source markets. New Zealand is typically Australia's largest source market. In 2023, arrivals from South Korea, Vietnam and Ireland were higher than they were in 2019. All other sources were still below the pre-pandemic level in 2023. All markets showed an increased from 2022 to 20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9680" cy="3173095"/>
                    </a:xfrm>
                    <a:prstGeom prst="rect">
                      <a:avLst/>
                    </a:prstGeom>
                    <a:noFill/>
                    <a:ln>
                      <a:noFill/>
                    </a:ln>
                  </pic:spPr>
                </pic:pic>
              </a:graphicData>
            </a:graphic>
          </wp:inline>
        </w:drawing>
      </w:r>
    </w:p>
    <w:p w14:paraId="527D8C32" w14:textId="5080534F" w:rsidR="00494EEC" w:rsidRDefault="00FD0E7F" w:rsidP="00494EEC">
      <w:r>
        <w:t>Beyond those listed above, t</w:t>
      </w:r>
      <w:r w:rsidR="00494EEC">
        <w:t xml:space="preserve">here were also several source markets </w:t>
      </w:r>
      <w:r w:rsidR="00C6384C">
        <w:t xml:space="preserve">ranked </w:t>
      </w:r>
      <w:r w:rsidR="00006381">
        <w:t xml:space="preserve">21 to 40 </w:t>
      </w:r>
      <w:r w:rsidR="00494EEC">
        <w:t>in the top</w:t>
      </w:r>
      <w:r w:rsidR="00C6384C">
        <w:t xml:space="preserve"> </w:t>
      </w:r>
      <w:r w:rsidR="00494EEC">
        <w:t>source markets for Australia in 2023 that recorded more arrivals in 2023 than they did in 2019, including:</w:t>
      </w:r>
    </w:p>
    <w:p w14:paraId="35783DE5" w14:textId="77777777" w:rsidR="00494EEC" w:rsidRDefault="00494EEC" w:rsidP="00494EEC">
      <w:pPr>
        <w:pStyle w:val="BulletList"/>
      </w:pPr>
      <w:r>
        <w:t xml:space="preserve">Fiji (120% of 2019 level), which saw 55,000 arrivals in </w:t>
      </w:r>
      <w:proofErr w:type="gramStart"/>
      <w:r>
        <w:t>2023</w:t>
      </w:r>
      <w:proofErr w:type="gramEnd"/>
    </w:p>
    <w:p w14:paraId="60EB4AF6" w14:textId="77777777" w:rsidR="00494EEC" w:rsidRDefault="00494EEC" w:rsidP="00494EEC">
      <w:pPr>
        <w:pStyle w:val="BulletList"/>
      </w:pPr>
      <w:r>
        <w:t xml:space="preserve">Nepal (144% of 2019 level), which saw 54,800 arrivals in </w:t>
      </w:r>
      <w:proofErr w:type="gramStart"/>
      <w:r>
        <w:t>2023</w:t>
      </w:r>
      <w:proofErr w:type="gramEnd"/>
      <w:r>
        <w:t xml:space="preserve"> </w:t>
      </w:r>
    </w:p>
    <w:p w14:paraId="3DA7B83A" w14:textId="77777777" w:rsidR="00494EEC" w:rsidRDefault="00494EEC" w:rsidP="00494EEC">
      <w:pPr>
        <w:pStyle w:val="BulletList"/>
      </w:pPr>
      <w:r>
        <w:t xml:space="preserve">Colombia (182% of 2019 level), which saw 39,600 arrivals in </w:t>
      </w:r>
      <w:proofErr w:type="gramStart"/>
      <w:r>
        <w:t>2023</w:t>
      </w:r>
      <w:proofErr w:type="gramEnd"/>
      <w:r>
        <w:t xml:space="preserve"> </w:t>
      </w:r>
    </w:p>
    <w:p w14:paraId="66536262" w14:textId="77777777" w:rsidR="00494EEC" w:rsidRDefault="00494EEC" w:rsidP="00494EEC">
      <w:pPr>
        <w:pStyle w:val="BulletList"/>
      </w:pPr>
      <w:r>
        <w:t xml:space="preserve">Pakistan (123% of 2019 level), which saw 25,700 arrivals in </w:t>
      </w:r>
      <w:proofErr w:type="gramStart"/>
      <w:r>
        <w:t>2023</w:t>
      </w:r>
      <w:proofErr w:type="gramEnd"/>
      <w:r>
        <w:t xml:space="preserve"> </w:t>
      </w:r>
    </w:p>
    <w:p w14:paraId="27F23739" w14:textId="77777777" w:rsidR="00494EEC" w:rsidRDefault="00494EEC" w:rsidP="00494EEC">
      <w:pPr>
        <w:pStyle w:val="BulletList"/>
      </w:pPr>
      <w:r>
        <w:t xml:space="preserve">Bangladesh (102% of 2019 level), which saw 20,600 arrivals in </w:t>
      </w:r>
      <w:proofErr w:type="gramStart"/>
      <w:r>
        <w:t>2023</w:t>
      </w:r>
      <w:proofErr w:type="gramEnd"/>
    </w:p>
    <w:p w14:paraId="123D5595" w14:textId="77777777" w:rsidR="00494EEC" w:rsidRDefault="00494EEC" w:rsidP="00494EEC">
      <w:pPr>
        <w:pStyle w:val="BulletList"/>
      </w:pPr>
      <w:r>
        <w:t xml:space="preserve">Vanuatu (110% of 2019 level), which saw 18,800 arrivals in </w:t>
      </w:r>
      <w:proofErr w:type="gramStart"/>
      <w:r>
        <w:t>2023</w:t>
      </w:r>
      <w:proofErr w:type="gramEnd"/>
    </w:p>
    <w:p w14:paraId="560900BB" w14:textId="77777777" w:rsidR="00494EEC" w:rsidRDefault="00494EEC" w:rsidP="00494EEC">
      <w:pPr>
        <w:pStyle w:val="BulletList"/>
      </w:pPr>
      <w:r>
        <w:t>Cambodia (118% of 2019 level), which saw 18,600 arrivals in 2023.</w:t>
      </w:r>
    </w:p>
    <w:p w14:paraId="129E26F1" w14:textId="0145047F" w:rsidR="00611B6B" w:rsidRDefault="00BA0140" w:rsidP="00BA0140">
      <w:r>
        <w:t xml:space="preserve">Arrivals from China </w:t>
      </w:r>
      <w:r w:rsidR="00AD70A1">
        <w:t xml:space="preserve">have </w:t>
      </w:r>
      <w:r w:rsidR="00C866BD">
        <w:t>r</w:t>
      </w:r>
      <w:r>
        <w:t>ecover</w:t>
      </w:r>
      <w:r w:rsidR="00C866BD">
        <w:t>ed by less</w:t>
      </w:r>
      <w:r w:rsidR="00790D24">
        <w:t xml:space="preserve"> than most other markets, given the much later </w:t>
      </w:r>
      <w:r w:rsidR="0048097A">
        <w:t>restart</w:t>
      </w:r>
      <w:r w:rsidR="00790D24">
        <w:t xml:space="preserve"> </w:t>
      </w:r>
      <w:r w:rsidR="00DA600C">
        <w:t xml:space="preserve">of </w:t>
      </w:r>
      <w:r w:rsidR="00246674">
        <w:t>outbound travel from China</w:t>
      </w:r>
      <w:r w:rsidR="006B54C9">
        <w:t>, in early 2023</w:t>
      </w:r>
      <w:r w:rsidR="00246674">
        <w:t xml:space="preserve">. </w:t>
      </w:r>
      <w:r w:rsidR="006B54C9">
        <w:t>A</w:t>
      </w:r>
      <w:r w:rsidR="00246674">
        <w:t xml:space="preserve">rrivals from China </w:t>
      </w:r>
      <w:r w:rsidR="00C5766E">
        <w:t>were just 37</w:t>
      </w:r>
      <w:r>
        <w:t xml:space="preserve">% </w:t>
      </w:r>
      <w:r w:rsidR="00C5766E">
        <w:t xml:space="preserve">of </w:t>
      </w:r>
      <w:r>
        <w:t>the</w:t>
      </w:r>
      <w:r w:rsidR="00C94342">
        <w:t>ir</w:t>
      </w:r>
      <w:r>
        <w:t xml:space="preserve"> pre-pandemic level in 202</w:t>
      </w:r>
      <w:r w:rsidR="00470042">
        <w:t>3</w:t>
      </w:r>
      <w:r>
        <w:t>.</w:t>
      </w:r>
      <w:r w:rsidR="00246674">
        <w:t xml:space="preserve"> Nevertheless, at </w:t>
      </w:r>
      <w:r w:rsidR="001E0378">
        <w:t>535,800 arrivals in 2023, China was still Australia’s 4</w:t>
      </w:r>
      <w:r w:rsidR="001E0378" w:rsidRPr="001E0378">
        <w:rPr>
          <w:vertAlign w:val="superscript"/>
        </w:rPr>
        <w:t>th</w:t>
      </w:r>
      <w:r w:rsidR="001E0378">
        <w:t xml:space="preserve"> largest inbound market after </w:t>
      </w:r>
      <w:r w:rsidR="00611B6B">
        <w:t>New Zealand (</w:t>
      </w:r>
      <w:r w:rsidR="00C6627D">
        <w:t>1,272,100 arrivals)</w:t>
      </w:r>
      <w:r w:rsidR="00611B6B">
        <w:t xml:space="preserve">, the United States </w:t>
      </w:r>
      <w:r w:rsidR="00C6627D">
        <w:t xml:space="preserve">(659,700) </w:t>
      </w:r>
      <w:r w:rsidR="00611B6B">
        <w:t>and the United Kingdom</w:t>
      </w:r>
      <w:r w:rsidR="00E435A0">
        <w:t xml:space="preserve"> (596,900)</w:t>
      </w:r>
      <w:r w:rsidR="00611B6B">
        <w:t>.</w:t>
      </w:r>
    </w:p>
    <w:p w14:paraId="6109809B" w14:textId="6D669F7B" w:rsidR="00DF2606" w:rsidRDefault="00BA0140" w:rsidP="00DF2606">
      <w:r>
        <w:lastRenderedPageBreak/>
        <w:t xml:space="preserve">Arrivals from </w:t>
      </w:r>
      <w:r w:rsidR="007D5FC7">
        <w:t xml:space="preserve">Malaysia and Hong Kong </w:t>
      </w:r>
      <w:r w:rsidR="00470042">
        <w:t>have</w:t>
      </w:r>
      <w:r>
        <w:t xml:space="preserve"> also </w:t>
      </w:r>
      <w:r w:rsidR="00470042">
        <w:t xml:space="preserve">been </w:t>
      </w:r>
      <w:r>
        <w:t xml:space="preserve">slow to </w:t>
      </w:r>
      <w:r w:rsidR="00572261">
        <w:t>recover and</w:t>
      </w:r>
      <w:r w:rsidR="00BC70C2">
        <w:t xml:space="preserve"> were 46% and 58% of their pre-pandemic levels in 2023 respectively. </w:t>
      </w:r>
      <w:r w:rsidR="00DC012A">
        <w:t>In particular, t</w:t>
      </w:r>
      <w:r w:rsidR="00344C8D">
        <w:t xml:space="preserve">he recovery in leisure </w:t>
      </w:r>
      <w:r w:rsidR="00CD4D93">
        <w:t>travellers</w:t>
      </w:r>
      <w:r w:rsidR="00344C8D">
        <w:t xml:space="preserve"> from these </w:t>
      </w:r>
      <w:r w:rsidR="00CD4D93">
        <w:t xml:space="preserve">two </w:t>
      </w:r>
      <w:r w:rsidR="00344C8D">
        <w:t>countries has been slow</w:t>
      </w:r>
      <w:r w:rsidR="00BA64DE">
        <w:t>er</w:t>
      </w:r>
      <w:r w:rsidR="00CD4D93">
        <w:t xml:space="preserve">, and arrivals </w:t>
      </w:r>
      <w:r w:rsidR="00391F08">
        <w:t>of young</w:t>
      </w:r>
      <w:r w:rsidR="002D2C7F">
        <w:t>er</w:t>
      </w:r>
      <w:r w:rsidR="00391F08">
        <w:t xml:space="preserve"> travellers </w:t>
      </w:r>
      <w:r w:rsidR="00CD4D93">
        <w:t>from Malaysia</w:t>
      </w:r>
      <w:r w:rsidR="00391F08">
        <w:t xml:space="preserve"> </w:t>
      </w:r>
      <w:r w:rsidR="00B269D5">
        <w:t>ha</w:t>
      </w:r>
      <w:r w:rsidR="00675092">
        <w:t>ve</w:t>
      </w:r>
      <w:r w:rsidR="00B269D5">
        <w:t xml:space="preserve"> </w:t>
      </w:r>
      <w:r w:rsidR="00524B7F">
        <w:t xml:space="preserve">been slower to recover than </w:t>
      </w:r>
      <w:r w:rsidR="00C153A7">
        <w:t>for</w:t>
      </w:r>
      <w:r w:rsidR="002D2C7F">
        <w:t xml:space="preserve"> older travellers</w:t>
      </w:r>
      <w:r w:rsidR="00CD4D93">
        <w:t xml:space="preserve">. </w:t>
      </w:r>
      <w:r w:rsidR="00DF2606">
        <w:t xml:space="preserve">It is unsurprising that </w:t>
      </w:r>
      <w:r w:rsidR="006D233B">
        <w:t xml:space="preserve">some </w:t>
      </w:r>
      <w:r w:rsidR="00DF2606">
        <w:t>travellers maintain</w:t>
      </w:r>
      <w:r w:rsidR="00A25AB1">
        <w:t>ed</w:t>
      </w:r>
      <w:r w:rsidR="00DF2606">
        <w:t xml:space="preserve"> a preference for domestic and short-haul travel in </w:t>
      </w:r>
      <w:r w:rsidR="00B57F74">
        <w:t>2023</w:t>
      </w:r>
      <w:r w:rsidR="00DF2606">
        <w:t xml:space="preserve"> after such an extended period of international travel restrictions, especially given many consumers globally face tight budget pressures. Nevertheless, Australia is expected to see growing numbers of international travellers from these countries as their outbound travellers become increasingly confident to travel longer distances, aviation links continue to increase and travel prices stabilise. </w:t>
      </w:r>
    </w:p>
    <w:p w14:paraId="2249541E" w14:textId="4E5424DF" w:rsidR="00B709C9" w:rsidRDefault="00A8583A" w:rsidP="00BA0140">
      <w:r>
        <w:t>Among those countries that rank in Australia’s top 20–</w:t>
      </w:r>
      <w:r w:rsidR="006E3DCE">
        <w:t>6</w:t>
      </w:r>
      <w:r>
        <w:t>0 source markets</w:t>
      </w:r>
      <w:r w:rsidR="009D4366">
        <w:t>, arrivals in 2023 from</w:t>
      </w:r>
      <w:r>
        <w:t xml:space="preserve"> the following </w:t>
      </w:r>
      <w:r w:rsidR="009D4366">
        <w:t xml:space="preserve">continued to lag the overall recovery: </w:t>
      </w:r>
      <w:r w:rsidR="001F52F3">
        <w:t xml:space="preserve">Sweden, Belgium, Poland, Finland, Russia, </w:t>
      </w:r>
      <w:r w:rsidR="006E3DCE">
        <w:t>Saudia Arabia, Czech Republic.</w:t>
      </w:r>
      <w:r w:rsidR="00DF2606">
        <w:t xml:space="preserve"> Arrivals from these markets </w:t>
      </w:r>
      <w:r w:rsidR="00DA6F3F">
        <w:t xml:space="preserve">were </w:t>
      </w:r>
      <w:r w:rsidR="00DF2606">
        <w:t xml:space="preserve">likely </w:t>
      </w:r>
      <w:r w:rsidR="00DA6F3F">
        <w:t>influenced by growing</w:t>
      </w:r>
      <w:r w:rsidR="008851C0">
        <w:t xml:space="preserve"> consumer</w:t>
      </w:r>
      <w:r w:rsidR="00DF2606">
        <w:t xml:space="preserve"> </w:t>
      </w:r>
      <w:r w:rsidR="00B84815">
        <w:t xml:space="preserve">concerns </w:t>
      </w:r>
      <w:r w:rsidR="002827C2">
        <w:t>about the carbon emission of long-haul flights</w:t>
      </w:r>
      <w:r w:rsidR="008851C0">
        <w:t>,</w:t>
      </w:r>
      <w:r w:rsidR="002827C2">
        <w:t xml:space="preserve"> as well as</w:t>
      </w:r>
      <w:r w:rsidR="00F26A5A">
        <w:t xml:space="preserve"> other disruptions such as uncertainty</w:t>
      </w:r>
      <w:r w:rsidR="00C515AB">
        <w:t xml:space="preserve"> </w:t>
      </w:r>
      <w:r w:rsidR="00F26A5A">
        <w:t>related to</w:t>
      </w:r>
      <w:r w:rsidR="002827C2">
        <w:t xml:space="preserve"> </w:t>
      </w:r>
      <w:r w:rsidR="008851C0">
        <w:t>the</w:t>
      </w:r>
      <w:r w:rsidR="00F31F61">
        <w:t xml:space="preserve"> </w:t>
      </w:r>
      <w:r w:rsidR="00F26A5A">
        <w:t xml:space="preserve">conflict </w:t>
      </w:r>
      <w:r w:rsidR="008851C0">
        <w:t>in Ukraine</w:t>
      </w:r>
      <w:r w:rsidR="002827C2">
        <w:t>.</w:t>
      </w:r>
    </w:p>
    <w:p w14:paraId="77204703" w14:textId="53647050" w:rsidR="009072F6" w:rsidRPr="0048097A" w:rsidRDefault="00A41383" w:rsidP="00572261">
      <w:pPr>
        <w:pStyle w:val="Heading4"/>
        <w:pBdr>
          <w:top w:val="thinThickSmallGap" w:sz="24" w:space="1" w:color="2E1A47" w:themeColor="accent2"/>
        </w:pBdr>
        <w:rPr>
          <w:rStyle w:val="normaltextrun"/>
        </w:rPr>
      </w:pPr>
      <w:r w:rsidRPr="0048097A">
        <w:rPr>
          <w:rStyle w:val="normaltextrun"/>
        </w:rPr>
        <w:t xml:space="preserve">Approved Destination Status (ADS) scheme </w:t>
      </w:r>
      <w:r w:rsidR="009072F6" w:rsidRPr="0048097A">
        <w:rPr>
          <w:rStyle w:val="normaltextrun"/>
        </w:rPr>
        <w:t>and group travel from China</w:t>
      </w:r>
    </w:p>
    <w:p w14:paraId="58CCB006" w14:textId="32A6DCC4" w:rsidR="0050763C" w:rsidRPr="00A327B0" w:rsidRDefault="00A77232" w:rsidP="0048097A">
      <w:r w:rsidRPr="00A327B0">
        <w:t>O</w:t>
      </w:r>
      <w:r w:rsidR="00A41383" w:rsidRPr="00A327B0">
        <w:t>n 10 August 2023</w:t>
      </w:r>
      <w:r w:rsidRPr="00A327B0">
        <w:t xml:space="preserve">, China’s Ministry of Culture and Tourism announced that </w:t>
      </w:r>
      <w:r w:rsidR="00A41383" w:rsidRPr="00A327B0">
        <w:t xml:space="preserve">Australia </w:t>
      </w:r>
      <w:r w:rsidR="00235C7E" w:rsidRPr="00A327B0">
        <w:t>was added to the</w:t>
      </w:r>
      <w:r w:rsidR="00A41383" w:rsidRPr="00A327B0">
        <w:t xml:space="preserve"> group of countries </w:t>
      </w:r>
      <w:r w:rsidR="00235C7E" w:rsidRPr="00A327B0">
        <w:t>on</w:t>
      </w:r>
      <w:r w:rsidR="00A41383" w:rsidRPr="00A327B0">
        <w:t xml:space="preserve"> the ADS pilot program. </w:t>
      </w:r>
      <w:r w:rsidR="0050763C" w:rsidRPr="00A327B0">
        <w:t xml:space="preserve">Following this announcement, Austrade and </w:t>
      </w:r>
      <w:r w:rsidR="003937A8">
        <w:t xml:space="preserve">the Department of </w:t>
      </w:r>
      <w:r w:rsidR="0050763C" w:rsidRPr="00A327B0">
        <w:t>Home Affairs worked with inbound and outbound tourism operators in Australia and China</w:t>
      </w:r>
      <w:r w:rsidR="00735E81">
        <w:t xml:space="preserve"> to </w:t>
      </w:r>
      <w:r w:rsidR="0050763C" w:rsidRPr="00A327B0">
        <w:t>ensur</w:t>
      </w:r>
      <w:r w:rsidR="00735E81">
        <w:t>e</w:t>
      </w:r>
      <w:r w:rsidR="0050763C" w:rsidRPr="00A327B0">
        <w:t xml:space="preserve"> all arrangements were in place to receive Chinese tour groups on ADS visas.</w:t>
      </w:r>
      <w:r w:rsidR="00B346FF">
        <w:rPr>
          <w:rStyle w:val="FootnoteReference"/>
        </w:rPr>
        <w:footnoteReference w:id="4"/>
      </w:r>
      <w:r w:rsidR="0050763C" w:rsidRPr="00A327B0">
        <w:t> </w:t>
      </w:r>
    </w:p>
    <w:p w14:paraId="71E45D27" w14:textId="755E5D6A" w:rsidR="007A3C12" w:rsidRPr="00755117" w:rsidRDefault="00004850" w:rsidP="0048097A">
      <w:pPr>
        <w:rPr>
          <w:rStyle w:val="normaltextrun"/>
        </w:rPr>
      </w:pPr>
      <w:r w:rsidRPr="00A327B0">
        <w:t>On 25 September 2023, the ADS scheme recommenced in Australia. There were 24 Inbound Tour Operators (ITOs) approved to be included as part of the reactivation</w:t>
      </w:r>
      <w:r w:rsidR="00E07B8B">
        <w:t xml:space="preserve">. Others were </w:t>
      </w:r>
      <w:r w:rsidR="009B6338">
        <w:t xml:space="preserve">subsequently </w:t>
      </w:r>
      <w:r w:rsidR="00E07B8B">
        <w:t xml:space="preserve">added </w:t>
      </w:r>
      <w:r w:rsidR="00252DDB">
        <w:t xml:space="preserve">after they </w:t>
      </w:r>
      <w:r w:rsidR="009B7DA0" w:rsidRPr="00A327B0">
        <w:t xml:space="preserve">met requirements and </w:t>
      </w:r>
      <w:r w:rsidR="00392896">
        <w:t xml:space="preserve">as </w:t>
      </w:r>
      <w:proofErr w:type="gramStart"/>
      <w:r w:rsidR="00392896">
        <w:t>at</w:t>
      </w:r>
      <w:proofErr w:type="gramEnd"/>
      <w:r w:rsidR="00392896">
        <w:t xml:space="preserve"> 30 April</w:t>
      </w:r>
      <w:r w:rsidR="001C4A92" w:rsidRPr="001C4A92">
        <w:rPr>
          <w:rFonts w:cs="Calibri"/>
          <w:lang w:val="en-US"/>
        </w:rPr>
        <w:t xml:space="preserve"> 2024, </w:t>
      </w:r>
      <w:r w:rsidR="00392896">
        <w:rPr>
          <w:rFonts w:cs="Calibri"/>
          <w:lang w:val="en-US"/>
        </w:rPr>
        <w:t>61</w:t>
      </w:r>
      <w:r w:rsidR="001C4A92" w:rsidRPr="001C4A92">
        <w:rPr>
          <w:rFonts w:cs="Calibri"/>
          <w:lang w:val="en-US"/>
        </w:rPr>
        <w:t xml:space="preserve"> ADS ITOs ha</w:t>
      </w:r>
      <w:r w:rsidR="00D66FA9">
        <w:rPr>
          <w:rFonts w:cs="Calibri"/>
          <w:lang w:val="en-US"/>
        </w:rPr>
        <w:t>d</w:t>
      </w:r>
      <w:r w:rsidR="001C4A92" w:rsidRPr="001C4A92">
        <w:rPr>
          <w:rFonts w:cs="Calibri"/>
          <w:lang w:val="en-US"/>
        </w:rPr>
        <w:t xml:space="preserve"> been </w:t>
      </w:r>
      <w:r w:rsidR="0066747C">
        <w:rPr>
          <w:rFonts w:cs="Calibri"/>
          <w:lang w:val="en-US"/>
        </w:rPr>
        <w:t>approved</w:t>
      </w:r>
      <w:r w:rsidR="001C4A92" w:rsidRPr="001C4A92">
        <w:rPr>
          <w:rFonts w:cs="Calibri"/>
          <w:lang w:val="en-US"/>
        </w:rPr>
        <w:t xml:space="preserve"> to operate ADS tours.</w:t>
      </w:r>
      <w:r w:rsidR="00755117">
        <w:t xml:space="preserve"> </w:t>
      </w:r>
      <w:r w:rsidR="00096667" w:rsidRPr="00DB437F">
        <w:rPr>
          <w:rStyle w:val="normaltextrun"/>
          <w:rFonts w:asciiTheme="minorHAnsi" w:hAnsiTheme="minorHAnsi"/>
        </w:rPr>
        <w:t>Since travel for Chinese tour groups on ADS visas recommenced, 1</w:t>
      </w:r>
      <w:r w:rsidR="00096667">
        <w:rPr>
          <w:rStyle w:val="normaltextrun"/>
          <w:rFonts w:asciiTheme="minorHAnsi" w:hAnsiTheme="minorHAnsi"/>
        </w:rPr>
        <w:t>,</w:t>
      </w:r>
      <w:r w:rsidR="00096667" w:rsidRPr="00DB437F">
        <w:rPr>
          <w:rStyle w:val="normaltextrun"/>
          <w:rFonts w:asciiTheme="minorHAnsi" w:hAnsiTheme="minorHAnsi"/>
        </w:rPr>
        <w:t xml:space="preserve">904 ADS tour groups have visited Australia </w:t>
      </w:r>
      <w:r w:rsidR="009115DF">
        <w:rPr>
          <w:rStyle w:val="normaltextrun"/>
          <w:rFonts w:asciiTheme="minorHAnsi" w:hAnsiTheme="minorHAnsi"/>
        </w:rPr>
        <w:t>(</w:t>
      </w:r>
      <w:r w:rsidR="00096667" w:rsidRPr="00DB437F">
        <w:rPr>
          <w:rStyle w:val="normaltextrun"/>
          <w:rFonts w:asciiTheme="minorHAnsi" w:hAnsiTheme="minorHAnsi"/>
        </w:rPr>
        <w:t>between 25 September 2023 and 30 April 2024</w:t>
      </w:r>
      <w:r w:rsidR="009115DF">
        <w:rPr>
          <w:rStyle w:val="normaltextrun"/>
          <w:rFonts w:asciiTheme="minorHAnsi" w:hAnsiTheme="minorHAnsi"/>
        </w:rPr>
        <w:t>)</w:t>
      </w:r>
      <w:r w:rsidR="002E5B29">
        <w:rPr>
          <w:rStyle w:val="normaltextrun"/>
          <w:rFonts w:asciiTheme="minorHAnsi" w:hAnsiTheme="minorHAnsi"/>
        </w:rPr>
        <w:t xml:space="preserve"> </w:t>
      </w:r>
      <w:r w:rsidR="002E5B29">
        <w:rPr>
          <w:rStyle w:val="normaltextrun"/>
          <w:color w:val="000000"/>
          <w:shd w:val="clear" w:color="auto" w:fill="FFFFFF"/>
        </w:rPr>
        <w:t xml:space="preserve">and the number </w:t>
      </w:r>
      <w:r w:rsidR="000F2477">
        <w:rPr>
          <w:rStyle w:val="normaltextrun"/>
          <w:color w:val="000000"/>
          <w:shd w:val="clear" w:color="auto" w:fill="FFFFFF"/>
        </w:rPr>
        <w:t xml:space="preserve">of </w:t>
      </w:r>
      <w:r w:rsidR="002E5B29">
        <w:rPr>
          <w:rStyle w:val="normaltextrun"/>
          <w:color w:val="000000"/>
          <w:shd w:val="clear" w:color="auto" w:fill="FFFFFF"/>
        </w:rPr>
        <w:t xml:space="preserve">visitor visas granted through the ADS scheme had reached </w:t>
      </w:r>
      <w:r w:rsidR="00426C78">
        <w:rPr>
          <w:rStyle w:val="normaltextrun"/>
          <w:color w:val="000000"/>
          <w:shd w:val="clear" w:color="auto" w:fill="FFFFFF"/>
        </w:rPr>
        <w:t>21,444</w:t>
      </w:r>
      <w:r w:rsidR="00DC671F">
        <w:rPr>
          <w:rStyle w:val="normaltextrun"/>
          <w:color w:val="000000"/>
          <w:shd w:val="clear" w:color="auto" w:fill="FFFFFF"/>
        </w:rPr>
        <w:t xml:space="preserve"> by 30 April 2024</w:t>
      </w:r>
      <w:r w:rsidR="002E5B29">
        <w:rPr>
          <w:rStyle w:val="normaltextrun"/>
          <w:color w:val="000000"/>
          <w:shd w:val="clear" w:color="auto" w:fill="FFFFFF"/>
        </w:rPr>
        <w:t>.</w:t>
      </w:r>
    </w:p>
    <w:p w14:paraId="39DECAB7" w14:textId="260A573D" w:rsidR="005829E8" w:rsidRDefault="006E510F" w:rsidP="00572261">
      <w:pPr>
        <w:pBdr>
          <w:bottom w:val="thickThinSmallGap" w:sz="24" w:space="1" w:color="auto"/>
        </w:pBdr>
        <w:rPr>
          <w:rStyle w:val="normaltextrun"/>
          <w:rFonts w:asciiTheme="minorHAnsi" w:hAnsiTheme="minorHAnsi"/>
        </w:rPr>
      </w:pPr>
      <w:r>
        <w:rPr>
          <w:rStyle w:val="normaltextrun"/>
          <w:rFonts w:asciiTheme="minorHAnsi" w:hAnsiTheme="minorHAnsi"/>
        </w:rPr>
        <w:t>According to IVS data, i</w:t>
      </w:r>
      <w:r w:rsidR="00E17E4B" w:rsidRPr="00425719">
        <w:rPr>
          <w:rStyle w:val="normaltextrun"/>
          <w:rFonts w:asciiTheme="minorHAnsi" w:hAnsiTheme="minorHAnsi"/>
        </w:rPr>
        <w:t xml:space="preserve">n 2023, there were </w:t>
      </w:r>
      <w:r w:rsidR="000C3CCC">
        <w:rPr>
          <w:rStyle w:val="normaltextrun"/>
          <w:rFonts w:asciiTheme="minorHAnsi" w:hAnsiTheme="minorHAnsi"/>
        </w:rPr>
        <w:t>4,300</w:t>
      </w:r>
      <w:r w:rsidR="00E17E4B" w:rsidRPr="00425719">
        <w:rPr>
          <w:rStyle w:val="normaltextrun"/>
          <w:rFonts w:asciiTheme="minorHAnsi" w:hAnsiTheme="minorHAnsi"/>
        </w:rPr>
        <w:t xml:space="preserve"> travellers from China that </w:t>
      </w:r>
      <w:r w:rsidR="000C3CCC">
        <w:rPr>
          <w:rStyle w:val="normaltextrun"/>
          <w:rFonts w:asciiTheme="minorHAnsi" w:hAnsiTheme="minorHAnsi"/>
        </w:rPr>
        <w:t xml:space="preserve">reported being on a </w:t>
      </w:r>
      <w:r w:rsidR="00E17E4B" w:rsidRPr="00425719">
        <w:rPr>
          <w:rStyle w:val="normaltextrun"/>
          <w:rFonts w:asciiTheme="minorHAnsi" w:hAnsiTheme="minorHAnsi"/>
        </w:rPr>
        <w:t xml:space="preserve">group </w:t>
      </w:r>
      <w:r w:rsidR="000C3CCC">
        <w:rPr>
          <w:rStyle w:val="normaltextrun"/>
          <w:rFonts w:asciiTheme="minorHAnsi" w:hAnsiTheme="minorHAnsi"/>
        </w:rPr>
        <w:t xml:space="preserve">tour, </w:t>
      </w:r>
      <w:r w:rsidR="00312B36">
        <w:rPr>
          <w:rStyle w:val="normaltextrun"/>
          <w:rFonts w:asciiTheme="minorHAnsi" w:hAnsiTheme="minorHAnsi"/>
        </w:rPr>
        <w:t>and they</w:t>
      </w:r>
      <w:r w:rsidR="000C3CCC">
        <w:rPr>
          <w:rStyle w:val="normaltextrun"/>
          <w:rFonts w:asciiTheme="minorHAnsi" w:hAnsiTheme="minorHAnsi"/>
        </w:rPr>
        <w:t xml:space="preserve"> spent </w:t>
      </w:r>
      <w:r w:rsidR="00C27429">
        <w:rPr>
          <w:rStyle w:val="normaltextrun"/>
          <w:rFonts w:asciiTheme="minorHAnsi" w:hAnsiTheme="minorHAnsi"/>
        </w:rPr>
        <w:t>$24.6 million in Australia.</w:t>
      </w:r>
      <w:r w:rsidR="00E17E4B" w:rsidRPr="00425719">
        <w:rPr>
          <w:rStyle w:val="normaltextrun"/>
          <w:rFonts w:asciiTheme="minorHAnsi" w:hAnsiTheme="minorHAnsi"/>
        </w:rPr>
        <w:t xml:space="preserve"> </w:t>
      </w:r>
      <w:r w:rsidR="006E1A0D" w:rsidRPr="00425719">
        <w:rPr>
          <w:rStyle w:val="normaltextrun"/>
          <w:rFonts w:asciiTheme="minorHAnsi" w:hAnsiTheme="minorHAnsi"/>
        </w:rPr>
        <w:t xml:space="preserve">In 2019, there were </w:t>
      </w:r>
      <w:r w:rsidR="005C772B">
        <w:rPr>
          <w:rStyle w:val="normaltextrun"/>
          <w:rFonts w:asciiTheme="minorHAnsi" w:hAnsiTheme="minorHAnsi"/>
        </w:rPr>
        <w:t>293,000</w:t>
      </w:r>
      <w:r w:rsidR="006E1A0D" w:rsidRPr="00425719">
        <w:rPr>
          <w:rStyle w:val="normaltextrun"/>
          <w:rFonts w:asciiTheme="minorHAnsi" w:hAnsiTheme="minorHAnsi"/>
        </w:rPr>
        <w:t xml:space="preserve"> travellers from China that </w:t>
      </w:r>
      <w:r w:rsidR="005C772B">
        <w:rPr>
          <w:rStyle w:val="normaltextrun"/>
          <w:rFonts w:asciiTheme="minorHAnsi" w:hAnsiTheme="minorHAnsi"/>
        </w:rPr>
        <w:t xml:space="preserve">reported being on a </w:t>
      </w:r>
      <w:r w:rsidR="005C772B" w:rsidRPr="00425719">
        <w:rPr>
          <w:rStyle w:val="normaltextrun"/>
          <w:rFonts w:asciiTheme="minorHAnsi" w:hAnsiTheme="minorHAnsi"/>
        </w:rPr>
        <w:t xml:space="preserve">group </w:t>
      </w:r>
      <w:r w:rsidR="005C772B">
        <w:rPr>
          <w:rStyle w:val="normaltextrun"/>
          <w:rFonts w:asciiTheme="minorHAnsi" w:hAnsiTheme="minorHAnsi"/>
        </w:rPr>
        <w:t>tour</w:t>
      </w:r>
      <w:r w:rsidR="009A60E7">
        <w:rPr>
          <w:rStyle w:val="normaltextrun"/>
          <w:rFonts w:asciiTheme="minorHAnsi" w:hAnsiTheme="minorHAnsi"/>
        </w:rPr>
        <w:t xml:space="preserve"> and they spent $711 million in Australia.</w:t>
      </w:r>
      <w:r w:rsidR="003930F9">
        <w:rPr>
          <w:rStyle w:val="normaltextrun"/>
          <w:rFonts w:asciiTheme="minorHAnsi" w:hAnsiTheme="minorHAnsi"/>
        </w:rPr>
        <w:t xml:space="preserve"> This suggests there is a lot of scope to grow</w:t>
      </w:r>
      <w:r w:rsidR="004D24DD">
        <w:rPr>
          <w:rStyle w:val="normaltextrun"/>
          <w:rFonts w:asciiTheme="minorHAnsi" w:hAnsiTheme="minorHAnsi"/>
        </w:rPr>
        <w:t>,</w:t>
      </w:r>
      <w:r w:rsidR="003930F9">
        <w:rPr>
          <w:rStyle w:val="normaltextrun"/>
          <w:rFonts w:asciiTheme="minorHAnsi" w:hAnsiTheme="minorHAnsi"/>
        </w:rPr>
        <w:t xml:space="preserve"> </w:t>
      </w:r>
      <w:r w:rsidR="004D24DD">
        <w:rPr>
          <w:rStyle w:val="normaltextrun"/>
          <w:rFonts w:asciiTheme="minorHAnsi" w:hAnsiTheme="minorHAnsi"/>
        </w:rPr>
        <w:t>as</w:t>
      </w:r>
      <w:r w:rsidR="003930F9">
        <w:rPr>
          <w:rStyle w:val="normaltextrun"/>
          <w:rFonts w:asciiTheme="minorHAnsi" w:hAnsiTheme="minorHAnsi"/>
        </w:rPr>
        <w:t xml:space="preserve"> the number of group travellers from China </w:t>
      </w:r>
      <w:r w:rsidR="004D24DD">
        <w:rPr>
          <w:rStyle w:val="normaltextrun"/>
          <w:rFonts w:asciiTheme="minorHAnsi" w:hAnsiTheme="minorHAnsi"/>
        </w:rPr>
        <w:t xml:space="preserve">was </w:t>
      </w:r>
      <w:r w:rsidR="003930F9">
        <w:rPr>
          <w:rStyle w:val="normaltextrun"/>
          <w:rFonts w:asciiTheme="minorHAnsi" w:hAnsiTheme="minorHAnsi"/>
        </w:rPr>
        <w:t>only 1</w:t>
      </w:r>
      <w:r w:rsidR="00EA78A1">
        <w:rPr>
          <w:rStyle w:val="normaltextrun"/>
          <w:rFonts w:asciiTheme="minorHAnsi" w:hAnsiTheme="minorHAnsi"/>
        </w:rPr>
        <w:t>.5</w:t>
      </w:r>
      <w:r w:rsidR="003930F9">
        <w:rPr>
          <w:rStyle w:val="normaltextrun"/>
          <w:rFonts w:asciiTheme="minorHAnsi" w:hAnsiTheme="minorHAnsi"/>
        </w:rPr>
        <w:t>%</w:t>
      </w:r>
      <w:r w:rsidR="00EA78A1">
        <w:rPr>
          <w:rStyle w:val="normaltextrun"/>
          <w:rFonts w:asciiTheme="minorHAnsi" w:hAnsiTheme="minorHAnsi"/>
        </w:rPr>
        <w:t xml:space="preserve"> of the pre-pandemic level in 2023, while spend was at 3.5% of the pre-pandemic level in 2023. </w:t>
      </w:r>
      <w:r w:rsidR="003A2D33">
        <w:rPr>
          <w:rStyle w:val="normaltextrun"/>
          <w:rFonts w:asciiTheme="minorHAnsi" w:hAnsiTheme="minorHAnsi"/>
        </w:rPr>
        <w:t xml:space="preserve">ADS travellers are an important </w:t>
      </w:r>
      <w:proofErr w:type="gramStart"/>
      <w:r w:rsidR="003A2D33">
        <w:rPr>
          <w:rStyle w:val="normaltextrun"/>
          <w:rFonts w:asciiTheme="minorHAnsi" w:hAnsiTheme="minorHAnsi"/>
        </w:rPr>
        <w:t>market in their own right, as well as</w:t>
      </w:r>
      <w:proofErr w:type="gramEnd"/>
      <w:r w:rsidR="003A2D33">
        <w:rPr>
          <w:rStyle w:val="normaltextrun"/>
          <w:rFonts w:asciiTheme="minorHAnsi" w:hAnsiTheme="minorHAnsi"/>
        </w:rPr>
        <w:t xml:space="preserve"> having a high rate of future repeat visitation.</w:t>
      </w:r>
    </w:p>
    <w:p w14:paraId="5D6D7D2E" w14:textId="4C492EE6" w:rsidR="001254CA" w:rsidRDefault="00943321" w:rsidP="00943321">
      <w:pPr>
        <w:pStyle w:val="Heading4"/>
      </w:pPr>
      <w:bookmarkStart w:id="57" w:name="_Toc135990458"/>
      <w:r>
        <w:lastRenderedPageBreak/>
        <w:t>Arrivals from Southeast Asia</w:t>
      </w:r>
    </w:p>
    <w:p w14:paraId="1450289C" w14:textId="6AD90261" w:rsidR="004D55F6" w:rsidRPr="00087F65" w:rsidRDefault="00A6007F" w:rsidP="004D55F6">
      <w:r>
        <w:t xml:space="preserve">Several countries within </w:t>
      </w:r>
      <w:r w:rsidR="004D55F6">
        <w:t>Southeast A</w:t>
      </w:r>
      <w:r w:rsidR="004D55F6" w:rsidRPr="00087F65">
        <w:t>s</w:t>
      </w:r>
      <w:r w:rsidR="004D55F6">
        <w:t>ia (SEA)</w:t>
      </w:r>
      <w:r w:rsidR="004D55F6" w:rsidRPr="00087F65">
        <w:t xml:space="preserve"> ha</w:t>
      </w:r>
      <w:r>
        <w:t>ve</w:t>
      </w:r>
      <w:r w:rsidR="004D55F6" w:rsidRPr="00087F65">
        <w:t xml:space="preserve"> been identified as offering major opportunity for Australia’s visitor economy in the recent </w:t>
      </w:r>
      <w:r w:rsidR="00AB4324">
        <w:t xml:space="preserve">government strategy and </w:t>
      </w:r>
      <w:r w:rsidR="004D55F6" w:rsidRPr="00087F65">
        <w:t xml:space="preserve">report, </w:t>
      </w:r>
      <w:r w:rsidR="004D55F6" w:rsidRPr="00087F65">
        <w:rPr>
          <w:i/>
          <w:iCs/>
        </w:rPr>
        <w:t>Invested: Australia’s Southeast Asia Economic Strategy to 2040</w:t>
      </w:r>
      <w:r w:rsidR="004D55F6" w:rsidRPr="00087F65">
        <w:t>, see</w:t>
      </w:r>
      <w:r w:rsidR="004D55F6" w:rsidRPr="00087F65">
        <w:rPr>
          <w:rFonts w:asciiTheme="majorHAnsi" w:hAnsiTheme="majorHAnsi"/>
        </w:rPr>
        <w:t xml:space="preserve">: </w:t>
      </w:r>
      <w:hyperlink r:id="rId29" w:history="1">
        <w:r w:rsidR="004D55F6" w:rsidRPr="00087F65">
          <w:rPr>
            <w:rStyle w:val="cf11"/>
            <w:rFonts w:asciiTheme="majorHAnsi" w:hAnsiTheme="majorHAnsi"/>
            <w:color w:val="0000FF"/>
            <w:sz w:val="20"/>
            <w:szCs w:val="20"/>
            <w:u w:val="single"/>
          </w:rPr>
          <w:t>Chapter 8: Visitor economy | Australian Government Department of Foreign Affairs and Trade (dfat.gov.au)</w:t>
        </w:r>
      </w:hyperlink>
      <w:r w:rsidR="004D55F6" w:rsidRPr="00087F65">
        <w:t xml:space="preserve">. This reflects the region’s proximity to Australia, strong economic and population growth trends, growing middle class population, increasing flight route connections and continued development of economic, political and community links with Australia. </w:t>
      </w:r>
    </w:p>
    <w:p w14:paraId="3A6A32A7" w14:textId="77777777" w:rsidR="00713EEE" w:rsidRDefault="004D55F6" w:rsidP="004D55F6">
      <w:r w:rsidRPr="001E0753">
        <w:t xml:space="preserve">In 2023 there were </w:t>
      </w:r>
      <w:r>
        <w:rPr>
          <w:rFonts w:eastAsia="Segoe UI"/>
        </w:rPr>
        <w:t>1.2 million</w:t>
      </w:r>
      <w:r w:rsidRPr="001E0753">
        <w:t xml:space="preserve"> short-term visitor arrivals from </w:t>
      </w:r>
      <w:r>
        <w:rPr>
          <w:rFonts w:eastAsia="Segoe UI"/>
        </w:rPr>
        <w:t>S</w:t>
      </w:r>
      <w:r w:rsidRPr="001E0753">
        <w:t>outheast Asia.</w:t>
      </w:r>
      <w:r>
        <w:rPr>
          <w:rStyle w:val="FootnoteReference"/>
          <w:rFonts w:eastAsia="Segoe UI"/>
        </w:rPr>
        <w:footnoteReference w:id="5"/>
      </w:r>
      <w:r w:rsidRPr="001E0753">
        <w:t xml:space="preserve"> This was </w:t>
      </w:r>
      <w:r>
        <w:t xml:space="preserve">around 503,000 more arrivals than in 2022 (growth of 72% in the year). Compared to 2019, arrivals from the SEA region were at </w:t>
      </w:r>
      <w:r w:rsidR="002C26A1">
        <w:t>79</w:t>
      </w:r>
      <w:r>
        <w:t>% of the</w:t>
      </w:r>
      <w:r w:rsidR="00933BF0">
        <w:t>ir</w:t>
      </w:r>
      <w:r>
        <w:t xml:space="preserve"> pre-pandemic level (around 311,000 fewer arrivals in 2023 than in 2019)</w:t>
      </w:r>
      <w:r w:rsidR="00E257D9">
        <w:t xml:space="preserve">, although some markets such as Vietnam significantly exceeded their 2019 arrivals </w:t>
      </w:r>
      <w:r w:rsidR="001E0EC2">
        <w:t>as noted earlier</w:t>
      </w:r>
      <w:r>
        <w:t xml:space="preserve">. </w:t>
      </w:r>
    </w:p>
    <w:p w14:paraId="62329241" w14:textId="71508E26" w:rsidR="004D55F6" w:rsidRPr="001E0753" w:rsidRDefault="00B600DE" w:rsidP="004D55F6">
      <w:r>
        <w:t>T</w:t>
      </w:r>
      <w:r w:rsidR="004D55F6">
        <w:t>he region</w:t>
      </w:r>
      <w:r w:rsidR="0097276E">
        <w:t>, when taken</w:t>
      </w:r>
      <w:r>
        <w:t xml:space="preserve"> as a whole</w:t>
      </w:r>
      <w:r w:rsidR="004D55F6">
        <w:t xml:space="preserve"> </w:t>
      </w:r>
      <w:r w:rsidR="0097276E">
        <w:t xml:space="preserve">group, </w:t>
      </w:r>
      <w:r w:rsidR="004D55F6">
        <w:t xml:space="preserve">accounted for 1 in 6 </w:t>
      </w:r>
      <w:r>
        <w:t xml:space="preserve">international arrivals to Australia </w:t>
      </w:r>
      <w:r w:rsidR="006036DE">
        <w:t>in 2023</w:t>
      </w:r>
      <w:r w:rsidR="004D55F6">
        <w:t xml:space="preserve"> and was the largest source market after New Zealand. Before the pandemic, arrivals from SEA outnumbered arrivals from New Zealand and from China: in 2019 there were 1.5 million arrivals from SEA compared with 1.4 million arrivals from each of China and New Zealand.</w:t>
      </w:r>
      <w:r w:rsidR="003321F7">
        <w:t xml:space="preserve"> In 2019, arrivals from the region also accounted for 1 in 6 total arrivals to Australia.</w:t>
      </w:r>
    </w:p>
    <w:p w14:paraId="4921C08C" w14:textId="36A456FC" w:rsidR="004D55F6" w:rsidRPr="001E0753" w:rsidRDefault="004D55F6" w:rsidP="004D55F6">
      <w:pPr>
        <w:rPr>
          <w:rFonts w:eastAsia="Segoe UI"/>
        </w:rPr>
      </w:pPr>
      <w:r w:rsidRPr="001E0753">
        <w:rPr>
          <w:rFonts w:eastAsia="Segoe UI"/>
        </w:rPr>
        <w:t xml:space="preserve">TRA forecasts that </w:t>
      </w:r>
      <w:r>
        <w:rPr>
          <w:rFonts w:eastAsia="Segoe UI"/>
        </w:rPr>
        <w:t>a</w:t>
      </w:r>
      <w:r w:rsidRPr="001E0753">
        <w:t xml:space="preserve">rrivals from the region </w:t>
      </w:r>
      <w:r>
        <w:t>will return to the</w:t>
      </w:r>
      <w:r w:rsidR="0097276E">
        <w:t>ir</w:t>
      </w:r>
      <w:r w:rsidRPr="001E0753">
        <w:t xml:space="preserve"> pre-pandemic level</w:t>
      </w:r>
      <w:r>
        <w:t xml:space="preserve"> in 2024 and then grow strongly during the next 5 years to reach over 2 million arrivals </w:t>
      </w:r>
      <w:r w:rsidRPr="001E0753">
        <w:t xml:space="preserve">in 2028. </w:t>
      </w:r>
    </w:p>
    <w:p w14:paraId="6359859A" w14:textId="30A407D7" w:rsidR="00F17B10" w:rsidRDefault="004D55F6" w:rsidP="004D55F6">
      <w:r>
        <w:t xml:space="preserve">Average spend per trip has </w:t>
      </w:r>
      <w:r w:rsidR="0015591C">
        <w:t xml:space="preserve">typically </w:t>
      </w:r>
      <w:r>
        <w:t xml:space="preserve">been lower for Southeast Asian trips to Australia than the average for all countries, </w:t>
      </w:r>
      <w:r w:rsidR="009257DB">
        <w:t>including</w:t>
      </w:r>
      <w:r>
        <w:t xml:space="preserve"> in 2023 (Figure 7, left side).</w:t>
      </w:r>
      <w:r w:rsidR="00667936">
        <w:t xml:space="preserve"> </w:t>
      </w:r>
      <w:r>
        <w:t xml:space="preserve">However, </w:t>
      </w:r>
      <w:r w:rsidR="00667936">
        <w:t xml:space="preserve">on a per night basis, the average spend in Australia is higher for trips by SEA visitors than for the average visitor (Figure 7, middle panel). Note that the 4 SEA countries </w:t>
      </w:r>
      <w:r w:rsidR="00256F65">
        <w:t xml:space="preserve">(SEA4) </w:t>
      </w:r>
      <w:r w:rsidR="00667936">
        <w:t>included in the analysis accounted for 70% of total SEA arrivals in 2023.</w:t>
      </w:r>
      <w:r w:rsidR="00667936">
        <w:rPr>
          <w:rStyle w:val="FootnoteReference"/>
        </w:rPr>
        <w:footnoteReference w:id="6"/>
      </w:r>
      <w:r w:rsidR="00667936">
        <w:t xml:space="preserve"> </w:t>
      </w:r>
      <w:r w:rsidR="008A791C">
        <w:t>T</w:t>
      </w:r>
      <w:r>
        <w:t xml:space="preserve">he </w:t>
      </w:r>
      <w:r w:rsidR="008A791C">
        <w:t xml:space="preserve">higher average </w:t>
      </w:r>
      <w:r>
        <w:t xml:space="preserve">spend per </w:t>
      </w:r>
      <w:r w:rsidR="008A791C">
        <w:t xml:space="preserve">day </w:t>
      </w:r>
      <w:r>
        <w:t xml:space="preserve">reflects a shorter average stay from </w:t>
      </w:r>
      <w:r w:rsidR="008A791C">
        <w:t>SEA4</w:t>
      </w:r>
      <w:r>
        <w:t xml:space="preserve"> visitors</w:t>
      </w:r>
      <w:r w:rsidR="008A791C">
        <w:t>. Over the period from 2010 to 201</w:t>
      </w:r>
      <w:r w:rsidR="00491818">
        <w:t>9</w:t>
      </w:r>
      <w:r w:rsidR="00F17B10">
        <w:t>:</w:t>
      </w:r>
      <w:r w:rsidR="008A791C">
        <w:t xml:space="preserve"> </w:t>
      </w:r>
    </w:p>
    <w:p w14:paraId="6D582EA0" w14:textId="67B746BC" w:rsidR="00F17B10" w:rsidRDefault="008A791C" w:rsidP="00F17B10">
      <w:pPr>
        <w:pStyle w:val="ListParagraph"/>
        <w:numPr>
          <w:ilvl w:val="0"/>
          <w:numId w:val="50"/>
        </w:numPr>
      </w:pPr>
      <w:r>
        <w:t xml:space="preserve">SEA4 visitors stayed on average </w:t>
      </w:r>
      <w:r w:rsidR="00F17B10">
        <w:t>8.3 fewer days than the average visitor</w:t>
      </w:r>
      <w:r w:rsidR="00491818">
        <w:t xml:space="preserve"> (26</w:t>
      </w:r>
      <w:r w:rsidR="00273E2A">
        <w:t>.1</w:t>
      </w:r>
      <w:r w:rsidR="00491818">
        <w:t xml:space="preserve"> days </w:t>
      </w:r>
      <w:r w:rsidR="00AA0EAF">
        <w:t xml:space="preserve">for SEA4 </w:t>
      </w:r>
      <w:r w:rsidR="00491818">
        <w:t xml:space="preserve">compared with </w:t>
      </w:r>
      <w:r w:rsidR="00AA0EAF">
        <w:t>34</w:t>
      </w:r>
      <w:r w:rsidR="00CF790E">
        <w:t>.4</w:t>
      </w:r>
      <w:r w:rsidR="00AA0EAF">
        <w:t xml:space="preserve"> days for all visitors)</w:t>
      </w:r>
      <w:r w:rsidR="00F17B10">
        <w:t xml:space="preserve"> </w:t>
      </w:r>
    </w:p>
    <w:p w14:paraId="366B69C5" w14:textId="104634B1" w:rsidR="00AA0EAF" w:rsidRDefault="00F17B10" w:rsidP="00F17B10">
      <w:pPr>
        <w:pStyle w:val="ListParagraph"/>
        <w:numPr>
          <w:ilvl w:val="0"/>
          <w:numId w:val="50"/>
        </w:numPr>
      </w:pPr>
      <w:r>
        <w:t>SEA4 holidaymakers stayed on average 11.6 fewer days than the average international holiday maker</w:t>
      </w:r>
      <w:r w:rsidR="00AA0EAF">
        <w:t xml:space="preserve"> (</w:t>
      </w:r>
      <w:r w:rsidR="00273E2A">
        <w:t>12.6 days for SEA4 compared with 24.2 days for all visitors</w:t>
      </w:r>
      <w:r w:rsidR="00AA0EAF">
        <w:t>)</w:t>
      </w:r>
      <w:r>
        <w:t>.</w:t>
      </w:r>
    </w:p>
    <w:p w14:paraId="2EE49B25" w14:textId="3591CE30" w:rsidR="004D55F6" w:rsidRPr="001E0753" w:rsidRDefault="00F17B10" w:rsidP="00AA0EAF">
      <w:r>
        <w:t xml:space="preserve">In 2023, the average trip length of </w:t>
      </w:r>
      <w:r w:rsidR="00CF790E">
        <w:t xml:space="preserve">SEA4 visitors </w:t>
      </w:r>
      <w:r w:rsidR="008C287D">
        <w:t>was much higher, at 30</w:t>
      </w:r>
      <w:r w:rsidR="000E3E6A">
        <w:t>.4</w:t>
      </w:r>
      <w:r w:rsidR="008C287D">
        <w:t xml:space="preserve"> days </w:t>
      </w:r>
      <w:r w:rsidR="000E3E6A">
        <w:t>for all purposes of visit and 1</w:t>
      </w:r>
      <w:r w:rsidR="00111C73">
        <w:t>8.8</w:t>
      </w:r>
      <w:r w:rsidR="000E3E6A">
        <w:t xml:space="preserve"> days for holiday trips</w:t>
      </w:r>
      <w:r w:rsidR="00F018A6">
        <w:t xml:space="preserve"> (Figure 7, right side)</w:t>
      </w:r>
      <w:r w:rsidR="000E3E6A">
        <w:t xml:space="preserve">. </w:t>
      </w:r>
      <w:r w:rsidR="009A02C0">
        <w:t xml:space="preserve">Shorter </w:t>
      </w:r>
      <w:r w:rsidR="00890A23">
        <w:t xml:space="preserve">trips from these destinations may </w:t>
      </w:r>
      <w:r w:rsidR="0089586D">
        <w:t>be influenced by</w:t>
      </w:r>
      <w:r w:rsidR="00890A23">
        <w:t xml:space="preserve"> leave entitlements </w:t>
      </w:r>
      <w:r w:rsidR="00E12957">
        <w:t xml:space="preserve">and </w:t>
      </w:r>
      <w:r w:rsidR="00890A23">
        <w:t xml:space="preserve">the </w:t>
      </w:r>
      <w:r w:rsidR="00E12957">
        <w:t>shorter travel distance</w:t>
      </w:r>
      <w:r w:rsidR="00AF0C6B">
        <w:t>,</w:t>
      </w:r>
      <w:r w:rsidR="00E12957">
        <w:t xml:space="preserve"> whereas l</w:t>
      </w:r>
      <w:r w:rsidR="00BD4D9C">
        <w:t xml:space="preserve">onger average trip lengths from long-haul markets </w:t>
      </w:r>
      <w:r w:rsidR="00075F28">
        <w:t>may be</w:t>
      </w:r>
      <w:r w:rsidR="00BD4D9C">
        <w:t xml:space="preserve"> related to the high fixed costs of travelling to Australia</w:t>
      </w:r>
      <w:r w:rsidR="00BC72AA">
        <w:t>.</w:t>
      </w:r>
      <w:r w:rsidR="002F3097">
        <w:t xml:space="preserve"> </w:t>
      </w:r>
    </w:p>
    <w:p w14:paraId="381ED8A3" w14:textId="41AA13B2" w:rsidR="00F26BFC" w:rsidRDefault="00841393" w:rsidP="00AD100F">
      <w:pPr>
        <w:keepNext/>
        <w:spacing w:before="240" w:after="0" w:line="300" w:lineRule="atLeast"/>
        <w:rPr>
          <w:color w:val="2E1A47" w:themeColor="text2"/>
        </w:rPr>
      </w:pPr>
      <w:r w:rsidRPr="0048097A">
        <w:rPr>
          <w:b/>
          <w:color w:val="2E1A47" w:themeColor="text2"/>
        </w:rPr>
        <w:lastRenderedPageBreak/>
        <w:t xml:space="preserve">Figure </w:t>
      </w:r>
      <w:r w:rsidRPr="0048097A">
        <w:rPr>
          <w:b/>
          <w:color w:val="2E1A47" w:themeColor="text2"/>
        </w:rPr>
        <w:fldChar w:fldCharType="begin"/>
      </w:r>
      <w:r w:rsidRPr="0048097A">
        <w:rPr>
          <w:b/>
          <w:color w:val="2E1A47" w:themeColor="text2"/>
        </w:rPr>
        <w:instrText xml:space="preserve"> SEQ Figure \* ARABIC </w:instrText>
      </w:r>
      <w:r w:rsidRPr="0048097A">
        <w:rPr>
          <w:b/>
          <w:color w:val="2E1A47" w:themeColor="text2"/>
        </w:rPr>
        <w:fldChar w:fldCharType="separate"/>
      </w:r>
      <w:r w:rsidR="00F26BFC" w:rsidRPr="0048097A">
        <w:rPr>
          <w:b/>
          <w:color w:val="2E1A47" w:themeColor="text2"/>
        </w:rPr>
        <w:t>7</w:t>
      </w:r>
      <w:r w:rsidRPr="0048097A">
        <w:rPr>
          <w:b/>
          <w:color w:val="2E1A47" w:themeColor="text2"/>
        </w:rPr>
        <w:fldChar w:fldCharType="end"/>
      </w:r>
      <w:r w:rsidRPr="0048097A">
        <w:rPr>
          <w:b/>
          <w:color w:val="2E1A47" w:themeColor="text2"/>
        </w:rPr>
        <w:t>.</w:t>
      </w:r>
      <w:r w:rsidRPr="0048097A">
        <w:rPr>
          <w:b/>
          <w:i/>
          <w:color w:val="2E1A47" w:themeColor="text2"/>
        </w:rPr>
        <w:t xml:space="preserve"> </w:t>
      </w:r>
      <w:r w:rsidR="00A15880" w:rsidRPr="00A15880">
        <w:rPr>
          <w:color w:val="2E1A47" w:themeColor="text2"/>
        </w:rPr>
        <w:t xml:space="preserve">Average </w:t>
      </w:r>
      <w:proofErr w:type="gramStart"/>
      <w:r w:rsidR="00A15880" w:rsidRPr="00A15880">
        <w:rPr>
          <w:color w:val="2E1A47" w:themeColor="text2"/>
        </w:rPr>
        <w:t>trip</w:t>
      </w:r>
      <w:proofErr w:type="gramEnd"/>
      <w:r w:rsidR="00A15880" w:rsidRPr="00A15880">
        <w:rPr>
          <w:color w:val="2E1A47" w:themeColor="text2"/>
        </w:rPr>
        <w:t xml:space="preserve"> spend (left), average spend per night (middle), and average length of trip (right) for all international visitors and for visitors from 4 Southeast Asian markets, in </w:t>
      </w:r>
      <w:r w:rsidR="00720B42" w:rsidRPr="0048097A">
        <w:rPr>
          <w:color w:val="2E1A47" w:themeColor="text2"/>
        </w:rPr>
        <w:t>2023</w:t>
      </w:r>
      <w:r w:rsidRPr="0048097A">
        <w:rPr>
          <w:color w:val="2E1A47" w:themeColor="text2"/>
        </w:rPr>
        <w:t>.</w:t>
      </w:r>
    </w:p>
    <w:p w14:paraId="161F92A5" w14:textId="333D9726" w:rsidR="00F43607" w:rsidRPr="00F43607" w:rsidRDefault="00FC0D98" w:rsidP="000035A0">
      <w:pPr>
        <w:spacing w:before="0" w:after="0" w:line="300" w:lineRule="atLeast"/>
      </w:pPr>
      <w:r w:rsidRPr="00FC0D98">
        <w:rPr>
          <w:noProof/>
        </w:rPr>
        <w:drawing>
          <wp:inline distT="0" distB="0" distL="0" distR="0" wp14:anchorId="71DA46BB" wp14:editId="2DEB16EC">
            <wp:extent cx="6329680" cy="2686050"/>
            <wp:effectExtent l="0" t="0" r="0" b="0"/>
            <wp:docPr id="452681088" name="Picture 1" descr="Figure 7 shows 3 panels with bar chart trip comparisons between all visitors and visitors from 4 SEA countries (Singapore, Malaysia, Thailand and Indonesia).  It shows average trip spend, average spend per night, and average length of trip for all purposes of travel and for just holiday trips.  The average spend per trip is generally higher for the aggregate than it is for the visitors from the 4 benchmarked SEA countries. However, the average spend per day in Australia is higher for the SEA 4 group than it is for the aggregate. the average length of trip is lower for SEA4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81088" name="Picture 1" descr="Figure 7 shows 3 panels with bar chart trip comparisons between all visitors and visitors from 4 SEA countries (Singapore, Malaysia, Thailand and Indonesia).  It shows average trip spend, average spend per night, and average length of trip for all purposes of travel and for just holiday trips.  The average spend per trip is generally higher for the aggregate than it is for the visitors from the 4 benchmarked SEA countries. However, the average spend per day in Australia is higher for the SEA 4 group than it is for the aggregate. the average length of trip is lower for SEA4 visito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9680" cy="2686050"/>
                    </a:xfrm>
                    <a:prstGeom prst="rect">
                      <a:avLst/>
                    </a:prstGeom>
                    <a:noFill/>
                    <a:ln>
                      <a:noFill/>
                    </a:ln>
                  </pic:spPr>
                </pic:pic>
              </a:graphicData>
            </a:graphic>
          </wp:inline>
        </w:drawing>
      </w:r>
    </w:p>
    <w:p w14:paraId="3467D160" w14:textId="77777777" w:rsidR="00F14495" w:rsidRPr="002C333F" w:rsidRDefault="00F14495" w:rsidP="00C13ABA">
      <w:pPr>
        <w:pStyle w:val="Heading3"/>
        <w:spacing w:before="360"/>
      </w:pPr>
      <w:bookmarkStart w:id="58" w:name="_Toc167113877"/>
      <w:r w:rsidRPr="002C333F">
        <w:t xml:space="preserve">International </w:t>
      </w:r>
      <w:r>
        <w:t>visitor activities</w:t>
      </w:r>
      <w:bookmarkEnd w:id="58"/>
    </w:p>
    <w:p w14:paraId="79A66CE6" w14:textId="4FF88651" w:rsidR="00734A8F" w:rsidRPr="00FF4B51" w:rsidRDefault="00734A8F" w:rsidP="00734A8F">
      <w:r w:rsidRPr="00FF4B51">
        <w:t>International visitors typically have a longer trip length than domestic visitors. During their trips they also tend to have more stopovers and engage in more activities than domestic travellers. Of note, however, domestic travellers may take multiple trips each year with trip</w:t>
      </w:r>
      <w:r w:rsidR="00D21A8F">
        <w:t>s sometimes</w:t>
      </w:r>
      <w:r w:rsidRPr="00FF4B51">
        <w:t xml:space="preserve"> having a different purpose.</w:t>
      </w:r>
    </w:p>
    <w:p w14:paraId="00ACA141" w14:textId="41DB5B43" w:rsidR="00734A8F" w:rsidRPr="00FF4B51" w:rsidRDefault="00734A8F" w:rsidP="00734A8F">
      <w:r w:rsidRPr="00FF4B51">
        <w:t xml:space="preserve">In 2023, an estimated </w:t>
      </w:r>
      <w:r w:rsidR="00CE16CF">
        <w:t>1</w:t>
      </w:r>
      <w:r w:rsidRPr="00FF4B51">
        <w:t xml:space="preserve"> in 7 international visitors engaged in First Nations activities.</w:t>
      </w:r>
      <w:r w:rsidRPr="00FF4B51">
        <w:rPr>
          <w:rStyle w:val="FootnoteReference"/>
        </w:rPr>
        <w:footnoteReference w:id="7"/>
      </w:r>
      <w:r w:rsidRPr="00FF4B51">
        <w:t xml:space="preserve"> This was higher than the average of </w:t>
      </w:r>
      <w:r w:rsidR="005A59BD">
        <w:t>1</w:t>
      </w:r>
      <w:r w:rsidRPr="00FF4B51">
        <w:t xml:space="preserve"> in 9 international visitors over the period from 2013-2019, and significantly higher than the </w:t>
      </w:r>
      <w:r w:rsidR="005A59BD">
        <w:t>1</w:t>
      </w:r>
      <w:r w:rsidRPr="00FF4B51">
        <w:t xml:space="preserve"> in 91 domestic visitors that engaged in First Nations activities in 2023. There were nearly 1 million international trips in 2023 that incorporated a First Nations activity. This was more than the number of trips that incorporated a First Nations activity in 2019. The accelerated recovery in First Nations tourism relative to the aggregate is consistent with efforts to accentuate the attraction and availability of cultural activities unique to Australia.</w:t>
      </w:r>
    </w:p>
    <w:p w14:paraId="79B2EB17" w14:textId="46541EFA" w:rsidR="00734A8F" w:rsidRDefault="00734A8F" w:rsidP="00734A8F">
      <w:r w:rsidRPr="00FF4B51">
        <w:t xml:space="preserve">There was also an increase in the share of international trips to Australia that included attendance at an organised sporting event in 2023 compared with 2019. In 2023, </w:t>
      </w:r>
      <w:r w:rsidR="0087334A">
        <w:t>1</w:t>
      </w:r>
      <w:r w:rsidRPr="00FF4B51">
        <w:t xml:space="preserve"> in 15 international trips included attendance at an organised sporting event compared with </w:t>
      </w:r>
      <w:r w:rsidR="0087334A">
        <w:t>1</w:t>
      </w:r>
      <w:r w:rsidRPr="00FF4B51">
        <w:t xml:space="preserve"> in 19 in 2019. With a spike occurring in the September quarter, the FIFA Women’s World Cup was </w:t>
      </w:r>
      <w:r w:rsidR="0029111D">
        <w:t>likely</w:t>
      </w:r>
      <w:r w:rsidRPr="00FF4B51">
        <w:t xml:space="preserve"> a driving influence in this result. </w:t>
      </w:r>
    </w:p>
    <w:p w14:paraId="37D0CE25" w14:textId="576EC47D" w:rsidR="00F14495" w:rsidRDefault="00734A8F" w:rsidP="00734A8F">
      <w:r>
        <w:t xml:space="preserve">Some of the activities that have seen increased participation by international travellers in 2023 relative to the pre-pandemic period include: playing golf, whale or dolphin watching, playing a sport, visiting a distillery, and bushwalking. On the other hand, activities that have seen lower participation rates in 2023 include: visiting a casino, attending movies/cinema, attending </w:t>
      </w:r>
      <w:r>
        <w:lastRenderedPageBreak/>
        <w:t>festivals/fairs</w:t>
      </w:r>
      <w:r w:rsidR="00745934">
        <w:t>/</w:t>
      </w:r>
      <w:r>
        <w:t>cultural events, visiting history/heritage buildings</w:t>
      </w:r>
      <w:r w:rsidR="00745934">
        <w:t>/</w:t>
      </w:r>
      <w:r>
        <w:t>sites</w:t>
      </w:r>
      <w:r w:rsidR="00745934">
        <w:t>/</w:t>
      </w:r>
      <w:r>
        <w:t>monuments, and going on a guided tour/excursion.</w:t>
      </w:r>
    </w:p>
    <w:p w14:paraId="1C27D856" w14:textId="1D64A2BA" w:rsidR="00B74B2E" w:rsidRDefault="00B74B2E" w:rsidP="00C13ABA">
      <w:pPr>
        <w:spacing w:after="360"/>
        <w:rPr>
          <w:lang w:eastAsia="en-AU"/>
        </w:rPr>
      </w:pPr>
      <w:r>
        <w:rPr>
          <w:lang w:eastAsia="en-AU"/>
        </w:rPr>
        <w:t>Prior to the pandemic, there had been strong growth in</w:t>
      </w:r>
      <w:r w:rsidR="00F258BA">
        <w:rPr>
          <w:lang w:eastAsia="en-AU"/>
        </w:rPr>
        <w:t xml:space="preserve"> the number of</w:t>
      </w:r>
      <w:r>
        <w:rPr>
          <w:lang w:eastAsia="en-AU"/>
        </w:rPr>
        <w:t xml:space="preserve"> international </w:t>
      </w:r>
      <w:r w:rsidR="00F258BA">
        <w:rPr>
          <w:lang w:eastAsia="en-AU"/>
        </w:rPr>
        <w:t xml:space="preserve">trips that </w:t>
      </w:r>
      <w:r>
        <w:rPr>
          <w:lang w:eastAsia="en-AU"/>
        </w:rPr>
        <w:t>participat</w:t>
      </w:r>
      <w:r w:rsidR="00F258BA">
        <w:rPr>
          <w:lang w:eastAsia="en-AU"/>
        </w:rPr>
        <w:t>ed</w:t>
      </w:r>
      <w:r>
        <w:rPr>
          <w:lang w:eastAsia="en-AU"/>
        </w:rPr>
        <w:t xml:space="preserve"> in </w:t>
      </w:r>
      <w:r w:rsidR="00F258BA" w:rsidRPr="006C5A18">
        <w:rPr>
          <w:lang w:eastAsia="en-AU"/>
        </w:rPr>
        <w:t xml:space="preserve">Indigenous </w:t>
      </w:r>
      <w:r w:rsidR="00C6505E">
        <w:rPr>
          <w:lang w:eastAsia="en-AU"/>
        </w:rPr>
        <w:t>c</w:t>
      </w:r>
      <w:r w:rsidR="00F258BA" w:rsidRPr="006C5A18">
        <w:rPr>
          <w:lang w:eastAsia="en-AU"/>
        </w:rPr>
        <w:t xml:space="preserve">ulture </w:t>
      </w:r>
      <w:r w:rsidR="00C6505E">
        <w:rPr>
          <w:lang w:eastAsia="en-AU"/>
        </w:rPr>
        <w:t>a</w:t>
      </w:r>
      <w:r w:rsidR="00F258BA" w:rsidRPr="006C5A18">
        <w:rPr>
          <w:lang w:eastAsia="en-AU"/>
        </w:rPr>
        <w:t>ctivities</w:t>
      </w:r>
      <w:r w:rsidR="00745934">
        <w:rPr>
          <w:lang w:eastAsia="en-AU"/>
        </w:rPr>
        <w:t>, visiting wineries, visiting national/state parks, attending festival/fairs/cultural events, and visiting history/heritage buildings/sites/monuments.</w:t>
      </w:r>
      <w:r w:rsidR="00C6505E">
        <w:rPr>
          <w:rStyle w:val="FootnoteReference"/>
          <w:lang w:eastAsia="en-AU"/>
        </w:rPr>
        <w:footnoteReference w:id="8"/>
      </w:r>
    </w:p>
    <w:p w14:paraId="60813FD9" w14:textId="77777777" w:rsidR="00F14495" w:rsidRDefault="00F14495" w:rsidP="00F14495">
      <w:pPr>
        <w:pStyle w:val="Heading4"/>
        <w:pBdr>
          <w:top w:val="thinThickSmallGap" w:sz="24" w:space="1" w:color="2E1A47" w:themeColor="accent2"/>
        </w:pBdr>
      </w:pPr>
      <w:r>
        <w:t xml:space="preserve">Marketing Australia - </w:t>
      </w:r>
      <w:r w:rsidRPr="00ED5C62">
        <w:t xml:space="preserve">FIFA Women’s Football World Cup </w:t>
      </w:r>
    </w:p>
    <w:p w14:paraId="597B62F0" w14:textId="77777777" w:rsidR="00F14495" w:rsidRPr="00EE05BE" w:rsidRDefault="00F14495" w:rsidP="00F14495">
      <w:pPr>
        <w:rPr>
          <w:rStyle w:val="Emphasis"/>
        </w:rPr>
      </w:pPr>
      <w:r w:rsidRPr="00EE05BE">
        <w:rPr>
          <w:rStyle w:val="Emphasis"/>
        </w:rPr>
        <w:t>Case study by Tourism Australia</w:t>
      </w:r>
    </w:p>
    <w:p w14:paraId="6D8F7BBC" w14:textId="3C1EB1A0" w:rsidR="00F14495" w:rsidRDefault="00F14495" w:rsidP="00F14495">
      <w:pPr>
        <w:rPr>
          <w:rFonts w:asciiTheme="minorHAnsi" w:hAnsiTheme="minorHAnsi"/>
        </w:rPr>
      </w:pPr>
      <w:r w:rsidRPr="00E62807">
        <w:rPr>
          <w:rFonts w:asciiTheme="minorHAnsi" w:hAnsiTheme="minorHAnsi"/>
        </w:rPr>
        <w:t xml:space="preserve">The FIFA Women’s Football World Cup </w:t>
      </w:r>
      <w:r>
        <w:rPr>
          <w:rFonts w:asciiTheme="minorHAnsi" w:hAnsiTheme="minorHAnsi"/>
        </w:rPr>
        <w:t>w</w:t>
      </w:r>
      <w:r w:rsidRPr="00E62807">
        <w:rPr>
          <w:rFonts w:asciiTheme="minorHAnsi" w:hAnsiTheme="minorHAnsi"/>
        </w:rPr>
        <w:t>as a cornerstone event in Australia’s Green and Gold Decade and</w:t>
      </w:r>
      <w:r>
        <w:rPr>
          <w:rFonts w:asciiTheme="minorHAnsi" w:hAnsiTheme="minorHAnsi"/>
        </w:rPr>
        <w:t xml:space="preserve"> </w:t>
      </w:r>
      <w:r w:rsidRPr="00E62807">
        <w:rPr>
          <w:rFonts w:asciiTheme="minorHAnsi" w:hAnsiTheme="minorHAnsi"/>
        </w:rPr>
        <w:t>offer</w:t>
      </w:r>
      <w:r>
        <w:rPr>
          <w:rFonts w:asciiTheme="minorHAnsi" w:hAnsiTheme="minorHAnsi"/>
        </w:rPr>
        <w:t>ed</w:t>
      </w:r>
      <w:r w:rsidRPr="00E62807">
        <w:rPr>
          <w:rFonts w:asciiTheme="minorHAnsi" w:hAnsiTheme="minorHAnsi"/>
        </w:rPr>
        <w:t xml:space="preserve"> an unparalleled opportunity to present our country on the global stage. With its widespread international appeal, extensive coverage, and alignment to our message of welcome, the tournament was an ideal platform.</w:t>
      </w:r>
      <w:r>
        <w:rPr>
          <w:rFonts w:asciiTheme="minorHAnsi" w:hAnsiTheme="minorHAnsi"/>
        </w:rPr>
        <w:t xml:space="preserve"> More generally, it showcased the benefits of major events as tourism drawcards. </w:t>
      </w:r>
    </w:p>
    <w:p w14:paraId="348AC060" w14:textId="77777777" w:rsidR="00F14495" w:rsidRDefault="00F14495" w:rsidP="00F14495">
      <w:pPr>
        <w:rPr>
          <w:rFonts w:asciiTheme="minorHAnsi" w:hAnsiTheme="minorHAnsi"/>
        </w:rPr>
      </w:pPr>
      <w:r w:rsidRPr="00E62807">
        <w:rPr>
          <w:rFonts w:asciiTheme="minorHAnsi" w:hAnsiTheme="minorHAnsi"/>
        </w:rPr>
        <w:t>Drawing over 2 billion viewers worldwide</w:t>
      </w:r>
      <w:r w:rsidRPr="26FD075B">
        <w:rPr>
          <w:rFonts w:asciiTheme="minorHAnsi" w:hAnsiTheme="minorHAnsi"/>
        </w:rPr>
        <w:t>,</w:t>
      </w:r>
      <w:r>
        <w:rPr>
          <w:rStyle w:val="FootnoteReference"/>
          <w:rFonts w:asciiTheme="minorHAnsi" w:hAnsiTheme="minorHAnsi"/>
        </w:rPr>
        <w:footnoteReference w:id="9"/>
      </w:r>
      <w:r w:rsidRPr="00E62807">
        <w:rPr>
          <w:rFonts w:asciiTheme="minorHAnsi" w:hAnsiTheme="minorHAnsi"/>
        </w:rPr>
        <w:t xml:space="preserve"> the event showcased the exceptional talent of women footballers on the pitches of Australia and New Zealand. </w:t>
      </w:r>
      <w:r>
        <w:rPr>
          <w:rFonts w:asciiTheme="minorHAnsi" w:hAnsiTheme="minorHAnsi"/>
        </w:rPr>
        <w:t>Tourism Australia</w:t>
      </w:r>
      <w:r w:rsidRPr="00E62807">
        <w:rPr>
          <w:rFonts w:asciiTheme="minorHAnsi" w:hAnsiTheme="minorHAnsi"/>
        </w:rPr>
        <w:t xml:space="preserve"> </w:t>
      </w:r>
      <w:r>
        <w:rPr>
          <w:rFonts w:asciiTheme="minorHAnsi" w:hAnsiTheme="minorHAnsi"/>
        </w:rPr>
        <w:t>used</w:t>
      </w:r>
      <w:r w:rsidRPr="00E62807">
        <w:rPr>
          <w:rFonts w:asciiTheme="minorHAnsi" w:hAnsiTheme="minorHAnsi"/>
        </w:rPr>
        <w:t xml:space="preserve"> the</w:t>
      </w:r>
      <w:r>
        <w:rPr>
          <w:rFonts w:asciiTheme="minorHAnsi" w:hAnsiTheme="minorHAnsi"/>
        </w:rPr>
        <w:t>se</w:t>
      </w:r>
      <w:r w:rsidRPr="00E62807">
        <w:rPr>
          <w:rFonts w:asciiTheme="minorHAnsi" w:hAnsiTheme="minorHAnsi"/>
        </w:rPr>
        <w:t xml:space="preserve"> moment</w:t>
      </w:r>
      <w:r>
        <w:rPr>
          <w:rFonts w:asciiTheme="minorHAnsi" w:hAnsiTheme="minorHAnsi"/>
        </w:rPr>
        <w:t>s</w:t>
      </w:r>
      <w:r w:rsidRPr="00E62807">
        <w:rPr>
          <w:rFonts w:asciiTheme="minorHAnsi" w:hAnsiTheme="minorHAnsi"/>
        </w:rPr>
        <w:t xml:space="preserve"> to reveal the splendours of a holiday Down Under through an integrated, highly targeted, multimarket campaign. </w:t>
      </w:r>
      <w:r>
        <w:rPr>
          <w:rFonts w:asciiTheme="minorHAnsi" w:hAnsiTheme="minorHAnsi"/>
        </w:rPr>
        <w:t>The</w:t>
      </w:r>
      <w:r w:rsidRPr="00E62807">
        <w:rPr>
          <w:rFonts w:asciiTheme="minorHAnsi" w:hAnsiTheme="minorHAnsi"/>
        </w:rPr>
        <w:t xml:space="preserve"> advertising campaign had over 70 million impressions, while earned activity (such as PR and media hosting) exceeded $80 million in value.</w:t>
      </w:r>
    </w:p>
    <w:p w14:paraId="4A02FE10" w14:textId="77777777" w:rsidR="00F14495" w:rsidRDefault="00F14495" w:rsidP="00F14495">
      <w:pPr>
        <w:rPr>
          <w:rFonts w:asciiTheme="minorHAnsi" w:hAnsiTheme="minorHAnsi"/>
        </w:rPr>
      </w:pPr>
      <w:r w:rsidRPr="00E62807">
        <w:rPr>
          <w:rFonts w:asciiTheme="minorHAnsi" w:hAnsiTheme="minorHAnsi"/>
        </w:rPr>
        <w:t xml:space="preserve">To enhance Australia’s presence, </w:t>
      </w:r>
      <w:r>
        <w:rPr>
          <w:rFonts w:asciiTheme="minorHAnsi" w:hAnsiTheme="minorHAnsi"/>
        </w:rPr>
        <w:t>Tourism Australia</w:t>
      </w:r>
      <w:r w:rsidRPr="00E62807">
        <w:rPr>
          <w:rFonts w:asciiTheme="minorHAnsi" w:hAnsiTheme="minorHAnsi"/>
        </w:rPr>
        <w:t xml:space="preserve"> hosted respected football personalities such as Ian Wright </w:t>
      </w:r>
      <w:r w:rsidRPr="26FD075B">
        <w:rPr>
          <w:rFonts w:asciiTheme="minorHAnsi" w:hAnsiTheme="minorHAnsi"/>
        </w:rPr>
        <w:t xml:space="preserve">from the UK </w:t>
      </w:r>
      <w:r w:rsidRPr="00E62807">
        <w:rPr>
          <w:rFonts w:asciiTheme="minorHAnsi" w:hAnsiTheme="minorHAnsi"/>
        </w:rPr>
        <w:t xml:space="preserve">and Laura </w:t>
      </w:r>
      <w:proofErr w:type="spellStart"/>
      <w:r w:rsidRPr="00E62807">
        <w:rPr>
          <w:rFonts w:asciiTheme="minorHAnsi" w:hAnsiTheme="minorHAnsi"/>
        </w:rPr>
        <w:t>Wontorra</w:t>
      </w:r>
      <w:proofErr w:type="spellEnd"/>
      <w:r w:rsidRPr="00E62807">
        <w:rPr>
          <w:rFonts w:asciiTheme="minorHAnsi" w:hAnsiTheme="minorHAnsi"/>
        </w:rPr>
        <w:t xml:space="preserve"> </w:t>
      </w:r>
      <w:r w:rsidRPr="26FD075B">
        <w:rPr>
          <w:rFonts w:asciiTheme="minorHAnsi" w:hAnsiTheme="minorHAnsi"/>
        </w:rPr>
        <w:t>from Germany</w:t>
      </w:r>
      <w:r>
        <w:rPr>
          <w:rFonts w:asciiTheme="minorHAnsi" w:hAnsiTheme="minorHAnsi"/>
        </w:rPr>
        <w:t xml:space="preserve"> and</w:t>
      </w:r>
      <w:r w:rsidRPr="00E62807">
        <w:rPr>
          <w:rFonts w:asciiTheme="minorHAnsi" w:hAnsiTheme="minorHAnsi"/>
        </w:rPr>
        <w:t xml:space="preserve"> forged strategic partnerships with international broadcasters like Fox Sports in the USA. </w:t>
      </w:r>
    </w:p>
    <w:p w14:paraId="6FD987D2" w14:textId="31416652" w:rsidR="00F14495" w:rsidRDefault="00F14495" w:rsidP="00F14495">
      <w:pPr>
        <w:pBdr>
          <w:bottom w:val="thinThickSmallGap" w:sz="24" w:space="1" w:color="2E1A47" w:themeColor="accent2"/>
        </w:pBdr>
        <w:rPr>
          <w:rFonts w:eastAsia="Times New Roman" w:cstheme="minorHAnsi"/>
          <w:lang w:eastAsia="en-AU"/>
        </w:rPr>
      </w:pPr>
      <w:r>
        <w:rPr>
          <w:rFonts w:eastAsia="Times New Roman" w:cstheme="minorHAnsi"/>
          <w:lang w:eastAsia="en-AU"/>
        </w:rPr>
        <w:t>Over the</w:t>
      </w:r>
      <w:r w:rsidRPr="003D7AAC">
        <w:rPr>
          <w:rFonts w:eastAsia="Times New Roman" w:cstheme="minorHAnsi"/>
          <w:lang w:eastAsia="en-AU"/>
        </w:rPr>
        <w:t xml:space="preserve"> coming decade, Australia </w:t>
      </w:r>
      <w:r>
        <w:rPr>
          <w:rFonts w:eastAsia="Times New Roman" w:cstheme="minorHAnsi"/>
          <w:lang w:eastAsia="en-AU"/>
        </w:rPr>
        <w:t>will</w:t>
      </w:r>
      <w:r w:rsidRPr="003D7AAC">
        <w:rPr>
          <w:rFonts w:eastAsia="Times New Roman" w:cstheme="minorHAnsi"/>
          <w:lang w:eastAsia="en-AU"/>
        </w:rPr>
        <w:t xml:space="preserve"> host </w:t>
      </w:r>
      <w:r>
        <w:rPr>
          <w:rFonts w:eastAsia="Times New Roman" w:cstheme="minorHAnsi"/>
          <w:lang w:eastAsia="en-AU"/>
        </w:rPr>
        <w:t xml:space="preserve">other </w:t>
      </w:r>
      <w:r w:rsidRPr="003D7AAC">
        <w:rPr>
          <w:rFonts w:eastAsia="Times New Roman" w:cstheme="minorHAnsi"/>
          <w:lang w:eastAsia="en-AU"/>
        </w:rPr>
        <w:t xml:space="preserve">prestigious </w:t>
      </w:r>
      <w:r>
        <w:rPr>
          <w:rFonts w:eastAsia="Times New Roman" w:cstheme="minorHAnsi"/>
          <w:lang w:eastAsia="en-AU"/>
        </w:rPr>
        <w:t xml:space="preserve">sporting </w:t>
      </w:r>
      <w:r w:rsidRPr="003D7AAC">
        <w:rPr>
          <w:rFonts w:eastAsia="Times New Roman" w:cstheme="minorHAnsi"/>
          <w:lang w:eastAsia="en-AU"/>
        </w:rPr>
        <w:t xml:space="preserve">events including Rugby World Cups, the T20 Cricket World Cup, a Lions Tour, </w:t>
      </w:r>
      <w:r w:rsidR="008D54BB">
        <w:rPr>
          <w:rFonts w:eastAsia="Times New Roman" w:cstheme="minorHAnsi"/>
          <w:lang w:eastAsia="en-AU"/>
        </w:rPr>
        <w:t xml:space="preserve">the </w:t>
      </w:r>
      <w:r w:rsidRPr="003D7AAC">
        <w:rPr>
          <w:rFonts w:eastAsia="Times New Roman" w:cstheme="minorHAnsi"/>
          <w:lang w:eastAsia="en-AU"/>
        </w:rPr>
        <w:t>Netball World Cup, and the Olympic and Paralympic Games.</w:t>
      </w:r>
      <w:r>
        <w:rPr>
          <w:rFonts w:eastAsia="Times New Roman" w:cstheme="minorHAnsi"/>
          <w:lang w:eastAsia="en-AU"/>
        </w:rPr>
        <w:t xml:space="preserve"> These all provide further opportunities to showcase Australia’s unique and appealing offering to international travellers. </w:t>
      </w:r>
    </w:p>
    <w:p w14:paraId="4AFA6C62" w14:textId="645B552A" w:rsidR="00BA0140" w:rsidRDefault="00BA0140" w:rsidP="00BA0140">
      <w:pPr>
        <w:pStyle w:val="Heading3"/>
        <w:rPr>
          <w:lang w:eastAsia="zh-CN"/>
        </w:rPr>
      </w:pPr>
      <w:bookmarkStart w:id="59" w:name="_Toc167113878"/>
      <w:r>
        <w:rPr>
          <w:lang w:eastAsia="zh-CN"/>
        </w:rPr>
        <w:t>International education travel</w:t>
      </w:r>
      <w:bookmarkEnd w:id="57"/>
      <w:bookmarkEnd w:id="59"/>
    </w:p>
    <w:p w14:paraId="041CB975" w14:textId="1A00BA7C" w:rsidR="00BA0140" w:rsidRDefault="00BA0140" w:rsidP="00BA0140">
      <w:r>
        <w:t xml:space="preserve">International students are a valued part of the visitor economy and the Australian community. They live, study and work in Australian communities and contribute both economically and socially. Because they stay for a long time in Australia, international students spend more on average than other types of international visitors. Many students travel in Australia during their stay, are a motivation for their family and friends to visit Australia and tend to act as ambassadors for Australia after their return home. In addition, </w:t>
      </w:r>
      <w:r w:rsidR="000B3EA1">
        <w:t xml:space="preserve">some </w:t>
      </w:r>
      <w:r>
        <w:t xml:space="preserve">international students work during their stay, often in visitor economy businesses. Just as importantly, international students contribute to the cultural richness </w:t>
      </w:r>
      <w:r w:rsidR="001D2507">
        <w:t xml:space="preserve">and vibrancy </w:t>
      </w:r>
      <w:r>
        <w:t xml:space="preserve">of </w:t>
      </w:r>
      <w:r w:rsidR="00F65637">
        <w:t>Australian</w:t>
      </w:r>
      <w:r>
        <w:t xml:space="preserve"> </w:t>
      </w:r>
      <w:r w:rsidR="007345A4">
        <w:t xml:space="preserve">multicultural </w:t>
      </w:r>
      <w:r>
        <w:t xml:space="preserve">communities. </w:t>
      </w:r>
    </w:p>
    <w:p w14:paraId="5D03666A" w14:textId="3CB9AF73" w:rsidR="00BA0140" w:rsidRDefault="00BA0140" w:rsidP="00BA0140">
      <w:r>
        <w:lastRenderedPageBreak/>
        <w:t xml:space="preserve">Prior to COVID-19, there was strong growth in demand from international students. Between 2002 and 2019, the number of international student enrolments more than tripled to over 950,000 and the value of international education exports increased six-fold, to over $40 billion. During the pandemic years, the number of international students in Australia steadily declined as new students could not enter the country and existing students completed their courses and returned to their home country. </w:t>
      </w:r>
      <w:r w:rsidR="00C04C54">
        <w:t xml:space="preserve">There was also an increase in the number of students remaining offshore while studying. </w:t>
      </w:r>
    </w:p>
    <w:p w14:paraId="328F406B" w14:textId="7224D14C" w:rsidR="00290CD0" w:rsidRDefault="007940ED" w:rsidP="00F12984">
      <w:r>
        <w:t xml:space="preserve">Since the Australian border reopened, there has been a strong rebound in </w:t>
      </w:r>
      <w:r w:rsidR="00F12984">
        <w:t xml:space="preserve">demand from international students to study in Australia. </w:t>
      </w:r>
      <w:r>
        <w:t xml:space="preserve">In 2023, </w:t>
      </w:r>
      <w:r w:rsidR="0039065D">
        <w:t xml:space="preserve">the </w:t>
      </w:r>
      <w:r w:rsidR="0084206E">
        <w:t xml:space="preserve">value </w:t>
      </w:r>
      <w:r w:rsidR="0039065D">
        <w:t xml:space="preserve">of </w:t>
      </w:r>
      <w:r w:rsidR="007910FF">
        <w:t xml:space="preserve">international education exports, </w:t>
      </w:r>
      <w:r w:rsidR="004372DE">
        <w:t xml:space="preserve">the </w:t>
      </w:r>
      <w:r w:rsidR="0084206E">
        <w:t xml:space="preserve">number </w:t>
      </w:r>
      <w:r w:rsidR="00E74CB8">
        <w:t xml:space="preserve">of </w:t>
      </w:r>
      <w:r w:rsidR="0039065D">
        <w:t xml:space="preserve">international students in Australia, international course commencements </w:t>
      </w:r>
      <w:r w:rsidR="00855B85">
        <w:t xml:space="preserve">and enrolments, </w:t>
      </w:r>
      <w:r w:rsidR="0039065D">
        <w:t xml:space="preserve">and temporary graduate visa numbers all reached record highs. </w:t>
      </w:r>
      <w:r w:rsidR="00947041">
        <w:t>These metrics include both long-term and short-term international students in Australia</w:t>
      </w:r>
      <w:r w:rsidR="0077118A">
        <w:t xml:space="preserve"> and therefore are not directly comparable with </w:t>
      </w:r>
      <w:r w:rsidR="00200E7D">
        <w:t xml:space="preserve">data sources that report on short-term </w:t>
      </w:r>
      <w:r w:rsidR="00872DA2">
        <w:t xml:space="preserve">visitors only (less than 12 months) such as </w:t>
      </w:r>
      <w:r w:rsidR="0077118A">
        <w:t>ABS data on short-term visitor arrivals</w:t>
      </w:r>
      <w:r w:rsidR="00200E7D">
        <w:t xml:space="preserve"> </w:t>
      </w:r>
      <w:r w:rsidR="00872DA2">
        <w:t xml:space="preserve">(Overseas Arrivals and Departures) </w:t>
      </w:r>
      <w:r w:rsidR="00200E7D">
        <w:t xml:space="preserve">and </w:t>
      </w:r>
      <w:r w:rsidR="00872DA2">
        <w:t>TRA</w:t>
      </w:r>
      <w:r w:rsidR="00200E7D">
        <w:t xml:space="preserve"> data on international visitors for the purpose of education</w:t>
      </w:r>
      <w:r w:rsidR="00A75F9D">
        <w:t xml:space="preserve"> (IVS)</w:t>
      </w:r>
      <w:r w:rsidR="00200E7D">
        <w:t>.</w:t>
      </w:r>
    </w:p>
    <w:p w14:paraId="6C1B6FFE" w14:textId="69CD6385" w:rsidR="009000DE" w:rsidRPr="00F12984" w:rsidRDefault="00310B28" w:rsidP="00694F7C">
      <w:pPr>
        <w:pStyle w:val="BulletList"/>
        <w:ind w:left="499" w:hanging="357"/>
        <w:contextualSpacing w:val="0"/>
      </w:pPr>
      <w:r>
        <w:t xml:space="preserve">In 2023, </w:t>
      </w:r>
      <w:r w:rsidR="007940ED">
        <w:t xml:space="preserve">international education </w:t>
      </w:r>
      <w:r w:rsidR="009000DE" w:rsidRPr="00A20609">
        <w:t xml:space="preserve">exports </w:t>
      </w:r>
      <w:r w:rsidR="00C513A3">
        <w:t>totalled</w:t>
      </w:r>
      <w:r w:rsidR="009000DE" w:rsidRPr="00A20609">
        <w:t xml:space="preserve"> </w:t>
      </w:r>
      <w:r w:rsidR="009000DE" w:rsidRPr="00C513A3">
        <w:t>$47.8 billion</w:t>
      </w:r>
      <w:r w:rsidR="009000DE" w:rsidRPr="00A20609">
        <w:t xml:space="preserve">, </w:t>
      </w:r>
      <w:r w:rsidR="00C513A3">
        <w:t xml:space="preserve">which was </w:t>
      </w:r>
      <w:r w:rsidR="00C513A3" w:rsidRPr="00C513A3">
        <w:t>80</w:t>
      </w:r>
      <w:r w:rsidR="00C513A3">
        <w:t xml:space="preserve">% higher than in </w:t>
      </w:r>
      <w:r w:rsidR="009000DE" w:rsidRPr="00A20609">
        <w:t xml:space="preserve">2022, and </w:t>
      </w:r>
      <w:r w:rsidR="009000DE" w:rsidRPr="00C513A3">
        <w:t>19</w:t>
      </w:r>
      <w:r w:rsidR="00C513A3" w:rsidRPr="00C513A3">
        <w:t>% higher than in</w:t>
      </w:r>
      <w:r w:rsidR="00C513A3">
        <w:rPr>
          <w:b/>
          <w:bCs/>
        </w:rPr>
        <w:t xml:space="preserve"> </w:t>
      </w:r>
      <w:r w:rsidR="009000DE" w:rsidRPr="00A20609">
        <w:t xml:space="preserve">2019 (pre-pandemic). </w:t>
      </w:r>
    </w:p>
    <w:p w14:paraId="144D47E4" w14:textId="167CA785" w:rsidR="00121101" w:rsidRPr="00D654DA" w:rsidRDefault="006461CD" w:rsidP="00694F7C">
      <w:pPr>
        <w:pStyle w:val="BulletList"/>
        <w:ind w:left="499" w:hanging="357"/>
        <w:contextualSpacing w:val="0"/>
        <w:rPr>
          <w:rFonts w:eastAsia="Verdana"/>
          <w:color w:val="auto"/>
        </w:rPr>
      </w:pPr>
      <w:r w:rsidRPr="00BC2121">
        <w:t xml:space="preserve">As </w:t>
      </w:r>
      <w:proofErr w:type="gramStart"/>
      <w:r w:rsidRPr="00121101">
        <w:t>at</w:t>
      </w:r>
      <w:proofErr w:type="gramEnd"/>
      <w:r w:rsidRPr="00121101">
        <w:t xml:space="preserve"> 3</w:t>
      </w:r>
      <w:r w:rsidR="0067308E">
        <w:t>0</w:t>
      </w:r>
      <w:r w:rsidRPr="00121101">
        <w:t xml:space="preserve"> </w:t>
      </w:r>
      <w:r w:rsidR="0067308E">
        <w:t>Sept</w:t>
      </w:r>
      <w:r w:rsidRPr="00121101">
        <w:t xml:space="preserve">ember 2023, there were </w:t>
      </w:r>
      <w:r w:rsidR="00A01ED1">
        <w:t>660,537</w:t>
      </w:r>
      <w:r w:rsidRPr="00121101">
        <w:t xml:space="preserve"> student visa holders in Australia</w:t>
      </w:r>
      <w:r w:rsidR="005C3722">
        <w:t xml:space="preserve"> </w:t>
      </w:r>
      <w:r w:rsidR="005C3722" w:rsidRPr="00121101">
        <w:t>(primary and secondary</w:t>
      </w:r>
      <w:r w:rsidR="005C3722">
        <w:t xml:space="preserve"> visa holders, excluding defence and foreign affairs sectors</w:t>
      </w:r>
      <w:r w:rsidR="005C3722" w:rsidRPr="00121101">
        <w:t>)</w:t>
      </w:r>
      <w:r w:rsidRPr="00121101">
        <w:t xml:space="preserve">. This </w:t>
      </w:r>
      <w:r w:rsidR="00121101">
        <w:t>wa</w:t>
      </w:r>
      <w:r w:rsidRPr="00121101">
        <w:t xml:space="preserve">s an increase of </w:t>
      </w:r>
      <w:r w:rsidR="00A01ED1">
        <w:t>58</w:t>
      </w:r>
      <w:r w:rsidR="00121101">
        <w:t xml:space="preserve">% </w:t>
      </w:r>
      <w:r w:rsidR="009D7FF4">
        <w:t>compared to the prior year</w:t>
      </w:r>
      <w:r w:rsidR="00121101">
        <w:t xml:space="preserve">, and </w:t>
      </w:r>
      <w:r w:rsidR="00403641">
        <w:t xml:space="preserve">an </w:t>
      </w:r>
      <w:r w:rsidR="00403641" w:rsidRPr="00D654DA">
        <w:rPr>
          <w:color w:val="auto"/>
        </w:rPr>
        <w:t xml:space="preserve">increase of </w:t>
      </w:r>
      <w:r w:rsidR="00A01ED1">
        <w:rPr>
          <w:color w:val="auto"/>
        </w:rPr>
        <w:t>5</w:t>
      </w:r>
      <w:r w:rsidR="00403641" w:rsidRPr="00D654DA">
        <w:rPr>
          <w:color w:val="auto"/>
        </w:rPr>
        <w:t xml:space="preserve">% compared to </w:t>
      </w:r>
      <w:r w:rsidR="00A01ED1">
        <w:rPr>
          <w:color w:val="auto"/>
        </w:rPr>
        <w:t>Sept</w:t>
      </w:r>
      <w:r w:rsidR="00222331" w:rsidRPr="00D654DA">
        <w:rPr>
          <w:color w:val="auto"/>
        </w:rPr>
        <w:t>ember</w:t>
      </w:r>
      <w:r w:rsidR="00403641" w:rsidRPr="00D654DA">
        <w:rPr>
          <w:color w:val="auto"/>
        </w:rPr>
        <w:t xml:space="preserve"> 20</w:t>
      </w:r>
      <w:r w:rsidR="00222331" w:rsidRPr="00D654DA">
        <w:rPr>
          <w:color w:val="auto"/>
        </w:rPr>
        <w:t>19</w:t>
      </w:r>
      <w:r w:rsidRPr="00D654DA">
        <w:rPr>
          <w:color w:val="auto"/>
        </w:rPr>
        <w:t xml:space="preserve">. </w:t>
      </w:r>
      <w:r w:rsidR="00C85738">
        <w:rPr>
          <w:color w:val="auto"/>
        </w:rPr>
        <w:t>(The number of student visa holders in Australia is higher during semester than at the end of the year</w:t>
      </w:r>
      <w:r w:rsidR="00C85738">
        <w:t>, as many students return home for the summer holiday break.)</w:t>
      </w:r>
      <w:r w:rsidR="00C85738">
        <w:rPr>
          <w:rStyle w:val="FootnoteReference"/>
        </w:rPr>
        <w:footnoteReference w:id="10"/>
      </w:r>
    </w:p>
    <w:p w14:paraId="60E0B0B2" w14:textId="77777777" w:rsidR="00855B85" w:rsidRDefault="00A25ABE" w:rsidP="00694F7C">
      <w:pPr>
        <w:pStyle w:val="BulletList"/>
        <w:ind w:left="499" w:hanging="357"/>
        <w:contextualSpacing w:val="0"/>
      </w:pPr>
      <w:r w:rsidRPr="00A20609">
        <w:t xml:space="preserve">Course commencements for </w:t>
      </w:r>
      <w:r>
        <w:t xml:space="preserve">the year to </w:t>
      </w:r>
      <w:r w:rsidRPr="00A20609">
        <w:t xml:space="preserve">December 2023 </w:t>
      </w:r>
      <w:r w:rsidRPr="00A25ABE">
        <w:t xml:space="preserve">(561,162) </w:t>
      </w:r>
      <w:r>
        <w:t>were</w:t>
      </w:r>
      <w:r w:rsidRPr="00A20609">
        <w:t xml:space="preserve"> </w:t>
      </w:r>
      <w:r w:rsidRPr="008F462E">
        <w:t>up 44</w:t>
      </w:r>
      <w:r>
        <w:t>%</w:t>
      </w:r>
      <w:r w:rsidRPr="00A20609">
        <w:t xml:space="preserve"> compared to </w:t>
      </w:r>
      <w:r>
        <w:t>the same period in</w:t>
      </w:r>
      <w:r w:rsidRPr="00A20609">
        <w:t xml:space="preserve"> 2022, and </w:t>
      </w:r>
      <w:r w:rsidRPr="008F462E">
        <w:t xml:space="preserve">up </w:t>
      </w:r>
      <w:r>
        <w:t>10%</w:t>
      </w:r>
      <w:r w:rsidRPr="008F462E">
        <w:t xml:space="preserve"> </w:t>
      </w:r>
      <w:r w:rsidRPr="00A20609">
        <w:t>compared to 2019 (pre</w:t>
      </w:r>
      <w:r w:rsidRPr="00A20609">
        <w:noBreakHyphen/>
        <w:t>pandemic).</w:t>
      </w:r>
    </w:p>
    <w:p w14:paraId="26E776CE" w14:textId="49AD0BEA" w:rsidR="00855B85" w:rsidRPr="00A20609" w:rsidRDefault="00855B85" w:rsidP="00694F7C">
      <w:pPr>
        <w:pStyle w:val="BulletList"/>
        <w:ind w:left="499" w:hanging="357"/>
        <w:contextualSpacing w:val="0"/>
      </w:pPr>
      <w:r w:rsidRPr="00A20609">
        <w:t xml:space="preserve">Course enrolments for </w:t>
      </w:r>
      <w:r>
        <w:t>the year to</w:t>
      </w:r>
      <w:r w:rsidRPr="00A20609">
        <w:t xml:space="preserve"> December 2023 </w:t>
      </w:r>
      <w:r w:rsidRPr="003B3FB7">
        <w:t>(975,229)</w:t>
      </w:r>
      <w:r w:rsidRPr="00A20609">
        <w:rPr>
          <w:b/>
          <w:bCs/>
        </w:rPr>
        <w:t xml:space="preserve"> </w:t>
      </w:r>
      <w:r>
        <w:t>were</w:t>
      </w:r>
      <w:r w:rsidRPr="00A20609">
        <w:t xml:space="preserve"> </w:t>
      </w:r>
      <w:r w:rsidRPr="008F462E">
        <w:t>31</w:t>
      </w:r>
      <w:r>
        <w:t xml:space="preserve">% higher than the previous year </w:t>
      </w:r>
      <w:r w:rsidRPr="00A20609">
        <w:t>(</w:t>
      </w:r>
      <w:r w:rsidRPr="008F462E">
        <w:t>742,332</w:t>
      </w:r>
      <w:r w:rsidRPr="00A20609">
        <w:t xml:space="preserve">), and </w:t>
      </w:r>
      <w:r w:rsidRPr="008F462E">
        <w:t>up 2.4</w:t>
      </w:r>
      <w:r>
        <w:t xml:space="preserve">% </w:t>
      </w:r>
      <w:r w:rsidRPr="00A20609">
        <w:t>compared to</w:t>
      </w:r>
      <w:r>
        <w:t xml:space="preserve"> </w:t>
      </w:r>
      <w:r w:rsidR="003B3FB7">
        <w:t>year to</w:t>
      </w:r>
      <w:r w:rsidRPr="00A20609">
        <w:t xml:space="preserve"> December 2019 (</w:t>
      </w:r>
      <w:r w:rsidRPr="008F462E">
        <w:t>952,379</w:t>
      </w:r>
      <w:r w:rsidRPr="00A20609">
        <w:t xml:space="preserve">). </w:t>
      </w:r>
    </w:p>
    <w:p w14:paraId="16049E44" w14:textId="24C9D38F" w:rsidR="00DA5176" w:rsidRPr="00A20609" w:rsidRDefault="00DA5176" w:rsidP="00694F7C">
      <w:pPr>
        <w:pStyle w:val="BulletList"/>
        <w:ind w:left="499" w:hanging="357"/>
        <w:contextualSpacing w:val="0"/>
      </w:pPr>
      <w:r>
        <w:t xml:space="preserve">Between July and December 2023, </w:t>
      </w:r>
      <w:r w:rsidRPr="00DA5176">
        <w:rPr>
          <w:rFonts w:eastAsia="Verdana"/>
        </w:rPr>
        <w:t>76,639 Temporary Graduate Visas (</w:t>
      </w:r>
      <w:r w:rsidRPr="00A20609">
        <w:rPr>
          <w:rFonts w:eastAsia="Verdana"/>
        </w:rPr>
        <w:t>primary and secondary) were granted to former student visa holders</w:t>
      </w:r>
      <w:r>
        <w:rPr>
          <w:rFonts w:eastAsia="Verdana"/>
        </w:rPr>
        <w:t xml:space="preserve">. This was </w:t>
      </w:r>
      <w:r w:rsidRPr="00A20609">
        <w:rPr>
          <w:rFonts w:eastAsia="Verdana"/>
        </w:rPr>
        <w:t>45</w:t>
      </w:r>
      <w:r>
        <w:rPr>
          <w:rFonts w:eastAsia="Verdana"/>
        </w:rPr>
        <w:t>%</w:t>
      </w:r>
      <w:r w:rsidRPr="00A20609">
        <w:rPr>
          <w:rFonts w:eastAsia="Verdana"/>
        </w:rPr>
        <w:t xml:space="preserve"> </w:t>
      </w:r>
      <w:r>
        <w:rPr>
          <w:rFonts w:eastAsia="Verdana"/>
        </w:rPr>
        <w:t>more than in the same period last year</w:t>
      </w:r>
      <w:r w:rsidRPr="00A20609">
        <w:rPr>
          <w:rFonts w:eastAsia="Verdana"/>
        </w:rPr>
        <w:t>, and up 97</w:t>
      </w:r>
      <w:r w:rsidR="008C1080">
        <w:rPr>
          <w:rFonts w:eastAsia="Verdana"/>
        </w:rPr>
        <w:t xml:space="preserve">% </w:t>
      </w:r>
      <w:r w:rsidRPr="00A20609">
        <w:rPr>
          <w:rFonts w:eastAsia="Verdana"/>
        </w:rPr>
        <w:t>compared to</w:t>
      </w:r>
      <w:r w:rsidR="008C1080">
        <w:rPr>
          <w:rFonts w:eastAsia="Verdana"/>
        </w:rPr>
        <w:t xml:space="preserve"> the</w:t>
      </w:r>
      <w:r w:rsidRPr="00A20609">
        <w:rPr>
          <w:rFonts w:eastAsia="Verdana"/>
        </w:rPr>
        <w:t xml:space="preserve"> pre-pandemic level</w:t>
      </w:r>
      <w:r w:rsidR="008C1080">
        <w:rPr>
          <w:rFonts w:eastAsia="Verdana"/>
        </w:rPr>
        <w:t>.</w:t>
      </w:r>
    </w:p>
    <w:p w14:paraId="6D9C0935" w14:textId="3E93A280" w:rsidR="00551EB5" w:rsidRPr="00861458" w:rsidRDefault="00861458" w:rsidP="00BA0140">
      <w:pPr>
        <w:rPr>
          <w:color w:val="auto"/>
        </w:rPr>
      </w:pPr>
      <w:r>
        <w:t>In</w:t>
      </w:r>
      <w:r w:rsidR="0076791C">
        <w:t xml:space="preserve"> 2023</w:t>
      </w:r>
      <w:r w:rsidR="0076791C" w:rsidRPr="00551EB5">
        <w:rPr>
          <w:color w:val="auto"/>
        </w:rPr>
        <w:t>,</w:t>
      </w:r>
      <w:r>
        <w:rPr>
          <w:color w:val="auto"/>
        </w:rPr>
        <w:t xml:space="preserve"> China </w:t>
      </w:r>
      <w:r w:rsidRPr="00B762F3">
        <w:t xml:space="preserve">had the highest number of student visa holders (primary and secondary) in </w:t>
      </w:r>
      <w:r w:rsidRPr="53D53F74">
        <w:t>Australia (</w:t>
      </w:r>
      <w:r>
        <w:t>124,581</w:t>
      </w:r>
      <w:r w:rsidRPr="53D53F74">
        <w:t>), followed by</w:t>
      </w:r>
      <w:r w:rsidRPr="00861458">
        <w:t xml:space="preserve"> </w:t>
      </w:r>
      <w:r w:rsidRPr="00962C08">
        <w:t>India</w:t>
      </w:r>
      <w:r>
        <w:t xml:space="preserve"> (116,156),</w:t>
      </w:r>
      <w:r>
        <w:rPr>
          <w:color w:val="auto"/>
        </w:rPr>
        <w:t xml:space="preserve"> </w:t>
      </w:r>
      <w:r w:rsidR="00761FF5" w:rsidRPr="53D53F74">
        <w:t>Nepal (</w:t>
      </w:r>
      <w:r w:rsidR="00761FF5" w:rsidRPr="00FA27BC">
        <w:t>60,</w:t>
      </w:r>
      <w:r>
        <w:t>280</w:t>
      </w:r>
      <w:r w:rsidR="00525BCD">
        <w:t>)</w:t>
      </w:r>
      <w:r w:rsidR="00761FF5" w:rsidRPr="53D53F74">
        <w:t>, the Philippines (</w:t>
      </w:r>
      <w:r>
        <w:t>33,908</w:t>
      </w:r>
      <w:r w:rsidR="00761FF5" w:rsidRPr="53D53F74">
        <w:t xml:space="preserve">), </w:t>
      </w:r>
      <w:r w:rsidR="00AF1BEF" w:rsidRPr="53D53F74">
        <w:t>Vietnam (</w:t>
      </w:r>
      <w:r w:rsidR="00AF1BEF">
        <w:t>26,845</w:t>
      </w:r>
      <w:r w:rsidR="00AF1BEF" w:rsidRPr="53D53F74">
        <w:t>)</w:t>
      </w:r>
      <w:r w:rsidR="00AF1BEF">
        <w:t xml:space="preserve"> </w:t>
      </w:r>
      <w:r w:rsidR="00AF1BEF" w:rsidRPr="53D53F74">
        <w:t xml:space="preserve">and </w:t>
      </w:r>
      <w:r w:rsidR="00761FF5" w:rsidRPr="53D53F74">
        <w:t>Colombia (</w:t>
      </w:r>
      <w:r w:rsidR="00AF1BEF">
        <w:t>26,348</w:t>
      </w:r>
      <w:r w:rsidR="00761FF5" w:rsidRPr="53D53F74">
        <w:t xml:space="preserve">) </w:t>
      </w:r>
      <w:r w:rsidR="00A91808">
        <w:t xml:space="preserve">(Figure </w:t>
      </w:r>
      <w:r w:rsidR="00A34C36">
        <w:t>8</w:t>
      </w:r>
      <w:r w:rsidR="00A91808">
        <w:t>)</w:t>
      </w:r>
      <w:r w:rsidR="00551EB5" w:rsidRPr="00B762F3">
        <w:t>.</w:t>
      </w:r>
      <w:r w:rsidR="003D5C34">
        <w:t xml:space="preserve"> Together these </w:t>
      </w:r>
      <w:r w:rsidR="00623AD3">
        <w:t xml:space="preserve">top 6 source markets accounted for </w:t>
      </w:r>
      <w:r w:rsidR="003371E7">
        <w:t>5</w:t>
      </w:r>
      <w:r w:rsidR="00E45B67">
        <w:t>9</w:t>
      </w:r>
      <w:r w:rsidR="00623AD3">
        <w:t xml:space="preserve">% of student visa holders in Australia as </w:t>
      </w:r>
      <w:proofErr w:type="gramStart"/>
      <w:r w:rsidR="00623AD3">
        <w:t>at</w:t>
      </w:r>
      <w:proofErr w:type="gramEnd"/>
      <w:r w:rsidR="00623AD3">
        <w:t xml:space="preserve"> 3</w:t>
      </w:r>
      <w:r w:rsidR="00E45B67">
        <w:t>0</w:t>
      </w:r>
      <w:r w:rsidR="00623AD3">
        <w:t xml:space="preserve"> </w:t>
      </w:r>
      <w:r w:rsidR="00E45B67">
        <w:t>Sept</w:t>
      </w:r>
      <w:r w:rsidR="00623AD3">
        <w:t xml:space="preserve">ember 2023. </w:t>
      </w:r>
      <w:r w:rsidR="00D17D30">
        <w:t>(</w:t>
      </w:r>
      <w:r w:rsidR="00E81520">
        <w:t>The top 10 source markets</w:t>
      </w:r>
      <w:r w:rsidR="000A5F90">
        <w:t xml:space="preserve"> shown in Figure 8</w:t>
      </w:r>
      <w:r w:rsidR="00E81520">
        <w:t xml:space="preserve"> accounted for 71% of student visa holders</w:t>
      </w:r>
      <w:r w:rsidR="00D17D30">
        <w:t xml:space="preserve"> at the time</w:t>
      </w:r>
      <w:r w:rsidR="00E81520">
        <w:t>.</w:t>
      </w:r>
      <w:r w:rsidR="00D17D30">
        <w:t>)</w:t>
      </w:r>
      <w:r w:rsidR="00E81520">
        <w:t xml:space="preserve"> </w:t>
      </w:r>
    </w:p>
    <w:p w14:paraId="7AF319FB" w14:textId="46951BC5" w:rsidR="00523E58" w:rsidRDefault="00A91808" w:rsidP="00A91808">
      <w:pPr>
        <w:pStyle w:val="Caption"/>
        <w:keepNext/>
        <w:rPr>
          <w:b/>
          <w:bCs/>
          <w:i w:val="0"/>
          <w:iCs w:val="0"/>
          <w:color w:val="000000" w:themeColor="text1"/>
          <w:sz w:val="20"/>
          <w:szCs w:val="20"/>
        </w:rPr>
      </w:pPr>
      <w:r>
        <w:rPr>
          <w:b/>
          <w:bCs/>
          <w:i w:val="0"/>
          <w:iCs w:val="0"/>
          <w:sz w:val="20"/>
          <w:szCs w:val="20"/>
        </w:rPr>
        <w:lastRenderedPageBreak/>
        <w:t xml:space="preserve">Figure </w:t>
      </w:r>
      <w:r w:rsidR="002D422F">
        <w:rPr>
          <w:b/>
          <w:bCs/>
          <w:i w:val="0"/>
          <w:iCs w:val="0"/>
          <w:sz w:val="20"/>
          <w:szCs w:val="20"/>
        </w:rPr>
        <w:t>8</w:t>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Pr>
          <w:b/>
          <w:bCs/>
          <w:i w:val="0"/>
          <w:iCs w:val="0"/>
          <w:sz w:val="20"/>
          <w:szCs w:val="20"/>
        </w:rPr>
        <w:t>.</w:t>
      </w:r>
      <w:r w:rsidR="006A706A" w:rsidRPr="00523E58">
        <w:rPr>
          <w:color w:val="2E1A47" w:themeColor="accent2"/>
          <w:sz w:val="20"/>
          <w:szCs w:val="20"/>
        </w:rPr>
        <w:t xml:space="preserve"> </w:t>
      </w:r>
      <w:r w:rsidR="00CA1EC4">
        <w:rPr>
          <w:i w:val="0"/>
          <w:iCs w:val="0"/>
          <w:sz w:val="20"/>
          <w:szCs w:val="20"/>
        </w:rPr>
        <w:t>Student</w:t>
      </w:r>
      <w:r w:rsidR="00EF6239">
        <w:rPr>
          <w:i w:val="0"/>
          <w:iCs w:val="0"/>
          <w:sz w:val="20"/>
          <w:szCs w:val="20"/>
        </w:rPr>
        <w:t xml:space="preserve"> visa holders in Australia as </w:t>
      </w:r>
      <w:proofErr w:type="gramStart"/>
      <w:r w:rsidR="00EF6239">
        <w:rPr>
          <w:i w:val="0"/>
          <w:iCs w:val="0"/>
          <w:sz w:val="20"/>
          <w:szCs w:val="20"/>
        </w:rPr>
        <w:t>at</w:t>
      </w:r>
      <w:proofErr w:type="gramEnd"/>
      <w:r w:rsidR="00EF6239">
        <w:rPr>
          <w:i w:val="0"/>
          <w:iCs w:val="0"/>
          <w:sz w:val="20"/>
          <w:szCs w:val="20"/>
        </w:rPr>
        <w:t xml:space="preserve"> 3</w:t>
      </w:r>
      <w:r w:rsidR="001A2C09">
        <w:rPr>
          <w:i w:val="0"/>
          <w:iCs w:val="0"/>
          <w:sz w:val="20"/>
          <w:szCs w:val="20"/>
        </w:rPr>
        <w:t>0</w:t>
      </w:r>
      <w:r w:rsidR="00EF6239">
        <w:rPr>
          <w:i w:val="0"/>
          <w:iCs w:val="0"/>
          <w:sz w:val="20"/>
          <w:szCs w:val="20"/>
        </w:rPr>
        <w:t xml:space="preserve"> </w:t>
      </w:r>
      <w:r w:rsidR="001A2C09">
        <w:rPr>
          <w:i w:val="0"/>
          <w:iCs w:val="0"/>
          <w:sz w:val="20"/>
          <w:szCs w:val="20"/>
        </w:rPr>
        <w:t>Septe</w:t>
      </w:r>
      <w:r w:rsidR="00EF6239">
        <w:rPr>
          <w:i w:val="0"/>
          <w:iCs w:val="0"/>
          <w:sz w:val="20"/>
          <w:szCs w:val="20"/>
        </w:rPr>
        <w:t xml:space="preserve">mber, </w:t>
      </w:r>
      <w:r w:rsidR="007B72F2">
        <w:rPr>
          <w:i w:val="0"/>
          <w:iCs w:val="0"/>
          <w:sz w:val="20"/>
          <w:szCs w:val="20"/>
        </w:rPr>
        <w:t>for</w:t>
      </w:r>
      <w:r w:rsidR="00EF6239">
        <w:rPr>
          <w:i w:val="0"/>
          <w:iCs w:val="0"/>
          <w:sz w:val="20"/>
          <w:szCs w:val="20"/>
        </w:rPr>
        <w:t xml:space="preserve"> </w:t>
      </w:r>
      <w:r w:rsidR="00523E58">
        <w:rPr>
          <w:i w:val="0"/>
          <w:iCs w:val="0"/>
          <w:sz w:val="20"/>
          <w:szCs w:val="20"/>
        </w:rPr>
        <w:t xml:space="preserve">top </w:t>
      </w:r>
      <w:r w:rsidR="001A2C09">
        <w:rPr>
          <w:i w:val="0"/>
          <w:iCs w:val="0"/>
          <w:sz w:val="20"/>
          <w:szCs w:val="20"/>
        </w:rPr>
        <w:t>1</w:t>
      </w:r>
      <w:r w:rsidR="006C311A">
        <w:rPr>
          <w:i w:val="0"/>
          <w:iCs w:val="0"/>
          <w:sz w:val="20"/>
          <w:szCs w:val="20"/>
        </w:rPr>
        <w:t xml:space="preserve">0 </w:t>
      </w:r>
      <w:r w:rsidR="00523E58">
        <w:rPr>
          <w:i w:val="0"/>
          <w:iCs w:val="0"/>
          <w:sz w:val="20"/>
          <w:szCs w:val="20"/>
        </w:rPr>
        <w:t>source markets</w:t>
      </w:r>
      <w:r w:rsidR="00523E58" w:rsidRPr="008B7AB9">
        <w:rPr>
          <w:i w:val="0"/>
          <w:iCs w:val="0"/>
          <w:sz w:val="20"/>
          <w:szCs w:val="20"/>
        </w:rPr>
        <w:t xml:space="preserve"> </w:t>
      </w:r>
      <w:r w:rsidR="00523E58">
        <w:rPr>
          <w:i w:val="0"/>
          <w:iCs w:val="0"/>
          <w:sz w:val="20"/>
          <w:szCs w:val="20"/>
        </w:rPr>
        <w:t xml:space="preserve">in 2023, compared with 2019 and 2022. </w:t>
      </w:r>
    </w:p>
    <w:p w14:paraId="49DDF6D4" w14:textId="599AB5AB" w:rsidR="00BF4495" w:rsidRDefault="00526853" w:rsidP="00523E58">
      <w:pPr>
        <w:pStyle w:val="BulletList"/>
        <w:numPr>
          <w:ilvl w:val="0"/>
          <w:numId w:val="0"/>
        </w:numPr>
        <w:spacing w:line="300" w:lineRule="atLeast"/>
        <w:rPr>
          <w:color w:val="auto"/>
        </w:rPr>
      </w:pPr>
      <w:r w:rsidRPr="00526853">
        <w:rPr>
          <w:noProof/>
        </w:rPr>
        <w:drawing>
          <wp:inline distT="0" distB="0" distL="0" distR="0" wp14:anchorId="7D97CB84" wp14:editId="4F3120F1">
            <wp:extent cx="6329680" cy="4432300"/>
            <wp:effectExtent l="0" t="0" r="0" b="6350"/>
            <wp:docPr id="1102260944" name="Picture 2" descr="Figure 8 shows a bar chart with the number of student visa holders in Australia by source market, for the top 10 source markets in 2023. It also compares the number of students in 2023 with the number in 2019 and 2022 for each country. The number of student visa holders in Australia as at 30 September 2023 from 9 of the 10 top source markets (India, Nepal, Philippines, Colombia, Vietnam, Pakistan, Thailand, Indonesia and Bhutan) were all above the number as at 30 September 2019. In contrast, the number of student visa holders from China was lower in 2023 than it wa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60944" name="Picture 2" descr="Figure 8 shows a bar chart with the number of student visa holders in Australia by source market, for the top 10 source markets in 2023. It also compares the number of students in 2023 with the number in 2019 and 2022 for each country. The number of student visa holders in Australia as at 30 September 2023 from 9 of the 10 top source markets (India, Nepal, Philippines, Colombia, Vietnam, Pakistan, Thailand, Indonesia and Bhutan) were all above the number as at 30 September 2019. In contrast, the number of student visa holders from China was lower in 2023 than it was in 2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9680" cy="4432300"/>
                    </a:xfrm>
                    <a:prstGeom prst="rect">
                      <a:avLst/>
                    </a:prstGeom>
                    <a:noFill/>
                    <a:ln>
                      <a:noFill/>
                    </a:ln>
                  </pic:spPr>
                </pic:pic>
              </a:graphicData>
            </a:graphic>
          </wp:inline>
        </w:drawing>
      </w:r>
    </w:p>
    <w:p w14:paraId="328A4E04" w14:textId="77777777" w:rsidR="00E94900" w:rsidRDefault="00E94900" w:rsidP="00523E58">
      <w:pPr>
        <w:pStyle w:val="BulletList"/>
        <w:numPr>
          <w:ilvl w:val="0"/>
          <w:numId w:val="0"/>
        </w:numPr>
        <w:spacing w:line="300" w:lineRule="atLeast"/>
        <w:rPr>
          <w:color w:val="auto"/>
        </w:rPr>
      </w:pPr>
    </w:p>
    <w:p w14:paraId="105E37CA" w14:textId="38E0849E" w:rsidR="002B3060" w:rsidRDefault="002B3060" w:rsidP="002B3060">
      <w:pPr>
        <w:rPr>
          <w:color w:val="7F7F7F" w:themeColor="text1" w:themeTint="80"/>
        </w:rPr>
      </w:pPr>
      <w:bookmarkStart w:id="60" w:name="_Toc135990459"/>
      <w:r>
        <w:rPr>
          <w:color w:val="auto"/>
        </w:rPr>
        <w:t>The</w:t>
      </w:r>
      <w:r w:rsidRPr="00A20028">
        <w:rPr>
          <w:color w:val="auto"/>
        </w:rPr>
        <w:t xml:space="preserve"> </w:t>
      </w:r>
      <w:r w:rsidR="008D54BB">
        <w:rPr>
          <w:color w:val="auto"/>
        </w:rPr>
        <w:t>rate</w:t>
      </w:r>
      <w:r w:rsidRPr="00A20028">
        <w:rPr>
          <w:color w:val="auto"/>
        </w:rPr>
        <w:t xml:space="preserve"> of growth in international student arrivals observed in 2023 is not expected to continue in 2024. This reflects</w:t>
      </w:r>
      <w:r>
        <w:rPr>
          <w:color w:val="auto"/>
        </w:rPr>
        <w:t xml:space="preserve"> a decline in visa grant rates and</w:t>
      </w:r>
      <w:r w:rsidRPr="00A20028">
        <w:rPr>
          <w:color w:val="auto"/>
        </w:rPr>
        <w:t xml:space="preserve"> the expected impact of regulatory changes related to international student visas.</w:t>
      </w:r>
      <w:r>
        <w:rPr>
          <w:color w:val="auto"/>
        </w:rPr>
        <w:t xml:space="preserve"> The a</w:t>
      </w:r>
      <w:r w:rsidRPr="00B762F3">
        <w:rPr>
          <w:rFonts w:eastAsia="Verdana"/>
          <w:lang w:eastAsia="en-AU"/>
        </w:rPr>
        <w:t xml:space="preserve">verage offshore primary student visa grant rate for </w:t>
      </w:r>
      <w:r>
        <w:rPr>
          <w:rFonts w:eastAsia="Verdana"/>
          <w:lang w:eastAsia="en-AU"/>
        </w:rPr>
        <w:t>the period July</w:t>
      </w:r>
      <w:r w:rsidRPr="00B762F3">
        <w:rPr>
          <w:rFonts w:eastAsia="Verdana"/>
          <w:lang w:eastAsia="en-AU"/>
        </w:rPr>
        <w:t xml:space="preserve"> 2023</w:t>
      </w:r>
      <w:r>
        <w:rPr>
          <w:rFonts w:eastAsia="Verdana"/>
          <w:lang w:eastAsia="en-AU"/>
        </w:rPr>
        <w:t xml:space="preserve"> to February 20</w:t>
      </w:r>
      <w:r w:rsidRPr="00A20609">
        <w:rPr>
          <w:rFonts w:eastAsia="Verdana"/>
          <w:lang w:eastAsia="en-AU"/>
        </w:rPr>
        <w:t xml:space="preserve">24 </w:t>
      </w:r>
      <w:r>
        <w:rPr>
          <w:rFonts w:eastAsia="Verdana"/>
          <w:lang w:eastAsia="en-AU"/>
        </w:rPr>
        <w:t>was 11</w:t>
      </w:r>
      <w:r w:rsidRPr="00A20609">
        <w:rPr>
          <w:rFonts w:eastAsia="Verdana"/>
          <w:lang w:eastAsia="en-AU"/>
        </w:rPr>
        <w:t xml:space="preserve"> </w:t>
      </w:r>
      <w:r w:rsidRPr="008F462E">
        <w:rPr>
          <w:rFonts w:eastAsia="Verdana"/>
          <w:lang w:eastAsia="en-AU"/>
        </w:rPr>
        <w:t>percentage points</w:t>
      </w:r>
      <w:r w:rsidRPr="00A20609">
        <w:rPr>
          <w:rFonts w:eastAsia="Verdana"/>
          <w:lang w:eastAsia="en-AU"/>
        </w:rPr>
        <w:t xml:space="preserve"> lower than in pre-pandemic years</w:t>
      </w:r>
      <w:r>
        <w:rPr>
          <w:rFonts w:eastAsia="Verdana"/>
          <w:lang w:eastAsia="en-AU"/>
        </w:rPr>
        <w:t xml:space="preserve"> (</w:t>
      </w:r>
      <w:r w:rsidRPr="008F462E">
        <w:rPr>
          <w:rFonts w:eastAsia="Verdana"/>
          <w:lang w:eastAsia="en-AU"/>
        </w:rPr>
        <w:t>7</w:t>
      </w:r>
      <w:r>
        <w:rPr>
          <w:rFonts w:eastAsia="Verdana"/>
          <w:lang w:eastAsia="en-AU"/>
        </w:rPr>
        <w:t>8% compared with 89% pre-pandemic)</w:t>
      </w:r>
      <w:r w:rsidRPr="00A20609">
        <w:rPr>
          <w:rFonts w:eastAsia="Verdana"/>
          <w:lang w:eastAsia="en-AU"/>
        </w:rPr>
        <w:t xml:space="preserve">. </w:t>
      </w:r>
      <w:r>
        <w:rPr>
          <w:rFonts w:eastAsia="Verdana"/>
          <w:lang w:eastAsia="en-AU"/>
        </w:rPr>
        <w:t xml:space="preserve">The </w:t>
      </w:r>
      <w:r w:rsidRPr="00A20609">
        <w:rPr>
          <w:rFonts w:eastAsia="Verdana"/>
          <w:lang w:eastAsia="en-AU"/>
        </w:rPr>
        <w:t xml:space="preserve">decline in primary offshore visa grant rate </w:t>
      </w:r>
      <w:r>
        <w:rPr>
          <w:rFonts w:eastAsia="Verdana"/>
          <w:lang w:eastAsia="en-AU"/>
        </w:rPr>
        <w:t xml:space="preserve">has been larger for some source countries, and in the </w:t>
      </w:r>
      <w:r w:rsidRPr="00A20609">
        <w:rPr>
          <w:lang w:eastAsia="en-AU"/>
        </w:rPr>
        <w:t>vocational education and training sector</w:t>
      </w:r>
      <w:r>
        <w:t>.</w:t>
      </w:r>
    </w:p>
    <w:p w14:paraId="22DA0105" w14:textId="37552CC6" w:rsidR="00797E96" w:rsidRPr="00511BB3" w:rsidRDefault="00797E96" w:rsidP="00511BB3">
      <w:pPr>
        <w:pStyle w:val="BulletList"/>
        <w:numPr>
          <w:ilvl w:val="0"/>
          <w:numId w:val="0"/>
        </w:numPr>
        <w:rPr>
          <w:rFonts w:eastAsia="Verdana"/>
          <w:lang w:eastAsia="en-AU"/>
        </w:rPr>
      </w:pPr>
      <w:r>
        <w:br w:type="page"/>
      </w:r>
    </w:p>
    <w:p w14:paraId="257C0EED" w14:textId="1E4D9F03" w:rsidR="00BA0140" w:rsidRDefault="00BA0140" w:rsidP="00511BB3">
      <w:pPr>
        <w:pStyle w:val="Heading2"/>
      </w:pPr>
      <w:bookmarkStart w:id="61" w:name="_Toc167113879"/>
      <w:r>
        <w:lastRenderedPageBreak/>
        <w:t>Australian resident outbound travel</w:t>
      </w:r>
      <w:bookmarkEnd w:id="60"/>
      <w:bookmarkEnd w:id="61"/>
    </w:p>
    <w:p w14:paraId="5033BCC5" w14:textId="27F3477F" w:rsidR="0071742B" w:rsidRDefault="007855F0" w:rsidP="00BA0140">
      <w:pPr>
        <w:rPr>
          <w:rFonts w:eastAsia="Verdana" w:cs="Times New Roman"/>
          <w:color w:val="000000"/>
        </w:rPr>
      </w:pPr>
      <w:r>
        <w:t xml:space="preserve">In 2023, there were </w:t>
      </w:r>
      <w:r w:rsidR="00972D14">
        <w:t>10</w:t>
      </w:r>
      <w:r>
        <w:t xml:space="preserve"> million residents who returned to Australia from short-term overseas trips (resident returns). </w:t>
      </w:r>
      <w:r w:rsidR="00721527">
        <w:t xml:space="preserve">This was </w:t>
      </w:r>
      <w:r w:rsidR="0021563B">
        <w:t>91</w:t>
      </w:r>
      <w:r w:rsidR="00721527">
        <w:t xml:space="preserve">% more than the previous year, and </w:t>
      </w:r>
      <w:r w:rsidR="00C37127">
        <w:t>12</w:t>
      </w:r>
      <w:r w:rsidR="00721527">
        <w:t xml:space="preserve">% below the </w:t>
      </w:r>
      <w:r w:rsidR="00100155">
        <w:t>number of resident returns in 2019</w:t>
      </w:r>
      <w:r w:rsidR="00ED7C2A">
        <w:t>, which was</w:t>
      </w:r>
      <w:r w:rsidR="00100155">
        <w:t xml:space="preserve"> 11.3 </w:t>
      </w:r>
      <w:r w:rsidR="00E4316C">
        <w:t>million</w:t>
      </w:r>
      <w:r w:rsidR="00ED7C2A">
        <w:t>. Therefore</w:t>
      </w:r>
      <w:r w:rsidR="00E4316C">
        <w:t>,</w:t>
      </w:r>
      <w:r w:rsidR="00F67712">
        <w:t xml:space="preserve"> in 2023, outbound travel was 88% of the pre-pandemic level</w:t>
      </w:r>
      <w:r w:rsidR="00100155">
        <w:t xml:space="preserve">. </w:t>
      </w:r>
      <w:r w:rsidR="00095DC3">
        <w:rPr>
          <w:rFonts w:eastAsia="Verdana" w:cs="Times New Roman"/>
          <w:color w:val="000000"/>
          <w:lang w:eastAsia="zh-CN"/>
        </w:rPr>
        <w:t xml:space="preserve">TRA’s latest tourism forecasts </w:t>
      </w:r>
      <w:r w:rsidR="00095DC3">
        <w:t xml:space="preserve">project that the number of outbound trips will </w:t>
      </w:r>
      <w:r w:rsidR="00E4316C">
        <w:t>approach</w:t>
      </w:r>
      <w:r w:rsidR="00095DC3">
        <w:t xml:space="preserve"> its </w:t>
      </w:r>
      <w:r w:rsidR="00095DC3">
        <w:rPr>
          <w:rFonts w:eastAsia="Verdana" w:cs="Times New Roman"/>
          <w:color w:val="000000"/>
        </w:rPr>
        <w:t>pre-pandemic number in 202</w:t>
      </w:r>
      <w:r w:rsidR="00E4316C">
        <w:rPr>
          <w:rFonts w:eastAsia="Verdana" w:cs="Times New Roman"/>
          <w:color w:val="000000"/>
        </w:rPr>
        <w:t>4</w:t>
      </w:r>
      <w:r w:rsidR="00095DC3">
        <w:rPr>
          <w:rFonts w:eastAsia="Verdana" w:cs="Times New Roman"/>
          <w:color w:val="000000"/>
        </w:rPr>
        <w:t>.</w:t>
      </w:r>
      <w:r w:rsidR="00F6630A">
        <w:rPr>
          <w:rFonts w:eastAsia="Verdana" w:cs="Times New Roman"/>
          <w:color w:val="000000"/>
        </w:rPr>
        <w:t xml:space="preserve"> </w:t>
      </w:r>
    </w:p>
    <w:p w14:paraId="17EBF7D8" w14:textId="7579069C" w:rsidR="00497EB4" w:rsidRDefault="00497EB4" w:rsidP="00497EB4">
      <w:pPr>
        <w:spacing w:line="300" w:lineRule="atLeast"/>
      </w:pPr>
      <w:r>
        <w:t xml:space="preserve">The recovery in Australian outbound travel has been faster than for international inbound travel to Australia. This </w:t>
      </w:r>
      <w:r w:rsidR="48681F44">
        <w:t>was</w:t>
      </w:r>
      <w:r>
        <w:t xml:space="preserve"> anticipated and consistent with:</w:t>
      </w:r>
    </w:p>
    <w:p w14:paraId="528FE213" w14:textId="488F4C98" w:rsidR="00497EB4" w:rsidRDefault="00497EB4" w:rsidP="00497EB4">
      <w:pPr>
        <w:pStyle w:val="BulletList"/>
      </w:pPr>
      <w:r>
        <w:t>strong demand for outbound travel and Australian desire to travel broadly, including to relatively low-cost destinations</w:t>
      </w:r>
      <w:r w:rsidR="00E46316">
        <w:t xml:space="preserve"> in the </w:t>
      </w:r>
      <w:proofErr w:type="gramStart"/>
      <w:r w:rsidR="00E46316">
        <w:t>region</w:t>
      </w:r>
      <w:proofErr w:type="gramEnd"/>
    </w:p>
    <w:p w14:paraId="74E0CD1D" w14:textId="77777777" w:rsidR="00497EB4" w:rsidRDefault="00497EB4" w:rsidP="00497EB4">
      <w:pPr>
        <w:pStyle w:val="BulletList"/>
      </w:pPr>
      <w:r>
        <w:t>recovery in aviation links, especially to popular outbound travel destinations</w:t>
      </w:r>
    </w:p>
    <w:p w14:paraId="6F29C60C" w14:textId="77777777" w:rsidR="00497EB4" w:rsidRDefault="00497EB4" w:rsidP="00497EB4">
      <w:pPr>
        <w:pStyle w:val="BulletList"/>
      </w:pPr>
      <w:r>
        <w:t>Australians’ relative comfort with longer-haul travel (compared with signs of hesitancy internationally for longer-haul travel)</w:t>
      </w:r>
    </w:p>
    <w:p w14:paraId="309FA595" w14:textId="682CBBB7" w:rsidR="00497EB4" w:rsidRPr="008A7BB4" w:rsidRDefault="00497EB4" w:rsidP="00497EB4">
      <w:pPr>
        <w:pStyle w:val="BulletList"/>
      </w:pPr>
      <w:r>
        <w:t>the delayed rebound in key inbound source markets (e.g. China).</w:t>
      </w:r>
    </w:p>
    <w:p w14:paraId="18C3E44A" w14:textId="77777777" w:rsidR="00DB12DE" w:rsidRDefault="00497EB4" w:rsidP="00497EB4">
      <w:r>
        <w:t>Prior to the pandemic, departures typically outnumbered arrivals by around 1.9 million trips per year (the net outbound travel number). In 2023, there were 2.8 million more resident returns than international arrivals (Figure </w:t>
      </w:r>
      <w:r w:rsidR="00906946">
        <w:t>9</w:t>
      </w:r>
      <w:r>
        <w:t xml:space="preserve">). </w:t>
      </w:r>
    </w:p>
    <w:p w14:paraId="77A01C44" w14:textId="7282A369" w:rsidR="00497EB4" w:rsidRDefault="00497EB4" w:rsidP="00497EB4">
      <w:pPr>
        <w:rPr>
          <w:rFonts w:eastAsia="Verdana" w:cs="Times New Roman"/>
          <w:color w:val="000000"/>
        </w:rPr>
      </w:pPr>
      <w:r>
        <w:rPr>
          <w:rFonts w:eastAsia="Verdana" w:cs="Times New Roman"/>
          <w:color w:val="000000"/>
        </w:rPr>
        <w:t>Net outbound travel is forecast to decline in coming years as inbound travel maintains a faster growth rate than outbound travel. Nevertheless</w:t>
      </w:r>
      <w:r w:rsidRPr="00D07FCF">
        <w:rPr>
          <w:rFonts w:eastAsia="Verdana" w:cs="Times New Roman"/>
          <w:color w:val="000000"/>
        </w:rPr>
        <w:t xml:space="preserve">, the long-established </w:t>
      </w:r>
      <w:r>
        <w:rPr>
          <w:rFonts w:eastAsia="Verdana" w:cs="Times New Roman"/>
          <w:color w:val="000000"/>
        </w:rPr>
        <w:t>trend of more</w:t>
      </w:r>
      <w:r w:rsidRPr="00D07FCF">
        <w:rPr>
          <w:rFonts w:eastAsia="Verdana" w:cs="Times New Roman"/>
          <w:color w:val="000000"/>
        </w:rPr>
        <w:t xml:space="preserve"> outbound than inbound </w:t>
      </w:r>
      <w:r>
        <w:rPr>
          <w:rFonts w:eastAsia="Verdana" w:cs="Times New Roman"/>
          <w:color w:val="000000"/>
        </w:rPr>
        <w:t xml:space="preserve">travel </w:t>
      </w:r>
      <w:r w:rsidRPr="00D07FCF">
        <w:rPr>
          <w:rFonts w:eastAsia="Verdana" w:cs="Times New Roman"/>
          <w:color w:val="000000"/>
        </w:rPr>
        <w:t xml:space="preserve">is </w:t>
      </w:r>
      <w:r w:rsidR="0094597B">
        <w:rPr>
          <w:rFonts w:eastAsia="Verdana" w:cs="Times New Roman"/>
          <w:color w:val="000000"/>
        </w:rPr>
        <w:t>forecast</w:t>
      </w:r>
      <w:r w:rsidR="0094597B" w:rsidRPr="00D07FCF">
        <w:rPr>
          <w:rFonts w:eastAsia="Verdana" w:cs="Times New Roman"/>
          <w:color w:val="000000"/>
        </w:rPr>
        <w:t xml:space="preserve"> </w:t>
      </w:r>
      <w:r w:rsidRPr="00D07FCF">
        <w:rPr>
          <w:rFonts w:eastAsia="Verdana" w:cs="Times New Roman"/>
          <w:color w:val="000000"/>
        </w:rPr>
        <w:t xml:space="preserve">to </w:t>
      </w:r>
      <w:r>
        <w:rPr>
          <w:rFonts w:eastAsia="Verdana" w:cs="Times New Roman"/>
          <w:color w:val="000000"/>
        </w:rPr>
        <w:t>persist</w:t>
      </w:r>
      <w:r w:rsidRPr="00D07FCF">
        <w:rPr>
          <w:rFonts w:eastAsia="Verdana" w:cs="Times New Roman"/>
          <w:color w:val="000000"/>
        </w:rPr>
        <w:t xml:space="preserve"> </w:t>
      </w:r>
      <w:r>
        <w:rPr>
          <w:rFonts w:eastAsia="Verdana" w:cs="Times New Roman"/>
          <w:color w:val="000000"/>
        </w:rPr>
        <w:t>going forward</w:t>
      </w:r>
      <w:r w:rsidRPr="00D07FCF">
        <w:rPr>
          <w:rFonts w:eastAsia="Verdana" w:cs="Times New Roman"/>
          <w:color w:val="000000"/>
        </w:rPr>
        <w:t>.</w:t>
      </w:r>
    </w:p>
    <w:p w14:paraId="5469666C" w14:textId="591BAC40" w:rsidR="00497EB4" w:rsidRDefault="00D012CF" w:rsidP="00497EB4">
      <w:pPr>
        <w:pStyle w:val="Caption"/>
        <w:spacing w:line="300" w:lineRule="atLeast"/>
        <w:rPr>
          <w:color w:val="000000" w:themeColor="text1"/>
          <w:sz w:val="20"/>
          <w:szCs w:val="20"/>
        </w:rPr>
      </w:pPr>
      <w:r>
        <w:rPr>
          <w:b/>
          <w:bCs/>
          <w:i w:val="0"/>
          <w:iCs w:val="0"/>
          <w:sz w:val="20"/>
          <w:szCs w:val="20"/>
        </w:rPr>
        <w:t>Figure 9</w:t>
      </w:r>
      <w:r w:rsidR="00497EB4">
        <w:rPr>
          <w:b/>
          <w:bCs/>
          <w:i w:val="0"/>
          <w:iCs w:val="0"/>
          <w:sz w:val="20"/>
          <w:szCs w:val="20"/>
        </w:rPr>
        <w:fldChar w:fldCharType="begin"/>
      </w:r>
      <w:r w:rsidR="00497EB4">
        <w:rPr>
          <w:b/>
          <w:bCs/>
          <w:i w:val="0"/>
          <w:iCs w:val="0"/>
          <w:sz w:val="20"/>
          <w:szCs w:val="20"/>
        </w:rPr>
        <w:instrText xml:space="preserve"> SEQ Figure \* ARABIC </w:instrText>
      </w:r>
      <w:r w:rsidR="006C1E97">
        <w:rPr>
          <w:b/>
          <w:bCs/>
          <w:i w:val="0"/>
          <w:iCs w:val="0"/>
          <w:sz w:val="20"/>
          <w:szCs w:val="20"/>
        </w:rPr>
        <w:fldChar w:fldCharType="separate"/>
      </w:r>
      <w:r w:rsidR="00497EB4">
        <w:rPr>
          <w:b/>
          <w:bCs/>
          <w:i w:val="0"/>
          <w:iCs w:val="0"/>
          <w:sz w:val="20"/>
          <w:szCs w:val="20"/>
        </w:rPr>
        <w:fldChar w:fldCharType="end"/>
      </w:r>
      <w:r w:rsidR="00497EB4">
        <w:rPr>
          <w:b/>
          <w:bCs/>
          <w:i w:val="0"/>
          <w:iCs w:val="0"/>
          <w:sz w:val="20"/>
          <w:szCs w:val="20"/>
        </w:rPr>
        <w:t>.</w:t>
      </w:r>
      <w:r w:rsidR="00497EB4">
        <w:rPr>
          <w:i w:val="0"/>
          <w:iCs w:val="0"/>
          <w:sz w:val="20"/>
          <w:szCs w:val="20"/>
        </w:rPr>
        <w:t xml:space="preserve"> Rolling annual sum of international inbound and Australian resident outbound travel, with net outbound travel number, January 2017 to December 2023.</w:t>
      </w:r>
    </w:p>
    <w:p w14:paraId="6A8B11AD" w14:textId="5BBBDB14" w:rsidR="00497EB4" w:rsidRDefault="00C2506A" w:rsidP="00497EB4">
      <w:pPr>
        <w:spacing w:line="300" w:lineRule="atLeast"/>
      </w:pPr>
      <w:r w:rsidRPr="00C2506A">
        <w:rPr>
          <w:noProof/>
        </w:rPr>
        <w:drawing>
          <wp:inline distT="0" distB="0" distL="0" distR="0" wp14:anchorId="1AB49A85" wp14:editId="34E58F22">
            <wp:extent cx="6329680" cy="4097020"/>
            <wp:effectExtent l="0" t="0" r="0" b="0"/>
            <wp:docPr id="746909523" name="Picture 4" descr="Figure 9 shows two time series lines which display the rolling annual sum of international inbound and outbound travel, along with bars showing the net outbound travel number, from January 2017 to December 2023. The net outbound traveller number was higher throughout 2023 than in was before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09523" name="Picture 4" descr="Figure 9 shows two time series lines which display the rolling annual sum of international inbound and outbound travel, along with bars showing the net outbound travel number, from January 2017 to December 2023. The net outbound traveller number was higher throughout 2023 than in was before the pandem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680" cy="4097020"/>
                    </a:xfrm>
                    <a:prstGeom prst="rect">
                      <a:avLst/>
                    </a:prstGeom>
                    <a:noFill/>
                    <a:ln>
                      <a:noFill/>
                    </a:ln>
                  </pic:spPr>
                </pic:pic>
              </a:graphicData>
            </a:graphic>
          </wp:inline>
        </w:drawing>
      </w:r>
    </w:p>
    <w:p w14:paraId="3D0F9668" w14:textId="5112F3A8" w:rsidR="00E66D82" w:rsidRDefault="00E66D82" w:rsidP="00E66D82">
      <w:r>
        <w:lastRenderedPageBreak/>
        <w:t xml:space="preserve">The estimated spend by Australians on outbound travel was $73.1 billion in the year </w:t>
      </w:r>
      <w:r w:rsidR="007C0FC7">
        <w:t>ending</w:t>
      </w:r>
      <w:r>
        <w:t xml:space="preserve"> September quarter 2023, which was double the outbound spend in 2022 and 12% above the pre-pandemic level of spend (for the year 2019). Note that outbound travel data from TRA’s National Visitor Survey is only available with a 3-month lag given the extended recall period used for survey participants for outbound trips.</w:t>
      </w:r>
      <w:r w:rsidRPr="004527F1">
        <w:t xml:space="preserve"> </w:t>
      </w:r>
      <w:r>
        <w:t>In 2019, the estimated outbound spend by Australians was $65.1 billion, around double the estimated spend by international visitors in Australia. In 2023, the estimated outbound spend (for the year-</w:t>
      </w:r>
      <w:r w:rsidR="00396336">
        <w:t>ending</w:t>
      </w:r>
      <w:r>
        <w:t xml:space="preserve"> September) had increased to 2.6 times the estimated inbound spend. </w:t>
      </w:r>
    </w:p>
    <w:p w14:paraId="62102AB9" w14:textId="6BB6942F" w:rsidR="00781764" w:rsidRDefault="00781764" w:rsidP="00781764">
      <w:pPr>
        <w:rPr>
          <w:rFonts w:eastAsia="Verdana" w:cs="Times New Roman"/>
          <w:color w:val="000000"/>
        </w:rPr>
      </w:pPr>
      <w:r>
        <w:rPr>
          <w:rFonts w:eastAsia="Verdana" w:cs="Times New Roman"/>
          <w:color w:val="000000"/>
        </w:rPr>
        <w:t xml:space="preserve">The number of outbound trips per person (aged over 15 in the Australian estimated resident population) in the year to September 2023 had increased from the low during the pandemic but remained below the pre-pandemic level. The recovery in outbound trips per person relative to the pre-pandemic level </w:t>
      </w:r>
      <w:r w:rsidR="009A019F">
        <w:rPr>
          <w:rFonts w:eastAsia="Verdana" w:cs="Times New Roman"/>
          <w:color w:val="000000"/>
        </w:rPr>
        <w:t>wa</w:t>
      </w:r>
      <w:r>
        <w:rPr>
          <w:rFonts w:eastAsia="Verdana" w:cs="Times New Roman"/>
          <w:color w:val="000000"/>
        </w:rPr>
        <w:t xml:space="preserve">s less advanced than for domestic travel, in line with a more pronounced and prolonged disruption to outbound travel relative to domestic travel (Figure </w:t>
      </w:r>
      <w:r w:rsidR="00390A3A">
        <w:rPr>
          <w:rFonts w:eastAsia="Verdana" w:cs="Times New Roman"/>
          <w:color w:val="000000"/>
        </w:rPr>
        <w:t>10</w:t>
      </w:r>
      <w:r>
        <w:rPr>
          <w:rFonts w:eastAsia="Verdana" w:cs="Times New Roman"/>
          <w:color w:val="000000"/>
        </w:rPr>
        <w:t>).</w:t>
      </w:r>
      <w:r w:rsidR="001924B2">
        <w:rPr>
          <w:rFonts w:eastAsia="Verdana" w:cs="Times New Roman"/>
          <w:color w:val="000000"/>
        </w:rPr>
        <w:t xml:space="preserve"> </w:t>
      </w:r>
      <w:r w:rsidR="002C39FE">
        <w:rPr>
          <w:rFonts w:eastAsia="Verdana" w:cs="Times New Roman"/>
          <w:color w:val="000000"/>
        </w:rPr>
        <w:t>It had been expected that, a</w:t>
      </w:r>
      <w:r w:rsidR="0061475F">
        <w:rPr>
          <w:rFonts w:eastAsia="Verdana" w:cs="Times New Roman"/>
          <w:color w:val="000000"/>
        </w:rPr>
        <w:t>s</w:t>
      </w:r>
      <w:r w:rsidR="00116239">
        <w:rPr>
          <w:rFonts w:eastAsia="Verdana" w:cs="Times New Roman"/>
          <w:color w:val="000000"/>
        </w:rPr>
        <w:t xml:space="preserve"> </w:t>
      </w:r>
      <w:r w:rsidR="00837AFE">
        <w:rPr>
          <w:rFonts w:eastAsia="Verdana" w:cs="Times New Roman"/>
          <w:color w:val="000000"/>
        </w:rPr>
        <w:t xml:space="preserve">international outbound travel </w:t>
      </w:r>
      <w:r w:rsidR="0061475F">
        <w:rPr>
          <w:rFonts w:eastAsia="Verdana" w:cs="Times New Roman"/>
          <w:color w:val="000000"/>
        </w:rPr>
        <w:t>bec</w:t>
      </w:r>
      <w:r w:rsidR="00344200">
        <w:rPr>
          <w:rFonts w:eastAsia="Verdana" w:cs="Times New Roman"/>
          <w:color w:val="000000"/>
        </w:rPr>
        <w:t>a</w:t>
      </w:r>
      <w:r w:rsidR="0061475F">
        <w:rPr>
          <w:rFonts w:eastAsia="Verdana" w:cs="Times New Roman"/>
          <w:color w:val="000000"/>
        </w:rPr>
        <w:t>me more</w:t>
      </w:r>
      <w:r w:rsidR="00837AFE">
        <w:rPr>
          <w:rFonts w:eastAsia="Verdana" w:cs="Times New Roman"/>
          <w:color w:val="000000"/>
        </w:rPr>
        <w:t xml:space="preserve"> </w:t>
      </w:r>
      <w:r w:rsidR="00780240">
        <w:rPr>
          <w:rFonts w:eastAsia="Verdana" w:cs="Times New Roman"/>
          <w:color w:val="000000"/>
        </w:rPr>
        <w:t>readily available</w:t>
      </w:r>
      <w:r w:rsidR="00772D4D">
        <w:rPr>
          <w:rFonts w:eastAsia="Verdana" w:cs="Times New Roman"/>
          <w:color w:val="000000"/>
        </w:rPr>
        <w:t xml:space="preserve"> and popular</w:t>
      </w:r>
      <w:r w:rsidR="00780240">
        <w:rPr>
          <w:rFonts w:eastAsia="Verdana" w:cs="Times New Roman"/>
          <w:color w:val="000000"/>
        </w:rPr>
        <w:t xml:space="preserve"> in </w:t>
      </w:r>
      <w:r w:rsidR="009D1EA1">
        <w:rPr>
          <w:rFonts w:eastAsia="Verdana" w:cs="Times New Roman"/>
          <w:color w:val="000000"/>
        </w:rPr>
        <w:t>2023</w:t>
      </w:r>
      <w:r w:rsidR="00780240">
        <w:rPr>
          <w:rFonts w:eastAsia="Verdana" w:cs="Times New Roman"/>
          <w:color w:val="000000"/>
        </w:rPr>
        <w:t xml:space="preserve">, </w:t>
      </w:r>
      <w:r w:rsidR="00F93AF2">
        <w:rPr>
          <w:rFonts w:eastAsia="Verdana" w:cs="Times New Roman"/>
          <w:color w:val="000000"/>
        </w:rPr>
        <w:t xml:space="preserve">there would be some impact on </w:t>
      </w:r>
      <w:r w:rsidR="009D1EA1">
        <w:rPr>
          <w:rFonts w:eastAsia="Verdana" w:cs="Times New Roman"/>
          <w:color w:val="000000"/>
        </w:rPr>
        <w:t xml:space="preserve">growth in </w:t>
      </w:r>
      <w:r w:rsidR="00116239">
        <w:rPr>
          <w:rFonts w:eastAsia="Verdana" w:cs="Times New Roman"/>
          <w:color w:val="000000"/>
        </w:rPr>
        <w:t xml:space="preserve">domestic </w:t>
      </w:r>
      <w:r w:rsidR="00837AFE">
        <w:rPr>
          <w:rFonts w:eastAsia="Verdana" w:cs="Times New Roman"/>
          <w:color w:val="000000"/>
        </w:rPr>
        <w:t>travel demand</w:t>
      </w:r>
      <w:r w:rsidR="009D1EA1">
        <w:rPr>
          <w:rFonts w:eastAsia="Verdana" w:cs="Times New Roman"/>
          <w:color w:val="000000"/>
        </w:rPr>
        <w:t xml:space="preserve">. </w:t>
      </w:r>
      <w:r w:rsidR="00FE4E07">
        <w:rPr>
          <w:rFonts w:eastAsia="Verdana" w:cs="Times New Roman"/>
          <w:color w:val="000000"/>
        </w:rPr>
        <w:t>Household b</w:t>
      </w:r>
      <w:r w:rsidR="004C102C">
        <w:rPr>
          <w:rFonts w:eastAsia="Verdana" w:cs="Times New Roman"/>
          <w:color w:val="000000"/>
        </w:rPr>
        <w:t xml:space="preserve">udget pressures are likely to have </w:t>
      </w:r>
      <w:r w:rsidR="00521CA0">
        <w:rPr>
          <w:rFonts w:eastAsia="Verdana" w:cs="Times New Roman"/>
          <w:color w:val="000000"/>
        </w:rPr>
        <w:t>constrain</w:t>
      </w:r>
      <w:r w:rsidR="00FE4E07">
        <w:rPr>
          <w:rFonts w:eastAsia="Verdana" w:cs="Times New Roman"/>
          <w:color w:val="000000"/>
        </w:rPr>
        <w:t>ed</w:t>
      </w:r>
      <w:r w:rsidR="00521CA0">
        <w:rPr>
          <w:rFonts w:eastAsia="Verdana" w:cs="Times New Roman"/>
          <w:color w:val="000000"/>
        </w:rPr>
        <w:t xml:space="preserve"> Australians looking to undertake both outbound and domestic travel in 2023.</w:t>
      </w:r>
    </w:p>
    <w:p w14:paraId="2143E143" w14:textId="0F88E536" w:rsidR="00781764" w:rsidRDefault="00781764" w:rsidP="00CB73D1">
      <w:pPr>
        <w:pStyle w:val="Caption"/>
        <w:keepNext/>
        <w:spacing w:before="240" w:line="300" w:lineRule="atLeast"/>
        <w:rPr>
          <w:color w:val="000000" w:themeColor="text1"/>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390A3A">
        <w:rPr>
          <w:b/>
          <w:bCs/>
          <w:i w:val="0"/>
          <w:iCs w:val="0"/>
          <w:noProof/>
          <w:sz w:val="20"/>
          <w:szCs w:val="20"/>
        </w:rPr>
        <w:t>10</w:t>
      </w:r>
      <w:r>
        <w:rPr>
          <w:b/>
          <w:bCs/>
          <w:i w:val="0"/>
          <w:iCs w:val="0"/>
          <w:sz w:val="20"/>
          <w:szCs w:val="20"/>
        </w:rPr>
        <w:fldChar w:fldCharType="end"/>
      </w:r>
      <w:r>
        <w:rPr>
          <w:b/>
          <w:bCs/>
          <w:i w:val="0"/>
          <w:iCs w:val="0"/>
          <w:sz w:val="20"/>
          <w:szCs w:val="20"/>
        </w:rPr>
        <w:t>.</w:t>
      </w:r>
      <w:r>
        <w:rPr>
          <w:i w:val="0"/>
          <w:iCs w:val="0"/>
          <w:sz w:val="20"/>
          <w:szCs w:val="20"/>
        </w:rPr>
        <w:t xml:space="preserve"> Relative level of trips per person per year, by outbound, domestic overnight and domestic day trip</w:t>
      </w:r>
      <w:r w:rsidR="002F0939">
        <w:rPr>
          <w:i w:val="0"/>
          <w:iCs w:val="0"/>
          <w:sz w:val="20"/>
          <w:szCs w:val="20"/>
        </w:rPr>
        <w:t>s</w:t>
      </w:r>
      <w:r>
        <w:rPr>
          <w:i w:val="0"/>
          <w:iCs w:val="0"/>
          <w:sz w:val="20"/>
          <w:szCs w:val="20"/>
        </w:rPr>
        <w:t>, 2017 to 2023.</w:t>
      </w:r>
    </w:p>
    <w:p w14:paraId="442589F3" w14:textId="543B55B3" w:rsidR="00781764" w:rsidRDefault="00B2411C" w:rsidP="00781764">
      <w:pPr>
        <w:spacing w:line="300" w:lineRule="atLeast"/>
      </w:pPr>
      <w:r w:rsidRPr="00B2411C">
        <w:rPr>
          <w:noProof/>
        </w:rPr>
        <w:drawing>
          <wp:inline distT="0" distB="0" distL="0" distR="0" wp14:anchorId="7EBD3012" wp14:editId="52E89693">
            <wp:extent cx="6329680" cy="3571240"/>
            <wp:effectExtent l="0" t="0" r="0" b="0"/>
            <wp:docPr id="142074859" name="Picture 6" descr="Figure 10 shows the propensity to travel of Australian residents for each type of trip (outbound, domestic overnight and domestic day trip) relative to its pre-pandemic level. There are 3 time series lines showing annual values from 2017 to 2023 as a share of the relevant 2019 level. As at September quarter 2023, the propensity to take a domestic overnight trip has recovered by more than domestic day trip and outbou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4859" name="Picture 6" descr="Figure 10 shows the propensity to travel of Australian residents for each type of trip (outbound, domestic overnight and domestic day trip) relative to its pre-pandemic level. There are 3 time series lines showing annual values from 2017 to 2023 as a share of the relevant 2019 level. As at September quarter 2023, the propensity to take a domestic overnight trip has recovered by more than domestic day trip and outbound trav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9680" cy="3571240"/>
                    </a:xfrm>
                    <a:prstGeom prst="rect">
                      <a:avLst/>
                    </a:prstGeom>
                    <a:noFill/>
                    <a:ln>
                      <a:noFill/>
                    </a:ln>
                  </pic:spPr>
                </pic:pic>
              </a:graphicData>
            </a:graphic>
          </wp:inline>
        </w:drawing>
      </w:r>
    </w:p>
    <w:p w14:paraId="2DF75A82" w14:textId="1E1708FF" w:rsidR="0090555B" w:rsidRDefault="0090555B" w:rsidP="00CB73D1">
      <w:pPr>
        <w:pStyle w:val="Heading4"/>
        <w:spacing w:before="480"/>
      </w:pPr>
      <w:r>
        <w:t>Australian resident outbound travel by purpose of travel</w:t>
      </w:r>
    </w:p>
    <w:p w14:paraId="4B5530E9" w14:textId="07C9D6A3" w:rsidR="004C33B8" w:rsidRDefault="004C33B8" w:rsidP="00BA0140">
      <w:r>
        <w:t>In 2023, resident returns from trips for holiday purposes remained the largest category of outbound travel (</w:t>
      </w:r>
      <w:r w:rsidR="00695CD6">
        <w:t>57</w:t>
      </w:r>
      <w:r>
        <w:t>%).</w:t>
      </w:r>
      <w:r w:rsidR="00356101">
        <w:t xml:space="preserve"> This share </w:t>
      </w:r>
      <w:r w:rsidR="00B8049F">
        <w:t>has largely recovered to its pre-</w:t>
      </w:r>
      <w:r w:rsidR="00356101">
        <w:t>pandemic</w:t>
      </w:r>
      <w:r w:rsidR="00B8049F">
        <w:t xml:space="preserve"> level</w:t>
      </w:r>
      <w:r w:rsidR="001E13F8">
        <w:t xml:space="preserve"> (Figure </w:t>
      </w:r>
      <w:r w:rsidR="00E46140">
        <w:t>11</w:t>
      </w:r>
      <w:r w:rsidR="001E13F8">
        <w:t>)</w:t>
      </w:r>
      <w:r w:rsidR="00356101">
        <w:t>. As was the case for international arrivals, the share of resident returns of trips for the purpose of VFR remained higher in 2023 than it was prior to the pandemic (</w:t>
      </w:r>
      <w:r w:rsidR="00EF0A13">
        <w:t>29</w:t>
      </w:r>
      <w:r w:rsidR="00356101">
        <w:t xml:space="preserve">% compared with 26% in 2019), although it declined compared </w:t>
      </w:r>
      <w:r w:rsidR="00565D8D">
        <w:t>to</w:t>
      </w:r>
      <w:r w:rsidR="00356101">
        <w:t xml:space="preserve"> the previous year</w:t>
      </w:r>
      <w:r w:rsidR="00565D8D">
        <w:t xml:space="preserve"> (37% in 2022).</w:t>
      </w:r>
    </w:p>
    <w:p w14:paraId="45F5B316" w14:textId="77C621EA" w:rsidR="00565D8D" w:rsidRDefault="00CD0A61" w:rsidP="00BA0140">
      <w:r>
        <w:lastRenderedPageBreak/>
        <w:t>The share of r</w:t>
      </w:r>
      <w:r w:rsidR="00565D8D">
        <w:t xml:space="preserve">esident outbound travel for the main purpose of </w:t>
      </w:r>
      <w:r w:rsidR="00634B77">
        <w:t>business</w:t>
      </w:r>
      <w:r w:rsidR="009852D0">
        <w:t xml:space="preserve"> rem</w:t>
      </w:r>
      <w:r w:rsidR="00D93338">
        <w:t>ained low</w:t>
      </w:r>
      <w:r w:rsidR="000F7B2C">
        <w:t xml:space="preserve">er, at 8% in 2023 compared with </w:t>
      </w:r>
      <w:r w:rsidR="00F00F90">
        <w:t xml:space="preserve">11% in 2019. Resident returns for business purposes </w:t>
      </w:r>
      <w:r w:rsidR="0047470C">
        <w:t xml:space="preserve">remained the furthest below its pre-pandemic level in 2023 at 35% </w:t>
      </w:r>
      <w:r w:rsidR="00E96ED8">
        <w:t xml:space="preserve">fewer returns than in 2019. </w:t>
      </w:r>
      <w:r w:rsidR="00490B96">
        <w:t xml:space="preserve">The share of resident outbound travel for the main purpose of education </w:t>
      </w:r>
      <w:r w:rsidR="00FF27A5">
        <w:t>also remained lower in 2023 relative to pre-pandemic, although has historically been low</w:t>
      </w:r>
      <w:r w:rsidR="0047619E">
        <w:t xml:space="preserve"> (around 1%)</w:t>
      </w:r>
      <w:r w:rsidR="00FF27A5">
        <w:t>, especially compared to international inbound arrivals for education</w:t>
      </w:r>
      <w:r w:rsidR="0047619E">
        <w:t xml:space="preserve"> (which has been around 6%)</w:t>
      </w:r>
      <w:r w:rsidR="00FF27A5">
        <w:t xml:space="preserve">. </w:t>
      </w:r>
    </w:p>
    <w:p w14:paraId="19BB808E" w14:textId="17E5B7FB" w:rsidR="007D1D77" w:rsidRDefault="007D1D77" w:rsidP="005067C1">
      <w:pPr>
        <w:pStyle w:val="Caption"/>
        <w:keepNext/>
        <w:spacing w:line="300" w:lineRule="atLeast"/>
        <w:rPr>
          <w:i w:val="0"/>
          <w:iCs w:val="0"/>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E46140">
        <w:rPr>
          <w:b/>
          <w:bCs/>
          <w:i w:val="0"/>
          <w:iCs w:val="0"/>
          <w:noProof/>
          <w:sz w:val="20"/>
          <w:szCs w:val="20"/>
        </w:rPr>
        <w:t>11</w:t>
      </w:r>
      <w:r>
        <w:rPr>
          <w:b/>
          <w:bCs/>
          <w:i w:val="0"/>
          <w:iCs w:val="0"/>
          <w:sz w:val="20"/>
          <w:szCs w:val="20"/>
        </w:rPr>
        <w:fldChar w:fldCharType="end"/>
      </w:r>
      <w:r>
        <w:rPr>
          <w:b/>
          <w:bCs/>
          <w:i w:val="0"/>
          <w:iCs w:val="0"/>
          <w:sz w:val="20"/>
          <w:szCs w:val="20"/>
        </w:rPr>
        <w:t xml:space="preserve">. </w:t>
      </w:r>
      <w:r w:rsidR="00655FD7" w:rsidRPr="00655FD7">
        <w:rPr>
          <w:i w:val="0"/>
          <w:iCs w:val="0"/>
          <w:sz w:val="20"/>
          <w:szCs w:val="20"/>
        </w:rPr>
        <w:t xml:space="preserve">Australian </w:t>
      </w:r>
      <w:r w:rsidR="00BC6996">
        <w:rPr>
          <w:i w:val="0"/>
          <w:iCs w:val="0"/>
          <w:sz w:val="20"/>
          <w:szCs w:val="20"/>
        </w:rPr>
        <w:t xml:space="preserve">short-term </w:t>
      </w:r>
      <w:r w:rsidR="00655FD7" w:rsidRPr="00655FD7">
        <w:rPr>
          <w:i w:val="0"/>
          <w:iCs w:val="0"/>
          <w:sz w:val="20"/>
          <w:szCs w:val="20"/>
        </w:rPr>
        <w:t>resident returns by main purpose, 2018 to 2023.</w:t>
      </w:r>
    </w:p>
    <w:p w14:paraId="4158B978" w14:textId="2420C004" w:rsidR="007D1D77" w:rsidRDefault="00FB4777" w:rsidP="00655FD7">
      <w:pPr>
        <w:spacing w:line="300" w:lineRule="atLeast"/>
      </w:pPr>
      <w:r w:rsidRPr="00FB4777">
        <w:rPr>
          <w:noProof/>
        </w:rPr>
        <w:drawing>
          <wp:inline distT="0" distB="0" distL="0" distR="0" wp14:anchorId="496EC5A7" wp14:editId="4074B904">
            <wp:extent cx="6329680" cy="3502025"/>
            <wp:effectExtent l="0" t="0" r="0" b="3175"/>
            <wp:docPr id="837207548" name="Picture 5" descr="Figure 11 shows stacked bars for each year from 2018 to 2023 with the number of resdient returns from short-term overseas trips. Each bar shows returns for the 6 main purposes of overseas trips (holiday, VFR, business, education, employment and other). International holiday returns typically account for the largest share of resident returns (57% in 2023 and in 2019), followed by VFR (29% in 2023, 26%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07548" name="Picture 5" descr="Figure 11 shows stacked bars for each year from 2018 to 2023 with the number of resdient returns from short-term overseas trips. Each bar shows returns for the 6 main purposes of overseas trips (holiday, VFR, business, education, employment and other). International holiday returns typically account for the largest share of resident returns (57% in 2023 and in 2019), followed by VFR (29% in 2023, 26% in 20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9680" cy="3502025"/>
                    </a:xfrm>
                    <a:prstGeom prst="rect">
                      <a:avLst/>
                    </a:prstGeom>
                    <a:noFill/>
                    <a:ln>
                      <a:noFill/>
                    </a:ln>
                  </pic:spPr>
                </pic:pic>
              </a:graphicData>
            </a:graphic>
          </wp:inline>
        </w:drawing>
      </w:r>
    </w:p>
    <w:p w14:paraId="223A83FA" w14:textId="574655B3" w:rsidR="00634B77" w:rsidRDefault="00CE1522" w:rsidP="00655FD7">
      <w:pPr>
        <w:spacing w:line="300" w:lineRule="atLeast"/>
      </w:pPr>
      <w:r>
        <w:t xml:space="preserve">Compared to international </w:t>
      </w:r>
      <w:r w:rsidR="00097606">
        <w:t xml:space="preserve">holiday </w:t>
      </w:r>
      <w:r>
        <w:t xml:space="preserve">arrivals, </w:t>
      </w:r>
      <w:r w:rsidR="00AE7A9D">
        <w:t xml:space="preserve">Australian overseas </w:t>
      </w:r>
      <w:r w:rsidR="00AE7A9D" w:rsidRPr="00097606">
        <w:t>holiday</w:t>
      </w:r>
      <w:r w:rsidR="00AE7A9D">
        <w:t xml:space="preserve"> departures recovered much faster. In 2023, </w:t>
      </w:r>
      <w:r w:rsidR="005A2B6D">
        <w:t xml:space="preserve">Australian holiday returns were 12% below the 2019 level (compared to </w:t>
      </w:r>
      <w:r w:rsidR="00097606">
        <w:t xml:space="preserve">36% below for international holiday arrivals). </w:t>
      </w:r>
      <w:r w:rsidR="006C54B6">
        <w:t xml:space="preserve">Holiday travel </w:t>
      </w:r>
      <w:r w:rsidR="00176AA1">
        <w:t>has typically accounted for a larger share of Australian outbound travel than for international inbound travel</w:t>
      </w:r>
      <w:r w:rsidR="004D1AB7">
        <w:t>, while outbound VFR travel has been a smaller share than inbound</w:t>
      </w:r>
      <w:r w:rsidR="00176AA1">
        <w:t xml:space="preserve">. </w:t>
      </w:r>
      <w:r w:rsidR="00B566D3">
        <w:t xml:space="preserve">On the other hand, overseas business and employment departures have recovered by less than for </w:t>
      </w:r>
      <w:r w:rsidR="0069621F">
        <w:t xml:space="preserve">inbound business and employment. In 2023, Australian business returns were 35% below the 2019 and employment returns were </w:t>
      </w:r>
      <w:r w:rsidR="00A94047">
        <w:t xml:space="preserve">10% below, compared to 32% below for pre-pandemic for international business arrivals and 33% above for international employment arrivals. </w:t>
      </w:r>
    </w:p>
    <w:p w14:paraId="514B9DE7" w14:textId="77777777" w:rsidR="00CB73D1" w:rsidRDefault="00CB73D1">
      <w:pPr>
        <w:spacing w:before="0" w:after="160" w:line="259" w:lineRule="auto"/>
        <w:rPr>
          <w:bCs/>
          <w:sz w:val="26"/>
          <w:szCs w:val="24"/>
        </w:rPr>
      </w:pPr>
      <w:r>
        <w:br w:type="page"/>
      </w:r>
    </w:p>
    <w:p w14:paraId="75F15A12" w14:textId="594F465F" w:rsidR="0090555B" w:rsidRDefault="0090555B" w:rsidP="0090555B">
      <w:pPr>
        <w:pStyle w:val="Heading4"/>
      </w:pPr>
      <w:r>
        <w:lastRenderedPageBreak/>
        <w:t>Australian resident outbound travel by destination</w:t>
      </w:r>
    </w:p>
    <w:p w14:paraId="5E7C2CE5" w14:textId="71EF63D3" w:rsidR="00106FDB" w:rsidRDefault="00BA0140" w:rsidP="00BA0140">
      <w:r>
        <w:t>The most popular destination for Australians to visit in 202</w:t>
      </w:r>
      <w:r w:rsidR="00634B77">
        <w:t>3</w:t>
      </w:r>
      <w:r>
        <w:t xml:space="preserve"> w</w:t>
      </w:r>
      <w:r w:rsidR="00634B77">
        <w:t>as Indonesia</w:t>
      </w:r>
      <w:r w:rsidR="00DA1E11">
        <w:t xml:space="preserve"> (Figure </w:t>
      </w:r>
      <w:r w:rsidR="00BE24D3">
        <w:t>12</w:t>
      </w:r>
      <w:r w:rsidR="00DA1E11">
        <w:t>)</w:t>
      </w:r>
      <w:r w:rsidR="00634B77">
        <w:t>.</w:t>
      </w:r>
      <w:r w:rsidR="0075595C">
        <w:rPr>
          <w:rStyle w:val="FootnoteReference"/>
        </w:rPr>
        <w:footnoteReference w:id="11"/>
      </w:r>
      <w:r w:rsidR="00634B77">
        <w:t xml:space="preserve"> </w:t>
      </w:r>
      <w:r w:rsidR="00C6526E">
        <w:t xml:space="preserve">There were 1.37 million </w:t>
      </w:r>
      <w:r w:rsidR="004539B4">
        <w:t xml:space="preserve">short-term resident returns from Indonesia in 2023, </w:t>
      </w:r>
      <w:r w:rsidR="0072621E">
        <w:t>and t</w:t>
      </w:r>
      <w:r w:rsidR="00634B77">
        <w:t xml:space="preserve">his was the first year ever that Indonesia </w:t>
      </w:r>
      <w:r w:rsidR="00A245B6">
        <w:t xml:space="preserve">attracted more Australian visits than New Zealand. </w:t>
      </w:r>
      <w:r w:rsidR="0072621E">
        <w:t>Nevertheless, there were 2% fewer resident returns from Indonesia in 2023 than there were before the pandemic. On the other hand, s</w:t>
      </w:r>
      <w:r w:rsidR="00DA1E11">
        <w:t xml:space="preserve">everal countries </w:t>
      </w:r>
      <w:r w:rsidR="000177A9">
        <w:t xml:space="preserve">in the top 20 </w:t>
      </w:r>
      <w:r w:rsidR="00F4407C">
        <w:t xml:space="preserve">destinations for 2023 </w:t>
      </w:r>
      <w:r w:rsidR="00DA1E11">
        <w:t>received more Australian visitors in 2023 than they did prior to the pandemic</w:t>
      </w:r>
      <w:r w:rsidR="00106FDB">
        <w:t xml:space="preserve"> including:</w:t>
      </w:r>
    </w:p>
    <w:p w14:paraId="427776F2" w14:textId="1A996AF8" w:rsidR="00634B77" w:rsidRDefault="00106FDB" w:rsidP="00A762E0">
      <w:pPr>
        <w:pStyle w:val="BulletList"/>
      </w:pPr>
      <w:r>
        <w:t>India – Australian visits in 2023 (</w:t>
      </w:r>
      <w:r w:rsidR="000B6DBE">
        <w:t>489,000</w:t>
      </w:r>
      <w:r>
        <w:t>) were 115% of the 2019 level (</w:t>
      </w:r>
      <w:r w:rsidR="003B38C3">
        <w:t>426,100</w:t>
      </w:r>
      <w:r w:rsidR="000177A9">
        <w:t>)</w:t>
      </w:r>
    </w:p>
    <w:p w14:paraId="43F4CB3C" w14:textId="0D1C295F" w:rsidR="00106FDB" w:rsidRDefault="000177A9" w:rsidP="00A762E0">
      <w:pPr>
        <w:pStyle w:val="BulletList"/>
      </w:pPr>
      <w:r>
        <w:t>Fiji – Australian visits in 2023 (</w:t>
      </w:r>
      <w:r w:rsidR="003B38C3">
        <w:t>387,500</w:t>
      </w:r>
      <w:r>
        <w:t>) were 112% of the 2019 level (</w:t>
      </w:r>
      <w:r w:rsidR="003B38C3">
        <w:t>345,000)</w:t>
      </w:r>
    </w:p>
    <w:p w14:paraId="510A875E" w14:textId="60A95C5B" w:rsidR="000177A9" w:rsidRDefault="000177A9" w:rsidP="00A762E0">
      <w:pPr>
        <w:pStyle w:val="BulletList"/>
      </w:pPr>
      <w:r>
        <w:t>Vietnam– Australian visits in 2023 (</w:t>
      </w:r>
      <w:r w:rsidR="005C27E5">
        <w:t>332,600</w:t>
      </w:r>
      <w:r>
        <w:t>) were 105% of the 2019 level (</w:t>
      </w:r>
      <w:r w:rsidR="005C27E5">
        <w:t>317,100)</w:t>
      </w:r>
    </w:p>
    <w:p w14:paraId="39EA56A2" w14:textId="48CA529A" w:rsidR="000177A9" w:rsidRDefault="000177A9" w:rsidP="00A762E0">
      <w:pPr>
        <w:pStyle w:val="BulletList"/>
      </w:pPr>
      <w:r>
        <w:t>Italy – Australian visits in 2023 (</w:t>
      </w:r>
      <w:r w:rsidR="0078737C">
        <w:t>311,700</w:t>
      </w:r>
      <w:r>
        <w:t>) were 119% of the 2019 level (</w:t>
      </w:r>
      <w:r w:rsidR="0078737C">
        <w:t>261,200)</w:t>
      </w:r>
    </w:p>
    <w:p w14:paraId="17FA4323" w14:textId="04CBBEA1" w:rsidR="000177A9" w:rsidRDefault="000177A9" w:rsidP="00A762E0">
      <w:pPr>
        <w:pStyle w:val="BulletList"/>
      </w:pPr>
      <w:r>
        <w:t>France – Australian visits in 2023 (</w:t>
      </w:r>
      <w:r w:rsidR="00A03366">
        <w:t>157,500</w:t>
      </w:r>
      <w:r>
        <w:t>) were 110% of the 2019 level (</w:t>
      </w:r>
      <w:r w:rsidR="00A03366">
        <w:t>143,400)</w:t>
      </w:r>
    </w:p>
    <w:p w14:paraId="7B27C990" w14:textId="0977F22B" w:rsidR="000177A9" w:rsidRDefault="000177A9" w:rsidP="00A762E0">
      <w:pPr>
        <w:pStyle w:val="BulletList"/>
      </w:pPr>
      <w:r>
        <w:t>Greece – Australian visits in 2023 (</w:t>
      </w:r>
      <w:r w:rsidR="00A03366">
        <w:t>139,300</w:t>
      </w:r>
      <w:r>
        <w:t>) were 112% of the 2019 level (</w:t>
      </w:r>
      <w:r w:rsidR="00790D46">
        <w:t>124,900)</w:t>
      </w:r>
    </w:p>
    <w:p w14:paraId="5FDF3B3B" w14:textId="59D6F278" w:rsidR="000177A9" w:rsidRDefault="000177A9" w:rsidP="00A762E0">
      <w:pPr>
        <w:pStyle w:val="BulletList"/>
      </w:pPr>
      <w:r>
        <w:t>South Korea – Australian visits in 2023 (</w:t>
      </w:r>
      <w:r w:rsidR="00790D46">
        <w:t>112,000</w:t>
      </w:r>
      <w:r>
        <w:t>) were 133% of the 2019 level (</w:t>
      </w:r>
      <w:r w:rsidR="00790D46">
        <w:t>84,200)</w:t>
      </w:r>
      <w:r w:rsidR="00F4407C">
        <w:t>.</w:t>
      </w:r>
    </w:p>
    <w:p w14:paraId="1E2B40A8" w14:textId="0E5D31AE" w:rsidR="00F4407C" w:rsidRDefault="00F4407C" w:rsidP="00F4407C">
      <w:r>
        <w:t>I</w:t>
      </w:r>
      <w:r w:rsidR="00A838CA">
        <w:t xml:space="preserve">t is likely that </w:t>
      </w:r>
      <w:r w:rsidR="00922B57">
        <w:t>returning</w:t>
      </w:r>
      <w:r w:rsidR="008112BA" w:rsidRPr="008112BA">
        <w:t xml:space="preserve"> </w:t>
      </w:r>
      <w:r w:rsidR="008112BA">
        <w:t>aviation capacity</w:t>
      </w:r>
      <w:r w:rsidR="00770122">
        <w:t xml:space="preserve">, </w:t>
      </w:r>
      <w:r w:rsidR="008112BA">
        <w:t>and the commencement of</w:t>
      </w:r>
      <w:r w:rsidR="00770122">
        <w:t xml:space="preserve"> new direct</w:t>
      </w:r>
      <w:r>
        <w:t xml:space="preserve"> </w:t>
      </w:r>
      <w:r w:rsidR="00353CAD">
        <w:t>routes servicing these destinations</w:t>
      </w:r>
      <w:r w:rsidR="008112BA">
        <w:t>,</w:t>
      </w:r>
      <w:r w:rsidR="00353CAD">
        <w:t xml:space="preserve"> supported the </w:t>
      </w:r>
      <w:r w:rsidR="00770122">
        <w:t>growth</w:t>
      </w:r>
      <w:r w:rsidR="00BE0688">
        <w:t xml:space="preserve"> in the year</w:t>
      </w:r>
      <w:r w:rsidR="00353CAD">
        <w:t>.</w:t>
      </w:r>
      <w:r w:rsidR="00851801">
        <w:t xml:space="preserve"> See Aviation section of this report for more detail.</w:t>
      </w:r>
    </w:p>
    <w:p w14:paraId="1F08FE72" w14:textId="53148BF1" w:rsidR="00B348FB" w:rsidRDefault="00B348FB" w:rsidP="00B348FB">
      <w:pPr>
        <w:pStyle w:val="Caption"/>
        <w:spacing w:line="300" w:lineRule="atLeast"/>
        <w:rPr>
          <w:b/>
          <w:bCs/>
          <w:i w:val="0"/>
          <w:iCs w:val="0"/>
          <w:color w:val="000000" w:themeColor="text1"/>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BE24D3">
        <w:rPr>
          <w:b/>
          <w:bCs/>
          <w:i w:val="0"/>
          <w:iCs w:val="0"/>
          <w:noProof/>
          <w:sz w:val="20"/>
          <w:szCs w:val="20"/>
        </w:rPr>
        <w:t>12</w:t>
      </w:r>
      <w:r>
        <w:rPr>
          <w:b/>
          <w:bCs/>
          <w:i w:val="0"/>
          <w:iCs w:val="0"/>
          <w:sz w:val="20"/>
          <w:szCs w:val="20"/>
        </w:rPr>
        <w:fldChar w:fldCharType="end"/>
      </w:r>
      <w:r>
        <w:rPr>
          <w:b/>
          <w:bCs/>
          <w:i w:val="0"/>
          <w:iCs w:val="0"/>
          <w:sz w:val="20"/>
          <w:szCs w:val="20"/>
        </w:rPr>
        <w:t xml:space="preserve">. </w:t>
      </w:r>
      <w:r w:rsidR="00BE02BD">
        <w:rPr>
          <w:i w:val="0"/>
          <w:iCs w:val="0"/>
          <w:sz w:val="20"/>
          <w:szCs w:val="20"/>
        </w:rPr>
        <w:t>Australian</w:t>
      </w:r>
      <w:r>
        <w:rPr>
          <w:i w:val="0"/>
          <w:iCs w:val="0"/>
          <w:sz w:val="20"/>
          <w:szCs w:val="20"/>
        </w:rPr>
        <w:t xml:space="preserve"> short-term </w:t>
      </w:r>
      <w:r w:rsidR="00BE02BD">
        <w:rPr>
          <w:i w:val="0"/>
          <w:iCs w:val="0"/>
          <w:sz w:val="20"/>
          <w:szCs w:val="20"/>
        </w:rPr>
        <w:t>resident returns</w:t>
      </w:r>
      <w:r>
        <w:rPr>
          <w:i w:val="0"/>
          <w:iCs w:val="0"/>
          <w:sz w:val="20"/>
          <w:szCs w:val="20"/>
        </w:rPr>
        <w:t xml:space="preserve"> from the top 20 </w:t>
      </w:r>
      <w:r w:rsidR="00BE02BD">
        <w:rPr>
          <w:i w:val="0"/>
          <w:iCs w:val="0"/>
          <w:sz w:val="20"/>
          <w:szCs w:val="20"/>
        </w:rPr>
        <w:t>destinations</w:t>
      </w:r>
      <w:r w:rsidRPr="008B7AB9">
        <w:rPr>
          <w:i w:val="0"/>
          <w:iCs w:val="0"/>
          <w:sz w:val="20"/>
          <w:szCs w:val="20"/>
        </w:rPr>
        <w:t xml:space="preserve"> </w:t>
      </w:r>
      <w:r>
        <w:rPr>
          <w:i w:val="0"/>
          <w:iCs w:val="0"/>
          <w:sz w:val="20"/>
          <w:szCs w:val="20"/>
        </w:rPr>
        <w:t xml:space="preserve">in </w:t>
      </w:r>
      <w:r w:rsidR="001E168B">
        <w:rPr>
          <w:i w:val="0"/>
          <w:iCs w:val="0"/>
          <w:sz w:val="20"/>
          <w:szCs w:val="20"/>
        </w:rPr>
        <w:t xml:space="preserve">2019, 2022 and </w:t>
      </w:r>
      <w:r w:rsidR="00BE02BD">
        <w:rPr>
          <w:i w:val="0"/>
          <w:iCs w:val="0"/>
          <w:sz w:val="20"/>
          <w:szCs w:val="20"/>
        </w:rPr>
        <w:t>2023</w:t>
      </w:r>
      <w:r w:rsidR="004D2CAF">
        <w:rPr>
          <w:i w:val="0"/>
          <w:iCs w:val="0"/>
          <w:sz w:val="20"/>
          <w:szCs w:val="20"/>
        </w:rPr>
        <w:t xml:space="preserve"> (ordered by top destinations in 2023)</w:t>
      </w:r>
      <w:r>
        <w:rPr>
          <w:i w:val="0"/>
          <w:iCs w:val="0"/>
          <w:sz w:val="20"/>
          <w:szCs w:val="20"/>
        </w:rPr>
        <w:t xml:space="preserve">. </w:t>
      </w:r>
    </w:p>
    <w:p w14:paraId="4AB1CD30" w14:textId="537BEB04" w:rsidR="00B348FB" w:rsidRDefault="00AE2337" w:rsidP="00B348FB">
      <w:pPr>
        <w:spacing w:line="300" w:lineRule="atLeast"/>
      </w:pPr>
      <w:r w:rsidRPr="00AE2337">
        <w:rPr>
          <w:noProof/>
        </w:rPr>
        <w:drawing>
          <wp:inline distT="0" distB="0" distL="0" distR="0" wp14:anchorId="5A85AA22" wp14:editId="73D638AA">
            <wp:extent cx="6329680" cy="3189605"/>
            <wp:effectExtent l="0" t="0" r="0" b="0"/>
            <wp:docPr id="1047563775" name="Picture 5" descr="Figure 12 shows a bar chart with the number of short-term resident returns to Australia from overseas in 2019, 2022 and in 2023 for each of the top 20 destination markets. Indonesia was Australia's most popular destination in 2023. Australian resident returns from India, Fiji, Vietnam, Italy, France, Greece and South Korea were higher in 2023 than they were in 2019. All other countries were still below the pre-pandemic level in 2023. All markets showed an increase from 2022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63775" name="Picture 5" descr="Figure 12 shows a bar chart with the number of short-term resident returns to Australia from overseas in 2019, 2022 and in 2023 for each of the top 20 destination markets. Indonesia was Australia's most popular destination in 2023. Australian resident returns from India, Fiji, Vietnam, Italy, France, Greece and South Korea were higher in 2023 than they were in 2019. All other countries were still below the pre-pandemic level in 2023. All markets showed an increase from 2022 to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9680" cy="3189605"/>
                    </a:xfrm>
                    <a:prstGeom prst="rect">
                      <a:avLst/>
                    </a:prstGeom>
                    <a:noFill/>
                    <a:ln>
                      <a:noFill/>
                    </a:ln>
                  </pic:spPr>
                </pic:pic>
              </a:graphicData>
            </a:graphic>
          </wp:inline>
        </w:drawing>
      </w:r>
    </w:p>
    <w:p w14:paraId="7CEB1AEC" w14:textId="77777777" w:rsidR="00612DD2" w:rsidRDefault="000D2ED0" w:rsidP="00B348FB">
      <w:pPr>
        <w:spacing w:line="300" w:lineRule="atLeast"/>
      </w:pPr>
      <w:r>
        <w:t xml:space="preserve">Australian travel to China </w:t>
      </w:r>
      <w:r w:rsidR="00151721">
        <w:t xml:space="preserve">and Hong Kong </w:t>
      </w:r>
      <w:r>
        <w:t xml:space="preserve">has lagged relative to most other markets, as was the case for arrivals </w:t>
      </w:r>
      <w:r w:rsidR="00151721">
        <w:t xml:space="preserve">to Australia </w:t>
      </w:r>
      <w:r>
        <w:t xml:space="preserve">from </w:t>
      </w:r>
      <w:r w:rsidR="00151721">
        <w:t>these countries</w:t>
      </w:r>
      <w:r w:rsidR="00CB44AD">
        <w:t xml:space="preserve">. </w:t>
      </w:r>
      <w:r w:rsidR="00151721">
        <w:t xml:space="preserve">The extended </w:t>
      </w:r>
      <w:r w:rsidR="00495ED4">
        <w:t xml:space="preserve">travel restrictions </w:t>
      </w:r>
      <w:r w:rsidR="0045492E">
        <w:t xml:space="preserve">in those countries </w:t>
      </w:r>
      <w:r w:rsidR="00495ED4">
        <w:t xml:space="preserve">are likely the main cause, as well as the delayed return in aviation capacity. </w:t>
      </w:r>
    </w:p>
    <w:p w14:paraId="09300F95" w14:textId="0F95B270" w:rsidR="00630237" w:rsidRDefault="00726F6F" w:rsidP="00B348FB">
      <w:pPr>
        <w:spacing w:line="300" w:lineRule="atLeast"/>
      </w:pPr>
      <w:r>
        <w:lastRenderedPageBreak/>
        <w:t xml:space="preserve">Australian travel to Japan increased dramatically in 2023, after it </w:t>
      </w:r>
      <w:r w:rsidR="00495ED4">
        <w:t>had been</w:t>
      </w:r>
      <w:r>
        <w:t xml:space="preserve"> slow to recover in 2022</w:t>
      </w:r>
      <w:r w:rsidR="00151721">
        <w:t xml:space="preserve">. </w:t>
      </w:r>
      <w:r w:rsidR="00582891">
        <w:t xml:space="preserve">The recovery in </w:t>
      </w:r>
      <w:r w:rsidR="00630237">
        <w:t>Australian travel to Japan was much more advanced at the end of 2023 (which reached 98% of the pre-pandemic level) than the recovery in Japanese arrivals to Australia (which reached 60%</w:t>
      </w:r>
      <w:r w:rsidR="00630237" w:rsidRPr="00630237">
        <w:t xml:space="preserve"> </w:t>
      </w:r>
      <w:r w:rsidR="00630237">
        <w:t>of the pre-pandemic level).</w:t>
      </w:r>
      <w:r w:rsidR="00BA1E43">
        <w:rPr>
          <w:rStyle w:val="FootnoteReference"/>
        </w:rPr>
        <w:footnoteReference w:id="12"/>
      </w:r>
      <w:r w:rsidR="00D90217">
        <w:t xml:space="preserve"> </w:t>
      </w:r>
      <w:r w:rsidR="00582A64">
        <w:t>Similarly, t</w:t>
      </w:r>
      <w:r w:rsidR="00D90217">
        <w:t xml:space="preserve">he outbound recovery was more advanced than the inbound recovery for </w:t>
      </w:r>
      <w:r w:rsidR="00235565">
        <w:t>France, Italy, Malaysia, South Korea, India</w:t>
      </w:r>
      <w:r w:rsidR="00AC510C">
        <w:t>,</w:t>
      </w:r>
      <w:r w:rsidR="00235565">
        <w:t xml:space="preserve"> and China</w:t>
      </w:r>
      <w:r w:rsidR="00AC510C">
        <w:t xml:space="preserve">. On the other hand, the inbound recovery was more advanced in 2023 for </w:t>
      </w:r>
      <w:r w:rsidR="008E4D31">
        <w:t xml:space="preserve">Vietnam, the USA, </w:t>
      </w:r>
      <w:r w:rsidR="00D57591">
        <w:t>Philippines, Thailand, Canada and New Zealand.</w:t>
      </w:r>
    </w:p>
    <w:p w14:paraId="06CECE54" w14:textId="77777777" w:rsidR="00A65576" w:rsidRDefault="00A65576">
      <w:pPr>
        <w:spacing w:before="0" w:after="160" w:line="259" w:lineRule="auto"/>
        <w:rPr>
          <w:rFonts w:eastAsia="SimSun" w:cs="Times New Roman"/>
          <w:bCs/>
          <w:color w:val="3D2141" w:themeColor="accent1" w:themeShade="80"/>
          <w:sz w:val="32"/>
          <w:szCs w:val="26"/>
          <w:lang w:eastAsia="zh-CN"/>
        </w:rPr>
      </w:pPr>
      <w:bookmarkStart w:id="62" w:name="_Toc131073758"/>
      <w:bookmarkStart w:id="63" w:name="_Toc135990460"/>
      <w:r>
        <w:br w:type="page"/>
      </w:r>
    </w:p>
    <w:p w14:paraId="7CB1FA6D" w14:textId="45C08C2F" w:rsidR="00BA0140" w:rsidRPr="00511BB3" w:rsidRDefault="00BA0140" w:rsidP="00BA0140">
      <w:pPr>
        <w:pStyle w:val="Heading2"/>
        <w:spacing w:before="720" w:after="360"/>
        <w:rPr>
          <w:sz w:val="36"/>
          <w:szCs w:val="28"/>
        </w:rPr>
      </w:pPr>
      <w:bookmarkStart w:id="64" w:name="_Toc167113880"/>
      <w:r w:rsidRPr="00511BB3">
        <w:rPr>
          <w:sz w:val="36"/>
          <w:szCs w:val="28"/>
        </w:rPr>
        <w:lastRenderedPageBreak/>
        <w:t xml:space="preserve">Domestic </w:t>
      </w:r>
      <w:bookmarkEnd w:id="62"/>
      <w:r w:rsidRPr="00511BB3">
        <w:rPr>
          <w:sz w:val="36"/>
          <w:szCs w:val="28"/>
        </w:rPr>
        <w:t>demand</w:t>
      </w:r>
      <w:bookmarkEnd w:id="63"/>
      <w:bookmarkEnd w:id="64"/>
    </w:p>
    <w:p w14:paraId="15E62F49" w14:textId="692A8D6B" w:rsidR="00ED7065" w:rsidRDefault="00511BB3" w:rsidP="00ED7065">
      <w:pPr>
        <w:pStyle w:val="Heading3"/>
      </w:pPr>
      <w:bookmarkStart w:id="65" w:name="_Toc167113881"/>
      <w:r>
        <w:t>Overview of domestic</w:t>
      </w:r>
      <w:r w:rsidR="00D76765">
        <w:t xml:space="preserve"> </w:t>
      </w:r>
      <w:r>
        <w:t xml:space="preserve">tourism </w:t>
      </w:r>
      <w:r w:rsidR="00D76765">
        <w:t>demand</w:t>
      </w:r>
      <w:bookmarkEnd w:id="65"/>
    </w:p>
    <w:p w14:paraId="096D17F0" w14:textId="5FF0D245" w:rsidR="00284542" w:rsidRDefault="007062F5" w:rsidP="00702166">
      <w:pPr>
        <w:spacing w:before="0"/>
        <w:rPr>
          <w:rFonts w:eastAsia="Verdana" w:cs="Times New Roman"/>
          <w:color w:val="000000"/>
        </w:rPr>
      </w:pPr>
      <w:r w:rsidRPr="00B94321">
        <w:rPr>
          <w:rFonts w:eastAsia="Verdana" w:cs="Times New Roman"/>
          <w:color w:val="000000"/>
        </w:rPr>
        <w:t xml:space="preserve">Domestic tourism accounts for a large majority of Australia’s total visitor economy (domestic visitor spend accounted for 77% of total visitor spend in Australia in 2019). </w:t>
      </w:r>
      <w:r w:rsidR="00036C4C">
        <w:rPr>
          <w:rFonts w:eastAsia="Verdana" w:cs="Times New Roman"/>
          <w:color w:val="000000"/>
        </w:rPr>
        <w:t>This share was much higher in</w:t>
      </w:r>
      <w:r w:rsidR="00284542" w:rsidRPr="00B94321">
        <w:rPr>
          <w:rFonts w:eastAsia="Verdana" w:cs="Times New Roman"/>
          <w:color w:val="000000"/>
        </w:rPr>
        <w:t xml:space="preserve"> 2022</w:t>
      </w:r>
      <w:r w:rsidR="00645799">
        <w:rPr>
          <w:rFonts w:eastAsia="Verdana" w:cs="Times New Roman"/>
          <w:color w:val="000000"/>
        </w:rPr>
        <w:t xml:space="preserve"> </w:t>
      </w:r>
      <w:r w:rsidR="00036C4C">
        <w:rPr>
          <w:rFonts w:eastAsia="Verdana" w:cs="Times New Roman"/>
          <w:color w:val="000000"/>
        </w:rPr>
        <w:t>(91%)</w:t>
      </w:r>
      <w:r w:rsidR="00284542" w:rsidRPr="00B94321">
        <w:rPr>
          <w:rFonts w:eastAsia="Verdana" w:cs="Times New Roman"/>
          <w:color w:val="000000"/>
        </w:rPr>
        <w:t xml:space="preserve">, </w:t>
      </w:r>
      <w:r w:rsidR="00036C4C">
        <w:rPr>
          <w:rFonts w:eastAsia="Verdana" w:cs="Times New Roman"/>
          <w:color w:val="000000"/>
        </w:rPr>
        <w:t xml:space="preserve">partly </w:t>
      </w:r>
      <w:proofErr w:type="gramStart"/>
      <w:r w:rsidR="00255F25">
        <w:rPr>
          <w:rFonts w:eastAsia="Verdana" w:cs="Times New Roman"/>
          <w:color w:val="000000"/>
        </w:rPr>
        <w:t>as a result</w:t>
      </w:r>
      <w:r w:rsidR="00036C4C">
        <w:rPr>
          <w:rFonts w:eastAsia="Verdana" w:cs="Times New Roman"/>
          <w:color w:val="000000"/>
        </w:rPr>
        <w:t xml:space="preserve"> of</w:t>
      </w:r>
      <w:proofErr w:type="gramEnd"/>
      <w:r w:rsidR="002917D5">
        <w:rPr>
          <w:rFonts w:eastAsia="Verdana" w:cs="Times New Roman"/>
          <w:color w:val="000000"/>
        </w:rPr>
        <w:t xml:space="preserve"> the early stage of international travel recovery in that year</w:t>
      </w:r>
      <w:r w:rsidR="00F73B60" w:rsidRPr="00B94321">
        <w:rPr>
          <w:rFonts w:eastAsia="Verdana" w:cs="Times New Roman"/>
          <w:color w:val="000000"/>
        </w:rPr>
        <w:t xml:space="preserve">. Demand for domestic travel was </w:t>
      </w:r>
      <w:r w:rsidR="001711EE">
        <w:rPr>
          <w:rFonts w:eastAsia="Verdana" w:cs="Times New Roman"/>
          <w:color w:val="000000"/>
        </w:rPr>
        <w:t xml:space="preserve">also </w:t>
      </w:r>
      <w:r w:rsidR="00F73B60" w:rsidRPr="00B94321">
        <w:rPr>
          <w:rFonts w:eastAsia="Verdana" w:cs="Times New Roman"/>
          <w:color w:val="000000"/>
        </w:rPr>
        <w:t>bolstered in 202</w:t>
      </w:r>
      <w:r w:rsidR="005F106E" w:rsidRPr="00B94321">
        <w:rPr>
          <w:rFonts w:eastAsia="Verdana" w:cs="Times New Roman"/>
          <w:color w:val="000000"/>
        </w:rPr>
        <w:t>2</w:t>
      </w:r>
      <w:r w:rsidR="00F73B60" w:rsidRPr="00B94321">
        <w:rPr>
          <w:rFonts w:eastAsia="Verdana" w:cs="Times New Roman"/>
          <w:color w:val="000000"/>
        </w:rPr>
        <w:t xml:space="preserve"> by</w:t>
      </w:r>
      <w:r w:rsidR="00F73B60">
        <w:rPr>
          <w:rFonts w:eastAsia="Verdana" w:cs="Times New Roman"/>
          <w:color w:val="000000"/>
        </w:rPr>
        <w:t>:</w:t>
      </w:r>
    </w:p>
    <w:p w14:paraId="60B68946" w14:textId="10E3ACEB" w:rsidR="00F73B60" w:rsidRDefault="00F73B60" w:rsidP="00BE3991">
      <w:pPr>
        <w:pStyle w:val="BulletList"/>
      </w:pPr>
      <w:r>
        <w:t>pent</w:t>
      </w:r>
      <w:r w:rsidR="00980630">
        <w:t>-</w:t>
      </w:r>
      <w:r>
        <w:t>up demand</w:t>
      </w:r>
      <w:r w:rsidR="007B17B8">
        <w:t xml:space="preserve"> for travel, experiences, reconnecting, </w:t>
      </w:r>
      <w:r w:rsidR="009A0313">
        <w:t xml:space="preserve">and the </w:t>
      </w:r>
      <w:r w:rsidR="004A2908">
        <w:t xml:space="preserve">associated </w:t>
      </w:r>
      <w:r w:rsidR="009A0313">
        <w:t xml:space="preserve">well-being </w:t>
      </w:r>
      <w:r w:rsidR="007532F2">
        <w:t>benefits of travel</w:t>
      </w:r>
    </w:p>
    <w:p w14:paraId="481C81AB" w14:textId="373D1012" w:rsidR="00980630" w:rsidRDefault="00980630" w:rsidP="00BE3991">
      <w:pPr>
        <w:pStyle w:val="BulletList"/>
      </w:pPr>
      <w:r w:rsidRPr="0B828569">
        <w:rPr>
          <w:rFonts w:eastAsia="Verdana" w:cs="Times New Roman"/>
        </w:rPr>
        <w:t>eagerness to freely travel around Australia after a period of travel restrictions</w:t>
      </w:r>
      <w:r w:rsidR="007B66A4" w:rsidRPr="0B828569">
        <w:rPr>
          <w:rFonts w:eastAsia="Verdana" w:cs="Times New Roman"/>
        </w:rPr>
        <w:t xml:space="preserve">, </w:t>
      </w:r>
      <w:r w:rsidR="004150A5" w:rsidRPr="0B828569">
        <w:rPr>
          <w:rFonts w:eastAsia="Verdana" w:cs="Times New Roman"/>
        </w:rPr>
        <w:t>reduced availability of outbound travel options</w:t>
      </w:r>
      <w:r w:rsidR="0076610A" w:rsidRPr="0B828569">
        <w:rPr>
          <w:rFonts w:eastAsia="Verdana" w:cs="Times New Roman"/>
        </w:rPr>
        <w:t xml:space="preserve"> </w:t>
      </w:r>
      <w:r w:rsidR="105035F7" w:rsidRPr="0B828569">
        <w:rPr>
          <w:rFonts w:eastAsia="Verdana" w:cs="Times New Roman"/>
        </w:rPr>
        <w:t>combined with</w:t>
      </w:r>
      <w:r w:rsidR="0076610A" w:rsidRPr="0B828569">
        <w:rPr>
          <w:rFonts w:eastAsia="Verdana" w:cs="Times New Roman"/>
        </w:rPr>
        <w:t xml:space="preserve"> effective marketing and policy support targeting </w:t>
      </w:r>
      <w:r w:rsidR="0014243C" w:rsidRPr="0B828569">
        <w:rPr>
          <w:rFonts w:eastAsia="Verdana" w:cs="Times New Roman"/>
        </w:rPr>
        <w:t>local</w:t>
      </w:r>
      <w:r w:rsidR="0076610A" w:rsidRPr="0B828569">
        <w:rPr>
          <w:rFonts w:eastAsia="Verdana" w:cs="Times New Roman"/>
        </w:rPr>
        <w:t xml:space="preserve"> travel </w:t>
      </w:r>
      <w:r w:rsidR="0014243C" w:rsidRPr="0B828569">
        <w:rPr>
          <w:rFonts w:eastAsia="Verdana" w:cs="Times New Roman"/>
        </w:rPr>
        <w:t>options</w:t>
      </w:r>
      <w:r w:rsidR="00EF37D3" w:rsidRPr="0B828569">
        <w:rPr>
          <w:rFonts w:eastAsia="Verdana" w:cs="Times New Roman"/>
        </w:rPr>
        <w:t xml:space="preserve"> (along with a slower re</w:t>
      </w:r>
      <w:r w:rsidR="007F52FC" w:rsidRPr="0B828569">
        <w:rPr>
          <w:rFonts w:eastAsia="Verdana" w:cs="Times New Roman"/>
        </w:rPr>
        <w:t>bound</w:t>
      </w:r>
      <w:r w:rsidR="00EF37D3" w:rsidRPr="0B828569">
        <w:rPr>
          <w:rFonts w:eastAsia="Verdana" w:cs="Times New Roman"/>
        </w:rPr>
        <w:t xml:space="preserve"> in international inbound travel)</w:t>
      </w:r>
    </w:p>
    <w:p w14:paraId="253C7DEB" w14:textId="026AB9A1" w:rsidR="00A45533" w:rsidRDefault="00A45533" w:rsidP="00BE3991">
      <w:pPr>
        <w:pStyle w:val="BulletList"/>
      </w:pPr>
      <w:r>
        <w:t>elevated savings</w:t>
      </w:r>
      <w:r w:rsidR="00BF387C">
        <w:t xml:space="preserve"> accumulated</w:t>
      </w:r>
      <w:r>
        <w:t xml:space="preserve"> during the pandemic</w:t>
      </w:r>
      <w:r w:rsidR="001227CA">
        <w:t xml:space="preserve">, which </w:t>
      </w:r>
      <w:r w:rsidR="624A7C86">
        <w:t>meant</w:t>
      </w:r>
      <w:r>
        <w:t xml:space="preserve"> Australians </w:t>
      </w:r>
      <w:r w:rsidR="7A213806">
        <w:t xml:space="preserve">could afford </w:t>
      </w:r>
      <w:r w:rsidR="00F24147">
        <w:t>more</w:t>
      </w:r>
      <w:r>
        <w:t xml:space="preserve"> travel.</w:t>
      </w:r>
    </w:p>
    <w:p w14:paraId="45FA2CC7" w14:textId="40653ED9" w:rsidR="007D7CED" w:rsidRDefault="00804E67" w:rsidP="007D7CED">
      <w:r>
        <w:rPr>
          <w:rFonts w:eastAsia="Verdana" w:cs="Times New Roman"/>
        </w:rPr>
        <w:t xml:space="preserve">The significant growth in domestic tourism </w:t>
      </w:r>
      <w:proofErr w:type="gramStart"/>
      <w:r>
        <w:rPr>
          <w:rFonts w:eastAsia="Verdana" w:cs="Times New Roman"/>
        </w:rPr>
        <w:t>spend</w:t>
      </w:r>
      <w:proofErr w:type="gramEnd"/>
      <w:r>
        <w:rPr>
          <w:rFonts w:eastAsia="Verdana" w:cs="Times New Roman"/>
        </w:rPr>
        <w:t xml:space="preserve">, </w:t>
      </w:r>
      <w:r w:rsidR="00546C53">
        <w:rPr>
          <w:rFonts w:eastAsia="Verdana" w:cs="Times New Roman"/>
        </w:rPr>
        <w:t>which outpaced</w:t>
      </w:r>
      <w:r>
        <w:rPr>
          <w:rFonts w:eastAsia="Verdana" w:cs="Times New Roman"/>
        </w:rPr>
        <w:t xml:space="preserve"> other measures of domestic tourism demand, </w:t>
      </w:r>
      <w:r w:rsidR="00012F7F">
        <w:rPr>
          <w:rFonts w:eastAsia="Verdana" w:cs="Times New Roman"/>
        </w:rPr>
        <w:t xml:space="preserve">reflected </w:t>
      </w:r>
      <w:r w:rsidR="007D7CED">
        <w:t>changes to prices</w:t>
      </w:r>
      <w:r w:rsidR="00012F7F">
        <w:t xml:space="preserve"> (inflation)</w:t>
      </w:r>
      <w:r w:rsidR="007D7CED">
        <w:t xml:space="preserve">, travel patterns and traveller preferences. </w:t>
      </w:r>
      <w:r w:rsidR="00D3699C">
        <w:t>T</w:t>
      </w:r>
      <w:r w:rsidR="007D7CED">
        <w:t xml:space="preserve">hese </w:t>
      </w:r>
      <w:r w:rsidR="00D3699C">
        <w:t>were</w:t>
      </w:r>
      <w:r w:rsidR="007D7CED">
        <w:t xml:space="preserve"> discussed in </w:t>
      </w:r>
      <w:r w:rsidR="00D3699C">
        <w:t>detail in last year’s</w:t>
      </w:r>
      <w:r w:rsidR="007D7CED">
        <w:t xml:space="preserve"> </w:t>
      </w:r>
      <w:hyperlink r:id="rId36">
        <w:r w:rsidR="00D3699C" w:rsidRPr="0B828569">
          <w:rPr>
            <w:rStyle w:val="Hyperlink"/>
          </w:rPr>
          <w:t xml:space="preserve">State of the Industry </w:t>
        </w:r>
        <w:r w:rsidR="007D7CED" w:rsidRPr="0B828569">
          <w:rPr>
            <w:rStyle w:val="Hyperlink"/>
          </w:rPr>
          <w:t>report</w:t>
        </w:r>
      </w:hyperlink>
      <w:r w:rsidR="007D7CED">
        <w:t xml:space="preserve"> and include:</w:t>
      </w:r>
    </w:p>
    <w:p w14:paraId="4E478FEE" w14:textId="5FC7E134" w:rsidR="006365DC" w:rsidRDefault="007D7CED" w:rsidP="004E5FA5">
      <w:pPr>
        <w:pStyle w:val="BulletList"/>
      </w:pPr>
      <w:r>
        <w:t>accelerated price growth across the economy and higher costs of travel-related goods</w:t>
      </w:r>
      <w:r w:rsidR="00F57CF5">
        <w:rPr>
          <w:rStyle w:val="FootnoteReference"/>
        </w:rPr>
        <w:footnoteReference w:id="13"/>
      </w:r>
      <w:r>
        <w:t xml:space="preserve"> </w:t>
      </w:r>
    </w:p>
    <w:p w14:paraId="47A9AA86" w14:textId="77777777" w:rsidR="007D7CED" w:rsidRDefault="007D7CED" w:rsidP="004E5FA5">
      <w:pPr>
        <w:pStyle w:val="BulletList"/>
      </w:pPr>
      <w:r>
        <w:t xml:space="preserve">strong growth in higher average </w:t>
      </w:r>
      <w:proofErr w:type="gramStart"/>
      <w:r>
        <w:t>spend</w:t>
      </w:r>
      <w:proofErr w:type="gramEnd"/>
      <w:r>
        <w:t xml:space="preserve"> categories of travel (such as business travel and interstate travel) that had been slower to recover in previous years</w:t>
      </w:r>
    </w:p>
    <w:p w14:paraId="52FFA73A" w14:textId="7F203E69" w:rsidR="007D7CED" w:rsidRDefault="007D7CED" w:rsidP="004E5FA5">
      <w:pPr>
        <w:pStyle w:val="BulletList"/>
      </w:pPr>
      <w:r>
        <w:t xml:space="preserve">strong demand for more luxury-end travel </w:t>
      </w:r>
      <w:r w:rsidR="00255F25">
        <w:t>experiences</w:t>
      </w:r>
    </w:p>
    <w:p w14:paraId="55039986" w14:textId="22E8CEF5" w:rsidR="007D7CED" w:rsidRDefault="007D7CED" w:rsidP="004E5FA5">
      <w:pPr>
        <w:pStyle w:val="BulletList"/>
      </w:pPr>
      <w:r>
        <w:t>an increase in the number of trips involving higher cost activities (such as flights, paid accommodation, ticketed events)</w:t>
      </w:r>
      <w:r w:rsidR="00DA0539">
        <w:t xml:space="preserve"> compared to the previous year</w:t>
      </w:r>
      <w:r>
        <w:t>.</w:t>
      </w:r>
    </w:p>
    <w:p w14:paraId="51C54C65" w14:textId="45F0F670" w:rsidR="00570CE7" w:rsidRDefault="00DB06B2" w:rsidP="00570CE7">
      <w:pPr>
        <w:rPr>
          <w:rFonts w:eastAsia="Verdana" w:cs="Times New Roman"/>
          <w:color w:val="000000"/>
        </w:rPr>
      </w:pPr>
      <w:r w:rsidRPr="0B828569">
        <w:rPr>
          <w:rFonts w:eastAsia="Verdana" w:cs="Times New Roman"/>
        </w:rPr>
        <w:t>In contrast</w:t>
      </w:r>
      <w:r w:rsidR="00CB1528" w:rsidRPr="0B828569">
        <w:rPr>
          <w:rFonts w:eastAsia="Verdana" w:cs="Times New Roman"/>
        </w:rPr>
        <w:t xml:space="preserve"> to the rapid recovery in 2022</w:t>
      </w:r>
      <w:r w:rsidRPr="0B828569">
        <w:rPr>
          <w:rFonts w:eastAsia="Verdana" w:cs="Times New Roman"/>
        </w:rPr>
        <w:t xml:space="preserve">, there was a </w:t>
      </w:r>
      <w:r w:rsidR="002917D5">
        <w:rPr>
          <w:rFonts w:eastAsia="Verdana" w:cs="Times New Roman"/>
          <w:lang w:eastAsia="zh-CN"/>
        </w:rPr>
        <w:t>moderation</w:t>
      </w:r>
      <w:r w:rsidR="002917D5" w:rsidRPr="0B828569">
        <w:rPr>
          <w:rFonts w:eastAsia="Verdana" w:cs="Times New Roman"/>
          <w:lang w:eastAsia="zh-CN"/>
        </w:rPr>
        <w:t xml:space="preserve"> </w:t>
      </w:r>
      <w:r w:rsidRPr="0B828569">
        <w:rPr>
          <w:rFonts w:eastAsia="Verdana" w:cs="Times New Roman"/>
          <w:lang w:eastAsia="zh-CN"/>
        </w:rPr>
        <w:t>in domestic leisure travel</w:t>
      </w:r>
      <w:r w:rsidR="00CB1528" w:rsidRPr="0B828569">
        <w:rPr>
          <w:rFonts w:eastAsia="Verdana" w:cs="Times New Roman"/>
        </w:rPr>
        <w:t xml:space="preserve"> </w:t>
      </w:r>
      <w:r w:rsidR="00A05973">
        <w:rPr>
          <w:rFonts w:eastAsia="Verdana" w:cs="Times New Roman"/>
        </w:rPr>
        <w:t xml:space="preserve">growth </w:t>
      </w:r>
      <w:r w:rsidR="00CB1528" w:rsidRPr="0B828569">
        <w:rPr>
          <w:rFonts w:eastAsia="Verdana" w:cs="Times New Roman"/>
        </w:rPr>
        <w:t>in 2023</w:t>
      </w:r>
      <w:r w:rsidRPr="0B828569">
        <w:rPr>
          <w:rFonts w:eastAsia="Verdana" w:cs="Times New Roman"/>
          <w:lang w:eastAsia="zh-CN"/>
        </w:rPr>
        <w:t>.</w:t>
      </w:r>
      <w:r w:rsidR="00570CE7" w:rsidRPr="0B828569">
        <w:rPr>
          <w:rFonts w:eastAsia="Verdana" w:cs="Times New Roman"/>
        </w:rPr>
        <w:t xml:space="preserve"> The moderation reflected two main drivers:</w:t>
      </w:r>
    </w:p>
    <w:p w14:paraId="3BE0E8AD" w14:textId="10103783" w:rsidR="00570CE7" w:rsidRPr="00F1048E" w:rsidRDefault="647AC466" w:rsidP="004821D3">
      <w:pPr>
        <w:pStyle w:val="NumberedList"/>
        <w:rPr>
          <w:rFonts w:eastAsia="Verdana" w:cs="Times New Roman"/>
          <w:color w:val="000000"/>
        </w:rPr>
      </w:pPr>
      <w:r w:rsidRPr="0B828569">
        <w:rPr>
          <w:rFonts w:eastAsia="Verdana" w:cs="Times New Roman"/>
        </w:rPr>
        <w:t xml:space="preserve">The impact of reduced discretionary spending by Australians as </w:t>
      </w:r>
      <w:r w:rsidR="00E44247">
        <w:rPr>
          <w:rFonts w:eastAsia="Verdana" w:cs="Times New Roman"/>
        </w:rPr>
        <w:t xml:space="preserve">household </w:t>
      </w:r>
      <w:r w:rsidRPr="0B828569">
        <w:rPr>
          <w:rFonts w:eastAsia="Verdana" w:cs="Times New Roman"/>
        </w:rPr>
        <w:t>budget pressures rose</w:t>
      </w:r>
      <w:r w:rsidR="3FBA4F70" w:rsidRPr="0B828569">
        <w:rPr>
          <w:rFonts w:eastAsia="Verdana" w:cs="Times New Roman"/>
        </w:rPr>
        <w:t>:</w:t>
      </w:r>
    </w:p>
    <w:p w14:paraId="38328754" w14:textId="4C555E74" w:rsidR="00570CE7" w:rsidRPr="00F1048E" w:rsidRDefault="00570CE7" w:rsidP="004821D3">
      <w:pPr>
        <w:pStyle w:val="BulletList"/>
        <w:rPr>
          <w:rFonts w:eastAsia="Verdana" w:cs="Times New Roman"/>
          <w:color w:val="000000"/>
        </w:rPr>
      </w:pPr>
      <w:r w:rsidRPr="00F622EF">
        <w:rPr>
          <w:rFonts w:eastAsia="Verdana" w:cs="Times New Roman"/>
        </w:rPr>
        <w:t xml:space="preserve">As was anticipated, Australians drew on savings and leave accumulated during the pandemic to support their travel </w:t>
      </w:r>
      <w:r w:rsidR="00CE5A04">
        <w:rPr>
          <w:rFonts w:eastAsia="Verdana" w:cs="Times New Roman"/>
        </w:rPr>
        <w:t>preferences</w:t>
      </w:r>
      <w:r w:rsidRPr="00F622EF">
        <w:rPr>
          <w:rFonts w:eastAsia="Verdana" w:cs="Times New Roman"/>
        </w:rPr>
        <w:t xml:space="preserve"> in the immediate aftermath. </w:t>
      </w:r>
      <w:r w:rsidR="00972B43" w:rsidRPr="00F622EF">
        <w:rPr>
          <w:rFonts w:eastAsia="Verdana" w:cs="Times New Roman"/>
        </w:rPr>
        <w:t xml:space="preserve">In 2023, </w:t>
      </w:r>
      <w:r w:rsidRPr="00F622EF">
        <w:rPr>
          <w:rFonts w:eastAsia="Verdana" w:cs="Times New Roman"/>
        </w:rPr>
        <w:t xml:space="preserve">the household saving rate </w:t>
      </w:r>
      <w:r w:rsidR="00972B43" w:rsidRPr="00F622EF">
        <w:rPr>
          <w:rFonts w:eastAsia="Verdana" w:cs="Times New Roman"/>
        </w:rPr>
        <w:t>wa</w:t>
      </w:r>
      <w:r w:rsidRPr="00F622EF">
        <w:rPr>
          <w:rFonts w:eastAsia="Verdana" w:cs="Times New Roman"/>
        </w:rPr>
        <w:t>s at its lowest level in 15 years,</w:t>
      </w:r>
      <w:r>
        <w:rPr>
          <w:rStyle w:val="FootnoteReference"/>
          <w:rFonts w:eastAsia="Verdana" w:cs="Times New Roman"/>
        </w:rPr>
        <w:footnoteReference w:id="14"/>
      </w:r>
      <w:r w:rsidRPr="00F622EF">
        <w:rPr>
          <w:rFonts w:eastAsia="Verdana" w:cs="Times New Roman"/>
        </w:rPr>
        <w:t xml:space="preserve"> </w:t>
      </w:r>
      <w:r w:rsidR="00972B43" w:rsidRPr="00F622EF">
        <w:rPr>
          <w:rFonts w:eastAsia="Verdana" w:cs="Times New Roman"/>
        </w:rPr>
        <w:t xml:space="preserve">and </w:t>
      </w:r>
      <w:r w:rsidR="00043251">
        <w:rPr>
          <w:rFonts w:eastAsia="Verdana" w:cs="Times New Roman"/>
        </w:rPr>
        <w:t xml:space="preserve">discretionary </w:t>
      </w:r>
      <w:r w:rsidRPr="00F622EF">
        <w:rPr>
          <w:rFonts w:eastAsia="Verdana" w:cs="Times New Roman"/>
        </w:rPr>
        <w:t>spending</w:t>
      </w:r>
      <w:r w:rsidR="00043251">
        <w:rPr>
          <w:rFonts w:eastAsia="Verdana" w:cs="Times New Roman"/>
        </w:rPr>
        <w:t xml:space="preserve">, </w:t>
      </w:r>
      <w:r w:rsidR="00C33506">
        <w:rPr>
          <w:rFonts w:eastAsia="Verdana" w:cs="Times New Roman"/>
        </w:rPr>
        <w:t xml:space="preserve">including </w:t>
      </w:r>
      <w:r w:rsidR="00043251">
        <w:rPr>
          <w:rFonts w:eastAsia="Verdana" w:cs="Times New Roman"/>
        </w:rPr>
        <w:t xml:space="preserve">on </w:t>
      </w:r>
      <w:r w:rsidRPr="00F622EF">
        <w:rPr>
          <w:rFonts w:eastAsia="Verdana" w:cs="Times New Roman"/>
        </w:rPr>
        <w:t>domestic travel</w:t>
      </w:r>
      <w:r w:rsidR="00043251">
        <w:rPr>
          <w:rFonts w:eastAsia="Verdana" w:cs="Times New Roman"/>
        </w:rPr>
        <w:t>,</w:t>
      </w:r>
      <w:r w:rsidRPr="00F622EF">
        <w:rPr>
          <w:rFonts w:eastAsia="Verdana" w:cs="Times New Roman"/>
        </w:rPr>
        <w:t xml:space="preserve"> </w:t>
      </w:r>
      <w:r w:rsidR="00972B43" w:rsidRPr="00F622EF">
        <w:rPr>
          <w:rFonts w:eastAsia="Verdana" w:cs="Times New Roman"/>
        </w:rPr>
        <w:t>was reigned in</w:t>
      </w:r>
      <w:r w:rsidRPr="00F622EF">
        <w:rPr>
          <w:rFonts w:eastAsia="Verdana" w:cs="Times New Roman"/>
        </w:rPr>
        <w:t xml:space="preserve">. </w:t>
      </w:r>
    </w:p>
    <w:p w14:paraId="3A0D4289" w14:textId="74BC2109" w:rsidR="00605CB5" w:rsidRPr="00D01F1E" w:rsidRDefault="008E6731" w:rsidP="00D01F1E">
      <w:pPr>
        <w:pStyle w:val="BulletList"/>
        <w:rPr>
          <w:rFonts w:eastAsia="Verdana" w:cs="Times New Roman"/>
          <w:color w:val="000000"/>
        </w:rPr>
      </w:pPr>
      <w:r>
        <w:rPr>
          <w:rFonts w:eastAsia="Verdana" w:cs="Times New Roman"/>
        </w:rPr>
        <w:t>Elevated i</w:t>
      </w:r>
      <w:r w:rsidR="00F1048E" w:rsidRPr="004C77BB">
        <w:rPr>
          <w:rFonts w:eastAsia="Verdana" w:cs="Times New Roman"/>
        </w:rPr>
        <w:t>n</w:t>
      </w:r>
      <w:r w:rsidR="008E657A" w:rsidRPr="004C77BB">
        <w:rPr>
          <w:rFonts w:eastAsia="Verdana" w:cs="Times New Roman"/>
        </w:rPr>
        <w:t xml:space="preserve">flation </w:t>
      </w:r>
      <w:r>
        <w:rPr>
          <w:rFonts w:eastAsia="Verdana" w:cs="Times New Roman"/>
        </w:rPr>
        <w:t>through to</w:t>
      </w:r>
      <w:r w:rsidR="008E657A" w:rsidRPr="004C77BB">
        <w:rPr>
          <w:rFonts w:eastAsia="Verdana" w:cs="Times New Roman"/>
        </w:rPr>
        <w:t xml:space="preserve"> 2023</w:t>
      </w:r>
      <w:r>
        <w:rPr>
          <w:rFonts w:eastAsia="Verdana" w:cs="Times New Roman"/>
        </w:rPr>
        <w:t xml:space="preserve"> led to</w:t>
      </w:r>
      <w:r w:rsidR="008E657A" w:rsidRPr="004C77BB">
        <w:rPr>
          <w:rFonts w:eastAsia="Verdana" w:cs="Times New Roman"/>
        </w:rPr>
        <w:t xml:space="preserve"> </w:t>
      </w:r>
      <w:r w:rsidR="007A32DF">
        <w:rPr>
          <w:rFonts w:eastAsia="Verdana" w:cs="Times New Roman"/>
        </w:rPr>
        <w:t>higher</w:t>
      </w:r>
      <w:r>
        <w:rPr>
          <w:rFonts w:eastAsia="Verdana" w:cs="Times New Roman"/>
        </w:rPr>
        <w:t xml:space="preserve"> </w:t>
      </w:r>
      <w:r w:rsidR="008E657A" w:rsidRPr="004C77BB">
        <w:rPr>
          <w:rFonts w:eastAsia="Verdana" w:cs="Times New Roman"/>
        </w:rPr>
        <w:t>cost</w:t>
      </w:r>
      <w:r>
        <w:rPr>
          <w:rFonts w:eastAsia="Verdana" w:cs="Times New Roman"/>
        </w:rPr>
        <w:t>s</w:t>
      </w:r>
      <w:r w:rsidR="008E657A" w:rsidRPr="004C77BB">
        <w:rPr>
          <w:rFonts w:eastAsia="Verdana" w:cs="Times New Roman"/>
        </w:rPr>
        <w:t xml:space="preserve"> of many goods and services, including essential items, </w:t>
      </w:r>
      <w:r>
        <w:rPr>
          <w:rFonts w:eastAsia="Verdana" w:cs="Times New Roman"/>
        </w:rPr>
        <w:t>and</w:t>
      </w:r>
      <w:r w:rsidR="004C77BB" w:rsidRPr="004C77BB">
        <w:rPr>
          <w:rFonts w:eastAsia="Verdana" w:cs="Times New Roman"/>
        </w:rPr>
        <w:t xml:space="preserve"> in</w:t>
      </w:r>
      <w:r w:rsidR="00F1048E" w:rsidRPr="004C77BB">
        <w:rPr>
          <w:rFonts w:eastAsia="Verdana" w:cs="Times New Roman"/>
        </w:rPr>
        <w:t xml:space="preserve">terest rates </w:t>
      </w:r>
      <w:r w:rsidR="004C77BB">
        <w:rPr>
          <w:rFonts w:eastAsia="Verdana" w:cs="Times New Roman"/>
        </w:rPr>
        <w:t xml:space="preserve">also </w:t>
      </w:r>
      <w:r w:rsidR="00C9152F" w:rsidRPr="004C77BB">
        <w:rPr>
          <w:rFonts w:eastAsia="Verdana" w:cs="Times New Roman"/>
        </w:rPr>
        <w:t xml:space="preserve">rose rapidly and were higher than many had </w:t>
      </w:r>
      <w:r w:rsidR="007A32DF">
        <w:rPr>
          <w:rFonts w:eastAsia="Verdana" w:cs="Times New Roman"/>
        </w:rPr>
        <w:lastRenderedPageBreak/>
        <w:t xml:space="preserve">previously </w:t>
      </w:r>
      <w:r w:rsidR="00C9152F" w:rsidRPr="004C77BB">
        <w:rPr>
          <w:rFonts w:eastAsia="Verdana" w:cs="Times New Roman"/>
        </w:rPr>
        <w:t>expected</w:t>
      </w:r>
      <w:r w:rsidR="004C77BB">
        <w:rPr>
          <w:rFonts w:eastAsia="Verdana" w:cs="Times New Roman"/>
        </w:rPr>
        <w:t xml:space="preserve">. These factors put pressure on household budgets and </w:t>
      </w:r>
      <w:r w:rsidR="00F85B51">
        <w:rPr>
          <w:rFonts w:eastAsia="Verdana" w:cs="Times New Roman"/>
        </w:rPr>
        <w:t>discretionary household spending was curbed in response, according to various measures.</w:t>
      </w:r>
      <w:r w:rsidR="00580702">
        <w:rPr>
          <w:rStyle w:val="FootnoteReference"/>
          <w:rFonts w:eastAsia="Verdana" w:cs="Times New Roman"/>
        </w:rPr>
        <w:footnoteReference w:id="15"/>
      </w:r>
    </w:p>
    <w:p w14:paraId="66B50B25" w14:textId="05D03E82" w:rsidR="00F622EF" w:rsidRDefault="00570CE7" w:rsidP="004821D3">
      <w:pPr>
        <w:pStyle w:val="NumberedList"/>
        <w:rPr>
          <w:rFonts w:eastAsia="Verdana" w:cs="Times New Roman"/>
        </w:rPr>
      </w:pPr>
      <w:r w:rsidRPr="0B828569">
        <w:rPr>
          <w:rFonts w:eastAsia="Verdana" w:cs="Times New Roman"/>
        </w:rPr>
        <w:t>The increased availability of international travel</w:t>
      </w:r>
      <w:r w:rsidR="5ED532A8" w:rsidRPr="0B828569">
        <w:rPr>
          <w:rFonts w:eastAsia="Verdana" w:cs="Times New Roman"/>
        </w:rPr>
        <w:t>:</w:t>
      </w:r>
      <w:r w:rsidRPr="0B828569">
        <w:rPr>
          <w:rFonts w:eastAsia="Verdana" w:cs="Times New Roman"/>
        </w:rPr>
        <w:t xml:space="preserve"> </w:t>
      </w:r>
    </w:p>
    <w:p w14:paraId="0CD019E1" w14:textId="5E312244" w:rsidR="00570CE7" w:rsidRDefault="00570CE7" w:rsidP="004821D3">
      <w:pPr>
        <w:pStyle w:val="BulletList"/>
        <w:rPr>
          <w:rFonts w:eastAsia="Verdana" w:cs="Times New Roman"/>
        </w:rPr>
      </w:pPr>
      <w:r w:rsidRPr="0B828569">
        <w:rPr>
          <w:rFonts w:eastAsia="Verdana" w:cs="Times New Roman"/>
        </w:rPr>
        <w:t>For those that d</w:t>
      </w:r>
      <w:r w:rsidR="00F622EF" w:rsidRPr="0B828569">
        <w:rPr>
          <w:rFonts w:eastAsia="Verdana" w:cs="Times New Roman"/>
        </w:rPr>
        <w:t>id</w:t>
      </w:r>
      <w:r w:rsidRPr="0B828569">
        <w:rPr>
          <w:rFonts w:eastAsia="Verdana" w:cs="Times New Roman"/>
        </w:rPr>
        <w:t xml:space="preserve"> not face budget pressures</w:t>
      </w:r>
      <w:r w:rsidR="00F622EF" w:rsidRPr="0B828569">
        <w:rPr>
          <w:rFonts w:eastAsia="Verdana" w:cs="Times New Roman"/>
        </w:rPr>
        <w:t xml:space="preserve"> in 2023</w:t>
      </w:r>
      <w:r w:rsidRPr="0B828569">
        <w:rPr>
          <w:rFonts w:eastAsia="Verdana" w:cs="Times New Roman"/>
        </w:rPr>
        <w:t>, outbound travel options offer</w:t>
      </w:r>
      <w:r w:rsidR="00F622EF" w:rsidRPr="0B828569">
        <w:rPr>
          <w:rFonts w:eastAsia="Verdana" w:cs="Times New Roman"/>
        </w:rPr>
        <w:t>ed</w:t>
      </w:r>
      <w:r w:rsidRPr="0B828569">
        <w:rPr>
          <w:rFonts w:eastAsia="Verdana" w:cs="Times New Roman"/>
        </w:rPr>
        <w:t xml:space="preserve"> competition for Australians’ tourism dollars. Australians took twice as many short-term international outbound trips in 2023 than in the same period the previous year. </w:t>
      </w:r>
      <w:r w:rsidR="00FE0EC3" w:rsidRPr="0B828569">
        <w:rPr>
          <w:rFonts w:eastAsia="Verdana" w:cs="Times New Roman"/>
        </w:rPr>
        <w:t>This effect had been largely</w:t>
      </w:r>
      <w:r w:rsidRPr="0B828569">
        <w:rPr>
          <w:rFonts w:eastAsia="Verdana" w:cs="Times New Roman"/>
        </w:rPr>
        <w:t xml:space="preserve"> anticipated as Australians became more confident in international travel, and the cost and availability of outbound travel options improved.</w:t>
      </w:r>
    </w:p>
    <w:p w14:paraId="4D95967E" w14:textId="0E28B9F9" w:rsidR="00501E35" w:rsidRDefault="00790CBD" w:rsidP="00DB04C3">
      <w:pPr>
        <w:rPr>
          <w:rFonts w:eastAsia="Verdana" w:cs="Times New Roman"/>
          <w:color w:val="000000"/>
        </w:rPr>
      </w:pPr>
      <w:r w:rsidRPr="0B828569">
        <w:rPr>
          <w:rFonts w:eastAsia="Verdana" w:cs="Times New Roman"/>
        </w:rPr>
        <w:t xml:space="preserve">The impact of these </w:t>
      </w:r>
      <w:r w:rsidR="00640323" w:rsidRPr="0B828569">
        <w:rPr>
          <w:rFonts w:eastAsia="Verdana" w:cs="Times New Roman"/>
        </w:rPr>
        <w:t xml:space="preserve">factors on travel demand </w:t>
      </w:r>
      <w:r w:rsidRPr="0B828569">
        <w:rPr>
          <w:rFonts w:eastAsia="Verdana" w:cs="Times New Roman"/>
        </w:rPr>
        <w:t xml:space="preserve">varies </w:t>
      </w:r>
      <w:r w:rsidR="00D30927" w:rsidRPr="0B828569">
        <w:rPr>
          <w:rFonts w:eastAsia="Verdana" w:cs="Times New Roman"/>
        </w:rPr>
        <w:t>across categories of domestic travel (</w:t>
      </w:r>
      <w:r w:rsidR="00D725FE">
        <w:rPr>
          <w:rFonts w:eastAsia="Verdana" w:cs="Times New Roman"/>
        </w:rPr>
        <w:t xml:space="preserve">for example, </w:t>
      </w:r>
      <w:r w:rsidR="00D30927" w:rsidRPr="0B828569">
        <w:rPr>
          <w:rFonts w:eastAsia="Verdana" w:cs="Times New Roman"/>
        </w:rPr>
        <w:t xml:space="preserve">leisure versus business, </w:t>
      </w:r>
      <w:r w:rsidR="001657BA" w:rsidRPr="0B828569">
        <w:rPr>
          <w:rFonts w:eastAsia="Verdana" w:cs="Times New Roman"/>
        </w:rPr>
        <w:t>overnight versus day trips, interstate versus intrastate) and this is discussed further below.</w:t>
      </w:r>
      <w:r w:rsidR="0016692B" w:rsidRPr="0B828569">
        <w:rPr>
          <w:rFonts w:eastAsia="Verdana" w:cs="Times New Roman"/>
        </w:rPr>
        <w:t xml:space="preserve"> </w:t>
      </w:r>
      <w:r w:rsidR="00501E35" w:rsidRPr="00C03C57">
        <w:rPr>
          <w:rFonts w:eastAsia="Verdana" w:cs="Times New Roman"/>
          <w:color w:val="auto"/>
        </w:rPr>
        <w:t xml:space="preserve">Nevertheless, total domestic tourism spend was $142.3 billion in 2023. This was up 9% ($12 billion) on the total domestic spend in 2022, and up 33% ($35.2 billion) on the pre-pandemic level. These strong results, despite the challenging environment, point to resilience in tourism demand, the </w:t>
      </w:r>
      <w:r w:rsidR="5C1DED9E" w:rsidRPr="0B828569">
        <w:rPr>
          <w:rFonts w:eastAsia="Verdana" w:cs="Times New Roman"/>
        </w:rPr>
        <w:t>attractiveness</w:t>
      </w:r>
      <w:r w:rsidR="00501E35" w:rsidRPr="0B828569">
        <w:rPr>
          <w:rFonts w:eastAsia="Verdana" w:cs="Times New Roman"/>
        </w:rPr>
        <w:t xml:space="preserve"> of Australia</w:t>
      </w:r>
      <w:r w:rsidR="00D725FE">
        <w:rPr>
          <w:rFonts w:eastAsia="Verdana" w:cs="Times New Roman"/>
        </w:rPr>
        <w:t>’s</w:t>
      </w:r>
      <w:r w:rsidR="00501E35" w:rsidRPr="0B828569">
        <w:rPr>
          <w:rFonts w:eastAsia="Verdana" w:cs="Times New Roman"/>
        </w:rPr>
        <w:t xml:space="preserve"> tourism offerings, and the willingness of travellers to adjust travel plans to address budget pressures where necessary (</w:t>
      </w:r>
      <w:r w:rsidR="075190F2" w:rsidRPr="0B828569">
        <w:rPr>
          <w:rFonts w:eastAsia="Verdana" w:cs="Times New Roman"/>
        </w:rPr>
        <w:t>this</w:t>
      </w:r>
      <w:r w:rsidR="00501E35" w:rsidRPr="0B828569">
        <w:rPr>
          <w:rFonts w:eastAsia="Verdana" w:cs="Times New Roman"/>
        </w:rPr>
        <w:t xml:space="preserve"> is also discussed below and can include adjustments to the destination</w:t>
      </w:r>
      <w:r w:rsidR="007259F5">
        <w:rPr>
          <w:rFonts w:eastAsia="Verdana" w:cs="Times New Roman"/>
        </w:rPr>
        <w:t xml:space="preserve"> selected</w:t>
      </w:r>
      <w:r w:rsidR="00501E35" w:rsidRPr="0B828569">
        <w:rPr>
          <w:rFonts w:eastAsia="Verdana" w:cs="Times New Roman"/>
        </w:rPr>
        <w:t xml:space="preserve">, length of trip, type of travel/accommodation). </w:t>
      </w:r>
    </w:p>
    <w:p w14:paraId="7EBB4EBD" w14:textId="77777777" w:rsidR="00501E35" w:rsidRDefault="00501E35" w:rsidP="00501E35">
      <w:pPr>
        <w:spacing w:line="300" w:lineRule="atLeast"/>
        <w:rPr>
          <w:rFonts w:eastAsia="Verdana" w:cs="Times New Roman"/>
          <w:color w:val="000000"/>
        </w:rPr>
      </w:pPr>
      <w:r>
        <w:rPr>
          <w:rFonts w:eastAsia="Verdana" w:cs="Times New Roman"/>
          <w:color w:val="000000"/>
        </w:rPr>
        <w:t>TRA forecasts that over the next 5 years:</w:t>
      </w:r>
    </w:p>
    <w:p w14:paraId="72C8A93C" w14:textId="17A997C4" w:rsidR="00501E35" w:rsidRDefault="00501E35" w:rsidP="00EF74E6">
      <w:pPr>
        <w:pStyle w:val="BulletList"/>
      </w:pPr>
      <w:r>
        <w:t>domestic overnight trips will increase by 15% to reach 128.9 million in 2028 (10% higher than pre-pandemic)</w:t>
      </w:r>
    </w:p>
    <w:p w14:paraId="17115750" w14:textId="77777777" w:rsidR="00501E35" w:rsidRDefault="00501E35" w:rsidP="00EF74E6">
      <w:pPr>
        <w:pStyle w:val="BulletList"/>
      </w:pPr>
      <w:r>
        <w:t>domestic day trips will increase by 21% to reach 262.3 million (up 6% on 2019)</w:t>
      </w:r>
    </w:p>
    <w:p w14:paraId="0F4F5CED" w14:textId="62A6067C" w:rsidR="00501E35" w:rsidRDefault="00501E35" w:rsidP="00EF74E6">
      <w:pPr>
        <w:pStyle w:val="BulletList"/>
      </w:pPr>
      <w:r>
        <w:t xml:space="preserve">domestic overnight trip spend will increase by 21% to reach $132 billion in 2028 (up 64% on </w:t>
      </w:r>
      <w:r w:rsidR="008E3FD9">
        <w:t xml:space="preserve">the </w:t>
      </w:r>
      <w:r>
        <w:t>2019</w:t>
      </w:r>
      <w:r w:rsidR="008E3FD9">
        <w:t xml:space="preserve"> level</w:t>
      </w:r>
      <w:r>
        <w:t xml:space="preserve">) </w:t>
      </w:r>
    </w:p>
    <w:p w14:paraId="72ACA0CC" w14:textId="77777777" w:rsidR="00501E35" w:rsidRDefault="00501E35" w:rsidP="00EF74E6">
      <w:pPr>
        <w:pStyle w:val="BulletList"/>
      </w:pPr>
      <w:r>
        <w:t>domestic day trip spend will increase by 23% to reach $40.5 billion (up 54% on 2019)</w:t>
      </w:r>
    </w:p>
    <w:p w14:paraId="63A1B4DB" w14:textId="77777777" w:rsidR="00501E35" w:rsidRDefault="00501E35" w:rsidP="00EF74E6">
      <w:pPr>
        <w:pStyle w:val="BulletList"/>
      </w:pPr>
      <w:r>
        <w:t>total domestic spend will increase by 21% to reach $172.6 billion (sum of overnight and day trip spend, 61% higher than pre-pandemic)</w:t>
      </w:r>
    </w:p>
    <w:p w14:paraId="4DA43469" w14:textId="77777777" w:rsidR="00501E35" w:rsidRDefault="00501E35" w:rsidP="00EF74E6">
      <w:pPr>
        <w:pStyle w:val="BulletList"/>
      </w:pPr>
      <w:r>
        <w:t>domestic visitor nights will increase by 16% to reach 466.9 million (up 12% on 2019)</w:t>
      </w:r>
      <w:r w:rsidRPr="00D8055D">
        <w:t>.</w:t>
      </w:r>
    </w:p>
    <w:p w14:paraId="2F7B8DD7" w14:textId="0B48E5AB" w:rsidR="00501E35" w:rsidRDefault="00501E35" w:rsidP="00501E35">
      <w:r>
        <w:rPr>
          <w:rFonts w:eastAsia="Verdana" w:cs="Times New Roman"/>
          <w:color w:val="000000"/>
        </w:rPr>
        <w:t>This attests to the</w:t>
      </w:r>
      <w:r w:rsidRPr="00BC21FD">
        <w:rPr>
          <w:rFonts w:eastAsia="Verdana" w:cs="Times New Roman"/>
          <w:color w:val="000000"/>
        </w:rPr>
        <w:t xml:space="preserve"> </w:t>
      </w:r>
      <w:r>
        <w:rPr>
          <w:rFonts w:eastAsia="Verdana" w:cs="Times New Roman"/>
          <w:color w:val="000000"/>
        </w:rPr>
        <w:t>persistent, compelling</w:t>
      </w:r>
      <w:r w:rsidRPr="002A38D7">
        <w:rPr>
          <w:rFonts w:eastAsia="Verdana" w:cs="Times New Roman"/>
          <w:color w:val="000000"/>
        </w:rPr>
        <w:t xml:space="preserve"> </w:t>
      </w:r>
      <w:r>
        <w:rPr>
          <w:rFonts w:eastAsia="Verdana" w:cs="Times New Roman"/>
          <w:color w:val="000000"/>
        </w:rPr>
        <w:t>desire and need to travel to connect, explore, unwind</w:t>
      </w:r>
      <w:r w:rsidR="0043439C">
        <w:rPr>
          <w:rFonts w:eastAsia="Verdana" w:cs="Times New Roman"/>
          <w:color w:val="000000"/>
        </w:rPr>
        <w:t>,</w:t>
      </w:r>
      <w:r>
        <w:rPr>
          <w:rFonts w:eastAsia="Verdana" w:cs="Times New Roman"/>
          <w:color w:val="000000"/>
        </w:rPr>
        <w:t xml:space="preserve"> and recharge. </w:t>
      </w:r>
      <w:r w:rsidR="0043439C">
        <w:rPr>
          <w:rFonts w:eastAsia="Verdana" w:cs="Times New Roman"/>
          <w:color w:val="000000"/>
        </w:rPr>
        <w:t>O</w:t>
      </w:r>
      <w:r>
        <w:t>ther factors that support the solid growth outlook for domestic travel include:</w:t>
      </w:r>
    </w:p>
    <w:p w14:paraId="31FD47F3" w14:textId="2C6CD332" w:rsidR="00501E35" w:rsidRDefault="00501E35" w:rsidP="003E6A68">
      <w:pPr>
        <w:pStyle w:val="BulletList"/>
      </w:pPr>
      <w:r>
        <w:t>effective marketing to stimulate domestic travel demand alongside</w:t>
      </w:r>
      <w:r w:rsidRPr="005F65A7">
        <w:t xml:space="preserve"> </w:t>
      </w:r>
      <w:r>
        <w:t>innovation and adap</w:t>
      </w:r>
      <w:r w:rsidR="0054584C">
        <w:t>ta</w:t>
      </w:r>
      <w:r>
        <w:t xml:space="preserve">tion in the sector to align with consumer trends </w:t>
      </w:r>
      <w:r w:rsidR="1EE5809F">
        <w:t xml:space="preserve">such as </w:t>
      </w:r>
      <w:r>
        <w:t>sustainability, connection</w:t>
      </w:r>
      <w:r w:rsidR="159CB7C7">
        <w:t xml:space="preserve"> and</w:t>
      </w:r>
      <w:r>
        <w:t xml:space="preserve"> </w:t>
      </w:r>
      <w:proofErr w:type="gramStart"/>
      <w:r>
        <w:t>wellness</w:t>
      </w:r>
      <w:proofErr w:type="gramEnd"/>
    </w:p>
    <w:p w14:paraId="5CBDFCC2" w14:textId="12789220" w:rsidR="00501E35" w:rsidRDefault="00501E35" w:rsidP="003E6A68">
      <w:pPr>
        <w:pStyle w:val="BulletList"/>
      </w:pPr>
      <w:r>
        <w:t xml:space="preserve">continued investment in the sector throughout recent years which has </w:t>
      </w:r>
      <w:r w:rsidR="00B636EF">
        <w:t>evolved the offerings</w:t>
      </w:r>
      <w:r>
        <w:t xml:space="preserve"> available to domestic </w:t>
      </w:r>
      <w:proofErr w:type="gramStart"/>
      <w:r>
        <w:t>travellers</w:t>
      </w:r>
      <w:proofErr w:type="gramEnd"/>
    </w:p>
    <w:p w14:paraId="4C363A37" w14:textId="1F9648FB" w:rsidR="00501E35" w:rsidRDefault="00501E35" w:rsidP="003E6A68">
      <w:pPr>
        <w:pStyle w:val="BulletList"/>
      </w:pPr>
      <w:r>
        <w:t>an easing in tourism</w:t>
      </w:r>
      <w:r w:rsidRPr="003E4AA5">
        <w:rPr>
          <w:rFonts w:eastAsia="Verdana" w:cs="Times New Roman"/>
          <w:color w:val="000000"/>
        </w:rPr>
        <w:t xml:space="preserve"> </w:t>
      </w:r>
      <w:r>
        <w:rPr>
          <w:rFonts w:eastAsia="Verdana" w:cs="Times New Roman"/>
          <w:color w:val="000000"/>
        </w:rPr>
        <w:t>sector workforce shortages after acute labour shortages in 2022 affected the visitor economy’s ability to service demand</w:t>
      </w:r>
      <w:r w:rsidRPr="00191A08">
        <w:rPr>
          <w:rFonts w:eastAsia="Verdana" w:cs="Times New Roman"/>
          <w:color w:val="000000"/>
        </w:rPr>
        <w:t>.</w:t>
      </w:r>
    </w:p>
    <w:p w14:paraId="57643582" w14:textId="5E44F7D9" w:rsidR="00501E35" w:rsidRDefault="00501E35" w:rsidP="00501E35">
      <w:pPr>
        <w:rPr>
          <w:rFonts w:eastAsia="Verdana" w:cs="Times New Roman"/>
          <w:color w:val="000000"/>
          <w:lang w:eastAsia="zh-CN"/>
        </w:rPr>
      </w:pPr>
      <w:r w:rsidRPr="0B828569">
        <w:rPr>
          <w:rFonts w:eastAsia="Verdana" w:cs="Times New Roman"/>
          <w:lang w:eastAsia="zh-CN"/>
        </w:rPr>
        <w:lastRenderedPageBreak/>
        <w:t xml:space="preserve">In addition, parts of the visitor economy are still in the process of returning to pre-pandemic levels after experiencing a slower </w:t>
      </w:r>
      <w:r w:rsidR="009C43F0">
        <w:rPr>
          <w:rFonts w:eastAsia="Verdana" w:cs="Times New Roman"/>
          <w:lang w:eastAsia="zh-CN"/>
        </w:rPr>
        <w:t>recovery</w:t>
      </w:r>
      <w:r w:rsidRPr="0B828569">
        <w:rPr>
          <w:rFonts w:eastAsia="Verdana" w:cs="Times New Roman"/>
          <w:lang w:eastAsia="zh-CN"/>
        </w:rPr>
        <w:t xml:space="preserve"> than other sectors in the period since the pandemic (e.g. business travel and day trips).</w:t>
      </w:r>
    </w:p>
    <w:p w14:paraId="47A247BB" w14:textId="4CA28B85" w:rsidR="0B828569" w:rsidRDefault="0B828569" w:rsidP="0B828569">
      <w:pPr>
        <w:rPr>
          <w:rFonts w:eastAsia="Verdana" w:cs="Times New Roman"/>
          <w:lang w:eastAsia="zh-CN"/>
        </w:rPr>
      </w:pPr>
    </w:p>
    <w:p w14:paraId="21B43CFB" w14:textId="4846B343" w:rsidR="00DE69F2" w:rsidRDefault="00773409" w:rsidP="009A6E60">
      <w:pPr>
        <w:pStyle w:val="Heading4"/>
        <w:pBdr>
          <w:top w:val="thinThickSmallGap" w:sz="24" w:space="1" w:color="2E1A47" w:themeColor="accent2"/>
        </w:pBdr>
      </w:pPr>
      <w:r>
        <w:t xml:space="preserve">Domestic advertising: There’s more than they’re telling </w:t>
      </w:r>
      <w:proofErr w:type="gramStart"/>
      <w:r>
        <w:t>us</w:t>
      </w:r>
      <w:proofErr w:type="gramEnd"/>
    </w:p>
    <w:p w14:paraId="1A943F81" w14:textId="4B3DE676" w:rsidR="00DE69F2" w:rsidRPr="0054584C" w:rsidRDefault="00DE69F2" w:rsidP="0054584C">
      <w:pPr>
        <w:rPr>
          <w:rStyle w:val="Emphasis"/>
        </w:rPr>
      </w:pPr>
      <w:r w:rsidRPr="0054584C">
        <w:rPr>
          <w:rStyle w:val="Emphasis"/>
        </w:rPr>
        <w:t xml:space="preserve">Case Study by </w:t>
      </w:r>
      <w:proofErr w:type="spellStart"/>
      <w:r w:rsidR="001D23C9" w:rsidRPr="0054584C">
        <w:rPr>
          <w:rStyle w:val="Emphasis"/>
        </w:rPr>
        <w:t>VisitCanberra</w:t>
      </w:r>
      <w:proofErr w:type="spellEnd"/>
    </w:p>
    <w:p w14:paraId="2D67DD87" w14:textId="2F84AF9A" w:rsidR="00FB3B0C" w:rsidRPr="003F400F" w:rsidRDefault="008E2C43" w:rsidP="0054584C">
      <w:pPr>
        <w:rPr>
          <w:rFonts w:eastAsia="Times New Roman" w:cstheme="minorHAnsi"/>
          <w:lang w:eastAsia="en-AU"/>
        </w:rPr>
      </w:pPr>
      <w:proofErr w:type="spellStart"/>
      <w:r w:rsidRPr="003F400F">
        <w:rPr>
          <w:rFonts w:eastAsia="Times New Roman" w:cstheme="minorHAnsi"/>
          <w:lang w:eastAsia="en-AU"/>
        </w:rPr>
        <w:t>VisitCanberra</w:t>
      </w:r>
      <w:proofErr w:type="spellEnd"/>
      <w:r w:rsidRPr="003F400F">
        <w:rPr>
          <w:rFonts w:eastAsia="Times New Roman" w:cstheme="minorHAnsi"/>
          <w:lang w:eastAsia="en-AU"/>
        </w:rPr>
        <w:t xml:space="preserve"> launched its new domestic campaign, </w:t>
      </w:r>
      <w:proofErr w:type="gramStart"/>
      <w:r w:rsidRPr="009A6E60">
        <w:rPr>
          <w:rFonts w:eastAsia="Times New Roman" w:cstheme="minorHAnsi"/>
          <w:i/>
          <w:iCs/>
          <w:lang w:eastAsia="en-AU"/>
        </w:rPr>
        <w:t>There’s</w:t>
      </w:r>
      <w:proofErr w:type="gramEnd"/>
      <w:r w:rsidRPr="009A6E60">
        <w:rPr>
          <w:rFonts w:eastAsia="Times New Roman" w:cstheme="minorHAnsi"/>
          <w:i/>
          <w:iCs/>
          <w:lang w:eastAsia="en-AU"/>
        </w:rPr>
        <w:t xml:space="preserve"> more than they’re telling us</w:t>
      </w:r>
      <w:r w:rsidRPr="003F400F">
        <w:rPr>
          <w:rFonts w:eastAsia="Times New Roman" w:cstheme="minorHAnsi"/>
          <w:lang w:eastAsia="en-AU"/>
        </w:rPr>
        <w:t>, in February 2023</w:t>
      </w:r>
      <w:r w:rsidR="00C76489">
        <w:rPr>
          <w:rFonts w:eastAsia="Times New Roman" w:cstheme="minorHAnsi"/>
          <w:lang w:eastAsia="en-AU"/>
        </w:rPr>
        <w:t>.</w:t>
      </w:r>
      <w:r w:rsidRPr="003F400F">
        <w:rPr>
          <w:rFonts w:eastAsia="Times New Roman" w:cstheme="minorHAnsi"/>
          <w:lang w:eastAsia="en-AU"/>
        </w:rPr>
        <w:t xml:space="preserve"> </w:t>
      </w:r>
      <w:r w:rsidR="00C76489">
        <w:rPr>
          <w:rFonts w:eastAsia="Times New Roman" w:cstheme="minorHAnsi"/>
          <w:lang w:eastAsia="en-AU"/>
        </w:rPr>
        <w:t xml:space="preserve">The campaign </w:t>
      </w:r>
      <w:r w:rsidRPr="003F400F">
        <w:rPr>
          <w:rFonts w:eastAsia="Times New Roman" w:cstheme="minorHAnsi"/>
          <w:lang w:eastAsia="en-AU"/>
        </w:rPr>
        <w:t>offer</w:t>
      </w:r>
      <w:r w:rsidR="00C76489">
        <w:rPr>
          <w:rFonts w:eastAsia="Times New Roman" w:cstheme="minorHAnsi"/>
          <w:lang w:eastAsia="en-AU"/>
        </w:rPr>
        <w:t>s</w:t>
      </w:r>
      <w:r w:rsidRPr="003F400F">
        <w:rPr>
          <w:rFonts w:eastAsia="Times New Roman" w:cstheme="minorHAnsi"/>
          <w:lang w:eastAsia="en-AU"/>
        </w:rPr>
        <w:t xml:space="preserve"> a unique persona for the brand that challenges the rusted-on negative perceptions of Australia’s capital. Aiming to build awareness and increase consideration of Canberra as a leisure destination, the new campaign acknowledges that the breadth of Canberra’s tourism offering is unknown and unassumed by much of the nation, offering up witty reasons as to why. Utilising a refreshed tone of voice and style of creative that puts locals at the centre of the campaign, the assets showcase the charm and warmth of the people who shape the destination.</w:t>
      </w:r>
    </w:p>
    <w:p w14:paraId="04D93AA9" w14:textId="77777777" w:rsidR="0039352B" w:rsidRDefault="00BA29E8" w:rsidP="0054584C">
      <w:pPr>
        <w:rPr>
          <w:rFonts w:eastAsia="Times New Roman" w:cstheme="minorHAnsi"/>
          <w:lang w:eastAsia="en-AU"/>
        </w:rPr>
      </w:pPr>
      <w:r>
        <w:rPr>
          <w:rFonts w:eastAsia="Times New Roman" w:cstheme="minorHAnsi"/>
          <w:lang w:eastAsia="en-AU"/>
        </w:rPr>
        <w:t>After a year</w:t>
      </w:r>
      <w:r w:rsidR="008E2C43" w:rsidRPr="003F400F">
        <w:rPr>
          <w:rFonts w:eastAsia="Times New Roman" w:cstheme="minorHAnsi"/>
          <w:lang w:eastAsia="en-AU"/>
        </w:rPr>
        <w:t xml:space="preserve"> in market, the campaign has seen considerable success in its key audiences: New South Wales, Southeast Queensland, and Victoria, with particular emphasis on Canberra’s three-hour drive market. Across social media, online video, </w:t>
      </w:r>
      <w:r w:rsidR="00A75669">
        <w:rPr>
          <w:rFonts w:eastAsia="Times New Roman" w:cstheme="minorHAnsi"/>
          <w:lang w:eastAsia="en-AU"/>
        </w:rPr>
        <w:t>Broadcast Video-on-demand</w:t>
      </w:r>
      <w:r w:rsidR="008E2C43" w:rsidRPr="003F400F">
        <w:rPr>
          <w:rFonts w:eastAsia="Times New Roman" w:cstheme="minorHAnsi"/>
          <w:lang w:eastAsia="en-AU"/>
        </w:rPr>
        <w:t>, TV, YouTube, display and audio channels, the campaign achieved 57</w:t>
      </w:r>
      <w:r w:rsidR="001E32BA">
        <w:rPr>
          <w:rFonts w:eastAsia="Times New Roman" w:cstheme="minorHAnsi"/>
          <w:lang w:eastAsia="en-AU"/>
        </w:rPr>
        <w:t>.4 million</w:t>
      </w:r>
      <w:r w:rsidR="008E2C43" w:rsidRPr="003F400F">
        <w:rPr>
          <w:rFonts w:eastAsia="Times New Roman" w:cstheme="minorHAnsi"/>
          <w:lang w:eastAsia="en-AU"/>
        </w:rPr>
        <w:t xml:space="preserve"> digital impressions and an offline reach of 6</w:t>
      </w:r>
      <w:r w:rsidR="001E32BA">
        <w:rPr>
          <w:rFonts w:eastAsia="Times New Roman" w:cstheme="minorHAnsi"/>
          <w:lang w:eastAsia="en-AU"/>
        </w:rPr>
        <w:t xml:space="preserve">.7 million </w:t>
      </w:r>
      <w:r w:rsidR="008E2C43" w:rsidRPr="003F400F">
        <w:rPr>
          <w:rFonts w:eastAsia="Times New Roman" w:cstheme="minorHAnsi"/>
          <w:lang w:eastAsia="en-AU"/>
        </w:rPr>
        <w:t xml:space="preserve">across out of home and radio as of 15 February 2024. </w:t>
      </w:r>
    </w:p>
    <w:p w14:paraId="4F38D7BE" w14:textId="6D377D92" w:rsidR="00B70FBE" w:rsidRDefault="008E2C43" w:rsidP="0054584C">
      <w:pPr>
        <w:rPr>
          <w:rFonts w:eastAsia="Times New Roman" w:cstheme="minorHAnsi"/>
          <w:lang w:eastAsia="en-AU"/>
        </w:rPr>
      </w:pPr>
      <w:r w:rsidRPr="003F400F">
        <w:rPr>
          <w:rFonts w:eastAsia="Times New Roman" w:cstheme="minorHAnsi"/>
          <w:lang w:eastAsia="en-AU"/>
        </w:rPr>
        <w:t xml:space="preserve">This campaign exposure has resulted in a 26% increase in awareness of what there is to see and do in Canberra and a steady rise in consideration for Canberra as a leisure destination, with an 8% increase measured from March to November 2023 (Brand Tracking for </w:t>
      </w:r>
      <w:proofErr w:type="spellStart"/>
      <w:r w:rsidRPr="003F400F">
        <w:rPr>
          <w:rFonts w:eastAsia="Times New Roman" w:cstheme="minorHAnsi"/>
          <w:lang w:eastAsia="en-AU"/>
        </w:rPr>
        <w:t>VisitCanberra</w:t>
      </w:r>
      <w:proofErr w:type="spellEnd"/>
      <w:r w:rsidRPr="003F400F">
        <w:rPr>
          <w:rFonts w:eastAsia="Times New Roman" w:cstheme="minorHAnsi"/>
          <w:lang w:eastAsia="en-AU"/>
        </w:rPr>
        <w:t xml:space="preserve"> by Luma Research, 2023). </w:t>
      </w:r>
    </w:p>
    <w:p w14:paraId="0BC2F37A" w14:textId="1C8C58D6" w:rsidR="008E2C43" w:rsidRPr="003F400F" w:rsidRDefault="008E2C43" w:rsidP="009A6E60">
      <w:pPr>
        <w:pBdr>
          <w:bottom w:val="thickThinSmallGap" w:sz="24" w:space="1" w:color="2E1A47" w:themeColor="accent2"/>
        </w:pBdr>
        <w:rPr>
          <w:rFonts w:eastAsia="Times New Roman" w:cstheme="minorHAnsi"/>
          <w:lang w:eastAsia="en-AU"/>
        </w:rPr>
      </w:pPr>
      <w:r w:rsidRPr="003F400F">
        <w:rPr>
          <w:rFonts w:eastAsia="Times New Roman" w:cstheme="minorHAnsi"/>
          <w:lang w:eastAsia="en-AU"/>
        </w:rPr>
        <w:t xml:space="preserve">The campaign remains in market as part of an always-on strategy, with the third phase live </w:t>
      </w:r>
      <w:r w:rsidR="00180359">
        <w:rPr>
          <w:rFonts w:eastAsia="Times New Roman" w:cstheme="minorHAnsi"/>
          <w:lang w:eastAsia="en-AU"/>
        </w:rPr>
        <w:t xml:space="preserve">from </w:t>
      </w:r>
      <w:r w:rsidRPr="003F400F">
        <w:rPr>
          <w:rFonts w:eastAsia="Times New Roman" w:cstheme="minorHAnsi"/>
          <w:lang w:eastAsia="en-AU"/>
        </w:rPr>
        <w:t>late March</w:t>
      </w:r>
      <w:r w:rsidR="00180359">
        <w:rPr>
          <w:rFonts w:eastAsia="Times New Roman" w:cstheme="minorHAnsi"/>
          <w:lang w:eastAsia="en-AU"/>
        </w:rPr>
        <w:t xml:space="preserve"> 2024</w:t>
      </w:r>
      <w:r w:rsidRPr="003F400F">
        <w:rPr>
          <w:rFonts w:eastAsia="Times New Roman" w:cstheme="minorHAnsi"/>
          <w:lang w:eastAsia="en-AU"/>
        </w:rPr>
        <w:t xml:space="preserve">. </w:t>
      </w:r>
    </w:p>
    <w:p w14:paraId="5BD680E4" w14:textId="73A706F8" w:rsidR="00D76765" w:rsidRDefault="007F1FB4" w:rsidP="00D76765">
      <w:pPr>
        <w:pStyle w:val="Heading3"/>
      </w:pPr>
      <w:bookmarkStart w:id="66" w:name="_Toc167113882"/>
      <w:r>
        <w:t>Domestic travel</w:t>
      </w:r>
      <w:bookmarkEnd w:id="66"/>
    </w:p>
    <w:p w14:paraId="7475679D" w14:textId="31B8A9B4" w:rsidR="007062F5" w:rsidRDefault="0016692B" w:rsidP="00882896">
      <w:pPr>
        <w:rPr>
          <w:rFonts w:eastAsia="Verdana" w:cs="Times New Roman"/>
          <w:color w:val="000000"/>
        </w:rPr>
      </w:pPr>
      <w:r w:rsidRPr="0B828569">
        <w:rPr>
          <w:rFonts w:eastAsia="Verdana" w:cs="Times New Roman"/>
        </w:rPr>
        <w:t xml:space="preserve">Domestic tourism </w:t>
      </w:r>
      <w:proofErr w:type="gramStart"/>
      <w:r w:rsidRPr="0B828569">
        <w:rPr>
          <w:rFonts w:eastAsia="Verdana" w:cs="Times New Roman"/>
        </w:rPr>
        <w:t>spend</w:t>
      </w:r>
      <w:proofErr w:type="gramEnd"/>
      <w:r w:rsidRPr="0B828569">
        <w:rPr>
          <w:rFonts w:eastAsia="Verdana" w:cs="Times New Roman"/>
        </w:rPr>
        <w:t xml:space="preserve"> in the December quarter 2023 was </w:t>
      </w:r>
      <w:r w:rsidR="00503A4F" w:rsidRPr="0B828569">
        <w:rPr>
          <w:rFonts w:eastAsia="Verdana" w:cs="Times New Roman"/>
        </w:rPr>
        <w:t>unchanged from</w:t>
      </w:r>
      <w:r w:rsidR="00F92BB5" w:rsidRPr="0B828569">
        <w:rPr>
          <w:rFonts w:eastAsia="Verdana" w:cs="Times New Roman"/>
        </w:rPr>
        <w:t xml:space="preserve"> the December quarter 2022, which </w:t>
      </w:r>
      <w:r w:rsidR="00265A11" w:rsidRPr="0B828569">
        <w:rPr>
          <w:rFonts w:eastAsia="Verdana" w:cs="Times New Roman"/>
        </w:rPr>
        <w:t>wa</w:t>
      </w:r>
      <w:r w:rsidR="00351CB0" w:rsidRPr="0B828569">
        <w:rPr>
          <w:rFonts w:eastAsia="Verdana" w:cs="Times New Roman"/>
        </w:rPr>
        <w:t xml:space="preserve">s a marked softening compared with the rapid </w:t>
      </w:r>
      <w:r w:rsidR="00862826" w:rsidRPr="0B828569">
        <w:rPr>
          <w:rFonts w:eastAsia="Verdana" w:cs="Times New Roman"/>
        </w:rPr>
        <w:t xml:space="preserve">pace of growth the previous year, when </w:t>
      </w:r>
      <w:r w:rsidR="0088718D" w:rsidRPr="0B828569">
        <w:rPr>
          <w:rFonts w:eastAsia="Verdana" w:cs="Times New Roman"/>
        </w:rPr>
        <w:t>domestic</w:t>
      </w:r>
      <w:r w:rsidR="00862826" w:rsidRPr="0B828569">
        <w:rPr>
          <w:rFonts w:eastAsia="Verdana" w:cs="Times New Roman"/>
        </w:rPr>
        <w:t xml:space="preserve"> tourism spend in the December quarter 2022 was 9</w:t>
      </w:r>
      <w:r w:rsidR="00351CB0" w:rsidRPr="0B828569">
        <w:rPr>
          <w:rFonts w:eastAsia="Verdana" w:cs="Times New Roman"/>
        </w:rPr>
        <w:t>0</w:t>
      </w:r>
      <w:r w:rsidR="00862826" w:rsidRPr="0B828569">
        <w:rPr>
          <w:rFonts w:eastAsia="Verdana" w:cs="Times New Roman"/>
        </w:rPr>
        <w:t xml:space="preserve">% higher than the </w:t>
      </w:r>
      <w:r w:rsidR="0088718D" w:rsidRPr="0B828569">
        <w:rPr>
          <w:rFonts w:eastAsia="Verdana" w:cs="Times New Roman"/>
        </w:rPr>
        <w:t xml:space="preserve">December quarter 2021 (Figure </w:t>
      </w:r>
      <w:r w:rsidR="00347E48" w:rsidRPr="0B828569">
        <w:rPr>
          <w:rFonts w:eastAsia="Verdana" w:cs="Times New Roman"/>
        </w:rPr>
        <w:t>1</w:t>
      </w:r>
      <w:r w:rsidR="00347E48">
        <w:rPr>
          <w:rFonts w:eastAsia="Verdana" w:cs="Times New Roman"/>
        </w:rPr>
        <w:t>3</w:t>
      </w:r>
      <w:r w:rsidR="0088718D" w:rsidRPr="0B828569">
        <w:rPr>
          <w:rFonts w:eastAsia="Verdana" w:cs="Times New Roman"/>
        </w:rPr>
        <w:t xml:space="preserve">). </w:t>
      </w:r>
      <w:r w:rsidR="007E7710" w:rsidRPr="0B828569">
        <w:rPr>
          <w:rFonts w:eastAsia="Verdana" w:cs="Times New Roman"/>
        </w:rPr>
        <w:t>The slowdown in growth over the year was also apparent for domestic trip numbers and nights</w:t>
      </w:r>
      <w:r w:rsidR="00391F58" w:rsidRPr="0B828569">
        <w:rPr>
          <w:rFonts w:eastAsia="Verdana" w:cs="Times New Roman"/>
        </w:rPr>
        <w:t>.</w:t>
      </w:r>
      <w:r w:rsidR="00337135" w:rsidRPr="0B828569">
        <w:rPr>
          <w:rFonts w:eastAsia="Verdana" w:cs="Times New Roman"/>
        </w:rPr>
        <w:t xml:space="preserve"> Much of this ‘normalisation’ in pace of growth after the temporary accel</w:t>
      </w:r>
      <w:r w:rsidR="007629D8" w:rsidRPr="0B828569">
        <w:rPr>
          <w:rFonts w:eastAsia="Verdana" w:cs="Times New Roman"/>
        </w:rPr>
        <w:t xml:space="preserve">erated growth in 2022 had been anticipated, </w:t>
      </w:r>
      <w:r w:rsidR="008E496A" w:rsidRPr="0B828569">
        <w:rPr>
          <w:rFonts w:eastAsia="Verdana" w:cs="Times New Roman"/>
        </w:rPr>
        <w:t>in line with the temporary nature of</w:t>
      </w:r>
      <w:r w:rsidR="00010E62" w:rsidRPr="0B828569">
        <w:rPr>
          <w:rFonts w:eastAsia="Verdana" w:cs="Times New Roman"/>
        </w:rPr>
        <w:t xml:space="preserve"> several supporting factors </w:t>
      </w:r>
      <w:r w:rsidR="008E496A" w:rsidRPr="0B828569">
        <w:rPr>
          <w:rFonts w:eastAsia="Verdana" w:cs="Times New Roman"/>
        </w:rPr>
        <w:t>discussed above</w:t>
      </w:r>
      <w:r w:rsidR="00010E62" w:rsidRPr="0B828569">
        <w:rPr>
          <w:rFonts w:eastAsia="Verdana" w:cs="Times New Roman"/>
        </w:rPr>
        <w:t xml:space="preserve">. </w:t>
      </w:r>
    </w:p>
    <w:p w14:paraId="6A68E0C1" w14:textId="43E243E7" w:rsidR="006A47F1" w:rsidRDefault="006A47F1" w:rsidP="00485266">
      <w:pPr>
        <w:pStyle w:val="Caption"/>
        <w:keepNext/>
        <w:spacing w:after="0" w:line="300" w:lineRule="atLeast"/>
        <w:rPr>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347E48">
        <w:rPr>
          <w:b/>
          <w:bCs/>
          <w:i w:val="0"/>
          <w:iCs w:val="0"/>
          <w:noProof/>
          <w:sz w:val="20"/>
          <w:szCs w:val="20"/>
        </w:rPr>
        <w:t>13</w:t>
      </w:r>
      <w:r>
        <w:rPr>
          <w:b/>
          <w:bCs/>
          <w:i w:val="0"/>
          <w:iCs w:val="0"/>
          <w:sz w:val="20"/>
          <w:szCs w:val="20"/>
        </w:rPr>
        <w:fldChar w:fldCharType="end"/>
      </w:r>
      <w:r>
        <w:rPr>
          <w:b/>
          <w:bCs/>
          <w:i w:val="0"/>
          <w:iCs w:val="0"/>
          <w:sz w:val="20"/>
          <w:szCs w:val="20"/>
        </w:rPr>
        <w:t xml:space="preserve">. </w:t>
      </w:r>
      <w:r>
        <w:rPr>
          <w:i w:val="0"/>
          <w:iCs w:val="0"/>
          <w:sz w:val="20"/>
          <w:szCs w:val="20"/>
        </w:rPr>
        <w:t xml:space="preserve">Domestic </w:t>
      </w:r>
      <w:proofErr w:type="gramStart"/>
      <w:r>
        <w:rPr>
          <w:i w:val="0"/>
          <w:iCs w:val="0"/>
          <w:sz w:val="20"/>
          <w:szCs w:val="20"/>
        </w:rPr>
        <w:t>trip</w:t>
      </w:r>
      <w:proofErr w:type="gramEnd"/>
      <w:r>
        <w:rPr>
          <w:i w:val="0"/>
          <w:iCs w:val="0"/>
          <w:sz w:val="20"/>
          <w:szCs w:val="20"/>
        </w:rPr>
        <w:t xml:space="preserve"> spend, number of trips, and nights, growth over the year to quarter, December quarter 2021 to </w:t>
      </w:r>
      <w:r w:rsidRPr="00562FCD">
        <w:rPr>
          <w:i w:val="0"/>
          <w:iCs w:val="0"/>
          <w:sz w:val="20"/>
          <w:szCs w:val="20"/>
        </w:rPr>
        <w:t>December</w:t>
      </w:r>
      <w:r>
        <w:rPr>
          <w:i w:val="0"/>
          <w:iCs w:val="0"/>
          <w:sz w:val="20"/>
          <w:szCs w:val="20"/>
        </w:rPr>
        <w:t xml:space="preserve"> quarter</w:t>
      </w:r>
      <w:r w:rsidR="00184F22">
        <w:rPr>
          <w:i w:val="0"/>
          <w:iCs w:val="0"/>
          <w:sz w:val="20"/>
          <w:szCs w:val="20"/>
        </w:rPr>
        <w:t xml:space="preserve"> </w:t>
      </w:r>
      <w:r>
        <w:rPr>
          <w:i w:val="0"/>
          <w:iCs w:val="0"/>
          <w:sz w:val="20"/>
          <w:szCs w:val="20"/>
        </w:rPr>
        <w:t>202</w:t>
      </w:r>
      <w:r w:rsidR="00562FCD">
        <w:rPr>
          <w:i w:val="0"/>
          <w:iCs w:val="0"/>
          <w:sz w:val="20"/>
          <w:szCs w:val="20"/>
        </w:rPr>
        <w:t>3</w:t>
      </w:r>
      <w:r>
        <w:rPr>
          <w:i w:val="0"/>
          <w:iCs w:val="0"/>
          <w:sz w:val="20"/>
          <w:szCs w:val="20"/>
        </w:rPr>
        <w:t>.</w:t>
      </w:r>
    </w:p>
    <w:p w14:paraId="6265B273" w14:textId="0EF629AA" w:rsidR="00274896" w:rsidRPr="00562FCD" w:rsidRDefault="00F54638" w:rsidP="009A6E60">
      <w:pPr>
        <w:spacing w:before="0" w:after="0" w:line="300" w:lineRule="atLeast"/>
      </w:pPr>
      <w:r w:rsidRPr="00F54638">
        <w:rPr>
          <w:noProof/>
        </w:rPr>
        <w:drawing>
          <wp:inline distT="0" distB="0" distL="0" distR="0" wp14:anchorId="4BB2EBBA" wp14:editId="084646B7">
            <wp:extent cx="6329680" cy="3397885"/>
            <wp:effectExtent l="0" t="0" r="0" b="0"/>
            <wp:docPr id="1728603058" name="Picture 2" descr="Figure 13 shows a bar chart with 3 panels/sections, 1 section on domestic visitor spend, 1 section on domestic trip numbers and 1 section on domestic visitor nights. Within each section there are bars showing the change over the year to the quarter (in %) for each quarter from Decemebr quarter 2021 to December quarter 2023. The sections all show a similar pattern of low/negative growth through the year to the early quarters, then very strong growth through the year to September quarter 2022, followed by easing growth going to 0 or negative for the later quarters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03058" name="Picture 2" descr="Figure 13 shows a bar chart with 3 panels/sections, 1 section on domestic visitor spend, 1 section on domestic trip numbers and 1 section on domestic visitor nights. Within each section there are bars showing the change over the year to the quarter (in %) for each quarter from Decemebr quarter 2021 to December quarter 2023. The sections all show a similar pattern of low/negative growth through the year to the early quarters, then very strong growth through the year to September quarter 2022, followed by easing growth going to 0 or negative for the later quarters in 2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29680" cy="3397885"/>
                    </a:xfrm>
                    <a:prstGeom prst="rect">
                      <a:avLst/>
                    </a:prstGeom>
                    <a:noFill/>
                    <a:ln>
                      <a:noFill/>
                    </a:ln>
                  </pic:spPr>
                </pic:pic>
              </a:graphicData>
            </a:graphic>
          </wp:inline>
        </w:drawing>
      </w:r>
    </w:p>
    <w:p w14:paraId="315BC584" w14:textId="63192ED5" w:rsidR="00AF5C85" w:rsidRDefault="00191380" w:rsidP="00C10843">
      <w:pPr>
        <w:spacing w:line="300" w:lineRule="atLeast"/>
        <w:rPr>
          <w:rFonts w:eastAsia="Verdana" w:cs="Times New Roman"/>
          <w:color w:val="auto"/>
        </w:rPr>
      </w:pPr>
      <w:r>
        <w:rPr>
          <w:rFonts w:eastAsia="Verdana" w:cs="Times New Roman"/>
          <w:color w:val="auto"/>
        </w:rPr>
        <w:t>Within total domestic travel, overnight travel has recovered by more than day trips (Figure 1</w:t>
      </w:r>
      <w:r w:rsidR="00B14B06">
        <w:rPr>
          <w:rFonts w:eastAsia="Verdana" w:cs="Times New Roman"/>
          <w:color w:val="auto"/>
        </w:rPr>
        <w:t>4</w:t>
      </w:r>
      <w:r>
        <w:rPr>
          <w:rFonts w:eastAsia="Verdana" w:cs="Times New Roman"/>
          <w:color w:val="auto"/>
        </w:rPr>
        <w:t xml:space="preserve">). </w:t>
      </w:r>
      <w:r w:rsidR="009F694B">
        <w:rPr>
          <w:rFonts w:eastAsia="Verdana" w:cs="Times New Roman"/>
          <w:color w:val="auto"/>
        </w:rPr>
        <w:t>The decline in trip numbers over the year to December quarter 2023 shown in the middle panel of Figure 1</w:t>
      </w:r>
      <w:r w:rsidR="00F24646">
        <w:rPr>
          <w:rFonts w:eastAsia="Verdana" w:cs="Times New Roman"/>
          <w:color w:val="auto"/>
        </w:rPr>
        <w:t>3</w:t>
      </w:r>
      <w:r w:rsidR="009F694B">
        <w:rPr>
          <w:rFonts w:eastAsia="Verdana" w:cs="Times New Roman"/>
          <w:color w:val="auto"/>
        </w:rPr>
        <w:t xml:space="preserve"> above</w:t>
      </w:r>
      <w:r w:rsidR="00944415">
        <w:rPr>
          <w:rFonts w:eastAsia="Verdana" w:cs="Times New Roman"/>
          <w:color w:val="auto"/>
        </w:rPr>
        <w:t xml:space="preserve"> </w:t>
      </w:r>
      <w:r w:rsidR="00265A11">
        <w:rPr>
          <w:rFonts w:eastAsia="Verdana" w:cs="Times New Roman"/>
          <w:color w:val="auto"/>
        </w:rPr>
        <w:t>wa</w:t>
      </w:r>
      <w:r w:rsidR="00944415">
        <w:rPr>
          <w:rFonts w:eastAsia="Verdana" w:cs="Times New Roman"/>
          <w:color w:val="auto"/>
        </w:rPr>
        <w:t>s driven by a decline in day trips, while overnight trips remained flat.</w:t>
      </w:r>
      <w:r w:rsidR="00A005F2">
        <w:rPr>
          <w:rFonts w:eastAsia="Verdana" w:cs="Times New Roman"/>
          <w:color w:val="auto"/>
        </w:rPr>
        <w:t xml:space="preserve"> </w:t>
      </w:r>
    </w:p>
    <w:p w14:paraId="093C284D" w14:textId="35ED7146" w:rsidR="00485266" w:rsidRDefault="00485266" w:rsidP="00C10843">
      <w:pPr>
        <w:spacing w:line="300" w:lineRule="atLeast"/>
        <w:rPr>
          <w:rFonts w:eastAsia="Verdana" w:cs="Times New Roman"/>
          <w:color w:val="auto"/>
        </w:rPr>
      </w:pPr>
      <w:r>
        <w:rPr>
          <w:rFonts w:eastAsia="Verdana" w:cs="Times New Roman"/>
          <w:color w:val="auto"/>
        </w:rPr>
        <w:t>There were around twice as many day trips as overnight trips taken domestically in 2023. However, the spend on overnight trips was significantly higher than for day trips, which meant that domestic overnight spend accounted for 77% of total domestic spend in 2023.</w:t>
      </w:r>
    </w:p>
    <w:p w14:paraId="51219CF5" w14:textId="1EB2B6C4" w:rsidR="009F694B" w:rsidRPr="00680E11" w:rsidRDefault="009F694B" w:rsidP="00485266">
      <w:pPr>
        <w:pStyle w:val="Caption"/>
        <w:keepNext/>
        <w:spacing w:after="0" w:line="300" w:lineRule="atLeast"/>
        <w:rPr>
          <w:i w:val="0"/>
          <w:iCs w:val="0"/>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B14B06">
        <w:rPr>
          <w:b/>
          <w:bCs/>
          <w:i w:val="0"/>
          <w:iCs w:val="0"/>
          <w:noProof/>
          <w:sz w:val="20"/>
          <w:szCs w:val="20"/>
        </w:rPr>
        <w:t>14</w:t>
      </w:r>
      <w:r>
        <w:rPr>
          <w:b/>
          <w:bCs/>
          <w:i w:val="0"/>
          <w:iCs w:val="0"/>
          <w:sz w:val="20"/>
          <w:szCs w:val="20"/>
        </w:rPr>
        <w:fldChar w:fldCharType="end"/>
      </w:r>
      <w:r>
        <w:rPr>
          <w:b/>
          <w:bCs/>
          <w:i w:val="0"/>
          <w:iCs w:val="0"/>
          <w:sz w:val="20"/>
          <w:szCs w:val="20"/>
        </w:rPr>
        <w:t xml:space="preserve">. </w:t>
      </w:r>
      <w:r w:rsidR="00D95493" w:rsidRPr="00D95493">
        <w:rPr>
          <w:i w:val="0"/>
          <w:iCs w:val="0"/>
          <w:sz w:val="20"/>
          <w:szCs w:val="20"/>
        </w:rPr>
        <w:t>Spend and trip numbers for d</w:t>
      </w:r>
      <w:r w:rsidRPr="00D95493">
        <w:rPr>
          <w:i w:val="0"/>
          <w:iCs w:val="0"/>
          <w:sz w:val="20"/>
          <w:szCs w:val="20"/>
        </w:rPr>
        <w:t>omestic</w:t>
      </w:r>
      <w:r>
        <w:rPr>
          <w:i w:val="0"/>
          <w:iCs w:val="0"/>
          <w:sz w:val="20"/>
          <w:szCs w:val="20"/>
        </w:rPr>
        <w:t xml:space="preserve"> overnight and day trips</w:t>
      </w:r>
      <w:r w:rsidR="00D95493">
        <w:rPr>
          <w:i w:val="0"/>
          <w:iCs w:val="0"/>
          <w:sz w:val="20"/>
          <w:szCs w:val="20"/>
        </w:rPr>
        <w:t xml:space="preserve">, </w:t>
      </w:r>
      <w:r>
        <w:rPr>
          <w:i w:val="0"/>
          <w:iCs w:val="0"/>
          <w:sz w:val="20"/>
          <w:szCs w:val="20"/>
        </w:rPr>
        <w:t>2017 to 2023.</w:t>
      </w:r>
    </w:p>
    <w:p w14:paraId="118F3B16" w14:textId="5CE2525F" w:rsidR="009F694B" w:rsidRDefault="00FE61D4" w:rsidP="009F694B">
      <w:pPr>
        <w:spacing w:line="300" w:lineRule="atLeast"/>
        <w:rPr>
          <w:rFonts w:eastAsia="Verdana" w:cs="Times New Roman"/>
          <w:color w:val="000000"/>
          <w:lang w:eastAsia="zh-CN"/>
        </w:rPr>
      </w:pPr>
      <w:r w:rsidRPr="00FE61D4">
        <w:rPr>
          <w:noProof/>
        </w:rPr>
        <w:drawing>
          <wp:inline distT="0" distB="0" distL="0" distR="0" wp14:anchorId="2C48FF27" wp14:editId="4ACBC308">
            <wp:extent cx="6329680" cy="3649980"/>
            <wp:effectExtent l="0" t="0" r="0" b="7620"/>
            <wp:docPr id="832993281" name="Picture 12" descr="Figure 14 shows the spend and number of trips for domestic overnight and day trips for the period 2017 to 2023. Spend on overnight and day trips was above the pre-pandemic level in 2023, while the number of trips taken remained l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93281" name="Picture 12" descr="Figure 14 shows the spend and number of trips for domestic overnight and day trips for the period 2017 to 2023. Spend on overnight and day trips was above the pre-pandemic level in 2023, while the number of trips taken remained low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9680" cy="3649980"/>
                    </a:xfrm>
                    <a:prstGeom prst="rect">
                      <a:avLst/>
                    </a:prstGeom>
                    <a:noFill/>
                    <a:ln>
                      <a:noFill/>
                    </a:ln>
                  </pic:spPr>
                </pic:pic>
              </a:graphicData>
            </a:graphic>
          </wp:inline>
        </w:drawing>
      </w:r>
    </w:p>
    <w:p w14:paraId="143732D4" w14:textId="6EB99AA6" w:rsidR="00E4155F" w:rsidRDefault="00E4155F" w:rsidP="00E4155F">
      <w:pPr>
        <w:rPr>
          <w:lang w:eastAsia="zh-CN"/>
        </w:rPr>
      </w:pPr>
      <w:r w:rsidRPr="007E28CA">
        <w:rPr>
          <w:lang w:eastAsia="zh-CN"/>
        </w:rPr>
        <w:lastRenderedPageBreak/>
        <w:t xml:space="preserve">The recovery in cruise tourism </w:t>
      </w:r>
      <w:r>
        <w:rPr>
          <w:lang w:eastAsia="zh-CN"/>
        </w:rPr>
        <w:t>in 2023 w</w:t>
      </w:r>
      <w:r w:rsidRPr="007E28CA">
        <w:rPr>
          <w:lang w:eastAsia="zh-CN"/>
        </w:rPr>
        <w:t xml:space="preserve">as more rapid than </w:t>
      </w:r>
      <w:r>
        <w:rPr>
          <w:lang w:eastAsia="zh-CN"/>
        </w:rPr>
        <w:t xml:space="preserve">had been </w:t>
      </w:r>
      <w:r w:rsidRPr="007E28CA">
        <w:rPr>
          <w:lang w:eastAsia="zh-CN"/>
        </w:rPr>
        <w:t>previously expected</w:t>
      </w:r>
      <w:r w:rsidR="00FD326E">
        <w:rPr>
          <w:lang w:eastAsia="zh-CN"/>
        </w:rPr>
        <w:t>.</w:t>
      </w:r>
      <w:r w:rsidRPr="007E28CA">
        <w:rPr>
          <w:lang w:eastAsia="zh-CN"/>
        </w:rPr>
        <w:t xml:space="preserve"> </w:t>
      </w:r>
      <w:r w:rsidR="00FD326E">
        <w:rPr>
          <w:lang w:eastAsia="zh-CN"/>
        </w:rPr>
        <w:t>C</w:t>
      </w:r>
      <w:r w:rsidRPr="007E28CA">
        <w:rPr>
          <w:lang w:eastAsia="zh-CN"/>
        </w:rPr>
        <w:t xml:space="preserve">ruise </w:t>
      </w:r>
      <w:r>
        <w:rPr>
          <w:lang w:eastAsia="zh-CN"/>
        </w:rPr>
        <w:t>tourism in Australia</w:t>
      </w:r>
      <w:r w:rsidRPr="007E28CA">
        <w:rPr>
          <w:lang w:eastAsia="zh-CN"/>
        </w:rPr>
        <w:t xml:space="preserve"> suffered longer disruptions to </w:t>
      </w:r>
      <w:r>
        <w:rPr>
          <w:lang w:eastAsia="zh-CN"/>
        </w:rPr>
        <w:t>travel</w:t>
      </w:r>
      <w:r w:rsidR="00FD326E" w:rsidRPr="00FD326E">
        <w:rPr>
          <w:lang w:eastAsia="zh-CN"/>
        </w:rPr>
        <w:t xml:space="preserve"> </w:t>
      </w:r>
      <w:r w:rsidR="00FD326E">
        <w:rPr>
          <w:lang w:eastAsia="zh-CN"/>
        </w:rPr>
        <w:t>than other types of travel,</w:t>
      </w:r>
      <w:r>
        <w:rPr>
          <w:lang w:eastAsia="zh-CN"/>
        </w:rPr>
        <w:t xml:space="preserve"> due to additional policy regulations to control the spread of COVID-19.</w:t>
      </w:r>
      <w:r w:rsidR="00FD326E">
        <w:rPr>
          <w:lang w:eastAsia="zh-CN"/>
        </w:rPr>
        <w:t xml:space="preserve"> </w:t>
      </w:r>
      <w:r w:rsidR="00510974">
        <w:rPr>
          <w:lang w:eastAsia="zh-CN"/>
        </w:rPr>
        <w:t>Industry r</w:t>
      </w:r>
      <w:r w:rsidR="00FD326E">
        <w:rPr>
          <w:lang w:eastAsia="zh-CN"/>
        </w:rPr>
        <w:t xml:space="preserve">eports suggest that </w:t>
      </w:r>
      <w:r w:rsidR="009903F5">
        <w:rPr>
          <w:lang w:eastAsia="zh-CN"/>
        </w:rPr>
        <w:t>Australian cruise passenger numbers have recovered to pre-pandemic levels</w:t>
      </w:r>
      <w:r w:rsidR="002B5312">
        <w:rPr>
          <w:lang w:eastAsia="zh-CN"/>
        </w:rPr>
        <w:t xml:space="preserve">, and that the average age of cruise passengers has </w:t>
      </w:r>
      <w:r w:rsidR="009A32BC">
        <w:rPr>
          <w:lang w:eastAsia="zh-CN"/>
        </w:rPr>
        <w:t>fallen</w:t>
      </w:r>
      <w:r w:rsidR="009903F5">
        <w:rPr>
          <w:lang w:eastAsia="zh-CN"/>
        </w:rPr>
        <w:t>.</w:t>
      </w:r>
      <w:r w:rsidR="00BD7045">
        <w:rPr>
          <w:rStyle w:val="FootnoteReference"/>
          <w:lang w:eastAsia="zh-CN"/>
        </w:rPr>
        <w:footnoteReference w:id="16"/>
      </w:r>
    </w:p>
    <w:p w14:paraId="06FCA17A" w14:textId="193B0956" w:rsidR="00BA0140" w:rsidRDefault="00BA0140" w:rsidP="00BA0140">
      <w:pPr>
        <w:pStyle w:val="Heading3"/>
      </w:pPr>
      <w:bookmarkStart w:id="67" w:name="_Toc135990461"/>
      <w:bookmarkStart w:id="68" w:name="_Toc167113883"/>
      <w:r>
        <w:t xml:space="preserve">Domestic </w:t>
      </w:r>
      <w:r w:rsidR="00FC248C">
        <w:t>day trips</w:t>
      </w:r>
      <w:bookmarkEnd w:id="67"/>
      <w:bookmarkEnd w:id="68"/>
    </w:p>
    <w:p w14:paraId="24CB6FE2" w14:textId="22CB3D11" w:rsidR="00BA0140" w:rsidRDefault="0041765D" w:rsidP="00BA0140">
      <w:pPr>
        <w:rPr>
          <w:rFonts w:eastAsia="Verdana" w:cs="Times New Roman"/>
        </w:rPr>
      </w:pPr>
      <w:r>
        <w:rPr>
          <w:rFonts w:eastAsia="Verdana" w:cs="Times New Roman"/>
        </w:rPr>
        <w:t>In calendar year</w:t>
      </w:r>
      <w:r w:rsidR="00BA0140">
        <w:rPr>
          <w:rFonts w:eastAsia="Verdana" w:cs="Times New Roman"/>
        </w:rPr>
        <w:t xml:space="preserve"> 202</w:t>
      </w:r>
      <w:r w:rsidR="008D1FC2">
        <w:rPr>
          <w:rFonts w:eastAsia="Verdana" w:cs="Times New Roman"/>
        </w:rPr>
        <w:t>3</w:t>
      </w:r>
      <w:r w:rsidR="00BA0140">
        <w:rPr>
          <w:rFonts w:eastAsia="Verdana" w:cs="Times New Roman"/>
        </w:rPr>
        <w:t>, across the visitor economy there were:</w:t>
      </w:r>
    </w:p>
    <w:p w14:paraId="2B8FEB2C" w14:textId="623EF658" w:rsidR="00BA0140" w:rsidRPr="006F6B86" w:rsidRDefault="00BA0140" w:rsidP="0054584C">
      <w:pPr>
        <w:pStyle w:val="BulletList"/>
        <w:rPr>
          <w:rFonts w:eastAsia="Verdana" w:cs="Times New Roman"/>
          <w:color w:val="000000"/>
        </w:rPr>
      </w:pPr>
      <w:r>
        <w:t>21</w:t>
      </w:r>
      <w:r w:rsidR="00673A88">
        <w:t>6</w:t>
      </w:r>
      <w:r>
        <w:t>.</w:t>
      </w:r>
      <w:r w:rsidR="00673A88">
        <w:t>2</w:t>
      </w:r>
      <w:r>
        <w:t xml:space="preserve"> million domestic day trips (8</w:t>
      </w:r>
      <w:r w:rsidR="00673A88">
        <w:t>7</w:t>
      </w:r>
      <w:r>
        <w:t xml:space="preserve">% of the number in 2019), an increase of </w:t>
      </w:r>
      <w:r w:rsidR="0008256A">
        <w:t>7</w:t>
      </w:r>
      <w:r>
        <w:t xml:space="preserve">% compared with </w:t>
      </w:r>
      <w:proofErr w:type="gramStart"/>
      <w:r>
        <w:t>202</w:t>
      </w:r>
      <w:r w:rsidR="0008256A">
        <w:t>2</w:t>
      </w:r>
      <w:proofErr w:type="gramEnd"/>
    </w:p>
    <w:p w14:paraId="195FF3BF" w14:textId="108E5A72" w:rsidR="002753EC" w:rsidRPr="00E51661" w:rsidRDefault="0008256A" w:rsidP="0054584C">
      <w:pPr>
        <w:pStyle w:val="BulletList"/>
        <w:rPr>
          <w:rFonts w:eastAsia="Verdana" w:cs="Times New Roman"/>
          <w:color w:val="000000"/>
        </w:rPr>
      </w:pPr>
      <w:r w:rsidRPr="006F6B86">
        <w:rPr>
          <w:rFonts w:eastAsia="Verdana" w:cs="Times New Roman"/>
          <w:color w:val="auto"/>
        </w:rPr>
        <w:t>$</w:t>
      </w:r>
      <w:r w:rsidR="008947C7">
        <w:rPr>
          <w:rFonts w:eastAsia="Verdana" w:cs="Times New Roman"/>
          <w:color w:val="auto"/>
        </w:rPr>
        <w:t>3</w:t>
      </w:r>
      <w:r w:rsidRPr="006F6B86">
        <w:rPr>
          <w:rFonts w:eastAsia="Verdana" w:cs="Times New Roman"/>
          <w:color w:val="auto"/>
        </w:rPr>
        <w:t>2</w:t>
      </w:r>
      <w:r w:rsidR="008947C7">
        <w:rPr>
          <w:rFonts w:eastAsia="Verdana" w:cs="Times New Roman"/>
          <w:color w:val="auto"/>
        </w:rPr>
        <w:t>.</w:t>
      </w:r>
      <w:r w:rsidRPr="006F6B86">
        <w:rPr>
          <w:rFonts w:eastAsia="Verdana" w:cs="Times New Roman"/>
          <w:color w:val="auto"/>
        </w:rPr>
        <w:t xml:space="preserve">9 billion </w:t>
      </w:r>
      <w:r>
        <w:rPr>
          <w:rFonts w:eastAsia="Verdana" w:cs="Times New Roman"/>
          <w:color w:val="auto"/>
        </w:rPr>
        <w:t>in d</w:t>
      </w:r>
      <w:r w:rsidR="006F6B86" w:rsidRPr="006F6B86">
        <w:rPr>
          <w:rFonts w:eastAsia="Verdana" w:cs="Times New Roman"/>
          <w:color w:val="auto"/>
        </w:rPr>
        <w:t xml:space="preserve">omestic day trip spend </w:t>
      </w:r>
      <w:r>
        <w:rPr>
          <w:rFonts w:eastAsia="Verdana" w:cs="Times New Roman"/>
          <w:color w:val="auto"/>
        </w:rPr>
        <w:t>(</w:t>
      </w:r>
      <w:r w:rsidR="008947C7">
        <w:rPr>
          <w:rFonts w:eastAsia="Verdana" w:cs="Times New Roman"/>
          <w:color w:val="auto"/>
        </w:rPr>
        <w:t>125</w:t>
      </w:r>
      <w:r w:rsidR="006F6B86" w:rsidRPr="006F6B86">
        <w:rPr>
          <w:rFonts w:eastAsia="Verdana" w:cs="Times New Roman"/>
          <w:color w:val="auto"/>
        </w:rPr>
        <w:t xml:space="preserve">% </w:t>
      </w:r>
      <w:r>
        <w:rPr>
          <w:rFonts w:eastAsia="Verdana" w:cs="Times New Roman"/>
          <w:color w:val="auto"/>
        </w:rPr>
        <w:t xml:space="preserve">of the </w:t>
      </w:r>
      <w:r w:rsidRPr="006F6B86">
        <w:rPr>
          <w:rFonts w:eastAsia="Verdana" w:cs="Times New Roman"/>
          <w:color w:val="auto"/>
        </w:rPr>
        <w:t>2019 level</w:t>
      </w:r>
      <w:r>
        <w:rPr>
          <w:rFonts w:eastAsia="Verdana" w:cs="Times New Roman"/>
          <w:color w:val="auto"/>
        </w:rPr>
        <w:t>)</w:t>
      </w:r>
      <w:r w:rsidR="006F6B86" w:rsidRPr="006F6B86">
        <w:rPr>
          <w:rFonts w:eastAsia="Verdana" w:cs="Times New Roman"/>
          <w:color w:val="auto"/>
        </w:rPr>
        <w:t xml:space="preserve">, </w:t>
      </w:r>
      <w:r>
        <w:rPr>
          <w:rFonts w:eastAsia="Verdana" w:cs="Times New Roman"/>
          <w:color w:val="auto"/>
        </w:rPr>
        <w:t xml:space="preserve">an increase of </w:t>
      </w:r>
      <w:r w:rsidR="006F6B86" w:rsidRPr="006F6B86">
        <w:rPr>
          <w:rFonts w:eastAsia="Verdana" w:cs="Times New Roman"/>
          <w:color w:val="auto"/>
        </w:rPr>
        <w:t>1</w:t>
      </w:r>
      <w:r w:rsidR="008947C7">
        <w:rPr>
          <w:rFonts w:eastAsia="Verdana" w:cs="Times New Roman"/>
          <w:color w:val="auto"/>
        </w:rPr>
        <w:t>3</w:t>
      </w:r>
      <w:r w:rsidR="006F6B86" w:rsidRPr="006F6B86">
        <w:rPr>
          <w:rFonts w:eastAsia="Verdana" w:cs="Times New Roman"/>
          <w:color w:val="auto"/>
        </w:rPr>
        <w:t xml:space="preserve">% </w:t>
      </w:r>
      <w:r>
        <w:rPr>
          <w:rFonts w:eastAsia="Verdana" w:cs="Times New Roman"/>
          <w:color w:val="auto"/>
        </w:rPr>
        <w:t>compared with the previous year.</w:t>
      </w:r>
    </w:p>
    <w:p w14:paraId="5532F2EA" w14:textId="78A382F1" w:rsidR="00600B68" w:rsidRDefault="00E51661" w:rsidP="00600B68">
      <w:pPr>
        <w:spacing w:before="80" w:line="300" w:lineRule="atLeast"/>
        <w:rPr>
          <w:rFonts w:eastAsia="Verdana" w:cs="Times New Roman"/>
          <w:color w:val="000000"/>
        </w:rPr>
      </w:pPr>
      <w:r w:rsidRPr="5C8BCF34">
        <w:rPr>
          <w:rFonts w:eastAsia="Verdana" w:cs="Times New Roman"/>
        </w:rPr>
        <w:t xml:space="preserve">The recovery in </w:t>
      </w:r>
      <w:r w:rsidR="0068686D" w:rsidRPr="5C8BCF34">
        <w:rPr>
          <w:rFonts w:eastAsia="Verdana" w:cs="Times New Roman"/>
        </w:rPr>
        <w:t>domestic day trips has been slower than for overnight trips.</w:t>
      </w:r>
      <w:r w:rsidR="00957D9D" w:rsidRPr="5C8BCF34">
        <w:rPr>
          <w:rFonts w:eastAsia="Verdana" w:cs="Times New Roman"/>
        </w:rPr>
        <w:t xml:space="preserve"> In particular, </w:t>
      </w:r>
      <w:r w:rsidR="00432D33" w:rsidRPr="5C8BCF34">
        <w:rPr>
          <w:rFonts w:eastAsia="Verdana" w:cs="Times New Roman"/>
        </w:rPr>
        <w:t xml:space="preserve">the number of </w:t>
      </w:r>
      <w:r w:rsidR="00957D9D" w:rsidRPr="5C8BCF34">
        <w:rPr>
          <w:rFonts w:eastAsia="Verdana" w:cs="Times New Roman"/>
        </w:rPr>
        <w:t>domestic day trips</w:t>
      </w:r>
      <w:r w:rsidR="00432D33" w:rsidRPr="5C8BCF34">
        <w:rPr>
          <w:rFonts w:eastAsia="Verdana" w:cs="Times New Roman"/>
        </w:rPr>
        <w:t xml:space="preserve"> taken</w:t>
      </w:r>
      <w:r w:rsidR="00347B48" w:rsidRPr="5C8BCF34">
        <w:rPr>
          <w:rFonts w:eastAsia="Verdana" w:cs="Times New Roman"/>
        </w:rPr>
        <w:t xml:space="preserve"> for the purpose of</w:t>
      </w:r>
      <w:r w:rsidR="00957D9D" w:rsidRPr="5C8BCF34">
        <w:rPr>
          <w:rFonts w:eastAsia="Verdana" w:cs="Times New Roman"/>
        </w:rPr>
        <w:t xml:space="preserve"> </w:t>
      </w:r>
      <w:r w:rsidR="00347B48" w:rsidRPr="5C8BCF34">
        <w:rPr>
          <w:rFonts w:eastAsia="Verdana" w:cs="Times New Roman"/>
        </w:rPr>
        <w:t xml:space="preserve">business </w:t>
      </w:r>
      <w:r w:rsidR="00957D9D" w:rsidRPr="5C8BCF34">
        <w:rPr>
          <w:rFonts w:eastAsia="Verdana" w:cs="Times New Roman"/>
        </w:rPr>
        <w:t xml:space="preserve">in 2023 </w:t>
      </w:r>
      <w:r w:rsidR="00432D33" w:rsidRPr="5C8BCF34">
        <w:rPr>
          <w:rFonts w:eastAsia="Verdana" w:cs="Times New Roman"/>
        </w:rPr>
        <w:t>was</w:t>
      </w:r>
      <w:r w:rsidR="00957D9D" w:rsidRPr="5C8BCF34">
        <w:rPr>
          <w:rFonts w:eastAsia="Verdana" w:cs="Times New Roman"/>
        </w:rPr>
        <w:t xml:space="preserve"> 31% below the 2019 level</w:t>
      </w:r>
      <w:r w:rsidR="00860E14" w:rsidRPr="5C8BCF34">
        <w:rPr>
          <w:rFonts w:eastAsia="Verdana" w:cs="Times New Roman"/>
        </w:rPr>
        <w:t xml:space="preserve"> (23.8 million in 2023 compared with 34.6 million in 2019)</w:t>
      </w:r>
      <w:r w:rsidR="00432D33" w:rsidRPr="5C8BCF34">
        <w:rPr>
          <w:rFonts w:eastAsia="Verdana" w:cs="Times New Roman"/>
        </w:rPr>
        <w:t xml:space="preserve"> and showed little signs of growth over the year</w:t>
      </w:r>
      <w:r w:rsidR="00381B3A" w:rsidRPr="5C8BCF34">
        <w:rPr>
          <w:rFonts w:eastAsia="Verdana" w:cs="Times New Roman"/>
        </w:rPr>
        <w:t xml:space="preserve"> (Figure </w:t>
      </w:r>
      <w:r w:rsidR="008C2560" w:rsidRPr="5C8BCF34">
        <w:rPr>
          <w:rFonts w:eastAsia="Verdana" w:cs="Times New Roman"/>
        </w:rPr>
        <w:t>1</w:t>
      </w:r>
      <w:r w:rsidR="008C2560">
        <w:rPr>
          <w:rFonts w:eastAsia="Verdana" w:cs="Times New Roman"/>
        </w:rPr>
        <w:t>5</w:t>
      </w:r>
      <w:r w:rsidR="00381B3A" w:rsidRPr="5C8BCF34">
        <w:rPr>
          <w:rFonts w:eastAsia="Verdana" w:cs="Times New Roman"/>
        </w:rPr>
        <w:t>)</w:t>
      </w:r>
      <w:r w:rsidR="00957D9D" w:rsidRPr="5C8BCF34">
        <w:rPr>
          <w:rFonts w:eastAsia="Verdana" w:cs="Times New Roman"/>
        </w:rPr>
        <w:t xml:space="preserve">. </w:t>
      </w:r>
      <w:r w:rsidR="00341191" w:rsidRPr="5C8BCF34">
        <w:rPr>
          <w:rFonts w:eastAsia="Verdana" w:cs="Times New Roman"/>
        </w:rPr>
        <w:t xml:space="preserve">Financial pressures on business and government likely contributed to the soft outcome, as well as </w:t>
      </w:r>
      <w:r w:rsidR="00CF71DD" w:rsidRPr="5C8BCF34">
        <w:rPr>
          <w:rFonts w:eastAsia="Verdana" w:cs="Times New Roman"/>
        </w:rPr>
        <w:t xml:space="preserve">the impact of </w:t>
      </w:r>
      <w:r w:rsidR="00B848DC">
        <w:rPr>
          <w:rFonts w:eastAsia="Verdana" w:cs="Times New Roman"/>
        </w:rPr>
        <w:t xml:space="preserve">more </w:t>
      </w:r>
      <w:r w:rsidR="00CF71DD" w:rsidRPr="5C8BCF34">
        <w:rPr>
          <w:rFonts w:eastAsia="Verdana" w:cs="Times New Roman"/>
        </w:rPr>
        <w:t xml:space="preserve">prevalent </w:t>
      </w:r>
      <w:r w:rsidR="00D8148A" w:rsidRPr="5C8BCF34">
        <w:rPr>
          <w:rFonts w:eastAsia="Verdana" w:cs="Times New Roman"/>
        </w:rPr>
        <w:t>o</w:t>
      </w:r>
      <w:r w:rsidR="00CF71DD" w:rsidRPr="5C8BCF34">
        <w:rPr>
          <w:rFonts w:eastAsia="Verdana" w:cs="Times New Roman"/>
        </w:rPr>
        <w:t>nline business communication methods</w:t>
      </w:r>
      <w:r w:rsidR="00A35A64" w:rsidRPr="5C8BCF34">
        <w:rPr>
          <w:rFonts w:eastAsia="Verdana" w:cs="Times New Roman"/>
        </w:rPr>
        <w:t xml:space="preserve">. </w:t>
      </w:r>
      <w:r w:rsidR="005027BA" w:rsidRPr="5C8BCF34">
        <w:rPr>
          <w:rFonts w:eastAsia="Verdana" w:cs="Times New Roman"/>
        </w:rPr>
        <w:t>I</w:t>
      </w:r>
      <w:r w:rsidR="00A35A64" w:rsidRPr="5C8BCF34">
        <w:rPr>
          <w:rFonts w:eastAsia="Verdana" w:cs="Times New Roman"/>
        </w:rPr>
        <w:t xml:space="preserve">ncreased </w:t>
      </w:r>
      <w:r w:rsidR="005027BA" w:rsidRPr="5C8BCF34">
        <w:rPr>
          <w:rFonts w:eastAsia="Verdana" w:cs="Times New Roman"/>
        </w:rPr>
        <w:t xml:space="preserve">monitoring of carbon emissions related to business travel </w:t>
      </w:r>
      <w:r w:rsidR="00C941AE" w:rsidRPr="5C8BCF34">
        <w:rPr>
          <w:rFonts w:eastAsia="Verdana" w:cs="Times New Roman"/>
        </w:rPr>
        <w:t>may have also dampened demand in this sector.</w:t>
      </w:r>
      <w:r w:rsidR="00446F0F" w:rsidRPr="5C8BCF34">
        <w:rPr>
          <w:rFonts w:eastAsia="Verdana" w:cs="Times New Roman"/>
        </w:rPr>
        <w:t xml:space="preserve"> These factors are expected to have a larger impact on domestic business day trips, than on </w:t>
      </w:r>
      <w:r w:rsidR="00591BC4" w:rsidRPr="5C8BCF34">
        <w:rPr>
          <w:rFonts w:eastAsia="Verdana" w:cs="Times New Roman"/>
        </w:rPr>
        <w:t>domestic business overnight trips.</w:t>
      </w:r>
      <w:r w:rsidR="00600B68" w:rsidRPr="5C8BCF34">
        <w:rPr>
          <w:rFonts w:eastAsia="Verdana" w:cs="Times New Roman"/>
        </w:rPr>
        <w:t xml:space="preserve"> </w:t>
      </w:r>
    </w:p>
    <w:p w14:paraId="5C877BE3" w14:textId="2AE93421" w:rsidR="00E51661" w:rsidRDefault="00600B68" w:rsidP="003177D5">
      <w:pPr>
        <w:spacing w:before="80" w:line="300" w:lineRule="atLeast"/>
        <w:rPr>
          <w:rFonts w:eastAsia="Verdana" w:cs="Times New Roman"/>
          <w:color w:val="000000"/>
        </w:rPr>
      </w:pPr>
      <w:r>
        <w:rPr>
          <w:rFonts w:eastAsia="Verdana" w:cs="Times New Roman"/>
          <w:color w:val="000000"/>
        </w:rPr>
        <w:t>The lack of recovery in day trips in 2023 was more evident in interstate day trips than intrastate</w:t>
      </w:r>
      <w:r>
        <w:rPr>
          <w:rStyle w:val="FootnoteReference"/>
          <w:rFonts w:eastAsia="Verdana" w:cs="Times New Roman"/>
          <w:color w:val="000000"/>
        </w:rPr>
        <w:footnoteReference w:id="17"/>
      </w:r>
      <w:r>
        <w:rPr>
          <w:rFonts w:eastAsia="Verdana" w:cs="Times New Roman"/>
          <w:color w:val="000000"/>
        </w:rPr>
        <w:t xml:space="preserve"> day trips</w:t>
      </w:r>
      <w:r w:rsidR="009110AB">
        <w:rPr>
          <w:rFonts w:eastAsia="Verdana" w:cs="Times New Roman"/>
          <w:color w:val="000000"/>
        </w:rPr>
        <w:t>. The slow recovery in</w:t>
      </w:r>
      <w:r>
        <w:rPr>
          <w:rFonts w:eastAsia="Verdana" w:cs="Times New Roman"/>
          <w:color w:val="000000"/>
        </w:rPr>
        <w:t xml:space="preserve"> day trips </w:t>
      </w:r>
      <w:r w:rsidR="009110AB">
        <w:rPr>
          <w:rFonts w:eastAsia="Verdana" w:cs="Times New Roman"/>
          <w:color w:val="000000"/>
        </w:rPr>
        <w:t>in 2023 was also more obvious in</w:t>
      </w:r>
      <w:r>
        <w:rPr>
          <w:rFonts w:eastAsia="Verdana" w:cs="Times New Roman"/>
          <w:color w:val="000000"/>
        </w:rPr>
        <w:t xml:space="preserve"> Tasmania and the Northern Territory. </w:t>
      </w:r>
    </w:p>
    <w:p w14:paraId="58408A4F" w14:textId="008AFE0B" w:rsidR="00680E11" w:rsidRPr="00680E11" w:rsidRDefault="00DD622E" w:rsidP="00D95493">
      <w:pPr>
        <w:pStyle w:val="Caption"/>
        <w:keepNext/>
        <w:spacing w:line="300" w:lineRule="atLeast"/>
        <w:rPr>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Pr>
          <w:b/>
          <w:bCs/>
          <w:i w:val="0"/>
          <w:iCs w:val="0"/>
          <w:noProof/>
          <w:sz w:val="20"/>
          <w:szCs w:val="20"/>
        </w:rPr>
        <w:t>15</w:t>
      </w:r>
      <w:r>
        <w:rPr>
          <w:b/>
          <w:bCs/>
          <w:i w:val="0"/>
          <w:iCs w:val="0"/>
          <w:sz w:val="20"/>
          <w:szCs w:val="20"/>
        </w:rPr>
        <w:fldChar w:fldCharType="end"/>
      </w:r>
      <w:r w:rsidR="00680E11">
        <w:rPr>
          <w:b/>
          <w:bCs/>
          <w:i w:val="0"/>
          <w:iCs w:val="0"/>
          <w:sz w:val="20"/>
          <w:szCs w:val="20"/>
        </w:rPr>
        <w:fldChar w:fldCharType="begin"/>
      </w:r>
      <w:r w:rsidR="00680E11">
        <w:rPr>
          <w:b/>
          <w:bCs/>
          <w:i w:val="0"/>
          <w:iCs w:val="0"/>
          <w:sz w:val="20"/>
          <w:szCs w:val="20"/>
        </w:rPr>
        <w:instrText xml:space="preserve"> SEQ Figure \* ARABIC </w:instrText>
      </w:r>
      <w:r w:rsidR="006C1E97">
        <w:rPr>
          <w:b/>
          <w:bCs/>
          <w:i w:val="0"/>
          <w:iCs w:val="0"/>
          <w:sz w:val="20"/>
          <w:szCs w:val="20"/>
        </w:rPr>
        <w:fldChar w:fldCharType="separate"/>
      </w:r>
      <w:r w:rsidR="00680E11">
        <w:rPr>
          <w:b/>
          <w:bCs/>
          <w:i w:val="0"/>
          <w:iCs w:val="0"/>
          <w:sz w:val="20"/>
          <w:szCs w:val="20"/>
        </w:rPr>
        <w:fldChar w:fldCharType="end"/>
      </w:r>
      <w:r w:rsidR="00680E11">
        <w:rPr>
          <w:b/>
          <w:bCs/>
          <w:i w:val="0"/>
          <w:iCs w:val="0"/>
          <w:sz w:val="20"/>
          <w:szCs w:val="20"/>
        </w:rPr>
        <w:t xml:space="preserve">. </w:t>
      </w:r>
      <w:r w:rsidR="00680E11">
        <w:rPr>
          <w:i w:val="0"/>
          <w:iCs w:val="0"/>
          <w:sz w:val="20"/>
          <w:szCs w:val="20"/>
        </w:rPr>
        <w:t xml:space="preserve">Domestic day trips and day </w:t>
      </w:r>
      <w:proofErr w:type="gramStart"/>
      <w:r w:rsidR="00680E11">
        <w:rPr>
          <w:i w:val="0"/>
          <w:iCs w:val="0"/>
          <w:sz w:val="20"/>
          <w:szCs w:val="20"/>
        </w:rPr>
        <w:t>trip</w:t>
      </w:r>
      <w:proofErr w:type="gramEnd"/>
      <w:r w:rsidR="00680E11">
        <w:rPr>
          <w:i w:val="0"/>
          <w:iCs w:val="0"/>
          <w:sz w:val="20"/>
          <w:szCs w:val="20"/>
        </w:rPr>
        <w:t xml:space="preserve"> spend by purpose of trip, </w:t>
      </w:r>
      <w:r w:rsidR="00CF02BA">
        <w:rPr>
          <w:i w:val="0"/>
          <w:iCs w:val="0"/>
          <w:sz w:val="20"/>
          <w:szCs w:val="20"/>
        </w:rPr>
        <w:t xml:space="preserve">annual, 2017 to </w:t>
      </w:r>
      <w:r w:rsidR="00680E11">
        <w:rPr>
          <w:i w:val="0"/>
          <w:iCs w:val="0"/>
          <w:sz w:val="20"/>
          <w:szCs w:val="20"/>
        </w:rPr>
        <w:t>2023.</w:t>
      </w:r>
    </w:p>
    <w:p w14:paraId="1264D0BB" w14:textId="4465F08B" w:rsidR="00680E11" w:rsidRDefault="00021A14" w:rsidP="00680E11">
      <w:pPr>
        <w:spacing w:before="80" w:line="300" w:lineRule="atLeast"/>
        <w:rPr>
          <w:rFonts w:eastAsia="Verdana" w:cs="Times New Roman"/>
          <w:color w:val="000000"/>
        </w:rPr>
      </w:pPr>
      <w:r w:rsidRPr="00021A14">
        <w:rPr>
          <w:noProof/>
        </w:rPr>
        <w:drawing>
          <wp:inline distT="0" distB="0" distL="0" distR="0" wp14:anchorId="5F02D985" wp14:editId="70EA8656">
            <wp:extent cx="6329680" cy="3848100"/>
            <wp:effectExtent l="0" t="0" r="0" b="0"/>
            <wp:docPr id="905709377" name="Picture 6" descr="Figure 15 shows two side-by-side line charts with the number of day trips on the left panel and the spend on day trips on the right panel. Each panel has 4 lines to show day trips by purpose (holiday, VFR, business and other), with annual data covering the period 2017 to 2023. Day trips for holiday purposes is the largest category and this category has recovered the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09377" name="Picture 6" descr="Figure 15 shows two side-by-side line charts with the number of day trips on the left panel and the spend on day trips on the right panel. Each panel has 4 lines to show day trips by purpose (holiday, VFR, business and other), with annual data covering the period 2017 to 2023. Day trips for holiday purposes is the largest category and this category has recovered the most."/>
                    <pic:cNvPicPr>
                      <a:picLocks noChangeAspect="1" noChangeArrowheads="1"/>
                    </pic:cNvPicPr>
                  </pic:nvPicPr>
                  <pic:blipFill rotWithShape="1">
                    <a:blip r:embed="rId39">
                      <a:extLst>
                        <a:ext uri="{28A0092B-C50C-407E-A947-70E740481C1C}">
                          <a14:useLocalDpi xmlns:a14="http://schemas.microsoft.com/office/drawing/2010/main" val="0"/>
                        </a:ext>
                      </a:extLst>
                    </a:blip>
                    <a:srcRect t="5914" b="3584"/>
                    <a:stretch/>
                  </pic:blipFill>
                  <pic:spPr bwMode="auto">
                    <a:xfrm>
                      <a:off x="0" y="0"/>
                      <a:ext cx="6329680"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559B1BDA" w14:textId="09EF69AA" w:rsidR="008A2E96" w:rsidRDefault="008A2E96" w:rsidP="008A2E96">
      <w:pPr>
        <w:pStyle w:val="Heading3"/>
      </w:pPr>
      <w:bookmarkStart w:id="69" w:name="_Toc167113884"/>
      <w:r>
        <w:t>Domestic overnight trips</w:t>
      </w:r>
      <w:bookmarkEnd w:id="69"/>
    </w:p>
    <w:p w14:paraId="447CC59E" w14:textId="76405965" w:rsidR="002753EC" w:rsidRPr="002753EC" w:rsidRDefault="007F0602" w:rsidP="002753EC">
      <w:pPr>
        <w:spacing w:before="80"/>
        <w:rPr>
          <w:rFonts w:eastAsia="Verdana" w:cs="Times New Roman"/>
          <w:color w:val="000000"/>
        </w:rPr>
      </w:pPr>
      <w:r>
        <w:rPr>
          <w:rFonts w:eastAsia="Verdana" w:cs="Times New Roman"/>
          <w:color w:val="000000"/>
        </w:rPr>
        <w:t>In 2023, there were:</w:t>
      </w:r>
    </w:p>
    <w:p w14:paraId="50CB1238" w14:textId="2DF5B398" w:rsidR="006F6B86" w:rsidRPr="006F6B86" w:rsidRDefault="0014682A" w:rsidP="0054584C">
      <w:pPr>
        <w:pStyle w:val="BulletList"/>
        <w:rPr>
          <w:rFonts w:eastAsia="Verdana" w:cs="Times New Roman"/>
          <w:color w:val="000000"/>
        </w:rPr>
      </w:pPr>
      <w:r>
        <w:t>112.6</w:t>
      </w:r>
      <w:r w:rsidR="00AC6CF6">
        <w:t xml:space="preserve"> </w:t>
      </w:r>
      <w:r w:rsidR="00BA0140">
        <w:t>million domestic overnight trips (9</w:t>
      </w:r>
      <w:r w:rsidR="00C17BA5">
        <w:t>6</w:t>
      </w:r>
      <w:r w:rsidR="00BA0140">
        <w:t xml:space="preserve">% of the number in 2019), an increase of </w:t>
      </w:r>
      <w:r>
        <w:t>4</w:t>
      </w:r>
      <w:r w:rsidR="00BA0140">
        <w:t>%</w:t>
      </w:r>
      <w:r w:rsidR="00BF10BA">
        <w:t xml:space="preserve"> (</w:t>
      </w:r>
      <w:r>
        <w:t>4.4</w:t>
      </w:r>
      <w:r w:rsidR="00BF10BA">
        <w:t xml:space="preserve"> million trips)</w:t>
      </w:r>
      <w:r w:rsidR="00BA0140">
        <w:t xml:space="preserve"> compared with </w:t>
      </w:r>
      <w:proofErr w:type="gramStart"/>
      <w:r w:rsidR="00BA0140">
        <w:t>20</w:t>
      </w:r>
      <w:r w:rsidR="00BF10BA">
        <w:t>22</w:t>
      </w:r>
      <w:proofErr w:type="gramEnd"/>
      <w:r w:rsidR="00BA0140" w:rsidRPr="006F6B86">
        <w:rPr>
          <w:rFonts w:eastAsia="Verdana" w:cs="Times New Roman"/>
          <w:color w:val="auto"/>
        </w:rPr>
        <w:t xml:space="preserve"> </w:t>
      </w:r>
    </w:p>
    <w:p w14:paraId="23909658" w14:textId="3ADBA4AF" w:rsidR="008154F5" w:rsidRPr="008154F5" w:rsidRDefault="001F42B3" w:rsidP="0054584C">
      <w:pPr>
        <w:pStyle w:val="BulletList"/>
        <w:rPr>
          <w:rFonts w:eastAsia="Verdana" w:cs="Times New Roman"/>
          <w:color w:val="000000"/>
        </w:rPr>
      </w:pPr>
      <w:r>
        <w:rPr>
          <w:rFonts w:eastAsia="Verdana" w:cs="Times New Roman"/>
          <w:color w:val="auto"/>
        </w:rPr>
        <w:t xml:space="preserve">402.4 million </w:t>
      </w:r>
      <w:r w:rsidR="00C310BB">
        <w:rPr>
          <w:rFonts w:eastAsia="Verdana" w:cs="Times New Roman"/>
          <w:color w:val="auto"/>
        </w:rPr>
        <w:t>domestic n</w:t>
      </w:r>
      <w:r w:rsidR="00737DC7">
        <w:rPr>
          <w:rFonts w:eastAsia="Verdana" w:cs="Times New Roman"/>
          <w:color w:val="auto"/>
        </w:rPr>
        <w:t xml:space="preserve">ights </w:t>
      </w:r>
      <w:r w:rsidR="00C310BB">
        <w:rPr>
          <w:rFonts w:eastAsia="Verdana" w:cs="Times New Roman"/>
          <w:color w:val="auto"/>
        </w:rPr>
        <w:t>away (</w:t>
      </w:r>
      <w:r w:rsidR="00C310BB">
        <w:t>9</w:t>
      </w:r>
      <w:r w:rsidR="00A82B23">
        <w:t>6</w:t>
      </w:r>
      <w:r w:rsidR="00C310BB">
        <w:t>% of the number in 2019), an increase of 1% (</w:t>
      </w:r>
      <w:r w:rsidR="00A82B23">
        <w:t>2.7</w:t>
      </w:r>
      <w:r w:rsidR="00624A29">
        <w:t xml:space="preserve"> </w:t>
      </w:r>
      <w:r w:rsidR="00C310BB">
        <w:t xml:space="preserve">million </w:t>
      </w:r>
      <w:r w:rsidR="00624A29">
        <w:t>nights</w:t>
      </w:r>
      <w:r w:rsidR="00C310BB">
        <w:t xml:space="preserve">) compared with </w:t>
      </w:r>
      <w:proofErr w:type="gramStart"/>
      <w:r w:rsidR="00C310BB">
        <w:t>2022</w:t>
      </w:r>
      <w:proofErr w:type="gramEnd"/>
    </w:p>
    <w:p w14:paraId="2F9B81CB" w14:textId="7BF224D9" w:rsidR="00FE3339" w:rsidRPr="002456CC" w:rsidRDefault="00A82B23" w:rsidP="0054584C">
      <w:pPr>
        <w:pStyle w:val="BulletList"/>
        <w:rPr>
          <w:rFonts w:eastAsia="Verdana" w:cs="Times New Roman"/>
          <w:color w:val="000000"/>
        </w:rPr>
      </w:pPr>
      <w:r w:rsidRPr="006F6B86">
        <w:rPr>
          <w:rFonts w:eastAsia="Verdana" w:cs="Times New Roman"/>
          <w:color w:val="auto"/>
        </w:rPr>
        <w:t>$10</w:t>
      </w:r>
      <w:r>
        <w:rPr>
          <w:rFonts w:eastAsia="Verdana" w:cs="Times New Roman"/>
          <w:color w:val="auto"/>
        </w:rPr>
        <w:t>9</w:t>
      </w:r>
      <w:r w:rsidRPr="006F6B86">
        <w:rPr>
          <w:rFonts w:eastAsia="Verdana" w:cs="Times New Roman"/>
          <w:color w:val="auto"/>
        </w:rPr>
        <w:t>.</w:t>
      </w:r>
      <w:r>
        <w:rPr>
          <w:rFonts w:eastAsia="Verdana" w:cs="Times New Roman"/>
          <w:color w:val="auto"/>
        </w:rPr>
        <w:t>3</w:t>
      </w:r>
      <w:r w:rsidRPr="006F6B86">
        <w:rPr>
          <w:rFonts w:eastAsia="Verdana" w:cs="Times New Roman"/>
          <w:color w:val="auto"/>
        </w:rPr>
        <w:t xml:space="preserve"> billion </w:t>
      </w:r>
      <w:r>
        <w:rPr>
          <w:rFonts w:eastAsia="Verdana" w:cs="Times New Roman"/>
          <w:color w:val="auto"/>
        </w:rPr>
        <w:t>in d</w:t>
      </w:r>
      <w:r w:rsidR="008154F5" w:rsidRPr="006F6B86">
        <w:rPr>
          <w:rFonts w:eastAsia="Verdana" w:cs="Times New Roman"/>
          <w:color w:val="auto"/>
        </w:rPr>
        <w:t xml:space="preserve">omestic overnight trip spend </w:t>
      </w:r>
      <w:r w:rsidR="00D226A6">
        <w:rPr>
          <w:rFonts w:eastAsia="Verdana" w:cs="Times New Roman"/>
          <w:color w:val="auto"/>
        </w:rPr>
        <w:t>(135</w:t>
      </w:r>
      <w:r w:rsidR="00D226A6" w:rsidRPr="006F6B86">
        <w:rPr>
          <w:rFonts w:eastAsia="Verdana" w:cs="Times New Roman"/>
          <w:color w:val="auto"/>
        </w:rPr>
        <w:t xml:space="preserve">% </w:t>
      </w:r>
      <w:r w:rsidR="00D226A6">
        <w:rPr>
          <w:rFonts w:eastAsia="Verdana" w:cs="Times New Roman"/>
          <w:color w:val="auto"/>
        </w:rPr>
        <w:t xml:space="preserve">of the </w:t>
      </w:r>
      <w:r w:rsidR="00D226A6" w:rsidRPr="006F6B86">
        <w:rPr>
          <w:rFonts w:eastAsia="Verdana" w:cs="Times New Roman"/>
          <w:color w:val="auto"/>
        </w:rPr>
        <w:t>2019 level</w:t>
      </w:r>
      <w:r w:rsidR="00D226A6">
        <w:rPr>
          <w:rFonts w:eastAsia="Verdana" w:cs="Times New Roman"/>
          <w:color w:val="auto"/>
        </w:rPr>
        <w:t xml:space="preserve">), an increase of </w:t>
      </w:r>
      <w:r w:rsidR="008154F5">
        <w:rPr>
          <w:rFonts w:eastAsia="Verdana" w:cs="Times New Roman"/>
          <w:color w:val="auto"/>
        </w:rPr>
        <w:t>8</w:t>
      </w:r>
      <w:r w:rsidR="008154F5" w:rsidRPr="006F6B86">
        <w:rPr>
          <w:rFonts w:eastAsia="Verdana" w:cs="Times New Roman"/>
          <w:color w:val="auto"/>
        </w:rPr>
        <w:t xml:space="preserve">% </w:t>
      </w:r>
      <w:r w:rsidR="00F13BF8">
        <w:rPr>
          <w:rFonts w:eastAsia="Verdana" w:cs="Times New Roman"/>
          <w:color w:val="auto"/>
        </w:rPr>
        <w:t xml:space="preserve">($8 billion) </w:t>
      </w:r>
      <w:r w:rsidR="00D226A6">
        <w:rPr>
          <w:rFonts w:eastAsia="Verdana" w:cs="Times New Roman"/>
          <w:color w:val="auto"/>
        </w:rPr>
        <w:t>compared with the previous year</w:t>
      </w:r>
      <w:r w:rsidRPr="00D226A6">
        <w:rPr>
          <w:rFonts w:eastAsia="Verdana" w:cs="Times New Roman"/>
          <w:color w:val="auto"/>
        </w:rPr>
        <w:t>.</w:t>
      </w:r>
    </w:p>
    <w:p w14:paraId="2E5C24D4" w14:textId="1453220E" w:rsidR="008C6BBD" w:rsidRDefault="002456CC" w:rsidP="008C6BBD">
      <w:r>
        <w:rPr>
          <w:rFonts w:eastAsia="Verdana" w:cs="Times New Roman"/>
          <w:color w:val="000000"/>
        </w:rPr>
        <w:t xml:space="preserve">Trends in domestic overnight travel in 2023 varied by purpose of trip and destination. There were signs that travellers </w:t>
      </w:r>
      <w:r w:rsidR="008C6BBD">
        <w:rPr>
          <w:rFonts w:eastAsia="Verdana" w:cs="Times New Roman"/>
          <w:color w:val="000000"/>
        </w:rPr>
        <w:t>adjusted</w:t>
      </w:r>
      <w:r>
        <w:rPr>
          <w:rFonts w:eastAsia="Verdana" w:cs="Times New Roman"/>
          <w:color w:val="000000"/>
        </w:rPr>
        <w:t xml:space="preserve"> their travel</w:t>
      </w:r>
      <w:r w:rsidR="007141B1">
        <w:rPr>
          <w:rFonts w:eastAsia="Verdana" w:cs="Times New Roman"/>
          <w:color w:val="000000"/>
        </w:rPr>
        <w:t xml:space="preserve"> plans compared to the previous year, </w:t>
      </w:r>
      <w:r w:rsidR="008C6BBD">
        <w:rPr>
          <w:rFonts w:eastAsia="Verdana" w:cs="Times New Roman"/>
          <w:color w:val="000000"/>
        </w:rPr>
        <w:t xml:space="preserve">perhaps </w:t>
      </w:r>
      <w:r w:rsidR="007141B1">
        <w:rPr>
          <w:rFonts w:eastAsia="Verdana" w:cs="Times New Roman"/>
          <w:color w:val="000000"/>
        </w:rPr>
        <w:t>to reduce the cost of trips</w:t>
      </w:r>
      <w:r w:rsidR="008C6BBD">
        <w:rPr>
          <w:rFonts w:eastAsia="Verdana" w:cs="Times New Roman"/>
          <w:color w:val="000000"/>
        </w:rPr>
        <w:t xml:space="preserve">. For example, </w:t>
      </w:r>
      <w:r w:rsidR="008C6BBD">
        <w:t xml:space="preserve">Australians took more short trips (4 nights or less) and fewer </w:t>
      </w:r>
      <w:r w:rsidR="006753D9">
        <w:t>extended</w:t>
      </w:r>
      <w:r w:rsidR="008C6BBD">
        <w:t xml:space="preserve"> trips (5 nights or more) in 2023 compared with 2022</w:t>
      </w:r>
      <w:r w:rsidR="006753D9">
        <w:t xml:space="preserve"> (Figure 1</w:t>
      </w:r>
      <w:r w:rsidR="00C11BAC">
        <w:t>6</w:t>
      </w:r>
      <w:r w:rsidR="006753D9">
        <w:t>)</w:t>
      </w:r>
      <w:r w:rsidR="008C6BBD">
        <w:t>. In 2023, among the domestic overnight trips, there were:</w:t>
      </w:r>
    </w:p>
    <w:p w14:paraId="1FFD9962" w14:textId="77777777" w:rsidR="008C6BBD" w:rsidRDefault="008C6BBD" w:rsidP="0054584C">
      <w:pPr>
        <w:pStyle w:val="BulletList"/>
      </w:pPr>
      <w:r>
        <w:t xml:space="preserve">6% more (additional 3.7 million) trips that were 1 to 2 </w:t>
      </w:r>
      <w:proofErr w:type="gramStart"/>
      <w:r>
        <w:t>nights</w:t>
      </w:r>
      <w:proofErr w:type="gramEnd"/>
    </w:p>
    <w:p w14:paraId="5EF1F933" w14:textId="77777777" w:rsidR="008C6BBD" w:rsidRDefault="008C6BBD" w:rsidP="0054584C">
      <w:pPr>
        <w:pStyle w:val="BulletList"/>
      </w:pPr>
      <w:r>
        <w:t xml:space="preserve">6% more (additional 1.5 million) trips that were 3 to 4 </w:t>
      </w:r>
      <w:proofErr w:type="gramStart"/>
      <w:r>
        <w:t>nights</w:t>
      </w:r>
      <w:proofErr w:type="gramEnd"/>
    </w:p>
    <w:p w14:paraId="03F20700" w14:textId="77777777" w:rsidR="008C6BBD" w:rsidRDefault="008C6BBD" w:rsidP="0054584C">
      <w:pPr>
        <w:pStyle w:val="BulletList"/>
      </w:pPr>
      <w:r>
        <w:t>2% less (300,000</w:t>
      </w:r>
      <w:r w:rsidRPr="00CA7BD9">
        <w:t xml:space="preserve"> </w:t>
      </w:r>
      <w:r>
        <w:t xml:space="preserve">fewer) trips that were 5 to 7 </w:t>
      </w:r>
      <w:proofErr w:type="gramStart"/>
      <w:r>
        <w:t>nights</w:t>
      </w:r>
      <w:proofErr w:type="gramEnd"/>
    </w:p>
    <w:p w14:paraId="77034CEF" w14:textId="77777777" w:rsidR="008C6BBD" w:rsidRDefault="008C6BBD" w:rsidP="0054584C">
      <w:pPr>
        <w:pStyle w:val="BulletList"/>
      </w:pPr>
      <w:r>
        <w:t>6% less (600,000</w:t>
      </w:r>
      <w:r w:rsidRPr="00CA7BD9">
        <w:t xml:space="preserve"> </w:t>
      </w:r>
      <w:r>
        <w:t>fewer) trips that lasted over a week.</w:t>
      </w:r>
    </w:p>
    <w:p w14:paraId="4E9C81A3" w14:textId="581E1D2C" w:rsidR="008C6BBD" w:rsidRPr="00AB4728" w:rsidRDefault="008C6BBD" w:rsidP="00600B68">
      <w:pPr>
        <w:pStyle w:val="Caption"/>
        <w:keepNext/>
        <w:spacing w:line="300" w:lineRule="atLeast"/>
        <w:rPr>
          <w:b/>
          <w:bCs/>
          <w:i w:val="0"/>
          <w:iCs w:val="0"/>
          <w:sz w:val="20"/>
          <w:szCs w:val="20"/>
        </w:rPr>
      </w:pPr>
      <w:r w:rsidRPr="00AB4728">
        <w:rPr>
          <w:b/>
          <w:bCs/>
          <w:i w:val="0"/>
          <w:iCs w:val="0"/>
          <w:sz w:val="20"/>
          <w:szCs w:val="20"/>
        </w:rPr>
        <w:lastRenderedPageBreak/>
        <w:t xml:space="preserve">Figure </w:t>
      </w:r>
      <w:r w:rsidRPr="00AB4728">
        <w:rPr>
          <w:b/>
          <w:bCs/>
          <w:i w:val="0"/>
          <w:iCs w:val="0"/>
          <w:sz w:val="20"/>
          <w:szCs w:val="20"/>
        </w:rPr>
        <w:fldChar w:fldCharType="begin"/>
      </w:r>
      <w:r w:rsidRPr="00AB4728">
        <w:rPr>
          <w:b/>
          <w:bCs/>
          <w:i w:val="0"/>
          <w:iCs w:val="0"/>
          <w:sz w:val="20"/>
          <w:szCs w:val="20"/>
        </w:rPr>
        <w:instrText xml:space="preserve"> SEQ Figure \* ARABIC </w:instrText>
      </w:r>
      <w:r w:rsidRPr="00AB4728">
        <w:rPr>
          <w:b/>
          <w:bCs/>
          <w:i w:val="0"/>
          <w:iCs w:val="0"/>
          <w:sz w:val="20"/>
          <w:szCs w:val="20"/>
        </w:rPr>
        <w:fldChar w:fldCharType="separate"/>
      </w:r>
      <w:r w:rsidR="00C11BAC">
        <w:rPr>
          <w:b/>
          <w:bCs/>
          <w:i w:val="0"/>
          <w:iCs w:val="0"/>
          <w:noProof/>
          <w:sz w:val="20"/>
          <w:szCs w:val="20"/>
        </w:rPr>
        <w:t>16</w:t>
      </w:r>
      <w:r w:rsidRPr="00AB4728">
        <w:rPr>
          <w:b/>
          <w:bCs/>
          <w:i w:val="0"/>
          <w:iCs w:val="0"/>
          <w:sz w:val="20"/>
          <w:szCs w:val="20"/>
        </w:rPr>
        <w:fldChar w:fldCharType="end"/>
      </w:r>
      <w:r w:rsidRPr="00AB4728">
        <w:rPr>
          <w:b/>
          <w:bCs/>
          <w:i w:val="0"/>
          <w:iCs w:val="0"/>
          <w:sz w:val="20"/>
          <w:szCs w:val="20"/>
        </w:rPr>
        <w:t xml:space="preserve">. </w:t>
      </w:r>
      <w:r w:rsidRPr="00AB4728">
        <w:rPr>
          <w:i w:val="0"/>
          <w:iCs w:val="0"/>
          <w:sz w:val="20"/>
          <w:szCs w:val="20"/>
        </w:rPr>
        <w:t>Domestic overnight trips</w:t>
      </w:r>
      <w:r>
        <w:rPr>
          <w:i w:val="0"/>
          <w:iCs w:val="0"/>
          <w:sz w:val="20"/>
          <w:szCs w:val="20"/>
        </w:rPr>
        <w:t xml:space="preserve"> </w:t>
      </w:r>
      <w:r w:rsidRPr="00AB4728">
        <w:rPr>
          <w:i w:val="0"/>
          <w:iCs w:val="0"/>
          <w:sz w:val="20"/>
          <w:szCs w:val="20"/>
        </w:rPr>
        <w:t xml:space="preserve">by </w:t>
      </w:r>
      <w:r>
        <w:rPr>
          <w:i w:val="0"/>
          <w:iCs w:val="0"/>
          <w:sz w:val="20"/>
          <w:szCs w:val="20"/>
        </w:rPr>
        <w:t>length of trips</w:t>
      </w:r>
      <w:r w:rsidRPr="00AB4728">
        <w:rPr>
          <w:i w:val="0"/>
          <w:iCs w:val="0"/>
          <w:sz w:val="20"/>
          <w:szCs w:val="20"/>
        </w:rPr>
        <w:t>, 2023</w:t>
      </w:r>
      <w:r>
        <w:rPr>
          <w:i w:val="0"/>
          <w:iCs w:val="0"/>
          <w:sz w:val="20"/>
          <w:szCs w:val="20"/>
        </w:rPr>
        <w:t>, change compared to 2022</w:t>
      </w:r>
      <w:r w:rsidRPr="00AB4728">
        <w:rPr>
          <w:i w:val="0"/>
          <w:iCs w:val="0"/>
          <w:sz w:val="20"/>
          <w:szCs w:val="20"/>
        </w:rPr>
        <w:t>.</w:t>
      </w:r>
    </w:p>
    <w:p w14:paraId="768F2518" w14:textId="02DD0152" w:rsidR="008C6BBD" w:rsidRDefault="00787DFF" w:rsidP="008C6BBD">
      <w:pPr>
        <w:spacing w:line="300" w:lineRule="atLeast"/>
        <w:jc w:val="center"/>
      </w:pPr>
      <w:r w:rsidRPr="00787DFF">
        <w:rPr>
          <w:noProof/>
        </w:rPr>
        <w:drawing>
          <wp:inline distT="0" distB="0" distL="0" distR="0" wp14:anchorId="1AF9A6A0" wp14:editId="66BA6D46">
            <wp:extent cx="6329680" cy="3565525"/>
            <wp:effectExtent l="0" t="0" r="0" b="0"/>
            <wp:docPr id="1957790960" name="Picture 8" descr="Figure 16 is a bar chart showing the growth in the number of domestic overnight trips by length of trip from 2022 to 2023 (as a %). The shorter trip lengths of 1-2 nights and 3-4 nights grew by more than longer trip lengths of 5-7 nights or 8+ nights in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90960" name="Picture 8" descr="Figure 16 is a bar chart showing the growth in the number of domestic overnight trips by length of trip from 2022 to 2023 (as a %). The shorter trip lengths of 1-2 nights and 3-4 nights grew by more than longer trip lengths of 5-7 nights or 8+ nights in the yea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9680" cy="3565525"/>
                    </a:xfrm>
                    <a:prstGeom prst="rect">
                      <a:avLst/>
                    </a:prstGeom>
                    <a:noFill/>
                    <a:ln>
                      <a:noFill/>
                    </a:ln>
                  </pic:spPr>
                </pic:pic>
              </a:graphicData>
            </a:graphic>
          </wp:inline>
        </w:drawing>
      </w:r>
    </w:p>
    <w:p w14:paraId="5ABF07D5" w14:textId="156DEC7B" w:rsidR="006F0C0C" w:rsidRDefault="006F0C0C" w:rsidP="006F0C0C">
      <w:r>
        <w:t>Cost-of-living pressures likely affected various cohorts of the population differently, reflecting differences in access to savings, alternative income sources, and the share of income spent on non-discretionary items and household mortgage repayments. Throughout the year, there was evidence that younger age groups had pulled back on discretionary spending by more than older age groups.</w:t>
      </w:r>
      <w:r>
        <w:rPr>
          <w:rStyle w:val="FootnoteReference"/>
        </w:rPr>
        <w:footnoteReference w:id="18"/>
      </w:r>
    </w:p>
    <w:p w14:paraId="6D9C656C" w14:textId="4F021182" w:rsidR="006F0C0C" w:rsidRDefault="00E6423A" w:rsidP="006F0C0C">
      <w:r>
        <w:t>Overall,</w:t>
      </w:r>
      <w:r w:rsidR="006F0C0C">
        <w:t xml:space="preserve"> in 2023, the number of domestic overnight trips increased by 4% compared to 2022, but the number of trips taken by the younger cohort of travellers (those aged 15 to 29) decreased by 1.2% while the number of trips taken by the older cohort of travellers (those aged 55 or over) increased by 6.2% (Figure 1</w:t>
      </w:r>
      <w:r w:rsidR="004C52B1">
        <w:t>7</w:t>
      </w:r>
      <w:r w:rsidR="006F0C0C">
        <w:t>). Similarly, in 2023, the number of nights away for the younger cohort of travellers decreased by 4.1% while the number of nights away for the older cohort of travellers increased by 2.6%. Growth in spend over the year in 2023 was also more muted for the younger cohort (2.8%) and was much stronger for the older cohort (12%).</w:t>
      </w:r>
    </w:p>
    <w:p w14:paraId="1B5439B9" w14:textId="5B0A285B" w:rsidR="006F0C0C" w:rsidRPr="009D6029" w:rsidRDefault="006F0C0C" w:rsidP="00052EAD">
      <w:pPr>
        <w:pStyle w:val="Caption"/>
        <w:keepNext/>
        <w:spacing w:after="120" w:line="300" w:lineRule="atLeast"/>
        <w:rPr>
          <w:b/>
          <w:i w:val="0"/>
          <w:sz w:val="20"/>
          <w:szCs w:val="20"/>
        </w:rPr>
      </w:pPr>
      <w:r w:rsidRPr="00AB4728">
        <w:rPr>
          <w:b/>
          <w:bCs/>
          <w:i w:val="0"/>
          <w:iCs w:val="0"/>
          <w:sz w:val="20"/>
          <w:szCs w:val="20"/>
        </w:rPr>
        <w:lastRenderedPageBreak/>
        <w:t xml:space="preserve">Figure </w:t>
      </w:r>
      <w:r w:rsidRPr="00AB4728">
        <w:rPr>
          <w:b/>
          <w:bCs/>
          <w:i w:val="0"/>
          <w:iCs w:val="0"/>
          <w:sz w:val="20"/>
          <w:szCs w:val="20"/>
        </w:rPr>
        <w:fldChar w:fldCharType="begin"/>
      </w:r>
      <w:r w:rsidRPr="00AB4728">
        <w:rPr>
          <w:b/>
          <w:bCs/>
          <w:i w:val="0"/>
          <w:iCs w:val="0"/>
          <w:sz w:val="20"/>
          <w:szCs w:val="20"/>
        </w:rPr>
        <w:instrText xml:space="preserve"> SEQ Figure \* ARABIC </w:instrText>
      </w:r>
      <w:r w:rsidRPr="00AB4728">
        <w:rPr>
          <w:b/>
          <w:bCs/>
          <w:i w:val="0"/>
          <w:iCs w:val="0"/>
          <w:sz w:val="20"/>
          <w:szCs w:val="20"/>
        </w:rPr>
        <w:fldChar w:fldCharType="separate"/>
      </w:r>
      <w:r w:rsidR="004C52B1">
        <w:rPr>
          <w:b/>
          <w:bCs/>
          <w:i w:val="0"/>
          <w:iCs w:val="0"/>
          <w:noProof/>
          <w:sz w:val="20"/>
          <w:szCs w:val="20"/>
        </w:rPr>
        <w:t>17</w:t>
      </w:r>
      <w:r w:rsidRPr="00AB4728">
        <w:rPr>
          <w:b/>
          <w:bCs/>
          <w:i w:val="0"/>
          <w:iCs w:val="0"/>
          <w:sz w:val="20"/>
          <w:szCs w:val="20"/>
        </w:rPr>
        <w:fldChar w:fldCharType="end"/>
      </w:r>
      <w:r w:rsidRPr="00AB4728">
        <w:rPr>
          <w:b/>
          <w:bCs/>
          <w:i w:val="0"/>
          <w:iCs w:val="0"/>
          <w:sz w:val="20"/>
          <w:szCs w:val="20"/>
        </w:rPr>
        <w:t xml:space="preserve">. </w:t>
      </w:r>
      <w:r w:rsidRPr="00AB4728">
        <w:rPr>
          <w:i w:val="0"/>
          <w:iCs w:val="0"/>
          <w:sz w:val="20"/>
          <w:szCs w:val="20"/>
        </w:rPr>
        <w:t>Domestic overnight trips</w:t>
      </w:r>
      <w:r>
        <w:rPr>
          <w:i w:val="0"/>
          <w:iCs w:val="0"/>
          <w:sz w:val="20"/>
          <w:szCs w:val="20"/>
        </w:rPr>
        <w:t>, nights and spend</w:t>
      </w:r>
      <w:r w:rsidRPr="00AB4728">
        <w:rPr>
          <w:i w:val="0"/>
          <w:iCs w:val="0"/>
          <w:sz w:val="20"/>
          <w:szCs w:val="20"/>
        </w:rPr>
        <w:t xml:space="preserve"> by </w:t>
      </w:r>
      <w:r>
        <w:rPr>
          <w:i w:val="0"/>
          <w:iCs w:val="0"/>
          <w:sz w:val="20"/>
          <w:szCs w:val="20"/>
        </w:rPr>
        <w:t>age group</w:t>
      </w:r>
      <w:r w:rsidRPr="00AB4728">
        <w:rPr>
          <w:i w:val="0"/>
          <w:iCs w:val="0"/>
          <w:sz w:val="20"/>
          <w:szCs w:val="20"/>
        </w:rPr>
        <w:t>, 2023</w:t>
      </w:r>
      <w:r>
        <w:rPr>
          <w:i w:val="0"/>
          <w:iCs w:val="0"/>
          <w:sz w:val="20"/>
          <w:szCs w:val="20"/>
        </w:rPr>
        <w:t xml:space="preserve"> compared to 2022</w:t>
      </w:r>
      <w:r w:rsidRPr="00AB4728">
        <w:rPr>
          <w:i w:val="0"/>
          <w:iCs w:val="0"/>
          <w:sz w:val="20"/>
          <w:szCs w:val="20"/>
        </w:rPr>
        <w:t>.</w:t>
      </w:r>
    </w:p>
    <w:p w14:paraId="424B785F" w14:textId="07D86C5F" w:rsidR="00327017" w:rsidRDefault="00327017" w:rsidP="00E6423A">
      <w:pPr>
        <w:spacing w:before="80" w:line="300" w:lineRule="atLeast"/>
        <w:jc w:val="center"/>
        <w:rPr>
          <w:rFonts w:eastAsia="Verdana" w:cs="Times New Roman"/>
          <w:color w:val="000000"/>
        </w:rPr>
      </w:pPr>
      <w:r w:rsidRPr="00327017">
        <w:rPr>
          <w:noProof/>
        </w:rPr>
        <w:drawing>
          <wp:inline distT="0" distB="0" distL="0" distR="0" wp14:anchorId="188C348B" wp14:editId="2268E7C2">
            <wp:extent cx="6329680" cy="3705225"/>
            <wp:effectExtent l="0" t="0" r="0" b="9525"/>
            <wp:docPr id="249216752" name="Picture 3" descr="Figure 17 shows 3 side-by-side bar charts showing the growth in the number of domestic overnight trips (left panel), nights (middle panel) and spend (right panel) by age group from 2022 to 2023 (as a %). The youngest age group of 15-29 year olds had the weakest growth for all three measures, while the oldest age group (aged 55+) had the strongest growth in the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16752" name="Picture 3" descr="Figure 17 shows 3 side-by-side bar charts showing the growth in the number of domestic overnight trips (left panel), nights (middle panel) and spend (right panel) by age group from 2022 to 2023 (as a %). The youngest age group of 15-29 year olds had the weakest growth for all three measures, while the oldest age group (aged 55+) had the strongest growth in the yea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9680" cy="3705225"/>
                    </a:xfrm>
                    <a:prstGeom prst="rect">
                      <a:avLst/>
                    </a:prstGeom>
                    <a:noFill/>
                    <a:ln>
                      <a:noFill/>
                    </a:ln>
                  </pic:spPr>
                </pic:pic>
              </a:graphicData>
            </a:graphic>
          </wp:inline>
        </w:drawing>
      </w:r>
    </w:p>
    <w:p w14:paraId="3520F4CD" w14:textId="39E00B42" w:rsidR="00827247" w:rsidRDefault="00827247" w:rsidP="00BF3169">
      <w:pPr>
        <w:pStyle w:val="Heading4"/>
        <w:pBdr>
          <w:top w:val="thinThickSmallGap" w:sz="24" w:space="1" w:color="2E1A47" w:themeColor="accent2"/>
        </w:pBdr>
      </w:pPr>
      <w:r w:rsidRPr="00BF3169">
        <w:t>Helix personas</w:t>
      </w:r>
      <w:r>
        <w:t xml:space="preserve"> </w:t>
      </w:r>
      <w:r w:rsidR="008E3A72">
        <w:t xml:space="preserve">with </w:t>
      </w:r>
      <w:r w:rsidR="00D6188B">
        <w:t>NVS</w:t>
      </w:r>
      <w:r w:rsidR="008E3A72">
        <w:t xml:space="preserve"> data</w:t>
      </w:r>
    </w:p>
    <w:p w14:paraId="2E2CF591" w14:textId="77777777" w:rsidR="00F917E3" w:rsidRDefault="00BF3169" w:rsidP="009D33F3">
      <w:r w:rsidRPr="00AE46BA">
        <w:t xml:space="preserve">In 2023, TRA completed a </w:t>
      </w:r>
      <w:r>
        <w:t xml:space="preserve">government-funded </w:t>
      </w:r>
      <w:r w:rsidRPr="00AE46BA">
        <w:t xml:space="preserve">project to map Roy Morgan’s Helix Personas to the NVS database. </w:t>
      </w:r>
      <w:r w:rsidR="008E3A72">
        <w:t>This allows</w:t>
      </w:r>
      <w:r w:rsidRPr="00AE46BA">
        <w:t xml:space="preserve"> subscribers </w:t>
      </w:r>
      <w:r w:rsidR="008E3A72">
        <w:t>to</w:t>
      </w:r>
      <w:r w:rsidRPr="00AE46BA">
        <w:t xml:space="preserve"> access travel characteristics and spend behaviour estimates of Australian residents that have been grouped into distinct marketing categories.</w:t>
      </w:r>
      <w:r>
        <w:t xml:space="preserve"> The Helix Persona mapping project was </w:t>
      </w:r>
      <w:r w:rsidRPr="00657072">
        <w:t>recommend</w:t>
      </w:r>
      <w:r>
        <w:t>ed</w:t>
      </w:r>
      <w:r w:rsidRPr="00657072">
        <w:t xml:space="preserve"> by the I</w:t>
      </w:r>
      <w:r>
        <w:t xml:space="preserve">ndustry </w:t>
      </w:r>
      <w:r w:rsidRPr="00657072">
        <w:t>D</w:t>
      </w:r>
      <w:r>
        <w:t xml:space="preserve">ata and </w:t>
      </w:r>
      <w:r w:rsidRPr="00657072">
        <w:t>E</w:t>
      </w:r>
      <w:r>
        <w:t xml:space="preserve">xpert </w:t>
      </w:r>
      <w:r w:rsidRPr="00657072">
        <w:t>A</w:t>
      </w:r>
      <w:r>
        <w:t>nalysis (IDEA) W</w:t>
      </w:r>
      <w:r w:rsidRPr="00657072">
        <w:t xml:space="preserve">orking </w:t>
      </w:r>
      <w:r>
        <w:t>G</w:t>
      </w:r>
      <w:r w:rsidRPr="00657072">
        <w:t>roup</w:t>
      </w:r>
      <w:r>
        <w:t xml:space="preserve">, to </w:t>
      </w:r>
      <w:r w:rsidRPr="00657072">
        <w:t>improv</w:t>
      </w:r>
      <w:r>
        <w:t>e</w:t>
      </w:r>
      <w:r w:rsidRPr="00657072">
        <w:t xml:space="preserve"> the use of official tourism statistics by increasing the utility of the NVS for broader use in tourism. </w:t>
      </w:r>
    </w:p>
    <w:p w14:paraId="48251EB4" w14:textId="5DB21819" w:rsidR="00BF3169" w:rsidRPr="00AE46BA" w:rsidRDefault="000326B3" w:rsidP="009D33F3">
      <w:r w:rsidRPr="0706D355">
        <w:t>Helix Personas psychographic marketing profiles are widely used through</w:t>
      </w:r>
      <w:r>
        <w:t>out</w:t>
      </w:r>
      <w:r w:rsidRPr="0706D355">
        <w:t xml:space="preserve"> the media landscape and by key stakeholders to gain a deeper understanding of motivations and mindsets of various population groups.</w:t>
      </w:r>
      <w:r w:rsidR="00F917E3">
        <w:t xml:space="preserve"> </w:t>
      </w:r>
      <w:r w:rsidR="00BF3169" w:rsidRPr="0706D355">
        <w:t xml:space="preserve">There are 54 different Helix persona profiles (or mindsets) that group the population according to shared values, beliefs, and attitudes. These traits were determined based on being the best predictors of consumer behaviour. </w:t>
      </w:r>
      <w:r w:rsidR="00BF3169">
        <w:t xml:space="preserve">The 54 Helix personas are </w:t>
      </w:r>
      <w:r w:rsidR="00BF3169" w:rsidRPr="00355F39">
        <w:t>grouped into communities that include ‘</w:t>
      </w:r>
      <w:proofErr w:type="spellStart"/>
      <w:r w:rsidR="00BF3169" w:rsidRPr="00355F39">
        <w:t>metrotechs</w:t>
      </w:r>
      <w:proofErr w:type="spellEnd"/>
      <w:r w:rsidR="00BF3169" w:rsidRPr="00355F39">
        <w:t>’, ‘hearth and home’, ‘fair go’ and ‘leading</w:t>
      </w:r>
      <w:r w:rsidR="00BF3169" w:rsidRPr="0706D355">
        <w:t xml:space="preserve"> lifestyle’.</w:t>
      </w:r>
    </w:p>
    <w:p w14:paraId="5317B7A8" w14:textId="513FC14A" w:rsidR="00BF3169" w:rsidRPr="00AE46BA" w:rsidRDefault="00BF3169" w:rsidP="009D33F3">
      <w:r w:rsidRPr="007279F5">
        <w:t xml:space="preserve">TRA used the NVS to establish a set of travel behaviours and characteristics associated with a demographic profile for both travellers and non-travellers. The integration of Helix Personas </w:t>
      </w:r>
      <w:r w:rsidR="00B43A86" w:rsidRPr="007279F5">
        <w:t xml:space="preserve">with NVS data </w:t>
      </w:r>
      <w:r w:rsidRPr="007279F5">
        <w:t>then connects</w:t>
      </w:r>
      <w:r w:rsidRPr="0706D355">
        <w:t xml:space="preserve"> consumer values and attitudes with actual travel behaviour. The product </w:t>
      </w:r>
      <w:r w:rsidR="00E80858">
        <w:t xml:space="preserve">has </w:t>
      </w:r>
      <w:r w:rsidRPr="0706D355">
        <w:t>increase</w:t>
      </w:r>
      <w:r w:rsidR="00E80858">
        <w:t>d</w:t>
      </w:r>
      <w:r w:rsidRPr="0706D355">
        <w:t xml:space="preserve"> availability of market-ready industry-specific information for governments, businesses, tourism representative bodies and researchers. It is also expected to allow product developers, marketers and investors to:</w:t>
      </w:r>
    </w:p>
    <w:p w14:paraId="4FED80D2" w14:textId="77777777" w:rsidR="00BF3169" w:rsidRPr="00342E2C" w:rsidRDefault="00BF3169" w:rsidP="00BF3169">
      <w:pPr>
        <w:pStyle w:val="BulletList"/>
      </w:pPr>
      <w:r w:rsidRPr="00342E2C">
        <w:t xml:space="preserve">more readily segment </w:t>
      </w:r>
      <w:proofErr w:type="gramStart"/>
      <w:r w:rsidRPr="00342E2C">
        <w:t>consumers</w:t>
      </w:r>
      <w:proofErr w:type="gramEnd"/>
      <w:r w:rsidRPr="00342E2C">
        <w:t xml:space="preserve"> </w:t>
      </w:r>
    </w:p>
    <w:p w14:paraId="6573DB7E" w14:textId="77777777" w:rsidR="00BF3169" w:rsidRPr="00342E2C" w:rsidRDefault="00BF3169" w:rsidP="00BF3169">
      <w:pPr>
        <w:pStyle w:val="BulletList"/>
      </w:pPr>
      <w:r w:rsidRPr="00342E2C">
        <w:t xml:space="preserve">more </w:t>
      </w:r>
      <w:r>
        <w:t>accurately</w:t>
      </w:r>
      <w:r w:rsidRPr="00342E2C">
        <w:t xml:space="preserve"> identify consumer trends</w:t>
      </w:r>
    </w:p>
    <w:p w14:paraId="28B85D7F" w14:textId="77777777" w:rsidR="00BF3169" w:rsidRPr="00342E2C" w:rsidRDefault="00BF3169" w:rsidP="00BF3169">
      <w:pPr>
        <w:pStyle w:val="BulletList"/>
      </w:pPr>
      <w:r w:rsidRPr="00342E2C">
        <w:t>help find an audience, and</w:t>
      </w:r>
      <w:r>
        <w:t xml:space="preserve"> to </w:t>
      </w:r>
      <w:r w:rsidRPr="00342E2C">
        <w:t xml:space="preserve">reach and </w:t>
      </w:r>
      <w:r>
        <w:t xml:space="preserve">communicate </w:t>
      </w:r>
      <w:r w:rsidRPr="00342E2C">
        <w:t xml:space="preserve">with this </w:t>
      </w:r>
      <w:proofErr w:type="gramStart"/>
      <w:r w:rsidRPr="00342E2C">
        <w:t>audience</w:t>
      </w:r>
      <w:proofErr w:type="gramEnd"/>
    </w:p>
    <w:p w14:paraId="43E79A1E" w14:textId="77777777" w:rsidR="00BF3169" w:rsidRPr="00342E2C" w:rsidRDefault="00BF3169" w:rsidP="00BF3169">
      <w:pPr>
        <w:pStyle w:val="BulletList"/>
      </w:pPr>
      <w:r>
        <w:t xml:space="preserve">improve the </w:t>
      </w:r>
      <w:r w:rsidRPr="00342E2C">
        <w:t xml:space="preserve">effectiveness of marketing </w:t>
      </w:r>
      <w:r>
        <w:t xml:space="preserve">by </w:t>
      </w:r>
      <w:r w:rsidRPr="00342E2C">
        <w:t>help</w:t>
      </w:r>
      <w:r>
        <w:t>ing</w:t>
      </w:r>
      <w:r w:rsidRPr="00342E2C">
        <w:t xml:space="preserve"> understand which media channels to use and the messaging required to increase</w:t>
      </w:r>
      <w:r>
        <w:t xml:space="preserve"> travel and spend</w:t>
      </w:r>
      <w:r w:rsidRPr="00342E2C">
        <w:t>.</w:t>
      </w:r>
    </w:p>
    <w:p w14:paraId="3BC0D15B" w14:textId="77777777" w:rsidR="00E47BE1" w:rsidRPr="00052EAD" w:rsidRDefault="00BF3169" w:rsidP="00BF3169">
      <w:pPr>
        <w:spacing w:after="0"/>
        <w:rPr>
          <w:rFonts w:ascii="Calibri" w:eastAsia="Calibri" w:hAnsi="Calibri" w:cs="Calibri"/>
          <w:color w:val="2E1A47" w:themeColor="accent2"/>
          <w:sz w:val="24"/>
          <w:szCs w:val="24"/>
        </w:rPr>
      </w:pPr>
      <w:r w:rsidRPr="00052EAD">
        <w:rPr>
          <w:rFonts w:ascii="Calibri" w:eastAsia="Calibri" w:hAnsi="Calibri" w:cs="Calibri"/>
          <w:b/>
          <w:bCs/>
          <w:color w:val="2E1A47" w:themeColor="accent2"/>
          <w:sz w:val="24"/>
          <w:szCs w:val="24"/>
        </w:rPr>
        <w:lastRenderedPageBreak/>
        <w:t>Case Study:</w:t>
      </w:r>
      <w:r w:rsidRPr="00052EAD">
        <w:rPr>
          <w:rFonts w:ascii="Calibri" w:eastAsia="Calibri" w:hAnsi="Calibri" w:cs="Calibri"/>
          <w:color w:val="2E1A47" w:themeColor="accent2"/>
          <w:sz w:val="24"/>
          <w:szCs w:val="24"/>
        </w:rPr>
        <w:t xml:space="preserve"> Using Roy Morgan Helix Personas</w:t>
      </w:r>
    </w:p>
    <w:p w14:paraId="36974BC4" w14:textId="1172868D" w:rsidR="00BF3169" w:rsidRPr="00E47BE1" w:rsidRDefault="00E47BE1" w:rsidP="00052EAD">
      <w:pPr>
        <w:spacing w:before="0"/>
        <w:rPr>
          <w:rStyle w:val="Emphasis"/>
        </w:rPr>
      </w:pPr>
      <w:r w:rsidRPr="00E47BE1">
        <w:rPr>
          <w:rStyle w:val="Emphasis"/>
        </w:rPr>
        <w:t>B</w:t>
      </w:r>
      <w:r w:rsidR="00BF3169" w:rsidRPr="00E47BE1">
        <w:rPr>
          <w:rStyle w:val="Emphasis"/>
        </w:rPr>
        <w:t>y Department of Jobs, Skills, Industry and Regions</w:t>
      </w:r>
      <w:r w:rsidR="0043078B">
        <w:rPr>
          <w:rStyle w:val="Emphasis"/>
        </w:rPr>
        <w:t xml:space="preserve"> (</w:t>
      </w:r>
      <w:r w:rsidR="00BF3169" w:rsidRPr="00E47BE1">
        <w:rPr>
          <w:rStyle w:val="Emphasis"/>
        </w:rPr>
        <w:t>Victori</w:t>
      </w:r>
      <w:r w:rsidR="0043078B">
        <w:rPr>
          <w:rStyle w:val="Emphasis"/>
        </w:rPr>
        <w:t>a)</w:t>
      </w:r>
    </w:p>
    <w:p w14:paraId="3F2430C7" w14:textId="60FE65B2" w:rsidR="00BF3169" w:rsidRDefault="00BF3169" w:rsidP="00E47BE1">
      <w:r w:rsidRPr="0706D355">
        <w:t xml:space="preserve">The Tourism &amp; Events Research team from the Victorian Government’s Department of Jobs, Skills, Industry and Regions created a bespoke </w:t>
      </w:r>
      <w:proofErr w:type="spellStart"/>
      <w:r w:rsidRPr="0706D355">
        <w:t>PowerBI</w:t>
      </w:r>
      <w:proofErr w:type="spellEnd"/>
      <w:r w:rsidRPr="0706D355">
        <w:t xml:space="preserve"> visitor profiling dashboard to support the development of visitor servicing strategies funded through the </w:t>
      </w:r>
      <w:hyperlink r:id="rId42">
        <w:r w:rsidRPr="0706D355">
          <w:rPr>
            <w:rStyle w:val="Hyperlink"/>
            <w:rFonts w:ascii="Calibri" w:eastAsia="Calibri" w:hAnsi="Calibri" w:cs="Calibri"/>
            <w:sz w:val="22"/>
            <w:szCs w:val="22"/>
          </w:rPr>
          <w:t>Visitor Servicing Fund</w:t>
        </w:r>
      </w:hyperlink>
      <w:r w:rsidRPr="0706D355">
        <w:t xml:space="preserve">. This is a first in Australia, and the dedicated Helix Personas Visitor Profiling </w:t>
      </w:r>
      <w:r w:rsidR="00A60278">
        <w:t>capability</w:t>
      </w:r>
      <w:r w:rsidRPr="0706D355">
        <w:t xml:space="preserve"> </w:t>
      </w:r>
      <w:r>
        <w:t xml:space="preserve">developed by Tourism Research Australia </w:t>
      </w:r>
      <w:r w:rsidRPr="0706D355">
        <w:t>enables exploration of visitors to tourism regions, and comparisons across persona profiles. The dashboard also enables exploration of the visitor servicing needs of Helix Persona segments, and their use of information sources (such as visiting a Visitor Information Centre) on their overnight trip compared to Victorian travellers overall.</w:t>
      </w:r>
    </w:p>
    <w:p w14:paraId="6702F7E8" w14:textId="77777777" w:rsidR="00BF3169" w:rsidRDefault="00BF3169" w:rsidP="00E47BE1">
      <w:pPr>
        <w:pBdr>
          <w:bottom w:val="thickThinSmallGap" w:sz="24" w:space="1" w:color="2E1A47" w:themeColor="accent2"/>
        </w:pBdr>
      </w:pPr>
      <w:r w:rsidRPr="6F8CAC69">
        <w:t>It is envisaged the additional profiling capability provided by Helix Personas will guide insightful, improved and targeted delivery of contemporary visitor servicing</w:t>
      </w:r>
      <w:r>
        <w:t xml:space="preserve"> </w:t>
      </w:r>
      <w:r w:rsidRPr="6F8CAC69">
        <w:t>across Victorian destinations.</w:t>
      </w:r>
    </w:p>
    <w:p w14:paraId="47B63BCD" w14:textId="77777777" w:rsidR="00827247" w:rsidRPr="00E6423A" w:rsidRDefault="00827247" w:rsidP="00E6423A">
      <w:pPr>
        <w:spacing w:before="80" w:line="300" w:lineRule="atLeast"/>
        <w:jc w:val="center"/>
        <w:rPr>
          <w:rFonts w:eastAsia="Verdana" w:cs="Times New Roman"/>
          <w:color w:val="000000"/>
        </w:rPr>
      </w:pPr>
    </w:p>
    <w:p w14:paraId="3012C9EC" w14:textId="77777777" w:rsidR="00BA0140" w:rsidRDefault="00BA0140" w:rsidP="00BA0140">
      <w:pPr>
        <w:pStyle w:val="Heading4"/>
      </w:pPr>
      <w:r>
        <w:t>By purpose</w:t>
      </w:r>
    </w:p>
    <w:p w14:paraId="6390FCD2" w14:textId="488226DC" w:rsidR="00C31A15" w:rsidRDefault="004133F1" w:rsidP="00A225EC">
      <w:r>
        <w:t xml:space="preserve">In contrast to day trips for business purposes, </w:t>
      </w:r>
      <w:r w:rsidR="00A91001">
        <w:t xml:space="preserve">growth in </w:t>
      </w:r>
      <w:r>
        <w:t xml:space="preserve">overnight business trips </w:t>
      </w:r>
      <w:r w:rsidR="004F207F">
        <w:t xml:space="preserve">contributed to an </w:t>
      </w:r>
      <w:r w:rsidR="00C31A15">
        <w:t>in</w:t>
      </w:r>
      <w:r w:rsidR="004F207F">
        <w:t>crease in</w:t>
      </w:r>
      <w:r w:rsidR="00C31A15">
        <w:t xml:space="preserve"> </w:t>
      </w:r>
      <w:r w:rsidR="005F36C1">
        <w:t xml:space="preserve">domestic </w:t>
      </w:r>
      <w:r w:rsidR="00C31A15">
        <w:t>overnight</w:t>
      </w:r>
      <w:r w:rsidR="004F207F">
        <w:t xml:space="preserve"> travel</w:t>
      </w:r>
      <w:r w:rsidR="00C31A15">
        <w:t xml:space="preserve"> </w:t>
      </w:r>
      <w:r w:rsidR="005F36C1">
        <w:t>demand in 2023</w:t>
      </w:r>
      <w:r w:rsidR="004F207F">
        <w:t>. On the other hand</w:t>
      </w:r>
      <w:r w:rsidR="005F36C1">
        <w:t xml:space="preserve">, demand for domestic holiday travel </w:t>
      </w:r>
      <w:r w:rsidR="009C2DEB">
        <w:t>stalled after recovering to above</w:t>
      </w:r>
      <w:r w:rsidR="005F36C1">
        <w:t xml:space="preserve"> </w:t>
      </w:r>
      <w:r w:rsidR="009C2DEB">
        <w:t>pre-pandemic levels in the previous year</w:t>
      </w:r>
      <w:r w:rsidR="005F36C1">
        <w:t>.</w:t>
      </w:r>
    </w:p>
    <w:p w14:paraId="39FC1BA9" w14:textId="01A659D7" w:rsidR="00A225EC" w:rsidRDefault="000F1E7C" w:rsidP="007A0E7B">
      <w:r>
        <w:t xml:space="preserve">Nevertheless, </w:t>
      </w:r>
      <w:r w:rsidR="00E659C2">
        <w:t>a</w:t>
      </w:r>
      <w:r w:rsidR="00A225EC">
        <w:t xml:space="preserve">t the end of 2023, </w:t>
      </w:r>
      <w:r w:rsidR="007A0E7B">
        <w:t>overnight trip numbers and nights</w:t>
      </w:r>
      <w:r w:rsidR="00A225EC">
        <w:t xml:space="preserve"> for business purposes remained furthe</w:t>
      </w:r>
      <w:r w:rsidR="007A0E7B">
        <w:t>r</w:t>
      </w:r>
      <w:r w:rsidR="00A225EC">
        <w:t xml:space="preserve"> from its pre-pandemic level</w:t>
      </w:r>
      <w:r w:rsidR="007A0E7B">
        <w:t xml:space="preserve"> than the leisure categories of travel (Figure 1</w:t>
      </w:r>
      <w:r w:rsidR="00661121">
        <w:t>8</w:t>
      </w:r>
      <w:r w:rsidR="007A0E7B">
        <w:t>)</w:t>
      </w:r>
      <w:r w:rsidR="00A225EC">
        <w:t xml:space="preserve">. </w:t>
      </w:r>
    </w:p>
    <w:p w14:paraId="4CF2D3DF" w14:textId="19C297E5" w:rsidR="00BE289A" w:rsidRDefault="00BE289A" w:rsidP="005A1A31">
      <w:pPr>
        <w:pStyle w:val="Caption"/>
        <w:keepNext/>
        <w:spacing w:after="0" w:line="300" w:lineRule="atLeast"/>
        <w:rPr>
          <w:i w:val="0"/>
          <w:iCs w:val="0"/>
          <w:noProof/>
          <w:color w:val="000000" w:themeColor="text1"/>
          <w:sz w:val="24"/>
          <w:szCs w:val="24"/>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661121">
        <w:rPr>
          <w:b/>
          <w:bCs/>
          <w:i w:val="0"/>
          <w:iCs w:val="0"/>
          <w:noProof/>
          <w:sz w:val="20"/>
          <w:szCs w:val="20"/>
        </w:rPr>
        <w:t>18</w:t>
      </w:r>
      <w:r>
        <w:rPr>
          <w:b/>
          <w:bCs/>
          <w:i w:val="0"/>
          <w:iCs w:val="0"/>
          <w:sz w:val="20"/>
          <w:szCs w:val="20"/>
        </w:rPr>
        <w:fldChar w:fldCharType="end"/>
      </w:r>
      <w:r>
        <w:rPr>
          <w:b/>
          <w:bCs/>
          <w:i w:val="0"/>
          <w:iCs w:val="0"/>
          <w:sz w:val="20"/>
          <w:szCs w:val="20"/>
        </w:rPr>
        <w:t xml:space="preserve">. </w:t>
      </w:r>
      <w:r>
        <w:rPr>
          <w:i w:val="0"/>
          <w:iCs w:val="0"/>
          <w:sz w:val="20"/>
          <w:szCs w:val="20"/>
        </w:rPr>
        <w:t xml:space="preserve">Domestic </w:t>
      </w:r>
      <w:r w:rsidR="005224BD">
        <w:rPr>
          <w:i w:val="0"/>
          <w:iCs w:val="0"/>
          <w:sz w:val="20"/>
          <w:szCs w:val="20"/>
        </w:rPr>
        <w:t>overnight trips</w:t>
      </w:r>
      <w:r w:rsidR="00906080">
        <w:rPr>
          <w:i w:val="0"/>
          <w:iCs w:val="0"/>
          <w:sz w:val="20"/>
          <w:szCs w:val="20"/>
        </w:rPr>
        <w:t>,</w:t>
      </w:r>
      <w:r w:rsidR="005224BD">
        <w:rPr>
          <w:i w:val="0"/>
          <w:iCs w:val="0"/>
          <w:sz w:val="20"/>
          <w:szCs w:val="20"/>
        </w:rPr>
        <w:t xml:space="preserve"> spend </w:t>
      </w:r>
      <w:r w:rsidR="00906080">
        <w:rPr>
          <w:i w:val="0"/>
          <w:iCs w:val="0"/>
          <w:sz w:val="20"/>
          <w:szCs w:val="20"/>
        </w:rPr>
        <w:t xml:space="preserve">and nights </w:t>
      </w:r>
      <w:r w:rsidR="005224BD">
        <w:rPr>
          <w:i w:val="0"/>
          <w:iCs w:val="0"/>
          <w:sz w:val="20"/>
          <w:szCs w:val="20"/>
        </w:rPr>
        <w:t>by purpose of travel</w:t>
      </w:r>
      <w:r>
        <w:rPr>
          <w:i w:val="0"/>
          <w:iCs w:val="0"/>
          <w:sz w:val="20"/>
          <w:szCs w:val="20"/>
        </w:rPr>
        <w:t>, 20</w:t>
      </w:r>
      <w:r w:rsidR="00906080">
        <w:rPr>
          <w:i w:val="0"/>
          <w:iCs w:val="0"/>
          <w:sz w:val="20"/>
          <w:szCs w:val="20"/>
        </w:rPr>
        <w:t>17</w:t>
      </w:r>
      <w:r>
        <w:rPr>
          <w:i w:val="0"/>
          <w:iCs w:val="0"/>
          <w:sz w:val="20"/>
          <w:szCs w:val="20"/>
        </w:rPr>
        <w:t xml:space="preserve"> to 202</w:t>
      </w:r>
      <w:r w:rsidR="005224BD">
        <w:rPr>
          <w:i w:val="0"/>
          <w:iCs w:val="0"/>
          <w:sz w:val="20"/>
          <w:szCs w:val="20"/>
        </w:rPr>
        <w:t>3</w:t>
      </w:r>
      <w:r>
        <w:rPr>
          <w:i w:val="0"/>
          <w:iCs w:val="0"/>
          <w:sz w:val="20"/>
          <w:szCs w:val="20"/>
        </w:rPr>
        <w:t>.</w:t>
      </w:r>
    </w:p>
    <w:p w14:paraId="56934E16" w14:textId="6BB09288" w:rsidR="004D26B3" w:rsidRDefault="0059038A" w:rsidP="0085319A">
      <w:pPr>
        <w:spacing w:before="120" w:after="0" w:line="300" w:lineRule="atLeast"/>
        <w:rPr>
          <w:rFonts w:eastAsia="Verdana" w:cs="Times New Roman"/>
          <w:color w:val="2E1A47" w:themeColor="text2"/>
        </w:rPr>
      </w:pPr>
      <w:r w:rsidRPr="0059038A">
        <w:rPr>
          <w:noProof/>
        </w:rPr>
        <w:drawing>
          <wp:inline distT="0" distB="0" distL="0" distR="0" wp14:anchorId="529389AC" wp14:editId="616BF9F9">
            <wp:extent cx="6329680" cy="3992245"/>
            <wp:effectExtent l="0" t="0" r="0" b="8255"/>
            <wp:docPr id="553889476" name="Picture 4" descr="Figure 18 shows 3 side-by-side line charts with the number of domestic overnight trips on the left panel, the spend on overnight trips on the middle panel, and the number of nights on the righ panel. Each panel has 4 lines to show  trips by purpose (holiday, VFR, business and other), with annual data covering the period 2017 to 2023. Overnight trips for holiday purposes is the largest category and this category has recovered the most to be above pre-pandemic levels across all 3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89476" name="Picture 4" descr="Figure 18 shows 3 side-by-side line charts with the number of domestic overnight trips on the left panel, the spend on overnight trips on the middle panel, and the number of nights on the righ panel. Each panel has 4 lines to show  trips by purpose (holiday, VFR, business and other), with annual data covering the period 2017 to 2023. Overnight trips for holiday purposes is the largest category and this category has recovered the most to be above pre-pandemic levels across all 3 measur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9680" cy="3992245"/>
                    </a:xfrm>
                    <a:prstGeom prst="rect">
                      <a:avLst/>
                    </a:prstGeom>
                    <a:noFill/>
                    <a:ln>
                      <a:noFill/>
                    </a:ln>
                  </pic:spPr>
                </pic:pic>
              </a:graphicData>
            </a:graphic>
          </wp:inline>
        </w:drawing>
      </w:r>
    </w:p>
    <w:p w14:paraId="0A143D80" w14:textId="77777777" w:rsidR="0002062D" w:rsidRDefault="0002062D" w:rsidP="00E77210">
      <w:pPr>
        <w:spacing w:line="300" w:lineRule="atLeast"/>
        <w:rPr>
          <w:rFonts w:eastAsia="Verdana" w:cs="Times New Roman"/>
          <w:color w:val="2E1A47" w:themeColor="text2"/>
        </w:rPr>
      </w:pPr>
    </w:p>
    <w:p w14:paraId="44D6EB21" w14:textId="5C14E0A4" w:rsidR="00B12B34" w:rsidRPr="00B12B34" w:rsidRDefault="00B12B34" w:rsidP="004F0D9A">
      <w:pPr>
        <w:pStyle w:val="Heading4"/>
        <w:pBdr>
          <w:top w:val="thinThickSmallGap" w:sz="24" w:space="1" w:color="2E1A47" w:themeColor="accent2"/>
        </w:pBdr>
      </w:pPr>
      <w:r w:rsidRPr="00B12B34">
        <w:lastRenderedPageBreak/>
        <w:t>Business events data</w:t>
      </w:r>
    </w:p>
    <w:p w14:paraId="600419C9" w14:textId="16BC48B0" w:rsidR="00AF2F57" w:rsidRDefault="00AF2F57" w:rsidP="006C6B70">
      <w:r>
        <w:t xml:space="preserve">TRA has recently published new </w:t>
      </w:r>
      <w:r w:rsidR="00B4127F">
        <w:t>data on business events.</w:t>
      </w:r>
      <w:r w:rsidR="00CC62DC">
        <w:rPr>
          <w:rStyle w:val="FootnoteReference"/>
        </w:rPr>
        <w:footnoteReference w:id="19"/>
      </w:r>
      <w:r w:rsidR="00B4127F">
        <w:t xml:space="preserve"> </w:t>
      </w:r>
      <w:r w:rsidR="0097104A">
        <w:t>This new d</w:t>
      </w:r>
      <w:r w:rsidR="00512532">
        <w:t xml:space="preserve">ata </w:t>
      </w:r>
      <w:r w:rsidR="004D2545">
        <w:t xml:space="preserve">will be updated quarterly on the </w:t>
      </w:r>
      <w:hyperlink r:id="rId44" w:history="1">
        <w:r w:rsidR="004D2545" w:rsidRPr="007835B4">
          <w:rPr>
            <w:rStyle w:val="Hyperlink"/>
          </w:rPr>
          <w:t>TRA website</w:t>
        </w:r>
      </w:hyperlink>
      <w:r w:rsidR="004D2545">
        <w:t xml:space="preserve"> in conjunction with the release of the </w:t>
      </w:r>
      <w:r w:rsidR="00CD0F85">
        <w:t>quarterly tourism data releases</w:t>
      </w:r>
      <w:r w:rsidR="004D2545">
        <w:t xml:space="preserve">. </w:t>
      </w:r>
      <w:r w:rsidR="001C3D62">
        <w:t>The new business events data</w:t>
      </w:r>
      <w:r w:rsidR="0097104A">
        <w:t>set shows that:</w:t>
      </w:r>
    </w:p>
    <w:p w14:paraId="71D11201" w14:textId="276AF0C3" w:rsidR="00AF2F57" w:rsidRDefault="005E179F" w:rsidP="006C6B70">
      <w:pPr>
        <w:pStyle w:val="BulletList"/>
      </w:pPr>
      <w:r>
        <w:t>i</w:t>
      </w:r>
      <w:r w:rsidR="00AF2F57">
        <w:t xml:space="preserve">n </w:t>
      </w:r>
      <w:r w:rsidR="00D50EDF">
        <w:t xml:space="preserve">calendar year </w:t>
      </w:r>
      <w:r w:rsidR="00AF2F57">
        <w:t>2023</w:t>
      </w:r>
      <w:r w:rsidR="001C3D62">
        <w:t>,</w:t>
      </w:r>
      <w:r w:rsidR="00AF2F57">
        <w:t xml:space="preserve"> there were 22.4 million trips related to business events across domestic overnight, day</w:t>
      </w:r>
      <w:r w:rsidR="003954DB">
        <w:t xml:space="preserve"> </w:t>
      </w:r>
      <w:r w:rsidR="00AF2F57">
        <w:t>trip</w:t>
      </w:r>
      <w:r w:rsidR="001F4BE6">
        <w:t>s</w:t>
      </w:r>
      <w:r w:rsidR="00AF2F57">
        <w:t xml:space="preserve"> and international </w:t>
      </w:r>
      <w:proofErr w:type="gramStart"/>
      <w:r w:rsidR="00AF2F57">
        <w:t>travel</w:t>
      </w:r>
      <w:proofErr w:type="gramEnd"/>
    </w:p>
    <w:p w14:paraId="58846742" w14:textId="62970C40" w:rsidR="00D10398" w:rsidRDefault="009B7B10" w:rsidP="006C6B70">
      <w:pPr>
        <w:pStyle w:val="BulletList"/>
      </w:pPr>
      <w:r>
        <w:t>t</w:t>
      </w:r>
      <w:r w:rsidR="00AF2F57">
        <w:t>hese travellers spent 52.9 million nights on their travels in Australia and contributed $20.9</w:t>
      </w:r>
      <w:r w:rsidR="004F0D9A">
        <w:t> </w:t>
      </w:r>
      <w:r w:rsidR="00AF2F57">
        <w:t>billion to the Australian economy</w:t>
      </w:r>
      <w:r w:rsidR="00D10398">
        <w:t xml:space="preserve"> (of which</w:t>
      </w:r>
      <w:r w:rsidR="00D10398" w:rsidRPr="00D10398">
        <w:t xml:space="preserve"> </w:t>
      </w:r>
      <w:r w:rsidR="00D10398">
        <w:t>domestic overnight business event travellers contributed $16.9 billion, and domestic day trip</w:t>
      </w:r>
      <w:r w:rsidR="00042025">
        <w:t>s</w:t>
      </w:r>
      <w:r w:rsidR="00D10398">
        <w:t xml:space="preserve"> </w:t>
      </w:r>
      <w:r w:rsidR="00C33CC4">
        <w:t xml:space="preserve">contributed </w:t>
      </w:r>
      <w:r w:rsidR="00D10398">
        <w:t xml:space="preserve">$1.4 billion </w:t>
      </w:r>
      <w:r w:rsidR="00C33CC4">
        <w:t>in</w:t>
      </w:r>
      <w:r w:rsidR="00D10398">
        <w:t xml:space="preserve"> 2023</w:t>
      </w:r>
      <w:r w:rsidR="00C33CC4">
        <w:t>)</w:t>
      </w:r>
    </w:p>
    <w:p w14:paraId="3A08C80A" w14:textId="5F520D81" w:rsidR="00AF2F57" w:rsidRDefault="009B7B10" w:rsidP="006C6B70">
      <w:pPr>
        <w:pStyle w:val="BulletList"/>
      </w:pPr>
      <w:r>
        <w:t>k</w:t>
      </w:r>
      <w:r w:rsidR="00AF2F57">
        <w:t xml:space="preserve">ey items of spend </w:t>
      </w:r>
      <w:r>
        <w:t xml:space="preserve">in the year </w:t>
      </w:r>
      <w:r w:rsidR="00AF2F57">
        <w:t>included $10.4 billion on food, drink and accommodation, $4.4</w:t>
      </w:r>
      <w:r w:rsidR="004F0D9A">
        <w:t> </w:t>
      </w:r>
      <w:r w:rsidR="00AF2F57">
        <w:t xml:space="preserve">billion on domestic airfares, $1.1 billion on tours and entertainment and $1 billion on conference registration </w:t>
      </w:r>
      <w:proofErr w:type="gramStart"/>
      <w:r w:rsidR="00AF2F57">
        <w:t>fees</w:t>
      </w:r>
      <w:proofErr w:type="gramEnd"/>
    </w:p>
    <w:p w14:paraId="537A6340" w14:textId="37D5ECDE" w:rsidR="00AF2F57" w:rsidRDefault="001B0A43" w:rsidP="006C6B70">
      <w:pPr>
        <w:pStyle w:val="BulletList"/>
      </w:pPr>
      <w:r>
        <w:t>44</w:t>
      </w:r>
      <w:r w:rsidR="009B7B10">
        <w:t>%</w:t>
      </w:r>
      <w:r w:rsidR="00AF2F57">
        <w:t xml:space="preserve"> of international visitors </w:t>
      </w:r>
      <w:r w:rsidR="0027744A">
        <w:t xml:space="preserve">that attended a conference, convention, seminar or corporate event </w:t>
      </w:r>
      <w:r w:rsidR="00AF2F57">
        <w:t>were accompanied on their trip</w:t>
      </w:r>
      <w:r w:rsidR="007E7342">
        <w:t>,</w:t>
      </w:r>
      <w:r w:rsidR="00EF1369">
        <w:t xml:space="preserve"> with almost one-third </w:t>
      </w:r>
      <w:r w:rsidR="00AF2F57">
        <w:t xml:space="preserve">of these visitors accompanied by a group of 6 or more </w:t>
      </w:r>
      <w:proofErr w:type="gramStart"/>
      <w:r w:rsidR="00AF2F57">
        <w:t>travellers</w:t>
      </w:r>
      <w:proofErr w:type="gramEnd"/>
      <w:r w:rsidR="00AF2F57">
        <w:t xml:space="preserve"> </w:t>
      </w:r>
    </w:p>
    <w:p w14:paraId="0CD26D83" w14:textId="0CD90F9C" w:rsidR="00AF2F57" w:rsidRDefault="0059211D" w:rsidP="006C6B70">
      <w:pPr>
        <w:pStyle w:val="BulletList"/>
      </w:pPr>
      <w:r>
        <w:t>t</w:t>
      </w:r>
      <w:r w:rsidR="00AF2F57">
        <w:t>hose accompanying</w:t>
      </w:r>
      <w:r>
        <w:t>,</w:t>
      </w:r>
      <w:r w:rsidR="00AF2F57">
        <w:t xml:space="preserve"> rather than attending</w:t>
      </w:r>
      <w:r>
        <w:t>,</w:t>
      </w:r>
      <w:r w:rsidR="00AF2F57">
        <w:t xml:space="preserve"> business events had higher participation in a range of activities including eating out (97% compared to 92%), shopping (75% </w:t>
      </w:r>
      <w:r w:rsidR="00497F31">
        <w:t xml:space="preserve">compared </w:t>
      </w:r>
      <w:r w:rsidR="00AF2F57">
        <w:t xml:space="preserve">to 65%), sightseeing (72% </w:t>
      </w:r>
      <w:r w:rsidR="00497F31">
        <w:t xml:space="preserve">compared </w:t>
      </w:r>
      <w:r w:rsidR="00AF2F57">
        <w:t xml:space="preserve">to 64%), visits to botanical gardens (39% </w:t>
      </w:r>
      <w:r w:rsidR="00497F31">
        <w:t xml:space="preserve">compared </w:t>
      </w:r>
      <w:r w:rsidR="00AF2F57">
        <w:t xml:space="preserve">to 31%), </w:t>
      </w:r>
      <w:r w:rsidR="00497F31">
        <w:t xml:space="preserve">visits to </w:t>
      </w:r>
      <w:r w:rsidR="00AF2F57">
        <w:t>national parks (40%</w:t>
      </w:r>
      <w:r w:rsidR="00497F31">
        <w:t xml:space="preserve"> compared</w:t>
      </w:r>
      <w:r w:rsidR="00AF2F57">
        <w:t xml:space="preserve"> to</w:t>
      </w:r>
      <w:r>
        <w:t xml:space="preserve"> </w:t>
      </w:r>
      <w:r w:rsidR="00AF2F57">
        <w:t xml:space="preserve">27%) and visits to museums and galleries (33% to 26%) </w:t>
      </w:r>
    </w:p>
    <w:p w14:paraId="5FE3281A" w14:textId="06EE47DF" w:rsidR="0097104A" w:rsidRDefault="00B64FBF" w:rsidP="006C6B70">
      <w:pPr>
        <w:pStyle w:val="BulletList"/>
      </w:pPr>
      <w:r>
        <w:t>i</w:t>
      </w:r>
      <w:r w:rsidR="00AF2F57">
        <w:t xml:space="preserve">nternational business events visitor numbers </w:t>
      </w:r>
      <w:r w:rsidR="00416F90">
        <w:t xml:space="preserve">(742,000 in 2023) </w:t>
      </w:r>
      <w:r w:rsidR="00AF2F57">
        <w:t>reached 7</w:t>
      </w:r>
      <w:r w:rsidR="00416F90">
        <w:t>1</w:t>
      </w:r>
      <w:r w:rsidR="00AF2F57">
        <w:t xml:space="preserve">% of </w:t>
      </w:r>
      <w:r w:rsidR="00AF06C6">
        <w:t xml:space="preserve">the </w:t>
      </w:r>
      <w:r w:rsidR="00AF2F57">
        <w:t>pre</w:t>
      </w:r>
      <w:r w:rsidR="00416F90">
        <w:noBreakHyphen/>
      </w:r>
      <w:r w:rsidR="00AF2F57">
        <w:t xml:space="preserve">pandemic level recorded in 2019.   </w:t>
      </w:r>
    </w:p>
    <w:p w14:paraId="3BD2728F" w14:textId="1D967A80" w:rsidR="003A060C" w:rsidRDefault="0065121B" w:rsidP="004F0D9A">
      <w:pPr>
        <w:pBdr>
          <w:bottom w:val="thickThinSmallGap" w:sz="24" w:space="1" w:color="2E1A47" w:themeColor="accent2"/>
        </w:pBdr>
      </w:pPr>
      <w:r>
        <w:t>To generate this data, a</w:t>
      </w:r>
      <w:r w:rsidR="00B12B34">
        <w:t xml:space="preserve"> comprehensive set of questions co-designed with the then Business Events Council of Australia (BECA) and the Association of Australian Convention Bureaux (AACB) were added to </w:t>
      </w:r>
      <w:r w:rsidR="008146D9">
        <w:t xml:space="preserve">TRA’s </w:t>
      </w:r>
      <w:r>
        <w:t>visi</w:t>
      </w:r>
      <w:r w:rsidR="008146D9">
        <w:t xml:space="preserve">tor </w:t>
      </w:r>
      <w:r w:rsidR="00B12B34">
        <w:t xml:space="preserve">surveys in 2023.  </w:t>
      </w:r>
      <w:r w:rsidR="00F113B3">
        <w:t xml:space="preserve">The project was funded by the </w:t>
      </w:r>
      <w:r w:rsidR="00042025">
        <w:t>Australian G</w:t>
      </w:r>
      <w:r w:rsidR="00F113B3">
        <w:t xml:space="preserve">overnment to improve </w:t>
      </w:r>
      <w:r w:rsidR="00041739">
        <w:t>the accuracy and availability of data on the business events sector</w:t>
      </w:r>
      <w:r w:rsidR="000941D2">
        <w:t>.</w:t>
      </w:r>
      <w:r w:rsidR="0031384A">
        <w:t xml:space="preserve"> Further additions to the breadth of published data are likely in coming </w:t>
      </w:r>
      <w:r w:rsidR="005956F8">
        <w:t xml:space="preserve">quarters including additional research in partnership with the Australian Business Events Association (ABEA).    </w:t>
      </w:r>
    </w:p>
    <w:p w14:paraId="0BCCD0DC" w14:textId="77777777" w:rsidR="00FD1661" w:rsidRDefault="00FD1661" w:rsidP="00533093"/>
    <w:p w14:paraId="3EFE7354" w14:textId="77777777" w:rsidR="00BA0140" w:rsidRDefault="00BA0140" w:rsidP="00BA0140">
      <w:pPr>
        <w:pStyle w:val="Heading4"/>
      </w:pPr>
      <w:r>
        <w:t>By interstate or intrastate travel</w:t>
      </w:r>
    </w:p>
    <w:p w14:paraId="42B122F6" w14:textId="644C66E7" w:rsidR="00B74CAF" w:rsidRDefault="008852EA" w:rsidP="00BA0140">
      <w:r>
        <w:t xml:space="preserve">Interstate travel </w:t>
      </w:r>
      <w:r w:rsidR="00AC0972">
        <w:t>(</w:t>
      </w:r>
      <w:r w:rsidR="00AC0972" w:rsidRPr="005779CF">
        <w:t xml:space="preserve">which is travel </w:t>
      </w:r>
      <w:r w:rsidR="00AC0972">
        <w:t xml:space="preserve">that </w:t>
      </w:r>
      <w:r w:rsidR="00AC0972" w:rsidRPr="005779CF">
        <w:t>crosses a state or territory border</w:t>
      </w:r>
      <w:r w:rsidR="00AC0972">
        <w:t>)</w:t>
      </w:r>
      <w:r w:rsidR="00AC0972" w:rsidRPr="000B2281">
        <w:t xml:space="preserve"> </w:t>
      </w:r>
      <w:r w:rsidR="00AC0972">
        <w:t>w</w:t>
      </w:r>
      <w:r>
        <w:t xml:space="preserve">as affected </w:t>
      </w:r>
      <w:r w:rsidR="00ED69CA">
        <w:t xml:space="preserve">to a greater extent </w:t>
      </w:r>
      <w:r>
        <w:t xml:space="preserve">than intrastate travel </w:t>
      </w:r>
      <w:r w:rsidR="00AC0972">
        <w:t>(</w:t>
      </w:r>
      <w:r w:rsidR="00DC4C9A">
        <w:t>travel</w:t>
      </w:r>
      <w:r w:rsidR="00AC0972">
        <w:t xml:space="preserve"> </w:t>
      </w:r>
      <w:r w:rsidR="00AC0972" w:rsidRPr="005779CF">
        <w:t>within the same state or territory</w:t>
      </w:r>
      <w:r w:rsidR="00AC0972">
        <w:t xml:space="preserve">) </w:t>
      </w:r>
      <w:r>
        <w:t xml:space="preserve">during the pandemic due to state border closures and travel restrictions. </w:t>
      </w:r>
      <w:r w:rsidR="00B74CAF">
        <w:t xml:space="preserve">At the end of 2023, the number of </w:t>
      </w:r>
      <w:r w:rsidR="00AD5E44">
        <w:t>interstate trips remained further below its pre-</w:t>
      </w:r>
      <w:r w:rsidR="00540E24">
        <w:t>pandemic</w:t>
      </w:r>
      <w:r w:rsidR="00AD5E44">
        <w:t xml:space="preserve"> level (at </w:t>
      </w:r>
      <w:r w:rsidR="00540E24">
        <w:t>91% of the 2019</w:t>
      </w:r>
      <w:r w:rsidR="009F32E9">
        <w:t xml:space="preserve"> </w:t>
      </w:r>
      <w:r w:rsidR="00540E24">
        <w:t>level) than intrastate trips (</w:t>
      </w:r>
      <w:r w:rsidR="009F32E9">
        <w:t>98%</w:t>
      </w:r>
      <w:r w:rsidR="00DC4C9A">
        <w:t>; Figure 1</w:t>
      </w:r>
      <w:r w:rsidR="00805944">
        <w:t>9</w:t>
      </w:r>
      <w:r w:rsidR="00540E24">
        <w:t>)</w:t>
      </w:r>
      <w:r w:rsidR="009F32E9">
        <w:t>.</w:t>
      </w:r>
    </w:p>
    <w:p w14:paraId="351CC5DC" w14:textId="787F2B58" w:rsidR="002C1C29" w:rsidRDefault="002C1C29" w:rsidP="00807D49">
      <w:pPr>
        <w:pStyle w:val="Caption"/>
        <w:keepNext/>
        <w:spacing w:line="300" w:lineRule="atLeast"/>
        <w:rPr>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805944">
        <w:rPr>
          <w:b/>
          <w:bCs/>
          <w:i w:val="0"/>
          <w:iCs w:val="0"/>
          <w:noProof/>
          <w:sz w:val="20"/>
          <w:szCs w:val="20"/>
        </w:rPr>
        <w:t>19</w:t>
      </w:r>
      <w:r>
        <w:rPr>
          <w:b/>
          <w:bCs/>
          <w:i w:val="0"/>
          <w:iCs w:val="0"/>
          <w:sz w:val="20"/>
          <w:szCs w:val="20"/>
        </w:rPr>
        <w:fldChar w:fldCharType="end"/>
      </w:r>
      <w:r>
        <w:rPr>
          <w:b/>
          <w:bCs/>
          <w:i w:val="0"/>
          <w:iCs w:val="0"/>
          <w:sz w:val="20"/>
          <w:szCs w:val="20"/>
        </w:rPr>
        <w:t xml:space="preserve">. </w:t>
      </w:r>
      <w:r>
        <w:rPr>
          <w:i w:val="0"/>
          <w:iCs w:val="0"/>
          <w:sz w:val="20"/>
          <w:szCs w:val="20"/>
        </w:rPr>
        <w:t>Domestic overnight trips by interstate or intrastate trip, 2019 to 202</w:t>
      </w:r>
      <w:r w:rsidR="002977B1">
        <w:rPr>
          <w:i w:val="0"/>
          <w:iCs w:val="0"/>
          <w:sz w:val="20"/>
          <w:szCs w:val="20"/>
        </w:rPr>
        <w:t>3</w:t>
      </w:r>
      <w:r>
        <w:rPr>
          <w:i w:val="0"/>
          <w:iCs w:val="0"/>
          <w:sz w:val="20"/>
          <w:szCs w:val="20"/>
        </w:rPr>
        <w:t>.</w:t>
      </w:r>
    </w:p>
    <w:p w14:paraId="3208D7C2" w14:textId="011170DC" w:rsidR="00C0196C" w:rsidRDefault="00652387" w:rsidP="00C0196C">
      <w:pPr>
        <w:spacing w:line="300" w:lineRule="atLeast"/>
      </w:pPr>
      <w:r w:rsidRPr="00652387">
        <w:rPr>
          <w:noProof/>
        </w:rPr>
        <w:drawing>
          <wp:inline distT="0" distB="0" distL="0" distR="0" wp14:anchorId="3B9F08AF" wp14:editId="5861AA84">
            <wp:extent cx="6329680" cy="3168015"/>
            <wp:effectExtent l="0" t="0" r="0" b="0"/>
            <wp:docPr id="222087989" name="Picture 9" descr="Figure 19 shows a bar chart with two series, domestic interstate and intrastate trips, for the period 2019 to 2022. There are more intrastate than interstate trips each year, and intrastate trips have recovered by more since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7989" name="Picture 9" descr="Figure 19 shows a bar chart with two series, domestic interstate and intrastate trips, for the period 2019 to 2022. There are more intrastate than interstate trips each year, and intrastate trips have recovered by more since the pandemic.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9680" cy="3168015"/>
                    </a:xfrm>
                    <a:prstGeom prst="rect">
                      <a:avLst/>
                    </a:prstGeom>
                    <a:noFill/>
                    <a:ln>
                      <a:noFill/>
                    </a:ln>
                  </pic:spPr>
                </pic:pic>
              </a:graphicData>
            </a:graphic>
          </wp:inline>
        </w:drawing>
      </w:r>
    </w:p>
    <w:p w14:paraId="64924C86" w14:textId="77777777" w:rsidR="0032471E" w:rsidRDefault="0032471E" w:rsidP="0032471E">
      <w:r>
        <w:t>In 2023, compared with the previous year (2022):</w:t>
      </w:r>
    </w:p>
    <w:p w14:paraId="5B8EACC2" w14:textId="4D3FF361" w:rsidR="0032471E" w:rsidRDefault="0032471E" w:rsidP="0032471E">
      <w:pPr>
        <w:pStyle w:val="BulletList"/>
      </w:pPr>
      <w:r>
        <w:t xml:space="preserve">Intrastate trips were up by 4%, nights away were up by </w:t>
      </w:r>
      <w:r w:rsidR="004548D4">
        <w:t>1</w:t>
      </w:r>
      <w:r>
        <w:t xml:space="preserve">% and spend was up by </w:t>
      </w:r>
      <w:proofErr w:type="gramStart"/>
      <w:r w:rsidR="00276493">
        <w:t>9</w:t>
      </w:r>
      <w:r>
        <w:t>%</w:t>
      </w:r>
      <w:proofErr w:type="gramEnd"/>
      <w:r>
        <w:t xml:space="preserve"> </w:t>
      </w:r>
    </w:p>
    <w:p w14:paraId="0B8686E4" w14:textId="1D6D03C4" w:rsidR="0032471E" w:rsidRDefault="0032471E" w:rsidP="0032471E">
      <w:pPr>
        <w:pStyle w:val="BulletList"/>
      </w:pPr>
      <w:r>
        <w:t xml:space="preserve">Interstate trips were up by 5%, nights away </w:t>
      </w:r>
      <w:r w:rsidR="00276493">
        <w:t>were unchanged</w:t>
      </w:r>
      <w:r>
        <w:t xml:space="preserve"> and spend was up by </w:t>
      </w:r>
      <w:r w:rsidR="00276493">
        <w:t>7</w:t>
      </w:r>
      <w:r>
        <w:t>%.</w:t>
      </w:r>
    </w:p>
    <w:p w14:paraId="1DE2E338" w14:textId="4FD5DB50" w:rsidR="0032471E" w:rsidRDefault="0032471E" w:rsidP="0032471E">
      <w:r>
        <w:t>Throughout the year, budget pressures may have led to travellers taking shorter interstate trips. In the December quarter 2023, nights away on interstate trip</w:t>
      </w:r>
      <w:r w:rsidR="00F40D5F">
        <w:t>s</w:t>
      </w:r>
      <w:r>
        <w:t xml:space="preserve"> were down by </w:t>
      </w:r>
      <w:r w:rsidR="00471222">
        <w:t>5</w:t>
      </w:r>
      <w:r>
        <w:t xml:space="preserve">% compared with the December quarter 2022 and interstate trip spend was down by 4% compared with the previous year. In contrast, intrastate trip spend was </w:t>
      </w:r>
      <w:r w:rsidR="00257DCF">
        <w:t>11</w:t>
      </w:r>
      <w:r>
        <w:t>% higher in the December quarter 2023 than the prior year, and intrastate trip nights were 3% higher. Nevertheless, there were more interstate (up 2%</w:t>
      </w:r>
      <w:proofErr w:type="gramStart"/>
      <w:r>
        <w:t>)</w:t>
      </w:r>
      <w:proofErr w:type="gramEnd"/>
      <w:r>
        <w:t xml:space="preserve"> and intrastate (up 4%) trips taken in the December quarter 2023 than in the prior year. This suggests that travellers continue to prioritise the need to </w:t>
      </w:r>
      <w:proofErr w:type="gramStart"/>
      <w:r>
        <w:t>travel, but</w:t>
      </w:r>
      <w:proofErr w:type="gramEnd"/>
      <w:r>
        <w:t xml:space="preserve"> may make adjustments to </w:t>
      </w:r>
      <w:r w:rsidR="00394D48">
        <w:t xml:space="preserve">manage </w:t>
      </w:r>
      <w:r w:rsidR="00B56813">
        <w:t>costs</w:t>
      </w:r>
      <w:r>
        <w:t>.</w:t>
      </w:r>
    </w:p>
    <w:p w14:paraId="24338C0D" w14:textId="77777777" w:rsidR="0032471E" w:rsidRDefault="0032471E" w:rsidP="0032471E">
      <w:r>
        <w:t>In 2023, average spend on an:</w:t>
      </w:r>
    </w:p>
    <w:p w14:paraId="689084BE" w14:textId="1426CB09" w:rsidR="0032471E" w:rsidRPr="00E90B50" w:rsidRDefault="0032471E" w:rsidP="0032471E">
      <w:pPr>
        <w:pStyle w:val="BulletList"/>
      </w:pPr>
      <w:r w:rsidRPr="00E90B50">
        <w:t>interstate trip was $1,</w:t>
      </w:r>
      <w:r w:rsidR="00C60E1E">
        <w:t>649</w:t>
      </w:r>
      <w:r w:rsidRPr="00E90B50">
        <w:t xml:space="preserve"> (or $</w:t>
      </w:r>
      <w:r w:rsidR="0006312D">
        <w:t>329</w:t>
      </w:r>
      <w:r w:rsidRPr="00E90B50">
        <w:t xml:space="preserve"> per night) and the average trip length was </w:t>
      </w:r>
      <w:r w:rsidR="0006312D">
        <w:t>5</w:t>
      </w:r>
      <w:r w:rsidRPr="00E90B50">
        <w:t> nights</w:t>
      </w:r>
      <w:r>
        <w:t xml:space="preserve"> (down from 5.</w:t>
      </w:r>
      <w:r w:rsidR="0006312D">
        <w:t>3</w:t>
      </w:r>
      <w:r>
        <w:t xml:space="preserve"> nights in 2022)</w:t>
      </w:r>
    </w:p>
    <w:p w14:paraId="3E1A9C17" w14:textId="311C0BFF" w:rsidR="0032471E" w:rsidRPr="00C0196C" w:rsidRDefault="0032471E" w:rsidP="0032471E">
      <w:pPr>
        <w:pStyle w:val="BulletList"/>
      </w:pPr>
      <w:r w:rsidRPr="00E90B50">
        <w:t>intrastate trip was $</w:t>
      </w:r>
      <w:r w:rsidR="00642172">
        <w:t>6</w:t>
      </w:r>
      <w:r>
        <w:t>66</w:t>
      </w:r>
      <w:r w:rsidRPr="00E90B50">
        <w:t xml:space="preserve"> (or $2</w:t>
      </w:r>
      <w:r w:rsidR="00642172">
        <w:t>28</w:t>
      </w:r>
      <w:r w:rsidRPr="00E90B50">
        <w:t xml:space="preserve"> per night</w:t>
      </w:r>
      <w:proofErr w:type="gramStart"/>
      <w:r w:rsidRPr="00E90B50">
        <w:t>)</w:t>
      </w:r>
      <w:proofErr w:type="gramEnd"/>
      <w:r w:rsidRPr="00E90B50">
        <w:t xml:space="preserve"> and the average trip length was </w:t>
      </w:r>
      <w:r>
        <w:t>2.9</w:t>
      </w:r>
      <w:r w:rsidRPr="00E90B50">
        <w:t> nights</w:t>
      </w:r>
      <w:r>
        <w:t xml:space="preserve"> (down from 3.0 nights in 2022)</w:t>
      </w:r>
      <w:r w:rsidRPr="00E90B50">
        <w:t>.</w:t>
      </w:r>
    </w:p>
    <w:p w14:paraId="478AEBBF" w14:textId="77777777" w:rsidR="00BA0140" w:rsidRDefault="00BA0140" w:rsidP="00BA0140">
      <w:pPr>
        <w:pStyle w:val="Heading4"/>
      </w:pPr>
      <w:r>
        <w:t>By regional or capital city travel</w:t>
      </w:r>
    </w:p>
    <w:p w14:paraId="447187AC" w14:textId="77777777" w:rsidR="00AF12E0" w:rsidRDefault="00BA0140" w:rsidP="00BA0140">
      <w:r>
        <w:t>A similar, but less pronounced, set of trends occurred for domestic overnight trips to capital cities</w:t>
      </w:r>
      <w:r>
        <w:rPr>
          <w:rStyle w:val="FootnoteReference"/>
        </w:rPr>
        <w:footnoteReference w:id="20"/>
      </w:r>
      <w:r>
        <w:t xml:space="preserve"> versus trips to regional Australia. Throughout the pandemic, the decline in trips to regional Australia was less severe than for trips to capital cities</w:t>
      </w:r>
      <w:r w:rsidR="00AF12E0">
        <w:t xml:space="preserve">, likely </w:t>
      </w:r>
      <w:r>
        <w:t>due to</w:t>
      </w:r>
      <w:r w:rsidR="00AF12E0">
        <w:t>:</w:t>
      </w:r>
    </w:p>
    <w:p w14:paraId="4068D36D" w14:textId="77777777" w:rsidR="00AF12E0" w:rsidRDefault="00BA0140" w:rsidP="00D505F5">
      <w:pPr>
        <w:pStyle w:val="BulletList"/>
      </w:pPr>
      <w:r>
        <w:lastRenderedPageBreak/>
        <w:t>more frequent lockdowns in capital cities than in the regions</w:t>
      </w:r>
    </w:p>
    <w:p w14:paraId="4CEB3E68" w14:textId="77777777" w:rsidR="00AF12E0" w:rsidRDefault="00BA0140" w:rsidP="00D505F5">
      <w:pPr>
        <w:pStyle w:val="BulletList"/>
      </w:pPr>
      <w:r>
        <w:t xml:space="preserve">easier access to </w:t>
      </w:r>
      <w:proofErr w:type="gramStart"/>
      <w:r>
        <w:t>socially-distanced</w:t>
      </w:r>
      <w:proofErr w:type="gramEnd"/>
      <w:r>
        <w:t xml:space="preserve"> and outdoor activities in the regions </w:t>
      </w:r>
    </w:p>
    <w:p w14:paraId="31E2BFBF" w14:textId="2B981620" w:rsidR="00AF12E0" w:rsidRDefault="00BA0140" w:rsidP="00D505F5">
      <w:pPr>
        <w:pStyle w:val="BulletList"/>
      </w:pPr>
      <w:r>
        <w:t xml:space="preserve">the slowdown in business travel affecting regions less than the capital cities. </w:t>
      </w:r>
    </w:p>
    <w:p w14:paraId="77406725" w14:textId="20D12C9E" w:rsidR="0053473A" w:rsidRDefault="00BA0140" w:rsidP="00846DC4">
      <w:pPr>
        <w:spacing w:line="300" w:lineRule="atLeast"/>
      </w:pPr>
      <w:r>
        <w:t xml:space="preserve">As a result, the share of domestic visitor </w:t>
      </w:r>
      <w:proofErr w:type="gramStart"/>
      <w:r>
        <w:t>spend</w:t>
      </w:r>
      <w:proofErr w:type="gramEnd"/>
      <w:r>
        <w:t xml:space="preserve"> on overnight trips generated in the regions increased from 52% in 2019 to </w:t>
      </w:r>
      <w:r w:rsidR="00D01B75">
        <w:t xml:space="preserve">be 66% and </w:t>
      </w:r>
      <w:r>
        <w:t>65% in</w:t>
      </w:r>
      <w:r w:rsidR="00D01B75">
        <w:t xml:space="preserve"> 2020 and</w:t>
      </w:r>
      <w:r>
        <w:t xml:space="preserve"> 2021</w:t>
      </w:r>
      <w:r w:rsidR="00D01B75">
        <w:t xml:space="preserve"> respectively</w:t>
      </w:r>
      <w:r>
        <w:t xml:space="preserve">. </w:t>
      </w:r>
      <w:r w:rsidR="0086017B">
        <w:t xml:space="preserve">The regional share of domestic overnight spend </w:t>
      </w:r>
      <w:r w:rsidR="00D01B75">
        <w:t xml:space="preserve">has since </w:t>
      </w:r>
      <w:r w:rsidR="0097038C">
        <w:t>eased back as</w:t>
      </w:r>
      <w:r w:rsidR="00D706CA">
        <w:t xml:space="preserve"> travel to the capital cities picked up pace relative to </w:t>
      </w:r>
      <w:r w:rsidR="00DA3E28">
        <w:t>domestic travel to the regions.</w:t>
      </w:r>
      <w:r w:rsidR="00EF3669">
        <w:t xml:space="preserve"> </w:t>
      </w:r>
      <w:r w:rsidR="00846DC4">
        <w:t xml:space="preserve">In 2023, </w:t>
      </w:r>
      <w:r w:rsidR="005936C9">
        <w:t xml:space="preserve">regional Australia accounted for 53% of total domestic spend. </w:t>
      </w:r>
      <w:r w:rsidR="0053473A">
        <w:t>In 2023, the number of d</w:t>
      </w:r>
      <w:r w:rsidR="00846DC4">
        <w:t>omestic overnight trips</w:t>
      </w:r>
      <w:r w:rsidR="0053473A">
        <w:t>:</w:t>
      </w:r>
    </w:p>
    <w:p w14:paraId="66146FBF" w14:textId="41A97FBE" w:rsidR="0053473A" w:rsidRDefault="0093059C" w:rsidP="00D505F5">
      <w:pPr>
        <w:pStyle w:val="BulletList"/>
      </w:pPr>
      <w:r>
        <w:t>to capital cities increased by 6% (</w:t>
      </w:r>
      <w:r w:rsidR="007D25FE">
        <w:t>an additional 2.7 million trips) to be 9% below the 2019 level</w:t>
      </w:r>
    </w:p>
    <w:p w14:paraId="0A856FDF" w14:textId="7AEA4394" w:rsidR="007D25FE" w:rsidRDefault="007D25FE" w:rsidP="00D505F5">
      <w:pPr>
        <w:pStyle w:val="BulletList"/>
      </w:pPr>
      <w:r>
        <w:t xml:space="preserve">to regional Australia increased by </w:t>
      </w:r>
      <w:r w:rsidR="00F65D3A">
        <w:t xml:space="preserve">2% (an additional 1.6 million trips) to be 1% below the 2019 level (Figure </w:t>
      </w:r>
      <w:r w:rsidR="00F404BF">
        <w:t>20</w:t>
      </w:r>
      <w:r w:rsidR="00F65D3A">
        <w:t>).</w:t>
      </w:r>
    </w:p>
    <w:p w14:paraId="6CB893D5" w14:textId="7D07D27D" w:rsidR="00AA291F" w:rsidRDefault="007422B6" w:rsidP="00AA291F">
      <w:pPr>
        <w:spacing w:line="300" w:lineRule="atLeast"/>
      </w:pPr>
      <w:r>
        <w:t>Consistent with the overall trend, g</w:t>
      </w:r>
      <w:r w:rsidR="00AA291F">
        <w:t xml:space="preserve">rowth in the number of nights </w:t>
      </w:r>
      <w:r>
        <w:t xml:space="preserve">away </w:t>
      </w:r>
      <w:r w:rsidR="00AA291F">
        <w:t>was weaker</w:t>
      </w:r>
      <w:r w:rsidR="00CC1D91">
        <w:t xml:space="preserve"> in the year</w:t>
      </w:r>
      <w:r>
        <w:t xml:space="preserve"> than growth in the number of trips, while growth in spend was stronger. </w:t>
      </w:r>
      <w:r w:rsidR="0015191C">
        <w:t xml:space="preserve">The number of nights away in </w:t>
      </w:r>
      <w:r w:rsidR="003C7FC0">
        <w:t xml:space="preserve">regional Australia declined by </w:t>
      </w:r>
      <w:r w:rsidR="00944A60">
        <w:t>1% in 2023 compared with 2022</w:t>
      </w:r>
      <w:r w:rsidR="0015191C">
        <w:t xml:space="preserve"> but rose by 5% for capital cities. </w:t>
      </w:r>
      <w:r w:rsidR="00921D7D">
        <w:t>Domestic overnight spend in capital cities increase</w:t>
      </w:r>
      <w:r w:rsidR="002D2606">
        <w:t>d</w:t>
      </w:r>
      <w:r w:rsidR="00921D7D">
        <w:t xml:space="preserve"> by 14% in 2023 to be 31% above the 2019 level</w:t>
      </w:r>
      <w:r w:rsidR="00944A60">
        <w:t xml:space="preserve">, while spend </w:t>
      </w:r>
      <w:r w:rsidR="00921D7D">
        <w:t xml:space="preserve">in regional Australia increased by </w:t>
      </w:r>
      <w:r w:rsidR="00820998">
        <w:t xml:space="preserve">3% in 2023 compared to </w:t>
      </w:r>
      <w:proofErr w:type="gramStart"/>
      <w:r w:rsidR="00820998">
        <w:t>2022, and</w:t>
      </w:r>
      <w:proofErr w:type="gramEnd"/>
      <w:r w:rsidR="00820998">
        <w:t xml:space="preserve"> was 40% above the 2019 level.</w:t>
      </w:r>
    </w:p>
    <w:p w14:paraId="611B0E2C" w14:textId="76ACFD21" w:rsidR="0097038C" w:rsidRPr="00AB4728" w:rsidRDefault="0097038C" w:rsidP="00491EE3">
      <w:pPr>
        <w:pStyle w:val="Caption"/>
        <w:keepNext/>
        <w:spacing w:line="300" w:lineRule="atLeast"/>
        <w:rPr>
          <w:b/>
          <w:bCs/>
          <w:i w:val="0"/>
          <w:iCs w:val="0"/>
          <w:sz w:val="20"/>
          <w:szCs w:val="20"/>
        </w:rPr>
      </w:pPr>
      <w:r w:rsidRPr="00AB4728">
        <w:rPr>
          <w:b/>
          <w:bCs/>
          <w:i w:val="0"/>
          <w:iCs w:val="0"/>
          <w:sz w:val="20"/>
          <w:szCs w:val="20"/>
        </w:rPr>
        <w:t xml:space="preserve">Figure </w:t>
      </w:r>
      <w:r w:rsidRPr="00AB4728">
        <w:rPr>
          <w:b/>
          <w:bCs/>
          <w:i w:val="0"/>
          <w:iCs w:val="0"/>
          <w:sz w:val="20"/>
          <w:szCs w:val="20"/>
        </w:rPr>
        <w:fldChar w:fldCharType="begin"/>
      </w:r>
      <w:r w:rsidRPr="00AB4728">
        <w:rPr>
          <w:b/>
          <w:bCs/>
          <w:i w:val="0"/>
          <w:iCs w:val="0"/>
          <w:sz w:val="20"/>
          <w:szCs w:val="20"/>
        </w:rPr>
        <w:instrText xml:space="preserve"> SEQ Figure \* ARABIC </w:instrText>
      </w:r>
      <w:r w:rsidRPr="00AB4728">
        <w:rPr>
          <w:b/>
          <w:bCs/>
          <w:i w:val="0"/>
          <w:iCs w:val="0"/>
          <w:sz w:val="20"/>
          <w:szCs w:val="20"/>
        </w:rPr>
        <w:fldChar w:fldCharType="separate"/>
      </w:r>
      <w:r w:rsidR="00F404BF">
        <w:rPr>
          <w:b/>
          <w:bCs/>
          <w:i w:val="0"/>
          <w:iCs w:val="0"/>
          <w:noProof/>
          <w:sz w:val="20"/>
          <w:szCs w:val="20"/>
        </w:rPr>
        <w:t>20</w:t>
      </w:r>
      <w:r w:rsidRPr="00AB4728">
        <w:rPr>
          <w:b/>
          <w:bCs/>
          <w:i w:val="0"/>
          <w:iCs w:val="0"/>
          <w:sz w:val="20"/>
          <w:szCs w:val="20"/>
        </w:rPr>
        <w:fldChar w:fldCharType="end"/>
      </w:r>
      <w:r w:rsidRPr="00AB4728">
        <w:rPr>
          <w:b/>
          <w:bCs/>
          <w:i w:val="0"/>
          <w:iCs w:val="0"/>
          <w:sz w:val="20"/>
          <w:szCs w:val="20"/>
        </w:rPr>
        <w:t>.</w:t>
      </w:r>
      <w:r w:rsidRPr="00AB4728">
        <w:rPr>
          <w:i w:val="0"/>
          <w:iCs w:val="0"/>
          <w:sz w:val="20"/>
          <w:szCs w:val="20"/>
        </w:rPr>
        <w:t xml:space="preserve"> Domestic overnight trips by capital city or regional Australia destination, 2019 to 2023.</w:t>
      </w:r>
    </w:p>
    <w:p w14:paraId="1C5504EF" w14:textId="3675C4C3" w:rsidR="0097038C" w:rsidRDefault="00562E99" w:rsidP="0097038C">
      <w:pPr>
        <w:spacing w:line="300" w:lineRule="atLeast"/>
      </w:pPr>
      <w:r w:rsidRPr="00562E99">
        <w:rPr>
          <w:noProof/>
        </w:rPr>
        <w:drawing>
          <wp:inline distT="0" distB="0" distL="0" distR="0" wp14:anchorId="7E0AE469" wp14:editId="7C969E9D">
            <wp:extent cx="6329680" cy="3458210"/>
            <wp:effectExtent l="0" t="0" r="0" b="8890"/>
            <wp:docPr id="510333494" name="Picture 10" descr="Figure 20 shows a bar chart with two series, domestic overnight trips to capital cities and trips to regional Australia, for the period 2019 to 2023. There are more trips to regional Australia each year, than to capital cities, and the number of trips to regional Australia has recovered by more since the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33494" name="Picture 10" descr="Figure 20 shows a bar chart with two series, domestic overnight trips to capital cities and trips to regional Australia, for the period 2019 to 2023. There are more trips to regional Australia each year, than to capital cities, and the number of trips to regional Australia has recovered by more since the pandemic.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9680" cy="3458210"/>
                    </a:xfrm>
                    <a:prstGeom prst="rect">
                      <a:avLst/>
                    </a:prstGeom>
                    <a:noFill/>
                    <a:ln>
                      <a:noFill/>
                    </a:ln>
                  </pic:spPr>
                </pic:pic>
              </a:graphicData>
            </a:graphic>
          </wp:inline>
        </w:drawing>
      </w:r>
    </w:p>
    <w:p w14:paraId="5C126A92" w14:textId="31FDC7F4" w:rsidR="00BA0140" w:rsidRDefault="00942C29" w:rsidP="0097038C">
      <w:pPr>
        <w:spacing w:line="300" w:lineRule="atLeast"/>
      </w:pPr>
      <w:r>
        <w:t xml:space="preserve">Among the capital cities, </w:t>
      </w:r>
      <w:r w:rsidR="0062602D">
        <w:t>domestic overnight visitor numbers to Sydney and Darwin remain</w:t>
      </w:r>
      <w:r w:rsidR="00D87246">
        <w:t>ed</w:t>
      </w:r>
      <w:r w:rsidR="0062602D">
        <w:t xml:space="preserve"> the furthest below the</w:t>
      </w:r>
      <w:r w:rsidR="00D87246">
        <w:t>ir</w:t>
      </w:r>
      <w:r w:rsidR="0062602D">
        <w:t xml:space="preserve"> pre-pandemic level </w:t>
      </w:r>
      <w:r w:rsidR="00632389">
        <w:t>(</w:t>
      </w:r>
      <w:r w:rsidR="00D87246">
        <w:t>down</w:t>
      </w:r>
      <w:r w:rsidR="00632389">
        <w:t xml:space="preserve"> 14% and 17% respectively), while Canberra and the Gold Coast </w:t>
      </w:r>
      <w:r w:rsidR="00F109E6">
        <w:t>were</w:t>
      </w:r>
      <w:r w:rsidR="00632389">
        <w:t xml:space="preserve"> the most recovered</w:t>
      </w:r>
      <w:r w:rsidR="00F109E6">
        <w:t xml:space="preserve"> in 2023</w:t>
      </w:r>
      <w:r w:rsidR="00632389">
        <w:t xml:space="preserve"> at 3% above and </w:t>
      </w:r>
      <w:r w:rsidR="00F109E6">
        <w:t>2% below the</w:t>
      </w:r>
      <w:r w:rsidR="00312715">
        <w:t>ir</w:t>
      </w:r>
      <w:r w:rsidR="00F109E6">
        <w:t xml:space="preserve"> 2019 level respectively.</w:t>
      </w:r>
      <w:r w:rsidR="00643F92">
        <w:t xml:space="preserve"> Among regional </w:t>
      </w:r>
      <w:r w:rsidR="002F2E45">
        <w:t xml:space="preserve">destinations, the number of domestic overnight trips to regional Western Australia was </w:t>
      </w:r>
      <w:r w:rsidR="006E121C">
        <w:t xml:space="preserve">1.6% </w:t>
      </w:r>
      <w:r w:rsidR="002F2E45">
        <w:t>above the pre-pandemic level in 2023</w:t>
      </w:r>
      <w:r w:rsidR="006E121C">
        <w:t xml:space="preserve"> and less than 1% below the pre-pa</w:t>
      </w:r>
      <w:r w:rsidR="00A867B5">
        <w:t>n</w:t>
      </w:r>
      <w:r w:rsidR="006E121C">
        <w:t xml:space="preserve">demic level for regional </w:t>
      </w:r>
      <w:r w:rsidR="00A867B5">
        <w:t xml:space="preserve">Queensland </w:t>
      </w:r>
      <w:r w:rsidR="00FD4ED1">
        <w:t xml:space="preserve">(Qld) </w:t>
      </w:r>
      <w:r w:rsidR="00A867B5">
        <w:t>and regional Victoria</w:t>
      </w:r>
      <w:r w:rsidR="00FD4ED1">
        <w:t xml:space="preserve"> (Vic)</w:t>
      </w:r>
      <w:r w:rsidR="00A867B5">
        <w:t>. On the other hand, the number of domestic overnight trips to regional</w:t>
      </w:r>
      <w:r w:rsidR="002A1055">
        <w:t xml:space="preserve"> Northern Territory was 19% below its pre-</w:t>
      </w:r>
      <w:r w:rsidR="002A1055">
        <w:lastRenderedPageBreak/>
        <w:t xml:space="preserve">pandemic level in 2023, and trips to regional Tasmania </w:t>
      </w:r>
      <w:r w:rsidR="00BB79CA">
        <w:t xml:space="preserve">(Tas) </w:t>
      </w:r>
      <w:r w:rsidR="002A1055">
        <w:t xml:space="preserve">and regional South Australia </w:t>
      </w:r>
      <w:r w:rsidR="00BB79CA">
        <w:t xml:space="preserve">(SA) </w:t>
      </w:r>
      <w:r w:rsidR="002A1055">
        <w:t>were 6% lower.</w:t>
      </w:r>
    </w:p>
    <w:p w14:paraId="4464F5BB" w14:textId="29260F59" w:rsidR="00225E8C" w:rsidRDefault="00BA0140" w:rsidP="0097038C">
      <w:pPr>
        <w:spacing w:line="300" w:lineRule="atLeast"/>
        <w:rPr>
          <w:color w:val="auto"/>
        </w:rPr>
      </w:pPr>
      <w:r>
        <w:t xml:space="preserve">In </w:t>
      </w:r>
      <w:r w:rsidRPr="00796F9B">
        <w:rPr>
          <w:color w:val="auto"/>
        </w:rPr>
        <w:t>202</w:t>
      </w:r>
      <w:r w:rsidR="002265B1" w:rsidRPr="00796F9B">
        <w:rPr>
          <w:color w:val="auto"/>
        </w:rPr>
        <w:t>3</w:t>
      </w:r>
      <w:r w:rsidRPr="00796F9B">
        <w:rPr>
          <w:color w:val="auto"/>
        </w:rPr>
        <w:t>, the average spend on capital city trips was $1,</w:t>
      </w:r>
      <w:r w:rsidR="009370B6" w:rsidRPr="00796F9B">
        <w:rPr>
          <w:color w:val="auto"/>
        </w:rPr>
        <w:t>143</w:t>
      </w:r>
      <w:r w:rsidR="00F91F2C">
        <w:rPr>
          <w:color w:val="auto"/>
        </w:rPr>
        <w:t>,</w:t>
      </w:r>
      <w:r w:rsidRPr="00796F9B">
        <w:rPr>
          <w:color w:val="auto"/>
        </w:rPr>
        <w:t xml:space="preserve"> or $3</w:t>
      </w:r>
      <w:r w:rsidR="00D35C9B" w:rsidRPr="00796F9B">
        <w:rPr>
          <w:color w:val="auto"/>
        </w:rPr>
        <w:t>6</w:t>
      </w:r>
      <w:r w:rsidRPr="00796F9B">
        <w:rPr>
          <w:color w:val="auto"/>
        </w:rPr>
        <w:t>0 per night (average trip length of 3.2 nights)</w:t>
      </w:r>
      <w:r w:rsidR="00F91F2C">
        <w:rPr>
          <w:color w:val="auto"/>
        </w:rPr>
        <w:t>,</w:t>
      </w:r>
      <w:r w:rsidRPr="00796F9B">
        <w:rPr>
          <w:color w:val="auto"/>
        </w:rPr>
        <w:t xml:space="preserve"> </w:t>
      </w:r>
      <w:r w:rsidRPr="004817CC">
        <w:rPr>
          <w:color w:val="auto"/>
        </w:rPr>
        <w:t>while the average spend on regional trips was $</w:t>
      </w:r>
      <w:r w:rsidR="00796F9B" w:rsidRPr="004817CC">
        <w:rPr>
          <w:color w:val="auto"/>
        </w:rPr>
        <w:t>801</w:t>
      </w:r>
      <w:r w:rsidR="00F91F2C">
        <w:rPr>
          <w:color w:val="auto"/>
        </w:rPr>
        <w:t>,</w:t>
      </w:r>
      <w:r w:rsidRPr="004817CC">
        <w:rPr>
          <w:color w:val="auto"/>
        </w:rPr>
        <w:t xml:space="preserve"> or $2</w:t>
      </w:r>
      <w:r w:rsidR="004817CC" w:rsidRPr="004817CC">
        <w:rPr>
          <w:color w:val="auto"/>
        </w:rPr>
        <w:t>2</w:t>
      </w:r>
      <w:r w:rsidRPr="004817CC">
        <w:rPr>
          <w:color w:val="auto"/>
        </w:rPr>
        <w:t>4 per night (average trip length of 3.</w:t>
      </w:r>
      <w:r w:rsidR="004817CC" w:rsidRPr="004817CC">
        <w:rPr>
          <w:color w:val="auto"/>
        </w:rPr>
        <w:t>6</w:t>
      </w:r>
      <w:r w:rsidRPr="004817CC">
        <w:rPr>
          <w:color w:val="auto"/>
        </w:rPr>
        <w:t> nights).</w:t>
      </w:r>
      <w:r w:rsidR="004817CC">
        <w:rPr>
          <w:color w:val="auto"/>
        </w:rPr>
        <w:t xml:space="preserve"> Compared to last year, </w:t>
      </w:r>
      <w:r w:rsidR="00E65D26">
        <w:rPr>
          <w:color w:val="auto"/>
        </w:rPr>
        <w:t xml:space="preserve">the average </w:t>
      </w:r>
      <w:proofErr w:type="gramStart"/>
      <w:r w:rsidR="00225E8C">
        <w:rPr>
          <w:color w:val="auto"/>
        </w:rPr>
        <w:t>spend</w:t>
      </w:r>
      <w:proofErr w:type="gramEnd"/>
      <w:r w:rsidR="00225E8C">
        <w:rPr>
          <w:color w:val="auto"/>
        </w:rPr>
        <w:t xml:space="preserve"> on an overnight trip in a capital city increased by 7% (and spend per night increased by 9%, as the trip length declined slightly)</w:t>
      </w:r>
      <w:r w:rsidR="00CE2350">
        <w:rPr>
          <w:color w:val="auto"/>
        </w:rPr>
        <w:t>, while the</w:t>
      </w:r>
      <w:r w:rsidR="00225E8C">
        <w:rPr>
          <w:color w:val="auto"/>
        </w:rPr>
        <w:t xml:space="preserve"> </w:t>
      </w:r>
      <w:r w:rsidR="00CE2350">
        <w:rPr>
          <w:color w:val="auto"/>
        </w:rPr>
        <w:t xml:space="preserve">average spend on an overnight trip in regional Australia increased by just 1% (and spend per night increased by 5%, as the trip length declined </w:t>
      </w:r>
      <w:r w:rsidR="005019BD">
        <w:rPr>
          <w:color w:val="auto"/>
        </w:rPr>
        <w:t>by more than for capital cities</w:t>
      </w:r>
      <w:r w:rsidR="00CE2350">
        <w:rPr>
          <w:color w:val="auto"/>
        </w:rPr>
        <w:t>)</w:t>
      </w:r>
      <w:r w:rsidR="005019BD">
        <w:rPr>
          <w:color w:val="auto"/>
        </w:rPr>
        <w:t>.</w:t>
      </w:r>
    </w:p>
    <w:p w14:paraId="6E1AEC04" w14:textId="77777777" w:rsidR="0015475C" w:rsidRDefault="0015475C" w:rsidP="00BE377F">
      <w:pPr>
        <w:spacing w:line="300" w:lineRule="atLeast"/>
      </w:pPr>
    </w:p>
    <w:p w14:paraId="230150DE" w14:textId="321CA0EA" w:rsidR="00771F99" w:rsidRDefault="00771F99" w:rsidP="00E635CE">
      <w:pPr>
        <w:pStyle w:val="Heading4"/>
        <w:pBdr>
          <w:top w:val="thinThickSmallGap" w:sz="24" w:space="1" w:color="2E1A47" w:themeColor="accent2"/>
        </w:pBdr>
      </w:pPr>
      <w:r>
        <w:t>River Revival Vouchers for the Murray</w:t>
      </w:r>
      <w:r w:rsidR="00C3759E">
        <w:t xml:space="preserve"> River</w:t>
      </w:r>
      <w:r w:rsidR="004B2A60">
        <w:t xml:space="preserve"> </w:t>
      </w:r>
    </w:p>
    <w:p w14:paraId="3499D67E" w14:textId="2006448D" w:rsidR="004B2A60" w:rsidRPr="001C0CB9" w:rsidRDefault="004B2A60" w:rsidP="001C0CB9">
      <w:pPr>
        <w:rPr>
          <w:rStyle w:val="Emphasis"/>
        </w:rPr>
      </w:pPr>
      <w:r w:rsidRPr="001C0CB9">
        <w:rPr>
          <w:rStyle w:val="Emphasis"/>
        </w:rPr>
        <w:t xml:space="preserve">Case Study by </w:t>
      </w:r>
      <w:r w:rsidR="00AF57E7" w:rsidRPr="001C0CB9">
        <w:rPr>
          <w:rStyle w:val="Emphasis"/>
        </w:rPr>
        <w:t>South Australian Tourism Commission</w:t>
      </w:r>
    </w:p>
    <w:p w14:paraId="4059B44C" w14:textId="33A92F8E" w:rsidR="006D435E" w:rsidRPr="00B94716" w:rsidRDefault="00AE60D4" w:rsidP="001C0CB9">
      <w:pPr>
        <w:rPr>
          <w:rFonts w:eastAsia="Times New Roman" w:cstheme="minorHAnsi"/>
          <w:lang w:eastAsia="en-AU"/>
        </w:rPr>
      </w:pPr>
      <w:r w:rsidRPr="00B94716">
        <w:rPr>
          <w:rFonts w:eastAsia="Times New Roman" w:cstheme="minorHAnsi"/>
          <w:lang w:eastAsia="en-AU"/>
        </w:rPr>
        <w:t>To drive tourism recovery in South Australia’s Murray River regions following the once-in-a-century flooding event in 2022-23, a targeted voucher program and marketing campaign was launched in February 2023.</w:t>
      </w:r>
    </w:p>
    <w:p w14:paraId="16EAFA5C" w14:textId="22C4A9C3" w:rsidR="006D435E" w:rsidRPr="00B94716" w:rsidRDefault="00AE60D4" w:rsidP="001C0CB9">
      <w:pPr>
        <w:rPr>
          <w:rFonts w:eastAsia="Times New Roman" w:cstheme="minorHAnsi"/>
          <w:lang w:eastAsia="en-AU"/>
        </w:rPr>
      </w:pPr>
      <w:r w:rsidRPr="00B94716">
        <w:rPr>
          <w:rFonts w:eastAsia="Times New Roman" w:cstheme="minorHAnsi"/>
          <w:lang w:eastAsia="en-AU"/>
        </w:rPr>
        <w:t xml:space="preserve">The River Revival Voucher program and associated ‘Rise Up For our River’ marketing campaign sought to drive visitation and expenditure to the state’s Riverland and Murray River Lakes &amp; Coorong tourism regions. </w:t>
      </w:r>
    </w:p>
    <w:p w14:paraId="03B9024E" w14:textId="0FB28081" w:rsidR="00AE60D4" w:rsidRDefault="00AE60D4" w:rsidP="001C0CB9">
      <w:pPr>
        <w:rPr>
          <w:rFonts w:eastAsia="Times New Roman"/>
          <w:lang w:eastAsia="en-AU"/>
        </w:rPr>
      </w:pPr>
      <w:r w:rsidRPr="7589D71F">
        <w:rPr>
          <w:rFonts w:eastAsia="Times New Roman"/>
          <w:lang w:eastAsia="en-AU"/>
        </w:rPr>
        <w:t xml:space="preserve">Working closely with industry to inform the response and recovery strategy, it included three rounds of </w:t>
      </w:r>
      <w:r w:rsidR="41C52073" w:rsidRPr="7589D71F">
        <w:rPr>
          <w:rFonts w:eastAsia="Times New Roman"/>
          <w:lang w:eastAsia="en-AU"/>
        </w:rPr>
        <w:t>r</w:t>
      </w:r>
      <w:r w:rsidR="113F95D9" w:rsidRPr="7589D71F">
        <w:rPr>
          <w:rFonts w:eastAsia="Times New Roman"/>
          <w:lang w:eastAsia="en-AU"/>
        </w:rPr>
        <w:t xml:space="preserve">iver </w:t>
      </w:r>
      <w:r w:rsidR="03408028" w:rsidRPr="7589D71F">
        <w:rPr>
          <w:rFonts w:eastAsia="Times New Roman"/>
          <w:lang w:eastAsia="en-AU"/>
        </w:rPr>
        <w:t>r</w:t>
      </w:r>
      <w:r w:rsidR="113F95D9" w:rsidRPr="7589D71F">
        <w:rPr>
          <w:rFonts w:eastAsia="Times New Roman"/>
          <w:lang w:eastAsia="en-AU"/>
        </w:rPr>
        <w:t xml:space="preserve">evival </w:t>
      </w:r>
      <w:r w:rsidR="28D2E61D" w:rsidRPr="7589D71F">
        <w:rPr>
          <w:rFonts w:eastAsia="Times New Roman"/>
          <w:lang w:eastAsia="en-AU"/>
        </w:rPr>
        <w:t>v</w:t>
      </w:r>
      <w:r w:rsidR="113F95D9" w:rsidRPr="7589D71F">
        <w:rPr>
          <w:rFonts w:eastAsia="Times New Roman"/>
          <w:lang w:eastAsia="en-AU"/>
        </w:rPr>
        <w:t>ouchers</w:t>
      </w:r>
      <w:r w:rsidRPr="7589D71F">
        <w:rPr>
          <w:rFonts w:eastAsia="Times New Roman"/>
          <w:lang w:eastAsia="en-AU"/>
        </w:rPr>
        <w:t xml:space="preserve"> for accommodation, experiences, houseboats</w:t>
      </w:r>
      <w:r w:rsidR="0011641A" w:rsidRPr="7589D71F">
        <w:rPr>
          <w:rFonts w:eastAsia="Times New Roman"/>
          <w:lang w:eastAsia="en-AU"/>
        </w:rPr>
        <w:t>,</w:t>
      </w:r>
      <w:r w:rsidRPr="7589D71F">
        <w:rPr>
          <w:rFonts w:eastAsia="Times New Roman"/>
          <w:lang w:eastAsia="en-AU"/>
        </w:rPr>
        <w:t xml:space="preserve"> and guided tours. To date, the first </w:t>
      </w:r>
      <w:r w:rsidRPr="7589D71F">
        <w:rPr>
          <w:rFonts w:eastAsia="Times New Roman"/>
          <w:b/>
          <w:lang w:eastAsia="en-AU"/>
        </w:rPr>
        <w:t>two rounds of vouchers have resulted in over</w:t>
      </w:r>
      <w:r w:rsidRPr="7589D71F">
        <w:rPr>
          <w:rFonts w:eastAsia="Times New Roman"/>
          <w:lang w:eastAsia="en-AU"/>
        </w:rPr>
        <w:t xml:space="preserve"> </w:t>
      </w:r>
      <w:r w:rsidRPr="7589D71F">
        <w:rPr>
          <w:rFonts w:eastAsia="Times New Roman"/>
          <w:b/>
          <w:lang w:eastAsia="en-AU"/>
        </w:rPr>
        <w:t>12,500 bookings</w:t>
      </w:r>
      <w:r w:rsidRPr="7589D71F">
        <w:rPr>
          <w:rFonts w:eastAsia="Times New Roman"/>
          <w:lang w:eastAsia="en-AU"/>
        </w:rPr>
        <w:t xml:space="preserve"> with tourism operators across the two regions and a combined </w:t>
      </w:r>
      <w:r w:rsidRPr="7589D71F">
        <w:rPr>
          <w:rFonts w:eastAsia="Times New Roman"/>
          <w:b/>
          <w:lang w:eastAsia="en-AU"/>
        </w:rPr>
        <w:t>$10.7</w:t>
      </w:r>
      <w:r w:rsidR="005F61BC" w:rsidRPr="7589D71F">
        <w:rPr>
          <w:rFonts w:eastAsia="Times New Roman"/>
          <w:b/>
          <w:lang w:eastAsia="en-AU"/>
        </w:rPr>
        <w:t> </w:t>
      </w:r>
      <w:r w:rsidRPr="7589D71F">
        <w:rPr>
          <w:rFonts w:eastAsia="Times New Roman"/>
          <w:b/>
          <w:lang w:eastAsia="en-AU"/>
        </w:rPr>
        <w:t>million</w:t>
      </w:r>
      <w:r w:rsidRPr="7589D71F">
        <w:rPr>
          <w:rFonts w:eastAsia="Times New Roman"/>
          <w:lang w:eastAsia="en-AU"/>
        </w:rPr>
        <w:t xml:space="preserve"> in economic impact.</w:t>
      </w:r>
    </w:p>
    <w:p w14:paraId="6B9A1857" w14:textId="0A84B384" w:rsidR="00AE60D4" w:rsidRDefault="00AE60D4" w:rsidP="001C0CB9">
      <w:pPr>
        <w:rPr>
          <w:rFonts w:eastAsia="Times New Roman" w:cstheme="minorHAnsi"/>
          <w:lang w:eastAsia="en-AU"/>
        </w:rPr>
      </w:pPr>
      <w:r w:rsidRPr="00B94716">
        <w:rPr>
          <w:rFonts w:eastAsia="Times New Roman" w:cstheme="minorHAnsi"/>
          <w:lang w:eastAsia="en-AU"/>
        </w:rPr>
        <w:t xml:space="preserve">Consumer feedback was overwhelmingly positive, revealing the program not only injected expenditure </w:t>
      </w:r>
      <w:r w:rsidR="00A26C18">
        <w:rPr>
          <w:rFonts w:eastAsia="Times New Roman" w:cstheme="minorHAnsi"/>
          <w:lang w:eastAsia="en-AU"/>
        </w:rPr>
        <w:t>in</w:t>
      </w:r>
      <w:r w:rsidR="00973E75">
        <w:rPr>
          <w:rFonts w:eastAsia="Times New Roman" w:cstheme="minorHAnsi"/>
          <w:lang w:eastAsia="en-AU"/>
        </w:rPr>
        <w:t>to</w:t>
      </w:r>
      <w:r w:rsidRPr="00B94716">
        <w:rPr>
          <w:rFonts w:eastAsia="Times New Roman" w:cstheme="minorHAnsi"/>
          <w:lang w:eastAsia="en-AU"/>
        </w:rPr>
        <w:t xml:space="preserve"> the regions, but greatly increased awareness of what the Murray River has to offer – and enticed consumers to make a trip they otherwise wouldn’t have planned. </w:t>
      </w:r>
    </w:p>
    <w:p w14:paraId="5E25D34C" w14:textId="7250C5A1" w:rsidR="006D435E" w:rsidRPr="00B94716" w:rsidRDefault="00AE60D4" w:rsidP="001C0CB9">
      <w:pPr>
        <w:rPr>
          <w:rFonts w:eastAsia="Times New Roman" w:cstheme="minorHAnsi"/>
          <w:lang w:eastAsia="en-AU"/>
        </w:rPr>
      </w:pPr>
      <w:r w:rsidRPr="00B94716">
        <w:rPr>
          <w:rFonts w:eastAsia="Times New Roman" w:cstheme="minorHAnsi"/>
          <w:lang w:eastAsia="en-AU"/>
        </w:rPr>
        <w:t xml:space="preserve">Latest data (year ending December 2023) shows tourism spend in the two regions has not only recovered but surpassed its pre-flood value with total visitor expenditure across the </w:t>
      </w:r>
      <w:r w:rsidR="0017156D">
        <w:rPr>
          <w:rFonts w:eastAsia="Times New Roman" w:cstheme="minorHAnsi"/>
          <w:lang w:eastAsia="en-AU"/>
        </w:rPr>
        <w:t>2</w:t>
      </w:r>
      <w:r w:rsidRPr="00B94716">
        <w:rPr>
          <w:rFonts w:eastAsia="Times New Roman" w:cstheme="minorHAnsi"/>
          <w:lang w:eastAsia="en-AU"/>
        </w:rPr>
        <w:t xml:space="preserve"> regions now valued at a combined $612 million, well up on the pre-flood value of $441 million in December 2022. </w:t>
      </w:r>
    </w:p>
    <w:p w14:paraId="75F4533D" w14:textId="136B4FE7" w:rsidR="00AE60D4" w:rsidRPr="00CD4B6D" w:rsidRDefault="00AE60D4" w:rsidP="00E635CE">
      <w:pPr>
        <w:pBdr>
          <w:bottom w:val="thickThinSmallGap" w:sz="24" w:space="1" w:color="2E1A47" w:themeColor="accent2"/>
        </w:pBdr>
      </w:pPr>
      <w:r w:rsidRPr="00CD4B6D">
        <w:t xml:space="preserve">With </w:t>
      </w:r>
      <w:r w:rsidR="0017156D">
        <w:t>a</w:t>
      </w:r>
      <w:r w:rsidRPr="00CD4B6D">
        <w:t xml:space="preserve"> third round of vouchers underway</w:t>
      </w:r>
      <w:r w:rsidR="0017156D">
        <w:t xml:space="preserve"> in 2024</w:t>
      </w:r>
      <w:r w:rsidRPr="00CD4B6D">
        <w:t xml:space="preserve">, the program has provided a much-needed boost to flood-affected tourism businesses and has helped showcase the incredible and diverse offerings available in this part of South Australia.  </w:t>
      </w:r>
    </w:p>
    <w:p w14:paraId="0E69F8DA" w14:textId="4DC795A5" w:rsidR="00BA0140" w:rsidRDefault="0031088F" w:rsidP="0031088F">
      <w:pPr>
        <w:pStyle w:val="Heading3"/>
      </w:pPr>
      <w:bookmarkStart w:id="70" w:name="_Toc167113885"/>
      <w:r>
        <w:t>Domestic travel by</w:t>
      </w:r>
      <w:r w:rsidR="00BA0140">
        <w:t xml:space="preserve"> state</w:t>
      </w:r>
      <w:r w:rsidR="008B366C">
        <w:t>/territory</w:t>
      </w:r>
      <w:bookmarkEnd w:id="70"/>
    </w:p>
    <w:p w14:paraId="13145D33" w14:textId="2E0B63CF" w:rsidR="00C56ECB" w:rsidRDefault="00657CFC" w:rsidP="00E939F6">
      <w:pPr>
        <w:spacing w:line="300" w:lineRule="atLeast"/>
      </w:pPr>
      <w:r>
        <w:t>Domestic overnight visitation varied across the states/territories in the year</w:t>
      </w:r>
      <w:r w:rsidR="00966CBE">
        <w:t xml:space="preserve">, although overall </w:t>
      </w:r>
      <w:r w:rsidR="00C56ECB">
        <w:t xml:space="preserve">domestic tourism </w:t>
      </w:r>
      <w:r w:rsidR="007614DC">
        <w:t xml:space="preserve">demand was stronger in 2023 than the previous </w:t>
      </w:r>
      <w:r w:rsidR="00C56ECB">
        <w:t xml:space="preserve">year for all states and territories except for the Northern Territory </w:t>
      </w:r>
      <w:r w:rsidR="00A2604B">
        <w:t xml:space="preserve">(NT) </w:t>
      </w:r>
      <w:r w:rsidR="00C56ECB">
        <w:t xml:space="preserve">and Queensland (Figure </w:t>
      </w:r>
      <w:r w:rsidR="00BC46A4">
        <w:t>2</w:t>
      </w:r>
      <w:r w:rsidR="004D15A0">
        <w:t>1</w:t>
      </w:r>
      <w:r w:rsidR="0043201D">
        <w:t>, left panel</w:t>
      </w:r>
      <w:r w:rsidR="00C56ECB">
        <w:t>).</w:t>
      </w:r>
      <w:r w:rsidR="00373B35">
        <w:t xml:space="preserve"> Domestic overnight visitor spend was higher in 2023 for all states/territories than it was pre-pandemic, </w:t>
      </w:r>
      <w:r w:rsidR="00373B35">
        <w:lastRenderedPageBreak/>
        <w:t xml:space="preserve">while trip numbers were only above the pre-pandemic level </w:t>
      </w:r>
      <w:r w:rsidR="00A2604B">
        <w:t xml:space="preserve">for the Australian Capital Territory (ACT) and </w:t>
      </w:r>
      <w:r w:rsidR="006E3AFC">
        <w:t xml:space="preserve">Western Australia (WA; </w:t>
      </w:r>
      <w:r w:rsidR="0043201D">
        <w:t xml:space="preserve">Figure </w:t>
      </w:r>
      <w:r w:rsidR="00BC46A4">
        <w:t>2</w:t>
      </w:r>
      <w:r w:rsidR="004D15A0">
        <w:t>1</w:t>
      </w:r>
      <w:r w:rsidR="0043201D">
        <w:t>, right panel</w:t>
      </w:r>
      <w:r w:rsidR="006E3AFC">
        <w:t>).</w:t>
      </w:r>
      <w:r w:rsidR="00A2604B">
        <w:t xml:space="preserve"> </w:t>
      </w:r>
    </w:p>
    <w:p w14:paraId="5F3E04DD" w14:textId="737CDE54" w:rsidR="007B6EE0" w:rsidRPr="005E2820" w:rsidRDefault="007C4246" w:rsidP="00491EE3">
      <w:pPr>
        <w:pStyle w:val="Caption"/>
        <w:keepNext/>
        <w:spacing w:line="300" w:lineRule="atLeast"/>
        <w:rPr>
          <w:b/>
          <w:i w:val="0"/>
          <w:sz w:val="20"/>
          <w:szCs w:val="20"/>
        </w:rPr>
      </w:pPr>
      <w:r w:rsidRPr="00AB4728">
        <w:rPr>
          <w:b/>
          <w:bCs/>
          <w:i w:val="0"/>
          <w:iCs w:val="0"/>
          <w:sz w:val="20"/>
          <w:szCs w:val="20"/>
        </w:rPr>
        <w:t xml:space="preserve">Figure </w:t>
      </w:r>
      <w:r w:rsidRPr="00AB4728">
        <w:rPr>
          <w:b/>
          <w:bCs/>
          <w:i w:val="0"/>
          <w:iCs w:val="0"/>
          <w:sz w:val="20"/>
          <w:szCs w:val="20"/>
        </w:rPr>
        <w:fldChar w:fldCharType="begin"/>
      </w:r>
      <w:r w:rsidRPr="00AB4728">
        <w:rPr>
          <w:b/>
          <w:bCs/>
          <w:i w:val="0"/>
          <w:iCs w:val="0"/>
          <w:sz w:val="20"/>
          <w:szCs w:val="20"/>
        </w:rPr>
        <w:instrText xml:space="preserve"> SEQ Figure \* ARABIC </w:instrText>
      </w:r>
      <w:r w:rsidRPr="00AB4728">
        <w:rPr>
          <w:b/>
          <w:bCs/>
          <w:i w:val="0"/>
          <w:iCs w:val="0"/>
          <w:sz w:val="20"/>
          <w:szCs w:val="20"/>
        </w:rPr>
        <w:fldChar w:fldCharType="separate"/>
      </w:r>
      <w:r w:rsidR="004D15A0">
        <w:rPr>
          <w:b/>
          <w:bCs/>
          <w:i w:val="0"/>
          <w:iCs w:val="0"/>
          <w:noProof/>
          <w:sz w:val="20"/>
          <w:szCs w:val="20"/>
        </w:rPr>
        <w:t>21</w:t>
      </w:r>
      <w:r w:rsidRPr="00AB4728">
        <w:rPr>
          <w:b/>
          <w:bCs/>
          <w:i w:val="0"/>
          <w:iCs w:val="0"/>
          <w:sz w:val="20"/>
          <w:szCs w:val="20"/>
        </w:rPr>
        <w:fldChar w:fldCharType="end"/>
      </w:r>
      <w:r w:rsidRPr="00AB4728">
        <w:rPr>
          <w:b/>
          <w:bCs/>
          <w:i w:val="0"/>
          <w:iCs w:val="0"/>
          <w:sz w:val="20"/>
          <w:szCs w:val="20"/>
        </w:rPr>
        <w:t>.</w:t>
      </w:r>
      <w:r w:rsidRPr="00AB4728">
        <w:rPr>
          <w:i w:val="0"/>
          <w:iCs w:val="0"/>
          <w:sz w:val="20"/>
          <w:szCs w:val="20"/>
        </w:rPr>
        <w:t xml:space="preserve"> Domestic overnight trips</w:t>
      </w:r>
      <w:r w:rsidR="00863953">
        <w:rPr>
          <w:i w:val="0"/>
          <w:iCs w:val="0"/>
          <w:sz w:val="20"/>
          <w:szCs w:val="20"/>
        </w:rPr>
        <w:t>,</w:t>
      </w:r>
      <w:r>
        <w:rPr>
          <w:i w:val="0"/>
          <w:iCs w:val="0"/>
          <w:sz w:val="20"/>
          <w:szCs w:val="20"/>
        </w:rPr>
        <w:t xml:space="preserve"> nights</w:t>
      </w:r>
      <w:r w:rsidR="00863953">
        <w:rPr>
          <w:i w:val="0"/>
          <w:iCs w:val="0"/>
          <w:sz w:val="20"/>
          <w:szCs w:val="20"/>
        </w:rPr>
        <w:t>,</w:t>
      </w:r>
      <w:r>
        <w:rPr>
          <w:i w:val="0"/>
          <w:iCs w:val="0"/>
          <w:sz w:val="20"/>
          <w:szCs w:val="20"/>
        </w:rPr>
        <w:t xml:space="preserve"> and spend</w:t>
      </w:r>
      <w:r w:rsidR="00863953">
        <w:rPr>
          <w:i w:val="0"/>
          <w:iCs w:val="0"/>
          <w:sz w:val="20"/>
          <w:szCs w:val="20"/>
        </w:rPr>
        <w:t>,</w:t>
      </w:r>
      <w:r w:rsidRPr="00AB4728">
        <w:rPr>
          <w:i w:val="0"/>
          <w:iCs w:val="0"/>
          <w:sz w:val="20"/>
          <w:szCs w:val="20"/>
        </w:rPr>
        <w:t xml:space="preserve"> by </w:t>
      </w:r>
      <w:r>
        <w:rPr>
          <w:i w:val="0"/>
          <w:iCs w:val="0"/>
          <w:sz w:val="20"/>
          <w:szCs w:val="20"/>
        </w:rPr>
        <w:t>state/territory</w:t>
      </w:r>
      <w:r w:rsidR="008C64A7">
        <w:rPr>
          <w:i w:val="0"/>
          <w:iCs w:val="0"/>
          <w:sz w:val="20"/>
          <w:szCs w:val="20"/>
        </w:rPr>
        <w:t>,</w:t>
      </w:r>
      <w:r w:rsidRPr="00AB4728">
        <w:rPr>
          <w:i w:val="0"/>
          <w:iCs w:val="0"/>
          <w:sz w:val="20"/>
          <w:szCs w:val="20"/>
        </w:rPr>
        <w:t xml:space="preserve"> </w:t>
      </w:r>
      <w:r w:rsidR="00850879">
        <w:rPr>
          <w:i w:val="0"/>
          <w:iCs w:val="0"/>
          <w:sz w:val="20"/>
          <w:szCs w:val="20"/>
        </w:rPr>
        <w:t>change in</w:t>
      </w:r>
      <w:r w:rsidRPr="00AB4728">
        <w:rPr>
          <w:i w:val="0"/>
          <w:iCs w:val="0"/>
          <w:sz w:val="20"/>
          <w:szCs w:val="20"/>
        </w:rPr>
        <w:t xml:space="preserve"> 2023</w:t>
      </w:r>
      <w:r>
        <w:rPr>
          <w:i w:val="0"/>
          <w:iCs w:val="0"/>
          <w:sz w:val="20"/>
          <w:szCs w:val="20"/>
        </w:rPr>
        <w:t xml:space="preserve"> compared to 2022</w:t>
      </w:r>
      <w:r w:rsidR="003F5E02">
        <w:rPr>
          <w:i w:val="0"/>
          <w:iCs w:val="0"/>
          <w:sz w:val="20"/>
          <w:szCs w:val="20"/>
        </w:rPr>
        <w:t xml:space="preserve"> (left panel) and compared to 2019</w:t>
      </w:r>
      <w:r w:rsidR="00DF5900">
        <w:rPr>
          <w:i w:val="0"/>
          <w:iCs w:val="0"/>
          <w:sz w:val="20"/>
          <w:szCs w:val="20"/>
        </w:rPr>
        <w:t xml:space="preserve"> (right panel)</w:t>
      </w:r>
      <w:r w:rsidRPr="00AB4728">
        <w:rPr>
          <w:i w:val="0"/>
          <w:iCs w:val="0"/>
          <w:sz w:val="20"/>
          <w:szCs w:val="20"/>
        </w:rPr>
        <w:t>.</w:t>
      </w:r>
    </w:p>
    <w:p w14:paraId="0D6526AA" w14:textId="1B6D2E8C" w:rsidR="0016571D" w:rsidRDefault="000534F5" w:rsidP="00EC6F00">
      <w:pPr>
        <w:spacing w:line="300" w:lineRule="atLeast"/>
        <w:ind w:hanging="142"/>
      </w:pPr>
      <w:r w:rsidRPr="000534F5">
        <w:rPr>
          <w:noProof/>
        </w:rPr>
        <w:drawing>
          <wp:inline distT="0" distB="0" distL="0" distR="0" wp14:anchorId="5DA8BC61" wp14:editId="3E04F08D">
            <wp:extent cx="6436360" cy="3314700"/>
            <wp:effectExtent l="0" t="0" r="2540" b="0"/>
            <wp:docPr id="532125449" name="Picture 12" descr="Figure 21 shows 2 vertical bar charts with the change in domestic overnight trips, nights, and spend by state/territory. On the left panel is the change for 2023 compared to 2022 and on the right panel is the change for 2023 compared to 2019. All states/territories except Queensland and the NT showed growth in the 3 measures in the latest year. Compared to 2019, all states/territories showed growth in spend, but all except the ACT were still below the 2019 level for trips and 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25449" name="Picture 12" descr="Figure 21 shows 2 vertical bar charts with the change in domestic overnight trips, nights, and spend by state/territory. On the left panel is the change for 2023 compared to 2022 and on the right panel is the change for 2023 compared to 2019. All states/territories except Queensland and the NT showed growth in the 3 measures in the latest year. Compared to 2019, all states/territories showed growth in spend, but all except the ACT were still below the 2019 level for trips and nights."/>
                    <pic:cNvPicPr>
                      <a:picLocks noChangeAspect="1" noChangeArrowheads="1"/>
                    </pic:cNvPicPr>
                  </pic:nvPicPr>
                  <pic:blipFill rotWithShape="1">
                    <a:blip r:embed="rId47">
                      <a:extLst>
                        <a:ext uri="{28A0092B-C50C-407E-A947-70E740481C1C}">
                          <a14:useLocalDpi xmlns:a14="http://schemas.microsoft.com/office/drawing/2010/main" val="0"/>
                        </a:ext>
                      </a:extLst>
                    </a:blip>
                    <a:srcRect l="1806" r="5739"/>
                    <a:stretch/>
                  </pic:blipFill>
                  <pic:spPr bwMode="auto">
                    <a:xfrm>
                      <a:off x="0" y="0"/>
                      <a:ext cx="6442520" cy="3317872"/>
                    </a:xfrm>
                    <a:prstGeom prst="rect">
                      <a:avLst/>
                    </a:prstGeom>
                    <a:noFill/>
                    <a:ln>
                      <a:noFill/>
                    </a:ln>
                    <a:extLst>
                      <a:ext uri="{53640926-AAD7-44D8-BBD7-CCE9431645EC}">
                        <a14:shadowObscured xmlns:a14="http://schemas.microsoft.com/office/drawing/2010/main"/>
                      </a:ext>
                    </a:extLst>
                  </pic:spPr>
                </pic:pic>
              </a:graphicData>
            </a:graphic>
          </wp:inline>
        </w:drawing>
      </w:r>
    </w:p>
    <w:p w14:paraId="4D452F43" w14:textId="2BD1CC41" w:rsidR="00BA0140" w:rsidRDefault="00CA1DA0" w:rsidP="00E939F6">
      <w:pPr>
        <w:spacing w:before="0" w:after="160" w:line="300" w:lineRule="atLeast"/>
      </w:pPr>
      <w:r>
        <w:t xml:space="preserve">The </w:t>
      </w:r>
      <w:r w:rsidR="000F3E81">
        <w:t xml:space="preserve">relatively weak outcomes in 2023 for the </w:t>
      </w:r>
      <w:r w:rsidR="002707FC">
        <w:t>N</w:t>
      </w:r>
      <w:r w:rsidR="000F3E81">
        <w:t xml:space="preserve">orthern Territory and Queensland </w:t>
      </w:r>
      <w:r w:rsidR="00DE79A7">
        <w:t>c</w:t>
      </w:r>
      <w:r w:rsidR="001723B0">
        <w:t>a</w:t>
      </w:r>
      <w:r w:rsidR="00DE79A7">
        <w:t xml:space="preserve">me </w:t>
      </w:r>
      <w:r w:rsidR="00C13CCE">
        <w:t>directly after exceptionally strong outcomes in 2022</w:t>
      </w:r>
      <w:r w:rsidR="00D900CB">
        <w:t xml:space="preserve">. </w:t>
      </w:r>
      <w:r w:rsidR="00E76E0C">
        <w:t xml:space="preserve">In contrast, </w:t>
      </w:r>
      <w:r w:rsidR="0039355C">
        <w:t>the strong outcomes in 2023 for WA</w:t>
      </w:r>
      <w:r w:rsidR="009B5098">
        <w:t xml:space="preserve"> follow directly after mild outcomes in 2022 (when interstate travel became an available option for Western Australians).</w:t>
      </w:r>
      <w:r w:rsidR="0045336B">
        <w:t xml:space="preserve"> S</w:t>
      </w:r>
      <w:r w:rsidR="00E76E0C">
        <w:t xml:space="preserve">tronger outcomes in 2023 for Victoria, New South Wales </w:t>
      </w:r>
      <w:r w:rsidR="00960663">
        <w:t xml:space="preserve">(NSW) </w:t>
      </w:r>
      <w:r w:rsidR="00E76E0C">
        <w:t xml:space="preserve">and the ACT are consistent with </w:t>
      </w:r>
      <w:r w:rsidR="0069209A">
        <w:t xml:space="preserve">those states </w:t>
      </w:r>
      <w:r w:rsidR="41401538">
        <w:t>and territories</w:t>
      </w:r>
      <w:r w:rsidR="5ACA83AB">
        <w:t xml:space="preserve"> </w:t>
      </w:r>
      <w:r w:rsidR="0069209A">
        <w:t xml:space="preserve">having had further to recover </w:t>
      </w:r>
      <w:r w:rsidR="003105FF">
        <w:t>over the year</w:t>
      </w:r>
      <w:r w:rsidR="002707FC">
        <w:t>,</w:t>
      </w:r>
      <w:r w:rsidR="003105FF">
        <w:t xml:space="preserve"> </w:t>
      </w:r>
      <w:r w:rsidR="002707FC">
        <w:t xml:space="preserve">due to </w:t>
      </w:r>
      <w:r w:rsidR="003105FF">
        <w:t>the deeper impact from COVID-19 related lockdowns</w:t>
      </w:r>
      <w:r w:rsidR="009177CB">
        <w:t xml:space="preserve"> there</w:t>
      </w:r>
      <w:r w:rsidR="003105FF">
        <w:t>.</w:t>
      </w:r>
      <w:r w:rsidR="00E76E0C">
        <w:t xml:space="preserve"> </w:t>
      </w:r>
    </w:p>
    <w:p w14:paraId="560D82FA" w14:textId="7F799BDC" w:rsidR="00F57B79" w:rsidRDefault="00F57B79" w:rsidP="00F57B79">
      <w:pPr>
        <w:pStyle w:val="Heading3"/>
      </w:pPr>
      <w:bookmarkStart w:id="71" w:name="_Toc167113886"/>
      <w:r>
        <w:t>Mobility data</w:t>
      </w:r>
      <w:bookmarkEnd w:id="71"/>
    </w:p>
    <w:p w14:paraId="7B2A4F57" w14:textId="0D1D7439" w:rsidR="00F57B79" w:rsidRDefault="00F57B79" w:rsidP="00EB22AD">
      <w:r>
        <w:t xml:space="preserve">TRA </w:t>
      </w:r>
      <w:r w:rsidR="00EB22AD">
        <w:t xml:space="preserve">commenced publication of a new </w:t>
      </w:r>
      <w:r w:rsidR="00617F9E">
        <w:t xml:space="preserve">domestic tourism measure via </w:t>
      </w:r>
      <w:r w:rsidR="00DA0623">
        <w:t xml:space="preserve">the </w:t>
      </w:r>
      <w:hyperlink r:id="rId48" w:history="1">
        <w:r w:rsidR="003C5B2C" w:rsidRPr="003C5B2C">
          <w:rPr>
            <w:rStyle w:val="Hyperlink"/>
          </w:rPr>
          <w:t xml:space="preserve">Domestic </w:t>
        </w:r>
        <w:r w:rsidR="00DA0623" w:rsidRPr="003C5B2C">
          <w:rPr>
            <w:rStyle w:val="Hyperlink"/>
          </w:rPr>
          <w:t>Mobility</w:t>
        </w:r>
        <w:r w:rsidRPr="003C5B2C">
          <w:rPr>
            <w:rStyle w:val="Hyperlink"/>
          </w:rPr>
          <w:t xml:space="preserve"> </w:t>
        </w:r>
        <w:r w:rsidR="003C5B2C" w:rsidRPr="003C5B2C">
          <w:rPr>
            <w:rStyle w:val="Hyperlink"/>
          </w:rPr>
          <w:t>D</w:t>
        </w:r>
        <w:r w:rsidRPr="003C5B2C">
          <w:rPr>
            <w:rStyle w:val="Hyperlink"/>
          </w:rPr>
          <w:t>ata</w:t>
        </w:r>
      </w:hyperlink>
      <w:r>
        <w:t xml:space="preserve"> dashboard on </w:t>
      </w:r>
      <w:r w:rsidR="00617F9E">
        <w:t>W</w:t>
      </w:r>
      <w:r>
        <w:t xml:space="preserve">orld </w:t>
      </w:r>
      <w:r w:rsidR="00617F9E">
        <w:t>T</w:t>
      </w:r>
      <w:r>
        <w:t xml:space="preserve">ourism </w:t>
      </w:r>
      <w:r w:rsidR="00617F9E">
        <w:t>D</w:t>
      </w:r>
      <w:r>
        <w:t>ay, 27 September 2023.</w:t>
      </w:r>
      <w:r w:rsidR="00DA0623">
        <w:t xml:space="preserve"> The new data</w:t>
      </w:r>
      <w:r w:rsidR="002A45B4">
        <w:t>set</w:t>
      </w:r>
      <w:r>
        <w:t xml:space="preserve"> </w:t>
      </w:r>
      <w:r w:rsidR="003C5B2C">
        <w:t xml:space="preserve">is based on </w:t>
      </w:r>
      <w:r w:rsidR="002D2C92">
        <w:t xml:space="preserve">de-identified, mass aggregation of </w:t>
      </w:r>
      <w:r w:rsidR="00F10C63">
        <w:t>mobile phone data</w:t>
      </w:r>
      <w:r w:rsidR="002D2C92">
        <w:t xml:space="preserve"> </w:t>
      </w:r>
      <w:r w:rsidR="00735889">
        <w:t xml:space="preserve">and </w:t>
      </w:r>
      <w:r w:rsidR="002D2C92">
        <w:t>is extrapolated using population estimates from the Australian Bureau of Statistics (ABS)</w:t>
      </w:r>
      <w:r w:rsidR="00735889">
        <w:t xml:space="preserve">. </w:t>
      </w:r>
    </w:p>
    <w:p w14:paraId="335716A6" w14:textId="5E8058AA" w:rsidR="00753EA3" w:rsidRDefault="00F57B79" w:rsidP="00735889">
      <w:r>
        <w:t xml:space="preserve">The data is published monthly, </w:t>
      </w:r>
      <w:r w:rsidR="00F10C63">
        <w:t xml:space="preserve">around </w:t>
      </w:r>
      <w:r>
        <w:t>10 days after the reference period</w:t>
      </w:r>
      <w:r w:rsidR="00195DE3">
        <w:t>,</w:t>
      </w:r>
      <w:r>
        <w:t xml:space="preserve"> </w:t>
      </w:r>
      <w:r w:rsidR="00735889">
        <w:t>on the TRA website</w:t>
      </w:r>
      <w:r w:rsidR="00F10C63">
        <w:t xml:space="preserve">. It is therefore </w:t>
      </w:r>
      <w:r w:rsidR="00735889">
        <w:t xml:space="preserve">an extremely timely </w:t>
      </w:r>
      <w:r w:rsidR="00BB1B8D">
        <w:t>indicator</w:t>
      </w:r>
      <w:r w:rsidR="00D90E2F">
        <w:t xml:space="preserve"> of </w:t>
      </w:r>
      <w:r w:rsidR="00C910DF">
        <w:t>domestic travel</w:t>
      </w:r>
      <w:r w:rsidR="00BB1B8D">
        <w:t xml:space="preserve"> demand</w:t>
      </w:r>
      <w:r w:rsidR="00735889">
        <w:t xml:space="preserve">. </w:t>
      </w:r>
      <w:r>
        <w:t>Data is currently available for</w:t>
      </w:r>
      <w:r w:rsidR="00753EA3">
        <w:t>:</w:t>
      </w:r>
    </w:p>
    <w:p w14:paraId="755970B0" w14:textId="2978C3AC" w:rsidR="00753EA3" w:rsidRDefault="00BB1B8D" w:rsidP="001C0CB9">
      <w:pPr>
        <w:pStyle w:val="BulletList"/>
      </w:pPr>
      <w:proofErr w:type="gramStart"/>
      <w:r>
        <w:t>Australia as a whole, as well as</w:t>
      </w:r>
      <w:proofErr w:type="gramEnd"/>
      <w:r>
        <w:t xml:space="preserve"> each of the </w:t>
      </w:r>
      <w:r w:rsidR="00F57B79">
        <w:t>states/territories</w:t>
      </w:r>
      <w:r>
        <w:t xml:space="preserve"> </w:t>
      </w:r>
    </w:p>
    <w:p w14:paraId="3E23FE59" w14:textId="27BBEAB8" w:rsidR="00753EA3" w:rsidRDefault="00753EA3" w:rsidP="001C0CB9">
      <w:pPr>
        <w:pStyle w:val="BulletList"/>
      </w:pPr>
      <w:r>
        <w:t xml:space="preserve">the number of </w:t>
      </w:r>
      <w:r w:rsidR="00F57B79">
        <w:t xml:space="preserve">trips </w:t>
      </w:r>
      <w:r>
        <w:t>as well as the number of</w:t>
      </w:r>
      <w:r w:rsidR="00F57B79">
        <w:t xml:space="preserve"> nights </w:t>
      </w:r>
      <w:r>
        <w:t>away</w:t>
      </w:r>
    </w:p>
    <w:p w14:paraId="664442B6" w14:textId="77777777" w:rsidR="00753EA3" w:rsidRDefault="00F57B79" w:rsidP="001C0CB9">
      <w:pPr>
        <w:pStyle w:val="BulletList"/>
      </w:pPr>
      <w:r>
        <w:t xml:space="preserve">domestic overnight and </w:t>
      </w:r>
      <w:r w:rsidR="00753EA3">
        <w:t xml:space="preserve">domestic </w:t>
      </w:r>
      <w:r>
        <w:t>day</w:t>
      </w:r>
      <w:r w:rsidR="00753EA3">
        <w:t xml:space="preserve"> </w:t>
      </w:r>
      <w:r>
        <w:t>tri</w:t>
      </w:r>
      <w:r w:rsidR="00753EA3">
        <w:t>ps</w:t>
      </w:r>
    </w:p>
    <w:p w14:paraId="34647DAA" w14:textId="15548CF5" w:rsidR="00753EA3" w:rsidRDefault="00753EA3" w:rsidP="001C0CB9">
      <w:pPr>
        <w:pStyle w:val="BulletList"/>
      </w:pPr>
      <w:r>
        <w:t>the breakdown of interstate and intrastate overnight trips.</w:t>
      </w:r>
    </w:p>
    <w:p w14:paraId="53B132DC" w14:textId="33D01A00" w:rsidR="005E3496" w:rsidRDefault="00881321" w:rsidP="00F57B79">
      <w:r>
        <w:t>T</w:t>
      </w:r>
      <w:r w:rsidR="005E3496">
        <w:t xml:space="preserve">his </w:t>
      </w:r>
      <w:r>
        <w:t xml:space="preserve">monthly </w:t>
      </w:r>
      <w:r w:rsidR="00D92DA6">
        <w:t>mobili</w:t>
      </w:r>
      <w:r w:rsidR="00CB6A39">
        <w:t xml:space="preserve">ty </w:t>
      </w:r>
      <w:r w:rsidR="005E3496">
        <w:t>data</w:t>
      </w:r>
      <w:r>
        <w:t xml:space="preserve"> shows</w:t>
      </w:r>
      <w:r w:rsidR="005E3496">
        <w:t xml:space="preserve"> </w:t>
      </w:r>
      <w:r>
        <w:t xml:space="preserve">the softening in demand for domestic </w:t>
      </w:r>
      <w:r w:rsidR="00E35677">
        <w:t xml:space="preserve">overnight </w:t>
      </w:r>
      <w:r>
        <w:t xml:space="preserve">travel over </w:t>
      </w:r>
      <w:r w:rsidR="00E35677">
        <w:t xml:space="preserve">2023 </w:t>
      </w:r>
      <w:r w:rsidR="00CB15C4">
        <w:t xml:space="preserve">(Figure </w:t>
      </w:r>
      <w:r w:rsidR="00BC46A4">
        <w:t>2</w:t>
      </w:r>
      <w:r w:rsidR="004133EE">
        <w:t>2</w:t>
      </w:r>
      <w:r w:rsidR="00572365">
        <w:t>, top panel</w:t>
      </w:r>
      <w:r w:rsidR="00CB15C4">
        <w:t xml:space="preserve">). The number of domestic overnight trips reached a record high in </w:t>
      </w:r>
      <w:r w:rsidR="00CB15C4">
        <w:lastRenderedPageBreak/>
        <w:t>January 2023</w:t>
      </w:r>
      <w:r w:rsidR="00B91293">
        <w:t xml:space="preserve">, with </w:t>
      </w:r>
      <w:r w:rsidR="00C8281B">
        <w:t>12</w:t>
      </w:r>
      <w:r w:rsidR="00B91293">
        <w:t>% more trips than in January 20</w:t>
      </w:r>
      <w:r w:rsidR="00372B8F">
        <w:t>22</w:t>
      </w:r>
      <w:r w:rsidR="00B91293">
        <w:t xml:space="preserve">. Demand remained </w:t>
      </w:r>
      <w:r w:rsidR="002B460E">
        <w:t>solid</w:t>
      </w:r>
      <w:r w:rsidR="00B91293">
        <w:t xml:space="preserve"> in the early months of 2023, following </w:t>
      </w:r>
      <w:r w:rsidR="001373B4">
        <w:t xml:space="preserve">on from a strong end to 2022 when Australian residents had higher household savings, </w:t>
      </w:r>
      <w:r w:rsidR="00C8281B">
        <w:t xml:space="preserve">there was </w:t>
      </w:r>
      <w:r w:rsidR="001373B4">
        <w:t>pent</w:t>
      </w:r>
      <w:r w:rsidR="62FBC936">
        <w:t>-up</w:t>
      </w:r>
      <w:r w:rsidR="001373B4">
        <w:t xml:space="preserve"> demand for travel</w:t>
      </w:r>
      <w:r w:rsidR="00C8281B">
        <w:t>, and Australians</w:t>
      </w:r>
      <w:r w:rsidR="001373B4">
        <w:t xml:space="preserve"> favour</w:t>
      </w:r>
      <w:r w:rsidR="00C8281B">
        <w:t>ed</w:t>
      </w:r>
      <w:r w:rsidR="001373B4">
        <w:t xml:space="preserve"> domestic trips over international travel</w:t>
      </w:r>
      <w:r w:rsidR="00C8281B">
        <w:t>.</w:t>
      </w:r>
      <w:r w:rsidR="00ED0356">
        <w:t xml:space="preserve"> However, </w:t>
      </w:r>
      <w:r w:rsidR="008F6882">
        <w:t>from</w:t>
      </w:r>
      <w:r w:rsidR="00ED0356">
        <w:t xml:space="preserve"> the middle of the year, </w:t>
      </w:r>
      <w:r w:rsidR="00640A9F">
        <w:t xml:space="preserve">domestic travel demand waned and </w:t>
      </w:r>
      <w:r w:rsidR="00BC76E0">
        <w:t xml:space="preserve">was generally softer compared </w:t>
      </w:r>
      <w:r w:rsidR="00B07B9B">
        <w:t>with the same month from</w:t>
      </w:r>
      <w:r w:rsidR="00BC76E0">
        <w:t xml:space="preserve"> the previous year</w:t>
      </w:r>
      <w:r w:rsidR="00640A9F">
        <w:t xml:space="preserve">, with the exception being those months influenced by school holiday travel. </w:t>
      </w:r>
      <w:r w:rsidR="0026370A">
        <w:t xml:space="preserve">For the </w:t>
      </w:r>
      <w:proofErr w:type="gramStart"/>
      <w:r w:rsidR="0026370A">
        <w:t>year as a whole, there</w:t>
      </w:r>
      <w:proofErr w:type="gramEnd"/>
      <w:r w:rsidR="0026370A">
        <w:t xml:space="preserve"> were 2.4% more </w:t>
      </w:r>
      <w:r w:rsidR="00A052A7">
        <w:t xml:space="preserve">overnight </w:t>
      </w:r>
      <w:r w:rsidR="0026370A">
        <w:t>trips in 2023 than in 2022</w:t>
      </w:r>
      <w:r w:rsidR="00832697">
        <w:t xml:space="preserve"> according to TRA’s </w:t>
      </w:r>
      <w:r w:rsidR="004560C0">
        <w:t xml:space="preserve">domestic </w:t>
      </w:r>
      <w:r w:rsidR="00832697">
        <w:t>mobility data</w:t>
      </w:r>
      <w:r w:rsidR="0026370A">
        <w:t>.</w:t>
      </w:r>
      <w:r w:rsidR="00640A9F">
        <w:t xml:space="preserve"> </w:t>
      </w:r>
    </w:p>
    <w:p w14:paraId="3C0E9440" w14:textId="00C6C8E5" w:rsidR="006C78F9" w:rsidRDefault="00F57B79" w:rsidP="00F57B79">
      <w:r>
        <w:t xml:space="preserve">Data for early 2024 suggest that the softening in domestic travel demand has continued with </w:t>
      </w:r>
      <w:r w:rsidR="00DB42F8">
        <w:t xml:space="preserve">domestic overnight trip </w:t>
      </w:r>
      <w:r>
        <w:t xml:space="preserve">numbers down slightly compared to </w:t>
      </w:r>
      <w:r w:rsidR="00DB42F8">
        <w:t xml:space="preserve">the record highs of early </w:t>
      </w:r>
      <w:r>
        <w:t xml:space="preserve">2023. </w:t>
      </w:r>
    </w:p>
    <w:p w14:paraId="4F7A204C" w14:textId="2B60CFBF" w:rsidR="00F57B79" w:rsidRDefault="0026370A" w:rsidP="00F57B79">
      <w:r>
        <w:t xml:space="preserve">Domestic </w:t>
      </w:r>
      <w:r w:rsidR="00850056">
        <w:t xml:space="preserve">visitor </w:t>
      </w:r>
      <w:r>
        <w:t>n</w:t>
      </w:r>
      <w:r w:rsidR="00F57B79">
        <w:t xml:space="preserve">ights also </w:t>
      </w:r>
      <w:r w:rsidR="00850056">
        <w:t xml:space="preserve">declined over the year, </w:t>
      </w:r>
      <w:r w:rsidR="00F57B79">
        <w:t xml:space="preserve">with domestic travellers looking for shorter trips and more affordable </w:t>
      </w:r>
      <w:r w:rsidR="00850056">
        <w:t xml:space="preserve">travel </w:t>
      </w:r>
      <w:r w:rsidR="00F57B79">
        <w:t>options</w:t>
      </w:r>
      <w:r w:rsidR="00850056">
        <w:t xml:space="preserve"> (Figure </w:t>
      </w:r>
      <w:r w:rsidR="00BC46A4">
        <w:t>2</w:t>
      </w:r>
      <w:r w:rsidR="004133EE">
        <w:t>2</w:t>
      </w:r>
      <w:r w:rsidR="009E7904">
        <w:t>, bottom panel</w:t>
      </w:r>
      <w:r w:rsidR="00850056">
        <w:t>)</w:t>
      </w:r>
      <w:r w:rsidR="00F57B79">
        <w:t>.</w:t>
      </w:r>
      <w:r w:rsidR="00850056">
        <w:t xml:space="preserve"> For the </w:t>
      </w:r>
      <w:proofErr w:type="gramStart"/>
      <w:r w:rsidR="00850056">
        <w:t>year as a whole, there</w:t>
      </w:r>
      <w:proofErr w:type="gramEnd"/>
      <w:r w:rsidR="00850056">
        <w:t xml:space="preserve"> were 2.2% fewer domestic visitor nights</w:t>
      </w:r>
      <w:r w:rsidR="005B661C">
        <w:t xml:space="preserve"> in 2023 than in the previous year.</w:t>
      </w:r>
      <w:r w:rsidR="00F57B79">
        <w:t xml:space="preserve"> </w:t>
      </w:r>
      <w:r w:rsidR="00B04891">
        <w:t>Note that March 2024 contained Easter public holidays in contrast to the previous year</w:t>
      </w:r>
      <w:r w:rsidR="000739DE">
        <w:t>, showing the influence the timing of such major events</w:t>
      </w:r>
      <w:r w:rsidR="005E41DD">
        <w:t xml:space="preserve"> and holidays</w:t>
      </w:r>
      <w:r w:rsidR="000739DE">
        <w:t xml:space="preserve"> </w:t>
      </w:r>
      <w:r w:rsidR="00E37718">
        <w:t xml:space="preserve">can have on </w:t>
      </w:r>
      <w:r w:rsidR="005E41DD">
        <w:t>travel patterns</w:t>
      </w:r>
      <w:r w:rsidR="00453C9F">
        <w:t>.</w:t>
      </w:r>
      <w:r w:rsidR="00F57B79">
        <w:t xml:space="preserve">   </w:t>
      </w:r>
    </w:p>
    <w:p w14:paraId="17282773" w14:textId="2B542606" w:rsidR="00FE62E2" w:rsidRPr="00AB4728" w:rsidRDefault="00FE62E2" w:rsidP="00FE62E2">
      <w:pPr>
        <w:pStyle w:val="Caption"/>
        <w:spacing w:line="300" w:lineRule="atLeast"/>
        <w:rPr>
          <w:b/>
          <w:bCs/>
          <w:i w:val="0"/>
          <w:iCs w:val="0"/>
          <w:sz w:val="20"/>
          <w:szCs w:val="20"/>
        </w:rPr>
      </w:pPr>
      <w:r w:rsidRPr="00AB4728">
        <w:rPr>
          <w:b/>
          <w:bCs/>
          <w:i w:val="0"/>
          <w:iCs w:val="0"/>
          <w:sz w:val="20"/>
          <w:szCs w:val="20"/>
        </w:rPr>
        <w:t xml:space="preserve">Figure </w:t>
      </w:r>
      <w:r w:rsidRPr="00AB4728">
        <w:rPr>
          <w:b/>
          <w:bCs/>
          <w:i w:val="0"/>
          <w:iCs w:val="0"/>
          <w:sz w:val="20"/>
          <w:szCs w:val="20"/>
        </w:rPr>
        <w:fldChar w:fldCharType="begin"/>
      </w:r>
      <w:r w:rsidRPr="00AB4728">
        <w:rPr>
          <w:b/>
          <w:bCs/>
          <w:i w:val="0"/>
          <w:iCs w:val="0"/>
          <w:sz w:val="20"/>
          <w:szCs w:val="20"/>
        </w:rPr>
        <w:instrText xml:space="preserve"> SEQ Figure \* ARABIC </w:instrText>
      </w:r>
      <w:r w:rsidRPr="00AB4728">
        <w:rPr>
          <w:b/>
          <w:bCs/>
          <w:i w:val="0"/>
          <w:iCs w:val="0"/>
          <w:sz w:val="20"/>
          <w:szCs w:val="20"/>
        </w:rPr>
        <w:fldChar w:fldCharType="separate"/>
      </w:r>
      <w:r w:rsidR="006D1C8E">
        <w:rPr>
          <w:b/>
          <w:bCs/>
          <w:i w:val="0"/>
          <w:iCs w:val="0"/>
          <w:noProof/>
          <w:sz w:val="20"/>
          <w:szCs w:val="20"/>
        </w:rPr>
        <w:t>22</w:t>
      </w:r>
      <w:r w:rsidRPr="00AB4728">
        <w:rPr>
          <w:b/>
          <w:bCs/>
          <w:i w:val="0"/>
          <w:iCs w:val="0"/>
          <w:sz w:val="20"/>
          <w:szCs w:val="20"/>
        </w:rPr>
        <w:fldChar w:fldCharType="end"/>
      </w:r>
      <w:r w:rsidRPr="00AB4728">
        <w:rPr>
          <w:b/>
          <w:bCs/>
          <w:i w:val="0"/>
          <w:iCs w:val="0"/>
          <w:sz w:val="20"/>
          <w:szCs w:val="20"/>
        </w:rPr>
        <w:t>.</w:t>
      </w:r>
      <w:r w:rsidRPr="00AB4728">
        <w:rPr>
          <w:i w:val="0"/>
          <w:iCs w:val="0"/>
          <w:sz w:val="20"/>
          <w:szCs w:val="20"/>
        </w:rPr>
        <w:t xml:space="preserve"> Domestic </w:t>
      </w:r>
      <w:r>
        <w:rPr>
          <w:i w:val="0"/>
          <w:iCs w:val="0"/>
          <w:sz w:val="20"/>
          <w:szCs w:val="20"/>
        </w:rPr>
        <w:t xml:space="preserve">overnight </w:t>
      </w:r>
      <w:r w:rsidRPr="00AB4728">
        <w:rPr>
          <w:i w:val="0"/>
          <w:iCs w:val="0"/>
          <w:sz w:val="20"/>
          <w:szCs w:val="20"/>
        </w:rPr>
        <w:t>trip</w:t>
      </w:r>
      <w:r w:rsidR="00E962ED">
        <w:rPr>
          <w:i w:val="0"/>
          <w:iCs w:val="0"/>
          <w:sz w:val="20"/>
          <w:szCs w:val="20"/>
        </w:rPr>
        <w:t>s</w:t>
      </w:r>
      <w:r w:rsidR="0032377E">
        <w:rPr>
          <w:i w:val="0"/>
          <w:iCs w:val="0"/>
          <w:sz w:val="20"/>
          <w:szCs w:val="20"/>
        </w:rPr>
        <w:t xml:space="preserve"> and </w:t>
      </w:r>
      <w:r w:rsidR="007B7B7F">
        <w:rPr>
          <w:i w:val="0"/>
          <w:iCs w:val="0"/>
          <w:sz w:val="20"/>
          <w:szCs w:val="20"/>
        </w:rPr>
        <w:t>nights</w:t>
      </w:r>
      <w:r w:rsidRPr="00AB4728">
        <w:rPr>
          <w:i w:val="0"/>
          <w:iCs w:val="0"/>
          <w:sz w:val="20"/>
          <w:szCs w:val="20"/>
        </w:rPr>
        <w:t>,</w:t>
      </w:r>
      <w:r w:rsidR="00E962ED">
        <w:rPr>
          <w:i w:val="0"/>
          <w:iCs w:val="0"/>
          <w:sz w:val="20"/>
          <w:szCs w:val="20"/>
        </w:rPr>
        <w:t xml:space="preserve"> change compared to the same month in previous year, November 2022 to March 2024</w:t>
      </w:r>
      <w:r w:rsidRPr="00AB4728">
        <w:rPr>
          <w:i w:val="0"/>
          <w:iCs w:val="0"/>
          <w:sz w:val="20"/>
          <w:szCs w:val="20"/>
        </w:rPr>
        <w:t>.</w:t>
      </w:r>
    </w:p>
    <w:p w14:paraId="4E82D212" w14:textId="72E98260" w:rsidR="00423882" w:rsidRDefault="00401A59" w:rsidP="00F57B79">
      <w:pPr>
        <w:spacing w:line="300" w:lineRule="atLeast"/>
      </w:pPr>
      <w:r w:rsidRPr="00401A59">
        <w:rPr>
          <w:noProof/>
        </w:rPr>
        <w:drawing>
          <wp:inline distT="0" distB="0" distL="0" distR="0" wp14:anchorId="40403355" wp14:editId="6F16648F">
            <wp:extent cx="6329680" cy="4537710"/>
            <wp:effectExtent l="0" t="0" r="0" b="0"/>
            <wp:docPr id="2142944250" name="Picture 6" descr="Figure 22 shows 2 bar charts with the growth over the year in domestic overnight trips and domestic visitor nights for the period November 2022 to March 2024 on a monthly basis. Annual growth was strong in the early part of the chart then was weak/negative for much of 2023. The latest month, March 2024, was boosted by the Easter public holidays falling in March that year instead of in April like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44250" name="Picture 6" descr="Figure 22 shows 2 bar charts with the growth over the year in domestic overnight trips and domestic visitor nights for the period November 2022 to March 2024 on a monthly basis. Annual growth was strong in the early part of the chart then was weak/negative for much of 2023. The latest month, March 2024, was boosted by the Easter public holidays falling in March that year instead of in April like previous yea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9680" cy="4537710"/>
                    </a:xfrm>
                    <a:prstGeom prst="rect">
                      <a:avLst/>
                    </a:prstGeom>
                    <a:noFill/>
                    <a:ln>
                      <a:noFill/>
                    </a:ln>
                  </pic:spPr>
                </pic:pic>
              </a:graphicData>
            </a:graphic>
          </wp:inline>
        </w:drawing>
      </w:r>
    </w:p>
    <w:p w14:paraId="316A94E8" w14:textId="506CB4E4" w:rsidR="00E94BCA" w:rsidRPr="002F201E" w:rsidRDefault="0082063F" w:rsidP="002F201E">
      <w:pPr>
        <w:spacing w:line="300" w:lineRule="atLeast"/>
      </w:pPr>
      <w:r>
        <w:t>TRA’s mobility dataset</w:t>
      </w:r>
      <w:r w:rsidRPr="0082063F">
        <w:t xml:space="preserve"> </w:t>
      </w:r>
      <w:r>
        <w:t>is being expanded to include</w:t>
      </w:r>
      <w:r w:rsidRPr="0082063F">
        <w:t xml:space="preserve"> </w:t>
      </w:r>
      <w:r>
        <w:t xml:space="preserve">domestic travel by Australians to each of </w:t>
      </w:r>
      <w:r w:rsidR="00F57B79">
        <w:t>the tourism regions</w:t>
      </w:r>
      <w:r w:rsidR="00D30EED">
        <w:t>,</w:t>
      </w:r>
      <w:r w:rsidR="00F57B79">
        <w:t xml:space="preserve"> in addition to the state and territory </w:t>
      </w:r>
      <w:r>
        <w:t>measures</w:t>
      </w:r>
      <w:r w:rsidR="00D30EED" w:rsidRPr="00D30EED">
        <w:t xml:space="preserve"> </w:t>
      </w:r>
      <w:r w:rsidR="00D30EED">
        <w:t>currently available</w:t>
      </w:r>
      <w:r w:rsidR="00F57B79">
        <w:t xml:space="preserve">. </w:t>
      </w:r>
      <w:r w:rsidR="007168C9">
        <w:t>Th</w:t>
      </w:r>
      <w:r w:rsidR="001827DC">
        <w:t>e timeliness and large sample size of th</w:t>
      </w:r>
      <w:r w:rsidR="007168C9">
        <w:t xml:space="preserve">is dataset </w:t>
      </w:r>
      <w:r w:rsidR="001827DC">
        <w:t xml:space="preserve">make it ideal for </w:t>
      </w:r>
      <w:r w:rsidR="00B131E8">
        <w:t>use as part</w:t>
      </w:r>
      <w:r w:rsidR="007168C9">
        <w:t xml:space="preserve"> of a new domestic tourism dataset that will replace the current </w:t>
      </w:r>
      <w:r w:rsidR="00D11572">
        <w:t>N</w:t>
      </w:r>
      <w:r w:rsidR="007168C9">
        <w:t xml:space="preserve">ational </w:t>
      </w:r>
      <w:r w:rsidR="00D11572">
        <w:t>V</w:t>
      </w:r>
      <w:r w:rsidR="007168C9">
        <w:t xml:space="preserve">isitor </w:t>
      </w:r>
      <w:r w:rsidR="00D11572">
        <w:t>S</w:t>
      </w:r>
      <w:r w:rsidR="007168C9">
        <w:t>urvey</w:t>
      </w:r>
      <w:r w:rsidR="00D30EED">
        <w:t xml:space="preserve"> from the beginning of 2025</w:t>
      </w:r>
      <w:r w:rsidR="00B131E8">
        <w:t>. The new data collection</w:t>
      </w:r>
      <w:r w:rsidR="007168C9">
        <w:t xml:space="preserve"> </w:t>
      </w:r>
      <w:r w:rsidR="002F201E">
        <w:t>will use</w:t>
      </w:r>
      <w:r w:rsidR="00F57B79">
        <w:t xml:space="preserve"> a </w:t>
      </w:r>
      <w:r w:rsidR="002F201E">
        <w:t>combination</w:t>
      </w:r>
      <w:r w:rsidR="00F57B79">
        <w:t xml:space="preserve"> of survey data, mobility data and resident population information</w:t>
      </w:r>
      <w:r w:rsidR="00F03B25">
        <w:t xml:space="preserve"> to measure domestic tourism</w:t>
      </w:r>
      <w:r w:rsidR="00F57B79">
        <w:t>.</w:t>
      </w:r>
    </w:p>
    <w:p w14:paraId="58A8B06D" w14:textId="77777777" w:rsidR="00305913" w:rsidRDefault="00305913" w:rsidP="00305913">
      <w:pPr>
        <w:pStyle w:val="Heading2"/>
      </w:pPr>
      <w:bookmarkStart w:id="72" w:name="_Toc167113887"/>
      <w:r>
        <w:lastRenderedPageBreak/>
        <w:t>Sustainability in tourism</w:t>
      </w:r>
      <w:bookmarkEnd w:id="72"/>
    </w:p>
    <w:p w14:paraId="7045D93F" w14:textId="0950407A" w:rsidR="00C239AE" w:rsidRDefault="00026209" w:rsidP="00B825F8">
      <w:pPr>
        <w:shd w:val="clear" w:color="auto" w:fill="FFFFFF"/>
      </w:pPr>
      <w:r w:rsidRPr="00026209">
        <w:t xml:space="preserve">Sustainable tourism is central to the visitor economy’s future success. This is recognised in Australia’s </w:t>
      </w:r>
      <w:r w:rsidR="000D2811">
        <w:t>national</w:t>
      </w:r>
      <w:r w:rsidRPr="00026209">
        <w:t xml:space="preserve"> visitor economy strategy, THRIVE 2030.</w:t>
      </w:r>
      <w:r w:rsidR="00B825F8">
        <w:t xml:space="preserve"> </w:t>
      </w:r>
      <w:r w:rsidR="00A578D4">
        <w:t xml:space="preserve">According to </w:t>
      </w:r>
      <w:proofErr w:type="spellStart"/>
      <w:r w:rsidR="00A578D4">
        <w:t>Booking.com’s</w:t>
      </w:r>
      <w:proofErr w:type="spellEnd"/>
      <w:r w:rsidR="00A578D4">
        <w:t xml:space="preserve"> annual </w:t>
      </w:r>
      <w:hyperlink r:id="rId50" w:history="1">
        <w:r w:rsidR="00A578D4" w:rsidRPr="0089285A">
          <w:rPr>
            <w:rStyle w:val="Hyperlink"/>
          </w:rPr>
          <w:t>Sustainable Travel Report</w:t>
        </w:r>
      </w:hyperlink>
      <w:r w:rsidR="00A578D4">
        <w:t>, in 2023, 74% of travellers sa</w:t>
      </w:r>
      <w:r w:rsidR="00BF01D7">
        <w:t>id</w:t>
      </w:r>
      <w:r w:rsidR="00A578D4">
        <w:t xml:space="preserve"> they want travel companies to offer more sustainable travel choices (up from 66% in 2022). As</w:t>
      </w:r>
      <w:r w:rsidR="00813141">
        <w:t xml:space="preserve"> travellers increasingly expect and prefer sustainable and eco-friendly travel options, it is crucial that Australia delivers on these expectations to remain a desirable destination.</w:t>
      </w:r>
      <w:r w:rsidR="0083614D">
        <w:t xml:space="preserve"> </w:t>
      </w:r>
    </w:p>
    <w:p w14:paraId="39676CF5" w14:textId="48BE33E8" w:rsidR="00305913" w:rsidRDefault="00C239AE" w:rsidP="002A73FE">
      <w:pPr>
        <w:spacing w:after="0"/>
      </w:pPr>
      <w:r>
        <w:t xml:space="preserve">To help the Australian tourism sector </w:t>
      </w:r>
      <w:r w:rsidR="00720E3C">
        <w:t>progress</w:t>
      </w:r>
      <w:r w:rsidR="0041739E">
        <w:t xml:space="preserve"> </w:t>
      </w:r>
      <w:r w:rsidR="006A2755">
        <w:t>sustainab</w:t>
      </w:r>
      <w:r w:rsidR="0041739E">
        <w:t xml:space="preserve">ility </w:t>
      </w:r>
      <w:r w:rsidR="00DC4507">
        <w:t>objectiv</w:t>
      </w:r>
      <w:r w:rsidR="003F7324">
        <w:t>es</w:t>
      </w:r>
      <w:r>
        <w:t xml:space="preserve">, Australian Tourism Ministers launched the </w:t>
      </w:r>
      <w:r w:rsidRPr="7FFC4A20">
        <w:rPr>
          <w:b/>
          <w:bCs/>
        </w:rPr>
        <w:t xml:space="preserve">National Sustainability Framework for the Visitor Economy </w:t>
      </w:r>
      <w:r>
        <w:t>in November 2023.</w:t>
      </w:r>
      <w:r w:rsidR="00D10EDE">
        <w:rPr>
          <w:rStyle w:val="FootnoteReference"/>
        </w:rPr>
        <w:footnoteReference w:id="21"/>
      </w:r>
      <w:r>
        <w:t xml:space="preserve"> </w:t>
      </w:r>
      <w:r w:rsidR="00B97218">
        <w:t>The Framework marked a pivotal point in advancing sustainability across the visitor economy in Australia</w:t>
      </w:r>
      <w:r w:rsidR="00CE1795">
        <w:t xml:space="preserve"> as</w:t>
      </w:r>
      <w:r w:rsidR="00B97218">
        <w:t xml:space="preserve"> </w:t>
      </w:r>
      <w:r w:rsidR="00CE1795">
        <w:t>i</w:t>
      </w:r>
      <w:r w:rsidR="000C57EC">
        <w:t>t declared that sustainability is no longer optional or a feature of niche tourism products</w:t>
      </w:r>
      <w:r w:rsidR="005F556D">
        <w:t>, but rather</w:t>
      </w:r>
      <w:r w:rsidR="000C57EC">
        <w:t xml:space="preserve"> an imperative for the future success of every business in the visitor economy. </w:t>
      </w:r>
      <w:r>
        <w:t xml:space="preserve">The </w:t>
      </w:r>
      <w:hyperlink r:id="rId51" w:history="1">
        <w:r w:rsidRPr="00D6768F">
          <w:rPr>
            <w:rStyle w:val="Hyperlink"/>
          </w:rPr>
          <w:t>Framework</w:t>
        </w:r>
      </w:hyperlink>
      <w:r>
        <w:t>, the first of its kind for Australian tourism, sets out a vision for a sustainable visitor economy as follows:</w:t>
      </w:r>
    </w:p>
    <w:p w14:paraId="7EB4D3D7" w14:textId="77777777" w:rsidR="002141D5" w:rsidRPr="002141D5" w:rsidRDefault="002141D5" w:rsidP="002141D5">
      <w:pPr>
        <w:pStyle w:val="Quote"/>
        <w:rPr>
          <w:sz w:val="24"/>
          <w:szCs w:val="24"/>
        </w:rPr>
      </w:pPr>
      <w:r w:rsidRPr="002141D5">
        <w:rPr>
          <w:sz w:val="24"/>
          <w:szCs w:val="24"/>
        </w:rPr>
        <w:t>Australia is a world leader in sustainable tourism, delivered by thriving businesses that protect and enhance the environment, respect and nurture our diverse cultures, and empower local communities.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78"/>
        <w:gridCol w:w="5290"/>
      </w:tblGrid>
      <w:tr w:rsidR="003201F8" w14:paraId="66AE7934" w14:textId="77777777" w:rsidTr="00520EEC">
        <w:tc>
          <w:tcPr>
            <w:tcW w:w="4678" w:type="dxa"/>
            <w:tcMar>
              <w:left w:w="57" w:type="dxa"/>
              <w:right w:w="113" w:type="dxa"/>
            </w:tcMar>
          </w:tcPr>
          <w:p w14:paraId="2358DB8F" w14:textId="77777777" w:rsidR="003201F8" w:rsidRDefault="009C19B0" w:rsidP="00BF01D7">
            <w:pPr>
              <w:spacing w:before="0"/>
            </w:pPr>
            <w:r>
              <w:t>The Framework provides a nationally</w:t>
            </w:r>
            <w:r w:rsidR="00A930F5">
              <w:noBreakHyphen/>
            </w:r>
            <w:r>
              <w:t xml:space="preserve">agreed understanding of sustainable tourism to bring the sector together with a consistent approach. The Framework signals a clear commitment by all Tourism Ministers to provide leadership and direction on sustainable tourism development, and to collaborate in building industry capability. </w:t>
            </w:r>
          </w:p>
          <w:p w14:paraId="22EBB885" w14:textId="77777777" w:rsidR="002141D5" w:rsidRDefault="002141D5" w:rsidP="002141D5">
            <w:r>
              <w:t xml:space="preserve">The Framework contains a series of goals and priorities for a sustainable visitor economy across the four pillars of sustainable tourism (Graphic 1). </w:t>
            </w:r>
          </w:p>
          <w:p w14:paraId="61BAEB9B" w14:textId="468625B5" w:rsidR="002141D5" w:rsidRPr="00A41163" w:rsidRDefault="002141D5" w:rsidP="002141D5">
            <w:r w:rsidRPr="7FFC4A20">
              <w:rPr>
                <w:rStyle w:val="normaltextrun"/>
                <w:color w:val="auto"/>
                <w:bdr w:val="none" w:sz="0" w:space="0" w:color="auto" w:frame="1"/>
              </w:rPr>
              <w:t xml:space="preserve">Sustainable tourism </w:t>
            </w:r>
            <w:r w:rsidRPr="7FFC4A20">
              <w:rPr>
                <w:rStyle w:val="normaltextrun"/>
                <w:color w:val="auto"/>
              </w:rPr>
              <w:t>seeks</w:t>
            </w:r>
            <w:r w:rsidRPr="7FFC4A20">
              <w:rPr>
                <w:rStyle w:val="normaltextrun"/>
                <w:color w:val="auto"/>
                <w:bdr w:val="none" w:sz="0" w:space="0" w:color="auto" w:frame="1"/>
              </w:rPr>
              <w:t xml:space="preserve"> to protect Australia’s unique natural and cultural drawcards, preserving them for future visitors. </w:t>
            </w:r>
            <w:r w:rsidRPr="7FFC4A20">
              <w:rPr>
                <w:color w:val="auto"/>
              </w:rPr>
              <w:t xml:space="preserve"> </w:t>
            </w:r>
            <w:r>
              <w:t>This includes action by the sector to protect and conserve our environment and biodiversity, reduce emissions and offer environmentally friendly experiences.</w:t>
            </w:r>
          </w:p>
        </w:tc>
        <w:tc>
          <w:tcPr>
            <w:tcW w:w="5290" w:type="dxa"/>
          </w:tcPr>
          <w:p w14:paraId="06F74069" w14:textId="3A336613" w:rsidR="009F45DF" w:rsidRPr="009F45DF" w:rsidRDefault="00DC52C7" w:rsidP="00520EEC">
            <w:pPr>
              <w:spacing w:before="0" w:after="0" w:line="240" w:lineRule="atLeast"/>
              <w:jc w:val="right"/>
              <w:rPr>
                <w:color w:val="2E1A47" w:themeColor="text2"/>
              </w:rPr>
            </w:pPr>
            <w:r>
              <w:rPr>
                <w:b/>
                <w:bCs/>
              </w:rPr>
              <w:t>Graphic</w:t>
            </w:r>
            <w:r w:rsidR="001D74CF">
              <w:rPr>
                <w:b/>
                <w:bCs/>
              </w:rPr>
              <w:t xml:space="preserve"> </w:t>
            </w:r>
            <w:r w:rsidR="00677C51">
              <w:rPr>
                <w:b/>
                <w:bCs/>
              </w:rPr>
              <w:t>1</w:t>
            </w:r>
            <w:r w:rsidR="009F45DF" w:rsidRPr="009F45DF">
              <w:rPr>
                <w:color w:val="2E1A47" w:themeColor="text2"/>
              </w:rPr>
              <w:t>: The four pillars of sustainable tourism.</w:t>
            </w:r>
          </w:p>
          <w:p w14:paraId="5AED8FB2" w14:textId="29FD64B2" w:rsidR="003201F8" w:rsidRDefault="00D05C3D" w:rsidP="00520EEC">
            <w:pPr>
              <w:spacing w:before="0" w:after="0" w:line="240" w:lineRule="atLeast"/>
              <w:jc w:val="right"/>
            </w:pPr>
            <w:r w:rsidRPr="00D05C3D">
              <w:rPr>
                <w:noProof/>
              </w:rPr>
              <w:drawing>
                <wp:inline distT="0" distB="0" distL="0" distR="0" wp14:anchorId="790CB782" wp14:editId="4A07E8E0">
                  <wp:extent cx="3338830" cy="3506807"/>
                  <wp:effectExtent l="0" t="0" r="0" b="0"/>
                  <wp:docPr id="390167204" name="Picture 1" descr="Graphic 1 is a diagram of the four pillars of sustainable tourism shown by 4 partially overlapping circles. The centre circle is Pillar 1: Taking a managed approach. This is circled, clockwise from bottom left, by Pillar 2, Environmental and climate action; Pillar 3, Respecting culture; and Pillar 4, Creating positive soci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67204" name="Picture 1" descr="Graphic 1 is a diagram of the four pillars of sustainable tourism shown by 4 partially overlapping circles. The centre circle is Pillar 1: Taking a managed approach. This is circled, clockwise from bottom left, by Pillar 2, Environmental and climate action; Pillar 3, Respecting culture; and Pillar 4, Creating positive social impact."/>
                          <pic:cNvPicPr/>
                        </pic:nvPicPr>
                        <pic:blipFill rotWithShape="1">
                          <a:blip r:embed="rId52"/>
                          <a:srcRect l="6718" t="2078" r="1351"/>
                          <a:stretch/>
                        </pic:blipFill>
                        <pic:spPr bwMode="auto">
                          <a:xfrm>
                            <a:off x="0" y="0"/>
                            <a:ext cx="3349259" cy="35177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37BFE5" w14:textId="43EF86DC" w:rsidR="007A31B9" w:rsidRDefault="00DE1DF5" w:rsidP="007A31B9">
      <w:pPr>
        <w:rPr>
          <w:color w:val="333333"/>
        </w:rPr>
      </w:pPr>
      <w:r>
        <w:lastRenderedPageBreak/>
        <w:t xml:space="preserve">An educational guide - the </w:t>
      </w:r>
      <w:r w:rsidRPr="00D27C5D">
        <w:rPr>
          <w:b/>
          <w:bCs/>
        </w:rPr>
        <w:t>Sustainable Tourism Toolkit</w:t>
      </w:r>
      <w:r>
        <w:t xml:space="preserve"> - accompanies the Framework and supports tourism businesses to </w:t>
      </w:r>
      <w:r w:rsidR="007A31B9">
        <w:t>act</w:t>
      </w:r>
      <w:r>
        <w:t xml:space="preserve"> on sustainability. The </w:t>
      </w:r>
      <w:r w:rsidR="7FB711D1">
        <w:t>t</w:t>
      </w:r>
      <w:r w:rsidR="2BA18A25">
        <w:t>oolkit</w:t>
      </w:r>
      <w:r>
        <w:t xml:space="preserve"> provides practical, easy-to-understand information</w:t>
      </w:r>
      <w:r w:rsidR="007A31B9">
        <w:t xml:space="preserve"> and</w:t>
      </w:r>
      <w:r w:rsidR="002C6CDD">
        <w:t xml:space="preserve"> </w:t>
      </w:r>
      <w:r w:rsidR="007A31B9">
        <w:t>advice</w:t>
      </w:r>
      <w:r w:rsidR="0034502C">
        <w:t xml:space="preserve"> to help them respond to growing consumer demand for sustainable travel choices</w:t>
      </w:r>
      <w:r w:rsidR="00894FA8">
        <w:t xml:space="preserve">. It </w:t>
      </w:r>
      <w:r>
        <w:t xml:space="preserve">is suitable for businesses both starting </w:t>
      </w:r>
      <w:r w:rsidR="00894FA8">
        <w:t>and</w:t>
      </w:r>
      <w:r>
        <w:t xml:space="preserve"> progressing their sustainability journey. Operating more sustainably helps businesses become more efficient, improv</w:t>
      </w:r>
      <w:r w:rsidR="00894FA8">
        <w:t>e</w:t>
      </w:r>
      <w:r>
        <w:t xml:space="preserve"> </w:t>
      </w:r>
      <w:r w:rsidR="001F7F66">
        <w:t>profitability,</w:t>
      </w:r>
      <w:r>
        <w:t xml:space="preserve"> and increas</w:t>
      </w:r>
      <w:r w:rsidR="00894FA8">
        <w:t>e</w:t>
      </w:r>
      <w:r>
        <w:t xml:space="preserve"> resilience over time.</w:t>
      </w:r>
      <w:r w:rsidR="007A31B9" w:rsidRPr="007A31B9">
        <w:rPr>
          <w:color w:val="333333"/>
        </w:rPr>
        <w:t xml:space="preserve"> </w:t>
      </w:r>
      <w:r w:rsidR="007A31B9">
        <w:rPr>
          <w:color w:val="333333"/>
        </w:rPr>
        <w:t xml:space="preserve">The </w:t>
      </w:r>
      <w:r w:rsidR="053AC35B">
        <w:t>t</w:t>
      </w:r>
      <w:r w:rsidR="1E3311EA" w:rsidRPr="7589D71F">
        <w:rPr>
          <w:color w:val="333333"/>
        </w:rPr>
        <w:t>oolkit</w:t>
      </w:r>
      <w:r w:rsidR="007A31B9">
        <w:rPr>
          <w:color w:val="333333"/>
        </w:rPr>
        <w:t xml:space="preserve"> is available in 2 formats:</w:t>
      </w:r>
    </w:p>
    <w:p w14:paraId="06C98C76" w14:textId="77777777" w:rsidR="007A31B9" w:rsidRDefault="007A31B9" w:rsidP="004E0627">
      <w:pPr>
        <w:pStyle w:val="BulletList"/>
        <w:rPr>
          <w:color w:val="333333"/>
        </w:rPr>
      </w:pPr>
      <w:r w:rsidRPr="00593341">
        <w:t>a short online version of the</w:t>
      </w:r>
      <w:r>
        <w:rPr>
          <w:color w:val="333333"/>
        </w:rPr>
        <w:t> </w:t>
      </w:r>
      <w:hyperlink r:id="rId53" w:history="1">
        <w:r>
          <w:rPr>
            <w:rStyle w:val="Hyperlink"/>
          </w:rPr>
          <w:t>Sustainable Tourism Toolkit on business.gov.au</w:t>
        </w:r>
      </w:hyperlink>
    </w:p>
    <w:p w14:paraId="7D1E3D4A" w14:textId="77777777" w:rsidR="007A31B9" w:rsidRDefault="007A31B9" w:rsidP="004E0627">
      <w:pPr>
        <w:pStyle w:val="BulletList"/>
        <w:rPr>
          <w:color w:val="333333"/>
        </w:rPr>
      </w:pPr>
      <w:r w:rsidRPr="00593341">
        <w:t>a detailed version of the</w:t>
      </w:r>
      <w:r>
        <w:rPr>
          <w:color w:val="333333"/>
        </w:rPr>
        <w:t> </w:t>
      </w:r>
      <w:hyperlink r:id="rId54" w:history="1">
        <w:r>
          <w:rPr>
            <w:rStyle w:val="Hyperlink"/>
          </w:rPr>
          <w:t>Sustainable Tourism Toolkit for download</w:t>
        </w:r>
      </w:hyperlink>
      <w:r>
        <w:rPr>
          <w:color w:val="333333"/>
        </w:rPr>
        <w:t>.</w:t>
      </w:r>
    </w:p>
    <w:p w14:paraId="69D367DD" w14:textId="3D07CED3" w:rsidR="0057426D" w:rsidRDefault="007276B9" w:rsidP="00167201">
      <w:r>
        <w:t>To</w:t>
      </w:r>
      <w:r w:rsidR="00CB7FF0">
        <w:t xml:space="preserve"> better measure the long-term progress of Australia’s visitor economy, </w:t>
      </w:r>
      <w:r>
        <w:t>TRA</w:t>
      </w:r>
      <w:r w:rsidR="00DE1DF5">
        <w:t xml:space="preserve"> will release a dashboard of </w:t>
      </w:r>
      <w:r w:rsidR="0073388C">
        <w:t xml:space="preserve">indicators </w:t>
      </w:r>
      <w:r w:rsidR="00DE1DF5">
        <w:t xml:space="preserve">across the </w:t>
      </w:r>
      <w:r w:rsidR="00AD3264">
        <w:t>4</w:t>
      </w:r>
      <w:r w:rsidR="00DE1DF5">
        <w:t xml:space="preserve"> pillars of sustainable tourism</w:t>
      </w:r>
      <w:r w:rsidR="007D73FB">
        <w:t>.</w:t>
      </w:r>
      <w:r w:rsidR="00DE1DF5">
        <w:t xml:space="preserve"> </w:t>
      </w:r>
      <w:r w:rsidR="007D73FB">
        <w:t>T</w:t>
      </w:r>
      <w:r w:rsidR="00DE1DF5">
        <w:t>h</w:t>
      </w:r>
      <w:r w:rsidR="007D73FB">
        <w:t>is will be th</w:t>
      </w:r>
      <w:r w:rsidR="00DE1DF5">
        <w:t>e first time</w:t>
      </w:r>
      <w:r w:rsidR="007D73FB">
        <w:t xml:space="preserve"> that</w:t>
      </w:r>
      <w:r w:rsidR="00DE1DF5">
        <w:t xml:space="preserve"> national indicators </w:t>
      </w:r>
      <w:r w:rsidR="001F7F66">
        <w:t xml:space="preserve">for the visitor economy </w:t>
      </w:r>
      <w:r w:rsidR="00953FB8">
        <w:t>will be published</w:t>
      </w:r>
      <w:r w:rsidR="00DE1DF5">
        <w:t xml:space="preserve"> on </w:t>
      </w:r>
      <w:r w:rsidR="001F7F66">
        <w:t xml:space="preserve">social and environmental measures </w:t>
      </w:r>
      <w:r w:rsidR="00953FB8">
        <w:t>as well as</w:t>
      </w:r>
      <w:r w:rsidR="00DE1DF5">
        <w:t xml:space="preserve"> economic</w:t>
      </w:r>
      <w:r w:rsidR="007D73FB">
        <w:t xml:space="preserve"> measures</w:t>
      </w:r>
      <w:r w:rsidR="00DE1DF5">
        <w:t xml:space="preserve">. The release of the Longitudinal Indicators for the Visitor Economy (LIVE) Framework will progress the goals of the National Sustainability Framework by measuring aspects of sustainable tourism including </w:t>
      </w:r>
      <w:r w:rsidR="00F277CA">
        <w:t>the carbon intensity of Australia’s visitor economy</w:t>
      </w:r>
      <w:r w:rsidR="00DE1DF5">
        <w:t xml:space="preserve">. </w:t>
      </w:r>
      <w:r w:rsidR="0057426D">
        <w:rPr>
          <w:spacing w:val="-2"/>
        </w:rPr>
        <w:t>The proposed LIVE framework</w:t>
      </w:r>
      <w:r w:rsidR="009044BA">
        <w:rPr>
          <w:rStyle w:val="FootnoteReference"/>
          <w:spacing w:val="-2"/>
        </w:rPr>
        <w:footnoteReference w:id="22"/>
      </w:r>
      <w:r w:rsidR="0057426D">
        <w:rPr>
          <w:spacing w:val="-2"/>
        </w:rPr>
        <w:t xml:space="preserve"> recommends 3 separate pillars – economic, social and environmental</w:t>
      </w:r>
      <w:r w:rsidR="000A0F48">
        <w:rPr>
          <w:spacing w:val="-2"/>
        </w:rPr>
        <w:t xml:space="preserve"> </w:t>
      </w:r>
      <w:r w:rsidR="0057426D">
        <w:rPr>
          <w:spacing w:val="-2"/>
        </w:rPr>
        <w:t>– for monitoring the visitor economy’s performance</w:t>
      </w:r>
      <w:r w:rsidR="001952A4">
        <w:rPr>
          <w:spacing w:val="-2"/>
        </w:rPr>
        <w:t xml:space="preserve"> (Graphic 2)</w:t>
      </w:r>
      <w:r w:rsidR="0057426D">
        <w:rPr>
          <w:spacing w:val="-2"/>
        </w:rPr>
        <w:t xml:space="preserve">. It also recognises the importance of governance and other institutional elements </w:t>
      </w:r>
      <w:r w:rsidR="00906DC0">
        <w:rPr>
          <w:spacing w:val="-2"/>
        </w:rPr>
        <w:t>as a 4</w:t>
      </w:r>
      <w:r w:rsidR="00906DC0" w:rsidRPr="00AE703C">
        <w:rPr>
          <w:spacing w:val="-2"/>
          <w:vertAlign w:val="superscript"/>
        </w:rPr>
        <w:t>th</w:t>
      </w:r>
      <w:r w:rsidR="00906DC0">
        <w:rPr>
          <w:spacing w:val="-2"/>
        </w:rPr>
        <w:t xml:space="preserve"> pillar </w:t>
      </w:r>
      <w:r w:rsidR="0057426D">
        <w:rPr>
          <w:spacing w:val="-2"/>
        </w:rPr>
        <w:t>needed for a healthy visitor economy.</w:t>
      </w:r>
      <w:r w:rsidR="002F4D10">
        <w:rPr>
          <w:spacing w:val="-2"/>
        </w:rPr>
        <w:t xml:space="preserve"> </w:t>
      </w:r>
    </w:p>
    <w:p w14:paraId="3A90CB09" w14:textId="1DD6D9A3" w:rsidR="00D7407D" w:rsidRPr="009F45DF" w:rsidRDefault="00D7407D" w:rsidP="0029465A">
      <w:pPr>
        <w:keepNext/>
        <w:spacing w:before="0" w:after="0" w:line="300" w:lineRule="atLeast"/>
        <w:rPr>
          <w:color w:val="2E1A47" w:themeColor="text2"/>
        </w:rPr>
      </w:pPr>
      <w:r w:rsidRPr="007C0641">
        <w:rPr>
          <w:b/>
          <w:bCs/>
          <w:color w:val="2E1A47" w:themeColor="text2"/>
        </w:rPr>
        <w:t>Graphic 2</w:t>
      </w:r>
      <w:r w:rsidRPr="007C0641">
        <w:rPr>
          <w:color w:val="2E1A47" w:themeColor="text2"/>
        </w:rPr>
        <w:t>:</w:t>
      </w:r>
      <w:r w:rsidRPr="009F45DF">
        <w:rPr>
          <w:color w:val="2E1A47" w:themeColor="text2"/>
        </w:rPr>
        <w:t xml:space="preserve"> </w:t>
      </w:r>
      <w:r>
        <w:rPr>
          <w:color w:val="2E1A47" w:themeColor="text2"/>
        </w:rPr>
        <w:t>Conceptual LIVE framework</w:t>
      </w:r>
      <w:r w:rsidR="0029465A">
        <w:rPr>
          <w:color w:val="2E1A47" w:themeColor="text2"/>
        </w:rPr>
        <w:t>: Longitudinal Indicators for the Visitor Economy</w:t>
      </w:r>
      <w:r w:rsidRPr="009F45DF">
        <w:rPr>
          <w:color w:val="2E1A47" w:themeColor="text2"/>
        </w:rPr>
        <w:t>.</w:t>
      </w:r>
    </w:p>
    <w:p w14:paraId="6E446DD6" w14:textId="4C2D5588" w:rsidR="0057426D" w:rsidRDefault="006A1DD8" w:rsidP="006A1DD8">
      <w:pPr>
        <w:keepNext/>
        <w:spacing w:before="0" w:after="0" w:line="300" w:lineRule="atLeast"/>
        <w:jc w:val="center"/>
      </w:pPr>
      <w:r w:rsidRPr="006A1DD8">
        <w:rPr>
          <w:noProof/>
        </w:rPr>
        <w:drawing>
          <wp:inline distT="0" distB="0" distL="0" distR="0" wp14:anchorId="02371D60" wp14:editId="545EB259">
            <wp:extent cx="6326178" cy="3476847"/>
            <wp:effectExtent l="0" t="0" r="0" b="9525"/>
            <wp:docPr id="1181182991" name="Picture 1" descr="Graphic 2 is a diagram that lists the conceptual Longitudinal Indicators for the Visitor Economy framework and groups the indicators to show interconnections between economic, social and environmental indicators, an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2991" name="Picture 1" descr="Graphic 2 is a diagram that lists the conceptual Longitudinal Indicators for the Visitor Economy framework and groups the indicators to show interconnections between economic, social and environmental indicators, and governance."/>
                    <pic:cNvPicPr/>
                  </pic:nvPicPr>
                  <pic:blipFill rotWithShape="1">
                    <a:blip r:embed="rId55"/>
                    <a:srcRect t="2648"/>
                    <a:stretch/>
                  </pic:blipFill>
                  <pic:spPr bwMode="auto">
                    <a:xfrm>
                      <a:off x="0" y="0"/>
                      <a:ext cx="6361111" cy="3496046"/>
                    </a:xfrm>
                    <a:prstGeom prst="rect">
                      <a:avLst/>
                    </a:prstGeom>
                    <a:ln>
                      <a:noFill/>
                    </a:ln>
                    <a:extLst>
                      <a:ext uri="{53640926-AAD7-44D8-BBD7-CCE9431645EC}">
                        <a14:shadowObscured xmlns:a14="http://schemas.microsoft.com/office/drawing/2010/main"/>
                      </a:ext>
                    </a:extLst>
                  </pic:spPr>
                </pic:pic>
              </a:graphicData>
            </a:graphic>
          </wp:inline>
        </w:drawing>
      </w:r>
    </w:p>
    <w:p w14:paraId="5EF46BCB" w14:textId="4349CFE4" w:rsidR="00393B98" w:rsidRDefault="00393B98" w:rsidP="0029465A">
      <w:pPr>
        <w:spacing w:before="0" w:after="0" w:line="240" w:lineRule="auto"/>
        <w:rPr>
          <w:sz w:val="18"/>
          <w:szCs w:val="18"/>
        </w:rPr>
      </w:pPr>
      <w:r w:rsidRPr="00393B98">
        <w:rPr>
          <w:sz w:val="18"/>
          <w:szCs w:val="18"/>
        </w:rPr>
        <w:t>Source: IDEA Working Group Recommendations Report 2023</w:t>
      </w:r>
      <w:r w:rsidR="0029465A">
        <w:rPr>
          <w:sz w:val="18"/>
          <w:szCs w:val="18"/>
        </w:rPr>
        <w:t>.</w:t>
      </w:r>
    </w:p>
    <w:p w14:paraId="45F79E5C" w14:textId="77777777" w:rsidR="00100ED1" w:rsidRPr="00100ED1" w:rsidRDefault="00100ED1" w:rsidP="00100ED1">
      <w:pPr>
        <w:autoSpaceDE w:val="0"/>
        <w:autoSpaceDN w:val="0"/>
        <w:adjustRightInd w:val="0"/>
        <w:spacing w:before="0" w:after="0" w:line="240" w:lineRule="auto"/>
        <w:rPr>
          <w:rFonts w:ascii="Calibri" w:hAnsi="Calibri" w:cs="Calibri"/>
          <w:color w:val="000000"/>
          <w:sz w:val="24"/>
          <w:szCs w:val="24"/>
        </w:rPr>
      </w:pPr>
    </w:p>
    <w:p w14:paraId="4A4ECF2F" w14:textId="625022C6" w:rsidR="00100ED1" w:rsidRDefault="00496785" w:rsidP="00AE703C">
      <w:pPr>
        <w:pStyle w:val="Heading4"/>
        <w:pBdr>
          <w:top w:val="thinThickSmallGap" w:sz="24" w:space="1" w:color="2E1A47" w:themeColor="accent2"/>
        </w:pBdr>
      </w:pPr>
      <w:r>
        <w:t>Sustainable growth and the Peninsula Hot Springs</w:t>
      </w:r>
    </w:p>
    <w:p w14:paraId="02B473C1" w14:textId="44FA7534" w:rsidR="00485E9E" w:rsidRPr="004E0627" w:rsidRDefault="00100ED1" w:rsidP="004E0627">
      <w:pPr>
        <w:rPr>
          <w:rStyle w:val="Emphasis"/>
        </w:rPr>
      </w:pPr>
      <w:r w:rsidRPr="004E0627">
        <w:rPr>
          <w:rStyle w:val="Emphasis"/>
        </w:rPr>
        <w:t xml:space="preserve">Case Study by </w:t>
      </w:r>
      <w:r w:rsidR="00485E9E" w:rsidRPr="004E0627">
        <w:rPr>
          <w:rStyle w:val="Emphasis"/>
        </w:rPr>
        <w:t>Department of Jobs, Skills, Industry and Regions (Victoria)</w:t>
      </w:r>
    </w:p>
    <w:p w14:paraId="50C20DCC" w14:textId="59F2A449" w:rsidR="006D435E" w:rsidRPr="00100ED1" w:rsidRDefault="00100ED1" w:rsidP="004E0627">
      <w:pPr>
        <w:rPr>
          <w:rFonts w:eastAsia="Times New Roman" w:cstheme="minorHAnsi"/>
          <w:lang w:eastAsia="en-AU"/>
        </w:rPr>
      </w:pPr>
      <w:r w:rsidRPr="00100ED1">
        <w:rPr>
          <w:rFonts w:eastAsia="Times New Roman" w:cstheme="minorHAnsi"/>
          <w:lang w:eastAsia="en-AU"/>
        </w:rPr>
        <w:t xml:space="preserve">The Victorian Government is supporting sustainable growth in Victoria’s tourism sector by investing in infrastructure projects that encourage year-round and off-peak visitation and improve customer experiences. </w:t>
      </w:r>
    </w:p>
    <w:p w14:paraId="4924E317" w14:textId="298336AC" w:rsidR="006D435E" w:rsidRPr="00100ED1" w:rsidRDefault="00100ED1" w:rsidP="004E0627">
      <w:pPr>
        <w:rPr>
          <w:rFonts w:eastAsia="Times New Roman" w:cstheme="minorHAnsi"/>
          <w:lang w:eastAsia="en-AU"/>
        </w:rPr>
      </w:pPr>
      <w:r w:rsidRPr="00100ED1">
        <w:rPr>
          <w:rFonts w:eastAsia="Times New Roman" w:cstheme="minorHAnsi"/>
          <w:lang w:eastAsia="en-AU"/>
        </w:rPr>
        <w:t>In 2023, the Victorian Government launched the Experience Victoria 2033 (EV33) plan, outlining how the government will continue to work towards sustainable destinations, experiences</w:t>
      </w:r>
      <w:r w:rsidR="001814A4">
        <w:rPr>
          <w:rFonts w:eastAsia="Times New Roman" w:cstheme="minorHAnsi"/>
          <w:lang w:eastAsia="en-AU"/>
        </w:rPr>
        <w:t>,</w:t>
      </w:r>
      <w:r w:rsidRPr="00100ED1">
        <w:rPr>
          <w:rFonts w:eastAsia="Times New Roman" w:cstheme="minorHAnsi"/>
          <w:lang w:eastAsia="en-AU"/>
        </w:rPr>
        <w:t xml:space="preserve"> and growth. The goal is that by 2033, Victoria will be recognised for bold and innovative tourism products that attract visitors from across the world. </w:t>
      </w:r>
    </w:p>
    <w:p w14:paraId="1CF65D47" w14:textId="3C17A870" w:rsidR="00100ED1" w:rsidRPr="00100ED1" w:rsidRDefault="00100ED1" w:rsidP="004E0627">
      <w:pPr>
        <w:rPr>
          <w:rFonts w:eastAsia="Times New Roman" w:cstheme="minorHAnsi"/>
          <w:lang w:eastAsia="en-AU"/>
        </w:rPr>
      </w:pPr>
      <w:r w:rsidRPr="00100ED1">
        <w:rPr>
          <w:rFonts w:eastAsia="Times New Roman" w:cstheme="minorHAnsi"/>
          <w:lang w:eastAsia="en-AU"/>
        </w:rPr>
        <w:t>In line with the sustainability aspects of EV33, the Peninsula Hot Springs is receiving a major upgrade through a $3.3 million Regional Tourism Investment Fund grant. The grant supports the first stage of their Masterplan, including 3 luxurious eco lodges accommodating up to 20 people, 3</w:t>
      </w:r>
      <w:r w:rsidR="008315C0">
        <w:rPr>
          <w:rFonts w:eastAsia="Times New Roman" w:cstheme="minorHAnsi"/>
          <w:lang w:eastAsia="en-AU"/>
        </w:rPr>
        <w:t> </w:t>
      </w:r>
      <w:r w:rsidRPr="00100ED1">
        <w:rPr>
          <w:rFonts w:eastAsia="Times New Roman" w:cstheme="minorHAnsi"/>
          <w:lang w:eastAsia="en-AU"/>
        </w:rPr>
        <w:t xml:space="preserve">massage spa pods and a relaxation centre. The upgrades commenced in May 2023 and are due for completion in mid-2024. </w:t>
      </w:r>
    </w:p>
    <w:p w14:paraId="6D63EFD0" w14:textId="4F952741" w:rsidR="006D435E" w:rsidRPr="00100ED1" w:rsidRDefault="00100ED1" w:rsidP="004E0627">
      <w:pPr>
        <w:rPr>
          <w:rFonts w:eastAsia="Times New Roman" w:cstheme="minorHAnsi"/>
          <w:lang w:eastAsia="en-AU"/>
        </w:rPr>
      </w:pPr>
      <w:r w:rsidRPr="00100ED1">
        <w:rPr>
          <w:rFonts w:eastAsia="Times New Roman" w:cstheme="minorHAnsi"/>
          <w:lang w:eastAsia="en-AU"/>
        </w:rPr>
        <w:t xml:space="preserve">The environmentally friendly eco lodges are constructed in Geelong using innovative methods that significantly reduce carbon emissions. By using Cross-Laminated Timber and screw piles, they have eliminated the need for carbon intensive structural steel and concrete. Solar power, thermally efficient windows and hydronic heating further reduce carbon emissions and increase guest comfort and sustainability. </w:t>
      </w:r>
    </w:p>
    <w:p w14:paraId="044239CD" w14:textId="196755BB" w:rsidR="006D435E" w:rsidRPr="00100ED1" w:rsidRDefault="00100ED1" w:rsidP="004E0627">
      <w:pPr>
        <w:rPr>
          <w:rFonts w:eastAsia="Times New Roman" w:cstheme="minorHAnsi"/>
          <w:lang w:eastAsia="en-AU"/>
        </w:rPr>
      </w:pPr>
      <w:r w:rsidRPr="00100ED1">
        <w:rPr>
          <w:rFonts w:eastAsia="Times New Roman" w:cstheme="minorHAnsi"/>
          <w:lang w:eastAsia="en-AU"/>
        </w:rPr>
        <w:t xml:space="preserve">This passion for the environment and sustainability goes beyond everyday operations at the Peninsula Hot Springs – they seek to inspire guests to be conscious of their environmental behaviour as well. </w:t>
      </w:r>
    </w:p>
    <w:p w14:paraId="5FA9BDFB" w14:textId="4F2484FC" w:rsidR="00F3318D" w:rsidRDefault="00100ED1" w:rsidP="00AE703C">
      <w:pPr>
        <w:pBdr>
          <w:bottom w:val="thickThinSmallGap" w:sz="24" w:space="1" w:color="2E1A47" w:themeColor="accent2"/>
        </w:pBdr>
        <w:rPr>
          <w:sz w:val="18"/>
          <w:szCs w:val="18"/>
        </w:rPr>
      </w:pPr>
      <w:r w:rsidRPr="00496785">
        <w:t>With current visitation to the Peninsula Hot Springs at over 500,000 people per year, the completed Masterplan is expected to grow visitation to over 800,000, making it a premier wellness tourism destination in Australia.</w:t>
      </w:r>
      <w:r w:rsidRPr="00100ED1">
        <w:rPr>
          <w:rFonts w:ascii="Calibri" w:hAnsi="Calibri" w:cs="Calibri"/>
          <w:color w:val="000000"/>
        </w:rPr>
        <w:t xml:space="preserve"> </w:t>
      </w:r>
    </w:p>
    <w:p w14:paraId="1784CD7B" w14:textId="77777777" w:rsidR="00C0092A" w:rsidRDefault="00C0092A">
      <w:pPr>
        <w:spacing w:before="0" w:after="160" w:line="259" w:lineRule="auto"/>
        <w:rPr>
          <w:rFonts w:eastAsia="SimSun" w:cs="Times New Roman"/>
          <w:bCs/>
          <w:color w:val="3D2141" w:themeColor="accent1" w:themeShade="80"/>
          <w:sz w:val="32"/>
          <w:szCs w:val="26"/>
          <w:lang w:eastAsia="zh-CN"/>
        </w:rPr>
      </w:pPr>
      <w:bookmarkStart w:id="73" w:name="_Toc167113888"/>
      <w:r>
        <w:br w:type="page"/>
      </w:r>
    </w:p>
    <w:p w14:paraId="2797540C" w14:textId="57CABB6B" w:rsidR="00C2437C" w:rsidRDefault="0048556F" w:rsidP="00C2437C">
      <w:pPr>
        <w:pStyle w:val="Heading2"/>
      </w:pPr>
      <w:r>
        <w:lastRenderedPageBreak/>
        <w:t>Travellers with acce</w:t>
      </w:r>
      <w:r w:rsidR="00C2437C" w:rsidRPr="00C2437C">
        <w:t>ssib</w:t>
      </w:r>
      <w:r w:rsidR="005C6631">
        <w:t>ility needs</w:t>
      </w:r>
      <w:bookmarkEnd w:id="73"/>
      <w:r w:rsidR="00C2437C" w:rsidRPr="00C2437C">
        <w:t xml:space="preserve"> </w:t>
      </w:r>
    </w:p>
    <w:p w14:paraId="43D16AC4" w14:textId="2068302C" w:rsidR="00FD5642" w:rsidRPr="004D59D7" w:rsidRDefault="00CB6F49" w:rsidP="00723526">
      <w:r>
        <w:t xml:space="preserve">TRA collects data on </w:t>
      </w:r>
      <w:r w:rsidRPr="004D59D7">
        <w:rPr>
          <w:rFonts w:asciiTheme="minorHAnsi" w:eastAsiaTheme="minorEastAsia" w:hAnsiTheme="minorHAnsi"/>
          <w:color w:val="auto"/>
          <w:lang w:eastAsia="zh-CN"/>
        </w:rPr>
        <w:t>domestic travellers in Australia with accessibility needs</w:t>
      </w:r>
      <w:r>
        <w:rPr>
          <w:rFonts w:asciiTheme="minorHAnsi" w:eastAsiaTheme="minorEastAsia" w:hAnsiTheme="minorHAnsi"/>
          <w:color w:val="auto"/>
          <w:lang w:eastAsia="zh-CN"/>
        </w:rPr>
        <w:t xml:space="preserve"> via</w:t>
      </w:r>
      <w:r w:rsidRPr="00CB6F49">
        <w:rPr>
          <w:rFonts w:asciiTheme="minorHAnsi" w:eastAsiaTheme="minorEastAsia" w:hAnsiTheme="minorHAnsi"/>
          <w:color w:val="auto"/>
          <w:lang w:eastAsia="zh-CN"/>
        </w:rPr>
        <w:t xml:space="preserve"> </w:t>
      </w:r>
      <w:r w:rsidRPr="004D59D7">
        <w:rPr>
          <w:rFonts w:asciiTheme="minorHAnsi" w:eastAsiaTheme="minorEastAsia" w:hAnsiTheme="minorHAnsi"/>
          <w:color w:val="auto"/>
          <w:lang w:eastAsia="zh-CN"/>
        </w:rPr>
        <w:t>the Disability Supplementary section of the National Visitor Survey</w:t>
      </w:r>
      <w:r>
        <w:rPr>
          <w:rFonts w:asciiTheme="minorHAnsi" w:eastAsiaTheme="minorEastAsia" w:hAnsiTheme="minorHAnsi"/>
          <w:color w:val="auto"/>
          <w:lang w:eastAsia="zh-CN"/>
        </w:rPr>
        <w:t xml:space="preserve">. </w:t>
      </w:r>
      <w:r w:rsidR="00723526">
        <w:rPr>
          <w:rFonts w:asciiTheme="minorHAnsi" w:eastAsiaTheme="minorEastAsia" w:hAnsiTheme="minorHAnsi"/>
          <w:color w:val="auto"/>
          <w:lang w:eastAsia="zh-CN"/>
        </w:rPr>
        <w:t>Specific questions for travellers with accessible</w:t>
      </w:r>
      <w:r w:rsidRPr="004D59D7">
        <w:rPr>
          <w:rFonts w:asciiTheme="minorHAnsi" w:eastAsiaTheme="minorEastAsia" w:hAnsiTheme="minorHAnsi"/>
          <w:color w:val="auto"/>
          <w:lang w:eastAsia="zh-CN"/>
        </w:rPr>
        <w:t xml:space="preserve"> </w:t>
      </w:r>
      <w:r w:rsidR="00723526">
        <w:rPr>
          <w:rFonts w:asciiTheme="minorHAnsi" w:eastAsiaTheme="minorEastAsia" w:hAnsiTheme="minorHAnsi"/>
          <w:color w:val="auto"/>
          <w:lang w:eastAsia="zh-CN"/>
        </w:rPr>
        <w:t xml:space="preserve">needs were included </w:t>
      </w:r>
      <w:r w:rsidRPr="004D59D7">
        <w:rPr>
          <w:rFonts w:asciiTheme="minorHAnsi" w:eastAsiaTheme="minorEastAsia" w:hAnsiTheme="minorHAnsi"/>
          <w:color w:val="auto"/>
          <w:lang w:eastAsia="zh-CN"/>
        </w:rPr>
        <w:t xml:space="preserve">in </w:t>
      </w:r>
      <w:r w:rsidR="00723526">
        <w:rPr>
          <w:rFonts w:asciiTheme="minorHAnsi" w:eastAsiaTheme="minorEastAsia" w:hAnsiTheme="minorHAnsi"/>
          <w:color w:val="auto"/>
          <w:lang w:eastAsia="zh-CN"/>
        </w:rPr>
        <w:t xml:space="preserve">surveys conducted in </w:t>
      </w:r>
      <w:r w:rsidRPr="004D59D7">
        <w:rPr>
          <w:rFonts w:asciiTheme="minorHAnsi" w:eastAsiaTheme="minorEastAsia" w:hAnsiTheme="minorHAnsi"/>
          <w:color w:val="auto"/>
          <w:lang w:eastAsia="zh-CN"/>
        </w:rPr>
        <w:t>the June quarter 2023</w:t>
      </w:r>
      <w:r w:rsidR="00723526">
        <w:rPr>
          <w:rFonts w:asciiTheme="minorHAnsi" w:eastAsiaTheme="minorEastAsia" w:hAnsiTheme="minorHAnsi"/>
          <w:color w:val="auto"/>
          <w:lang w:eastAsia="zh-CN"/>
        </w:rPr>
        <w:t>. K</w:t>
      </w:r>
      <w:r w:rsidR="00FD5642" w:rsidRPr="004D59D7">
        <w:t xml:space="preserve">ey insights from this data snapshot (June quarter 2023) </w:t>
      </w:r>
      <w:r w:rsidR="00723526">
        <w:t>include</w:t>
      </w:r>
      <w:r w:rsidR="00FD5642" w:rsidRPr="004D59D7">
        <w:t>:</w:t>
      </w:r>
    </w:p>
    <w:p w14:paraId="53F9B20D" w14:textId="6F2D1DAD" w:rsidR="00FD5642" w:rsidRDefault="00FD5642" w:rsidP="00723526">
      <w:pPr>
        <w:pStyle w:val="BulletList"/>
      </w:pPr>
      <w:r w:rsidRPr="00401A88">
        <w:t xml:space="preserve">The </w:t>
      </w:r>
      <w:r w:rsidRPr="004D59D7">
        <w:t xml:space="preserve">estimated </w:t>
      </w:r>
      <w:r w:rsidRPr="00401A88">
        <w:t>total value</w:t>
      </w:r>
      <w:r w:rsidRPr="004D59D7">
        <w:t xml:space="preserve"> of domestic travel by people with accessibility needs</w:t>
      </w:r>
      <w:r w:rsidRPr="00401A88">
        <w:t xml:space="preserve"> and people who travelled with them (</w:t>
      </w:r>
      <w:r w:rsidR="009B2E9A">
        <w:t>‘</w:t>
      </w:r>
      <w:r w:rsidRPr="00401A88">
        <w:t>travellers with accessibility needs</w:t>
      </w:r>
      <w:r w:rsidR="009B2E9A">
        <w:t>’</w:t>
      </w:r>
      <w:r w:rsidRPr="00401A88">
        <w:t xml:space="preserve">) in the June quarter 2023 </w:t>
      </w:r>
      <w:r>
        <w:t xml:space="preserve">alone </w:t>
      </w:r>
      <w:r w:rsidRPr="00401A88">
        <w:t xml:space="preserve">was </w:t>
      </w:r>
      <w:r w:rsidRPr="004A788D">
        <w:rPr>
          <w:b/>
          <w:bCs/>
        </w:rPr>
        <w:t>$6.8 billion</w:t>
      </w:r>
      <w:r w:rsidR="5A48DBB9" w:rsidRPr="48083E4C">
        <w:rPr>
          <w:b/>
          <w:bCs/>
        </w:rPr>
        <w:t>,</w:t>
      </w:r>
      <w:r w:rsidRPr="004A788D">
        <w:rPr>
          <w:b/>
          <w:bCs/>
        </w:rPr>
        <w:t xml:space="preserve"> 21% of total domestic tourism spend</w:t>
      </w:r>
      <w:r>
        <w:t xml:space="preserve"> in that quarter</w:t>
      </w:r>
      <w:r w:rsidRPr="00401A88">
        <w:t>.</w:t>
      </w:r>
    </w:p>
    <w:p w14:paraId="3732E4A2" w14:textId="4354BAD1" w:rsidR="00FD5642" w:rsidRDefault="00FD5642" w:rsidP="00723526">
      <w:pPr>
        <w:pStyle w:val="BulletList"/>
      </w:pPr>
      <w:r w:rsidRPr="00401A88">
        <w:t xml:space="preserve">The </w:t>
      </w:r>
      <w:r w:rsidRPr="004D59D7">
        <w:t xml:space="preserve">estimated </w:t>
      </w:r>
      <w:r w:rsidRPr="00401A88">
        <w:t>number of domestic trips</w:t>
      </w:r>
      <w:r w:rsidR="0AA82CA4">
        <w:t>,</w:t>
      </w:r>
      <w:r w:rsidRPr="00401A88">
        <w:t xml:space="preserve"> both overnight and day</w:t>
      </w:r>
      <w:r w:rsidR="003954DB">
        <w:t xml:space="preserve"> </w:t>
      </w:r>
      <w:r w:rsidRPr="00401A88">
        <w:t>trips</w:t>
      </w:r>
      <w:r w:rsidR="60FC28AC">
        <w:t>,</w:t>
      </w:r>
      <w:r w:rsidRPr="00401A88">
        <w:t xml:space="preserve"> by travellers with accessibility needs in the June quarter 2023 was </w:t>
      </w:r>
      <w:r w:rsidRPr="004A788D">
        <w:rPr>
          <w:b/>
          <w:bCs/>
        </w:rPr>
        <w:t>18.5 million</w:t>
      </w:r>
      <w:r w:rsidR="56367534" w:rsidRPr="3485B790">
        <w:rPr>
          <w:b/>
          <w:bCs/>
        </w:rPr>
        <w:t>,</w:t>
      </w:r>
      <w:r w:rsidRPr="004A788D">
        <w:rPr>
          <w:b/>
          <w:bCs/>
        </w:rPr>
        <w:t xml:space="preserve"> 23% of all domestic trips</w:t>
      </w:r>
      <w:r>
        <w:t xml:space="preserve"> that quarter</w:t>
      </w:r>
      <w:r w:rsidRPr="00401A88">
        <w:t xml:space="preserve">. </w:t>
      </w:r>
    </w:p>
    <w:p w14:paraId="3B2CC390" w14:textId="2DE5124C" w:rsidR="00EE2B1C" w:rsidRDefault="0023178C" w:rsidP="00EE2B1C">
      <w:pPr>
        <w:pStyle w:val="BulletList"/>
      </w:pPr>
      <w:r w:rsidRPr="006D58DA">
        <w:t xml:space="preserve">Travellers with accessibility needs were </w:t>
      </w:r>
      <w:r w:rsidRPr="004A788D">
        <w:rPr>
          <w:b/>
          <w:bCs/>
        </w:rPr>
        <w:t>more likely to take intrastate trips</w:t>
      </w:r>
      <w:r w:rsidR="00C62C0A">
        <w:rPr>
          <w:b/>
          <w:bCs/>
        </w:rPr>
        <w:t xml:space="preserve"> </w:t>
      </w:r>
      <w:r w:rsidR="00C62C0A" w:rsidRPr="009070D5">
        <w:t xml:space="preserve">relative to other </w:t>
      </w:r>
      <w:r w:rsidR="009070D5" w:rsidRPr="009070D5">
        <w:t>travellers</w:t>
      </w:r>
      <w:r w:rsidR="009F744F">
        <w:t>:</w:t>
      </w:r>
      <w:r w:rsidR="006D58DA" w:rsidRPr="006D58DA">
        <w:t xml:space="preserve"> </w:t>
      </w:r>
      <w:r w:rsidR="00EE2B1C" w:rsidRPr="006D58DA">
        <w:t>73% of overnight trips of travellers with accessibility needs were intrastate trips, while the remaining 27% of overnight trips were interstate.</w:t>
      </w:r>
      <w:r w:rsidR="004F4B9B" w:rsidRPr="006D58DA">
        <w:t xml:space="preserve"> This compared with 67% of overnight trips for other travellers being intrastate and 33% being</w:t>
      </w:r>
      <w:r w:rsidRPr="006D58DA">
        <w:t xml:space="preserve"> interstate.</w:t>
      </w:r>
    </w:p>
    <w:p w14:paraId="228992DD" w14:textId="713D0714" w:rsidR="00070862" w:rsidRPr="004D59D7" w:rsidRDefault="00070862" w:rsidP="00070862">
      <w:pPr>
        <w:pStyle w:val="BulletList"/>
      </w:pPr>
      <w:r w:rsidRPr="00401A88">
        <w:t xml:space="preserve">Travellers with accessibility needs </w:t>
      </w:r>
      <w:r>
        <w:t>were</w:t>
      </w:r>
      <w:r w:rsidRPr="00401A88">
        <w:t xml:space="preserve"> </w:t>
      </w:r>
      <w:r>
        <w:t>less</w:t>
      </w:r>
      <w:r w:rsidRPr="00346A84">
        <w:t xml:space="preserve"> likely</w:t>
      </w:r>
      <w:r>
        <w:t xml:space="preserve"> to travel alone, in a couple or with a business associate than other travellers. Travellers with accessibility needs were </w:t>
      </w:r>
      <w:r w:rsidRPr="00070862">
        <w:rPr>
          <w:b/>
          <w:bCs/>
        </w:rPr>
        <w:t xml:space="preserve">more likely to travel </w:t>
      </w:r>
      <w:r>
        <w:rPr>
          <w:b/>
          <w:bCs/>
        </w:rPr>
        <w:t>with</w:t>
      </w:r>
      <w:r w:rsidRPr="00070862">
        <w:rPr>
          <w:b/>
          <w:bCs/>
        </w:rPr>
        <w:t xml:space="preserve"> a group</w:t>
      </w:r>
      <w:r w:rsidR="18815C88" w:rsidRPr="6BDCB054">
        <w:rPr>
          <w:b/>
          <w:bCs/>
        </w:rPr>
        <w:t>,</w:t>
      </w:r>
      <w:r>
        <w:rPr>
          <w:b/>
          <w:bCs/>
        </w:rPr>
        <w:t xml:space="preserve"> </w:t>
      </w:r>
      <w:r>
        <w:t>including with</w:t>
      </w:r>
      <w:r w:rsidRPr="00070862">
        <w:t xml:space="preserve"> family or friends</w:t>
      </w:r>
      <w:r>
        <w:t xml:space="preserve">. </w:t>
      </w:r>
    </w:p>
    <w:p w14:paraId="09563D3B" w14:textId="038AAC23" w:rsidR="000B4FDB" w:rsidRDefault="000B4FDB" w:rsidP="000B4FDB">
      <w:pPr>
        <w:pStyle w:val="BulletList"/>
      </w:pPr>
      <w:r w:rsidRPr="00401A88">
        <w:t xml:space="preserve">Travellers with accessibility needs </w:t>
      </w:r>
      <w:r w:rsidR="00346A84">
        <w:t>were</w:t>
      </w:r>
      <w:r w:rsidRPr="00401A88">
        <w:t xml:space="preserve"> </w:t>
      </w:r>
      <w:r w:rsidRPr="00070862">
        <w:rPr>
          <w:b/>
          <w:bCs/>
        </w:rPr>
        <w:t>more likely to stay in private accommodation</w:t>
      </w:r>
      <w:r w:rsidRPr="00346A84">
        <w:t xml:space="preserve"> than </w:t>
      </w:r>
      <w:r w:rsidR="00253B79">
        <w:t>other travellers</w:t>
      </w:r>
      <w:r w:rsidR="411E2F1C">
        <w:t xml:space="preserve">. </w:t>
      </w:r>
      <w:r w:rsidR="06B4A9F3">
        <w:t>F</w:t>
      </w:r>
      <w:r w:rsidR="00253B79">
        <w:t xml:space="preserve">or travellers with accessibility needs, </w:t>
      </w:r>
      <w:r w:rsidRPr="00346A84">
        <w:t>50% o</w:t>
      </w:r>
      <w:r w:rsidRPr="00401A88">
        <w:t xml:space="preserve">f overnight stopovers were in private accommodation </w:t>
      </w:r>
      <w:r w:rsidR="00253B79">
        <w:t>and</w:t>
      </w:r>
      <w:r w:rsidRPr="00401A88">
        <w:t xml:space="preserve"> 47% in commercial accommodation</w:t>
      </w:r>
      <w:r w:rsidR="00673930">
        <w:t xml:space="preserve">, while for other travellers, </w:t>
      </w:r>
      <w:r w:rsidR="006936DE">
        <w:t>46</w:t>
      </w:r>
      <w:r w:rsidR="006936DE" w:rsidRPr="00346A84">
        <w:t>% o</w:t>
      </w:r>
      <w:r w:rsidR="006936DE" w:rsidRPr="00401A88">
        <w:t xml:space="preserve">f overnight stopovers were in private accommodation </w:t>
      </w:r>
      <w:r w:rsidR="006936DE">
        <w:t>and</w:t>
      </w:r>
      <w:r w:rsidR="006936DE" w:rsidRPr="00401A88">
        <w:t xml:space="preserve"> </w:t>
      </w:r>
      <w:r w:rsidR="006936DE">
        <w:t>51</w:t>
      </w:r>
      <w:r w:rsidR="006936DE" w:rsidRPr="00401A88">
        <w:t>% in commercial accommodation</w:t>
      </w:r>
      <w:r w:rsidRPr="00401A88">
        <w:t xml:space="preserve">. </w:t>
      </w:r>
    </w:p>
    <w:p w14:paraId="310AF750" w14:textId="7AB0E686" w:rsidR="002932C5" w:rsidRPr="00FA3A2F" w:rsidRDefault="00C905DC" w:rsidP="002932C5">
      <w:pPr>
        <w:pStyle w:val="BulletList"/>
        <w:rPr>
          <w:b/>
          <w:color w:val="auto"/>
        </w:rPr>
      </w:pPr>
      <w:r w:rsidRPr="00401A88">
        <w:t xml:space="preserve">Travellers with accessibility needs </w:t>
      </w:r>
      <w:r>
        <w:t>were</w:t>
      </w:r>
      <w:r w:rsidRPr="00401A88">
        <w:t xml:space="preserve"> </w:t>
      </w:r>
      <w:r>
        <w:t>less</w:t>
      </w:r>
      <w:r w:rsidRPr="00346A84">
        <w:t xml:space="preserve"> likely</w:t>
      </w:r>
      <w:r>
        <w:t xml:space="preserve"> to travel </w:t>
      </w:r>
      <w:r w:rsidR="000809B1">
        <w:t xml:space="preserve">by aircraft </w:t>
      </w:r>
      <w:r w:rsidR="00CA1F95">
        <w:t xml:space="preserve">to their destination </w:t>
      </w:r>
      <w:r w:rsidR="000809B1">
        <w:t xml:space="preserve">than other travellers </w:t>
      </w:r>
      <w:r w:rsidR="677B7149">
        <w:t xml:space="preserve">- </w:t>
      </w:r>
      <w:r w:rsidR="00CB1AF9" w:rsidRPr="004D59D7">
        <w:t>17% compared with 23</w:t>
      </w:r>
      <w:r w:rsidR="00CB1AF9" w:rsidRPr="5C520DFF">
        <w:t>%</w:t>
      </w:r>
      <w:r w:rsidR="1E90CD0E" w:rsidRPr="5C520DFF">
        <w:t xml:space="preserve"> -</w:t>
      </w:r>
      <w:r w:rsidR="00CB1AF9">
        <w:t xml:space="preserve"> and were </w:t>
      </w:r>
      <w:r w:rsidR="00CB1AF9" w:rsidRPr="00693E5B">
        <w:rPr>
          <w:b/>
        </w:rPr>
        <w:t>more likely to</w:t>
      </w:r>
      <w:r w:rsidR="00413D9E" w:rsidRPr="00693E5B">
        <w:rPr>
          <w:b/>
        </w:rPr>
        <w:t xml:space="preserve"> use self-drive vehicles</w:t>
      </w:r>
      <w:r w:rsidR="00413D9E" w:rsidRPr="004D59D7">
        <w:t xml:space="preserve"> than other travellers </w:t>
      </w:r>
      <w:r w:rsidR="72ADB417" w:rsidRPr="5C520DFF">
        <w:t xml:space="preserve">- </w:t>
      </w:r>
      <w:r w:rsidR="00413D9E" w:rsidRPr="004D59D7">
        <w:t xml:space="preserve">77% </w:t>
      </w:r>
      <w:r w:rsidR="00413D9E">
        <w:t>compared with</w:t>
      </w:r>
      <w:r w:rsidR="00413D9E" w:rsidRPr="004D59D7">
        <w:t xml:space="preserve"> 71% </w:t>
      </w:r>
      <w:r w:rsidR="00413D9E">
        <w:t>for other travellers</w:t>
      </w:r>
      <w:r w:rsidR="00693E5B">
        <w:t>.</w:t>
      </w:r>
      <w:r w:rsidR="002932C5" w:rsidRPr="00FA3A2F">
        <w:rPr>
          <w:b/>
          <w:color w:val="auto"/>
        </w:rPr>
        <w:t xml:space="preserve"> </w:t>
      </w:r>
    </w:p>
    <w:p w14:paraId="5EBAF949" w14:textId="26DBE319" w:rsidR="005142FC" w:rsidRDefault="002932C5" w:rsidP="00365B78">
      <w:pPr>
        <w:spacing w:line="300" w:lineRule="atLeast"/>
        <w:rPr>
          <w:rFonts w:asciiTheme="minorHAnsi" w:hAnsiTheme="minorHAnsi"/>
          <w:color w:val="auto"/>
        </w:rPr>
      </w:pPr>
      <w:r w:rsidRPr="00365B78">
        <w:rPr>
          <w:rFonts w:asciiTheme="minorHAnsi" w:hAnsiTheme="minorHAnsi"/>
          <w:color w:val="auto"/>
        </w:rPr>
        <w:t xml:space="preserve">All data and estimates presented </w:t>
      </w:r>
      <w:r w:rsidR="0096154B">
        <w:rPr>
          <w:rFonts w:asciiTheme="minorHAnsi" w:hAnsiTheme="minorHAnsi"/>
          <w:color w:val="auto"/>
        </w:rPr>
        <w:t>here</w:t>
      </w:r>
      <w:r w:rsidRPr="00365B78">
        <w:rPr>
          <w:rFonts w:asciiTheme="minorHAnsi" w:hAnsiTheme="minorHAnsi"/>
          <w:color w:val="auto"/>
        </w:rPr>
        <w:t xml:space="preserve"> are for domestic travel in </w:t>
      </w:r>
      <w:r w:rsidR="00A252C8">
        <w:rPr>
          <w:rFonts w:asciiTheme="minorHAnsi" w:hAnsiTheme="minorHAnsi"/>
          <w:color w:val="auto"/>
        </w:rPr>
        <w:t xml:space="preserve">the </w:t>
      </w:r>
      <w:r w:rsidRPr="00365B78">
        <w:rPr>
          <w:rFonts w:asciiTheme="minorHAnsi" w:hAnsiTheme="minorHAnsi"/>
          <w:color w:val="auto"/>
        </w:rPr>
        <w:t xml:space="preserve">June quarter 2023. They are also restricted to people </w:t>
      </w:r>
      <w:r w:rsidR="00553175" w:rsidRPr="00365B78">
        <w:rPr>
          <w:rFonts w:asciiTheme="minorHAnsi" w:hAnsiTheme="minorHAnsi"/>
          <w:color w:val="auto"/>
        </w:rPr>
        <w:t xml:space="preserve">aged </w:t>
      </w:r>
      <w:r w:rsidRPr="00365B78">
        <w:rPr>
          <w:rFonts w:asciiTheme="minorHAnsi" w:hAnsiTheme="minorHAnsi"/>
          <w:color w:val="auto"/>
        </w:rPr>
        <w:t xml:space="preserve">18 years or older. </w:t>
      </w:r>
      <w:r w:rsidR="00365B78" w:rsidRPr="00365B78">
        <w:rPr>
          <w:rFonts w:asciiTheme="minorHAnsi" w:hAnsiTheme="minorHAnsi"/>
          <w:color w:val="auto"/>
        </w:rPr>
        <w:t xml:space="preserve">Note that </w:t>
      </w:r>
      <w:r w:rsidRPr="00365B78">
        <w:rPr>
          <w:rFonts w:asciiTheme="minorHAnsi" w:hAnsiTheme="minorHAnsi"/>
          <w:color w:val="auto"/>
        </w:rPr>
        <w:t xml:space="preserve">the “travellers with accessibility needs” group is the sum of all </w:t>
      </w:r>
      <w:r w:rsidR="00365B78" w:rsidRPr="00365B78">
        <w:rPr>
          <w:rFonts w:asciiTheme="minorHAnsi" w:hAnsiTheme="minorHAnsi"/>
          <w:color w:val="auto"/>
        </w:rPr>
        <w:t xml:space="preserve">NVS </w:t>
      </w:r>
      <w:r w:rsidRPr="00365B78">
        <w:rPr>
          <w:rFonts w:asciiTheme="minorHAnsi" w:hAnsiTheme="minorHAnsi"/>
          <w:color w:val="auto"/>
        </w:rPr>
        <w:t>respondents who identified as having a disability or travelled with a person who did.</w:t>
      </w:r>
    </w:p>
    <w:p w14:paraId="3B75F14F" w14:textId="4AD8F40E" w:rsidR="00E73775" w:rsidRDefault="0040480D" w:rsidP="0040480D">
      <w:r>
        <w:t xml:space="preserve">The THRIVE 2030 Strategy acknowledges the considerable opportunity for the visitor economy </w:t>
      </w:r>
      <w:r w:rsidR="0015299C">
        <w:t>in</w:t>
      </w:r>
      <w:r>
        <w:t xml:space="preserve"> </w:t>
      </w:r>
      <w:r w:rsidR="0015299C">
        <w:t xml:space="preserve">developing and </w:t>
      </w:r>
      <w:r>
        <w:t>promoting accessible and inclusive travel, tourism, hospitality, and leisure activities. In line with the Strategy, several initiatives have promoted an accessible and inclusive visitor economy</w:t>
      </w:r>
      <w:r w:rsidR="0015299C">
        <w:t xml:space="preserve">. In particular, </w:t>
      </w:r>
      <w:r>
        <w:t xml:space="preserve">the Accessible </w:t>
      </w:r>
      <w:r w:rsidR="72603388">
        <w:t>T</w:t>
      </w:r>
      <w:r>
        <w:t xml:space="preserve">ourism </w:t>
      </w:r>
      <w:r w:rsidR="3A320112">
        <w:t>P</w:t>
      </w:r>
      <w:r>
        <w:t>ilot project</w:t>
      </w:r>
      <w:r w:rsidR="006F7EF3">
        <w:t>, led</w:t>
      </w:r>
      <w:r>
        <w:t xml:space="preserve"> by Austrade</w:t>
      </w:r>
      <w:r w:rsidR="0015299C">
        <w:t xml:space="preserve"> </w:t>
      </w:r>
      <w:r w:rsidR="006F7EF3">
        <w:t>and delivered by</w:t>
      </w:r>
      <w:r w:rsidR="0015299C">
        <w:t xml:space="preserve"> Push Adventures</w:t>
      </w:r>
      <w:r w:rsidR="00E73775">
        <w:t xml:space="preserve"> worked with tourism participants to improve the standard of tourism experiences for the accessible travel community</w:t>
      </w:r>
      <w:r>
        <w:t>.</w:t>
      </w:r>
      <w:r w:rsidR="00E73775">
        <w:t xml:space="preserve"> This project included mentoring, site visits, </w:t>
      </w:r>
      <w:r w:rsidR="00913DBD">
        <w:t>advice,</w:t>
      </w:r>
      <w:r w:rsidR="00D30A54">
        <w:t xml:space="preserve"> and evaluation. </w:t>
      </w:r>
    </w:p>
    <w:p w14:paraId="34596814" w14:textId="0A67576C" w:rsidR="0040480D" w:rsidRPr="006626D2" w:rsidRDefault="00913DBD" w:rsidP="006626D2">
      <w:r>
        <w:t xml:space="preserve">Austrade </w:t>
      </w:r>
      <w:r w:rsidR="00100A04">
        <w:t>has published</w:t>
      </w:r>
      <w:r>
        <w:t xml:space="preserve"> further guidance </w:t>
      </w:r>
      <w:r w:rsidR="00895A3A">
        <w:t>to help</w:t>
      </w:r>
      <w:r>
        <w:t xml:space="preserve"> </w:t>
      </w:r>
      <w:r w:rsidR="00DA3876">
        <w:t>all</w:t>
      </w:r>
      <w:r w:rsidR="00EC2F44">
        <w:t xml:space="preserve"> </w:t>
      </w:r>
      <w:r w:rsidR="00895A3A">
        <w:t xml:space="preserve">tourism businesses </w:t>
      </w:r>
      <w:r w:rsidR="00DA3876">
        <w:t xml:space="preserve">become </w:t>
      </w:r>
      <w:r w:rsidR="00EC2F44">
        <w:t xml:space="preserve">more </w:t>
      </w:r>
      <w:r>
        <w:t>accessible and</w:t>
      </w:r>
      <w:r w:rsidR="00895A3A">
        <w:t xml:space="preserve"> inclusive</w:t>
      </w:r>
      <w:r w:rsidR="00DA3876">
        <w:t xml:space="preserve"> in </w:t>
      </w:r>
      <w:r w:rsidR="3506F9EA">
        <w:t>t</w:t>
      </w:r>
      <w:r w:rsidR="00DA3876">
        <w:t>he WELCOME Framework.</w:t>
      </w:r>
      <w:r w:rsidR="006626D2">
        <w:t xml:space="preserve"> The </w:t>
      </w:r>
      <w:r w:rsidR="3BDEAEC2">
        <w:t>f</w:t>
      </w:r>
      <w:r w:rsidR="006626D2">
        <w:t>ramework brings together important aspects for tourism operators to consider in making their products and services more accessible. It also guides them in understanding the needs of, and promoting their business to, the accessible tourism community.</w:t>
      </w:r>
      <w:r w:rsidR="00100A04">
        <w:t xml:space="preserve"> The Framework was endorsed and released by the Federal Minister for Trade and Tourism </w:t>
      </w:r>
      <w:r w:rsidR="00BC7EFA">
        <w:t>along with</w:t>
      </w:r>
      <w:r w:rsidR="00100A04">
        <w:t xml:space="preserve"> all State and Territory Ministers on 20 May 2024. </w:t>
      </w:r>
    </w:p>
    <w:p w14:paraId="64FAA466" w14:textId="77777777" w:rsidR="0040480D" w:rsidRDefault="0040480D" w:rsidP="0040480D">
      <w:pPr>
        <w:rPr>
          <w:color w:val="333333"/>
          <w:shd w:val="clear" w:color="auto" w:fill="FFFFFF"/>
        </w:rPr>
      </w:pPr>
    </w:p>
    <w:p w14:paraId="6C639AFF" w14:textId="3679E27C" w:rsidR="007F3365" w:rsidRDefault="007F3365">
      <w:pPr>
        <w:spacing w:before="0" w:after="160" w:line="259" w:lineRule="auto"/>
      </w:pPr>
    </w:p>
    <w:p w14:paraId="158CA2D8" w14:textId="2AD8A851" w:rsidR="004F2EC8" w:rsidRDefault="00E625C3" w:rsidP="00162553">
      <w:pPr>
        <w:pStyle w:val="Heading4"/>
        <w:pBdr>
          <w:top w:val="thinThickSmallGap" w:sz="24" w:space="1" w:color="2E1A47" w:themeColor="accent2"/>
        </w:pBdr>
      </w:pPr>
      <w:r w:rsidRPr="00E4315A">
        <w:t>Year of Accessible Tourism in Queensland</w:t>
      </w:r>
    </w:p>
    <w:p w14:paraId="2D8475A7" w14:textId="45ED8091" w:rsidR="00E625C3" w:rsidRPr="004E0627" w:rsidRDefault="004F2EC8" w:rsidP="004E0627">
      <w:pPr>
        <w:rPr>
          <w:rStyle w:val="Emphasis"/>
        </w:rPr>
      </w:pPr>
      <w:r w:rsidRPr="004E0627">
        <w:rPr>
          <w:rStyle w:val="Emphasis"/>
        </w:rPr>
        <w:t xml:space="preserve">Case Study </w:t>
      </w:r>
      <w:r w:rsidR="00E625C3" w:rsidRPr="004E0627">
        <w:rPr>
          <w:rStyle w:val="Emphasis"/>
        </w:rPr>
        <w:t>by Tourism and Events Queensland</w:t>
      </w:r>
      <w:r w:rsidR="008F0558">
        <w:rPr>
          <w:rStyle w:val="Emphasis"/>
        </w:rPr>
        <w:t xml:space="preserve"> and Department of Tourism and Sport (Queensland)</w:t>
      </w:r>
    </w:p>
    <w:p w14:paraId="4DA2646E" w14:textId="08F005BC" w:rsidR="00E625C3" w:rsidRDefault="00E625C3" w:rsidP="004E0627">
      <w:pPr>
        <w:rPr>
          <w:rFonts w:eastAsia="Times New Roman" w:cstheme="minorHAnsi"/>
          <w:lang w:eastAsia="en-AU"/>
        </w:rPr>
      </w:pPr>
      <w:r>
        <w:rPr>
          <w:rFonts w:eastAsia="Times New Roman" w:cstheme="minorHAnsi"/>
          <w:lang w:eastAsia="en-AU"/>
        </w:rPr>
        <w:t xml:space="preserve">The Queensland Government declared 2023 as Queensland’s Year of Accessible Tourism with a $12 million investment to lead the </w:t>
      </w:r>
      <w:r w:rsidR="000B48F8">
        <w:rPr>
          <w:rFonts w:eastAsia="Times New Roman" w:cstheme="minorHAnsi"/>
          <w:lang w:eastAsia="en-AU"/>
        </w:rPr>
        <w:t>s</w:t>
      </w:r>
      <w:r>
        <w:rPr>
          <w:rFonts w:eastAsia="Times New Roman" w:cstheme="minorHAnsi"/>
          <w:lang w:eastAsia="en-AU"/>
        </w:rPr>
        <w:t>tate’s transformation as an accessible tourism destination of choice.</w:t>
      </w:r>
    </w:p>
    <w:p w14:paraId="69F3A4DA" w14:textId="30A967B9" w:rsidR="00E625C3" w:rsidRPr="00095193" w:rsidRDefault="00E625C3" w:rsidP="004E0627">
      <w:pPr>
        <w:rPr>
          <w:rFonts w:eastAsia="Times New Roman" w:cstheme="minorHAnsi"/>
          <w:lang w:eastAsia="en-AU"/>
        </w:rPr>
      </w:pPr>
      <w:r w:rsidRPr="00095193">
        <w:rPr>
          <w:rFonts w:eastAsia="Times New Roman" w:cstheme="minorHAnsi"/>
          <w:lang w:eastAsia="en-AU"/>
        </w:rPr>
        <w:t>With 20</w:t>
      </w:r>
      <w:r w:rsidR="000C7B85">
        <w:rPr>
          <w:rFonts w:eastAsia="Times New Roman" w:cstheme="minorHAnsi"/>
          <w:lang w:eastAsia="en-AU"/>
        </w:rPr>
        <w:t xml:space="preserve">% </w:t>
      </w:r>
      <w:r w:rsidRPr="00095193">
        <w:rPr>
          <w:rFonts w:eastAsia="Times New Roman" w:cstheme="minorHAnsi"/>
          <w:lang w:eastAsia="en-AU"/>
        </w:rPr>
        <w:t>of the population having a disability, the Year of Accessible Tourism was an opportunity to ignite change and create opportunities for the tourism industry, laying the foundations for the Brisbane 2032 Olympic and Paralympic Games to be the world’s most accessible and inclusive sporting event for athletes and spectators. Its key aims were to:</w:t>
      </w:r>
    </w:p>
    <w:p w14:paraId="430837AE" w14:textId="77777777" w:rsidR="00E625C3" w:rsidRDefault="00E625C3" w:rsidP="004E0627">
      <w:pPr>
        <w:pStyle w:val="BulletList"/>
      </w:pPr>
      <w:r>
        <w:t>increase awareness of the:</w:t>
      </w:r>
    </w:p>
    <w:p w14:paraId="2D4CEB0C" w14:textId="6EB97FD5" w:rsidR="00E625C3" w:rsidRDefault="00E625C3" w:rsidP="004E0627">
      <w:pPr>
        <w:pStyle w:val="BulletList"/>
        <w:numPr>
          <w:ilvl w:val="1"/>
          <w:numId w:val="1"/>
        </w:numPr>
      </w:pPr>
      <w:r>
        <w:t xml:space="preserve">importance of accessible tourism experiences for all </w:t>
      </w:r>
    </w:p>
    <w:p w14:paraId="7AE20738" w14:textId="5D69F82D" w:rsidR="00E625C3" w:rsidRDefault="00E625C3" w:rsidP="004E0627">
      <w:pPr>
        <w:pStyle w:val="BulletList"/>
        <w:numPr>
          <w:ilvl w:val="1"/>
          <w:numId w:val="1"/>
        </w:numPr>
      </w:pPr>
      <w:r>
        <w:t>the economic opportunity of accessible tourism</w:t>
      </w:r>
    </w:p>
    <w:p w14:paraId="4C3BE3B5" w14:textId="4562C278" w:rsidR="00E625C3" w:rsidRDefault="00E625C3" w:rsidP="004E0627">
      <w:pPr>
        <w:pStyle w:val="BulletList"/>
      </w:pPr>
      <w:r>
        <w:t xml:space="preserve">help the Queensland tourism industry better cater to visitors of all abilities and provide greater destination experiences for all holidaymakers in </w:t>
      </w:r>
      <w:proofErr w:type="gramStart"/>
      <w:r>
        <w:t>Queensland</w:t>
      </w:r>
      <w:proofErr w:type="gramEnd"/>
    </w:p>
    <w:p w14:paraId="309B740A" w14:textId="670C9E16" w:rsidR="00E625C3" w:rsidRDefault="00E625C3" w:rsidP="004E0627">
      <w:pPr>
        <w:pStyle w:val="BulletList"/>
      </w:pPr>
      <w:r>
        <w:t xml:space="preserve">elevate the profile of accessible tourism experiences available in </w:t>
      </w:r>
      <w:proofErr w:type="gramStart"/>
      <w:r>
        <w:t>Queensland</w:t>
      </w:r>
      <w:proofErr w:type="gramEnd"/>
    </w:p>
    <w:p w14:paraId="56BF82F1" w14:textId="77777777" w:rsidR="00E625C3" w:rsidRDefault="00E625C3" w:rsidP="004E0627">
      <w:pPr>
        <w:pStyle w:val="BulletList"/>
        <w:ind w:left="1080"/>
      </w:pPr>
      <w:r>
        <w:t>build or enhance industry capability and services that meet the accessibility needs of visitors and tourism workers.</w:t>
      </w:r>
    </w:p>
    <w:p w14:paraId="25F0D161" w14:textId="77777777" w:rsidR="00D6345F" w:rsidRDefault="00E625C3" w:rsidP="004E0627">
      <w:pPr>
        <w:rPr>
          <w:rFonts w:eastAsia="Times New Roman"/>
          <w:lang w:eastAsia="en-AU"/>
        </w:rPr>
      </w:pPr>
      <w:r>
        <w:rPr>
          <w:rFonts w:eastAsia="Times New Roman" w:cstheme="minorHAnsi"/>
          <w:lang w:eastAsia="en-AU"/>
        </w:rPr>
        <w:t xml:space="preserve">Targeted initiatives </w:t>
      </w:r>
      <w:r w:rsidR="00D1304A">
        <w:rPr>
          <w:rFonts w:eastAsia="Times New Roman" w:cstheme="minorHAnsi"/>
          <w:lang w:eastAsia="en-AU"/>
        </w:rPr>
        <w:t xml:space="preserve">in 2023 </w:t>
      </w:r>
      <w:r>
        <w:rPr>
          <w:rFonts w:eastAsia="Times New Roman" w:cstheme="minorHAnsi"/>
          <w:lang w:eastAsia="en-AU"/>
        </w:rPr>
        <w:t>delivered outcomes across infrastructure and experience development, awareness and capability development</w:t>
      </w:r>
      <w:r w:rsidR="00D1304A">
        <w:rPr>
          <w:rFonts w:eastAsia="Times New Roman" w:cstheme="minorHAnsi"/>
          <w:lang w:eastAsia="en-AU"/>
        </w:rPr>
        <w:t>,</w:t>
      </w:r>
      <w:r>
        <w:rPr>
          <w:rFonts w:eastAsia="Times New Roman" w:cstheme="minorHAnsi"/>
          <w:lang w:eastAsia="en-AU"/>
        </w:rPr>
        <w:t xml:space="preserve"> and the promotion of accessible tourism experiences. </w:t>
      </w:r>
      <w:r>
        <w:rPr>
          <w:rFonts w:eastAsia="Times New Roman"/>
          <w:lang w:eastAsia="en-AU"/>
        </w:rPr>
        <w:t>During the Year of Accessible Tourism in Queensland</w:t>
      </w:r>
      <w:r w:rsidR="00D6345F">
        <w:rPr>
          <w:rFonts w:eastAsia="Times New Roman"/>
          <w:lang w:eastAsia="en-AU"/>
        </w:rPr>
        <w:t>:</w:t>
      </w:r>
      <w:r>
        <w:rPr>
          <w:rFonts w:eastAsia="Times New Roman"/>
          <w:lang w:eastAsia="en-AU"/>
        </w:rPr>
        <w:t xml:space="preserve"> </w:t>
      </w:r>
    </w:p>
    <w:p w14:paraId="48A76782" w14:textId="77777777" w:rsidR="00D6345F" w:rsidRDefault="00E625C3" w:rsidP="004E0627">
      <w:pPr>
        <w:pStyle w:val="ListParagraph"/>
        <w:numPr>
          <w:ilvl w:val="0"/>
          <w:numId w:val="43"/>
        </w:numPr>
        <w:rPr>
          <w:rFonts w:eastAsia="Times New Roman"/>
          <w:lang w:eastAsia="en-AU"/>
        </w:rPr>
      </w:pPr>
      <w:r w:rsidRPr="00404A76">
        <w:rPr>
          <w:rFonts w:eastAsia="Times New Roman"/>
          <w:b/>
          <w:bCs/>
          <w:lang w:eastAsia="en-AU"/>
        </w:rPr>
        <w:t>279 accessible tourism projects</w:t>
      </w:r>
      <w:r w:rsidRPr="00D6345F">
        <w:rPr>
          <w:rFonts w:eastAsia="Times New Roman"/>
          <w:lang w:eastAsia="en-AU"/>
        </w:rPr>
        <w:t xml:space="preserve"> received grant </w:t>
      </w:r>
      <w:proofErr w:type="gramStart"/>
      <w:r w:rsidRPr="00D6345F">
        <w:rPr>
          <w:rFonts w:eastAsia="Times New Roman"/>
          <w:lang w:eastAsia="en-AU"/>
        </w:rPr>
        <w:t>funding</w:t>
      </w:r>
      <w:proofErr w:type="gramEnd"/>
      <w:r w:rsidRPr="00D6345F">
        <w:rPr>
          <w:rFonts w:eastAsia="Times New Roman"/>
          <w:lang w:eastAsia="en-AU"/>
        </w:rPr>
        <w:t xml:space="preserve"> </w:t>
      </w:r>
    </w:p>
    <w:p w14:paraId="46CB8321" w14:textId="689620D5" w:rsidR="00D6345F" w:rsidRDefault="00E625C3" w:rsidP="004E0627">
      <w:pPr>
        <w:pStyle w:val="ListParagraph"/>
        <w:numPr>
          <w:ilvl w:val="0"/>
          <w:numId w:val="43"/>
        </w:numPr>
        <w:rPr>
          <w:rFonts w:eastAsia="Times New Roman"/>
          <w:lang w:eastAsia="en-AU"/>
        </w:rPr>
      </w:pPr>
      <w:r w:rsidRPr="00404A76">
        <w:rPr>
          <w:rFonts w:eastAsia="Times New Roman"/>
          <w:b/>
          <w:bCs/>
          <w:lang w:eastAsia="en-AU"/>
        </w:rPr>
        <w:t xml:space="preserve">more than 300 tourism operators </w:t>
      </w:r>
      <w:r w:rsidRPr="00D6345F">
        <w:rPr>
          <w:rFonts w:eastAsia="Times New Roman"/>
          <w:lang w:eastAsia="en-AU"/>
        </w:rPr>
        <w:t xml:space="preserve">and local government representatives </w:t>
      </w:r>
      <w:r w:rsidR="004A7E3D">
        <w:rPr>
          <w:rFonts w:eastAsia="Times New Roman"/>
          <w:lang w:eastAsia="en-AU"/>
        </w:rPr>
        <w:t>engaged in</w:t>
      </w:r>
      <w:r w:rsidRPr="00D6345F">
        <w:rPr>
          <w:rFonts w:eastAsia="Times New Roman"/>
          <w:lang w:eastAsia="en-AU"/>
        </w:rPr>
        <w:t xml:space="preserve"> training and </w:t>
      </w:r>
      <w:proofErr w:type="gramStart"/>
      <w:r w:rsidRPr="00D6345F">
        <w:rPr>
          <w:rFonts w:eastAsia="Times New Roman"/>
          <w:lang w:eastAsia="en-AU"/>
        </w:rPr>
        <w:t>consultations</w:t>
      </w:r>
      <w:proofErr w:type="gramEnd"/>
    </w:p>
    <w:p w14:paraId="29B034E2" w14:textId="2D9827CA" w:rsidR="00D6345F" w:rsidRDefault="00E625C3" w:rsidP="004E0627">
      <w:pPr>
        <w:pStyle w:val="ListParagraph"/>
        <w:numPr>
          <w:ilvl w:val="0"/>
          <w:numId w:val="43"/>
        </w:numPr>
        <w:rPr>
          <w:rFonts w:eastAsia="Times New Roman"/>
          <w:lang w:eastAsia="en-AU"/>
        </w:rPr>
      </w:pPr>
      <w:r w:rsidRPr="002824E1">
        <w:rPr>
          <w:rFonts w:eastAsia="Times New Roman"/>
          <w:b/>
          <w:bCs/>
          <w:lang w:eastAsia="en-AU"/>
        </w:rPr>
        <w:t xml:space="preserve">180 new accessible tourism images and </w:t>
      </w:r>
      <w:r w:rsidR="00404A76" w:rsidRPr="002824E1">
        <w:rPr>
          <w:rFonts w:eastAsia="Times New Roman"/>
          <w:b/>
          <w:bCs/>
          <w:lang w:eastAsia="en-AU"/>
        </w:rPr>
        <w:t>6</w:t>
      </w:r>
      <w:r w:rsidR="002824E1" w:rsidRPr="002824E1">
        <w:rPr>
          <w:rFonts w:eastAsia="Times New Roman"/>
          <w:b/>
          <w:bCs/>
          <w:lang w:eastAsia="en-AU"/>
        </w:rPr>
        <w:t xml:space="preserve"> travel</w:t>
      </w:r>
      <w:r w:rsidRPr="002824E1">
        <w:rPr>
          <w:rFonts w:eastAsia="Times New Roman"/>
          <w:b/>
          <w:bCs/>
          <w:lang w:eastAsia="en-AU"/>
        </w:rPr>
        <w:t xml:space="preserve"> itineraries</w:t>
      </w:r>
      <w:r w:rsidRPr="00D6345F">
        <w:rPr>
          <w:rFonts w:eastAsia="Times New Roman"/>
          <w:lang w:eastAsia="en-AU"/>
        </w:rPr>
        <w:t xml:space="preserve"> were developed by Tourism and Events Queensland (TEQ)</w:t>
      </w:r>
    </w:p>
    <w:p w14:paraId="26A68944" w14:textId="77777777" w:rsidR="00112AF8" w:rsidRDefault="00E625C3" w:rsidP="004E0627">
      <w:pPr>
        <w:pStyle w:val="ListParagraph"/>
        <w:numPr>
          <w:ilvl w:val="0"/>
          <w:numId w:val="43"/>
        </w:numPr>
        <w:rPr>
          <w:rFonts w:eastAsia="Times New Roman"/>
          <w:lang w:eastAsia="en-AU"/>
        </w:rPr>
      </w:pPr>
      <w:r w:rsidRPr="00D6345F">
        <w:rPr>
          <w:rFonts w:eastAsia="Times New Roman"/>
          <w:lang w:eastAsia="en-AU"/>
        </w:rPr>
        <w:t xml:space="preserve">TEQ delivered a dedicated marketing campaign to drive awareness of accessible tourism, grow advocacy and position Queensland as an accessible and inclusive destination of choice. </w:t>
      </w:r>
    </w:p>
    <w:p w14:paraId="3E2B97E6" w14:textId="2584E027" w:rsidR="00E625C3" w:rsidRDefault="00E625C3" w:rsidP="004E0627">
      <w:pPr>
        <w:pStyle w:val="ListParagraph"/>
        <w:numPr>
          <w:ilvl w:val="1"/>
          <w:numId w:val="43"/>
        </w:numPr>
        <w:rPr>
          <w:rFonts w:eastAsia="Times New Roman"/>
          <w:lang w:eastAsia="en-AU"/>
        </w:rPr>
      </w:pPr>
      <w:r w:rsidRPr="00D6345F">
        <w:rPr>
          <w:rFonts w:eastAsia="Times New Roman"/>
          <w:lang w:eastAsia="en-AU"/>
        </w:rPr>
        <w:t xml:space="preserve">Complementing this was the highly successful 11-episode podcast, </w:t>
      </w:r>
      <w:r w:rsidRPr="002824E1">
        <w:rPr>
          <w:rFonts w:eastAsia="Times New Roman"/>
          <w:b/>
          <w:bCs/>
          <w:i/>
          <w:iCs/>
          <w:lang w:eastAsia="en-AU"/>
        </w:rPr>
        <w:t>Accessed That</w:t>
      </w:r>
      <w:r w:rsidRPr="002824E1">
        <w:rPr>
          <w:rFonts w:eastAsia="Times New Roman"/>
          <w:b/>
          <w:bCs/>
          <w:lang w:eastAsia="en-AU"/>
        </w:rPr>
        <w:t xml:space="preserve">, which charted at number one on the Apple Podcast travel charts, achieving 5,800 downloads and ranking in the top </w:t>
      </w:r>
      <w:r w:rsidR="009232C5" w:rsidRPr="002824E1">
        <w:rPr>
          <w:rFonts w:eastAsia="Times New Roman"/>
          <w:b/>
          <w:bCs/>
          <w:lang w:eastAsia="en-AU"/>
        </w:rPr>
        <w:t>5%</w:t>
      </w:r>
      <w:r w:rsidRPr="002824E1">
        <w:rPr>
          <w:rFonts w:eastAsia="Times New Roman"/>
          <w:b/>
          <w:bCs/>
          <w:lang w:eastAsia="en-AU"/>
        </w:rPr>
        <w:t xml:space="preserve"> of podcasts globally</w:t>
      </w:r>
      <w:r w:rsidRPr="00D6345F">
        <w:rPr>
          <w:rFonts w:eastAsia="Times New Roman"/>
          <w:lang w:eastAsia="en-AU"/>
        </w:rPr>
        <w:t xml:space="preserve">. </w:t>
      </w:r>
    </w:p>
    <w:p w14:paraId="296F15C4" w14:textId="27B6F94F" w:rsidR="00E625C3" w:rsidRPr="00E620DC" w:rsidRDefault="00E625C3" w:rsidP="004A7E3D">
      <w:pPr>
        <w:pBdr>
          <w:bottom w:val="thickThinSmallGap" w:sz="24" w:space="1" w:color="2E1A47" w:themeColor="accent2"/>
        </w:pBdr>
      </w:pPr>
      <w:r w:rsidRPr="00E620DC">
        <w:t>The Year of Accessible Tourism was extended into 2024 to amplify and embed outcomes from 2023, recognising the ongoing efforts required for continuous improvement of accessibility within the Queensland tourism industry.</w:t>
      </w:r>
    </w:p>
    <w:p w14:paraId="25A2D76C" w14:textId="77777777" w:rsidR="00E625C3" w:rsidRDefault="00E625C3" w:rsidP="00E625C3">
      <w:pPr>
        <w:rPr>
          <w:rFonts w:cstheme="minorHAnsi"/>
        </w:rPr>
      </w:pPr>
    </w:p>
    <w:p w14:paraId="13F46EBA" w14:textId="2DE6053C" w:rsidR="001106FE" w:rsidRPr="00C2437C" w:rsidRDefault="001106FE" w:rsidP="007F3365">
      <w:pPr>
        <w:rPr>
          <w:sz w:val="32"/>
          <w:szCs w:val="26"/>
        </w:rPr>
      </w:pPr>
      <w:r w:rsidRPr="00C2437C">
        <w:rPr>
          <w:bCs/>
          <w:sz w:val="32"/>
          <w:szCs w:val="26"/>
        </w:rPr>
        <w:br w:type="page"/>
      </w:r>
    </w:p>
    <w:p w14:paraId="13C7B22F" w14:textId="4A51A782" w:rsidR="00BA0140" w:rsidRDefault="00BA0140" w:rsidP="00BA0140">
      <w:pPr>
        <w:pStyle w:val="Heading2"/>
      </w:pPr>
      <w:bookmarkStart w:id="74" w:name="_Toc131073759"/>
      <w:bookmarkStart w:id="75" w:name="_Toc135990463"/>
      <w:bookmarkStart w:id="76" w:name="_Toc167113889"/>
      <w:r>
        <w:lastRenderedPageBreak/>
        <w:t>Supply</w:t>
      </w:r>
      <w:bookmarkEnd w:id="74"/>
      <w:bookmarkEnd w:id="75"/>
      <w:r w:rsidR="000C3C0E">
        <w:t xml:space="preserve"> measures </w:t>
      </w:r>
      <w:r w:rsidR="006A61A3">
        <w:t>–</w:t>
      </w:r>
      <w:r w:rsidR="000C3C0E">
        <w:t xml:space="preserve"> </w:t>
      </w:r>
      <w:r w:rsidR="006A61A3">
        <w:t xml:space="preserve">capacity of the Australian visitor </w:t>
      </w:r>
      <w:proofErr w:type="gramStart"/>
      <w:r w:rsidR="006A61A3">
        <w:t>economy</w:t>
      </w:r>
      <w:bookmarkEnd w:id="76"/>
      <w:proofErr w:type="gramEnd"/>
    </w:p>
    <w:p w14:paraId="6F0B7C41" w14:textId="77777777" w:rsidR="00BA0140" w:rsidRDefault="00BA0140" w:rsidP="00BA0140">
      <w:pPr>
        <w:pStyle w:val="Heading3"/>
        <w:rPr>
          <w:lang w:eastAsia="zh-CN"/>
        </w:rPr>
      </w:pPr>
      <w:bookmarkStart w:id="77" w:name="_Toc131073760"/>
      <w:bookmarkStart w:id="78" w:name="_Toc135990464"/>
      <w:bookmarkStart w:id="79" w:name="_Toc167113890"/>
      <w:r>
        <w:rPr>
          <w:lang w:eastAsia="zh-CN"/>
        </w:rPr>
        <w:t>Accommodation</w:t>
      </w:r>
      <w:bookmarkEnd w:id="77"/>
      <w:bookmarkEnd w:id="78"/>
      <w:bookmarkEnd w:id="79"/>
    </w:p>
    <w:p w14:paraId="26AAB8E2" w14:textId="30D8706E" w:rsidR="00BA0140" w:rsidRDefault="00BA0140" w:rsidP="00BA0140">
      <w:pPr>
        <w:rPr>
          <w:lang w:eastAsia="zh-CN"/>
        </w:rPr>
      </w:pPr>
      <w:r>
        <w:rPr>
          <w:lang w:eastAsia="zh-CN"/>
        </w:rPr>
        <w:t>The number of commercial accommodation establishments in Australia increased to a record high in 202</w:t>
      </w:r>
      <w:r w:rsidR="00865C6A">
        <w:rPr>
          <w:lang w:eastAsia="zh-CN"/>
        </w:rPr>
        <w:t>3</w:t>
      </w:r>
      <w:r>
        <w:rPr>
          <w:lang w:eastAsia="zh-CN"/>
        </w:rPr>
        <w:t>, according to data from STR.</w:t>
      </w:r>
      <w:r w:rsidR="004E0627">
        <w:rPr>
          <w:rStyle w:val="FootnoteReference"/>
          <w:lang w:eastAsia="zh-CN"/>
        </w:rPr>
        <w:footnoteReference w:id="23"/>
      </w:r>
      <w:r>
        <w:rPr>
          <w:lang w:eastAsia="zh-CN"/>
        </w:rPr>
        <w:t xml:space="preserve"> </w:t>
      </w:r>
      <w:r w:rsidRPr="00BD2B2F">
        <w:rPr>
          <w:color w:val="auto"/>
          <w:lang w:eastAsia="zh-CN"/>
        </w:rPr>
        <w:t xml:space="preserve">As </w:t>
      </w:r>
      <w:proofErr w:type="gramStart"/>
      <w:r w:rsidRPr="00BD2B2F">
        <w:rPr>
          <w:color w:val="auto"/>
          <w:lang w:eastAsia="zh-CN"/>
        </w:rPr>
        <w:t>at</w:t>
      </w:r>
      <w:proofErr w:type="gramEnd"/>
      <w:r w:rsidRPr="00BD2B2F">
        <w:rPr>
          <w:color w:val="auto"/>
          <w:lang w:eastAsia="zh-CN"/>
        </w:rPr>
        <w:t xml:space="preserve"> December 202</w:t>
      </w:r>
      <w:r w:rsidR="00865C6A" w:rsidRPr="00BD2B2F">
        <w:rPr>
          <w:color w:val="auto"/>
          <w:lang w:eastAsia="zh-CN"/>
        </w:rPr>
        <w:t>3</w:t>
      </w:r>
      <w:r w:rsidRPr="00BD2B2F">
        <w:rPr>
          <w:color w:val="auto"/>
          <w:lang w:eastAsia="zh-CN"/>
        </w:rPr>
        <w:t xml:space="preserve">, there were </w:t>
      </w:r>
      <w:r w:rsidR="00905076" w:rsidRPr="00BD2B2F">
        <w:rPr>
          <w:color w:val="auto"/>
          <w:lang w:eastAsia="zh-CN"/>
        </w:rPr>
        <w:t>6,1</w:t>
      </w:r>
      <w:r w:rsidR="00D40046">
        <w:rPr>
          <w:color w:val="auto"/>
          <w:lang w:eastAsia="zh-CN"/>
        </w:rPr>
        <w:t>8</w:t>
      </w:r>
      <w:r w:rsidR="00905076" w:rsidRPr="00BD2B2F">
        <w:rPr>
          <w:color w:val="auto"/>
          <w:lang w:eastAsia="zh-CN"/>
        </w:rPr>
        <w:t>8</w:t>
      </w:r>
      <w:r w:rsidRPr="00BD2B2F">
        <w:rPr>
          <w:color w:val="auto"/>
          <w:lang w:eastAsia="zh-CN"/>
        </w:rPr>
        <w:t xml:space="preserve"> accommodation establishments with 10 or more rooms in Australia, an increase of </w:t>
      </w:r>
      <w:r w:rsidR="00F26226" w:rsidRPr="00BD2B2F">
        <w:rPr>
          <w:color w:val="auto"/>
          <w:lang w:eastAsia="zh-CN"/>
        </w:rPr>
        <w:t>2</w:t>
      </w:r>
      <w:r w:rsidR="00892EB5">
        <w:rPr>
          <w:color w:val="auto"/>
          <w:lang w:eastAsia="zh-CN"/>
        </w:rPr>
        <w:t>4</w:t>
      </w:r>
      <w:r w:rsidR="00F26226" w:rsidRPr="00BD2B2F">
        <w:rPr>
          <w:color w:val="auto"/>
          <w:lang w:eastAsia="zh-CN"/>
        </w:rPr>
        <w:t>3</w:t>
      </w:r>
      <w:r w:rsidRPr="00BD2B2F">
        <w:rPr>
          <w:color w:val="auto"/>
          <w:lang w:eastAsia="zh-CN"/>
        </w:rPr>
        <w:t xml:space="preserve"> establishments (</w:t>
      </w:r>
      <w:r w:rsidR="00892EB5">
        <w:rPr>
          <w:color w:val="auto"/>
          <w:lang w:eastAsia="zh-CN"/>
        </w:rPr>
        <w:t>4</w:t>
      </w:r>
      <w:r w:rsidR="00B8479D">
        <w:rPr>
          <w:color w:val="auto"/>
          <w:lang w:eastAsia="zh-CN"/>
        </w:rPr>
        <w:t>.1</w:t>
      </w:r>
      <w:r w:rsidRPr="00BD2B2F">
        <w:rPr>
          <w:color w:val="auto"/>
          <w:lang w:eastAsia="zh-CN"/>
        </w:rPr>
        <w:t xml:space="preserve">%) over the year (Figure </w:t>
      </w:r>
      <w:r w:rsidR="000133EF">
        <w:rPr>
          <w:color w:val="auto"/>
          <w:lang w:eastAsia="zh-CN"/>
        </w:rPr>
        <w:t>2</w:t>
      </w:r>
      <w:r w:rsidR="009621E4">
        <w:rPr>
          <w:color w:val="auto"/>
          <w:lang w:eastAsia="zh-CN"/>
        </w:rPr>
        <w:t>3</w:t>
      </w:r>
      <w:r w:rsidRPr="00BD2B2F">
        <w:rPr>
          <w:color w:val="auto"/>
          <w:lang w:eastAsia="zh-CN"/>
        </w:rPr>
        <w:t xml:space="preserve">). This was </w:t>
      </w:r>
      <w:r w:rsidR="00BD2B2F" w:rsidRPr="00BD2B2F">
        <w:rPr>
          <w:color w:val="auto"/>
          <w:lang w:eastAsia="zh-CN"/>
        </w:rPr>
        <w:t>7</w:t>
      </w:r>
      <w:r w:rsidRPr="00BD2B2F">
        <w:rPr>
          <w:color w:val="auto"/>
          <w:lang w:eastAsia="zh-CN"/>
        </w:rPr>
        <w:t>.</w:t>
      </w:r>
      <w:r w:rsidR="00B8479D">
        <w:rPr>
          <w:color w:val="auto"/>
          <w:lang w:eastAsia="zh-CN"/>
        </w:rPr>
        <w:t>4</w:t>
      </w:r>
      <w:r w:rsidRPr="00BD2B2F">
        <w:rPr>
          <w:color w:val="auto"/>
          <w:lang w:eastAsia="zh-CN"/>
        </w:rPr>
        <w:t xml:space="preserve">% higher than the number of establishments prior to the pandemic (5,759 at December </w:t>
      </w:r>
      <w:r>
        <w:rPr>
          <w:lang w:eastAsia="zh-CN"/>
        </w:rPr>
        <w:t xml:space="preserve">2019).  </w:t>
      </w:r>
    </w:p>
    <w:p w14:paraId="7E8385E6" w14:textId="5519D602" w:rsidR="00BA0140" w:rsidRDefault="00BA0140" w:rsidP="00BA0140">
      <w:pPr>
        <w:rPr>
          <w:color w:val="auto"/>
          <w:lang w:eastAsia="zh-CN"/>
        </w:rPr>
      </w:pPr>
      <w:r>
        <w:rPr>
          <w:lang w:eastAsia="zh-CN"/>
        </w:rPr>
        <w:t xml:space="preserve">Additions to accommodation supply were in line with rising demand for accommodation. The average </w:t>
      </w:r>
      <w:r w:rsidRPr="00E8731F">
        <w:rPr>
          <w:color w:val="auto"/>
          <w:lang w:eastAsia="zh-CN"/>
        </w:rPr>
        <w:t>occupancy rate for commercial accommodation increased in Australia in 202</w:t>
      </w:r>
      <w:r w:rsidR="00865C6A" w:rsidRPr="00E8731F">
        <w:rPr>
          <w:color w:val="auto"/>
          <w:lang w:eastAsia="zh-CN"/>
        </w:rPr>
        <w:t>3</w:t>
      </w:r>
      <w:r w:rsidRPr="00E8731F">
        <w:rPr>
          <w:color w:val="auto"/>
          <w:lang w:eastAsia="zh-CN"/>
        </w:rPr>
        <w:t xml:space="preserve"> and was </w:t>
      </w:r>
      <w:r w:rsidR="00F43D52" w:rsidRPr="00E8731F">
        <w:rPr>
          <w:color w:val="auto"/>
          <w:lang w:eastAsia="zh-CN"/>
        </w:rPr>
        <w:t>70</w:t>
      </w:r>
      <w:r w:rsidRPr="00E8731F">
        <w:rPr>
          <w:color w:val="auto"/>
          <w:lang w:eastAsia="zh-CN"/>
        </w:rPr>
        <w:t>% on average across the year (Figure 2</w:t>
      </w:r>
      <w:r w:rsidR="00515EF0">
        <w:rPr>
          <w:color w:val="auto"/>
          <w:lang w:eastAsia="zh-CN"/>
        </w:rPr>
        <w:t>3</w:t>
      </w:r>
      <w:r w:rsidRPr="00E8731F">
        <w:rPr>
          <w:color w:val="auto"/>
          <w:lang w:eastAsia="zh-CN"/>
        </w:rPr>
        <w:t xml:space="preserve">). This was higher than in the past </w:t>
      </w:r>
      <w:r w:rsidR="00865C6A" w:rsidRPr="00E8731F">
        <w:rPr>
          <w:color w:val="auto"/>
          <w:lang w:eastAsia="zh-CN"/>
        </w:rPr>
        <w:t>3</w:t>
      </w:r>
      <w:r w:rsidRPr="00E8731F">
        <w:rPr>
          <w:color w:val="auto"/>
          <w:lang w:eastAsia="zh-CN"/>
        </w:rPr>
        <w:t xml:space="preserve"> years, which averaged 43%</w:t>
      </w:r>
      <w:r w:rsidR="00F43D52" w:rsidRPr="00E8731F">
        <w:rPr>
          <w:color w:val="auto"/>
          <w:lang w:eastAsia="zh-CN"/>
        </w:rPr>
        <w:t xml:space="preserve">, </w:t>
      </w:r>
      <w:r w:rsidRPr="00E8731F">
        <w:rPr>
          <w:color w:val="auto"/>
          <w:lang w:eastAsia="zh-CN"/>
        </w:rPr>
        <w:t>47%,</w:t>
      </w:r>
      <w:r w:rsidR="00F43D52" w:rsidRPr="00E8731F">
        <w:rPr>
          <w:color w:val="auto"/>
          <w:lang w:eastAsia="zh-CN"/>
        </w:rPr>
        <w:t xml:space="preserve"> and 65%</w:t>
      </w:r>
      <w:r w:rsidR="00255AED">
        <w:rPr>
          <w:color w:val="auto"/>
          <w:lang w:eastAsia="zh-CN"/>
        </w:rPr>
        <w:t xml:space="preserve"> respectively</w:t>
      </w:r>
      <w:r w:rsidR="00F43D52" w:rsidRPr="00E8731F">
        <w:rPr>
          <w:color w:val="auto"/>
          <w:lang w:eastAsia="zh-CN"/>
        </w:rPr>
        <w:t>,</w:t>
      </w:r>
      <w:r w:rsidRPr="00E8731F">
        <w:rPr>
          <w:color w:val="auto"/>
          <w:lang w:eastAsia="zh-CN"/>
        </w:rPr>
        <w:t xml:space="preserve"> but below the 2019 (pre-pandemic) year-average occupancy rate of 74%.</w:t>
      </w:r>
    </w:p>
    <w:p w14:paraId="4AF86DCD" w14:textId="7E24B550" w:rsidR="00D90E19" w:rsidRDefault="00D90E19" w:rsidP="00D90E19">
      <w:pPr>
        <w:pStyle w:val="Caption"/>
        <w:spacing w:line="300" w:lineRule="atLeast"/>
        <w:rPr>
          <w:b/>
          <w:bCs/>
          <w:i w:val="0"/>
          <w:iCs w:val="0"/>
          <w:color w:val="000000" w:themeColor="text1"/>
          <w:sz w:val="22"/>
          <w:szCs w:val="22"/>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9621E4">
        <w:rPr>
          <w:b/>
          <w:bCs/>
          <w:i w:val="0"/>
          <w:iCs w:val="0"/>
          <w:noProof/>
          <w:sz w:val="20"/>
          <w:szCs w:val="20"/>
        </w:rPr>
        <w:t>23</w:t>
      </w:r>
      <w:r>
        <w:rPr>
          <w:b/>
          <w:bCs/>
          <w:i w:val="0"/>
          <w:iCs w:val="0"/>
          <w:sz w:val="20"/>
          <w:szCs w:val="20"/>
        </w:rPr>
        <w:fldChar w:fldCharType="end"/>
      </w:r>
      <w:r>
        <w:rPr>
          <w:b/>
          <w:bCs/>
          <w:i w:val="0"/>
          <w:iCs w:val="0"/>
          <w:sz w:val="20"/>
          <w:szCs w:val="20"/>
        </w:rPr>
        <w:t xml:space="preserve">. </w:t>
      </w:r>
      <w:r>
        <w:rPr>
          <w:i w:val="0"/>
          <w:iCs w:val="0"/>
          <w:sz w:val="20"/>
          <w:szCs w:val="20"/>
        </w:rPr>
        <w:t>Monthly occupancy rate and annual change in supply of Australian accommodation establishments, 2019 to 202</w:t>
      </w:r>
      <w:r w:rsidR="00E8731F">
        <w:rPr>
          <w:i w:val="0"/>
          <w:iCs w:val="0"/>
          <w:sz w:val="20"/>
          <w:szCs w:val="20"/>
        </w:rPr>
        <w:t>3</w:t>
      </w:r>
      <w:r>
        <w:rPr>
          <w:i w:val="0"/>
          <w:iCs w:val="0"/>
          <w:sz w:val="20"/>
          <w:szCs w:val="20"/>
        </w:rPr>
        <w:t>.</w:t>
      </w:r>
    </w:p>
    <w:p w14:paraId="16B4B38E" w14:textId="0C52B65C" w:rsidR="00BA0140" w:rsidRDefault="007715AF" w:rsidP="00D90E19">
      <w:pPr>
        <w:spacing w:line="300" w:lineRule="atLeast"/>
        <w:rPr>
          <w:lang w:eastAsia="zh-CN"/>
        </w:rPr>
      </w:pPr>
      <w:r w:rsidRPr="007715AF">
        <w:rPr>
          <w:noProof/>
        </w:rPr>
        <w:drawing>
          <wp:inline distT="0" distB="0" distL="0" distR="0" wp14:anchorId="694E336D" wp14:editId="43158E22">
            <wp:extent cx="6329680" cy="4011930"/>
            <wp:effectExtent l="0" t="0" r="0" b="7620"/>
            <wp:docPr id="1140640461" name="Picture 5" descr="Figure 23 shows the monthly occupancy rate from January 2019 to December 2023 and bars showing the change in supply of Australian accommodation establishments in total over the previous year. The left axis displays the monthly occupancy rate, and the right axis displays the net change in number of establishments over the year. The number of accommodation establishments has been increasing and the occupancy rate is close to its pre-pandemic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0461" name="Picture 5" descr="Figure 23 shows the monthly occupancy rate from January 2019 to December 2023 and bars showing the change in supply of Australian accommodation establishments in total over the previous year. The left axis displays the monthly occupancy rate, and the right axis displays the net change in number of establishments over the year. The number of accommodation establishments has been increasing and the occupancy rate is close to its pre-pandemic leve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9680" cy="4011930"/>
                    </a:xfrm>
                    <a:prstGeom prst="rect">
                      <a:avLst/>
                    </a:prstGeom>
                    <a:noFill/>
                    <a:ln>
                      <a:noFill/>
                    </a:ln>
                  </pic:spPr>
                </pic:pic>
              </a:graphicData>
            </a:graphic>
          </wp:inline>
        </w:drawing>
      </w:r>
    </w:p>
    <w:p w14:paraId="3E991E6C" w14:textId="398854C5" w:rsidR="00B6197A" w:rsidRDefault="007250AB" w:rsidP="007250AB">
      <w:pPr>
        <w:rPr>
          <w:color w:val="auto"/>
          <w:lang w:eastAsia="zh-CN"/>
        </w:rPr>
      </w:pPr>
      <w:r w:rsidRPr="00D90E19">
        <w:rPr>
          <w:color w:val="auto"/>
          <w:lang w:eastAsia="zh-CN"/>
        </w:rPr>
        <w:lastRenderedPageBreak/>
        <w:t>The average daily rate</w:t>
      </w:r>
      <w:r>
        <w:rPr>
          <w:color w:val="auto"/>
          <w:lang w:eastAsia="zh-CN"/>
        </w:rPr>
        <w:t xml:space="preserve"> </w:t>
      </w:r>
      <w:r w:rsidR="00840BD1">
        <w:rPr>
          <w:color w:val="auto"/>
          <w:lang w:eastAsia="zh-CN"/>
        </w:rPr>
        <w:t>(ADR)</w:t>
      </w:r>
      <w:r w:rsidR="00346E16">
        <w:rPr>
          <w:color w:val="auto"/>
          <w:lang w:eastAsia="zh-CN"/>
        </w:rPr>
        <w:t xml:space="preserve"> charged for a room</w:t>
      </w:r>
      <w:r w:rsidR="00840BD1">
        <w:rPr>
          <w:color w:val="auto"/>
          <w:lang w:eastAsia="zh-CN"/>
        </w:rPr>
        <w:t xml:space="preserve"> </w:t>
      </w:r>
      <w:r w:rsidR="00534433">
        <w:rPr>
          <w:color w:val="auto"/>
          <w:lang w:eastAsia="zh-CN"/>
        </w:rPr>
        <w:t xml:space="preserve">increased by </w:t>
      </w:r>
      <w:r w:rsidR="006861B8">
        <w:rPr>
          <w:color w:val="auto"/>
          <w:lang w:eastAsia="zh-CN"/>
        </w:rPr>
        <w:t>4.5</w:t>
      </w:r>
      <w:r w:rsidR="00534433">
        <w:rPr>
          <w:color w:val="auto"/>
          <w:lang w:eastAsia="zh-CN"/>
        </w:rPr>
        <w:t xml:space="preserve">% </w:t>
      </w:r>
      <w:r>
        <w:rPr>
          <w:color w:val="auto"/>
          <w:lang w:eastAsia="zh-CN"/>
        </w:rPr>
        <w:t xml:space="preserve">in 2023 </w:t>
      </w:r>
      <w:r w:rsidR="00534433">
        <w:rPr>
          <w:color w:val="auto"/>
          <w:lang w:eastAsia="zh-CN"/>
        </w:rPr>
        <w:t xml:space="preserve">compared to the average for 2022. However, </w:t>
      </w:r>
      <w:r w:rsidR="00B6197A">
        <w:rPr>
          <w:lang w:eastAsia="zh-CN"/>
        </w:rPr>
        <w:t xml:space="preserve">there was some variation over the year, with the ADR </w:t>
      </w:r>
      <w:r w:rsidR="00777FF6">
        <w:rPr>
          <w:lang w:eastAsia="zh-CN"/>
        </w:rPr>
        <w:t xml:space="preserve">much </w:t>
      </w:r>
      <w:r w:rsidR="00B6197A">
        <w:rPr>
          <w:lang w:eastAsia="zh-CN"/>
        </w:rPr>
        <w:t xml:space="preserve">higher </w:t>
      </w:r>
      <w:r w:rsidR="00840BD1">
        <w:rPr>
          <w:lang w:eastAsia="zh-CN"/>
        </w:rPr>
        <w:t xml:space="preserve">in </w:t>
      </w:r>
      <w:r w:rsidR="00777FF6">
        <w:rPr>
          <w:lang w:eastAsia="zh-CN"/>
        </w:rPr>
        <w:t xml:space="preserve">the early part of </w:t>
      </w:r>
      <w:r w:rsidR="00840BD1">
        <w:rPr>
          <w:lang w:eastAsia="zh-CN"/>
        </w:rPr>
        <w:t>the year</w:t>
      </w:r>
      <w:r w:rsidR="007F102D">
        <w:rPr>
          <w:lang w:eastAsia="zh-CN"/>
        </w:rPr>
        <w:t xml:space="preserve"> than it was for the same period in 2022</w:t>
      </w:r>
      <w:r w:rsidR="00840BD1">
        <w:rPr>
          <w:lang w:eastAsia="zh-CN"/>
        </w:rPr>
        <w:t xml:space="preserve">, then </w:t>
      </w:r>
      <w:r w:rsidR="00C44C5F">
        <w:rPr>
          <w:lang w:eastAsia="zh-CN"/>
        </w:rPr>
        <w:t>more in line with the previous year’s values</w:t>
      </w:r>
      <w:r w:rsidR="00840BD1">
        <w:rPr>
          <w:lang w:eastAsia="zh-CN"/>
        </w:rPr>
        <w:t xml:space="preserve"> later in the year. I</w:t>
      </w:r>
      <w:r w:rsidR="00B6197A">
        <w:rPr>
          <w:lang w:eastAsia="zh-CN"/>
        </w:rPr>
        <w:t xml:space="preserve">n December 2023, the ADR </w:t>
      </w:r>
      <w:r w:rsidR="00B6197A" w:rsidRPr="00840BD1">
        <w:rPr>
          <w:color w:val="auto"/>
          <w:lang w:eastAsia="zh-CN"/>
        </w:rPr>
        <w:t>was $2</w:t>
      </w:r>
      <w:r w:rsidR="00D22C9D">
        <w:rPr>
          <w:color w:val="auto"/>
          <w:lang w:eastAsia="zh-CN"/>
        </w:rPr>
        <w:t>63</w:t>
      </w:r>
      <w:r w:rsidR="00B6197A" w:rsidRPr="00840BD1">
        <w:rPr>
          <w:color w:val="auto"/>
          <w:lang w:eastAsia="zh-CN"/>
        </w:rPr>
        <w:t xml:space="preserve">, down by </w:t>
      </w:r>
      <w:r w:rsidR="00E60E6C">
        <w:rPr>
          <w:color w:val="auto"/>
          <w:lang w:eastAsia="zh-CN"/>
        </w:rPr>
        <w:t>1</w:t>
      </w:r>
      <w:r w:rsidR="00B6197A" w:rsidRPr="00840BD1">
        <w:rPr>
          <w:color w:val="auto"/>
          <w:lang w:eastAsia="zh-CN"/>
        </w:rPr>
        <w:t>% on the ADR for December 2022 of $265</w:t>
      </w:r>
      <w:r w:rsidR="00B6197A">
        <w:rPr>
          <w:lang w:eastAsia="zh-CN"/>
        </w:rPr>
        <w:t>.</w:t>
      </w:r>
    </w:p>
    <w:p w14:paraId="6F6E0B49" w14:textId="13386364" w:rsidR="00730364" w:rsidRPr="00381F74" w:rsidRDefault="007250AB" w:rsidP="007800B8">
      <w:pPr>
        <w:spacing w:line="300" w:lineRule="atLeast"/>
        <w:rPr>
          <w:color w:val="auto"/>
          <w:lang w:eastAsia="zh-CN"/>
        </w:rPr>
      </w:pPr>
      <w:r>
        <w:rPr>
          <w:lang w:eastAsia="zh-CN"/>
        </w:rPr>
        <w:t xml:space="preserve">On the other hand, revenue per available room (RevPAR) </w:t>
      </w:r>
      <w:r w:rsidR="003D331A">
        <w:rPr>
          <w:lang w:eastAsia="zh-CN"/>
        </w:rPr>
        <w:t xml:space="preserve">was generally stronger </w:t>
      </w:r>
      <w:r w:rsidR="005263CD">
        <w:rPr>
          <w:lang w:eastAsia="zh-CN"/>
        </w:rPr>
        <w:t xml:space="preserve">again in 2023. On average over the year, RevPAR </w:t>
      </w:r>
      <w:r>
        <w:rPr>
          <w:lang w:eastAsia="zh-CN"/>
        </w:rPr>
        <w:t xml:space="preserve">increased </w:t>
      </w:r>
      <w:r w:rsidR="005263CD">
        <w:rPr>
          <w:lang w:eastAsia="zh-CN"/>
        </w:rPr>
        <w:t>by 11%</w:t>
      </w:r>
      <w:r>
        <w:rPr>
          <w:lang w:eastAsia="zh-CN"/>
        </w:rPr>
        <w:t xml:space="preserve"> in 2023, to be </w:t>
      </w:r>
      <w:r w:rsidR="002E219B">
        <w:rPr>
          <w:lang w:eastAsia="zh-CN"/>
        </w:rPr>
        <w:t>19</w:t>
      </w:r>
      <w:r>
        <w:rPr>
          <w:lang w:eastAsia="zh-CN"/>
        </w:rPr>
        <w:t>% above its pre-pandemic level (Figure 2</w:t>
      </w:r>
      <w:r w:rsidR="00EC7261">
        <w:rPr>
          <w:lang w:eastAsia="zh-CN"/>
        </w:rPr>
        <w:t>4</w:t>
      </w:r>
      <w:r>
        <w:rPr>
          <w:lang w:eastAsia="zh-CN"/>
        </w:rPr>
        <w:t>). RevPAR is a closer representation for the earnings of accommodation providers than the room rate, as it adjusts for the occupancy rate</w:t>
      </w:r>
      <w:r w:rsidRPr="00381F74">
        <w:rPr>
          <w:color w:val="auto"/>
          <w:lang w:eastAsia="zh-CN"/>
        </w:rPr>
        <w:t>.</w:t>
      </w:r>
      <w:r w:rsidR="00754EB0" w:rsidRPr="00381F74">
        <w:rPr>
          <w:color w:val="auto"/>
          <w:lang w:eastAsia="zh-CN"/>
        </w:rPr>
        <w:t xml:space="preserve"> Solid occupancy rates along with higher RevPAR are welcome signs of strong demand for accommodation. They also supported the continued investment in Australian accommodation supply (see Investment section of this report).</w:t>
      </w:r>
    </w:p>
    <w:p w14:paraId="6A410674" w14:textId="39F5F3C3" w:rsidR="007800B8" w:rsidRPr="007800B8" w:rsidRDefault="007800B8" w:rsidP="007800B8">
      <w:pPr>
        <w:pStyle w:val="Caption"/>
        <w:spacing w:line="300" w:lineRule="atLeast"/>
        <w:rPr>
          <w:b/>
          <w:bCs/>
          <w:i w:val="0"/>
          <w:iCs w:val="0"/>
          <w:color w:val="000000" w:themeColor="text1"/>
          <w:sz w:val="22"/>
          <w:szCs w:val="22"/>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EC7261">
        <w:rPr>
          <w:b/>
          <w:bCs/>
          <w:i w:val="0"/>
          <w:iCs w:val="0"/>
          <w:noProof/>
          <w:sz w:val="20"/>
          <w:szCs w:val="20"/>
        </w:rPr>
        <w:t>24</w:t>
      </w:r>
      <w:r>
        <w:rPr>
          <w:b/>
          <w:bCs/>
          <w:i w:val="0"/>
          <w:iCs w:val="0"/>
          <w:sz w:val="20"/>
          <w:szCs w:val="20"/>
        </w:rPr>
        <w:fldChar w:fldCharType="end"/>
      </w:r>
      <w:r>
        <w:rPr>
          <w:b/>
          <w:bCs/>
          <w:i w:val="0"/>
          <w:iCs w:val="0"/>
          <w:sz w:val="20"/>
          <w:szCs w:val="20"/>
        </w:rPr>
        <w:t xml:space="preserve">. </w:t>
      </w:r>
      <w:r w:rsidRPr="007800B8">
        <w:rPr>
          <w:i w:val="0"/>
          <w:iCs w:val="0"/>
          <w:sz w:val="20"/>
          <w:szCs w:val="20"/>
        </w:rPr>
        <w:t>Average daily room rate and revenue</w:t>
      </w:r>
      <w:r>
        <w:rPr>
          <w:i w:val="0"/>
          <w:iCs w:val="0"/>
          <w:sz w:val="20"/>
          <w:szCs w:val="20"/>
        </w:rPr>
        <w:t xml:space="preserve"> per available room, 2019 to 2023.</w:t>
      </w:r>
    </w:p>
    <w:p w14:paraId="603CCA19" w14:textId="1A440B3A" w:rsidR="002E219B" w:rsidRDefault="00DB7C07" w:rsidP="007800B8">
      <w:pPr>
        <w:spacing w:line="300" w:lineRule="atLeast"/>
        <w:rPr>
          <w:lang w:eastAsia="zh-CN"/>
        </w:rPr>
      </w:pPr>
      <w:r w:rsidRPr="00DB7C07">
        <w:rPr>
          <w:noProof/>
        </w:rPr>
        <w:drawing>
          <wp:inline distT="0" distB="0" distL="0" distR="0" wp14:anchorId="31DEB352" wp14:editId="5EAC430C">
            <wp:extent cx="6329680" cy="3638550"/>
            <wp:effectExtent l="0" t="0" r="0" b="0"/>
            <wp:docPr id="1338579421" name="Picture 6" descr="Figure 24 shows a line chart with 2 series, the average daily room rate ($) and the revenue per available room (RevPAR, $) from January 2019 to December 2023. There are also dashed lines to indicate the average rate for the year for 2019, 2022 and 2023 which shows that both ADR and RevPAR were higher on average in 2023 than in 2022 and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79421" name="Picture 6" descr="Figure 24 shows a line chart with 2 series, the average daily room rate ($) and the revenue per available room (RevPAR, $) from January 2019 to December 2023. There are also dashed lines to indicate the average rate for the year for 2019, 2022 and 2023 which shows that both ADR and RevPAR were higher on average in 2023 than in 2022 and in 2019.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29680" cy="3638550"/>
                    </a:xfrm>
                    <a:prstGeom prst="rect">
                      <a:avLst/>
                    </a:prstGeom>
                    <a:noFill/>
                    <a:ln>
                      <a:noFill/>
                    </a:ln>
                  </pic:spPr>
                </pic:pic>
              </a:graphicData>
            </a:graphic>
          </wp:inline>
        </w:drawing>
      </w:r>
    </w:p>
    <w:p w14:paraId="17D6BBCD" w14:textId="428176EB" w:rsidR="00EF0E21" w:rsidRDefault="00EF0E21" w:rsidP="00EF0E21">
      <w:pPr>
        <w:pStyle w:val="Heading4"/>
      </w:pPr>
      <w:r>
        <w:t>By class of accommodation</w:t>
      </w:r>
      <w:r w:rsidR="00C65B41">
        <w:t xml:space="preserve"> establishment</w:t>
      </w:r>
    </w:p>
    <w:p w14:paraId="46099CC2" w14:textId="2E6F1B38" w:rsidR="0044235F" w:rsidRDefault="0044235F" w:rsidP="007800B8">
      <w:pPr>
        <w:spacing w:line="300" w:lineRule="atLeast"/>
        <w:rPr>
          <w:lang w:eastAsia="zh-CN"/>
        </w:rPr>
      </w:pPr>
      <w:r>
        <w:rPr>
          <w:lang w:eastAsia="zh-CN"/>
        </w:rPr>
        <w:t>By accommodation class,</w:t>
      </w:r>
      <w:r w:rsidR="2EA6955D" w:rsidRPr="46CF211A">
        <w:rPr>
          <w:lang w:eastAsia="zh-CN"/>
        </w:rPr>
        <w:t xml:space="preserve"> </w:t>
      </w:r>
      <w:r w:rsidR="5160DCAE" w:rsidRPr="0282C387">
        <w:rPr>
          <w:lang w:eastAsia="zh-CN"/>
        </w:rPr>
        <w:t xml:space="preserve">a </w:t>
      </w:r>
      <w:r w:rsidR="22A0456E" w:rsidRPr="46CF211A">
        <w:rPr>
          <w:lang w:eastAsia="zh-CN"/>
        </w:rPr>
        <w:t>net increase</w:t>
      </w:r>
      <w:r>
        <w:rPr>
          <w:lang w:eastAsia="zh-CN"/>
        </w:rPr>
        <w:t xml:space="preserve"> </w:t>
      </w:r>
      <w:r w:rsidR="009653FA">
        <w:rPr>
          <w:lang w:eastAsia="zh-CN"/>
        </w:rPr>
        <w:t xml:space="preserve">of </w:t>
      </w:r>
      <w:r w:rsidR="009653FA" w:rsidRPr="46CF211A">
        <w:rPr>
          <w:lang w:eastAsia="zh-CN"/>
        </w:rPr>
        <w:t>4</w:t>
      </w:r>
      <w:r w:rsidR="00CB42EE">
        <w:rPr>
          <w:lang w:eastAsia="zh-CN"/>
        </w:rPr>
        <w:t>81</w:t>
      </w:r>
      <w:r>
        <w:rPr>
          <w:lang w:eastAsia="zh-CN"/>
        </w:rPr>
        <w:t xml:space="preserve"> to the supply of </w:t>
      </w:r>
      <w:r w:rsidR="00C90B2A">
        <w:rPr>
          <w:lang w:eastAsia="zh-CN"/>
        </w:rPr>
        <w:t>‘</w:t>
      </w:r>
      <w:r w:rsidR="6478883D" w:rsidRPr="733CC559">
        <w:rPr>
          <w:lang w:eastAsia="zh-CN"/>
        </w:rPr>
        <w:t>m</w:t>
      </w:r>
      <w:r w:rsidRPr="733CC559">
        <w:rPr>
          <w:lang w:eastAsia="zh-CN"/>
        </w:rPr>
        <w:t>idscale</w:t>
      </w:r>
      <w:r>
        <w:rPr>
          <w:lang w:eastAsia="zh-CN"/>
        </w:rPr>
        <w:t xml:space="preserve"> and </w:t>
      </w:r>
      <w:r w:rsidR="2296C451" w:rsidRPr="733CC559">
        <w:rPr>
          <w:lang w:eastAsia="zh-CN"/>
        </w:rPr>
        <w:t>e</w:t>
      </w:r>
      <w:r w:rsidRPr="733CC559">
        <w:rPr>
          <w:lang w:eastAsia="zh-CN"/>
        </w:rPr>
        <w:t>conomy</w:t>
      </w:r>
      <w:r w:rsidR="00C90B2A">
        <w:rPr>
          <w:lang w:eastAsia="zh-CN"/>
        </w:rPr>
        <w:t>’</w:t>
      </w:r>
      <w:r>
        <w:rPr>
          <w:lang w:eastAsia="zh-CN"/>
        </w:rPr>
        <w:t xml:space="preserve"> class accommodation establishments accounted for much of the growth in total supply over the period from 2019 to 2023. The number of ‘</w:t>
      </w:r>
      <w:r w:rsidR="04AAF6F0" w:rsidRPr="78F5858E">
        <w:rPr>
          <w:lang w:eastAsia="zh-CN"/>
        </w:rPr>
        <w:t>l</w:t>
      </w:r>
      <w:r w:rsidRPr="78F5858E">
        <w:rPr>
          <w:lang w:eastAsia="zh-CN"/>
        </w:rPr>
        <w:t>uxury</w:t>
      </w:r>
      <w:r w:rsidR="0085438A">
        <w:rPr>
          <w:lang w:eastAsia="zh-CN"/>
        </w:rPr>
        <w:t xml:space="preserve"> </w:t>
      </w:r>
      <w:r w:rsidR="14E4D402" w:rsidRPr="28EEA3E0">
        <w:rPr>
          <w:lang w:eastAsia="zh-CN"/>
        </w:rPr>
        <w:t xml:space="preserve">and </w:t>
      </w:r>
      <w:r w:rsidR="00A835D1">
        <w:rPr>
          <w:lang w:eastAsia="zh-CN"/>
        </w:rPr>
        <w:t>upper</w:t>
      </w:r>
      <w:r w:rsidRPr="28EEA3E0">
        <w:rPr>
          <w:lang w:eastAsia="zh-CN"/>
        </w:rPr>
        <w:t xml:space="preserve"> </w:t>
      </w:r>
      <w:r w:rsidR="1C5A9BC9" w:rsidRPr="78F5858E">
        <w:rPr>
          <w:lang w:eastAsia="zh-CN"/>
        </w:rPr>
        <w:t>up</w:t>
      </w:r>
      <w:r w:rsidRPr="78F5858E">
        <w:rPr>
          <w:lang w:eastAsia="zh-CN"/>
        </w:rPr>
        <w:t>scale</w:t>
      </w:r>
      <w:r w:rsidR="00C90B2A">
        <w:rPr>
          <w:lang w:eastAsia="zh-CN"/>
        </w:rPr>
        <w:t>’</w:t>
      </w:r>
      <w:r>
        <w:rPr>
          <w:lang w:eastAsia="zh-CN"/>
        </w:rPr>
        <w:t xml:space="preserve"> establishments also increased over this period</w:t>
      </w:r>
      <w:r w:rsidR="00DA1F40">
        <w:rPr>
          <w:lang w:eastAsia="zh-CN"/>
        </w:rPr>
        <w:t xml:space="preserve"> by </w:t>
      </w:r>
      <w:r w:rsidR="00381978">
        <w:rPr>
          <w:lang w:eastAsia="zh-CN"/>
        </w:rPr>
        <w:t>4</w:t>
      </w:r>
      <w:r w:rsidR="00CB42EE">
        <w:rPr>
          <w:lang w:eastAsia="zh-CN"/>
        </w:rPr>
        <w:t>7</w:t>
      </w:r>
      <w:r w:rsidR="007A5679">
        <w:rPr>
          <w:lang w:eastAsia="zh-CN"/>
        </w:rPr>
        <w:t xml:space="preserve"> properties</w:t>
      </w:r>
      <w:r>
        <w:rPr>
          <w:lang w:eastAsia="zh-CN"/>
        </w:rPr>
        <w:t>, while the number of ‘</w:t>
      </w:r>
      <w:r w:rsidR="00C90B2A">
        <w:rPr>
          <w:lang w:eastAsia="zh-CN"/>
        </w:rPr>
        <w:t>u</w:t>
      </w:r>
      <w:r>
        <w:rPr>
          <w:lang w:eastAsia="zh-CN"/>
        </w:rPr>
        <w:t xml:space="preserve">pscale and </w:t>
      </w:r>
      <w:r w:rsidR="00C90B2A">
        <w:rPr>
          <w:lang w:eastAsia="zh-CN"/>
        </w:rPr>
        <w:t>u</w:t>
      </w:r>
      <w:r>
        <w:rPr>
          <w:lang w:eastAsia="zh-CN"/>
        </w:rPr>
        <w:t xml:space="preserve">pper </w:t>
      </w:r>
      <w:r w:rsidR="00C90B2A">
        <w:rPr>
          <w:lang w:eastAsia="zh-CN"/>
        </w:rPr>
        <w:t>m</w:t>
      </w:r>
      <w:r>
        <w:rPr>
          <w:lang w:eastAsia="zh-CN"/>
        </w:rPr>
        <w:t>idscale’ establishments declined</w:t>
      </w:r>
      <w:r w:rsidR="00DA1F40">
        <w:rPr>
          <w:lang w:eastAsia="zh-CN"/>
        </w:rPr>
        <w:t xml:space="preserve"> by</w:t>
      </w:r>
      <w:r w:rsidR="007A5679">
        <w:rPr>
          <w:lang w:eastAsia="zh-CN"/>
        </w:rPr>
        <w:t xml:space="preserve"> </w:t>
      </w:r>
      <w:r w:rsidR="00CB42EE">
        <w:rPr>
          <w:lang w:eastAsia="zh-CN"/>
        </w:rPr>
        <w:t>99</w:t>
      </w:r>
      <w:r w:rsidR="007A5679">
        <w:rPr>
          <w:lang w:eastAsia="zh-CN"/>
        </w:rPr>
        <w:t xml:space="preserve"> properties</w:t>
      </w:r>
      <w:r>
        <w:rPr>
          <w:lang w:eastAsia="zh-CN"/>
        </w:rPr>
        <w:t>.</w:t>
      </w:r>
    </w:p>
    <w:p w14:paraId="4EF8492E" w14:textId="47FA5493" w:rsidR="00AC28D8" w:rsidRDefault="00A45B3F" w:rsidP="007800B8">
      <w:pPr>
        <w:spacing w:line="300" w:lineRule="atLeast"/>
        <w:rPr>
          <w:lang w:eastAsia="zh-CN"/>
        </w:rPr>
      </w:pPr>
      <w:r>
        <w:rPr>
          <w:lang w:eastAsia="zh-CN"/>
        </w:rPr>
        <w:t xml:space="preserve">The trends </w:t>
      </w:r>
      <w:r w:rsidR="00736F17">
        <w:rPr>
          <w:lang w:eastAsia="zh-CN"/>
        </w:rPr>
        <w:t xml:space="preserve">discussed above in </w:t>
      </w:r>
      <w:r w:rsidR="00976116">
        <w:rPr>
          <w:lang w:eastAsia="zh-CN"/>
        </w:rPr>
        <w:t xml:space="preserve">occupancy rate, </w:t>
      </w:r>
      <w:r w:rsidR="005A41E3">
        <w:rPr>
          <w:lang w:eastAsia="zh-CN"/>
        </w:rPr>
        <w:t xml:space="preserve">ADR and RevPAR </w:t>
      </w:r>
      <w:r>
        <w:rPr>
          <w:lang w:eastAsia="zh-CN"/>
        </w:rPr>
        <w:t>were similar across the 3 accommodation class</w:t>
      </w:r>
      <w:r w:rsidR="00E46C66">
        <w:rPr>
          <w:lang w:eastAsia="zh-CN"/>
        </w:rPr>
        <w:t xml:space="preserve"> group</w:t>
      </w:r>
      <w:r>
        <w:rPr>
          <w:lang w:eastAsia="zh-CN"/>
        </w:rPr>
        <w:t>s</w:t>
      </w:r>
      <w:r w:rsidR="008E07D3">
        <w:rPr>
          <w:lang w:eastAsia="zh-CN"/>
        </w:rPr>
        <w:t xml:space="preserve"> in 2023</w:t>
      </w:r>
      <w:r>
        <w:rPr>
          <w:lang w:eastAsia="zh-CN"/>
        </w:rPr>
        <w:t>. Occupancy rates</w:t>
      </w:r>
      <w:r w:rsidR="00907B81">
        <w:rPr>
          <w:lang w:eastAsia="zh-CN"/>
        </w:rPr>
        <w:t xml:space="preserve">, the year-average ADR and </w:t>
      </w:r>
      <w:r w:rsidR="00C36E3F">
        <w:rPr>
          <w:lang w:eastAsia="zh-CN"/>
        </w:rPr>
        <w:t xml:space="preserve">RevPAR increased </w:t>
      </w:r>
      <w:r w:rsidR="00907B81">
        <w:rPr>
          <w:lang w:eastAsia="zh-CN"/>
        </w:rPr>
        <w:t xml:space="preserve">for all </w:t>
      </w:r>
      <w:r w:rsidR="00A449B3">
        <w:rPr>
          <w:lang w:eastAsia="zh-CN"/>
        </w:rPr>
        <w:t>3 accommodation classes in 2023 relative to the previous year, while the ADR was lower at the end of the year compared to the same time the previous year</w:t>
      </w:r>
      <w:r w:rsidR="003A1D7F">
        <w:rPr>
          <w:lang w:eastAsia="zh-CN"/>
        </w:rPr>
        <w:t xml:space="preserve"> for ‘</w:t>
      </w:r>
      <w:r w:rsidR="003A1D7F" w:rsidRPr="733CC559">
        <w:rPr>
          <w:lang w:eastAsia="zh-CN"/>
        </w:rPr>
        <w:t>midscale</w:t>
      </w:r>
      <w:r w:rsidR="003A1D7F">
        <w:rPr>
          <w:lang w:eastAsia="zh-CN"/>
        </w:rPr>
        <w:t xml:space="preserve"> and </w:t>
      </w:r>
      <w:r w:rsidR="003A1D7F" w:rsidRPr="733CC559">
        <w:rPr>
          <w:lang w:eastAsia="zh-CN"/>
        </w:rPr>
        <w:t>economy</w:t>
      </w:r>
      <w:r w:rsidR="003A1D7F">
        <w:rPr>
          <w:lang w:eastAsia="zh-CN"/>
        </w:rPr>
        <w:t>’ class and ‘upscale and upper midscale’ establishments</w:t>
      </w:r>
      <w:r w:rsidR="00A449B3">
        <w:rPr>
          <w:lang w:eastAsia="zh-CN"/>
        </w:rPr>
        <w:t xml:space="preserve">. </w:t>
      </w:r>
      <w:r w:rsidR="00E33C89">
        <w:rPr>
          <w:lang w:eastAsia="zh-CN"/>
        </w:rPr>
        <w:t>On average over</w:t>
      </w:r>
      <w:r w:rsidR="006D2FE2">
        <w:rPr>
          <w:lang w:eastAsia="zh-CN"/>
        </w:rPr>
        <w:t xml:space="preserve"> 2023, for</w:t>
      </w:r>
      <w:r w:rsidR="00E33C89">
        <w:rPr>
          <w:lang w:eastAsia="zh-CN"/>
        </w:rPr>
        <w:t xml:space="preserve"> the</w:t>
      </w:r>
      <w:r w:rsidR="006D2FE2">
        <w:rPr>
          <w:lang w:eastAsia="zh-CN"/>
        </w:rPr>
        <w:t>:</w:t>
      </w:r>
    </w:p>
    <w:p w14:paraId="67DD5002" w14:textId="2ABFD1BD" w:rsidR="006D2FE2" w:rsidRDefault="006D5E9B" w:rsidP="00043CB2">
      <w:pPr>
        <w:pStyle w:val="BulletList"/>
        <w:rPr>
          <w:lang w:eastAsia="zh-CN"/>
        </w:rPr>
      </w:pPr>
      <w:r>
        <w:rPr>
          <w:lang w:eastAsia="zh-CN"/>
        </w:rPr>
        <w:t>l</w:t>
      </w:r>
      <w:r w:rsidR="006D2FE2">
        <w:rPr>
          <w:lang w:eastAsia="zh-CN"/>
        </w:rPr>
        <w:t xml:space="preserve">uxury </w:t>
      </w:r>
      <w:r>
        <w:rPr>
          <w:lang w:eastAsia="zh-CN"/>
        </w:rPr>
        <w:t xml:space="preserve">class group, the occupancy rate was </w:t>
      </w:r>
      <w:r w:rsidR="001C77D7">
        <w:rPr>
          <w:lang w:eastAsia="zh-CN"/>
        </w:rPr>
        <w:t>6</w:t>
      </w:r>
      <w:r w:rsidR="00E33C89">
        <w:rPr>
          <w:lang w:eastAsia="zh-CN"/>
        </w:rPr>
        <w:t> percentage points higher</w:t>
      </w:r>
      <w:r w:rsidR="0013176A">
        <w:rPr>
          <w:lang w:eastAsia="zh-CN"/>
        </w:rPr>
        <w:t xml:space="preserve">, the ADR was </w:t>
      </w:r>
      <w:r w:rsidR="001C77D7">
        <w:rPr>
          <w:lang w:eastAsia="zh-CN"/>
        </w:rPr>
        <w:t>3</w:t>
      </w:r>
      <w:r w:rsidR="0013176A">
        <w:rPr>
          <w:lang w:eastAsia="zh-CN"/>
        </w:rPr>
        <w:t xml:space="preserve">% higher and RevPAR was </w:t>
      </w:r>
      <w:r w:rsidR="00D667ED">
        <w:rPr>
          <w:lang w:eastAsia="zh-CN"/>
        </w:rPr>
        <w:t xml:space="preserve">13% </w:t>
      </w:r>
      <w:proofErr w:type="gramStart"/>
      <w:r w:rsidR="00D667ED">
        <w:rPr>
          <w:lang w:eastAsia="zh-CN"/>
        </w:rPr>
        <w:t>higher</w:t>
      </w:r>
      <w:proofErr w:type="gramEnd"/>
    </w:p>
    <w:p w14:paraId="2D7073BD" w14:textId="17D2575C" w:rsidR="008508BD" w:rsidRDefault="00D667ED" w:rsidP="00043CB2">
      <w:pPr>
        <w:pStyle w:val="BulletList"/>
        <w:rPr>
          <w:lang w:eastAsia="zh-CN"/>
        </w:rPr>
      </w:pPr>
      <w:r>
        <w:rPr>
          <w:lang w:eastAsia="zh-CN"/>
        </w:rPr>
        <w:lastRenderedPageBreak/>
        <w:t>upper class group, the occupancy rate was</w:t>
      </w:r>
      <w:r w:rsidR="008508BD">
        <w:rPr>
          <w:lang w:eastAsia="zh-CN"/>
        </w:rPr>
        <w:t xml:space="preserve"> </w:t>
      </w:r>
      <w:r w:rsidR="001C77D7">
        <w:rPr>
          <w:lang w:eastAsia="zh-CN"/>
        </w:rPr>
        <w:t>3</w:t>
      </w:r>
      <w:r w:rsidR="008508BD">
        <w:rPr>
          <w:lang w:eastAsia="zh-CN"/>
        </w:rPr>
        <w:t xml:space="preserve"> percentage points higher, the ADR was 3% higher and RevPAR was </w:t>
      </w:r>
      <w:r w:rsidR="001C77D7">
        <w:rPr>
          <w:lang w:eastAsia="zh-CN"/>
        </w:rPr>
        <w:t>8</w:t>
      </w:r>
      <w:r w:rsidR="008508BD">
        <w:rPr>
          <w:lang w:eastAsia="zh-CN"/>
        </w:rPr>
        <w:t xml:space="preserve">% </w:t>
      </w:r>
      <w:proofErr w:type="gramStart"/>
      <w:r w:rsidR="008508BD">
        <w:rPr>
          <w:lang w:eastAsia="zh-CN"/>
        </w:rPr>
        <w:t>higher</w:t>
      </w:r>
      <w:proofErr w:type="gramEnd"/>
    </w:p>
    <w:p w14:paraId="62C31A8C" w14:textId="3E64A336" w:rsidR="00D667ED" w:rsidRDefault="008508BD" w:rsidP="00043CB2">
      <w:pPr>
        <w:pStyle w:val="BulletList"/>
        <w:rPr>
          <w:lang w:eastAsia="zh-CN"/>
        </w:rPr>
      </w:pPr>
      <w:r>
        <w:rPr>
          <w:lang w:eastAsia="zh-CN"/>
        </w:rPr>
        <w:t xml:space="preserve">economy class group, the occupancy rate was </w:t>
      </w:r>
      <w:r w:rsidR="00B03F76">
        <w:rPr>
          <w:lang w:eastAsia="zh-CN"/>
        </w:rPr>
        <w:t>4</w:t>
      </w:r>
      <w:r>
        <w:rPr>
          <w:lang w:eastAsia="zh-CN"/>
        </w:rPr>
        <w:t xml:space="preserve"> percentage points higher, the ADR was </w:t>
      </w:r>
      <w:r w:rsidR="00E653D0">
        <w:rPr>
          <w:lang w:eastAsia="zh-CN"/>
        </w:rPr>
        <w:t>5</w:t>
      </w:r>
      <w:r>
        <w:rPr>
          <w:lang w:eastAsia="zh-CN"/>
        </w:rPr>
        <w:t>% higher and RevPAR was 1</w:t>
      </w:r>
      <w:r w:rsidR="00B03F76">
        <w:rPr>
          <w:lang w:eastAsia="zh-CN"/>
        </w:rPr>
        <w:t>1</w:t>
      </w:r>
      <w:r>
        <w:rPr>
          <w:lang w:eastAsia="zh-CN"/>
        </w:rPr>
        <w:t>% higher</w:t>
      </w:r>
      <w:r w:rsidR="00B03F76">
        <w:rPr>
          <w:lang w:eastAsia="zh-CN"/>
        </w:rPr>
        <w:t>.</w:t>
      </w:r>
    </w:p>
    <w:p w14:paraId="580FBEA3" w14:textId="21F40F09" w:rsidR="00C25B11" w:rsidRDefault="00B5454F" w:rsidP="007250AB">
      <w:pPr>
        <w:rPr>
          <w:lang w:eastAsia="zh-CN"/>
        </w:rPr>
      </w:pPr>
      <w:r>
        <w:rPr>
          <w:lang w:eastAsia="zh-CN"/>
        </w:rPr>
        <w:t>T</w:t>
      </w:r>
      <w:r w:rsidR="00C25B11">
        <w:rPr>
          <w:lang w:eastAsia="zh-CN"/>
        </w:rPr>
        <w:t>he average gap in RevPAR for luxury class over the other classes was</w:t>
      </w:r>
      <w:r w:rsidR="00832F34">
        <w:rPr>
          <w:lang w:eastAsia="zh-CN"/>
        </w:rPr>
        <w:t xml:space="preserve"> </w:t>
      </w:r>
      <w:r w:rsidR="00E606DB">
        <w:rPr>
          <w:lang w:eastAsia="zh-CN"/>
        </w:rPr>
        <w:t xml:space="preserve">broadly </w:t>
      </w:r>
      <w:r w:rsidR="00C25B11">
        <w:rPr>
          <w:lang w:eastAsia="zh-CN"/>
        </w:rPr>
        <w:t>re-established</w:t>
      </w:r>
      <w:r w:rsidRPr="00B5454F">
        <w:rPr>
          <w:lang w:eastAsia="zh-CN"/>
        </w:rPr>
        <w:t xml:space="preserve"> </w:t>
      </w:r>
      <w:r>
        <w:rPr>
          <w:lang w:eastAsia="zh-CN"/>
        </w:rPr>
        <w:t>in 2023,</w:t>
      </w:r>
      <w:r w:rsidR="00C25B11">
        <w:rPr>
          <w:lang w:eastAsia="zh-CN"/>
        </w:rPr>
        <w:t xml:space="preserve"> after room rates for the luxury class had declined by much more early in the pandemic</w:t>
      </w:r>
      <w:r w:rsidR="00303862">
        <w:rPr>
          <w:lang w:eastAsia="zh-CN"/>
        </w:rPr>
        <w:t xml:space="preserve"> (Figure 2</w:t>
      </w:r>
      <w:r w:rsidR="00B514A5">
        <w:rPr>
          <w:lang w:eastAsia="zh-CN"/>
        </w:rPr>
        <w:t>5</w:t>
      </w:r>
      <w:r w:rsidR="00303862">
        <w:rPr>
          <w:lang w:eastAsia="zh-CN"/>
        </w:rPr>
        <w:t>)</w:t>
      </w:r>
      <w:r w:rsidR="00C25B11">
        <w:rPr>
          <w:lang w:eastAsia="zh-CN"/>
        </w:rPr>
        <w:t>.</w:t>
      </w:r>
      <w:r w:rsidR="00FB22EA">
        <w:rPr>
          <w:lang w:eastAsia="zh-CN"/>
        </w:rPr>
        <w:t xml:space="preserve"> </w:t>
      </w:r>
      <w:r w:rsidR="00E606DB">
        <w:rPr>
          <w:lang w:eastAsia="zh-CN"/>
        </w:rPr>
        <w:t xml:space="preserve">The average gap in RevPAR for </w:t>
      </w:r>
      <w:r w:rsidR="00214927">
        <w:rPr>
          <w:lang w:eastAsia="zh-CN"/>
        </w:rPr>
        <w:t xml:space="preserve">the midclass over the economy class increased above the pre-pandemic average in 2022 and increased further in 2023. </w:t>
      </w:r>
    </w:p>
    <w:p w14:paraId="5FA949AC" w14:textId="10F037CE" w:rsidR="00730364" w:rsidRDefault="00730364" w:rsidP="00730364">
      <w:pPr>
        <w:pStyle w:val="Caption"/>
        <w:spacing w:line="300" w:lineRule="atLeast"/>
        <w:rPr>
          <w:b/>
          <w:bCs/>
          <w:i w:val="0"/>
          <w:iCs w:val="0"/>
          <w:color w:val="000000" w:themeColor="text1"/>
          <w:sz w:val="22"/>
          <w:szCs w:val="22"/>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B514A5">
        <w:rPr>
          <w:b/>
          <w:bCs/>
          <w:i w:val="0"/>
          <w:iCs w:val="0"/>
          <w:noProof/>
          <w:sz w:val="20"/>
          <w:szCs w:val="20"/>
        </w:rPr>
        <w:t>25</w:t>
      </w:r>
      <w:r>
        <w:rPr>
          <w:b/>
          <w:bCs/>
          <w:i w:val="0"/>
          <w:iCs w:val="0"/>
          <w:sz w:val="20"/>
          <w:szCs w:val="20"/>
        </w:rPr>
        <w:fldChar w:fldCharType="end"/>
      </w:r>
      <w:r>
        <w:rPr>
          <w:b/>
          <w:bCs/>
          <w:i w:val="0"/>
          <w:iCs w:val="0"/>
          <w:sz w:val="20"/>
          <w:szCs w:val="20"/>
        </w:rPr>
        <w:t xml:space="preserve">. </w:t>
      </w:r>
      <w:r>
        <w:rPr>
          <w:i w:val="0"/>
          <w:iCs w:val="0"/>
          <w:sz w:val="20"/>
          <w:szCs w:val="20"/>
        </w:rPr>
        <w:t xml:space="preserve">Revenue per available room by accommodation class, </w:t>
      </w:r>
      <w:r w:rsidR="00D9345A">
        <w:rPr>
          <w:i w:val="0"/>
          <w:iCs w:val="0"/>
          <w:sz w:val="20"/>
          <w:szCs w:val="20"/>
        </w:rPr>
        <w:t xml:space="preserve">monthly data, January </w:t>
      </w:r>
      <w:r>
        <w:rPr>
          <w:i w:val="0"/>
          <w:iCs w:val="0"/>
          <w:sz w:val="20"/>
          <w:szCs w:val="20"/>
        </w:rPr>
        <w:t xml:space="preserve">2018 to </w:t>
      </w:r>
      <w:r w:rsidR="00D9345A">
        <w:rPr>
          <w:i w:val="0"/>
          <w:iCs w:val="0"/>
          <w:sz w:val="20"/>
          <w:szCs w:val="20"/>
        </w:rPr>
        <w:t xml:space="preserve">December </w:t>
      </w:r>
      <w:r>
        <w:rPr>
          <w:i w:val="0"/>
          <w:iCs w:val="0"/>
          <w:sz w:val="20"/>
          <w:szCs w:val="20"/>
        </w:rPr>
        <w:t>202</w:t>
      </w:r>
      <w:r w:rsidR="00D9345A">
        <w:rPr>
          <w:i w:val="0"/>
          <w:iCs w:val="0"/>
          <w:sz w:val="20"/>
          <w:szCs w:val="20"/>
        </w:rPr>
        <w:t>3</w:t>
      </w:r>
      <w:r>
        <w:rPr>
          <w:i w:val="0"/>
          <w:iCs w:val="0"/>
          <w:sz w:val="20"/>
          <w:szCs w:val="20"/>
        </w:rPr>
        <w:t>.</w:t>
      </w:r>
    </w:p>
    <w:p w14:paraId="70008989" w14:textId="3D1B27B0" w:rsidR="00730364" w:rsidRDefault="000A212D" w:rsidP="00730364">
      <w:pPr>
        <w:spacing w:line="300" w:lineRule="atLeast"/>
        <w:rPr>
          <w:lang w:eastAsia="zh-CN"/>
        </w:rPr>
      </w:pPr>
      <w:r w:rsidRPr="000A212D">
        <w:rPr>
          <w:noProof/>
        </w:rPr>
        <w:drawing>
          <wp:inline distT="0" distB="0" distL="0" distR="0" wp14:anchorId="2ED7A2AD" wp14:editId="174C6B38">
            <wp:extent cx="6329680" cy="3892550"/>
            <wp:effectExtent l="0" t="0" r="0" b="0"/>
            <wp:docPr id="1388416933" name="Picture 7" descr="Figure 25 shows a line chart with 3 series showing the monthly RevPAR ($) for 3 accommodation classes: Luxury class, Upper/mid class, and Economy class from January 2018 to December 2023. RevPAR for all 3 categories was above the pre-pandemic level in the month of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16933" name="Picture 7" descr="Figure 25 shows a line chart with 3 series showing the monthly RevPAR ($) for 3 accommodation classes: Luxury class, Upper/mid class, and Economy class from January 2018 to December 2023. RevPAR for all 3 categories was above the pre-pandemic level in the month of December 20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9680" cy="3892550"/>
                    </a:xfrm>
                    <a:prstGeom prst="rect">
                      <a:avLst/>
                    </a:prstGeom>
                    <a:noFill/>
                    <a:ln>
                      <a:noFill/>
                    </a:ln>
                  </pic:spPr>
                </pic:pic>
              </a:graphicData>
            </a:graphic>
          </wp:inline>
        </w:drawing>
      </w:r>
    </w:p>
    <w:p w14:paraId="5CA75DAC" w14:textId="5BABD64D" w:rsidR="00E021C8" w:rsidRDefault="00BA0140" w:rsidP="00A526B2">
      <w:pPr>
        <w:spacing w:line="300" w:lineRule="atLeast"/>
        <w:rPr>
          <w:lang w:eastAsia="zh-CN"/>
        </w:rPr>
      </w:pPr>
      <w:r>
        <w:rPr>
          <w:lang w:eastAsia="zh-CN"/>
        </w:rPr>
        <w:t>The average occupancy rate in 202</w:t>
      </w:r>
      <w:r w:rsidR="002B08D0">
        <w:rPr>
          <w:lang w:eastAsia="zh-CN"/>
        </w:rPr>
        <w:t>3</w:t>
      </w:r>
      <w:r>
        <w:rPr>
          <w:lang w:eastAsia="zh-CN"/>
        </w:rPr>
        <w:t xml:space="preserve"> increased </w:t>
      </w:r>
      <w:r w:rsidR="00FF4BBB">
        <w:rPr>
          <w:lang w:eastAsia="zh-CN"/>
        </w:rPr>
        <w:t>markedly</w:t>
      </w:r>
      <w:r w:rsidR="00B87435">
        <w:rPr>
          <w:lang w:eastAsia="zh-CN"/>
        </w:rPr>
        <w:t xml:space="preserve"> in</w:t>
      </w:r>
      <w:r w:rsidR="00A526B2">
        <w:rPr>
          <w:lang w:eastAsia="zh-CN"/>
        </w:rPr>
        <w:t xml:space="preserve"> New South Wales, Western Australia and Victoria</w:t>
      </w:r>
      <w:r w:rsidR="00B54E05">
        <w:rPr>
          <w:lang w:eastAsia="zh-CN"/>
        </w:rPr>
        <w:t xml:space="preserve"> </w:t>
      </w:r>
      <w:r w:rsidR="00C87058">
        <w:rPr>
          <w:lang w:eastAsia="zh-CN"/>
        </w:rPr>
        <w:t xml:space="preserve">compared to the previous year </w:t>
      </w:r>
      <w:r w:rsidR="00B54E05">
        <w:rPr>
          <w:lang w:eastAsia="zh-CN"/>
        </w:rPr>
        <w:t>(Figure 2</w:t>
      </w:r>
      <w:r w:rsidR="002D6F5C">
        <w:rPr>
          <w:lang w:eastAsia="zh-CN"/>
        </w:rPr>
        <w:t>6</w:t>
      </w:r>
      <w:r w:rsidR="00D416FF">
        <w:rPr>
          <w:lang w:eastAsia="zh-CN"/>
        </w:rPr>
        <w:t>, top panel</w:t>
      </w:r>
      <w:r w:rsidR="00B54E05">
        <w:rPr>
          <w:lang w:eastAsia="zh-CN"/>
        </w:rPr>
        <w:t>)</w:t>
      </w:r>
      <w:r w:rsidR="00A526B2">
        <w:rPr>
          <w:lang w:eastAsia="zh-CN"/>
        </w:rPr>
        <w:t xml:space="preserve">. </w:t>
      </w:r>
      <w:r w:rsidR="0083330E">
        <w:rPr>
          <w:lang w:eastAsia="zh-CN"/>
        </w:rPr>
        <w:t>Conversely, the average occupancy rate in 2023</w:t>
      </w:r>
      <w:r w:rsidR="0083330E" w:rsidRPr="0083330E">
        <w:rPr>
          <w:lang w:eastAsia="zh-CN"/>
        </w:rPr>
        <w:t xml:space="preserve"> </w:t>
      </w:r>
      <w:r w:rsidR="0083330E">
        <w:rPr>
          <w:lang w:eastAsia="zh-CN"/>
        </w:rPr>
        <w:t xml:space="preserve">declined in Tasmania and the Northern Territory compared with 2022, </w:t>
      </w:r>
      <w:r w:rsidR="007C070B">
        <w:rPr>
          <w:lang w:eastAsia="zh-CN"/>
        </w:rPr>
        <w:t>which offset some of</w:t>
      </w:r>
      <w:r w:rsidR="0083330E">
        <w:rPr>
          <w:lang w:eastAsia="zh-CN"/>
        </w:rPr>
        <w:t xml:space="preserve"> the strong bounce back in travel there in 2022 immediately following the most challenging part of the pandemic</w:t>
      </w:r>
      <w:r w:rsidR="007C070B">
        <w:rPr>
          <w:lang w:eastAsia="zh-CN"/>
        </w:rPr>
        <w:t xml:space="preserve">. </w:t>
      </w:r>
      <w:r w:rsidR="00697BE5">
        <w:rPr>
          <w:lang w:eastAsia="zh-CN"/>
        </w:rPr>
        <w:t xml:space="preserve">The average occupancy rate </w:t>
      </w:r>
      <w:r w:rsidR="00C87058">
        <w:rPr>
          <w:lang w:eastAsia="zh-CN"/>
        </w:rPr>
        <w:t xml:space="preserve">in 2023 </w:t>
      </w:r>
      <w:r w:rsidR="00697BE5">
        <w:rPr>
          <w:lang w:eastAsia="zh-CN"/>
        </w:rPr>
        <w:t xml:space="preserve">was </w:t>
      </w:r>
      <w:r w:rsidR="00FF4BBB">
        <w:rPr>
          <w:lang w:eastAsia="zh-CN"/>
        </w:rPr>
        <w:t xml:space="preserve">largely </w:t>
      </w:r>
      <w:r w:rsidR="00697BE5">
        <w:rPr>
          <w:lang w:eastAsia="zh-CN"/>
        </w:rPr>
        <w:t>unchanged in South Australia</w:t>
      </w:r>
      <w:r w:rsidR="00FF4BBB">
        <w:rPr>
          <w:lang w:eastAsia="zh-CN"/>
        </w:rPr>
        <w:t xml:space="preserve">, </w:t>
      </w:r>
      <w:r w:rsidR="00697BE5">
        <w:rPr>
          <w:lang w:eastAsia="zh-CN"/>
        </w:rPr>
        <w:t>the Australian Capital Territory</w:t>
      </w:r>
      <w:r w:rsidR="00FF4BBB">
        <w:rPr>
          <w:lang w:eastAsia="zh-CN"/>
        </w:rPr>
        <w:t xml:space="preserve"> and Queensland</w:t>
      </w:r>
      <w:r w:rsidR="00A46EFD">
        <w:rPr>
          <w:lang w:eastAsia="zh-CN"/>
        </w:rPr>
        <w:t>.</w:t>
      </w:r>
      <w:r w:rsidR="00E734D5">
        <w:rPr>
          <w:lang w:eastAsia="zh-CN"/>
        </w:rPr>
        <w:t xml:space="preserve"> Compared to pre-pandemic, </w:t>
      </w:r>
      <w:r w:rsidR="00C75BF0">
        <w:rPr>
          <w:lang w:eastAsia="zh-CN"/>
        </w:rPr>
        <w:t>t</w:t>
      </w:r>
      <w:r w:rsidR="00E021C8">
        <w:rPr>
          <w:lang w:eastAsia="zh-CN"/>
        </w:rPr>
        <w:t xml:space="preserve">he average occupancy rate in </w:t>
      </w:r>
      <w:r w:rsidR="00F63F55">
        <w:rPr>
          <w:lang w:eastAsia="zh-CN"/>
        </w:rPr>
        <w:t xml:space="preserve">most states and territories was lower in </w:t>
      </w:r>
      <w:r w:rsidR="00E021C8">
        <w:rPr>
          <w:lang w:eastAsia="zh-CN"/>
        </w:rPr>
        <w:t>2023</w:t>
      </w:r>
      <w:r w:rsidR="00F63F55">
        <w:rPr>
          <w:lang w:eastAsia="zh-CN"/>
        </w:rPr>
        <w:t>,</w:t>
      </w:r>
      <w:r w:rsidR="004246F1">
        <w:rPr>
          <w:lang w:eastAsia="zh-CN"/>
        </w:rPr>
        <w:t xml:space="preserve"> however, the occupancy rate in 2023 </w:t>
      </w:r>
      <w:r w:rsidR="00C67962">
        <w:rPr>
          <w:lang w:eastAsia="zh-CN"/>
        </w:rPr>
        <w:t xml:space="preserve">was </w:t>
      </w:r>
      <w:r w:rsidR="00E021C8">
        <w:rPr>
          <w:lang w:eastAsia="zh-CN"/>
        </w:rPr>
        <w:t>above that in 2019</w:t>
      </w:r>
      <w:r w:rsidR="00755322">
        <w:rPr>
          <w:lang w:eastAsia="zh-CN"/>
        </w:rPr>
        <w:t xml:space="preserve"> for</w:t>
      </w:r>
      <w:r w:rsidR="00C75BF0" w:rsidRPr="00C75BF0">
        <w:rPr>
          <w:lang w:eastAsia="zh-CN"/>
        </w:rPr>
        <w:t xml:space="preserve"> </w:t>
      </w:r>
      <w:r w:rsidR="00C75BF0">
        <w:rPr>
          <w:lang w:eastAsia="zh-CN"/>
        </w:rPr>
        <w:t>Western Australia</w:t>
      </w:r>
      <w:r w:rsidR="00D416FF">
        <w:rPr>
          <w:lang w:eastAsia="zh-CN"/>
        </w:rPr>
        <w:t xml:space="preserve"> </w:t>
      </w:r>
      <w:r w:rsidR="00823F62">
        <w:rPr>
          <w:lang w:eastAsia="zh-CN"/>
        </w:rPr>
        <w:t xml:space="preserve">and was </w:t>
      </w:r>
      <w:r w:rsidR="00D416FF">
        <w:rPr>
          <w:lang w:eastAsia="zh-CN"/>
        </w:rPr>
        <w:t>unchanged</w:t>
      </w:r>
      <w:r w:rsidR="008419E1">
        <w:rPr>
          <w:lang w:eastAsia="zh-CN"/>
        </w:rPr>
        <w:t xml:space="preserve"> for </w:t>
      </w:r>
      <w:r w:rsidR="00404ADA">
        <w:rPr>
          <w:lang w:eastAsia="zh-CN"/>
        </w:rPr>
        <w:t>Queensland</w:t>
      </w:r>
      <w:r w:rsidR="00AE6500" w:rsidRPr="00AE6500">
        <w:rPr>
          <w:lang w:eastAsia="zh-CN"/>
        </w:rPr>
        <w:t xml:space="preserve"> </w:t>
      </w:r>
      <w:r w:rsidR="00AE6500">
        <w:rPr>
          <w:lang w:eastAsia="zh-CN"/>
        </w:rPr>
        <w:t>and the Northern Territory</w:t>
      </w:r>
      <w:r w:rsidR="00C67962">
        <w:rPr>
          <w:lang w:eastAsia="zh-CN"/>
        </w:rPr>
        <w:t>.</w:t>
      </w:r>
    </w:p>
    <w:p w14:paraId="39D59C76" w14:textId="4648FC15" w:rsidR="00B87435" w:rsidRDefault="00B54E05" w:rsidP="00A526B2">
      <w:pPr>
        <w:spacing w:line="300" w:lineRule="atLeast"/>
        <w:rPr>
          <w:lang w:eastAsia="zh-CN"/>
        </w:rPr>
      </w:pPr>
      <w:r>
        <w:rPr>
          <w:lang w:eastAsia="zh-CN"/>
        </w:rPr>
        <w:t xml:space="preserve">Similar trends </w:t>
      </w:r>
      <w:r w:rsidR="002D6A10">
        <w:rPr>
          <w:lang w:eastAsia="zh-CN"/>
        </w:rPr>
        <w:t xml:space="preserve">to those described above </w:t>
      </w:r>
      <w:r>
        <w:rPr>
          <w:lang w:eastAsia="zh-CN"/>
        </w:rPr>
        <w:t>were observed for the average RevPAR</w:t>
      </w:r>
      <w:r w:rsidR="00A86E67">
        <w:rPr>
          <w:lang w:eastAsia="zh-CN"/>
        </w:rPr>
        <w:t xml:space="preserve"> in 2023</w:t>
      </w:r>
      <w:r w:rsidR="00B1265C">
        <w:rPr>
          <w:lang w:eastAsia="zh-CN"/>
        </w:rPr>
        <w:t xml:space="preserve"> </w:t>
      </w:r>
      <w:r w:rsidR="00B726BD">
        <w:rPr>
          <w:lang w:eastAsia="zh-CN"/>
        </w:rPr>
        <w:t xml:space="preserve">across the states and territories </w:t>
      </w:r>
      <w:r w:rsidR="00B1265C">
        <w:rPr>
          <w:lang w:eastAsia="zh-CN"/>
        </w:rPr>
        <w:t>(Figure 2</w:t>
      </w:r>
      <w:r w:rsidR="002D6F5C">
        <w:rPr>
          <w:lang w:eastAsia="zh-CN"/>
        </w:rPr>
        <w:t>6</w:t>
      </w:r>
      <w:r w:rsidR="000A4E97">
        <w:rPr>
          <w:lang w:eastAsia="zh-CN"/>
        </w:rPr>
        <w:t>, bottom panel</w:t>
      </w:r>
      <w:r w:rsidR="00B1265C">
        <w:rPr>
          <w:lang w:eastAsia="zh-CN"/>
        </w:rPr>
        <w:t>). In 2023</w:t>
      </w:r>
      <w:r w:rsidR="00A86E67">
        <w:rPr>
          <w:lang w:eastAsia="zh-CN"/>
        </w:rPr>
        <w:t xml:space="preserve">, </w:t>
      </w:r>
      <w:r w:rsidR="00B1265C">
        <w:rPr>
          <w:lang w:eastAsia="zh-CN"/>
        </w:rPr>
        <w:t xml:space="preserve">the average RevPAR </w:t>
      </w:r>
      <w:r w:rsidR="00A86E67">
        <w:rPr>
          <w:lang w:eastAsia="zh-CN"/>
        </w:rPr>
        <w:t xml:space="preserve">increased </w:t>
      </w:r>
      <w:r w:rsidR="00B1265C">
        <w:rPr>
          <w:lang w:eastAsia="zh-CN"/>
        </w:rPr>
        <w:t xml:space="preserve">strongly </w:t>
      </w:r>
      <w:r w:rsidR="00A86E67">
        <w:rPr>
          <w:lang w:eastAsia="zh-CN"/>
        </w:rPr>
        <w:t>in New South Wales</w:t>
      </w:r>
      <w:r w:rsidR="00803299">
        <w:rPr>
          <w:lang w:eastAsia="zh-CN"/>
        </w:rPr>
        <w:t>, Victoria,</w:t>
      </w:r>
      <w:r w:rsidR="00ED0FA6">
        <w:rPr>
          <w:lang w:eastAsia="zh-CN"/>
        </w:rPr>
        <w:t xml:space="preserve"> and</w:t>
      </w:r>
      <w:r w:rsidR="00A86E67">
        <w:rPr>
          <w:lang w:eastAsia="zh-CN"/>
        </w:rPr>
        <w:t xml:space="preserve"> Western Australia</w:t>
      </w:r>
      <w:r w:rsidR="00B1265C">
        <w:rPr>
          <w:lang w:eastAsia="zh-CN"/>
        </w:rPr>
        <w:t>, but decreased in Tasmania and the Northern Territory.</w:t>
      </w:r>
      <w:r w:rsidR="00E65CB9">
        <w:rPr>
          <w:lang w:eastAsia="zh-CN"/>
        </w:rPr>
        <w:t xml:space="preserve"> The average RevPAR in 2023 was higher in all states and territories than in 2019,</w:t>
      </w:r>
      <w:r w:rsidR="001450E6">
        <w:rPr>
          <w:lang w:eastAsia="zh-CN"/>
        </w:rPr>
        <w:t xml:space="preserve"> with Western Australia, the Northern Territory and Queensland recording the largest gains.</w:t>
      </w:r>
      <w:r w:rsidR="00E65CB9">
        <w:rPr>
          <w:lang w:eastAsia="zh-CN"/>
        </w:rPr>
        <w:t xml:space="preserve"> </w:t>
      </w:r>
    </w:p>
    <w:p w14:paraId="31644996" w14:textId="25C943AD" w:rsidR="002B08D0" w:rsidRDefault="00853814" w:rsidP="000A4E97">
      <w:pPr>
        <w:pStyle w:val="Caption"/>
        <w:keepNext/>
        <w:spacing w:line="300" w:lineRule="atLeast"/>
        <w:rPr>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2D6F5C">
        <w:rPr>
          <w:b/>
          <w:bCs/>
          <w:i w:val="0"/>
          <w:iCs w:val="0"/>
          <w:noProof/>
          <w:sz w:val="20"/>
          <w:szCs w:val="20"/>
        </w:rPr>
        <w:t>26</w:t>
      </w:r>
      <w:r>
        <w:rPr>
          <w:b/>
          <w:bCs/>
          <w:i w:val="0"/>
          <w:iCs w:val="0"/>
          <w:sz w:val="20"/>
          <w:szCs w:val="20"/>
        </w:rPr>
        <w:fldChar w:fldCharType="end"/>
      </w:r>
      <w:r>
        <w:rPr>
          <w:b/>
          <w:bCs/>
          <w:i w:val="0"/>
          <w:iCs w:val="0"/>
          <w:sz w:val="20"/>
          <w:szCs w:val="20"/>
        </w:rPr>
        <w:t xml:space="preserve">. </w:t>
      </w:r>
      <w:r w:rsidRPr="007800B8">
        <w:rPr>
          <w:i w:val="0"/>
          <w:iCs w:val="0"/>
          <w:sz w:val="20"/>
          <w:szCs w:val="20"/>
        </w:rPr>
        <w:t xml:space="preserve">Average </w:t>
      </w:r>
      <w:r>
        <w:rPr>
          <w:i w:val="0"/>
          <w:iCs w:val="0"/>
          <w:sz w:val="20"/>
          <w:szCs w:val="20"/>
        </w:rPr>
        <w:t>occupancy</w:t>
      </w:r>
      <w:r w:rsidRPr="007800B8">
        <w:rPr>
          <w:i w:val="0"/>
          <w:iCs w:val="0"/>
          <w:sz w:val="20"/>
          <w:szCs w:val="20"/>
        </w:rPr>
        <w:t xml:space="preserve"> rate </w:t>
      </w:r>
      <w:r w:rsidR="00D66892">
        <w:rPr>
          <w:i w:val="0"/>
          <w:iCs w:val="0"/>
          <w:sz w:val="20"/>
          <w:szCs w:val="20"/>
        </w:rPr>
        <w:t>(top panel) and Rev</w:t>
      </w:r>
      <w:r w:rsidR="0088573C">
        <w:rPr>
          <w:i w:val="0"/>
          <w:iCs w:val="0"/>
          <w:sz w:val="20"/>
          <w:szCs w:val="20"/>
        </w:rPr>
        <w:t>enue per available room</w:t>
      </w:r>
      <w:r w:rsidR="00D66892">
        <w:rPr>
          <w:i w:val="0"/>
          <w:iCs w:val="0"/>
          <w:sz w:val="20"/>
          <w:szCs w:val="20"/>
        </w:rPr>
        <w:t xml:space="preserve"> (bottom panel) </w:t>
      </w:r>
      <w:r>
        <w:rPr>
          <w:i w:val="0"/>
          <w:iCs w:val="0"/>
          <w:sz w:val="20"/>
          <w:szCs w:val="20"/>
        </w:rPr>
        <w:t>by state and territory in 2019, 2022 and 2023.</w:t>
      </w:r>
    </w:p>
    <w:p w14:paraId="6E6A6B45" w14:textId="374AD721" w:rsidR="005D7C18" w:rsidRPr="005D7C18" w:rsidRDefault="00076570" w:rsidP="00A566BA">
      <w:pPr>
        <w:spacing w:line="300" w:lineRule="atLeast"/>
      </w:pPr>
      <w:r w:rsidRPr="00076570">
        <w:rPr>
          <w:noProof/>
        </w:rPr>
        <w:drawing>
          <wp:inline distT="0" distB="0" distL="0" distR="0" wp14:anchorId="4EE8B82F" wp14:editId="495633BA">
            <wp:extent cx="6329680" cy="4789170"/>
            <wp:effectExtent l="0" t="0" r="0" b="0"/>
            <wp:docPr id="379499506" name="Picture 8" descr="Figure 26 shows 2 bar charts with 3 series each showing the year-average occupancy rate in 2019, 2022 and 2023 for each state/territory (top panel) and the average RevPAR in 2019, 2022 and 2023 for each state/territory (bottom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99506" name="Picture 8" descr="Figure 26 shows 2 bar charts with 3 series each showing the year-average occupancy rate in 2019, 2022 and 2023 for each state/territory (top panel) and the average RevPAR in 2019, 2022 and 2023 for each state/territory (bottom pane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29680" cy="4789170"/>
                    </a:xfrm>
                    <a:prstGeom prst="rect">
                      <a:avLst/>
                    </a:prstGeom>
                    <a:noFill/>
                    <a:ln>
                      <a:noFill/>
                    </a:ln>
                  </pic:spPr>
                </pic:pic>
              </a:graphicData>
            </a:graphic>
          </wp:inline>
        </w:drawing>
      </w:r>
    </w:p>
    <w:p w14:paraId="5B7280DC" w14:textId="77777777" w:rsidR="00BA0140" w:rsidRDefault="00BA0140" w:rsidP="00BA0140">
      <w:pPr>
        <w:pStyle w:val="Heading3"/>
        <w:rPr>
          <w:lang w:eastAsia="zh-CN"/>
        </w:rPr>
      </w:pPr>
      <w:bookmarkStart w:id="80" w:name="_Toc131073761"/>
      <w:bookmarkStart w:id="81" w:name="_Toc135990465"/>
      <w:bookmarkStart w:id="82" w:name="_Toc167113891"/>
      <w:r>
        <w:rPr>
          <w:lang w:eastAsia="zh-CN"/>
        </w:rPr>
        <w:t>Aviation</w:t>
      </w:r>
      <w:bookmarkEnd w:id="80"/>
      <w:bookmarkEnd w:id="81"/>
      <w:bookmarkEnd w:id="82"/>
    </w:p>
    <w:p w14:paraId="35057074" w14:textId="5C580647" w:rsidR="00A91244" w:rsidRDefault="00A91244" w:rsidP="008E105C">
      <w:pPr>
        <w:rPr>
          <w:color w:val="auto"/>
        </w:rPr>
      </w:pPr>
      <w:r>
        <w:rPr>
          <w:lang w:eastAsia="zh-CN"/>
        </w:rPr>
        <w:t>Globally, airlines faced impediments to</w:t>
      </w:r>
      <w:r w:rsidR="00321447">
        <w:rPr>
          <w:lang w:eastAsia="zh-CN"/>
        </w:rPr>
        <w:t xml:space="preserve"> rapidly</w:t>
      </w:r>
      <w:r>
        <w:rPr>
          <w:lang w:eastAsia="zh-CN"/>
        </w:rPr>
        <w:t xml:space="preserve"> </w:t>
      </w:r>
      <w:r w:rsidR="00CD2172">
        <w:rPr>
          <w:lang w:eastAsia="zh-CN"/>
        </w:rPr>
        <w:t>reviving</w:t>
      </w:r>
      <w:r>
        <w:rPr>
          <w:lang w:eastAsia="zh-CN"/>
        </w:rPr>
        <w:t xml:space="preserve"> aviation capacity in the post-pandemic period. </w:t>
      </w:r>
      <w:r w:rsidR="00047658">
        <w:rPr>
          <w:lang w:eastAsia="zh-CN"/>
        </w:rPr>
        <w:t>I</w:t>
      </w:r>
      <w:r>
        <w:rPr>
          <w:lang w:eastAsia="zh-CN"/>
        </w:rPr>
        <w:t xml:space="preserve">t </w:t>
      </w:r>
      <w:r w:rsidR="00CD2172">
        <w:rPr>
          <w:lang w:eastAsia="zh-CN"/>
        </w:rPr>
        <w:t>took</w:t>
      </w:r>
      <w:r>
        <w:rPr>
          <w:lang w:eastAsia="zh-CN"/>
        </w:rPr>
        <w:t xml:space="preserve"> time to replenish workforces</w:t>
      </w:r>
      <w:r w:rsidR="00412FBB">
        <w:rPr>
          <w:lang w:eastAsia="zh-CN"/>
        </w:rPr>
        <w:t xml:space="preserve"> (including roles such as pilots,</w:t>
      </w:r>
      <w:r w:rsidR="00412FBB">
        <w:rPr>
          <w:color w:val="auto"/>
          <w:lang w:eastAsia="zh-CN"/>
        </w:rPr>
        <w:t xml:space="preserve"> </w:t>
      </w:r>
      <w:r w:rsidR="00412FBB">
        <w:rPr>
          <w:color w:val="auto"/>
        </w:rPr>
        <w:t>flight crew, ground staff, maintenance workers and engineers</w:t>
      </w:r>
      <w:r w:rsidR="00412FBB">
        <w:rPr>
          <w:lang w:eastAsia="zh-CN"/>
        </w:rPr>
        <w:t>)</w:t>
      </w:r>
      <w:r w:rsidR="00047658">
        <w:rPr>
          <w:lang w:eastAsia="zh-CN"/>
        </w:rPr>
        <w:t>,</w:t>
      </w:r>
      <w:r>
        <w:rPr>
          <w:lang w:eastAsia="zh-CN"/>
        </w:rPr>
        <w:t xml:space="preserve"> resume flights of grounded aircraft</w:t>
      </w:r>
      <w:r w:rsidR="00A44A05">
        <w:rPr>
          <w:lang w:eastAsia="zh-CN"/>
        </w:rPr>
        <w:t xml:space="preserve">, meet </w:t>
      </w:r>
      <w:r w:rsidR="00412FBB">
        <w:rPr>
          <w:lang w:eastAsia="zh-CN"/>
        </w:rPr>
        <w:t>maintenance requirements</w:t>
      </w:r>
      <w:r w:rsidR="00A44A05">
        <w:rPr>
          <w:lang w:eastAsia="zh-CN"/>
        </w:rPr>
        <w:t xml:space="preserve"> and iron-out supply chain </w:t>
      </w:r>
      <w:r w:rsidR="008439A0">
        <w:rPr>
          <w:lang w:eastAsia="zh-CN"/>
        </w:rPr>
        <w:t>disruptions</w:t>
      </w:r>
      <w:r>
        <w:rPr>
          <w:color w:val="auto"/>
        </w:rPr>
        <w:t xml:space="preserve">. </w:t>
      </w:r>
      <w:r w:rsidR="004A60E1">
        <w:rPr>
          <w:color w:val="auto"/>
        </w:rPr>
        <w:t>However, s</w:t>
      </w:r>
      <w:r w:rsidR="003D293D">
        <w:rPr>
          <w:color w:val="auto"/>
        </w:rPr>
        <w:t xml:space="preserve">ubstantial </w:t>
      </w:r>
      <w:r w:rsidR="004A60E1">
        <w:rPr>
          <w:color w:val="auto"/>
        </w:rPr>
        <w:t>progress was made in 2023</w:t>
      </w:r>
      <w:r w:rsidR="001A0565">
        <w:rPr>
          <w:color w:val="auto"/>
        </w:rPr>
        <w:t xml:space="preserve"> </w:t>
      </w:r>
      <w:r w:rsidR="0039786A">
        <w:rPr>
          <w:color w:val="auto"/>
        </w:rPr>
        <w:t xml:space="preserve">to </w:t>
      </w:r>
      <w:r w:rsidR="0022191D">
        <w:rPr>
          <w:color w:val="auto"/>
        </w:rPr>
        <w:t xml:space="preserve">increase </w:t>
      </w:r>
      <w:r w:rsidR="0039786A">
        <w:rPr>
          <w:color w:val="auto"/>
        </w:rPr>
        <w:t>both domestic and international</w:t>
      </w:r>
      <w:r w:rsidR="001A0565">
        <w:rPr>
          <w:color w:val="auto"/>
        </w:rPr>
        <w:t xml:space="preserve"> </w:t>
      </w:r>
      <w:r w:rsidR="004A60E1">
        <w:rPr>
          <w:color w:val="auto"/>
        </w:rPr>
        <w:t>aviation capacity</w:t>
      </w:r>
      <w:r w:rsidR="0039786A">
        <w:rPr>
          <w:color w:val="auto"/>
        </w:rPr>
        <w:t xml:space="preserve"> in Australia </w:t>
      </w:r>
      <w:r w:rsidR="0022191D">
        <w:rPr>
          <w:color w:val="auto"/>
        </w:rPr>
        <w:t xml:space="preserve">as well as </w:t>
      </w:r>
      <w:r w:rsidR="00470EBD">
        <w:rPr>
          <w:color w:val="auto"/>
        </w:rPr>
        <w:t xml:space="preserve">improve </w:t>
      </w:r>
      <w:r w:rsidR="004E548D">
        <w:rPr>
          <w:color w:val="auto"/>
        </w:rPr>
        <w:t>airline operations</w:t>
      </w:r>
      <w:r w:rsidR="001A0565">
        <w:rPr>
          <w:color w:val="auto"/>
        </w:rPr>
        <w:t>.</w:t>
      </w:r>
    </w:p>
    <w:p w14:paraId="7BADE2A4" w14:textId="0A893AD1" w:rsidR="008E105C" w:rsidRDefault="002F7490" w:rsidP="008E105C">
      <w:pPr>
        <w:rPr>
          <w:lang w:eastAsia="zh-CN"/>
        </w:rPr>
      </w:pPr>
      <w:r>
        <w:rPr>
          <w:lang w:eastAsia="zh-CN"/>
        </w:rPr>
        <w:t>T</w:t>
      </w:r>
      <w:r w:rsidR="008E105C">
        <w:rPr>
          <w:lang w:eastAsia="zh-CN"/>
        </w:rPr>
        <w:t xml:space="preserve">he number of seats available on domestic flights increased by </w:t>
      </w:r>
      <w:r w:rsidR="00745862">
        <w:rPr>
          <w:lang w:eastAsia="zh-CN"/>
        </w:rPr>
        <w:t>12% in 2023</w:t>
      </w:r>
      <w:r w:rsidR="6986C0FD" w:rsidRPr="0F264CAE">
        <w:rPr>
          <w:lang w:eastAsia="zh-CN"/>
        </w:rPr>
        <w:t>,</w:t>
      </w:r>
      <w:r w:rsidR="00745862">
        <w:rPr>
          <w:lang w:eastAsia="zh-CN"/>
        </w:rPr>
        <w:t xml:space="preserve"> from </w:t>
      </w:r>
      <w:r w:rsidR="008E105C">
        <w:rPr>
          <w:lang w:eastAsia="zh-CN"/>
        </w:rPr>
        <w:t>6</w:t>
      </w:r>
      <w:r w:rsidR="00F10C71">
        <w:rPr>
          <w:lang w:eastAsia="zh-CN"/>
        </w:rPr>
        <w:t>5.3</w:t>
      </w:r>
      <w:r w:rsidR="008E105C">
        <w:rPr>
          <w:lang w:eastAsia="zh-CN"/>
        </w:rPr>
        <w:t xml:space="preserve"> million </w:t>
      </w:r>
      <w:r w:rsidR="00F10C71">
        <w:rPr>
          <w:lang w:eastAsia="zh-CN"/>
        </w:rPr>
        <w:t>in 2022</w:t>
      </w:r>
      <w:r w:rsidR="008E105C">
        <w:rPr>
          <w:lang w:eastAsia="zh-CN"/>
        </w:rPr>
        <w:t xml:space="preserve"> to </w:t>
      </w:r>
      <w:r w:rsidR="00F10C71">
        <w:rPr>
          <w:lang w:eastAsia="zh-CN"/>
        </w:rPr>
        <w:t>72.9</w:t>
      </w:r>
      <w:r w:rsidR="008E105C">
        <w:rPr>
          <w:lang w:eastAsia="zh-CN"/>
        </w:rPr>
        <w:t xml:space="preserve"> million in 202</w:t>
      </w:r>
      <w:r w:rsidR="00F10C71">
        <w:rPr>
          <w:lang w:eastAsia="zh-CN"/>
        </w:rPr>
        <w:t>3</w:t>
      </w:r>
      <w:r w:rsidR="009D64A1">
        <w:rPr>
          <w:lang w:eastAsia="zh-CN"/>
        </w:rPr>
        <w:t xml:space="preserve">. </w:t>
      </w:r>
      <w:r w:rsidR="001A0565">
        <w:rPr>
          <w:lang w:eastAsia="zh-CN"/>
        </w:rPr>
        <w:t>Domestic seat capacity in 2023</w:t>
      </w:r>
      <w:r w:rsidR="009D64A1">
        <w:rPr>
          <w:lang w:eastAsia="zh-CN"/>
        </w:rPr>
        <w:t xml:space="preserve"> was still 6% below the pre-pandemic number of 77.5 million domestic aviation seats in 2019</w:t>
      </w:r>
      <w:r w:rsidR="00D11077">
        <w:rPr>
          <w:lang w:eastAsia="zh-CN"/>
        </w:rPr>
        <w:t xml:space="preserve">. The average </w:t>
      </w:r>
      <w:r w:rsidR="00A86195">
        <w:rPr>
          <w:lang w:eastAsia="zh-CN"/>
        </w:rPr>
        <w:t xml:space="preserve">passenger </w:t>
      </w:r>
      <w:r w:rsidR="00D11077">
        <w:rPr>
          <w:lang w:eastAsia="zh-CN"/>
        </w:rPr>
        <w:t xml:space="preserve">load factor </w:t>
      </w:r>
      <w:r w:rsidR="00A86195">
        <w:rPr>
          <w:lang w:eastAsia="zh-CN"/>
        </w:rPr>
        <w:t xml:space="preserve">for domestic flights was </w:t>
      </w:r>
      <w:r w:rsidR="006D3CEA">
        <w:rPr>
          <w:lang w:eastAsia="zh-CN"/>
        </w:rPr>
        <w:t>80</w:t>
      </w:r>
      <w:r w:rsidR="00DE4E9F">
        <w:rPr>
          <w:lang w:eastAsia="zh-CN"/>
        </w:rPr>
        <w:t>.5</w:t>
      </w:r>
      <w:r w:rsidR="00A67A91">
        <w:rPr>
          <w:lang w:eastAsia="zh-CN"/>
        </w:rPr>
        <w:t xml:space="preserve">% overall for 2023, </w:t>
      </w:r>
      <w:r w:rsidR="00CD21FA">
        <w:rPr>
          <w:lang w:eastAsia="zh-CN"/>
        </w:rPr>
        <w:t xml:space="preserve">which was </w:t>
      </w:r>
      <w:r w:rsidR="005013FA">
        <w:rPr>
          <w:lang w:eastAsia="zh-CN"/>
        </w:rPr>
        <w:t>slightly higher than</w:t>
      </w:r>
      <w:r w:rsidR="00A67A91">
        <w:rPr>
          <w:lang w:eastAsia="zh-CN"/>
        </w:rPr>
        <w:t xml:space="preserve"> the previous year</w:t>
      </w:r>
      <w:r w:rsidR="00B72601">
        <w:rPr>
          <w:lang w:eastAsia="zh-CN"/>
        </w:rPr>
        <w:t xml:space="preserve"> and </w:t>
      </w:r>
      <w:r w:rsidR="005013FA">
        <w:rPr>
          <w:lang w:eastAsia="zh-CN"/>
        </w:rPr>
        <w:t>in line with</w:t>
      </w:r>
      <w:r w:rsidR="000C6893">
        <w:rPr>
          <w:lang w:eastAsia="zh-CN"/>
        </w:rPr>
        <w:t xml:space="preserve"> </w:t>
      </w:r>
      <w:r w:rsidR="001A0565">
        <w:rPr>
          <w:lang w:eastAsia="zh-CN"/>
        </w:rPr>
        <w:t>the high levels</w:t>
      </w:r>
      <w:r w:rsidR="006B5396">
        <w:rPr>
          <w:lang w:eastAsia="zh-CN"/>
        </w:rPr>
        <w:t xml:space="preserve"> of the years prior to the pandemic</w:t>
      </w:r>
      <w:r w:rsidR="008E105C">
        <w:rPr>
          <w:lang w:eastAsia="zh-CN"/>
        </w:rPr>
        <w:t xml:space="preserve"> (Figure 2</w:t>
      </w:r>
      <w:r w:rsidR="00AC1D7B">
        <w:rPr>
          <w:lang w:eastAsia="zh-CN"/>
        </w:rPr>
        <w:t>7</w:t>
      </w:r>
      <w:r w:rsidR="00971895">
        <w:rPr>
          <w:lang w:eastAsia="zh-CN"/>
        </w:rPr>
        <w:t>, left panel</w:t>
      </w:r>
      <w:r w:rsidR="008E105C">
        <w:rPr>
          <w:lang w:eastAsia="zh-CN"/>
        </w:rPr>
        <w:t xml:space="preserve">). </w:t>
      </w:r>
    </w:p>
    <w:p w14:paraId="26B6EAF5" w14:textId="7B02F900" w:rsidR="0052654B" w:rsidRPr="000A4E97" w:rsidRDefault="0052654B" w:rsidP="000A4E97">
      <w:pPr>
        <w:pStyle w:val="Caption"/>
        <w:keepNext/>
        <w:spacing w:line="300" w:lineRule="atLeast"/>
        <w:rPr>
          <w:b/>
          <w:bCs/>
          <w:i w:val="0"/>
          <w:iCs w:val="0"/>
          <w:noProof/>
          <w:color w:val="000000" w:themeColor="text1"/>
          <w:sz w:val="22"/>
          <w:szCs w:val="22"/>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AC1D7B">
        <w:rPr>
          <w:b/>
          <w:bCs/>
          <w:i w:val="0"/>
          <w:iCs w:val="0"/>
          <w:noProof/>
          <w:sz w:val="20"/>
          <w:szCs w:val="20"/>
        </w:rPr>
        <w:t>27</w:t>
      </w:r>
      <w:r>
        <w:rPr>
          <w:b/>
          <w:bCs/>
          <w:i w:val="0"/>
          <w:iCs w:val="0"/>
          <w:sz w:val="20"/>
          <w:szCs w:val="20"/>
        </w:rPr>
        <w:fldChar w:fldCharType="end"/>
      </w:r>
      <w:r>
        <w:rPr>
          <w:b/>
          <w:bCs/>
          <w:i w:val="0"/>
          <w:iCs w:val="0"/>
          <w:sz w:val="20"/>
          <w:szCs w:val="20"/>
        </w:rPr>
        <w:t xml:space="preserve">. </w:t>
      </w:r>
      <w:r>
        <w:rPr>
          <w:i w:val="0"/>
          <w:iCs w:val="0"/>
          <w:sz w:val="20"/>
          <w:szCs w:val="20"/>
        </w:rPr>
        <w:t>Domestic and international flight seat capacity and load factors, 201</w:t>
      </w:r>
      <w:r w:rsidR="00971895">
        <w:rPr>
          <w:i w:val="0"/>
          <w:iCs w:val="0"/>
          <w:sz w:val="20"/>
          <w:szCs w:val="20"/>
        </w:rPr>
        <w:t>4</w:t>
      </w:r>
      <w:r>
        <w:rPr>
          <w:i w:val="0"/>
          <w:iCs w:val="0"/>
          <w:sz w:val="20"/>
          <w:szCs w:val="20"/>
        </w:rPr>
        <w:t xml:space="preserve"> to 202</w:t>
      </w:r>
      <w:r w:rsidR="00971895">
        <w:rPr>
          <w:i w:val="0"/>
          <w:iCs w:val="0"/>
          <w:sz w:val="20"/>
          <w:szCs w:val="20"/>
        </w:rPr>
        <w:t>3</w:t>
      </w:r>
      <w:r>
        <w:rPr>
          <w:i w:val="0"/>
          <w:iCs w:val="0"/>
          <w:sz w:val="20"/>
          <w:szCs w:val="20"/>
        </w:rPr>
        <w:t>.</w:t>
      </w:r>
    </w:p>
    <w:p w14:paraId="6346F620" w14:textId="18A67D9C" w:rsidR="00FF5F27" w:rsidRDefault="00BE5BA2" w:rsidP="0052654B">
      <w:pPr>
        <w:spacing w:line="300" w:lineRule="atLeast"/>
        <w:rPr>
          <w:lang w:eastAsia="zh-CN"/>
        </w:rPr>
      </w:pPr>
      <w:r w:rsidRPr="00BE5BA2">
        <w:rPr>
          <w:noProof/>
        </w:rPr>
        <w:drawing>
          <wp:inline distT="0" distB="0" distL="0" distR="0" wp14:anchorId="7F4F5B3A" wp14:editId="53E4E0A4">
            <wp:extent cx="6329680" cy="3393440"/>
            <wp:effectExtent l="0" t="0" r="0" b="0"/>
            <wp:docPr id="737860229" name="Picture 5" descr="Figure 27 shows domestic and international flight seat capacity in annual bars for 2014 to 2023 as well as the annual average domestic and international flight load factors. Load factors have returned to their pre-pandemic highs but the number of available seats was still lower in 2023 than it was in 2019 for both domestic and inter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60229" name="Picture 5" descr="Figure 27 shows domestic and international flight seat capacity in annual bars for 2014 to 2023 as well as the annual average domestic and international flight load factors. Load factors have returned to their pre-pandemic highs but the number of available seats was still lower in 2023 than it was in 2019 for both domestic and international.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9680" cy="3393440"/>
                    </a:xfrm>
                    <a:prstGeom prst="rect">
                      <a:avLst/>
                    </a:prstGeom>
                    <a:noFill/>
                    <a:ln>
                      <a:noFill/>
                    </a:ln>
                  </pic:spPr>
                </pic:pic>
              </a:graphicData>
            </a:graphic>
          </wp:inline>
        </w:drawing>
      </w:r>
    </w:p>
    <w:p w14:paraId="5F279850" w14:textId="31FF452B" w:rsidR="00305E4D" w:rsidRDefault="00312A89" w:rsidP="0052654B">
      <w:pPr>
        <w:spacing w:line="300" w:lineRule="atLeast"/>
        <w:rPr>
          <w:lang w:eastAsia="zh-CN"/>
        </w:rPr>
      </w:pPr>
      <w:r>
        <w:rPr>
          <w:lang w:eastAsia="zh-CN"/>
        </w:rPr>
        <w:t>As</w:t>
      </w:r>
      <w:r w:rsidR="002056E7">
        <w:rPr>
          <w:lang w:eastAsia="zh-CN"/>
        </w:rPr>
        <w:t xml:space="preserve"> the international border open</w:t>
      </w:r>
      <w:r w:rsidR="00B17EB5">
        <w:rPr>
          <w:lang w:eastAsia="zh-CN"/>
        </w:rPr>
        <w:t>ed much later than the state borders, the recovery in international aviation capacity has lagged relative to that of domestic aviation</w:t>
      </w:r>
      <w:r w:rsidRPr="69CF5B79" w:rsidDel="00797A71">
        <w:rPr>
          <w:lang w:eastAsia="zh-CN"/>
        </w:rPr>
        <w:t xml:space="preserve"> </w:t>
      </w:r>
      <w:r w:rsidR="00797A71">
        <w:rPr>
          <w:lang w:eastAsia="zh-CN"/>
        </w:rPr>
        <w:t xml:space="preserve">but </w:t>
      </w:r>
      <w:r w:rsidR="00927AF3">
        <w:rPr>
          <w:lang w:eastAsia="zh-CN"/>
        </w:rPr>
        <w:t xml:space="preserve">made substantial progress in 2023. </w:t>
      </w:r>
      <w:r w:rsidR="00E72659">
        <w:rPr>
          <w:lang w:eastAsia="zh-CN"/>
        </w:rPr>
        <w:t xml:space="preserve"> </w:t>
      </w:r>
      <w:r w:rsidR="00927AF3">
        <w:rPr>
          <w:lang w:eastAsia="zh-CN"/>
        </w:rPr>
        <w:t>I</w:t>
      </w:r>
      <w:r w:rsidR="0094107A">
        <w:rPr>
          <w:lang w:eastAsia="zh-CN"/>
        </w:rPr>
        <w:t xml:space="preserve">nternational flight seat capacity rose </w:t>
      </w:r>
      <w:r w:rsidR="6C2FCCED" w:rsidRPr="69CF5B79">
        <w:rPr>
          <w:lang w:eastAsia="zh-CN"/>
        </w:rPr>
        <w:t xml:space="preserve">by 85% </w:t>
      </w:r>
      <w:r w:rsidR="0094107A">
        <w:rPr>
          <w:lang w:eastAsia="zh-CN"/>
        </w:rPr>
        <w:t>in 2023</w:t>
      </w:r>
      <w:r w:rsidR="00EE5E4F">
        <w:rPr>
          <w:lang w:eastAsia="zh-CN"/>
        </w:rPr>
        <w:t>,</w:t>
      </w:r>
      <w:r w:rsidR="0094107A">
        <w:rPr>
          <w:lang w:eastAsia="zh-CN"/>
        </w:rPr>
        <w:t xml:space="preserve"> from </w:t>
      </w:r>
      <w:r w:rsidR="008D37E1">
        <w:rPr>
          <w:lang w:eastAsia="zh-CN"/>
        </w:rPr>
        <w:t>12.2</w:t>
      </w:r>
      <w:r w:rsidR="00EE5E4F">
        <w:rPr>
          <w:lang w:eastAsia="zh-CN"/>
        </w:rPr>
        <w:t> </w:t>
      </w:r>
      <w:r w:rsidR="008D37E1">
        <w:rPr>
          <w:lang w:eastAsia="zh-CN"/>
        </w:rPr>
        <w:t>million seats to 22.6 million seats in 2023</w:t>
      </w:r>
      <w:r w:rsidR="00927AF3">
        <w:rPr>
          <w:lang w:eastAsia="zh-CN"/>
        </w:rPr>
        <w:t xml:space="preserve"> (Figure 2</w:t>
      </w:r>
      <w:r w:rsidR="009C0909">
        <w:rPr>
          <w:lang w:eastAsia="zh-CN"/>
        </w:rPr>
        <w:t>7</w:t>
      </w:r>
      <w:r w:rsidR="00971895">
        <w:rPr>
          <w:lang w:eastAsia="zh-CN"/>
        </w:rPr>
        <w:t>, right panel</w:t>
      </w:r>
      <w:r w:rsidR="00927AF3">
        <w:rPr>
          <w:lang w:eastAsia="zh-CN"/>
        </w:rPr>
        <w:t>)</w:t>
      </w:r>
      <w:r w:rsidR="008D37E1">
        <w:rPr>
          <w:lang w:eastAsia="zh-CN"/>
        </w:rPr>
        <w:t xml:space="preserve">. </w:t>
      </w:r>
      <w:r w:rsidR="006C3EEF">
        <w:rPr>
          <w:lang w:eastAsia="zh-CN"/>
        </w:rPr>
        <w:t xml:space="preserve">This was still 16% below the pre-pandemic number of 26.8 million international aviation seats in 2019. </w:t>
      </w:r>
      <w:r w:rsidR="00AF72B8">
        <w:rPr>
          <w:lang w:eastAsia="zh-CN"/>
        </w:rPr>
        <w:t>The average passenger load factor for international flights also increased further in 2023 to 82% overall for the year</w:t>
      </w:r>
      <w:r w:rsidR="003867AA">
        <w:rPr>
          <w:lang w:eastAsia="zh-CN"/>
        </w:rPr>
        <w:t>, which was in line with the pre-pandemic peak.</w:t>
      </w:r>
    </w:p>
    <w:p w14:paraId="3415A6B9" w14:textId="749FA0DC" w:rsidR="002F7490" w:rsidRDefault="008F3F5C" w:rsidP="002F7490">
      <w:pPr>
        <w:rPr>
          <w:lang w:eastAsia="zh-CN"/>
        </w:rPr>
      </w:pPr>
      <w:r>
        <w:rPr>
          <w:lang w:eastAsia="zh-CN"/>
        </w:rPr>
        <w:t>As</w:t>
      </w:r>
      <w:r w:rsidR="002E3044">
        <w:rPr>
          <w:lang w:eastAsia="zh-CN"/>
        </w:rPr>
        <w:t xml:space="preserve"> per</w:t>
      </w:r>
      <w:r>
        <w:rPr>
          <w:lang w:eastAsia="zh-CN"/>
        </w:rPr>
        <w:t xml:space="preserve"> the </w:t>
      </w:r>
      <w:r w:rsidR="002E3044">
        <w:rPr>
          <w:lang w:eastAsia="zh-CN"/>
        </w:rPr>
        <w:t xml:space="preserve">increased </w:t>
      </w:r>
      <w:r>
        <w:rPr>
          <w:lang w:eastAsia="zh-CN"/>
        </w:rPr>
        <w:t>number of seats available, t</w:t>
      </w:r>
      <w:r w:rsidR="002F7490">
        <w:rPr>
          <w:lang w:eastAsia="zh-CN"/>
        </w:rPr>
        <w:t>he number of international flights into Australia also increased markedly in 202</w:t>
      </w:r>
      <w:r>
        <w:rPr>
          <w:lang w:eastAsia="zh-CN"/>
        </w:rPr>
        <w:t>3</w:t>
      </w:r>
      <w:r w:rsidR="558FE779" w:rsidRPr="0D1887DC">
        <w:rPr>
          <w:lang w:eastAsia="zh-CN"/>
        </w:rPr>
        <w:t>,</w:t>
      </w:r>
      <w:r>
        <w:rPr>
          <w:lang w:eastAsia="zh-CN"/>
        </w:rPr>
        <w:t xml:space="preserve"> by 66</w:t>
      </w:r>
      <w:r w:rsidRPr="6F5EAF2F">
        <w:rPr>
          <w:lang w:eastAsia="zh-CN"/>
        </w:rPr>
        <w:t>%</w:t>
      </w:r>
      <w:r w:rsidR="405CD04E" w:rsidRPr="6F5EAF2F">
        <w:rPr>
          <w:lang w:eastAsia="zh-CN"/>
        </w:rPr>
        <w:t>,</w:t>
      </w:r>
      <w:r>
        <w:rPr>
          <w:lang w:eastAsia="zh-CN"/>
        </w:rPr>
        <w:t xml:space="preserve"> to be just 13% below the pre-pande</w:t>
      </w:r>
      <w:r w:rsidR="00E36479">
        <w:rPr>
          <w:lang w:eastAsia="zh-CN"/>
        </w:rPr>
        <w:t>m</w:t>
      </w:r>
      <w:r>
        <w:rPr>
          <w:lang w:eastAsia="zh-CN"/>
        </w:rPr>
        <w:t>ic peak</w:t>
      </w:r>
      <w:r w:rsidR="3BE73A55" w:rsidRPr="0D1887DC">
        <w:rPr>
          <w:lang w:eastAsia="zh-CN"/>
        </w:rPr>
        <w:t>.</w:t>
      </w:r>
      <w:r w:rsidR="00E36479" w:rsidRPr="0D1887DC">
        <w:rPr>
          <w:lang w:eastAsia="zh-CN"/>
        </w:rPr>
        <w:t xml:space="preserve"> </w:t>
      </w:r>
      <w:r w:rsidR="30653DA4" w:rsidRPr="6F5EAF2F">
        <w:rPr>
          <w:lang w:eastAsia="zh-CN"/>
        </w:rPr>
        <w:t>T</w:t>
      </w:r>
      <w:r w:rsidR="00E36479">
        <w:rPr>
          <w:lang w:eastAsia="zh-CN"/>
        </w:rPr>
        <w:t xml:space="preserve">here were </w:t>
      </w:r>
      <w:r w:rsidR="00742E2A">
        <w:rPr>
          <w:lang w:eastAsia="zh-CN"/>
        </w:rPr>
        <w:t>89</w:t>
      </w:r>
      <w:r w:rsidR="00E36479">
        <w:rPr>
          <w:lang w:eastAsia="zh-CN"/>
        </w:rPr>
        <w:t>,</w:t>
      </w:r>
      <w:r w:rsidR="00CA64F0">
        <w:rPr>
          <w:lang w:eastAsia="zh-CN"/>
        </w:rPr>
        <w:t>8</w:t>
      </w:r>
      <w:r w:rsidR="00E36479">
        <w:rPr>
          <w:lang w:eastAsia="zh-CN"/>
        </w:rPr>
        <w:t>00</w:t>
      </w:r>
      <w:r w:rsidR="002F7490">
        <w:rPr>
          <w:lang w:eastAsia="zh-CN"/>
        </w:rPr>
        <w:t xml:space="preserve"> </w:t>
      </w:r>
      <w:r w:rsidR="00E0563B">
        <w:rPr>
          <w:lang w:eastAsia="zh-CN"/>
        </w:rPr>
        <w:t xml:space="preserve">flights into Australia in 2023 </w:t>
      </w:r>
      <w:r w:rsidR="002F7490">
        <w:rPr>
          <w:lang w:eastAsia="zh-CN"/>
        </w:rPr>
        <w:t xml:space="preserve">compared with </w:t>
      </w:r>
      <w:r w:rsidR="00E7098D">
        <w:rPr>
          <w:lang w:eastAsia="zh-CN"/>
        </w:rPr>
        <w:t>103,</w:t>
      </w:r>
      <w:r w:rsidR="00742E2A">
        <w:rPr>
          <w:lang w:eastAsia="zh-CN"/>
        </w:rPr>
        <w:t>2</w:t>
      </w:r>
      <w:r w:rsidR="00E7098D">
        <w:rPr>
          <w:lang w:eastAsia="zh-CN"/>
        </w:rPr>
        <w:t>00 in 2019</w:t>
      </w:r>
      <w:r w:rsidR="00182014">
        <w:rPr>
          <w:lang w:eastAsia="zh-CN"/>
        </w:rPr>
        <w:t>; there were just</w:t>
      </w:r>
      <w:r w:rsidR="00E7098D">
        <w:rPr>
          <w:lang w:eastAsia="zh-CN"/>
        </w:rPr>
        <w:t xml:space="preserve"> </w:t>
      </w:r>
      <w:r w:rsidR="00742E2A">
        <w:rPr>
          <w:lang w:eastAsia="zh-CN"/>
        </w:rPr>
        <w:t>5</w:t>
      </w:r>
      <w:r w:rsidR="00E7098D">
        <w:rPr>
          <w:lang w:eastAsia="zh-CN"/>
        </w:rPr>
        <w:t>4,</w:t>
      </w:r>
      <w:r w:rsidR="00742E2A">
        <w:rPr>
          <w:lang w:eastAsia="zh-CN"/>
        </w:rPr>
        <w:t>1</w:t>
      </w:r>
      <w:r w:rsidR="00E7098D">
        <w:rPr>
          <w:lang w:eastAsia="zh-CN"/>
        </w:rPr>
        <w:t xml:space="preserve">00 </w:t>
      </w:r>
      <w:r w:rsidR="00182014">
        <w:rPr>
          <w:lang w:eastAsia="zh-CN"/>
        </w:rPr>
        <w:t xml:space="preserve">flights </w:t>
      </w:r>
      <w:r w:rsidR="008B3936">
        <w:rPr>
          <w:lang w:eastAsia="zh-CN"/>
        </w:rPr>
        <w:t xml:space="preserve">into Australia </w:t>
      </w:r>
      <w:r w:rsidR="00E7098D">
        <w:rPr>
          <w:lang w:eastAsia="zh-CN"/>
        </w:rPr>
        <w:t>in 2022 and 2</w:t>
      </w:r>
      <w:r w:rsidR="00742E2A">
        <w:rPr>
          <w:lang w:eastAsia="zh-CN"/>
        </w:rPr>
        <w:t>5</w:t>
      </w:r>
      <w:r w:rsidR="00E7098D">
        <w:rPr>
          <w:lang w:eastAsia="zh-CN"/>
        </w:rPr>
        <w:t>,</w:t>
      </w:r>
      <w:r w:rsidR="00742E2A">
        <w:rPr>
          <w:lang w:eastAsia="zh-CN"/>
        </w:rPr>
        <w:t>7</w:t>
      </w:r>
      <w:r w:rsidR="00E7098D">
        <w:rPr>
          <w:lang w:eastAsia="zh-CN"/>
        </w:rPr>
        <w:t>00 in 2021</w:t>
      </w:r>
      <w:r w:rsidR="002F7490">
        <w:rPr>
          <w:lang w:eastAsia="zh-CN"/>
        </w:rPr>
        <w:t>.</w:t>
      </w:r>
    </w:p>
    <w:p w14:paraId="5E2EC543" w14:textId="4DEE3F61" w:rsidR="00C86F42" w:rsidRDefault="00BD5D5C" w:rsidP="008E105C">
      <w:pPr>
        <w:rPr>
          <w:lang w:eastAsia="zh-CN"/>
        </w:rPr>
      </w:pPr>
      <w:r>
        <w:rPr>
          <w:lang w:eastAsia="zh-CN"/>
        </w:rPr>
        <w:t xml:space="preserve">Flight routes to new destinations continued to open in 2023, leading to greater connectivity to some </w:t>
      </w:r>
      <w:r w:rsidR="005B3DD6">
        <w:rPr>
          <w:lang w:eastAsia="zh-CN"/>
        </w:rPr>
        <w:t>regions, while other regions maintained much lower aviation capacity compared to pre-pandemic</w:t>
      </w:r>
      <w:r w:rsidR="00584DFC">
        <w:rPr>
          <w:lang w:eastAsia="zh-CN"/>
        </w:rPr>
        <w:t xml:space="preserve"> </w:t>
      </w:r>
      <w:r w:rsidR="00584DFC">
        <w:t>(Figure 2</w:t>
      </w:r>
      <w:r w:rsidR="00704BE4">
        <w:t>8</w:t>
      </w:r>
      <w:r w:rsidR="00584DFC">
        <w:t>)</w:t>
      </w:r>
      <w:r w:rsidR="005B3DD6">
        <w:rPr>
          <w:lang w:eastAsia="zh-CN"/>
        </w:rPr>
        <w:t xml:space="preserve">. </w:t>
      </w:r>
      <w:r w:rsidR="003948AF">
        <w:rPr>
          <w:lang w:eastAsia="zh-CN"/>
        </w:rPr>
        <w:t xml:space="preserve">In 2023, </w:t>
      </w:r>
      <w:r w:rsidR="00DE6CB1">
        <w:rPr>
          <w:lang w:eastAsia="zh-CN"/>
        </w:rPr>
        <w:t>81</w:t>
      </w:r>
      <w:r w:rsidR="00DE6CB1" w:rsidRPr="7A4CC3A7">
        <w:rPr>
          <w:lang w:eastAsia="zh-CN"/>
        </w:rPr>
        <w:t>%</w:t>
      </w:r>
      <w:r w:rsidR="00DE6CB1">
        <w:rPr>
          <w:lang w:eastAsia="zh-CN"/>
        </w:rPr>
        <w:t xml:space="preserve"> of the more than 10 million additional international seats into Australia came from South-East Asia</w:t>
      </w:r>
      <w:r w:rsidR="00DC74A4">
        <w:rPr>
          <w:lang w:eastAsia="zh-CN"/>
        </w:rPr>
        <w:t xml:space="preserve"> (3.5</w:t>
      </w:r>
      <w:r w:rsidR="1787E6A3" w:rsidRPr="0BD026BA">
        <w:rPr>
          <w:lang w:eastAsia="zh-CN"/>
        </w:rPr>
        <w:t xml:space="preserve"> million</w:t>
      </w:r>
      <w:r w:rsidR="00DC74A4">
        <w:rPr>
          <w:lang w:eastAsia="zh-CN"/>
        </w:rPr>
        <w:t>)</w:t>
      </w:r>
      <w:r w:rsidR="00DE6CB1">
        <w:rPr>
          <w:lang w:eastAsia="zh-CN"/>
        </w:rPr>
        <w:t>,</w:t>
      </w:r>
      <w:r w:rsidR="1787E6A3" w:rsidRPr="0BD026BA">
        <w:rPr>
          <w:lang w:eastAsia="zh-CN"/>
        </w:rPr>
        <w:t xml:space="preserve"> </w:t>
      </w:r>
      <w:r w:rsidR="00601843">
        <w:rPr>
          <w:lang w:eastAsia="zh-CN"/>
        </w:rPr>
        <w:t>North</w:t>
      </w:r>
      <w:r w:rsidR="00647B2E">
        <w:rPr>
          <w:lang w:eastAsia="zh-CN"/>
        </w:rPr>
        <w:t>-</w:t>
      </w:r>
      <w:r w:rsidR="00601843">
        <w:rPr>
          <w:lang w:eastAsia="zh-CN"/>
        </w:rPr>
        <w:t xml:space="preserve">East Asia </w:t>
      </w:r>
      <w:r w:rsidR="00DC74A4">
        <w:rPr>
          <w:lang w:eastAsia="zh-CN"/>
        </w:rPr>
        <w:t xml:space="preserve">(2.9 million) </w:t>
      </w:r>
      <w:r w:rsidR="00601843">
        <w:rPr>
          <w:lang w:eastAsia="zh-CN"/>
        </w:rPr>
        <w:t xml:space="preserve">and </w:t>
      </w:r>
      <w:r w:rsidR="00601843" w:rsidRPr="69362B02">
        <w:rPr>
          <w:lang w:eastAsia="zh-CN"/>
        </w:rPr>
        <w:t>New</w:t>
      </w:r>
      <w:r w:rsidR="00601843">
        <w:rPr>
          <w:lang w:eastAsia="zh-CN"/>
        </w:rPr>
        <w:t xml:space="preserve"> Zealand</w:t>
      </w:r>
      <w:r w:rsidR="00DC74A4">
        <w:rPr>
          <w:lang w:eastAsia="zh-CN"/>
        </w:rPr>
        <w:t xml:space="preserve"> (2 million)</w:t>
      </w:r>
      <w:r w:rsidR="00601843" w:rsidRPr="69362B02">
        <w:rPr>
          <w:lang w:eastAsia="zh-CN"/>
        </w:rPr>
        <w:t>.</w:t>
      </w:r>
      <w:r w:rsidR="00D4769E">
        <w:rPr>
          <w:lang w:eastAsia="zh-CN"/>
        </w:rPr>
        <w:t xml:space="preserve"> </w:t>
      </w:r>
      <w:r w:rsidR="006542A7">
        <w:rPr>
          <w:lang w:eastAsia="zh-CN"/>
        </w:rPr>
        <w:t>The number of seats available</w:t>
      </w:r>
      <w:r w:rsidR="00D4769E">
        <w:rPr>
          <w:lang w:eastAsia="zh-CN"/>
        </w:rPr>
        <w:t xml:space="preserve"> </w:t>
      </w:r>
      <w:r w:rsidR="006542A7">
        <w:rPr>
          <w:lang w:eastAsia="zh-CN"/>
        </w:rPr>
        <w:t xml:space="preserve">from South Asia was more than double the </w:t>
      </w:r>
      <w:r w:rsidR="00C92F37">
        <w:rPr>
          <w:lang w:eastAsia="zh-CN"/>
        </w:rPr>
        <w:t xml:space="preserve">2019 level in 2023, </w:t>
      </w:r>
      <w:r w:rsidR="00075B30">
        <w:rPr>
          <w:lang w:eastAsia="zh-CN"/>
        </w:rPr>
        <w:t>and</w:t>
      </w:r>
      <w:r w:rsidR="00A30234">
        <w:rPr>
          <w:lang w:eastAsia="zh-CN"/>
        </w:rPr>
        <w:t xml:space="preserve"> this was the only region that had more aviation capacity overall in 2023 than it did in 2019. The number of flight seats was </w:t>
      </w:r>
      <w:r w:rsidR="00C92F37">
        <w:rPr>
          <w:lang w:eastAsia="zh-CN"/>
        </w:rPr>
        <w:t xml:space="preserve">close to the pre-pandemic level for </w:t>
      </w:r>
      <w:r w:rsidR="00693849">
        <w:rPr>
          <w:lang w:eastAsia="zh-CN"/>
        </w:rPr>
        <w:t>South-East Asia, Europe</w:t>
      </w:r>
      <w:r w:rsidR="00462739">
        <w:rPr>
          <w:lang w:eastAsia="zh-CN"/>
        </w:rPr>
        <w:t>,</w:t>
      </w:r>
      <w:r w:rsidR="00693849">
        <w:rPr>
          <w:lang w:eastAsia="zh-CN"/>
        </w:rPr>
        <w:t xml:space="preserve"> and the Pacific</w:t>
      </w:r>
      <w:r w:rsidR="006665C7">
        <w:rPr>
          <w:lang w:eastAsia="zh-CN"/>
        </w:rPr>
        <w:t xml:space="preserve"> Islands. </w:t>
      </w:r>
      <w:r w:rsidR="00693849">
        <w:rPr>
          <w:lang w:eastAsia="zh-CN"/>
        </w:rPr>
        <w:t xml:space="preserve">However, </w:t>
      </w:r>
      <w:r w:rsidR="0030125B">
        <w:rPr>
          <w:lang w:eastAsia="zh-CN"/>
        </w:rPr>
        <w:t>aviation</w:t>
      </w:r>
      <w:r w:rsidR="00693849">
        <w:rPr>
          <w:lang w:eastAsia="zh-CN"/>
        </w:rPr>
        <w:t xml:space="preserve"> capacity remained below the pre-pandemic level in 2023 for </w:t>
      </w:r>
      <w:r w:rsidR="0030125B">
        <w:rPr>
          <w:lang w:eastAsia="zh-CN"/>
        </w:rPr>
        <w:t xml:space="preserve">seats into Australia from </w:t>
      </w:r>
      <w:r w:rsidR="00A40A05">
        <w:rPr>
          <w:lang w:eastAsia="zh-CN"/>
        </w:rPr>
        <w:t xml:space="preserve">Africa, </w:t>
      </w:r>
      <w:r w:rsidR="0030125B">
        <w:rPr>
          <w:lang w:eastAsia="zh-CN"/>
        </w:rPr>
        <w:t>North</w:t>
      </w:r>
      <w:r w:rsidR="00647B2E">
        <w:rPr>
          <w:lang w:eastAsia="zh-CN"/>
        </w:rPr>
        <w:t>-</w:t>
      </w:r>
      <w:r w:rsidR="0030125B">
        <w:rPr>
          <w:lang w:eastAsia="zh-CN"/>
        </w:rPr>
        <w:t>East Asia,</w:t>
      </w:r>
      <w:r w:rsidR="006665C7">
        <w:rPr>
          <w:lang w:eastAsia="zh-CN"/>
        </w:rPr>
        <w:t xml:space="preserve"> and</w:t>
      </w:r>
      <w:r w:rsidR="0030125B">
        <w:rPr>
          <w:lang w:eastAsia="zh-CN"/>
        </w:rPr>
        <w:t xml:space="preserve"> South America</w:t>
      </w:r>
      <w:r w:rsidR="00C50C8F">
        <w:rPr>
          <w:lang w:eastAsia="zh-CN"/>
        </w:rPr>
        <w:t>.</w:t>
      </w:r>
    </w:p>
    <w:p w14:paraId="486EEE67" w14:textId="144D0043" w:rsidR="002F7490" w:rsidRDefault="001B2989" w:rsidP="008E105C">
      <w:pPr>
        <w:rPr>
          <w:lang w:eastAsia="zh-CN"/>
        </w:rPr>
      </w:pPr>
      <w:r>
        <w:rPr>
          <w:lang w:eastAsia="zh-CN"/>
        </w:rPr>
        <w:t xml:space="preserve">The </w:t>
      </w:r>
      <w:r w:rsidR="00704AB4">
        <w:rPr>
          <w:lang w:eastAsia="zh-CN"/>
        </w:rPr>
        <w:t xml:space="preserve">forward schedule for the </w:t>
      </w:r>
      <w:r>
        <w:rPr>
          <w:lang w:eastAsia="zh-CN"/>
        </w:rPr>
        <w:t xml:space="preserve">number of flights </w:t>
      </w:r>
      <w:r w:rsidR="00704AB4">
        <w:rPr>
          <w:lang w:eastAsia="zh-CN"/>
        </w:rPr>
        <w:t xml:space="preserve">into Australia </w:t>
      </w:r>
      <w:r w:rsidR="00F55ADF">
        <w:rPr>
          <w:lang w:eastAsia="zh-CN"/>
        </w:rPr>
        <w:t xml:space="preserve">suggests further </w:t>
      </w:r>
      <w:r w:rsidR="00704AB4">
        <w:rPr>
          <w:lang w:eastAsia="zh-CN"/>
        </w:rPr>
        <w:t xml:space="preserve">increases in 2024 compared </w:t>
      </w:r>
      <w:r w:rsidR="00F55ADF">
        <w:rPr>
          <w:lang w:eastAsia="zh-CN"/>
        </w:rPr>
        <w:t>with</w:t>
      </w:r>
      <w:r w:rsidR="00704AB4">
        <w:rPr>
          <w:lang w:eastAsia="zh-CN"/>
        </w:rPr>
        <w:t xml:space="preserve"> 2023.  </w:t>
      </w:r>
    </w:p>
    <w:p w14:paraId="7E3EC48A" w14:textId="77777777" w:rsidR="00803701" w:rsidRDefault="00803701" w:rsidP="00803701">
      <w:pPr>
        <w:pStyle w:val="Caption"/>
        <w:keepNext/>
        <w:rPr>
          <w:i w:val="0"/>
          <w:iCs w:val="0"/>
          <w:noProof/>
          <w:color w:val="000000" w:themeColor="text1"/>
          <w:sz w:val="22"/>
          <w:szCs w:val="22"/>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Pr>
          <w:b/>
          <w:bCs/>
          <w:i w:val="0"/>
          <w:iCs w:val="0"/>
          <w:noProof/>
          <w:sz w:val="20"/>
          <w:szCs w:val="20"/>
        </w:rPr>
        <w:t>28</w:t>
      </w:r>
      <w:r>
        <w:rPr>
          <w:b/>
          <w:bCs/>
          <w:i w:val="0"/>
          <w:iCs w:val="0"/>
          <w:sz w:val="20"/>
          <w:szCs w:val="20"/>
        </w:rPr>
        <w:fldChar w:fldCharType="end"/>
      </w:r>
      <w:r>
        <w:rPr>
          <w:b/>
          <w:bCs/>
          <w:i w:val="0"/>
          <w:iCs w:val="0"/>
          <w:sz w:val="20"/>
          <w:szCs w:val="20"/>
        </w:rPr>
        <w:t xml:space="preserve">. </w:t>
      </w:r>
      <w:r>
        <w:rPr>
          <w:i w:val="0"/>
          <w:iCs w:val="0"/>
          <w:sz w:val="20"/>
          <w:szCs w:val="20"/>
        </w:rPr>
        <w:t>International inbound airline seats available by region for calendar year 2023.</w:t>
      </w:r>
    </w:p>
    <w:p w14:paraId="1271F56E" w14:textId="77390EF8" w:rsidR="00BA0140" w:rsidRDefault="004F6370" w:rsidP="00ED0FDB">
      <w:pPr>
        <w:spacing w:before="0" w:after="0" w:line="257" w:lineRule="auto"/>
        <w:rPr>
          <w:lang w:eastAsia="zh-CN"/>
        </w:rPr>
      </w:pPr>
      <w:r>
        <w:rPr>
          <w:noProof/>
        </w:rPr>
        <w:drawing>
          <wp:inline distT="0" distB="0" distL="0" distR="0" wp14:anchorId="76E68DAC" wp14:editId="7560C0A7">
            <wp:extent cx="6590000" cy="2990850"/>
            <wp:effectExtent l="0" t="0" r="1905" b="0"/>
            <wp:docPr id="1383549160" name="Picture 1" descr="Figure 28 shows a map of the world with lines radiating out of Australia to regions across the globe. The lines are varying thicknesses, in line with the amount of inbound aviation capacity available between Australia and that region. There is also a data box with a bar chart and values showing how the number of inbound seats and inbound flights from each region has changed in December 2023 compared with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49160" name="Picture 1" descr="Figure 28 shows a map of the world with lines radiating out of Australia to regions across the globe. The lines are varying thicknesses, in line with the amount of inbound aviation capacity available between Australia and that region. There is also a data box with a bar chart and values showing how the number of inbound seats and inbound flights from each region has changed in December 2023 compared with in 2019. "/>
                    <pic:cNvPicPr/>
                  </pic:nvPicPr>
                  <pic:blipFill rotWithShape="1">
                    <a:blip r:embed="rId61"/>
                    <a:srcRect l="3018" t="3805" r="2584" b="22112"/>
                    <a:stretch/>
                  </pic:blipFill>
                  <pic:spPr bwMode="auto">
                    <a:xfrm>
                      <a:off x="0" y="0"/>
                      <a:ext cx="6610034" cy="2999942"/>
                    </a:xfrm>
                    <a:prstGeom prst="rect">
                      <a:avLst/>
                    </a:prstGeom>
                    <a:ln>
                      <a:noFill/>
                    </a:ln>
                    <a:extLst>
                      <a:ext uri="{53640926-AAD7-44D8-BBD7-CCE9431645EC}">
                        <a14:shadowObscured xmlns:a14="http://schemas.microsoft.com/office/drawing/2010/main"/>
                      </a:ext>
                    </a:extLst>
                  </pic:spPr>
                </pic:pic>
              </a:graphicData>
            </a:graphic>
          </wp:inline>
        </w:drawing>
      </w:r>
    </w:p>
    <w:p w14:paraId="38E12559" w14:textId="6724DAC6" w:rsidR="00BA0140" w:rsidRDefault="00BA0140" w:rsidP="00ED0FDB">
      <w:pPr>
        <w:pStyle w:val="Caption"/>
        <w:rPr>
          <w:i w:val="0"/>
          <w:iCs w:val="0"/>
          <w:color w:val="auto"/>
        </w:rPr>
      </w:pPr>
      <w:bookmarkStart w:id="83" w:name="_Hlk134708545"/>
      <w:r>
        <w:rPr>
          <w:i w:val="0"/>
          <w:iCs w:val="0"/>
          <w:color w:val="auto"/>
        </w:rPr>
        <w:t>Source: BITRE, International Airline</w:t>
      </w:r>
      <w:r w:rsidR="00015300">
        <w:rPr>
          <w:i w:val="0"/>
          <w:iCs w:val="0"/>
          <w:color w:val="auto"/>
        </w:rPr>
        <w:t xml:space="preserve"> Activity, </w:t>
      </w:r>
      <w:r>
        <w:rPr>
          <w:i w:val="0"/>
          <w:iCs w:val="0"/>
          <w:color w:val="auto"/>
        </w:rPr>
        <w:t>Flight</w:t>
      </w:r>
      <w:r w:rsidR="00545022">
        <w:rPr>
          <w:i w:val="0"/>
          <w:iCs w:val="0"/>
          <w:color w:val="auto"/>
        </w:rPr>
        <w:t xml:space="preserve"> </w:t>
      </w:r>
      <w:r>
        <w:rPr>
          <w:i w:val="0"/>
          <w:iCs w:val="0"/>
          <w:color w:val="auto"/>
        </w:rPr>
        <w:t>seats</w:t>
      </w:r>
      <w:r w:rsidR="00545022">
        <w:rPr>
          <w:i w:val="0"/>
          <w:iCs w:val="0"/>
          <w:color w:val="auto"/>
        </w:rPr>
        <w:t xml:space="preserve">, </w:t>
      </w:r>
      <w:r w:rsidR="00ED0FDB">
        <w:rPr>
          <w:i w:val="0"/>
          <w:iCs w:val="0"/>
          <w:color w:val="auto"/>
        </w:rPr>
        <w:t xml:space="preserve">data </w:t>
      </w:r>
      <w:r w:rsidR="002E7E34">
        <w:rPr>
          <w:i w:val="0"/>
          <w:iCs w:val="0"/>
          <w:color w:val="auto"/>
        </w:rPr>
        <w:t>to December 2023 as at March 2024.</w:t>
      </w:r>
    </w:p>
    <w:p w14:paraId="2A6744C1" w14:textId="14803879" w:rsidR="006F3C54" w:rsidRDefault="006F3C54" w:rsidP="002E7E34">
      <w:pPr>
        <w:pStyle w:val="Heading4"/>
        <w:spacing w:before="240"/>
        <w:rPr>
          <w:lang w:eastAsia="zh-CN"/>
        </w:rPr>
      </w:pPr>
      <w:bookmarkStart w:id="84" w:name="_Toc135990466"/>
      <w:bookmarkEnd w:id="83"/>
      <w:r>
        <w:rPr>
          <w:lang w:eastAsia="zh-CN"/>
        </w:rPr>
        <w:t>Air fares</w:t>
      </w:r>
    </w:p>
    <w:p w14:paraId="676C85CD" w14:textId="0CC6F4E5" w:rsidR="00F22F6D" w:rsidRDefault="004107CA" w:rsidP="006F3C54">
      <w:pPr>
        <w:rPr>
          <w:lang w:eastAsia="zh-CN"/>
        </w:rPr>
      </w:pPr>
      <w:r>
        <w:rPr>
          <w:lang w:eastAsia="zh-CN"/>
        </w:rPr>
        <w:t xml:space="preserve">Domestic airfares </w:t>
      </w:r>
      <w:r w:rsidR="00E90E83">
        <w:rPr>
          <w:lang w:eastAsia="zh-CN"/>
        </w:rPr>
        <w:t xml:space="preserve">have been volatile for the past few years in response to the major changes </w:t>
      </w:r>
      <w:r w:rsidR="006005DA">
        <w:rPr>
          <w:lang w:eastAsia="zh-CN"/>
        </w:rPr>
        <w:t>when air travel was extremely limited during 2020 and 2021</w:t>
      </w:r>
      <w:r w:rsidR="004019BD">
        <w:rPr>
          <w:lang w:eastAsia="zh-CN"/>
        </w:rPr>
        <w:t xml:space="preserve"> </w:t>
      </w:r>
      <w:r w:rsidR="1C1A6C89" w:rsidRPr="28CB8C22">
        <w:rPr>
          <w:lang w:eastAsia="zh-CN"/>
        </w:rPr>
        <w:t xml:space="preserve">and </w:t>
      </w:r>
      <w:r w:rsidR="004019BD">
        <w:rPr>
          <w:lang w:eastAsia="zh-CN"/>
        </w:rPr>
        <w:t xml:space="preserve">then </w:t>
      </w:r>
      <w:r w:rsidR="004019BD" w:rsidRPr="372EB067">
        <w:rPr>
          <w:lang w:eastAsia="zh-CN"/>
        </w:rPr>
        <w:t>fac</w:t>
      </w:r>
      <w:r w:rsidR="19828C5D" w:rsidRPr="372EB067">
        <w:rPr>
          <w:lang w:eastAsia="zh-CN"/>
        </w:rPr>
        <w:t>ed</w:t>
      </w:r>
      <w:r w:rsidR="004019BD">
        <w:rPr>
          <w:lang w:eastAsia="zh-CN"/>
        </w:rPr>
        <w:t xml:space="preserve"> pressure to rapidly return </w:t>
      </w:r>
      <w:r w:rsidR="00E90E83">
        <w:rPr>
          <w:lang w:eastAsia="zh-CN"/>
        </w:rPr>
        <w:t xml:space="preserve">in </w:t>
      </w:r>
      <w:r w:rsidR="004019BD">
        <w:rPr>
          <w:lang w:eastAsia="zh-CN"/>
        </w:rPr>
        <w:t xml:space="preserve">2022. Overall, in 2023, </w:t>
      </w:r>
      <w:r w:rsidR="002A1A03">
        <w:rPr>
          <w:lang w:eastAsia="zh-CN"/>
        </w:rPr>
        <w:t xml:space="preserve">airfares were more stable and </w:t>
      </w:r>
      <w:r w:rsidR="00E90F5D">
        <w:rPr>
          <w:lang w:eastAsia="zh-CN"/>
        </w:rPr>
        <w:t xml:space="preserve">business class and economy class airfares </w:t>
      </w:r>
      <w:r w:rsidR="006776F4">
        <w:rPr>
          <w:lang w:eastAsia="zh-CN"/>
        </w:rPr>
        <w:t>remained</w:t>
      </w:r>
      <w:r w:rsidR="00E90F5D">
        <w:rPr>
          <w:lang w:eastAsia="zh-CN"/>
        </w:rPr>
        <w:t xml:space="preserve"> lower than </w:t>
      </w:r>
      <w:r w:rsidR="003B56D9">
        <w:rPr>
          <w:lang w:eastAsia="zh-CN"/>
        </w:rPr>
        <w:t>they were before the pandemic</w:t>
      </w:r>
      <w:r w:rsidR="001B457F">
        <w:rPr>
          <w:lang w:eastAsia="zh-CN"/>
        </w:rPr>
        <w:t xml:space="preserve"> (Figure</w:t>
      </w:r>
      <w:r w:rsidR="00255FF7">
        <w:rPr>
          <w:lang w:eastAsia="zh-CN"/>
        </w:rPr>
        <w:t xml:space="preserve"> </w:t>
      </w:r>
      <w:r w:rsidR="001B457F">
        <w:rPr>
          <w:lang w:eastAsia="zh-CN"/>
        </w:rPr>
        <w:t>2</w:t>
      </w:r>
      <w:r w:rsidR="00A30942">
        <w:rPr>
          <w:lang w:eastAsia="zh-CN"/>
        </w:rPr>
        <w:t>9</w:t>
      </w:r>
      <w:r w:rsidR="001B457F">
        <w:rPr>
          <w:lang w:eastAsia="zh-CN"/>
        </w:rPr>
        <w:t>)</w:t>
      </w:r>
      <w:r w:rsidR="00D02160">
        <w:rPr>
          <w:lang w:eastAsia="zh-CN"/>
        </w:rPr>
        <w:t xml:space="preserve">. </w:t>
      </w:r>
    </w:p>
    <w:p w14:paraId="71CB67E4" w14:textId="488AB912" w:rsidR="00440CBF" w:rsidRDefault="00F22F6D" w:rsidP="006F3C54">
      <w:pPr>
        <w:rPr>
          <w:lang w:eastAsia="zh-CN"/>
        </w:rPr>
      </w:pPr>
      <w:r>
        <w:rPr>
          <w:lang w:eastAsia="zh-CN"/>
        </w:rPr>
        <w:t>Data from the BITRE</w:t>
      </w:r>
      <w:r w:rsidR="00CE1DF1">
        <w:rPr>
          <w:rStyle w:val="FootnoteReference"/>
          <w:lang w:eastAsia="zh-CN"/>
        </w:rPr>
        <w:footnoteReference w:id="24"/>
      </w:r>
      <w:r>
        <w:rPr>
          <w:lang w:eastAsia="zh-CN"/>
        </w:rPr>
        <w:t xml:space="preserve"> </w:t>
      </w:r>
      <w:r w:rsidR="00371A75">
        <w:rPr>
          <w:lang w:eastAsia="zh-CN"/>
        </w:rPr>
        <w:t>index o</w:t>
      </w:r>
      <w:r w:rsidR="00440CBF">
        <w:rPr>
          <w:lang w:eastAsia="zh-CN"/>
        </w:rPr>
        <w:t>f domestic air fares</w:t>
      </w:r>
      <w:r w:rsidR="005931B5">
        <w:rPr>
          <w:rStyle w:val="FootnoteReference"/>
          <w:lang w:eastAsia="zh-CN"/>
        </w:rPr>
        <w:footnoteReference w:id="25"/>
      </w:r>
      <w:r w:rsidR="00440CBF">
        <w:rPr>
          <w:lang w:eastAsia="zh-CN"/>
        </w:rPr>
        <w:t xml:space="preserve"> shows </w:t>
      </w:r>
      <w:r w:rsidR="006254DA">
        <w:rPr>
          <w:lang w:eastAsia="zh-CN"/>
        </w:rPr>
        <w:t>that</w:t>
      </w:r>
      <w:r w:rsidR="003A5EC8">
        <w:rPr>
          <w:lang w:eastAsia="zh-CN"/>
        </w:rPr>
        <w:t xml:space="preserve"> in 2023, on average</w:t>
      </w:r>
      <w:r w:rsidR="00440CBF">
        <w:rPr>
          <w:lang w:eastAsia="zh-CN"/>
        </w:rPr>
        <w:t>:</w:t>
      </w:r>
    </w:p>
    <w:p w14:paraId="54610570" w14:textId="77777777" w:rsidR="00786A77" w:rsidRDefault="00BA0660" w:rsidP="00B546A2">
      <w:pPr>
        <w:pStyle w:val="ListParagraph"/>
        <w:numPr>
          <w:ilvl w:val="0"/>
          <w:numId w:val="22"/>
        </w:numPr>
        <w:rPr>
          <w:lang w:eastAsia="zh-CN"/>
        </w:rPr>
      </w:pPr>
      <w:r>
        <w:rPr>
          <w:lang w:eastAsia="zh-CN"/>
        </w:rPr>
        <w:t xml:space="preserve">Business class </w:t>
      </w:r>
      <w:r w:rsidR="003A5EC8">
        <w:rPr>
          <w:lang w:eastAsia="zh-CN"/>
        </w:rPr>
        <w:t>air</w:t>
      </w:r>
      <w:r>
        <w:rPr>
          <w:lang w:eastAsia="zh-CN"/>
        </w:rPr>
        <w:t>fares were</w:t>
      </w:r>
      <w:r w:rsidR="003A5EC8">
        <w:rPr>
          <w:lang w:eastAsia="zh-CN"/>
        </w:rPr>
        <w:t xml:space="preserve"> around 20%</w:t>
      </w:r>
      <w:r>
        <w:rPr>
          <w:lang w:eastAsia="zh-CN"/>
        </w:rPr>
        <w:t xml:space="preserve"> </w:t>
      </w:r>
      <w:r w:rsidR="003A5EC8">
        <w:rPr>
          <w:lang w:eastAsia="zh-CN"/>
        </w:rPr>
        <w:t>l</w:t>
      </w:r>
      <w:r>
        <w:rPr>
          <w:lang w:eastAsia="zh-CN"/>
        </w:rPr>
        <w:t>ow</w:t>
      </w:r>
      <w:r w:rsidR="003A5EC8">
        <w:rPr>
          <w:lang w:eastAsia="zh-CN"/>
        </w:rPr>
        <w:t xml:space="preserve">er than </w:t>
      </w:r>
      <w:r w:rsidR="00C47068">
        <w:rPr>
          <w:lang w:eastAsia="zh-CN"/>
        </w:rPr>
        <w:t>in 2019, but around 10% higher than in 2022</w:t>
      </w:r>
      <w:r w:rsidR="7168DC7D" w:rsidRPr="1D0839E9">
        <w:rPr>
          <w:lang w:eastAsia="zh-CN"/>
        </w:rPr>
        <w:t>.</w:t>
      </w:r>
      <w:r>
        <w:rPr>
          <w:lang w:eastAsia="zh-CN"/>
        </w:rPr>
        <w:t xml:space="preserve"> </w:t>
      </w:r>
    </w:p>
    <w:p w14:paraId="4CED1294" w14:textId="63BFE92B" w:rsidR="00786A77" w:rsidRDefault="00786A77" w:rsidP="00B546A2">
      <w:pPr>
        <w:pStyle w:val="ListParagraph"/>
        <w:numPr>
          <w:ilvl w:val="0"/>
          <w:numId w:val="22"/>
        </w:numPr>
        <w:rPr>
          <w:lang w:eastAsia="zh-CN"/>
        </w:rPr>
      </w:pPr>
      <w:r>
        <w:rPr>
          <w:lang w:eastAsia="zh-CN"/>
        </w:rPr>
        <w:t>Economy class fares were around 7%</w:t>
      </w:r>
      <w:r w:rsidRPr="00DC40C9">
        <w:rPr>
          <w:lang w:eastAsia="zh-CN"/>
        </w:rPr>
        <w:t xml:space="preserve"> </w:t>
      </w:r>
      <w:r>
        <w:rPr>
          <w:lang w:eastAsia="zh-CN"/>
        </w:rPr>
        <w:t xml:space="preserve">lower than in 2019, but around 15% higher than in </w:t>
      </w:r>
      <w:r w:rsidR="00C47068">
        <w:rPr>
          <w:lang w:eastAsia="zh-CN"/>
        </w:rPr>
        <w:t>the previous year</w:t>
      </w:r>
      <w:r>
        <w:rPr>
          <w:lang w:eastAsia="zh-CN"/>
        </w:rPr>
        <w:t>.</w:t>
      </w:r>
    </w:p>
    <w:p w14:paraId="3A4FE824" w14:textId="23BA7893" w:rsidR="00786A77" w:rsidRDefault="00786A77" w:rsidP="00B546A2">
      <w:pPr>
        <w:pStyle w:val="ListParagraph"/>
        <w:numPr>
          <w:ilvl w:val="0"/>
          <w:numId w:val="22"/>
        </w:numPr>
        <w:rPr>
          <w:lang w:eastAsia="zh-CN"/>
        </w:rPr>
      </w:pPr>
      <w:r>
        <w:rPr>
          <w:lang w:eastAsia="zh-CN"/>
        </w:rPr>
        <w:t>Best discount airfares were 27% above the pre-pandemic level</w:t>
      </w:r>
      <w:r w:rsidR="00EF09B1">
        <w:rPr>
          <w:lang w:eastAsia="zh-CN"/>
        </w:rPr>
        <w:t xml:space="preserve">, but unchanged </w:t>
      </w:r>
      <w:r w:rsidR="00765752">
        <w:rPr>
          <w:lang w:eastAsia="zh-CN"/>
        </w:rPr>
        <w:t>on average in the year compared to the average of the previous year.</w:t>
      </w:r>
    </w:p>
    <w:p w14:paraId="23A25ACF" w14:textId="0B54B447" w:rsidR="006F3C54" w:rsidRPr="00181AF1" w:rsidRDefault="00565132" w:rsidP="00FA7396">
      <w:pPr>
        <w:pStyle w:val="Caption"/>
        <w:keepNext/>
        <w:spacing w:line="300" w:lineRule="atLeast"/>
        <w:rPr>
          <w:b/>
          <w:bCs/>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A30942">
        <w:rPr>
          <w:b/>
          <w:bCs/>
          <w:i w:val="0"/>
          <w:iCs w:val="0"/>
          <w:noProof/>
          <w:sz w:val="20"/>
          <w:szCs w:val="20"/>
        </w:rPr>
        <w:t>29</w:t>
      </w:r>
      <w:r>
        <w:rPr>
          <w:b/>
          <w:bCs/>
          <w:i w:val="0"/>
          <w:iCs w:val="0"/>
          <w:sz w:val="20"/>
          <w:szCs w:val="20"/>
        </w:rPr>
        <w:fldChar w:fldCharType="end"/>
      </w:r>
      <w:r>
        <w:rPr>
          <w:b/>
          <w:bCs/>
          <w:i w:val="0"/>
          <w:iCs w:val="0"/>
          <w:sz w:val="20"/>
          <w:szCs w:val="20"/>
        </w:rPr>
        <w:t xml:space="preserve">. </w:t>
      </w:r>
      <w:r w:rsidR="00181AF1" w:rsidRPr="00BA0660">
        <w:rPr>
          <w:i w:val="0"/>
          <w:iCs w:val="0"/>
          <w:sz w:val="20"/>
          <w:szCs w:val="20"/>
        </w:rPr>
        <w:t>Domestic airfares by category</w:t>
      </w:r>
      <w:r w:rsidR="00BA0660" w:rsidRPr="00BA0660">
        <w:rPr>
          <w:i w:val="0"/>
          <w:iCs w:val="0"/>
          <w:sz w:val="20"/>
          <w:szCs w:val="20"/>
        </w:rPr>
        <w:t xml:space="preserve">, </w:t>
      </w:r>
      <w:r w:rsidR="00293ECC">
        <w:rPr>
          <w:i w:val="0"/>
          <w:iCs w:val="0"/>
          <w:sz w:val="20"/>
          <w:szCs w:val="20"/>
        </w:rPr>
        <w:t>smoothed</w:t>
      </w:r>
      <w:r w:rsidR="00BA0660" w:rsidRPr="00BA0660">
        <w:rPr>
          <w:i w:val="0"/>
          <w:iCs w:val="0"/>
          <w:sz w:val="20"/>
          <w:szCs w:val="20"/>
        </w:rPr>
        <w:t xml:space="preserve"> index level, January 2014 to March 2024.</w:t>
      </w:r>
    </w:p>
    <w:p w14:paraId="67226688" w14:textId="0C0D36BA" w:rsidR="00CD0107" w:rsidRDefault="0024676D" w:rsidP="00181AF1">
      <w:pPr>
        <w:spacing w:line="300" w:lineRule="atLeast"/>
        <w:rPr>
          <w:lang w:eastAsia="zh-CN"/>
        </w:rPr>
      </w:pPr>
      <w:r w:rsidRPr="0024676D">
        <w:rPr>
          <w:noProof/>
        </w:rPr>
        <w:drawing>
          <wp:inline distT="0" distB="0" distL="0" distR="0" wp14:anchorId="3781CFBD" wp14:editId="710BC3A0">
            <wp:extent cx="6329680" cy="3657600"/>
            <wp:effectExtent l="0" t="0" r="0" b="0"/>
            <wp:docPr id="1609728998" name="Picture 10" descr="Figure 29 is a line chart showing 3 series of Australian domestic air fare indexes: Business, Economy, and Best discount air fares for the period of 2014 through to March 2024. The values have been smooted and there is a shaded area over the volatile period of data that was affected by the COVID-19 pandemic. The economy air fare and Business air fares index remain below 100 i.e. below where they were in July 2019. The Best discount air fare index was above 100 but below its level la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8998" name="Picture 10" descr="Figure 29 is a line chart showing 3 series of Australian domestic air fare indexes: Business, Economy, and Best discount air fares for the period of 2014 through to March 2024. The values have been smooted and there is a shaded area over the volatile period of data that was affected by the COVID-19 pandemic. The economy air fare and Business air fares index remain below 100 i.e. below where they were in July 2019. The Best discount air fare index was above 100 but below its level last yea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9680" cy="3657600"/>
                    </a:xfrm>
                    <a:prstGeom prst="rect">
                      <a:avLst/>
                    </a:prstGeom>
                    <a:noFill/>
                    <a:ln>
                      <a:noFill/>
                    </a:ln>
                  </pic:spPr>
                </pic:pic>
              </a:graphicData>
            </a:graphic>
          </wp:inline>
        </w:drawing>
      </w:r>
    </w:p>
    <w:p w14:paraId="38007060" w14:textId="77777777" w:rsidR="007D3752" w:rsidRDefault="007D3752" w:rsidP="007D3752">
      <w:pPr>
        <w:rPr>
          <w:lang w:eastAsia="zh-CN"/>
        </w:rPr>
      </w:pPr>
      <w:r>
        <w:rPr>
          <w:lang w:eastAsia="zh-CN"/>
        </w:rPr>
        <w:t>The BITRE’s CPI-adjusted air fares indexes show that in 2023, on average:</w:t>
      </w:r>
    </w:p>
    <w:p w14:paraId="03E3DA5C" w14:textId="71B0E0A8" w:rsidR="007D3752" w:rsidRDefault="007D3752" w:rsidP="007D3752">
      <w:pPr>
        <w:pStyle w:val="ListParagraph"/>
        <w:numPr>
          <w:ilvl w:val="0"/>
          <w:numId w:val="22"/>
        </w:numPr>
        <w:rPr>
          <w:lang w:eastAsia="zh-CN"/>
        </w:rPr>
      </w:pPr>
      <w:r>
        <w:rPr>
          <w:lang w:eastAsia="zh-CN"/>
        </w:rPr>
        <w:t xml:space="preserve">real business class fares were 33% lower in 2023 than in 2019, but </w:t>
      </w:r>
      <w:r w:rsidR="00B67774">
        <w:rPr>
          <w:lang w:eastAsia="zh-CN"/>
        </w:rPr>
        <w:t>5</w:t>
      </w:r>
      <w:r>
        <w:rPr>
          <w:lang w:eastAsia="zh-CN"/>
        </w:rPr>
        <w:t xml:space="preserve">% higher than in 2022 on average across the </w:t>
      </w:r>
      <w:proofErr w:type="gramStart"/>
      <w:r>
        <w:rPr>
          <w:lang w:eastAsia="zh-CN"/>
        </w:rPr>
        <w:t>year</w:t>
      </w:r>
      <w:proofErr w:type="gramEnd"/>
    </w:p>
    <w:p w14:paraId="573CB9D6" w14:textId="77777777" w:rsidR="007D3752" w:rsidRDefault="007D3752" w:rsidP="007D3752">
      <w:pPr>
        <w:pStyle w:val="ListParagraph"/>
        <w:numPr>
          <w:ilvl w:val="0"/>
          <w:numId w:val="22"/>
        </w:numPr>
        <w:rPr>
          <w:lang w:eastAsia="zh-CN"/>
        </w:rPr>
      </w:pPr>
      <w:r>
        <w:rPr>
          <w:lang w:eastAsia="zh-CN"/>
        </w:rPr>
        <w:t xml:space="preserve">real economy class fares were on average 20% below the pre-pandemic level in 2023, but 8% higher than the previous </w:t>
      </w:r>
      <w:proofErr w:type="gramStart"/>
      <w:r>
        <w:rPr>
          <w:lang w:eastAsia="zh-CN"/>
        </w:rPr>
        <w:t>year</w:t>
      </w:r>
      <w:proofErr w:type="gramEnd"/>
    </w:p>
    <w:p w14:paraId="429DB9AC" w14:textId="66A3FD2A" w:rsidR="00D74460" w:rsidRDefault="007D3752" w:rsidP="000F5055">
      <w:pPr>
        <w:pStyle w:val="ListParagraph"/>
        <w:numPr>
          <w:ilvl w:val="0"/>
          <w:numId w:val="22"/>
        </w:numPr>
        <w:rPr>
          <w:lang w:eastAsia="zh-CN"/>
        </w:rPr>
      </w:pPr>
      <w:r>
        <w:rPr>
          <w:lang w:eastAsia="zh-CN"/>
        </w:rPr>
        <w:t xml:space="preserve">The best discount airfares index in real terms was 9% higher than </w:t>
      </w:r>
      <w:r w:rsidR="001B1AE3">
        <w:rPr>
          <w:lang w:eastAsia="zh-CN"/>
        </w:rPr>
        <w:t>in</w:t>
      </w:r>
      <w:r>
        <w:rPr>
          <w:lang w:eastAsia="zh-CN"/>
        </w:rPr>
        <w:t xml:space="preserve"> </w:t>
      </w:r>
      <w:proofErr w:type="gramStart"/>
      <w:r>
        <w:rPr>
          <w:lang w:eastAsia="zh-CN"/>
        </w:rPr>
        <w:t>2019, but</w:t>
      </w:r>
      <w:proofErr w:type="gramEnd"/>
      <w:r>
        <w:rPr>
          <w:lang w:eastAsia="zh-CN"/>
        </w:rPr>
        <w:t xml:space="preserve"> was 5% lower than the previous year. Of note, the best discount real air fare in December 2023</w:t>
      </w:r>
      <w:r w:rsidRPr="2D24E978">
        <w:rPr>
          <w:lang w:eastAsia="zh-CN"/>
        </w:rPr>
        <w:t xml:space="preserve"> </w:t>
      </w:r>
      <w:r>
        <w:rPr>
          <w:lang w:eastAsia="zh-CN"/>
        </w:rPr>
        <w:t>was 17% lower than in December 2022.</w:t>
      </w:r>
    </w:p>
    <w:p w14:paraId="034747AE" w14:textId="77777777" w:rsidR="00B5726A" w:rsidRPr="006F3C54" w:rsidRDefault="00B5726A" w:rsidP="00B5726A">
      <w:pPr>
        <w:rPr>
          <w:lang w:eastAsia="zh-CN"/>
        </w:rPr>
      </w:pPr>
    </w:p>
    <w:p w14:paraId="70CD2204" w14:textId="77777777" w:rsidR="004E0791" w:rsidRDefault="004E0791" w:rsidP="000C6663">
      <w:pPr>
        <w:pStyle w:val="Heading4"/>
        <w:pBdr>
          <w:top w:val="thinThickSmallGap" w:sz="24" w:space="1" w:color="2E1A47" w:themeColor="accent2"/>
        </w:pBdr>
      </w:pPr>
      <w:r w:rsidRPr="00736995">
        <w:t>Affordable Airfares Program 2023</w:t>
      </w:r>
    </w:p>
    <w:p w14:paraId="3FDAB6A8" w14:textId="74DAAF68" w:rsidR="00736995" w:rsidRPr="006C38B2" w:rsidRDefault="00736995" w:rsidP="006C38B2">
      <w:pPr>
        <w:rPr>
          <w:rStyle w:val="Emphasis"/>
        </w:rPr>
      </w:pPr>
      <w:r w:rsidRPr="006C38B2">
        <w:rPr>
          <w:rStyle w:val="Emphasis"/>
        </w:rPr>
        <w:t>Case study</w:t>
      </w:r>
      <w:r w:rsidR="00BA5B46" w:rsidRPr="006C38B2">
        <w:rPr>
          <w:rStyle w:val="Emphasis"/>
        </w:rPr>
        <w:t xml:space="preserve"> by Tour</w:t>
      </w:r>
      <w:r w:rsidR="006543F7" w:rsidRPr="006C38B2">
        <w:rPr>
          <w:rStyle w:val="Emphasis"/>
        </w:rPr>
        <w:t>ism Western Australia</w:t>
      </w:r>
    </w:p>
    <w:p w14:paraId="6B26F51F" w14:textId="225B3B6A" w:rsidR="006D435E" w:rsidRPr="00B4125D" w:rsidRDefault="004E0791" w:rsidP="006C38B2">
      <w:pPr>
        <w:rPr>
          <w:rFonts w:eastAsia="Times New Roman" w:cstheme="minorHAnsi"/>
          <w:lang w:eastAsia="en-AU"/>
        </w:rPr>
      </w:pPr>
      <w:r w:rsidRPr="007D21C6">
        <w:rPr>
          <w:rFonts w:eastAsia="Times New Roman" w:cstheme="minorHAnsi"/>
          <w:lang w:eastAsia="en-AU"/>
        </w:rPr>
        <w:t>Tourism Western Australia’s Affordable Airfares Program</w:t>
      </w:r>
      <w:r w:rsidRPr="00B4125D">
        <w:rPr>
          <w:rFonts w:eastAsia="Times New Roman" w:cstheme="minorHAnsi"/>
          <w:lang w:eastAsia="en-AU"/>
        </w:rPr>
        <w:t xml:space="preserve"> was developed to address concerns around the affordability of regional airfares across Western Australia and the impact this was having on tourism, particularly into key tourism hubs in the north of the </w:t>
      </w:r>
      <w:r w:rsidR="00680CB7">
        <w:rPr>
          <w:rFonts w:eastAsia="Times New Roman" w:cstheme="minorHAnsi"/>
          <w:lang w:eastAsia="en-AU"/>
        </w:rPr>
        <w:t>s</w:t>
      </w:r>
      <w:r w:rsidRPr="00B4125D">
        <w:rPr>
          <w:rFonts w:eastAsia="Times New Roman" w:cstheme="minorHAnsi"/>
          <w:lang w:eastAsia="en-AU"/>
        </w:rPr>
        <w:t>tate that rely on air access.</w:t>
      </w:r>
    </w:p>
    <w:p w14:paraId="3D16D040" w14:textId="74988C0B" w:rsidR="006D435E" w:rsidRPr="00B4125D" w:rsidRDefault="004E0791" w:rsidP="006C38B2">
      <w:pPr>
        <w:rPr>
          <w:rFonts w:eastAsia="Times New Roman" w:cstheme="minorHAnsi"/>
          <w:lang w:eastAsia="en-AU"/>
        </w:rPr>
      </w:pPr>
      <w:r w:rsidRPr="3F323A68">
        <w:rPr>
          <w:rFonts w:eastAsia="Times New Roman"/>
          <w:lang w:eastAsia="en-AU"/>
        </w:rPr>
        <w:t>The program was developed and piloted in 2019 and</w:t>
      </w:r>
      <w:r w:rsidR="7EE3600E" w:rsidRPr="3F323A68">
        <w:rPr>
          <w:rFonts w:eastAsia="Times New Roman"/>
          <w:lang w:eastAsia="en-AU"/>
        </w:rPr>
        <w:t>,</w:t>
      </w:r>
      <w:r w:rsidRPr="3F323A68">
        <w:rPr>
          <w:rFonts w:eastAsia="Times New Roman"/>
          <w:lang w:eastAsia="en-AU"/>
        </w:rPr>
        <w:t xml:space="preserve"> after much success and positive feedback from industry, it continue</w:t>
      </w:r>
      <w:r w:rsidR="005841F7" w:rsidRPr="3F323A68">
        <w:rPr>
          <w:rFonts w:eastAsia="Times New Roman"/>
          <w:lang w:eastAsia="en-AU"/>
        </w:rPr>
        <w:t xml:space="preserve">d </w:t>
      </w:r>
      <w:r w:rsidRPr="3F323A68">
        <w:rPr>
          <w:rFonts w:eastAsia="Times New Roman"/>
          <w:lang w:eastAsia="en-AU"/>
        </w:rPr>
        <w:t>in</w:t>
      </w:r>
      <w:r w:rsidR="00A04367" w:rsidRPr="3F323A68">
        <w:rPr>
          <w:rFonts w:eastAsia="Times New Roman"/>
          <w:lang w:eastAsia="en-AU"/>
        </w:rPr>
        <w:t>to</w:t>
      </w:r>
      <w:r w:rsidRPr="3F323A68">
        <w:rPr>
          <w:rFonts w:eastAsia="Times New Roman"/>
          <w:lang w:eastAsia="en-AU"/>
        </w:rPr>
        <w:t xml:space="preserve"> 2024. </w:t>
      </w:r>
    </w:p>
    <w:p w14:paraId="449C2ADB" w14:textId="1F4D7F6D" w:rsidR="006D435E" w:rsidRPr="00B4125D" w:rsidRDefault="004E0791" w:rsidP="006C38B2">
      <w:pPr>
        <w:rPr>
          <w:rFonts w:eastAsia="Times New Roman" w:cstheme="minorHAnsi"/>
          <w:lang w:eastAsia="en-AU"/>
        </w:rPr>
      </w:pPr>
      <w:r w:rsidRPr="00B4125D">
        <w:rPr>
          <w:rFonts w:eastAsia="Times New Roman" w:cstheme="minorHAnsi"/>
          <w:lang w:eastAsia="en-AU"/>
        </w:rPr>
        <w:t xml:space="preserve">The 2023 program delivered affordable airfares on three regional routes from Perth to Broome, Kununurra and Exmouth. Through a competitive Expression of Interest process, Tourism Western Australia worked with Virgin Australia and Qantas to provide 31,270 discounted fares across the three routes between March and December 2023. 84% of discounted fares were utilised as part of </w:t>
      </w:r>
      <w:r w:rsidRPr="00B4125D">
        <w:rPr>
          <w:rFonts w:eastAsia="Times New Roman" w:cstheme="minorHAnsi"/>
          <w:lang w:eastAsia="en-AU"/>
        </w:rPr>
        <w:lastRenderedPageBreak/>
        <w:t xml:space="preserve">the 2023 program, supported by cooperative marketing activity with each airline partner to promote bookings and travel to the regional tourism destinations. </w:t>
      </w:r>
    </w:p>
    <w:p w14:paraId="429469A4" w14:textId="51BBDA3A" w:rsidR="006D435E" w:rsidRPr="00B4125D" w:rsidRDefault="004E0791" w:rsidP="006C38B2">
      <w:pPr>
        <w:rPr>
          <w:rFonts w:eastAsia="Times New Roman" w:cstheme="minorHAnsi"/>
          <w:lang w:eastAsia="en-AU"/>
        </w:rPr>
      </w:pPr>
      <w:r w:rsidRPr="6010B19C">
        <w:rPr>
          <w:rFonts w:eastAsia="Times New Roman"/>
          <w:lang w:eastAsia="en-AU"/>
        </w:rPr>
        <w:t>Industry consultation was conducted by a research consultancy following completion of the 2023 program. The findings highlighted the positive impact on tourism with stakeholders affirming that the program succeeded in driving incremental leisure visitation to the region</w:t>
      </w:r>
      <w:r w:rsidR="1F58D65F" w:rsidRPr="5F1D217A">
        <w:rPr>
          <w:rFonts w:eastAsia="Times New Roman"/>
          <w:lang w:eastAsia="en-AU"/>
        </w:rPr>
        <w:t>. I</w:t>
      </w:r>
      <w:r w:rsidRPr="5F1D217A">
        <w:rPr>
          <w:rFonts w:eastAsia="Times New Roman"/>
          <w:lang w:eastAsia="en-AU"/>
        </w:rPr>
        <w:t>ncreased</w:t>
      </w:r>
      <w:r w:rsidRPr="6010B19C">
        <w:rPr>
          <w:rFonts w:eastAsia="Times New Roman"/>
          <w:lang w:eastAsia="en-AU"/>
        </w:rPr>
        <w:t xml:space="preserve"> affordability ma</w:t>
      </w:r>
      <w:r w:rsidR="005270EA">
        <w:rPr>
          <w:rFonts w:eastAsia="Times New Roman"/>
          <w:lang w:eastAsia="en-AU"/>
        </w:rPr>
        <w:t>de</w:t>
      </w:r>
      <w:r w:rsidRPr="6010B19C">
        <w:rPr>
          <w:rFonts w:eastAsia="Times New Roman"/>
          <w:lang w:eastAsia="en-AU"/>
        </w:rPr>
        <w:t xml:space="preserve"> these destinations competitive travel options and dr</w:t>
      </w:r>
      <w:r w:rsidR="005270EA">
        <w:rPr>
          <w:rFonts w:eastAsia="Times New Roman"/>
          <w:lang w:eastAsia="en-AU"/>
        </w:rPr>
        <w:t>ove</w:t>
      </w:r>
      <w:r w:rsidRPr="6010B19C">
        <w:rPr>
          <w:rFonts w:eastAsia="Times New Roman"/>
          <w:lang w:eastAsia="en-AU"/>
        </w:rPr>
        <w:t xml:space="preserve"> an increase in bookings for local tourism businesses providing an economic boost to the regions.</w:t>
      </w:r>
    </w:p>
    <w:p w14:paraId="7AF3440D" w14:textId="2EAFD4AA" w:rsidR="004E0791" w:rsidRPr="000F7934" w:rsidRDefault="004E0791" w:rsidP="000C6663">
      <w:pPr>
        <w:pBdr>
          <w:bottom w:val="thickThinSmallGap" w:sz="24" w:space="1" w:color="2E1A47" w:themeColor="accent2"/>
        </w:pBdr>
      </w:pPr>
      <w:r w:rsidRPr="000F7934">
        <w:t>The 2024 program is underway and includes a pilot for a fourth regional route, Broome</w:t>
      </w:r>
      <w:r w:rsidR="005270EA">
        <w:noBreakHyphen/>
      </w:r>
      <w:r w:rsidRPr="000F7934">
        <w:t xml:space="preserve">Kununurra, to encourage tourists to visit both Broome and Kununurra on a single itinerary. </w:t>
      </w:r>
    </w:p>
    <w:p w14:paraId="735CAC52" w14:textId="56C55C21" w:rsidR="00BA0140" w:rsidRDefault="00BA0140" w:rsidP="00BA0140">
      <w:pPr>
        <w:pStyle w:val="Heading3"/>
        <w:rPr>
          <w:lang w:eastAsia="zh-CN"/>
        </w:rPr>
      </w:pPr>
      <w:bookmarkStart w:id="85" w:name="_Toc167113892"/>
      <w:r>
        <w:rPr>
          <w:lang w:eastAsia="zh-CN"/>
        </w:rPr>
        <w:t>Employment</w:t>
      </w:r>
      <w:bookmarkEnd w:id="84"/>
      <w:bookmarkEnd w:id="85"/>
    </w:p>
    <w:p w14:paraId="3E05C09C" w14:textId="03208305" w:rsidR="00EC1AF5" w:rsidRDefault="00BA0140" w:rsidP="006E390F">
      <w:r w:rsidRPr="00DD0BD6">
        <w:rPr>
          <w:color w:val="auto"/>
          <w:lang w:eastAsia="zh-CN"/>
        </w:rPr>
        <w:t xml:space="preserve">The pandemic had a devastating impact on the visitor economy </w:t>
      </w:r>
      <w:r w:rsidRPr="008F7F42">
        <w:rPr>
          <w:color w:val="auto"/>
          <w:lang w:eastAsia="zh-CN"/>
        </w:rPr>
        <w:t xml:space="preserve">workforce. </w:t>
      </w:r>
      <w:r w:rsidR="00DD0BD6" w:rsidRPr="008F7F42">
        <w:rPr>
          <w:color w:val="auto"/>
          <w:lang w:eastAsia="zh-CN"/>
        </w:rPr>
        <w:t>Repeated and prolonged closures in 2020</w:t>
      </w:r>
      <w:r w:rsidR="001968CF">
        <w:rPr>
          <w:color w:val="auto"/>
          <w:lang w:eastAsia="zh-CN"/>
        </w:rPr>
        <w:t xml:space="preserve"> and 2021</w:t>
      </w:r>
      <w:r w:rsidR="00DD0BD6" w:rsidRPr="008F7F42">
        <w:rPr>
          <w:color w:val="auto"/>
          <w:lang w:eastAsia="zh-CN"/>
        </w:rPr>
        <w:t xml:space="preserve"> led to workforce reductions for many tourism businesses</w:t>
      </w:r>
      <w:r w:rsidRPr="008F7F42">
        <w:rPr>
          <w:color w:val="auto"/>
          <w:lang w:eastAsia="zh-CN"/>
        </w:rPr>
        <w:t xml:space="preserve">. As demand for travel </w:t>
      </w:r>
      <w:r w:rsidR="000461D4" w:rsidRPr="008F7F42">
        <w:rPr>
          <w:color w:val="auto"/>
          <w:lang w:eastAsia="zh-CN"/>
        </w:rPr>
        <w:t xml:space="preserve">then </w:t>
      </w:r>
      <w:r w:rsidRPr="008F7F42">
        <w:rPr>
          <w:color w:val="auto"/>
          <w:lang w:eastAsia="zh-CN"/>
        </w:rPr>
        <w:t xml:space="preserve">increased, many businesses in the visitor economy faced challenges finding sufficient workers to effectively deliver their operations. </w:t>
      </w:r>
      <w:r w:rsidR="00492B7F">
        <w:rPr>
          <w:color w:val="auto"/>
          <w:lang w:eastAsia="zh-CN"/>
        </w:rPr>
        <w:t xml:space="preserve">In 2022, </w:t>
      </w:r>
      <w:r w:rsidR="005924C7">
        <w:rPr>
          <w:color w:val="auto"/>
          <w:lang w:eastAsia="zh-CN"/>
        </w:rPr>
        <w:t>workforce and skills shortages were prevalent and severe across the visitor economy</w:t>
      </w:r>
      <w:r w:rsidR="00711C4C">
        <w:rPr>
          <w:color w:val="auto"/>
          <w:lang w:eastAsia="zh-CN"/>
        </w:rPr>
        <w:t xml:space="preserve">. </w:t>
      </w:r>
      <w:r w:rsidR="006E390F">
        <w:t>In response to workforce shortages, some businesses reported making changes to their business models</w:t>
      </w:r>
      <w:r w:rsidR="001C4344">
        <w:t xml:space="preserve">, which may </w:t>
      </w:r>
      <w:r w:rsidR="006E390F">
        <w:t xml:space="preserve">reduce their need for workers going forward. </w:t>
      </w:r>
    </w:p>
    <w:p w14:paraId="0E670BC3" w14:textId="72CE84AE" w:rsidR="005270EA" w:rsidRDefault="00EC1AF5" w:rsidP="00904221">
      <w:r>
        <w:t>In 2023, the tourism workforce continued to rebuild, supported by progress in addressing workforce barriers and the return of international migration.</w:t>
      </w:r>
      <w:r w:rsidR="00CF0CF3">
        <w:t xml:space="preserve"> Over the year, tourism filled jobs increased, while vacancies declined. </w:t>
      </w:r>
      <w:r w:rsidR="005A4F35">
        <w:t>A</w:t>
      </w:r>
      <w:r w:rsidR="00962EB8">
        <w:t xml:space="preserve">nalysis suggests the severity of labour shortages eased in 2023, though skills shortages remained elevated relative to the pre-pandemic period, especially for </w:t>
      </w:r>
      <w:proofErr w:type="gramStart"/>
      <w:r w:rsidR="00962EB8">
        <w:t>particular roles</w:t>
      </w:r>
      <w:proofErr w:type="gramEnd"/>
      <w:r w:rsidR="005270EA">
        <w:t xml:space="preserve"> such as </w:t>
      </w:r>
      <w:r w:rsidR="00852C34">
        <w:t>waiters</w:t>
      </w:r>
      <w:r w:rsidR="005270EA">
        <w:t xml:space="preserve"> and chefs</w:t>
      </w:r>
      <w:r w:rsidR="00962EB8">
        <w:t xml:space="preserve">. </w:t>
      </w:r>
    </w:p>
    <w:p w14:paraId="30F93EBA" w14:textId="0A36FC0C" w:rsidR="00904221" w:rsidRPr="007814C2" w:rsidRDefault="00962EB8" w:rsidP="00904221">
      <w:pPr>
        <w:rPr>
          <w:rFonts w:ascii="Segoe UI" w:hAnsi="Segoe UI"/>
          <w:color w:val="000000"/>
          <w:sz w:val="16"/>
          <w:szCs w:val="16"/>
        </w:rPr>
      </w:pPr>
      <w:r w:rsidRPr="00030E11">
        <w:rPr>
          <w:color w:val="auto"/>
        </w:rPr>
        <w:t>In some parts of the visitor economy, the number of employers looking to recruit additional staff has declined and finding suitable labour appears to have become less difficult.</w:t>
      </w:r>
      <w:r w:rsidR="00030E11">
        <w:rPr>
          <w:rStyle w:val="FootnoteReference"/>
          <w:color w:val="auto"/>
        </w:rPr>
        <w:footnoteReference w:id="26"/>
      </w:r>
      <w:r w:rsidRPr="00FA3A2F">
        <w:rPr>
          <w:color w:val="auto"/>
        </w:rPr>
        <w:t xml:space="preserve"> </w:t>
      </w:r>
      <w:r>
        <w:t>International worker numbers</w:t>
      </w:r>
      <w:r w:rsidR="009B1075">
        <w:t xml:space="preserve"> </w:t>
      </w:r>
      <w:r>
        <w:t>have also increase</w:t>
      </w:r>
      <w:r w:rsidR="00A97436">
        <w:t>d</w:t>
      </w:r>
      <w:r>
        <w:t xml:space="preserve"> </w:t>
      </w:r>
      <w:r w:rsidR="00A97436">
        <w:t>significantly</w:t>
      </w:r>
      <w:r>
        <w:t xml:space="preserve">. Over the same time, </w:t>
      </w:r>
      <w:r w:rsidR="00602692">
        <w:t xml:space="preserve">national and state-specific </w:t>
      </w:r>
      <w:r>
        <w:t xml:space="preserve">policy measures have </w:t>
      </w:r>
      <w:r w:rsidR="00412A94">
        <w:t xml:space="preserve">sought to </w:t>
      </w:r>
      <w:r>
        <w:t>support the visitor economy to rebuild its workforce.</w:t>
      </w:r>
      <w:r w:rsidR="00602692">
        <w:t xml:space="preserve"> For example</w:t>
      </w:r>
      <w:r w:rsidR="00A849E1">
        <w:t>:</w:t>
      </w:r>
      <w:r w:rsidR="00602692">
        <w:t xml:space="preserve"> </w:t>
      </w:r>
      <w:r w:rsidR="005A5EC2">
        <w:t xml:space="preserve">Austrade has </w:t>
      </w:r>
      <w:r w:rsidR="007B222C">
        <w:t xml:space="preserve">supported </w:t>
      </w:r>
      <w:r w:rsidR="005D7C06">
        <w:t xml:space="preserve">the </w:t>
      </w:r>
      <w:r w:rsidR="009B1075">
        <w:t xml:space="preserve">Australian Government’s </w:t>
      </w:r>
      <w:r w:rsidR="009C3B02" w:rsidRPr="007814C2">
        <w:rPr>
          <w:rStyle w:val="normaltextrun"/>
          <w:rFonts w:cs="Segoe UI"/>
        </w:rPr>
        <w:t>Disability Employment Local Tourism Navigators Pilot</w:t>
      </w:r>
      <w:r w:rsidR="005D7C06">
        <w:t xml:space="preserve">, </w:t>
      </w:r>
      <w:r w:rsidR="00F42118">
        <w:t>run by the Department of Social Services</w:t>
      </w:r>
      <w:r w:rsidR="00CF4AED">
        <w:t xml:space="preserve">, with </w:t>
      </w:r>
      <w:r w:rsidR="007B222C">
        <w:t>a</w:t>
      </w:r>
      <w:r w:rsidR="00C83EB0">
        <w:rPr>
          <w:color w:val="333333"/>
          <w:shd w:val="clear" w:color="auto" w:fill="FFFFFF"/>
        </w:rPr>
        <w:t xml:space="preserve"> </w:t>
      </w:r>
      <w:r w:rsidR="00C83EB0" w:rsidRPr="00A84AE5">
        <w:rPr>
          <w:bCs/>
        </w:rPr>
        <w:t>communications campaign to attract mature Australians to work in tourism</w:t>
      </w:r>
      <w:r w:rsidR="00C83EB0">
        <w:rPr>
          <w:bCs/>
        </w:rPr>
        <w:t>,</w:t>
      </w:r>
      <w:r w:rsidR="00C83EB0" w:rsidRPr="00A84AE5">
        <w:rPr>
          <w:bCs/>
        </w:rPr>
        <w:t xml:space="preserve"> </w:t>
      </w:r>
      <w:r w:rsidR="009C3B02">
        <w:rPr>
          <w:bCs/>
        </w:rPr>
        <w:t xml:space="preserve">and </w:t>
      </w:r>
      <w:r w:rsidR="3DF3ECCB" w:rsidRPr="5BF94C40">
        <w:t xml:space="preserve">overseen </w:t>
      </w:r>
      <w:r w:rsidR="00C83EB0" w:rsidRPr="00A84AE5">
        <w:rPr>
          <w:bCs/>
        </w:rPr>
        <w:t xml:space="preserve">the Choose Tourism program with </w:t>
      </w:r>
      <w:r w:rsidR="00C83EB0">
        <w:rPr>
          <w:bCs/>
        </w:rPr>
        <w:t>s</w:t>
      </w:r>
      <w:r w:rsidR="00C83EB0" w:rsidRPr="00A84AE5">
        <w:rPr>
          <w:bCs/>
        </w:rPr>
        <w:t xml:space="preserve">tates and </w:t>
      </w:r>
      <w:r w:rsidR="00C83EB0">
        <w:rPr>
          <w:bCs/>
        </w:rPr>
        <w:t>t</w:t>
      </w:r>
      <w:r w:rsidR="00C83EB0" w:rsidRPr="00A84AE5">
        <w:rPr>
          <w:bCs/>
        </w:rPr>
        <w:t xml:space="preserve">erritories to attract </w:t>
      </w:r>
      <w:r w:rsidR="00A469F1">
        <w:rPr>
          <w:bCs/>
        </w:rPr>
        <w:t>workers</w:t>
      </w:r>
      <w:r w:rsidR="00C83EB0" w:rsidRPr="00A84AE5">
        <w:rPr>
          <w:bCs/>
        </w:rPr>
        <w:t xml:space="preserve"> to tourism</w:t>
      </w:r>
      <w:r w:rsidR="00A469F1">
        <w:rPr>
          <w:bCs/>
        </w:rPr>
        <w:t xml:space="preserve"> and promote underutilised cohorts </w:t>
      </w:r>
      <w:r w:rsidR="003A3346">
        <w:rPr>
          <w:bCs/>
        </w:rPr>
        <w:t>to tourism employers</w:t>
      </w:r>
      <w:r w:rsidR="009C3B02">
        <w:rPr>
          <w:bCs/>
        </w:rPr>
        <w:t>.</w:t>
      </w:r>
      <w:r w:rsidR="00904221" w:rsidRPr="00904221">
        <w:rPr>
          <w:rFonts w:cs="Segoe UI"/>
        </w:rPr>
        <w:t xml:space="preserve"> </w:t>
      </w:r>
    </w:p>
    <w:p w14:paraId="65605DD0" w14:textId="7815475D" w:rsidR="00BA0140" w:rsidRDefault="000062A7" w:rsidP="00656733">
      <w:pPr>
        <w:rPr>
          <w:bCs/>
          <w:sz w:val="26"/>
          <w:szCs w:val="24"/>
        </w:rPr>
      </w:pPr>
      <w:r>
        <w:t>F</w:t>
      </w:r>
      <w:r w:rsidR="00E84BF2">
        <w:t xml:space="preserve">urther analysis and detail on the </w:t>
      </w:r>
      <w:r w:rsidR="00253F1D">
        <w:t xml:space="preserve">tourism </w:t>
      </w:r>
      <w:r w:rsidR="00E84BF2">
        <w:t xml:space="preserve">workforce </w:t>
      </w:r>
      <w:r w:rsidR="00253F1D">
        <w:t xml:space="preserve">is contained in the </w:t>
      </w:r>
      <w:hyperlink r:id="rId63" w:history="1">
        <w:r w:rsidR="00075A00" w:rsidRPr="00C6616F">
          <w:rPr>
            <w:rStyle w:val="Hyperlink"/>
          </w:rPr>
          <w:t>Tourism Workforce Report</w:t>
        </w:r>
      </w:hyperlink>
      <w:r w:rsidR="00C6616F">
        <w:t xml:space="preserve"> </w:t>
      </w:r>
      <w:r w:rsidR="003C4401">
        <w:t>published by</w:t>
      </w:r>
      <w:r w:rsidR="00D35993">
        <w:t xml:space="preserve"> T</w:t>
      </w:r>
      <w:r w:rsidR="00C6616F">
        <w:t>RA</w:t>
      </w:r>
      <w:r w:rsidR="007B59AC">
        <w:t xml:space="preserve"> in</w:t>
      </w:r>
      <w:r w:rsidR="00C6616F">
        <w:t xml:space="preserve"> 2023.</w:t>
      </w:r>
    </w:p>
    <w:p w14:paraId="26D32CEE" w14:textId="3CD82E4F" w:rsidR="00BA0140" w:rsidRDefault="00BA0140" w:rsidP="0038791A">
      <w:pPr>
        <w:pStyle w:val="Heading4"/>
        <w:keepNext/>
        <w:spacing w:before="360"/>
      </w:pPr>
      <w:r>
        <w:lastRenderedPageBreak/>
        <w:t xml:space="preserve">Filled </w:t>
      </w:r>
      <w:proofErr w:type="gramStart"/>
      <w:r>
        <w:t>jobs</w:t>
      </w:r>
      <w:proofErr w:type="gramEnd"/>
    </w:p>
    <w:p w14:paraId="54C81525" w14:textId="1B43ADEC" w:rsidR="00F34C6C" w:rsidRDefault="00B178E6" w:rsidP="00207CF6">
      <w:r w:rsidRPr="009C6D06">
        <w:t>At th</w:t>
      </w:r>
      <w:r>
        <w:t xml:space="preserve">e end of 2019, there were 750,000 filled jobs in the visitor economy. </w:t>
      </w:r>
      <w:r w:rsidRPr="00530705">
        <w:t xml:space="preserve">The impact of the pandemic reduced this number to </w:t>
      </w:r>
      <w:r w:rsidR="00C06D2D">
        <w:t xml:space="preserve">a low </w:t>
      </w:r>
      <w:r w:rsidRPr="00530705">
        <w:t xml:space="preserve">of 344,900 jobs in September 2021, a decline of </w:t>
      </w:r>
      <w:r w:rsidR="00D749EA">
        <w:t>54</w:t>
      </w:r>
      <w:r w:rsidRPr="00530705">
        <w:t xml:space="preserve">% or </w:t>
      </w:r>
      <w:r w:rsidR="00E94946">
        <w:t>405,100</w:t>
      </w:r>
      <w:r w:rsidRPr="00530705">
        <w:t xml:space="preserve"> jobs. </w:t>
      </w:r>
      <w:r w:rsidR="00F34C6C">
        <w:t>A</w:t>
      </w:r>
      <w:r w:rsidR="00F34C6C" w:rsidRPr="00530705">
        <w:t xml:space="preserve">t the end of </w:t>
      </w:r>
      <w:r w:rsidR="00D4761F">
        <w:t xml:space="preserve">the </w:t>
      </w:r>
      <w:r w:rsidR="00F34C6C" w:rsidRPr="00530705">
        <w:t>December quarter 2023</w:t>
      </w:r>
      <w:r w:rsidR="00F34C6C">
        <w:t>, t</w:t>
      </w:r>
      <w:r w:rsidR="00F34C6C" w:rsidRPr="00530705">
        <w:t>here were 655,400 filled jobs in the visitor economy</w:t>
      </w:r>
      <w:r w:rsidR="00296994">
        <w:t xml:space="preserve"> </w:t>
      </w:r>
      <w:r w:rsidR="00296994" w:rsidRPr="00530705">
        <w:t xml:space="preserve">(Figure </w:t>
      </w:r>
      <w:r w:rsidR="00337874">
        <w:t>30</w:t>
      </w:r>
      <w:r w:rsidR="00296994" w:rsidRPr="00530705">
        <w:t>)</w:t>
      </w:r>
      <w:r w:rsidR="00F34C6C" w:rsidRPr="00530705">
        <w:t>.</w:t>
      </w:r>
      <w:r w:rsidR="00F34C6C" w:rsidRPr="00F34C6C">
        <w:t xml:space="preserve"> </w:t>
      </w:r>
      <w:r w:rsidR="00F34C6C" w:rsidRPr="00530705">
        <w:t>This was an increase of 310,500</w:t>
      </w:r>
      <w:r w:rsidR="0BE984E6" w:rsidRPr="487CF5A0">
        <w:t>,</w:t>
      </w:r>
      <w:r w:rsidR="00F34C6C" w:rsidRPr="00530705">
        <w:t xml:space="preserve"> </w:t>
      </w:r>
      <w:r w:rsidR="2F8A7085" w:rsidRPr="145F96D7">
        <w:t xml:space="preserve">or </w:t>
      </w:r>
      <w:r w:rsidR="00F34C6C" w:rsidRPr="00530705">
        <w:t>90% since the low point of September 2021</w:t>
      </w:r>
      <w:r w:rsidR="004D200E">
        <w:t xml:space="preserve">. </w:t>
      </w:r>
      <w:r w:rsidR="00B862D2">
        <w:t xml:space="preserve">While tourism filled jobs increased by </w:t>
      </w:r>
      <w:r w:rsidR="00E002BE">
        <w:t>8,000</w:t>
      </w:r>
      <w:r w:rsidR="1F91CE6E" w:rsidRPr="145F96D7">
        <w:t>,</w:t>
      </w:r>
      <w:r w:rsidR="00E002BE" w:rsidRPr="145F96D7">
        <w:t xml:space="preserve"> </w:t>
      </w:r>
      <w:r w:rsidR="1F91CE6E" w:rsidRPr="145F96D7">
        <w:t>or</w:t>
      </w:r>
      <w:r w:rsidR="00E002BE">
        <w:t xml:space="preserve"> 1.2</w:t>
      </w:r>
      <w:r w:rsidR="00E002BE" w:rsidRPr="7472B68B">
        <w:t>%</w:t>
      </w:r>
      <w:r w:rsidR="6F35F137" w:rsidRPr="7472B68B">
        <w:t>,</w:t>
      </w:r>
      <w:r w:rsidR="00E002BE">
        <w:t xml:space="preserve"> over the year to December 2023, the number of jobs remained </w:t>
      </w:r>
      <w:r w:rsidR="00291529">
        <w:t>94,600</w:t>
      </w:r>
      <w:r w:rsidR="5118BD87" w:rsidRPr="7472B68B">
        <w:t>,</w:t>
      </w:r>
      <w:r w:rsidR="00291529">
        <w:t xml:space="preserve"> </w:t>
      </w:r>
      <w:r w:rsidR="006C38B2">
        <w:t xml:space="preserve">or </w:t>
      </w:r>
      <w:r w:rsidR="00296994">
        <w:t>1</w:t>
      </w:r>
      <w:r w:rsidR="0095448A">
        <w:t>3</w:t>
      </w:r>
      <w:r w:rsidR="00296994">
        <w:t>%</w:t>
      </w:r>
      <w:r w:rsidR="006C38B2">
        <w:t>,</w:t>
      </w:r>
      <w:r w:rsidR="00296994">
        <w:t xml:space="preserve"> below the pre-pandemic level. The pace of recovery in tourism jobs in 2023 </w:t>
      </w:r>
      <w:r w:rsidR="001B7739">
        <w:t xml:space="preserve">was much slower than in 2022. </w:t>
      </w:r>
    </w:p>
    <w:p w14:paraId="6B544391" w14:textId="2DE6CD82" w:rsidR="001C415D" w:rsidRDefault="001C415D" w:rsidP="00F02436">
      <w:pPr>
        <w:pStyle w:val="Caption"/>
        <w:spacing w:line="300" w:lineRule="atLeast"/>
        <w:rPr>
          <w:i w:val="0"/>
          <w:iCs w:val="0"/>
          <w:sz w:val="20"/>
          <w:szCs w:val="20"/>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337874">
        <w:rPr>
          <w:b/>
          <w:bCs/>
          <w:i w:val="0"/>
          <w:iCs w:val="0"/>
          <w:noProof/>
          <w:sz w:val="20"/>
          <w:szCs w:val="20"/>
        </w:rPr>
        <w:t>30</w:t>
      </w:r>
      <w:r>
        <w:rPr>
          <w:b/>
          <w:bCs/>
          <w:i w:val="0"/>
          <w:iCs w:val="0"/>
          <w:sz w:val="20"/>
          <w:szCs w:val="20"/>
        </w:rPr>
        <w:fldChar w:fldCharType="end"/>
      </w:r>
      <w:r>
        <w:rPr>
          <w:b/>
          <w:bCs/>
          <w:i w:val="0"/>
          <w:iCs w:val="0"/>
          <w:sz w:val="20"/>
          <w:szCs w:val="20"/>
        </w:rPr>
        <w:t xml:space="preserve">. </w:t>
      </w:r>
      <w:r>
        <w:rPr>
          <w:i w:val="0"/>
          <w:iCs w:val="0"/>
          <w:sz w:val="20"/>
          <w:szCs w:val="20"/>
        </w:rPr>
        <w:t xml:space="preserve">Tourism filled jobs, quarter-end number </w:t>
      </w:r>
      <w:r w:rsidR="000D3CE8">
        <w:rPr>
          <w:i w:val="0"/>
          <w:iCs w:val="0"/>
          <w:sz w:val="20"/>
          <w:szCs w:val="20"/>
        </w:rPr>
        <w:t xml:space="preserve">(line, left axis) </w:t>
      </w:r>
      <w:r>
        <w:rPr>
          <w:i w:val="0"/>
          <w:iCs w:val="0"/>
          <w:sz w:val="20"/>
          <w:szCs w:val="20"/>
        </w:rPr>
        <w:t>and quarterly change</w:t>
      </w:r>
      <w:r w:rsidR="000D3CE8">
        <w:rPr>
          <w:i w:val="0"/>
          <w:iCs w:val="0"/>
          <w:sz w:val="20"/>
          <w:szCs w:val="20"/>
        </w:rPr>
        <w:t xml:space="preserve"> (bars, right axis)</w:t>
      </w:r>
      <w:r>
        <w:rPr>
          <w:i w:val="0"/>
          <w:iCs w:val="0"/>
          <w:sz w:val="20"/>
          <w:szCs w:val="20"/>
        </w:rPr>
        <w:t>, 2010 to 202</w:t>
      </w:r>
      <w:r w:rsidR="00F02436">
        <w:rPr>
          <w:i w:val="0"/>
          <w:iCs w:val="0"/>
          <w:sz w:val="20"/>
          <w:szCs w:val="20"/>
        </w:rPr>
        <w:t>3</w:t>
      </w:r>
      <w:r>
        <w:rPr>
          <w:i w:val="0"/>
          <w:iCs w:val="0"/>
          <w:sz w:val="20"/>
          <w:szCs w:val="20"/>
        </w:rPr>
        <w:t>.</w:t>
      </w:r>
    </w:p>
    <w:p w14:paraId="3F208E57" w14:textId="2906CA1E" w:rsidR="00F02436" w:rsidRPr="00F02436" w:rsidRDefault="00D935EB" w:rsidP="00F02436">
      <w:pPr>
        <w:spacing w:line="300" w:lineRule="atLeast"/>
      </w:pPr>
      <w:r w:rsidRPr="00D935EB">
        <w:rPr>
          <w:noProof/>
        </w:rPr>
        <w:drawing>
          <wp:inline distT="0" distB="0" distL="0" distR="0" wp14:anchorId="04EA1246" wp14:editId="2F229593">
            <wp:extent cx="6329680" cy="3655695"/>
            <wp:effectExtent l="0" t="0" r="0" b="1905"/>
            <wp:docPr id="589910767" name="Picture 11" descr="Figure 30 shows a time series of the number of tourism filled jobs at quarter-end from March 2010 to December 2023. There also also bars showing the quarterly change in number of jobs. The total number of tourism filled jobs remained below the pre-pandemic level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0767" name="Picture 11" descr="Figure 30 shows a time series of the number of tourism filled jobs at quarter-end from March 2010 to December 2023. There also also bars showing the quarterly change in number of jobs. The total number of tourism filled jobs remained below the pre-pandemic level in December 20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29680" cy="3655695"/>
                    </a:xfrm>
                    <a:prstGeom prst="rect">
                      <a:avLst/>
                    </a:prstGeom>
                    <a:noFill/>
                    <a:ln>
                      <a:noFill/>
                    </a:ln>
                  </pic:spPr>
                </pic:pic>
              </a:graphicData>
            </a:graphic>
          </wp:inline>
        </w:drawing>
      </w:r>
    </w:p>
    <w:p w14:paraId="4A7FB8CE" w14:textId="4B93F644" w:rsidR="004E72C9" w:rsidRDefault="004C2613" w:rsidP="00AF5F54">
      <w:r>
        <w:t xml:space="preserve">In contrast to the </w:t>
      </w:r>
      <w:r w:rsidR="00273A00">
        <w:t xml:space="preserve">slow and </w:t>
      </w:r>
      <w:r>
        <w:t xml:space="preserve">prolonged </w:t>
      </w:r>
      <w:r w:rsidR="00273A00">
        <w:t xml:space="preserve">return of tourism job numbers, </w:t>
      </w:r>
      <w:r w:rsidR="002D7548">
        <w:t>the Australian economy overall</w:t>
      </w:r>
      <w:r w:rsidR="00966944">
        <w:t xml:space="preserve"> had</w:t>
      </w:r>
      <w:r w:rsidR="002D7548">
        <w:t xml:space="preserve"> gained more than 1.5 million jobs </w:t>
      </w:r>
      <w:r w:rsidR="00966944">
        <w:t xml:space="preserve">at the end of 2023 compared to the December </w:t>
      </w:r>
      <w:r w:rsidR="00AF5F54">
        <w:t xml:space="preserve">2019 </w:t>
      </w:r>
      <w:r w:rsidR="00B2105A">
        <w:t>level</w:t>
      </w:r>
      <w:r w:rsidR="00AF5F54">
        <w:t xml:space="preserve"> (Figure </w:t>
      </w:r>
      <w:r w:rsidR="002E586B">
        <w:t>3</w:t>
      </w:r>
      <w:r w:rsidR="007F7E17">
        <w:t>1</w:t>
      </w:r>
      <w:r w:rsidR="00AF5F54">
        <w:t xml:space="preserve">). </w:t>
      </w:r>
      <w:r w:rsidR="004E72C9">
        <w:t xml:space="preserve">Jobs growth was also faster in the broader economy in 2023 </w:t>
      </w:r>
      <w:r w:rsidR="5E972513">
        <w:t>with a</w:t>
      </w:r>
      <w:r w:rsidR="004E72C9">
        <w:t xml:space="preserve"> 2.</w:t>
      </w:r>
      <w:r w:rsidR="00D97CD6">
        <w:t>8</w:t>
      </w:r>
      <w:r w:rsidR="004E72C9">
        <w:t xml:space="preserve">% increase compared with the </w:t>
      </w:r>
      <w:r w:rsidR="007B59AC">
        <w:t xml:space="preserve">1.2% increase in </w:t>
      </w:r>
      <w:r w:rsidR="00865425">
        <w:t>tourism</w:t>
      </w:r>
      <w:r w:rsidR="004E72C9">
        <w:t xml:space="preserve"> </w:t>
      </w:r>
      <w:r w:rsidR="007B59AC">
        <w:t xml:space="preserve">filled jobs </w:t>
      </w:r>
      <w:r w:rsidR="004E72C9">
        <w:t>specifically between December 2022 and December 2023</w:t>
      </w:r>
      <w:r w:rsidR="00D97CD6">
        <w:t>.</w:t>
      </w:r>
    </w:p>
    <w:p w14:paraId="34DA74C5" w14:textId="0682FCDA" w:rsidR="00AF5F54" w:rsidRDefault="00AF5F54" w:rsidP="00AF5F54">
      <w:r>
        <w:t>At the end of 2023, the visitor economy accounted for 1 in 24 filled jobs in the economy (or 4.2%</w:t>
      </w:r>
      <w:r w:rsidR="00DB6ACC">
        <w:t xml:space="preserve"> of jobs</w:t>
      </w:r>
      <w:r>
        <w:t>), down from the peak of 1 in 19 jobs (or 5.3%</w:t>
      </w:r>
      <w:r w:rsidR="00DB6ACC">
        <w:t xml:space="preserve"> of jobs</w:t>
      </w:r>
      <w:r>
        <w:t xml:space="preserve">) in </w:t>
      </w:r>
      <w:r w:rsidR="00865425">
        <w:t xml:space="preserve">the </w:t>
      </w:r>
      <w:r>
        <w:t>December quarter 2019.</w:t>
      </w:r>
    </w:p>
    <w:p w14:paraId="76E39655" w14:textId="029661E2" w:rsidR="00FD1B70" w:rsidRPr="000756AF" w:rsidRDefault="00FD1B70" w:rsidP="00F870B7">
      <w:pPr>
        <w:pStyle w:val="Caption"/>
        <w:keepNext/>
        <w:spacing w:line="300" w:lineRule="atLeast"/>
        <w:rPr>
          <w:i w:val="0"/>
          <w:iCs w:val="0"/>
          <w:sz w:val="20"/>
          <w:szCs w:val="20"/>
        </w:rPr>
      </w:pPr>
      <w:r>
        <w:rPr>
          <w:b/>
          <w:bCs/>
          <w:i w:val="0"/>
          <w:iCs w:val="0"/>
          <w:sz w:val="20"/>
          <w:szCs w:val="20"/>
        </w:rPr>
        <w:lastRenderedPageBreak/>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7F7E17">
        <w:rPr>
          <w:b/>
          <w:bCs/>
          <w:i w:val="0"/>
          <w:iCs w:val="0"/>
          <w:noProof/>
          <w:sz w:val="20"/>
          <w:szCs w:val="20"/>
        </w:rPr>
        <w:t>31</w:t>
      </w:r>
      <w:r>
        <w:rPr>
          <w:b/>
          <w:bCs/>
          <w:i w:val="0"/>
          <w:iCs w:val="0"/>
          <w:sz w:val="20"/>
          <w:szCs w:val="20"/>
        </w:rPr>
        <w:fldChar w:fldCharType="end"/>
      </w:r>
      <w:r>
        <w:rPr>
          <w:b/>
          <w:bCs/>
          <w:i w:val="0"/>
          <w:iCs w:val="0"/>
          <w:sz w:val="20"/>
          <w:szCs w:val="20"/>
        </w:rPr>
        <w:t xml:space="preserve">. </w:t>
      </w:r>
      <w:r w:rsidRPr="00500442">
        <w:rPr>
          <w:i w:val="0"/>
          <w:iCs w:val="0"/>
          <w:sz w:val="20"/>
          <w:szCs w:val="20"/>
        </w:rPr>
        <w:t xml:space="preserve">Economy wide jobs and tourism filled jobs, </w:t>
      </w:r>
      <w:r w:rsidR="00812B50">
        <w:rPr>
          <w:i w:val="0"/>
          <w:iCs w:val="0"/>
          <w:sz w:val="20"/>
          <w:szCs w:val="20"/>
        </w:rPr>
        <w:t>March</w:t>
      </w:r>
      <w:r w:rsidRPr="00500442">
        <w:rPr>
          <w:i w:val="0"/>
          <w:iCs w:val="0"/>
          <w:sz w:val="20"/>
          <w:szCs w:val="20"/>
        </w:rPr>
        <w:t xml:space="preserve"> 2018 to December 2023.</w:t>
      </w:r>
    </w:p>
    <w:p w14:paraId="140B3C82" w14:textId="026DAD0D" w:rsidR="00FD1B70" w:rsidRDefault="00AE4040" w:rsidP="00FD1B70">
      <w:pPr>
        <w:pStyle w:val="Default"/>
        <w:spacing w:before="200" w:after="200" w:line="300" w:lineRule="atLeast"/>
        <w:rPr>
          <w:rFonts w:cstheme="minorBidi"/>
          <w:color w:val="000000" w:themeColor="text1"/>
          <w:sz w:val="20"/>
          <w:szCs w:val="20"/>
        </w:rPr>
      </w:pPr>
      <w:r w:rsidRPr="00AE4040">
        <w:rPr>
          <w:noProof/>
        </w:rPr>
        <w:drawing>
          <wp:inline distT="0" distB="0" distL="0" distR="0" wp14:anchorId="6726DDEA" wp14:editId="69F9F0D4">
            <wp:extent cx="6329680" cy="3568065"/>
            <wp:effectExtent l="0" t="0" r="0" b="0"/>
            <wp:docPr id="616396266" name="Picture 12" descr="Figure 31 shows time series of the number of filled jobs in tourism and in the whole economy from March 2018 to December 2023. The left axis shows the number of economy-wide jobs, and the right axis shows the number of tourism jobs. The dotted lines show the average number of filled jobs in 2019 for tourism jobs and for economy-wide jobs. The number of filled jobs in the economy is well above the 2019-average, while the number of tourism jobs remained below the 2019 average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96266" name="Picture 12" descr="Figure 31 shows time series of the number of filled jobs in tourism and in the whole economy from March 2018 to December 2023. The left axis shows the number of economy-wide jobs, and the right axis shows the number of tourism jobs. The dotted lines show the average number of filled jobs in 2019 for tourism jobs and for economy-wide jobs. The number of filled jobs in the economy is well above the 2019-average, while the number of tourism jobs remained below the 2019 average in 20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9680" cy="3568065"/>
                    </a:xfrm>
                    <a:prstGeom prst="rect">
                      <a:avLst/>
                    </a:prstGeom>
                    <a:noFill/>
                    <a:ln>
                      <a:noFill/>
                    </a:ln>
                  </pic:spPr>
                </pic:pic>
              </a:graphicData>
            </a:graphic>
          </wp:inline>
        </w:drawing>
      </w:r>
    </w:p>
    <w:p w14:paraId="22530712" w14:textId="098426CC" w:rsidR="00F870B7" w:rsidRPr="00241060" w:rsidRDefault="00F870B7" w:rsidP="00241060">
      <w:pPr>
        <w:pBdr>
          <w:top w:val="single" w:sz="4" w:space="1" w:color="auto"/>
          <w:left w:val="single" w:sz="4" w:space="4" w:color="auto"/>
          <w:bottom w:val="single" w:sz="4" w:space="1" w:color="auto"/>
          <w:right w:val="single" w:sz="4" w:space="4" w:color="auto"/>
        </w:pBdr>
        <w:rPr>
          <w:b/>
          <w:lang w:eastAsia="en-AU"/>
        </w:rPr>
      </w:pPr>
      <w:r w:rsidRPr="00241060">
        <w:rPr>
          <w:b/>
          <w:lang w:eastAsia="en-AU"/>
        </w:rPr>
        <w:t xml:space="preserve">Revisions to tourism filled jobs </w:t>
      </w:r>
      <w:proofErr w:type="gramStart"/>
      <w:r w:rsidRPr="00241060">
        <w:rPr>
          <w:b/>
          <w:lang w:eastAsia="en-AU"/>
        </w:rPr>
        <w:t>estimates</w:t>
      </w:r>
      <w:proofErr w:type="gramEnd"/>
    </w:p>
    <w:p w14:paraId="3349FF6D" w14:textId="77777777" w:rsidR="00F870B7" w:rsidRDefault="00F870B7" w:rsidP="00241060">
      <w:pPr>
        <w:pBdr>
          <w:top w:val="single" w:sz="4" w:space="1" w:color="auto"/>
          <w:left w:val="single" w:sz="4" w:space="4" w:color="auto"/>
          <w:bottom w:val="single" w:sz="4" w:space="1" w:color="auto"/>
          <w:right w:val="single" w:sz="4" w:space="4" w:color="auto"/>
        </w:pBdr>
        <w:rPr>
          <w:lang w:eastAsia="en-AU"/>
        </w:rPr>
      </w:pPr>
      <w:r>
        <w:rPr>
          <w:lang w:eastAsia="en-AU"/>
        </w:rPr>
        <w:t xml:space="preserve">Tourism filled jobs estimates are produced by the </w:t>
      </w:r>
      <w:r w:rsidRPr="00D160EE">
        <w:rPr>
          <w:lang w:eastAsia="en-AU"/>
        </w:rPr>
        <w:t>Australian Bureau of Statistics (ABS)</w:t>
      </w:r>
      <w:r>
        <w:rPr>
          <w:lang w:eastAsia="en-AU"/>
        </w:rPr>
        <w:t xml:space="preserve"> on a quarterly basis. These figures are computed by applying t</w:t>
      </w:r>
      <w:r w:rsidRPr="00D160EE">
        <w:rPr>
          <w:lang w:eastAsia="en-AU"/>
        </w:rPr>
        <w:t xml:space="preserve">ourism value-added industry ratios </w:t>
      </w:r>
      <w:r>
        <w:rPr>
          <w:lang w:eastAsia="en-AU"/>
        </w:rPr>
        <w:t xml:space="preserve">to the </w:t>
      </w:r>
      <w:r w:rsidRPr="00D160EE">
        <w:rPr>
          <w:lang w:eastAsia="en-AU"/>
        </w:rPr>
        <w:t xml:space="preserve">Australian Labour Account </w:t>
      </w:r>
      <w:r>
        <w:rPr>
          <w:lang w:eastAsia="en-AU"/>
        </w:rPr>
        <w:t>measure of employment in i</w:t>
      </w:r>
      <w:r w:rsidRPr="00D160EE">
        <w:rPr>
          <w:lang w:eastAsia="en-AU"/>
        </w:rPr>
        <w:t>ndustries that produce tourism products</w:t>
      </w:r>
      <w:r>
        <w:rPr>
          <w:lang w:eastAsia="en-AU"/>
        </w:rPr>
        <w:t xml:space="preserve">. This approach is used because tourism is not a stand-alone industry </w:t>
      </w:r>
      <w:r w:rsidRPr="00D160EE">
        <w:rPr>
          <w:lang w:eastAsia="en-AU"/>
        </w:rPr>
        <w:t>identified within the Australian and New Zealand Standard Industrial Classification (ANZSIC).</w:t>
      </w:r>
    </w:p>
    <w:p w14:paraId="00745E72" w14:textId="3F336E94" w:rsidR="00F870B7" w:rsidRPr="00D160EE" w:rsidRDefault="00F870B7" w:rsidP="00241060">
      <w:pPr>
        <w:pBdr>
          <w:top w:val="single" w:sz="4" w:space="1" w:color="auto"/>
          <w:left w:val="single" w:sz="4" w:space="4" w:color="auto"/>
          <w:bottom w:val="single" w:sz="4" w:space="1" w:color="auto"/>
          <w:right w:val="single" w:sz="4" w:space="4" w:color="auto"/>
        </w:pBdr>
        <w:rPr>
          <w:lang w:eastAsia="en-AU"/>
        </w:rPr>
      </w:pPr>
      <w:r w:rsidRPr="34369E2C">
        <w:rPr>
          <w:lang w:eastAsia="en-AU"/>
        </w:rPr>
        <w:t>The tourism value-add ratios are updated with each annual Tourism Satellite Account and applied to the quarterly estimates of tourism</w:t>
      </w:r>
      <w:r w:rsidR="47368DDF" w:rsidRPr="34369E2C">
        <w:rPr>
          <w:lang w:eastAsia="en-AU"/>
        </w:rPr>
        <w:t>-</w:t>
      </w:r>
      <w:r w:rsidRPr="34369E2C">
        <w:rPr>
          <w:lang w:eastAsia="en-AU"/>
        </w:rPr>
        <w:t xml:space="preserve">filled jobs in </w:t>
      </w:r>
      <w:r w:rsidR="00241060">
        <w:rPr>
          <w:lang w:eastAsia="en-AU"/>
        </w:rPr>
        <w:t xml:space="preserve">the </w:t>
      </w:r>
      <w:r w:rsidRPr="34369E2C">
        <w:rPr>
          <w:lang w:eastAsia="en-AU"/>
        </w:rPr>
        <w:t xml:space="preserve">September quarter each year. The rapid changes brought about by COVID-19 have resulted in a higher-than-normal level of revisions in recent </w:t>
      </w:r>
      <w:r w:rsidR="008A4B59">
        <w:rPr>
          <w:lang w:eastAsia="en-AU"/>
        </w:rPr>
        <w:t>years</w:t>
      </w:r>
      <w:r w:rsidRPr="34369E2C">
        <w:rPr>
          <w:lang w:eastAsia="en-AU"/>
        </w:rPr>
        <w:t>.</w:t>
      </w:r>
    </w:p>
    <w:p w14:paraId="0B57F0FE" w14:textId="2F077D20" w:rsidR="00F870B7" w:rsidRPr="00D160EE" w:rsidRDefault="00F870B7" w:rsidP="00241060">
      <w:pPr>
        <w:pBdr>
          <w:top w:val="single" w:sz="4" w:space="1" w:color="auto"/>
          <w:left w:val="single" w:sz="4" w:space="4" w:color="auto"/>
          <w:bottom w:val="single" w:sz="4" w:space="1" w:color="auto"/>
          <w:right w:val="single" w:sz="4" w:space="4" w:color="auto"/>
        </w:pBdr>
        <w:rPr>
          <w:lang w:eastAsia="en-AU"/>
        </w:rPr>
      </w:pPr>
      <w:r w:rsidRPr="34369E2C">
        <w:rPr>
          <w:lang w:eastAsia="en-AU"/>
        </w:rPr>
        <w:t xml:space="preserve">In the September quarter 2023, the revisions resulted in substantial adjustments to estimates of tourism filled jobs over the </w:t>
      </w:r>
      <w:r w:rsidR="00FD6708">
        <w:rPr>
          <w:lang w:eastAsia="en-AU"/>
        </w:rPr>
        <w:t>previous</w:t>
      </w:r>
      <w:r w:rsidRPr="34369E2C">
        <w:rPr>
          <w:lang w:eastAsia="en-AU"/>
        </w:rPr>
        <w:t xml:space="preserve"> 4 years. The June quarter 2023 saw the largest revision and was revised </w:t>
      </w:r>
      <w:r w:rsidR="6C17F4D9" w:rsidRPr="34369E2C">
        <w:rPr>
          <w:lang w:eastAsia="en-AU"/>
        </w:rPr>
        <w:t>down</w:t>
      </w:r>
      <w:r w:rsidRPr="34369E2C">
        <w:rPr>
          <w:lang w:eastAsia="en-AU"/>
        </w:rPr>
        <w:t xml:space="preserve"> by </w:t>
      </w:r>
      <w:r w:rsidR="20FA93CD" w:rsidRPr="34369E2C">
        <w:rPr>
          <w:lang w:eastAsia="en-AU"/>
        </w:rPr>
        <w:t xml:space="preserve">13% or </w:t>
      </w:r>
      <w:r w:rsidRPr="34369E2C">
        <w:rPr>
          <w:lang w:eastAsia="en-AU"/>
        </w:rPr>
        <w:t>90,300 jobs</w:t>
      </w:r>
      <w:r w:rsidR="528182E6" w:rsidRPr="34369E2C">
        <w:rPr>
          <w:lang w:eastAsia="en-AU"/>
        </w:rPr>
        <w:t>:</w:t>
      </w:r>
      <w:r w:rsidRPr="34369E2C">
        <w:rPr>
          <w:lang w:eastAsia="en-AU"/>
        </w:rPr>
        <w:t xml:space="preserve"> from 713,000 jobs (the previous estimate) to 622,700 jobs.  </w:t>
      </w:r>
    </w:p>
    <w:p w14:paraId="690D1254" w14:textId="7B287BEB" w:rsidR="00F870B7" w:rsidRPr="00274684" w:rsidRDefault="00F870B7" w:rsidP="00241060">
      <w:pPr>
        <w:pBdr>
          <w:top w:val="single" w:sz="4" w:space="1" w:color="auto"/>
          <w:left w:val="single" w:sz="4" w:space="4" w:color="auto"/>
          <w:bottom w:val="single" w:sz="4" w:space="1" w:color="auto"/>
          <w:right w:val="single" w:sz="4" w:space="4" w:color="auto"/>
        </w:pBdr>
        <w:rPr>
          <w:sz w:val="18"/>
          <w:szCs w:val="18"/>
          <w:lang w:eastAsia="en-AU"/>
        </w:rPr>
      </w:pPr>
      <w:r w:rsidRPr="34369E2C">
        <w:rPr>
          <w:lang w:eastAsia="en-AU"/>
        </w:rPr>
        <w:t>The revised data reports that the pre-pandemic peak was slightly lower than previously estimated, and that the low</w:t>
      </w:r>
      <w:r w:rsidR="001F06AF" w:rsidRPr="34369E2C">
        <w:rPr>
          <w:lang w:eastAsia="en-AU"/>
        </w:rPr>
        <w:t xml:space="preserve"> </w:t>
      </w:r>
      <w:r w:rsidRPr="34369E2C">
        <w:rPr>
          <w:lang w:eastAsia="en-AU"/>
        </w:rPr>
        <w:t>point in tourism</w:t>
      </w:r>
      <w:r w:rsidR="75257853" w:rsidRPr="34369E2C">
        <w:rPr>
          <w:lang w:eastAsia="en-AU"/>
        </w:rPr>
        <w:t>-</w:t>
      </w:r>
      <w:r w:rsidRPr="34369E2C">
        <w:rPr>
          <w:lang w:eastAsia="en-AU"/>
        </w:rPr>
        <w:t xml:space="preserve">filled jobs occurred in the September quarter </w:t>
      </w:r>
      <w:r w:rsidR="6C3C6B3B" w:rsidRPr="34369E2C">
        <w:rPr>
          <w:lang w:eastAsia="en-AU"/>
        </w:rPr>
        <w:t xml:space="preserve">of </w:t>
      </w:r>
      <w:r w:rsidRPr="34369E2C">
        <w:rPr>
          <w:lang w:eastAsia="en-AU"/>
        </w:rPr>
        <w:t>2021 (</w:t>
      </w:r>
      <w:r w:rsidR="000F1F7F">
        <w:rPr>
          <w:lang w:eastAsia="en-AU"/>
        </w:rPr>
        <w:t>due to</w:t>
      </w:r>
      <w:r w:rsidRPr="34369E2C">
        <w:rPr>
          <w:lang w:eastAsia="en-AU"/>
        </w:rPr>
        <w:t xml:space="preserve"> the Delta </w:t>
      </w:r>
      <w:r w:rsidR="006254E4">
        <w:rPr>
          <w:lang w:eastAsia="en-AU"/>
        </w:rPr>
        <w:t xml:space="preserve">strain of COVID-19 </w:t>
      </w:r>
      <w:r w:rsidRPr="34369E2C">
        <w:rPr>
          <w:lang w:eastAsia="en-AU"/>
        </w:rPr>
        <w:t>outbreak</w:t>
      </w:r>
      <w:r w:rsidR="0ED6BB5A" w:rsidRPr="34369E2C">
        <w:rPr>
          <w:lang w:eastAsia="en-AU"/>
        </w:rPr>
        <w:t>-</w:t>
      </w:r>
      <w:r w:rsidRPr="34369E2C">
        <w:rPr>
          <w:lang w:eastAsia="en-AU"/>
        </w:rPr>
        <w:t xml:space="preserve">related lockdowns), rather than in the June quarter </w:t>
      </w:r>
      <w:r w:rsidR="7F3CC595" w:rsidRPr="34369E2C">
        <w:rPr>
          <w:lang w:eastAsia="en-AU"/>
        </w:rPr>
        <w:t>of</w:t>
      </w:r>
      <w:r w:rsidRPr="34369E2C">
        <w:rPr>
          <w:lang w:eastAsia="en-AU"/>
        </w:rPr>
        <w:t xml:space="preserve"> 2020 as was previously reported. Moreover, the recovery in filled job numbers was found to be much less progressed than was implied by the previous data release. </w:t>
      </w:r>
    </w:p>
    <w:p w14:paraId="5904CEC4" w14:textId="20161185" w:rsidR="00764D2B" w:rsidRDefault="007D1893" w:rsidP="00764D2B">
      <w:pPr>
        <w:rPr>
          <w:rFonts w:ascii="Calibri" w:hAnsi="Calibri"/>
          <w:color w:val="auto"/>
        </w:rPr>
      </w:pPr>
      <w:r>
        <w:t xml:space="preserve">In 2023, </w:t>
      </w:r>
      <w:r w:rsidR="009F55E4">
        <w:t>the tourism-related industr</w:t>
      </w:r>
      <w:r w:rsidR="004C0CFA">
        <w:t>y</w:t>
      </w:r>
      <w:r w:rsidR="004C0CFA" w:rsidRPr="004C0CFA">
        <w:t xml:space="preserve"> </w:t>
      </w:r>
      <w:r w:rsidR="004C0CFA">
        <w:t xml:space="preserve">with the largest increase in filled jobs was the </w:t>
      </w:r>
      <w:r w:rsidR="005D1C61">
        <w:t>e</w:t>
      </w:r>
      <w:r w:rsidR="004C0CFA">
        <w:t>ducation and training sector, which gained 23,500 filled jobs between December 2022 and December 2023</w:t>
      </w:r>
      <w:r w:rsidR="34859751">
        <w:t>,</w:t>
      </w:r>
      <w:r w:rsidR="004C0CFA">
        <w:t xml:space="preserve"> up 73%. This sector </w:t>
      </w:r>
      <w:r w:rsidR="00764D2B">
        <w:t>saw a disproportionately large</w:t>
      </w:r>
      <w:r w:rsidR="00616F58">
        <w:t xml:space="preserve"> reduction in tourism</w:t>
      </w:r>
      <w:r w:rsidR="11F1BE3B">
        <w:t>-</w:t>
      </w:r>
      <w:r w:rsidR="00616F58">
        <w:t>filled jobs during the pandemic</w:t>
      </w:r>
      <w:r w:rsidR="00764D2B">
        <w:t>.</w:t>
      </w:r>
      <w:r w:rsidR="002D1B38">
        <w:t xml:space="preserve"> This was</w:t>
      </w:r>
      <w:r w:rsidR="00764D2B">
        <w:t xml:space="preserve"> because</w:t>
      </w:r>
      <w:r w:rsidR="00764D2B" w:rsidRPr="002D1B38">
        <w:t xml:space="preserve"> international </w:t>
      </w:r>
      <w:r w:rsidR="00764D2B">
        <w:t>student</w:t>
      </w:r>
      <w:r w:rsidR="1A8A0203">
        <w:t>s</w:t>
      </w:r>
      <w:r w:rsidR="00764D2B">
        <w:t xml:space="preserve"> </w:t>
      </w:r>
      <w:r w:rsidR="6CC71465">
        <w:t>are</w:t>
      </w:r>
      <w:r w:rsidR="00764D2B" w:rsidRPr="002D1B38">
        <w:t xml:space="preserve"> counted as </w:t>
      </w:r>
      <w:r w:rsidR="00764D2B">
        <w:t>'tourist</w:t>
      </w:r>
      <w:r w:rsidR="10E4ABB2">
        <w:t>s</w:t>
      </w:r>
      <w:r w:rsidR="00764D2B">
        <w:t xml:space="preserve">', </w:t>
      </w:r>
      <w:r w:rsidR="4026A2C9">
        <w:t>only if</w:t>
      </w:r>
      <w:r w:rsidR="00764D2B" w:rsidRPr="002D1B38">
        <w:t xml:space="preserve"> they </w:t>
      </w:r>
      <w:r w:rsidR="161D01EC">
        <w:t>are</w:t>
      </w:r>
      <w:r w:rsidR="00764D2B" w:rsidRPr="002D1B38">
        <w:t xml:space="preserve"> physically present in the country and here for no more than 12 out of the last 16 months</w:t>
      </w:r>
      <w:r w:rsidR="00764D2B">
        <w:t xml:space="preserve">. </w:t>
      </w:r>
      <w:r w:rsidR="00764D2B">
        <w:lastRenderedPageBreak/>
        <w:t xml:space="preserve">Therefore, </w:t>
      </w:r>
      <w:r w:rsidR="002D1B38">
        <w:t xml:space="preserve">when the borders closed and international students remained in Australia for </w:t>
      </w:r>
      <w:r w:rsidR="00381B9A">
        <w:t>an extended period, they were no</w:t>
      </w:r>
      <w:r w:rsidR="00E928AE">
        <w:t xml:space="preserve"> longer counted as tourists, and the workers providing services to them were no longer counted as being tourism-related employment. </w:t>
      </w:r>
      <w:r w:rsidR="00DA39C3">
        <w:t xml:space="preserve">Even though workers </w:t>
      </w:r>
      <w:r w:rsidR="00764D2B">
        <w:t xml:space="preserve">in jobs delivering education services to international students </w:t>
      </w:r>
      <w:r w:rsidR="00DA39C3">
        <w:t>were</w:t>
      </w:r>
      <w:r w:rsidR="00764D2B">
        <w:t xml:space="preserve"> no longer reported as being in the visitor economy</w:t>
      </w:r>
      <w:r w:rsidR="00DA39C3">
        <w:t xml:space="preserve">, they </w:t>
      </w:r>
      <w:r w:rsidR="00764D2B">
        <w:t xml:space="preserve">may </w:t>
      </w:r>
      <w:r w:rsidR="00DA39C3">
        <w:t xml:space="preserve">have </w:t>
      </w:r>
      <w:r w:rsidR="00764D2B">
        <w:t>be</w:t>
      </w:r>
      <w:r w:rsidR="00DA39C3">
        <w:t>en</w:t>
      </w:r>
      <w:r w:rsidR="00764D2B">
        <w:t xml:space="preserve"> delivering education services to domestic students or online students.</w:t>
      </w:r>
      <w:r w:rsidR="00F51072">
        <w:t xml:space="preserve"> Despite the large gain in jobs in 2023, the </w:t>
      </w:r>
      <w:r w:rsidR="005D1C61">
        <w:t xml:space="preserve">number of filled jobs in the education and training sector remained further below its pre-pandemic in 2023 than </w:t>
      </w:r>
      <w:r w:rsidR="002367E3">
        <w:t>other industries.</w:t>
      </w:r>
    </w:p>
    <w:p w14:paraId="2094C417" w14:textId="194AB03C" w:rsidR="009A0981" w:rsidRDefault="002367E3" w:rsidP="007D1893">
      <w:r>
        <w:t>Other tourism-related industr</w:t>
      </w:r>
      <w:r w:rsidR="009F55E4">
        <w:t xml:space="preserve">ies with increases in filled jobs </w:t>
      </w:r>
      <w:r>
        <w:t xml:space="preserve">in the year to December 2023 </w:t>
      </w:r>
      <w:r w:rsidR="009F55E4">
        <w:t>were:</w:t>
      </w:r>
    </w:p>
    <w:p w14:paraId="0A8DC8CB" w14:textId="162C284E" w:rsidR="00B474FA" w:rsidRDefault="00B474FA" w:rsidP="00C506F3">
      <w:pPr>
        <w:pStyle w:val="BulletList"/>
      </w:pPr>
      <w:r w:rsidRPr="00C26BAC">
        <w:t>Sports and recreation services</w:t>
      </w:r>
      <w:r>
        <w:t xml:space="preserve">, which gained </w:t>
      </w:r>
      <w:r w:rsidR="00BD5155">
        <w:t>7</w:t>
      </w:r>
      <w:r>
        <w:t>,500 filled jobs</w:t>
      </w:r>
      <w:r w:rsidR="7D322B26">
        <w:t>,</w:t>
      </w:r>
      <w:r>
        <w:t xml:space="preserve"> up </w:t>
      </w:r>
      <w:proofErr w:type="gramStart"/>
      <w:r w:rsidR="00BD5155">
        <w:t>22</w:t>
      </w:r>
      <w:r>
        <w:t>%</w:t>
      </w:r>
      <w:proofErr w:type="gramEnd"/>
    </w:p>
    <w:p w14:paraId="080DDF37" w14:textId="647B6AD9" w:rsidR="00BD5155" w:rsidRDefault="00BD5155" w:rsidP="00C506F3">
      <w:pPr>
        <w:pStyle w:val="BulletList"/>
      </w:pPr>
      <w:r>
        <w:t>Air, water</w:t>
      </w:r>
      <w:r w:rsidR="002F3A4E">
        <w:t>,</w:t>
      </w:r>
      <w:r>
        <w:t xml:space="preserve"> and other transport, which gained </w:t>
      </w:r>
      <w:r w:rsidR="004C0CFA">
        <w:t>3,600</w:t>
      </w:r>
      <w:r>
        <w:t xml:space="preserve"> filled jobs</w:t>
      </w:r>
      <w:r w:rsidR="50EF5670">
        <w:t xml:space="preserve">, </w:t>
      </w:r>
      <w:r>
        <w:t xml:space="preserve">up </w:t>
      </w:r>
      <w:proofErr w:type="gramStart"/>
      <w:r w:rsidR="004C0CFA">
        <w:t>11</w:t>
      </w:r>
      <w:r>
        <w:t>%</w:t>
      </w:r>
      <w:proofErr w:type="gramEnd"/>
    </w:p>
    <w:p w14:paraId="370ABFF2" w14:textId="3FC54126" w:rsidR="004C0CFA" w:rsidRDefault="00B346C6" w:rsidP="00C506F3">
      <w:pPr>
        <w:pStyle w:val="BulletList"/>
      </w:pPr>
      <w:r>
        <w:t>Cultural services</w:t>
      </w:r>
      <w:r w:rsidR="004C0CFA">
        <w:t>, which gained 3,</w:t>
      </w:r>
      <w:r w:rsidR="00563730">
        <w:t>5</w:t>
      </w:r>
      <w:r w:rsidR="004C0CFA">
        <w:t>00 filled jobs</w:t>
      </w:r>
      <w:r w:rsidR="2F16B726">
        <w:t>,</w:t>
      </w:r>
      <w:r w:rsidR="004C0CFA">
        <w:t xml:space="preserve"> up </w:t>
      </w:r>
      <w:proofErr w:type="gramStart"/>
      <w:r w:rsidR="00563730">
        <w:t>27</w:t>
      </w:r>
      <w:r w:rsidR="004C0CFA">
        <w:t>%</w:t>
      </w:r>
      <w:proofErr w:type="gramEnd"/>
    </w:p>
    <w:p w14:paraId="3AAC779C" w14:textId="1C44F291" w:rsidR="009F55E4" w:rsidRDefault="00E8088C" w:rsidP="00C506F3">
      <w:pPr>
        <w:pStyle w:val="BulletList"/>
      </w:pPr>
      <w:r w:rsidRPr="00E8088C">
        <w:t>Travel agency and information centre services</w:t>
      </w:r>
      <w:r>
        <w:t>, which gained 2,400 filled jobs</w:t>
      </w:r>
      <w:r w:rsidR="2FDB9641">
        <w:t xml:space="preserve">, </w:t>
      </w:r>
      <w:r>
        <w:t>up 7%</w:t>
      </w:r>
      <w:r w:rsidR="009F55E4">
        <w:t>.</w:t>
      </w:r>
    </w:p>
    <w:p w14:paraId="4F90BF51" w14:textId="16954F90" w:rsidR="00555564" w:rsidRDefault="00555564" w:rsidP="007D1893">
      <w:r>
        <w:t xml:space="preserve">In contrast, the accommodation sector recorded the largest decline in filled jobs in the year. There were </w:t>
      </w:r>
      <w:r w:rsidR="0067221C">
        <w:t>15,900 filled jobs lost in this sector between December 2022 and December 2023, a fall of 17%. The number of filled jobs in the accommodation sector at the end of 2023 was 24% lower than it was in 2019</w:t>
      </w:r>
      <w:r w:rsidR="001236CD">
        <w:t xml:space="preserve"> (Figure </w:t>
      </w:r>
      <w:r w:rsidR="0040287B">
        <w:t>32</w:t>
      </w:r>
      <w:r w:rsidR="001236CD">
        <w:t>).</w:t>
      </w:r>
    </w:p>
    <w:p w14:paraId="04BBDBC4" w14:textId="6946C17F" w:rsidR="000B22B3" w:rsidRDefault="000B22B3" w:rsidP="000B22B3">
      <w:r>
        <w:t xml:space="preserve">Other tourism-related industries with decreases in filled jobs in the year to December 2023 </w:t>
      </w:r>
      <w:r w:rsidR="007C5714">
        <w:t>included</w:t>
      </w:r>
      <w:r>
        <w:t>:</w:t>
      </w:r>
    </w:p>
    <w:p w14:paraId="35EAA414" w14:textId="390977FD" w:rsidR="000B22B3" w:rsidRDefault="000B22B3" w:rsidP="0035469F">
      <w:pPr>
        <w:pStyle w:val="BulletList"/>
      </w:pPr>
      <w:r w:rsidRPr="000B22B3">
        <w:t>Cafes, restaurants</w:t>
      </w:r>
      <w:r w:rsidR="002F3A4E">
        <w:t>,</w:t>
      </w:r>
      <w:r w:rsidRPr="000B22B3">
        <w:t xml:space="preserve"> and takeaway food services</w:t>
      </w:r>
      <w:r>
        <w:t>, which lost 7,800 filled jobs</w:t>
      </w:r>
      <w:r w:rsidR="01131C90">
        <w:t xml:space="preserve">, </w:t>
      </w:r>
      <w:r>
        <w:t>down</w:t>
      </w:r>
      <w:r w:rsidR="006D1E29">
        <w:t xml:space="preserve"> </w:t>
      </w:r>
      <w:proofErr w:type="gramStart"/>
      <w:r w:rsidR="006D1E29">
        <w:t>4</w:t>
      </w:r>
      <w:r>
        <w:t>%</w:t>
      </w:r>
      <w:proofErr w:type="gramEnd"/>
    </w:p>
    <w:p w14:paraId="05A55DC0" w14:textId="1445F862" w:rsidR="000B22B3" w:rsidRDefault="006D1E29" w:rsidP="0035469F">
      <w:pPr>
        <w:pStyle w:val="BulletList"/>
      </w:pPr>
      <w:r>
        <w:t>Retail trade</w:t>
      </w:r>
      <w:r w:rsidR="000B22B3">
        <w:t xml:space="preserve">, which </w:t>
      </w:r>
      <w:r>
        <w:t xml:space="preserve">lost </w:t>
      </w:r>
      <w:r w:rsidR="000B22B3">
        <w:t>6</w:t>
      </w:r>
      <w:r>
        <w:t>,5</w:t>
      </w:r>
      <w:r w:rsidR="000B22B3">
        <w:t>00 filled jobs</w:t>
      </w:r>
      <w:r w:rsidR="446F5420">
        <w:t xml:space="preserve">, </w:t>
      </w:r>
      <w:r w:rsidR="003E3A6C">
        <w:t>down</w:t>
      </w:r>
      <w:r w:rsidR="000B22B3">
        <w:t xml:space="preserve"> </w:t>
      </w:r>
      <w:proofErr w:type="gramStart"/>
      <w:r w:rsidR="003E3A6C">
        <w:t>6</w:t>
      </w:r>
      <w:r w:rsidR="000B22B3">
        <w:t>%</w:t>
      </w:r>
      <w:proofErr w:type="gramEnd"/>
    </w:p>
    <w:p w14:paraId="440D92A8" w14:textId="1E946D43" w:rsidR="00BA0140" w:rsidRDefault="003E3A6C" w:rsidP="0035469F">
      <w:pPr>
        <w:pStyle w:val="BulletList"/>
      </w:pPr>
      <w:r w:rsidRPr="003E3A6C">
        <w:t>Clubs, pubs, taverns</w:t>
      </w:r>
      <w:r w:rsidR="002F3A4E">
        <w:t>,</w:t>
      </w:r>
      <w:r w:rsidRPr="003E3A6C">
        <w:t xml:space="preserve"> and bars</w:t>
      </w:r>
      <w:r w:rsidR="000B22B3">
        <w:t xml:space="preserve">, which </w:t>
      </w:r>
      <w:r>
        <w:t>lost</w:t>
      </w:r>
      <w:r w:rsidR="000B22B3">
        <w:t xml:space="preserve"> </w:t>
      </w:r>
      <w:r>
        <w:t>1</w:t>
      </w:r>
      <w:r w:rsidR="000B22B3">
        <w:t>,</w:t>
      </w:r>
      <w:r>
        <w:t>5</w:t>
      </w:r>
      <w:r w:rsidR="000B22B3">
        <w:t>00 filled jobs</w:t>
      </w:r>
      <w:r w:rsidR="07CB8BB1">
        <w:t xml:space="preserve">, </w:t>
      </w:r>
      <w:r w:rsidR="007C5714">
        <w:t>down</w:t>
      </w:r>
      <w:r w:rsidR="000B22B3">
        <w:t xml:space="preserve"> </w:t>
      </w:r>
      <w:r w:rsidR="007C5714">
        <w:t>3</w:t>
      </w:r>
      <w:r w:rsidR="000B22B3">
        <w:t>%.</w:t>
      </w:r>
    </w:p>
    <w:p w14:paraId="7AC4BD1B" w14:textId="7066BC36" w:rsidR="00605C21" w:rsidRDefault="00605C21" w:rsidP="001213E0">
      <w:pPr>
        <w:pStyle w:val="Caption"/>
        <w:keepNext/>
        <w:spacing w:line="300" w:lineRule="atLeast"/>
        <w:rPr>
          <w:i w:val="0"/>
          <w:iCs w:val="0"/>
          <w:color w:val="000000" w:themeColor="text1"/>
          <w:sz w:val="22"/>
          <w:szCs w:val="22"/>
        </w:rPr>
      </w:pPr>
      <w:r>
        <w:rPr>
          <w:b/>
          <w:bCs/>
          <w:i w:val="0"/>
          <w:iCs w:val="0"/>
          <w:sz w:val="20"/>
          <w:szCs w:val="20"/>
        </w:rPr>
        <w:t xml:space="preserve">Figure </w:t>
      </w:r>
      <w:r>
        <w:rPr>
          <w:b/>
          <w:bCs/>
          <w:i w:val="0"/>
          <w:iCs w:val="0"/>
          <w:sz w:val="20"/>
          <w:szCs w:val="20"/>
        </w:rPr>
        <w:fldChar w:fldCharType="begin"/>
      </w:r>
      <w:r>
        <w:rPr>
          <w:b/>
          <w:bCs/>
          <w:i w:val="0"/>
          <w:iCs w:val="0"/>
          <w:sz w:val="20"/>
          <w:szCs w:val="20"/>
        </w:rPr>
        <w:instrText xml:space="preserve"> SEQ Figure \* ARABIC </w:instrText>
      </w:r>
      <w:r>
        <w:rPr>
          <w:b/>
          <w:bCs/>
          <w:i w:val="0"/>
          <w:iCs w:val="0"/>
          <w:sz w:val="20"/>
          <w:szCs w:val="20"/>
        </w:rPr>
        <w:fldChar w:fldCharType="separate"/>
      </w:r>
      <w:r w:rsidR="00DF758E">
        <w:rPr>
          <w:b/>
          <w:bCs/>
          <w:i w:val="0"/>
          <w:iCs w:val="0"/>
          <w:noProof/>
          <w:sz w:val="20"/>
          <w:szCs w:val="20"/>
        </w:rPr>
        <w:t>32</w:t>
      </w:r>
      <w:r>
        <w:rPr>
          <w:b/>
          <w:bCs/>
          <w:i w:val="0"/>
          <w:iCs w:val="0"/>
          <w:sz w:val="20"/>
          <w:szCs w:val="20"/>
        </w:rPr>
        <w:fldChar w:fldCharType="end"/>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Pr>
          <w:b/>
          <w:bCs/>
          <w:i w:val="0"/>
          <w:iCs w:val="0"/>
          <w:sz w:val="20"/>
          <w:szCs w:val="20"/>
        </w:rPr>
        <w:t xml:space="preserve">. </w:t>
      </w:r>
      <w:r w:rsidR="00893DEB" w:rsidRPr="00893DEB">
        <w:rPr>
          <w:i w:val="0"/>
          <w:iCs w:val="0"/>
          <w:sz w:val="20"/>
          <w:szCs w:val="20"/>
        </w:rPr>
        <w:t>T</w:t>
      </w:r>
      <w:r>
        <w:rPr>
          <w:i w:val="0"/>
          <w:iCs w:val="0"/>
          <w:sz w:val="20"/>
          <w:szCs w:val="20"/>
        </w:rPr>
        <w:t xml:space="preserve">ourism filled jobs </w:t>
      </w:r>
      <w:r w:rsidR="00A569CF">
        <w:rPr>
          <w:i w:val="0"/>
          <w:iCs w:val="0"/>
          <w:sz w:val="20"/>
          <w:szCs w:val="20"/>
        </w:rPr>
        <w:t xml:space="preserve">by tourism-related industry </w:t>
      </w:r>
      <w:r w:rsidR="00893DEB">
        <w:rPr>
          <w:i w:val="0"/>
          <w:iCs w:val="0"/>
          <w:sz w:val="20"/>
          <w:szCs w:val="20"/>
        </w:rPr>
        <w:t>in</w:t>
      </w:r>
      <w:r>
        <w:rPr>
          <w:i w:val="0"/>
          <w:iCs w:val="0"/>
          <w:sz w:val="20"/>
          <w:szCs w:val="20"/>
        </w:rPr>
        <w:t xml:space="preserve"> </w:t>
      </w:r>
      <w:r w:rsidR="00135CC3">
        <w:rPr>
          <w:i w:val="0"/>
          <w:iCs w:val="0"/>
          <w:sz w:val="20"/>
          <w:szCs w:val="20"/>
        </w:rPr>
        <w:t xml:space="preserve">December </w:t>
      </w:r>
      <w:r>
        <w:rPr>
          <w:i w:val="0"/>
          <w:iCs w:val="0"/>
          <w:sz w:val="20"/>
          <w:szCs w:val="20"/>
        </w:rPr>
        <w:t>2019</w:t>
      </w:r>
      <w:r w:rsidR="00893DEB">
        <w:rPr>
          <w:i w:val="0"/>
          <w:iCs w:val="0"/>
          <w:sz w:val="20"/>
          <w:szCs w:val="20"/>
        </w:rPr>
        <w:t xml:space="preserve">, </w:t>
      </w:r>
      <w:proofErr w:type="gramStart"/>
      <w:r w:rsidR="00893DEB">
        <w:rPr>
          <w:i w:val="0"/>
          <w:iCs w:val="0"/>
          <w:sz w:val="20"/>
          <w:szCs w:val="20"/>
        </w:rPr>
        <w:t>2022</w:t>
      </w:r>
      <w:proofErr w:type="gramEnd"/>
      <w:r w:rsidR="00893DEB">
        <w:rPr>
          <w:i w:val="0"/>
          <w:iCs w:val="0"/>
          <w:sz w:val="20"/>
          <w:szCs w:val="20"/>
        </w:rPr>
        <w:t xml:space="preserve"> and 2023</w:t>
      </w:r>
      <w:r>
        <w:rPr>
          <w:i w:val="0"/>
          <w:iCs w:val="0"/>
          <w:sz w:val="20"/>
          <w:szCs w:val="20"/>
        </w:rPr>
        <w:t>.</w:t>
      </w:r>
    </w:p>
    <w:p w14:paraId="05BB192A" w14:textId="5E913ED6" w:rsidR="00BA0140" w:rsidRDefault="00521306" w:rsidP="00605C21">
      <w:pPr>
        <w:pStyle w:val="Default"/>
        <w:spacing w:line="300" w:lineRule="atLeast"/>
        <w:rPr>
          <w:sz w:val="20"/>
          <w:szCs w:val="20"/>
        </w:rPr>
      </w:pPr>
      <w:r w:rsidRPr="00521306">
        <w:rPr>
          <w:noProof/>
        </w:rPr>
        <w:drawing>
          <wp:inline distT="0" distB="0" distL="0" distR="0" wp14:anchorId="7609B105" wp14:editId="307D41AD">
            <wp:extent cx="6329680" cy="4164965"/>
            <wp:effectExtent l="0" t="0" r="0" b="6985"/>
            <wp:docPr id="1351041144" name="Picture 13" descr="Figure 32 shows a vertical bar chart with the number of tourism filled jobs by tourism-related industry in 2019, 2022 and 2023. Most industries had fewer jobs in 2023 than they di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41144" name="Picture 13" descr="Figure 32 shows a vertical bar chart with the number of tourism filled jobs by tourism-related industry in 2019, 2022 and 2023. Most industries had fewer jobs in 2023 than they did in 20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9680" cy="4164965"/>
                    </a:xfrm>
                    <a:prstGeom prst="rect">
                      <a:avLst/>
                    </a:prstGeom>
                    <a:noFill/>
                    <a:ln>
                      <a:noFill/>
                    </a:ln>
                  </pic:spPr>
                </pic:pic>
              </a:graphicData>
            </a:graphic>
          </wp:inline>
        </w:drawing>
      </w:r>
    </w:p>
    <w:p w14:paraId="32BDBB88" w14:textId="2C77F084" w:rsidR="004728AD" w:rsidRDefault="008F5B77" w:rsidP="008F5B77">
      <w:pPr>
        <w:rPr>
          <w:color w:val="auto"/>
        </w:rPr>
      </w:pPr>
      <w:r>
        <w:lastRenderedPageBreak/>
        <w:t>The measure of tourism filled jobs reported above includes both main jobs and secondary jobs</w:t>
      </w:r>
      <w:r w:rsidR="00C407BF">
        <w:rPr>
          <w:color w:val="auto"/>
        </w:rPr>
        <w:t xml:space="preserve">. Separating total filled jobs into either main or secondary jobs, the </w:t>
      </w:r>
      <w:r w:rsidR="00D874BD">
        <w:rPr>
          <w:color w:val="auto"/>
        </w:rPr>
        <w:t>increase in jobs</w:t>
      </w:r>
      <w:r w:rsidR="00C407BF">
        <w:rPr>
          <w:color w:val="auto"/>
        </w:rPr>
        <w:t xml:space="preserve"> over the year was primarily driven by growth in secondary jobs</w:t>
      </w:r>
      <w:r w:rsidR="008C3403">
        <w:rPr>
          <w:color w:val="auto"/>
        </w:rPr>
        <w:t xml:space="preserve"> (Figure </w:t>
      </w:r>
      <w:r w:rsidR="006E6FD7">
        <w:rPr>
          <w:color w:val="auto"/>
        </w:rPr>
        <w:t>33</w:t>
      </w:r>
      <w:r w:rsidR="008C3403">
        <w:rPr>
          <w:color w:val="auto"/>
        </w:rPr>
        <w:t>)</w:t>
      </w:r>
      <w:r w:rsidR="009327C4">
        <w:rPr>
          <w:color w:val="auto"/>
        </w:rPr>
        <w:t xml:space="preserve">. </w:t>
      </w:r>
      <w:r w:rsidR="00785813">
        <w:rPr>
          <w:color w:val="auto"/>
        </w:rPr>
        <w:t>Over the year to December 2023, the number of</w:t>
      </w:r>
      <w:r w:rsidR="00785813" w:rsidRPr="00785813">
        <w:rPr>
          <w:color w:val="auto"/>
        </w:rPr>
        <w:t xml:space="preserve"> </w:t>
      </w:r>
      <w:r w:rsidR="00785813">
        <w:rPr>
          <w:color w:val="auto"/>
        </w:rPr>
        <w:t>main tourism jobs</w:t>
      </w:r>
      <w:r w:rsidR="003D5CD5">
        <w:rPr>
          <w:color w:val="auto"/>
        </w:rPr>
        <w:t xml:space="preserve"> increased by 3,200</w:t>
      </w:r>
      <w:r w:rsidR="0EEA2D9A" w:rsidRPr="34369E2C">
        <w:rPr>
          <w:color w:val="auto"/>
        </w:rPr>
        <w:t>, or</w:t>
      </w:r>
      <w:r w:rsidR="003D5CD5">
        <w:rPr>
          <w:color w:val="auto"/>
        </w:rPr>
        <w:t xml:space="preserve"> 0.5%, while the number of</w:t>
      </w:r>
      <w:r w:rsidR="003D5CD5" w:rsidRPr="003D5CD5">
        <w:rPr>
          <w:color w:val="auto"/>
        </w:rPr>
        <w:t xml:space="preserve"> </w:t>
      </w:r>
      <w:r w:rsidR="003D5CD5">
        <w:rPr>
          <w:color w:val="auto"/>
        </w:rPr>
        <w:t>secondary tourism jobs increased by 4,800</w:t>
      </w:r>
      <w:r w:rsidR="324D9A87" w:rsidRPr="34369E2C">
        <w:rPr>
          <w:color w:val="auto"/>
        </w:rPr>
        <w:t>, or</w:t>
      </w:r>
      <w:r w:rsidR="003D5CD5">
        <w:rPr>
          <w:color w:val="auto"/>
        </w:rPr>
        <w:t xml:space="preserve"> 8%.</w:t>
      </w:r>
      <w:r w:rsidR="00723794" w:rsidRPr="00723794">
        <w:rPr>
          <w:color w:val="auto"/>
        </w:rPr>
        <w:t xml:space="preserve"> </w:t>
      </w:r>
      <w:r w:rsidR="00723794">
        <w:rPr>
          <w:color w:val="auto"/>
        </w:rPr>
        <w:t>Compared to the pre-pandemic period, there were 4% more secondary tourism jobs in December 2023 than in December 2019. In contrast, there were 14% fewer main jobs in tourism</w:t>
      </w:r>
      <w:r w:rsidR="002F5FB1">
        <w:rPr>
          <w:color w:val="auto"/>
        </w:rPr>
        <w:t xml:space="preserve"> than there were before the pandemic</w:t>
      </w:r>
      <w:r w:rsidR="00723794">
        <w:rPr>
          <w:color w:val="auto"/>
        </w:rPr>
        <w:t>.</w:t>
      </w:r>
    </w:p>
    <w:p w14:paraId="0F67A831" w14:textId="7882D167" w:rsidR="008F5B77" w:rsidRDefault="008F5B77" w:rsidP="008F5B77">
      <w:pPr>
        <w:rPr>
          <w:color w:val="auto"/>
        </w:rPr>
      </w:pPr>
      <w:r>
        <w:rPr>
          <w:color w:val="auto"/>
        </w:rPr>
        <w:t xml:space="preserve">The </w:t>
      </w:r>
      <w:r>
        <w:t>share of secondary jobs in the visitor economy was 9.6% in the December quarter 2023, which remained above the pre-pandemic level</w:t>
      </w:r>
      <w:r w:rsidRPr="00FA3A2F">
        <w:rPr>
          <w:color w:val="auto"/>
        </w:rPr>
        <w:t xml:space="preserve"> </w:t>
      </w:r>
      <w:r>
        <w:t xml:space="preserve">and above the average for the Australian economy </w:t>
      </w:r>
      <w:proofErr w:type="gramStart"/>
      <w:r>
        <w:t xml:space="preserve">as a whole </w:t>
      </w:r>
      <w:r w:rsidR="0FC147E6">
        <w:t>of</w:t>
      </w:r>
      <w:proofErr w:type="gramEnd"/>
      <w:r w:rsidDel="008F5B77">
        <w:t xml:space="preserve"> </w:t>
      </w:r>
      <w:r>
        <w:rPr>
          <w:color w:val="auto"/>
        </w:rPr>
        <w:t>7.1%.</w:t>
      </w:r>
      <w:r w:rsidR="00764EB9">
        <w:rPr>
          <w:color w:val="auto"/>
        </w:rPr>
        <w:t xml:space="preserve"> </w:t>
      </w:r>
    </w:p>
    <w:p w14:paraId="16AC251D" w14:textId="62E9B8ED" w:rsidR="008F5B77" w:rsidRDefault="007F3DF8" w:rsidP="00E80715">
      <w:pPr>
        <w:pStyle w:val="Caption"/>
        <w:spacing w:line="300" w:lineRule="atLeast"/>
      </w:pPr>
      <w:bookmarkStart w:id="86" w:name="_Hlk161224471"/>
      <w:r>
        <w:rPr>
          <w:b/>
          <w:bCs/>
          <w:i w:val="0"/>
          <w:iCs w:val="0"/>
          <w:sz w:val="20"/>
          <w:szCs w:val="20"/>
        </w:rPr>
        <w:t xml:space="preserve">Figure </w:t>
      </w:r>
      <w:r w:rsidR="000A56BB">
        <w:rPr>
          <w:b/>
          <w:bCs/>
          <w:i w:val="0"/>
          <w:iCs w:val="0"/>
          <w:sz w:val="20"/>
          <w:szCs w:val="20"/>
        </w:rPr>
        <w:t>33</w:t>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sidR="008F5B77">
        <w:rPr>
          <w:i w:val="0"/>
          <w:iCs w:val="0"/>
          <w:sz w:val="20"/>
          <w:szCs w:val="20"/>
        </w:rPr>
        <w:t>. Tourism filled jobs by main or secondary job (left axis) and share of secondary jobs in tourism (right axis), December 2010 to December 2023.</w:t>
      </w:r>
      <w:r w:rsidR="008F5B77">
        <w:rPr>
          <w:noProof/>
        </w:rPr>
        <w:t xml:space="preserve"> </w:t>
      </w:r>
      <w:bookmarkEnd w:id="86"/>
    </w:p>
    <w:p w14:paraId="1C9EC123" w14:textId="664DD9CD" w:rsidR="00E80715" w:rsidRPr="00E80715" w:rsidRDefault="00E80715" w:rsidP="00E80715">
      <w:pPr>
        <w:spacing w:line="300" w:lineRule="atLeast"/>
      </w:pPr>
      <w:r w:rsidRPr="00E80715">
        <w:rPr>
          <w:noProof/>
        </w:rPr>
        <w:drawing>
          <wp:inline distT="0" distB="0" distL="0" distR="0" wp14:anchorId="21F8821F" wp14:editId="212B90A7">
            <wp:extent cx="6329680" cy="3764915"/>
            <wp:effectExtent l="0" t="0" r="0" b="6985"/>
            <wp:docPr id="964754329" name="Picture 15" descr="Figure 33 shows a stacked bar chart with bars for tourism main jobs and tourism secondary jobs. There is also a time series  showing the share of secondary jobs in tourism which has been trending higher. The chart covers the period from March 2010 to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754329" name="Picture 15" descr="Figure 33 shows a stacked bar chart with bars for tourism main jobs and tourism secondary jobs. There is also a time series  showing the share of secondary jobs in tourism which has been trending higher. The chart covers the period from March 2010 to December 20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9680" cy="3764915"/>
                    </a:xfrm>
                    <a:prstGeom prst="rect">
                      <a:avLst/>
                    </a:prstGeom>
                    <a:noFill/>
                    <a:ln>
                      <a:noFill/>
                    </a:ln>
                  </pic:spPr>
                </pic:pic>
              </a:graphicData>
            </a:graphic>
          </wp:inline>
        </w:drawing>
      </w:r>
    </w:p>
    <w:p w14:paraId="79CFF024" w14:textId="5CB190FE" w:rsidR="00BA0140" w:rsidRDefault="002F5FB1" w:rsidP="00BA0140">
      <w:pPr>
        <w:pStyle w:val="Heading4"/>
        <w:rPr>
          <w:lang w:eastAsia="zh-CN"/>
        </w:rPr>
      </w:pPr>
      <w:r>
        <w:t>Supply of p</w:t>
      </w:r>
      <w:r w:rsidR="00FB3A1F">
        <w:t>otential i</w:t>
      </w:r>
      <w:r w:rsidR="00BA0140">
        <w:t>nternational workers</w:t>
      </w:r>
    </w:p>
    <w:p w14:paraId="68BE8AFD" w14:textId="43CBDE60" w:rsidR="00FB3A1F" w:rsidRDefault="47AFDCD0" w:rsidP="007454C9">
      <w:pPr>
        <w:spacing w:line="300" w:lineRule="atLeast"/>
        <w:rPr>
          <w:lang w:eastAsia="zh-CN"/>
        </w:rPr>
      </w:pPr>
      <w:r w:rsidRPr="75A1B1E7">
        <w:rPr>
          <w:lang w:eastAsia="zh-CN"/>
        </w:rPr>
        <w:t>T</w:t>
      </w:r>
      <w:r w:rsidR="0035426C" w:rsidRPr="75A1B1E7">
        <w:rPr>
          <w:lang w:eastAsia="zh-CN"/>
        </w:rPr>
        <w:t>here</w:t>
      </w:r>
      <w:r w:rsidR="0035426C">
        <w:rPr>
          <w:lang w:eastAsia="zh-CN"/>
        </w:rPr>
        <w:t xml:space="preserve"> was strong growth in international arrivals for the purpose of employment i</w:t>
      </w:r>
      <w:r w:rsidR="00FB3A1F">
        <w:rPr>
          <w:lang w:eastAsia="zh-CN"/>
        </w:rPr>
        <w:t>n 2023</w:t>
      </w:r>
      <w:r w:rsidR="0035426C">
        <w:rPr>
          <w:lang w:eastAsia="zh-CN"/>
        </w:rPr>
        <w:t xml:space="preserve">. </w:t>
      </w:r>
      <w:r w:rsidR="00D524B3">
        <w:rPr>
          <w:lang w:eastAsia="zh-CN"/>
        </w:rPr>
        <w:t>Throughout</w:t>
      </w:r>
      <w:r w:rsidR="0035426C">
        <w:rPr>
          <w:lang w:eastAsia="zh-CN"/>
        </w:rPr>
        <w:t xml:space="preserve"> </w:t>
      </w:r>
      <w:r w:rsidR="007454C9">
        <w:rPr>
          <w:lang w:eastAsia="zh-CN"/>
        </w:rPr>
        <w:t>2023</w:t>
      </w:r>
      <w:r w:rsidR="00D524B3">
        <w:rPr>
          <w:lang w:eastAsia="zh-CN"/>
        </w:rPr>
        <w:t>,</w:t>
      </w:r>
      <w:r w:rsidR="00FB3A1F">
        <w:rPr>
          <w:lang w:eastAsia="zh-CN"/>
        </w:rPr>
        <w:t xml:space="preserve"> there were 288,000 employment arrivals, up 92% from 150,000 </w:t>
      </w:r>
      <w:r w:rsidR="00D524B3">
        <w:rPr>
          <w:lang w:eastAsia="zh-CN"/>
        </w:rPr>
        <w:t xml:space="preserve">arrivals </w:t>
      </w:r>
      <w:r w:rsidR="00FB3A1F">
        <w:rPr>
          <w:lang w:eastAsia="zh-CN"/>
        </w:rPr>
        <w:t xml:space="preserve">in 2022 (Figure </w:t>
      </w:r>
      <w:r w:rsidR="002E586B">
        <w:rPr>
          <w:lang w:eastAsia="zh-CN"/>
        </w:rPr>
        <w:t>3</w:t>
      </w:r>
      <w:r w:rsidR="0075769D">
        <w:rPr>
          <w:lang w:eastAsia="zh-CN"/>
        </w:rPr>
        <w:t>4</w:t>
      </w:r>
      <w:r w:rsidR="00FB3A1F">
        <w:rPr>
          <w:lang w:eastAsia="zh-CN"/>
        </w:rPr>
        <w:t xml:space="preserve">). </w:t>
      </w:r>
      <w:r w:rsidR="76A562C5" w:rsidRPr="443496B3">
        <w:rPr>
          <w:lang w:eastAsia="zh-CN"/>
        </w:rPr>
        <w:t>In</w:t>
      </w:r>
      <w:r w:rsidR="76A562C5" w:rsidRPr="34369E2C">
        <w:rPr>
          <w:lang w:eastAsia="zh-CN"/>
        </w:rPr>
        <w:t xml:space="preserve"> January</w:t>
      </w:r>
      <w:r w:rsidR="00FB3A1F" w:rsidRPr="34369E2C">
        <w:rPr>
          <w:lang w:eastAsia="zh-CN"/>
        </w:rPr>
        <w:t xml:space="preserve"> 2024, </w:t>
      </w:r>
      <w:r w:rsidR="3877DC20" w:rsidRPr="7CD15FE8">
        <w:rPr>
          <w:lang w:eastAsia="zh-CN"/>
        </w:rPr>
        <w:t>e</w:t>
      </w:r>
      <w:r w:rsidR="00FB3A1F" w:rsidRPr="7CD15FE8">
        <w:rPr>
          <w:lang w:eastAsia="zh-CN"/>
        </w:rPr>
        <w:t>mployment</w:t>
      </w:r>
      <w:r w:rsidR="00FB3A1F">
        <w:rPr>
          <w:lang w:eastAsia="zh-CN"/>
        </w:rPr>
        <w:t xml:space="preserve"> arrivals </w:t>
      </w:r>
      <w:r w:rsidR="002E14D5">
        <w:rPr>
          <w:lang w:eastAsia="zh-CN"/>
        </w:rPr>
        <w:t xml:space="preserve">were particularly strong </w:t>
      </w:r>
      <w:r w:rsidR="50583CEF" w:rsidRPr="443496B3">
        <w:rPr>
          <w:lang w:eastAsia="zh-CN"/>
        </w:rPr>
        <w:t>with</w:t>
      </w:r>
      <w:r w:rsidR="00FB3A1F">
        <w:rPr>
          <w:lang w:eastAsia="zh-CN"/>
        </w:rPr>
        <w:t xml:space="preserve"> nearly 40,000 short-term international employment arrivals</w:t>
      </w:r>
      <w:r w:rsidR="002E14D5">
        <w:rPr>
          <w:lang w:eastAsia="zh-CN"/>
        </w:rPr>
        <w:t xml:space="preserve">, </w:t>
      </w:r>
      <w:r w:rsidR="00FB3A1F">
        <w:rPr>
          <w:lang w:eastAsia="zh-CN"/>
        </w:rPr>
        <w:t>50% more than the equivalent pre-pandemic period (January 2019).</w:t>
      </w:r>
    </w:p>
    <w:p w14:paraId="348A983C" w14:textId="33BC707E" w:rsidR="001351CF" w:rsidRPr="001351CF" w:rsidRDefault="001351CF" w:rsidP="001351CF">
      <w:pPr>
        <w:rPr>
          <w:color w:val="auto"/>
          <w:lang w:eastAsia="zh-CN"/>
        </w:rPr>
      </w:pPr>
      <w:r w:rsidRPr="34369E2C">
        <w:rPr>
          <w:color w:val="auto"/>
          <w:lang w:eastAsia="zh-CN"/>
        </w:rPr>
        <w:t xml:space="preserve">The </w:t>
      </w:r>
      <w:r>
        <w:rPr>
          <w:color w:val="auto"/>
          <w:lang w:eastAsia="zh-CN"/>
        </w:rPr>
        <w:t>v</w:t>
      </w:r>
      <w:r w:rsidRPr="34369E2C">
        <w:rPr>
          <w:color w:val="auto"/>
          <w:lang w:eastAsia="zh-CN"/>
        </w:rPr>
        <w:t xml:space="preserve">isitor </w:t>
      </w:r>
      <w:r>
        <w:rPr>
          <w:color w:val="auto"/>
          <w:lang w:eastAsia="zh-CN"/>
        </w:rPr>
        <w:t>e</w:t>
      </w:r>
      <w:r w:rsidRPr="34369E2C">
        <w:rPr>
          <w:color w:val="auto"/>
          <w:lang w:eastAsia="zh-CN"/>
        </w:rPr>
        <w:t xml:space="preserve">conomy has </w:t>
      </w:r>
      <w:r>
        <w:rPr>
          <w:color w:val="auto"/>
          <w:lang w:eastAsia="zh-CN"/>
        </w:rPr>
        <w:t xml:space="preserve">also </w:t>
      </w:r>
      <w:r w:rsidRPr="34369E2C">
        <w:rPr>
          <w:color w:val="auto"/>
          <w:lang w:eastAsia="zh-CN"/>
        </w:rPr>
        <w:t xml:space="preserve">typically relied on </w:t>
      </w:r>
      <w:r w:rsidRPr="4E897AB4">
        <w:rPr>
          <w:color w:val="auto"/>
          <w:lang w:eastAsia="zh-CN"/>
        </w:rPr>
        <w:t>international</w:t>
      </w:r>
      <w:r w:rsidRPr="00C15B47">
        <w:rPr>
          <w:color w:val="auto"/>
          <w:lang w:eastAsia="zh-CN"/>
        </w:rPr>
        <w:t xml:space="preserve"> students as </w:t>
      </w:r>
      <w:r w:rsidRPr="34369E2C">
        <w:rPr>
          <w:color w:val="auto"/>
          <w:lang w:eastAsia="zh-CN"/>
        </w:rPr>
        <w:t xml:space="preserve">source of </w:t>
      </w:r>
      <w:r w:rsidRPr="00C15B47">
        <w:rPr>
          <w:color w:val="auto"/>
          <w:lang w:eastAsia="zh-CN"/>
        </w:rPr>
        <w:t>temporary and casual labour</w:t>
      </w:r>
      <w:r>
        <w:rPr>
          <w:color w:val="auto"/>
          <w:lang w:eastAsia="zh-CN"/>
        </w:rPr>
        <w:t xml:space="preserve"> and t</w:t>
      </w:r>
      <w:r w:rsidRPr="65C566BB">
        <w:rPr>
          <w:color w:val="auto"/>
          <w:lang w:eastAsia="zh-CN"/>
        </w:rPr>
        <w:t>here</w:t>
      </w:r>
      <w:r>
        <w:rPr>
          <w:color w:val="auto"/>
          <w:lang w:eastAsia="zh-CN"/>
        </w:rPr>
        <w:t xml:space="preserve"> was strong growth in international student numbers in Australia in 2023</w:t>
      </w:r>
      <w:r w:rsidRPr="00C15B47">
        <w:rPr>
          <w:color w:val="auto"/>
          <w:lang w:eastAsia="zh-CN"/>
        </w:rPr>
        <w:t xml:space="preserve">. </w:t>
      </w:r>
    </w:p>
    <w:p w14:paraId="54915DE6" w14:textId="74D034CD" w:rsidR="0091051A" w:rsidRDefault="0091051A" w:rsidP="005D27CF">
      <w:pPr>
        <w:pStyle w:val="Caption"/>
        <w:keepNext/>
        <w:spacing w:line="300" w:lineRule="atLeast"/>
        <w:rPr>
          <w:i w:val="0"/>
          <w:sz w:val="20"/>
          <w:szCs w:val="20"/>
        </w:rPr>
      </w:pPr>
      <w:r>
        <w:rPr>
          <w:b/>
          <w:bCs/>
          <w:i w:val="0"/>
          <w:iCs w:val="0"/>
          <w:sz w:val="20"/>
          <w:szCs w:val="20"/>
        </w:rPr>
        <w:lastRenderedPageBreak/>
        <w:t xml:space="preserve">Figure </w:t>
      </w:r>
      <w:r w:rsidR="000A56BB">
        <w:rPr>
          <w:b/>
          <w:bCs/>
          <w:i w:val="0"/>
          <w:iCs w:val="0"/>
          <w:sz w:val="20"/>
          <w:szCs w:val="20"/>
        </w:rPr>
        <w:t>34</w:t>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Pr>
          <w:b/>
          <w:bCs/>
          <w:i w:val="0"/>
          <w:iCs w:val="0"/>
          <w:sz w:val="20"/>
          <w:szCs w:val="20"/>
        </w:rPr>
        <w:t xml:space="preserve">. </w:t>
      </w:r>
      <w:r>
        <w:rPr>
          <w:i w:val="0"/>
          <w:iCs w:val="0"/>
          <w:sz w:val="20"/>
          <w:szCs w:val="20"/>
        </w:rPr>
        <w:t xml:space="preserve">Short-term international arrivals for the purpose of employment, monthly arrivals (bars) and year-end sum of arrivals (line), January 2019 to </w:t>
      </w:r>
      <w:r w:rsidR="001307A2">
        <w:rPr>
          <w:i w:val="0"/>
          <w:iCs w:val="0"/>
          <w:sz w:val="20"/>
          <w:szCs w:val="20"/>
        </w:rPr>
        <w:t xml:space="preserve">January </w:t>
      </w:r>
      <w:r>
        <w:rPr>
          <w:i w:val="0"/>
          <w:iCs w:val="0"/>
          <w:sz w:val="20"/>
          <w:szCs w:val="20"/>
        </w:rPr>
        <w:t>202</w:t>
      </w:r>
      <w:r w:rsidR="001307A2">
        <w:rPr>
          <w:i w:val="0"/>
          <w:iCs w:val="0"/>
          <w:sz w:val="20"/>
          <w:szCs w:val="20"/>
        </w:rPr>
        <w:t>4</w:t>
      </w:r>
      <w:r>
        <w:rPr>
          <w:i w:val="0"/>
          <w:iCs w:val="0"/>
          <w:sz w:val="20"/>
          <w:szCs w:val="20"/>
        </w:rPr>
        <w:t>.</w:t>
      </w:r>
    </w:p>
    <w:p w14:paraId="05E33CB7" w14:textId="528B2CB4" w:rsidR="00CF42E9" w:rsidRPr="00CF42E9" w:rsidRDefault="00CF42E9" w:rsidP="00CF42E9">
      <w:pPr>
        <w:spacing w:line="300" w:lineRule="atLeast"/>
      </w:pPr>
      <w:r w:rsidRPr="00CF42E9">
        <w:rPr>
          <w:noProof/>
        </w:rPr>
        <w:drawing>
          <wp:inline distT="0" distB="0" distL="0" distR="0" wp14:anchorId="11C32123" wp14:editId="35D618D7">
            <wp:extent cx="6329680" cy="3736340"/>
            <wp:effectExtent l="0" t="0" r="0" b="0"/>
            <wp:docPr id="1176328083" name="Picture 16" descr="Figure 34 shows a bar chart with the number of short-term international arrivals for the purpose of employment per month from January 2019 to January 2024 on the left axis. The year end sum of employment arrivals is displayed as a  time series on the right axis. Employment arrivals have been rising and were above the pre-pandemic level with a particularly high number of arrivals in the month of Jan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28083" name="Picture 16" descr="Figure 34 shows a bar chart with the number of short-term international arrivals for the purpose of employment per month from January 2019 to January 2024 on the left axis. The year end sum of employment arrivals is displayed as a  time series on the right axis. Employment arrivals have been rising and were above the pre-pandemic level with a particularly high number of arrivals in the month of January 20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9680" cy="3736340"/>
                    </a:xfrm>
                    <a:prstGeom prst="rect">
                      <a:avLst/>
                    </a:prstGeom>
                    <a:noFill/>
                    <a:ln>
                      <a:noFill/>
                    </a:ln>
                  </pic:spPr>
                </pic:pic>
              </a:graphicData>
            </a:graphic>
          </wp:inline>
        </w:drawing>
      </w:r>
    </w:p>
    <w:p w14:paraId="3BD37899" w14:textId="61B7A0F3" w:rsidR="005F2DB9" w:rsidRDefault="32FBAAA6" w:rsidP="005F2DB9">
      <w:pPr>
        <w:rPr>
          <w:lang w:eastAsia="zh-CN"/>
        </w:rPr>
      </w:pPr>
      <w:r>
        <w:rPr>
          <w:lang w:eastAsia="zh-CN"/>
        </w:rPr>
        <w:t xml:space="preserve">Working holiday makers (WHMs) are </w:t>
      </w:r>
      <w:r w:rsidR="677A35AB">
        <w:rPr>
          <w:lang w:eastAsia="zh-CN"/>
        </w:rPr>
        <w:t>a</w:t>
      </w:r>
      <w:r w:rsidR="005F2DB9">
        <w:rPr>
          <w:lang w:eastAsia="zh-CN"/>
        </w:rPr>
        <w:t>nother source of workers for the visitor economy</w:t>
      </w:r>
      <w:r w:rsidR="00C8377C">
        <w:rPr>
          <w:lang w:eastAsia="zh-CN"/>
        </w:rPr>
        <w:t xml:space="preserve"> (in addition to their demand for tourism goods and services)</w:t>
      </w:r>
      <w:r w:rsidR="005F2DB9">
        <w:rPr>
          <w:lang w:eastAsia="zh-CN"/>
        </w:rPr>
        <w:t>.</w:t>
      </w:r>
      <w:r w:rsidR="005F2DB9" w:rsidRPr="00B678AC">
        <w:rPr>
          <w:lang w:eastAsia="zh-CN"/>
        </w:rPr>
        <w:t xml:space="preserve"> </w:t>
      </w:r>
      <w:r w:rsidR="005F2DB9">
        <w:rPr>
          <w:lang w:eastAsia="zh-CN"/>
        </w:rPr>
        <w:t>The Department of Home Affairs report</w:t>
      </w:r>
      <w:r w:rsidR="00DA6B24">
        <w:rPr>
          <w:lang w:eastAsia="zh-CN"/>
        </w:rPr>
        <w:t>ed</w:t>
      </w:r>
      <w:r w:rsidR="005F2DB9">
        <w:rPr>
          <w:lang w:eastAsia="zh-CN"/>
        </w:rPr>
        <w:t xml:space="preserve"> that in 2023 there were a total of 235,20</w:t>
      </w:r>
      <w:r w:rsidR="002D5491">
        <w:rPr>
          <w:lang w:eastAsia="zh-CN"/>
        </w:rPr>
        <w:t>8</w:t>
      </w:r>
      <w:r w:rsidR="005F2DB9">
        <w:rPr>
          <w:lang w:eastAsia="zh-CN"/>
        </w:rPr>
        <w:t xml:space="preserve"> WHM visa</w:t>
      </w:r>
      <w:r w:rsidR="00C31428">
        <w:rPr>
          <w:lang w:eastAsia="zh-CN"/>
        </w:rPr>
        <w:t xml:space="preserve">s granted </w:t>
      </w:r>
      <w:r w:rsidR="005F2DB9">
        <w:rPr>
          <w:lang w:eastAsia="zh-CN"/>
        </w:rPr>
        <w:t>(subclass 417 and subclass 462), up b</w:t>
      </w:r>
      <w:r w:rsidR="005F2DB9" w:rsidRPr="00600AAC">
        <w:rPr>
          <w:lang w:eastAsia="zh-CN"/>
        </w:rPr>
        <w:t xml:space="preserve">y </w:t>
      </w:r>
      <w:r w:rsidR="005F2DB9" w:rsidRPr="00E50F8E">
        <w:rPr>
          <w:lang w:eastAsia="zh-CN"/>
        </w:rPr>
        <w:t>26</w:t>
      </w:r>
      <w:r w:rsidR="005F2DB9" w:rsidRPr="00600AAC">
        <w:rPr>
          <w:lang w:eastAsia="zh-CN"/>
        </w:rPr>
        <w:t>%</w:t>
      </w:r>
      <w:r w:rsidR="005F2DB9">
        <w:rPr>
          <w:lang w:eastAsia="zh-CN"/>
        </w:rPr>
        <w:t xml:space="preserve"> from 186,251 </w:t>
      </w:r>
      <w:r w:rsidR="2B3CA004">
        <w:rPr>
          <w:lang w:eastAsia="zh-CN"/>
        </w:rPr>
        <w:t>in</w:t>
      </w:r>
      <w:r w:rsidR="003A2D0F">
        <w:rPr>
          <w:lang w:eastAsia="zh-CN"/>
        </w:rPr>
        <w:t xml:space="preserve"> </w:t>
      </w:r>
      <w:r w:rsidR="005F2DB9">
        <w:rPr>
          <w:lang w:eastAsia="zh-CN"/>
        </w:rPr>
        <w:t>2022</w:t>
      </w:r>
      <w:r w:rsidR="000C7255">
        <w:rPr>
          <w:lang w:eastAsia="zh-CN"/>
        </w:rPr>
        <w:t xml:space="preserve"> (Figure 35)</w:t>
      </w:r>
      <w:r w:rsidR="005F2DB9">
        <w:rPr>
          <w:lang w:eastAsia="zh-CN"/>
        </w:rPr>
        <w:t>.</w:t>
      </w:r>
      <w:r w:rsidR="004A7A6F">
        <w:rPr>
          <w:lang w:eastAsia="zh-CN"/>
        </w:rPr>
        <w:t xml:space="preserve"> </w:t>
      </w:r>
      <w:r w:rsidR="008E024A">
        <w:rPr>
          <w:lang w:eastAsia="zh-CN"/>
        </w:rPr>
        <w:t>Growth</w:t>
      </w:r>
      <w:r w:rsidR="004A7A6F">
        <w:rPr>
          <w:lang w:eastAsia="zh-CN"/>
        </w:rPr>
        <w:t xml:space="preserve"> over the year was </w:t>
      </w:r>
      <w:r w:rsidR="008E024A">
        <w:rPr>
          <w:lang w:eastAsia="zh-CN"/>
        </w:rPr>
        <w:t xml:space="preserve">higher for Work and Holiday visas (subclass 462) than for Working Holiday visas (subclass </w:t>
      </w:r>
      <w:r w:rsidR="00F05813">
        <w:rPr>
          <w:lang w:eastAsia="zh-CN"/>
        </w:rPr>
        <w:t>417).</w:t>
      </w:r>
      <w:r w:rsidR="00FA6BD1">
        <w:rPr>
          <w:lang w:eastAsia="zh-CN"/>
        </w:rPr>
        <w:t xml:space="preserve"> Compared to the 2019 year, there were </w:t>
      </w:r>
      <w:r w:rsidR="000E50E0">
        <w:rPr>
          <w:lang w:eastAsia="zh-CN"/>
        </w:rPr>
        <w:t>19% more WHM visas granted in 2023</w:t>
      </w:r>
      <w:r w:rsidR="008E7D5A">
        <w:rPr>
          <w:lang w:eastAsia="zh-CN"/>
        </w:rPr>
        <w:t>: there were</w:t>
      </w:r>
      <w:r w:rsidR="26CF9FED">
        <w:rPr>
          <w:lang w:eastAsia="zh-CN"/>
        </w:rPr>
        <w:t xml:space="preserve"> </w:t>
      </w:r>
      <w:r w:rsidR="0017006B">
        <w:rPr>
          <w:lang w:eastAsia="zh-CN"/>
        </w:rPr>
        <w:t xml:space="preserve">12%, or </w:t>
      </w:r>
      <w:r w:rsidR="0D838042" w:rsidRPr="34369E2C">
        <w:rPr>
          <w:lang w:eastAsia="zh-CN"/>
        </w:rPr>
        <w:t>20,058</w:t>
      </w:r>
      <w:r w:rsidR="0017006B">
        <w:rPr>
          <w:lang w:eastAsia="zh-CN"/>
        </w:rPr>
        <w:t>,</w:t>
      </w:r>
      <w:r w:rsidR="000E50E0">
        <w:rPr>
          <w:lang w:eastAsia="zh-CN"/>
        </w:rPr>
        <w:t xml:space="preserve"> more 417 visas</w:t>
      </w:r>
      <w:r w:rsidR="00275B6F">
        <w:rPr>
          <w:rStyle w:val="FootnoteReference"/>
          <w:lang w:eastAsia="zh-CN"/>
        </w:rPr>
        <w:footnoteReference w:id="27"/>
      </w:r>
      <w:r w:rsidR="000E50E0">
        <w:rPr>
          <w:lang w:eastAsia="zh-CN"/>
        </w:rPr>
        <w:t xml:space="preserve"> and </w:t>
      </w:r>
      <w:r w:rsidR="0017006B">
        <w:rPr>
          <w:lang w:eastAsia="zh-CN"/>
        </w:rPr>
        <w:t xml:space="preserve">54%, or </w:t>
      </w:r>
      <w:r w:rsidR="2A9291FC" w:rsidRPr="34369E2C">
        <w:rPr>
          <w:lang w:eastAsia="zh-CN"/>
        </w:rPr>
        <w:t>16,868</w:t>
      </w:r>
      <w:r w:rsidR="0017006B">
        <w:rPr>
          <w:lang w:eastAsia="zh-CN"/>
        </w:rPr>
        <w:t>, more</w:t>
      </w:r>
      <w:r w:rsidR="000E50E0">
        <w:rPr>
          <w:lang w:eastAsia="zh-CN"/>
        </w:rPr>
        <w:t xml:space="preserve"> </w:t>
      </w:r>
      <w:r w:rsidR="00EB4998">
        <w:rPr>
          <w:lang w:eastAsia="zh-CN"/>
        </w:rPr>
        <w:t>462 visas.</w:t>
      </w:r>
      <w:r w:rsidR="00275B6F">
        <w:rPr>
          <w:rStyle w:val="FootnoteReference"/>
          <w:lang w:eastAsia="zh-CN"/>
        </w:rPr>
        <w:footnoteReference w:id="28"/>
      </w:r>
    </w:p>
    <w:p w14:paraId="28DDB09E" w14:textId="1C24697E" w:rsidR="0055102F" w:rsidRDefault="0055102F" w:rsidP="0055102F">
      <w:pPr>
        <w:pStyle w:val="Caption"/>
        <w:keepNext/>
        <w:spacing w:line="300" w:lineRule="atLeast"/>
        <w:rPr>
          <w:i w:val="0"/>
          <w:sz w:val="20"/>
          <w:szCs w:val="20"/>
        </w:rPr>
      </w:pPr>
      <w:r>
        <w:rPr>
          <w:b/>
          <w:bCs/>
          <w:i w:val="0"/>
          <w:iCs w:val="0"/>
          <w:sz w:val="20"/>
          <w:szCs w:val="20"/>
        </w:rPr>
        <w:lastRenderedPageBreak/>
        <w:t xml:space="preserve">Figure </w:t>
      </w:r>
      <w:r w:rsidR="000A56BB">
        <w:rPr>
          <w:b/>
          <w:bCs/>
          <w:i w:val="0"/>
          <w:iCs w:val="0"/>
          <w:sz w:val="20"/>
          <w:szCs w:val="20"/>
        </w:rPr>
        <w:t>35</w:t>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Pr>
          <w:b/>
          <w:bCs/>
          <w:i w:val="0"/>
          <w:iCs w:val="0"/>
          <w:sz w:val="20"/>
          <w:szCs w:val="20"/>
        </w:rPr>
        <w:t xml:space="preserve">. </w:t>
      </w:r>
      <w:r w:rsidR="00F00513">
        <w:rPr>
          <w:i w:val="0"/>
          <w:iCs w:val="0"/>
          <w:sz w:val="20"/>
          <w:szCs w:val="20"/>
        </w:rPr>
        <w:t>Working Holiday Maker visas granted</w:t>
      </w:r>
      <w:r>
        <w:rPr>
          <w:i w:val="0"/>
          <w:iCs w:val="0"/>
          <w:sz w:val="20"/>
          <w:szCs w:val="20"/>
        </w:rPr>
        <w:t xml:space="preserve">, </w:t>
      </w:r>
      <w:r w:rsidR="00F00513">
        <w:rPr>
          <w:i w:val="0"/>
          <w:iCs w:val="0"/>
          <w:sz w:val="20"/>
          <w:szCs w:val="20"/>
        </w:rPr>
        <w:t xml:space="preserve">by </w:t>
      </w:r>
      <w:r w:rsidR="009851B2">
        <w:rPr>
          <w:i w:val="0"/>
          <w:iCs w:val="0"/>
          <w:sz w:val="20"/>
          <w:szCs w:val="20"/>
        </w:rPr>
        <w:t xml:space="preserve">visa type, </w:t>
      </w:r>
      <w:r w:rsidR="00F00513">
        <w:rPr>
          <w:i w:val="0"/>
          <w:iCs w:val="0"/>
          <w:sz w:val="20"/>
          <w:szCs w:val="20"/>
        </w:rPr>
        <w:t>quarterly</w:t>
      </w:r>
      <w:r w:rsidR="009851B2">
        <w:rPr>
          <w:i w:val="0"/>
          <w:iCs w:val="0"/>
          <w:sz w:val="20"/>
          <w:szCs w:val="20"/>
        </w:rPr>
        <w:t xml:space="preserve"> data</w:t>
      </w:r>
      <w:r>
        <w:rPr>
          <w:i w:val="0"/>
          <w:iCs w:val="0"/>
          <w:sz w:val="20"/>
          <w:szCs w:val="20"/>
        </w:rPr>
        <w:t xml:space="preserve">, </w:t>
      </w:r>
      <w:r w:rsidR="009851B2">
        <w:rPr>
          <w:i w:val="0"/>
          <w:iCs w:val="0"/>
          <w:sz w:val="20"/>
          <w:szCs w:val="20"/>
        </w:rPr>
        <w:t>March quarter</w:t>
      </w:r>
      <w:r>
        <w:rPr>
          <w:i w:val="0"/>
          <w:iCs w:val="0"/>
          <w:sz w:val="20"/>
          <w:szCs w:val="20"/>
        </w:rPr>
        <w:t xml:space="preserve"> 201</w:t>
      </w:r>
      <w:r w:rsidR="009851B2">
        <w:rPr>
          <w:i w:val="0"/>
          <w:iCs w:val="0"/>
          <w:sz w:val="20"/>
          <w:szCs w:val="20"/>
        </w:rPr>
        <w:t>6</w:t>
      </w:r>
      <w:r>
        <w:rPr>
          <w:i w:val="0"/>
          <w:iCs w:val="0"/>
          <w:sz w:val="20"/>
          <w:szCs w:val="20"/>
        </w:rPr>
        <w:t xml:space="preserve"> to </w:t>
      </w:r>
      <w:r w:rsidR="009851B2">
        <w:rPr>
          <w:i w:val="0"/>
          <w:iCs w:val="0"/>
          <w:sz w:val="20"/>
          <w:szCs w:val="20"/>
        </w:rPr>
        <w:t>March quarter</w:t>
      </w:r>
      <w:r>
        <w:rPr>
          <w:i w:val="0"/>
          <w:iCs w:val="0"/>
          <w:sz w:val="20"/>
          <w:szCs w:val="20"/>
        </w:rPr>
        <w:t xml:space="preserve"> 2024.</w:t>
      </w:r>
    </w:p>
    <w:p w14:paraId="74139337" w14:textId="4C4DE226" w:rsidR="0055102F" w:rsidRDefault="002C3634" w:rsidP="0055102F">
      <w:pPr>
        <w:spacing w:line="300" w:lineRule="atLeast"/>
        <w:rPr>
          <w:lang w:eastAsia="zh-CN"/>
        </w:rPr>
      </w:pPr>
      <w:r w:rsidRPr="002C3634">
        <w:rPr>
          <w:noProof/>
        </w:rPr>
        <w:drawing>
          <wp:inline distT="0" distB="0" distL="0" distR="0" wp14:anchorId="695C6D46" wp14:editId="606340FE">
            <wp:extent cx="6329680" cy="3878580"/>
            <wp:effectExtent l="0" t="0" r="0" b="7620"/>
            <wp:docPr id="1815072229" name="Picture 1" descr="Figure 35 is a stacked bar chart showing the number of 417 Working holiday visas granted and the number of 462 Work and Holiday visas granted each quarter from March 2016 to March 2024. The total line is also shown for the sum of these two. There were more visas granted in March quarter 2024 than any other quarter in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2229" name="Picture 1" descr="Figure 35 is a stacked bar chart showing the number of 417 Working holiday visas granted and the number of 462 Work and Holiday visas granted each quarter from March 2016 to March 2024. The total line is also shown for the sum of these two. There were more visas granted in March quarter 2024 than any other quarter in the ch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9680" cy="3878580"/>
                    </a:xfrm>
                    <a:prstGeom prst="rect">
                      <a:avLst/>
                    </a:prstGeom>
                    <a:noFill/>
                    <a:ln>
                      <a:noFill/>
                    </a:ln>
                  </pic:spPr>
                </pic:pic>
              </a:graphicData>
            </a:graphic>
          </wp:inline>
        </w:drawing>
      </w:r>
    </w:p>
    <w:p w14:paraId="05A1E561" w14:textId="77777777" w:rsidR="00BA0140" w:rsidRDefault="00BA0140" w:rsidP="00BA0140">
      <w:pPr>
        <w:pStyle w:val="Heading4"/>
        <w:rPr>
          <w:lang w:eastAsia="zh-CN"/>
        </w:rPr>
      </w:pPr>
      <w:r>
        <w:t>Job vacancies</w:t>
      </w:r>
    </w:p>
    <w:p w14:paraId="5C5EDA76" w14:textId="0E432773" w:rsidR="001862D4" w:rsidRDefault="00E36833" w:rsidP="001862D4">
      <w:r w:rsidRPr="005B356C">
        <w:rPr>
          <w:lang w:eastAsia="zh-CN"/>
        </w:rPr>
        <w:t xml:space="preserve">Tourism-related job vacancies rose rapidly from October 2021 and peaked at 26,274 in August 2022 (Figure </w:t>
      </w:r>
      <w:r w:rsidR="009025BF">
        <w:rPr>
          <w:lang w:eastAsia="zh-CN"/>
        </w:rPr>
        <w:t>3</w:t>
      </w:r>
      <w:r w:rsidR="001351CF">
        <w:rPr>
          <w:lang w:eastAsia="zh-CN"/>
        </w:rPr>
        <w:t>6</w:t>
      </w:r>
      <w:r w:rsidRPr="005B356C">
        <w:rPr>
          <w:lang w:eastAsia="zh-CN"/>
        </w:rPr>
        <w:t xml:space="preserve">). In 2023, the number of job vacancies for tourism-related occupations </w:t>
      </w:r>
      <w:r w:rsidR="00C17CC1">
        <w:rPr>
          <w:lang w:eastAsia="zh-CN"/>
        </w:rPr>
        <w:t>trended down</w:t>
      </w:r>
      <w:r w:rsidR="00A84364">
        <w:rPr>
          <w:lang w:eastAsia="zh-CN"/>
        </w:rPr>
        <w:t xml:space="preserve"> so that </w:t>
      </w:r>
      <w:r w:rsidR="00A84364" w:rsidRPr="005B356C">
        <w:rPr>
          <w:lang w:eastAsia="zh-CN"/>
        </w:rPr>
        <w:t>by the end of 2023</w:t>
      </w:r>
      <w:r w:rsidR="00A84364">
        <w:rPr>
          <w:lang w:eastAsia="zh-CN"/>
        </w:rPr>
        <w:t xml:space="preserve">, tourism-related job vacancies had declined by </w:t>
      </w:r>
      <w:r w:rsidR="00B21E70">
        <w:rPr>
          <w:lang w:eastAsia="zh-CN"/>
        </w:rPr>
        <w:t>44</w:t>
      </w:r>
      <w:r w:rsidR="00A84364">
        <w:rPr>
          <w:lang w:eastAsia="zh-CN"/>
        </w:rPr>
        <w:t xml:space="preserve">% from the August 2022 peak. On average, in 2023, tourism job vacancies were </w:t>
      </w:r>
      <w:r w:rsidR="00AF0EB6">
        <w:rPr>
          <w:lang w:eastAsia="zh-CN"/>
        </w:rPr>
        <w:t>26</w:t>
      </w:r>
      <w:r w:rsidR="00A84364">
        <w:rPr>
          <w:lang w:eastAsia="zh-CN"/>
        </w:rPr>
        <w:t xml:space="preserve">% lower than in 2022, but still </w:t>
      </w:r>
      <w:r w:rsidR="00A64E8A">
        <w:rPr>
          <w:lang w:eastAsia="zh-CN"/>
        </w:rPr>
        <w:t>82</w:t>
      </w:r>
      <w:r w:rsidR="00A84364">
        <w:rPr>
          <w:lang w:eastAsia="zh-CN"/>
        </w:rPr>
        <w:t xml:space="preserve">% above the pre-pandemic </w:t>
      </w:r>
      <w:r w:rsidR="24D4A41C" w:rsidRPr="6B4F1717">
        <w:rPr>
          <w:lang w:eastAsia="zh-CN"/>
        </w:rPr>
        <w:t xml:space="preserve">average </w:t>
      </w:r>
      <w:r w:rsidR="00A84364">
        <w:rPr>
          <w:lang w:eastAsia="zh-CN"/>
        </w:rPr>
        <w:t xml:space="preserve">level of </w:t>
      </w:r>
      <w:r w:rsidR="00A84364" w:rsidRPr="005B356C">
        <w:rPr>
          <w:lang w:eastAsia="zh-CN"/>
        </w:rPr>
        <w:t>9,645</w:t>
      </w:r>
      <w:r w:rsidR="00A84364">
        <w:rPr>
          <w:lang w:eastAsia="zh-CN"/>
        </w:rPr>
        <w:t xml:space="preserve"> </w:t>
      </w:r>
      <w:r w:rsidR="433A8066" w:rsidRPr="5A5A2823">
        <w:rPr>
          <w:lang w:eastAsia="zh-CN"/>
        </w:rPr>
        <w:t>in</w:t>
      </w:r>
      <w:r w:rsidR="00A84364">
        <w:rPr>
          <w:lang w:eastAsia="zh-CN"/>
        </w:rPr>
        <w:t xml:space="preserve"> 2018-2019</w:t>
      </w:r>
      <w:r w:rsidR="001862D4">
        <w:rPr>
          <w:lang w:eastAsia="zh-CN"/>
        </w:rPr>
        <w:t>.</w:t>
      </w:r>
      <w:r w:rsidR="001862D4" w:rsidRPr="001862D4">
        <w:t xml:space="preserve"> </w:t>
      </w:r>
    </w:p>
    <w:p w14:paraId="7D0F5D57" w14:textId="414D1409" w:rsidR="00981A7F" w:rsidRDefault="00820F95" w:rsidP="00E36833">
      <w:pPr>
        <w:rPr>
          <w:lang w:eastAsia="zh-CN"/>
        </w:rPr>
      </w:pPr>
      <w:r>
        <w:rPr>
          <w:lang w:eastAsia="zh-CN"/>
        </w:rPr>
        <w:t>J</w:t>
      </w:r>
      <w:r w:rsidR="00E36833" w:rsidRPr="005B356C">
        <w:rPr>
          <w:lang w:eastAsia="zh-CN"/>
        </w:rPr>
        <w:t xml:space="preserve">ob vacancies for tourism-related jobs declined </w:t>
      </w:r>
      <w:r>
        <w:rPr>
          <w:lang w:eastAsia="zh-CN"/>
        </w:rPr>
        <w:t>further</w:t>
      </w:r>
      <w:r w:rsidR="00E36833" w:rsidRPr="005B356C">
        <w:rPr>
          <w:lang w:eastAsia="zh-CN"/>
        </w:rPr>
        <w:t xml:space="preserve"> in January and February 2024</w:t>
      </w:r>
      <w:r w:rsidR="00502BDD">
        <w:rPr>
          <w:lang w:eastAsia="zh-CN"/>
        </w:rPr>
        <w:t xml:space="preserve"> to be at </w:t>
      </w:r>
      <w:r w:rsidR="7C0A6F2C" w:rsidRPr="2E768D53">
        <w:rPr>
          <w:lang w:eastAsia="zh-CN"/>
        </w:rPr>
        <w:t>their</w:t>
      </w:r>
      <w:r w:rsidR="00502BDD">
        <w:rPr>
          <w:lang w:eastAsia="zh-CN"/>
        </w:rPr>
        <w:t xml:space="preserve"> lowest level since September 2021</w:t>
      </w:r>
      <w:r w:rsidR="00E36833" w:rsidRPr="005B356C">
        <w:rPr>
          <w:lang w:eastAsia="zh-CN"/>
        </w:rPr>
        <w:t>.</w:t>
      </w:r>
      <w:r w:rsidR="00E36833">
        <w:rPr>
          <w:lang w:eastAsia="zh-CN"/>
        </w:rPr>
        <w:t xml:space="preserve"> </w:t>
      </w:r>
      <w:r w:rsidR="00430853">
        <w:rPr>
          <w:lang w:eastAsia="zh-CN"/>
        </w:rPr>
        <w:t xml:space="preserve">Despite the marked decline, </w:t>
      </w:r>
      <w:r w:rsidR="001950E9">
        <w:rPr>
          <w:lang w:eastAsia="zh-CN"/>
        </w:rPr>
        <w:t>total tourism</w:t>
      </w:r>
      <w:r w:rsidR="69DE00D7" w:rsidRPr="0C02E1C5">
        <w:rPr>
          <w:lang w:eastAsia="zh-CN"/>
        </w:rPr>
        <w:t>-</w:t>
      </w:r>
      <w:r w:rsidR="001950E9">
        <w:rPr>
          <w:lang w:eastAsia="zh-CN"/>
        </w:rPr>
        <w:t xml:space="preserve">related job vacancies in February 2024 were 60% higher than in February 2019, while Australia-wide job vacancies were 39% higher </w:t>
      </w:r>
      <w:r w:rsidR="009A02BD">
        <w:rPr>
          <w:lang w:eastAsia="zh-CN"/>
        </w:rPr>
        <w:t>than pre-pandemic</w:t>
      </w:r>
      <w:r w:rsidR="001950E9">
        <w:rPr>
          <w:lang w:eastAsia="zh-CN"/>
        </w:rPr>
        <w:t xml:space="preserve">. </w:t>
      </w:r>
      <w:r w:rsidR="00AA1CA0">
        <w:rPr>
          <w:lang w:eastAsia="zh-CN"/>
        </w:rPr>
        <w:t xml:space="preserve">The very elevated number of job vacancies was particularly obvious for </w:t>
      </w:r>
      <w:r w:rsidR="00A56FAB">
        <w:rPr>
          <w:lang w:eastAsia="zh-CN"/>
        </w:rPr>
        <w:t>waiters</w:t>
      </w:r>
      <w:r w:rsidR="3C8BFABE" w:rsidRPr="0C02E1C5">
        <w:rPr>
          <w:lang w:eastAsia="zh-CN"/>
        </w:rPr>
        <w:t xml:space="preserve">: </w:t>
      </w:r>
      <w:r w:rsidR="00A56FAB">
        <w:rPr>
          <w:lang w:eastAsia="zh-CN"/>
        </w:rPr>
        <w:t xml:space="preserve">133% </w:t>
      </w:r>
      <w:r w:rsidR="00265D72">
        <w:rPr>
          <w:lang w:eastAsia="zh-CN"/>
        </w:rPr>
        <w:t xml:space="preserve">higher in February 2024 </w:t>
      </w:r>
      <w:r w:rsidR="00A56FAB">
        <w:rPr>
          <w:lang w:eastAsia="zh-CN"/>
        </w:rPr>
        <w:t>th</w:t>
      </w:r>
      <w:r w:rsidR="00265D72">
        <w:rPr>
          <w:lang w:eastAsia="zh-CN"/>
        </w:rPr>
        <w:t>an in February 2019</w:t>
      </w:r>
      <w:r w:rsidR="026C1FD9" w:rsidRPr="668BCE8F">
        <w:rPr>
          <w:lang w:eastAsia="zh-CN"/>
        </w:rPr>
        <w:t>;</w:t>
      </w:r>
      <w:r w:rsidR="00265D72">
        <w:rPr>
          <w:lang w:eastAsia="zh-CN"/>
        </w:rPr>
        <w:t xml:space="preserve"> and hotel-related roles</w:t>
      </w:r>
      <w:r w:rsidR="7398302C" w:rsidRPr="0C02E1C5">
        <w:rPr>
          <w:lang w:eastAsia="zh-CN"/>
        </w:rPr>
        <w:t xml:space="preserve">: </w:t>
      </w:r>
      <w:r w:rsidR="1BF3FD67" w:rsidRPr="0C02E1C5">
        <w:rPr>
          <w:lang w:eastAsia="zh-CN"/>
        </w:rPr>
        <w:t>in February 2024</w:t>
      </w:r>
      <w:r w:rsidR="00265D72" w:rsidRPr="0C02E1C5">
        <w:rPr>
          <w:lang w:eastAsia="zh-CN"/>
        </w:rPr>
        <w:t xml:space="preserve"> </w:t>
      </w:r>
      <w:r w:rsidR="00565AEA">
        <w:rPr>
          <w:lang w:eastAsia="zh-CN"/>
        </w:rPr>
        <w:t>the number of job vacancies for</w:t>
      </w:r>
      <w:r w:rsidR="00265D72">
        <w:rPr>
          <w:lang w:eastAsia="zh-CN"/>
        </w:rPr>
        <w:t xml:space="preserve"> </w:t>
      </w:r>
      <w:r w:rsidR="00BA06F7">
        <w:rPr>
          <w:lang w:eastAsia="zh-CN"/>
        </w:rPr>
        <w:t>housekeepers</w:t>
      </w:r>
      <w:r w:rsidR="533F5168" w:rsidRPr="0C02E1C5">
        <w:rPr>
          <w:lang w:eastAsia="zh-CN"/>
        </w:rPr>
        <w:t xml:space="preserve"> </w:t>
      </w:r>
      <w:r w:rsidR="00565AEA">
        <w:rPr>
          <w:lang w:eastAsia="zh-CN"/>
        </w:rPr>
        <w:t>was</w:t>
      </w:r>
      <w:r w:rsidR="00BA06F7">
        <w:rPr>
          <w:lang w:eastAsia="zh-CN"/>
        </w:rPr>
        <w:t xml:space="preserve"> 108% above the pre-pandemic number and </w:t>
      </w:r>
      <w:r w:rsidR="009D76F0">
        <w:rPr>
          <w:lang w:eastAsia="zh-CN"/>
        </w:rPr>
        <w:t xml:space="preserve">for </w:t>
      </w:r>
      <w:r w:rsidR="00BA06F7">
        <w:rPr>
          <w:lang w:eastAsia="zh-CN"/>
        </w:rPr>
        <w:t>hotel service managers</w:t>
      </w:r>
      <w:r w:rsidR="7F1077D5" w:rsidRPr="0C02E1C5">
        <w:rPr>
          <w:lang w:eastAsia="zh-CN"/>
        </w:rPr>
        <w:t xml:space="preserve"> </w:t>
      </w:r>
      <w:r w:rsidR="009D76F0">
        <w:rPr>
          <w:lang w:eastAsia="zh-CN"/>
        </w:rPr>
        <w:t>was</w:t>
      </w:r>
      <w:r w:rsidR="00BA06F7">
        <w:rPr>
          <w:lang w:eastAsia="zh-CN"/>
        </w:rPr>
        <w:t xml:space="preserve"> 134% higher than in February 2019</w:t>
      </w:r>
      <w:r w:rsidR="00E51153">
        <w:rPr>
          <w:lang w:eastAsia="zh-CN"/>
        </w:rPr>
        <w:t xml:space="preserve">. </w:t>
      </w:r>
      <w:r w:rsidR="00A56FAB">
        <w:rPr>
          <w:lang w:eastAsia="zh-CN"/>
        </w:rPr>
        <w:t xml:space="preserve"> </w:t>
      </w:r>
    </w:p>
    <w:p w14:paraId="61DA2F61" w14:textId="0D373E69" w:rsidR="002E55BB" w:rsidRDefault="002E55BB" w:rsidP="007B695A">
      <w:pPr>
        <w:pStyle w:val="Caption"/>
        <w:keepNext/>
        <w:spacing w:line="300" w:lineRule="atLeast"/>
        <w:rPr>
          <w:b/>
          <w:bCs/>
          <w:i w:val="0"/>
          <w:iCs w:val="0"/>
          <w:color w:val="000000" w:themeColor="text1"/>
          <w:sz w:val="22"/>
          <w:szCs w:val="22"/>
        </w:rPr>
      </w:pPr>
      <w:r>
        <w:rPr>
          <w:b/>
          <w:bCs/>
          <w:i w:val="0"/>
          <w:iCs w:val="0"/>
          <w:sz w:val="20"/>
          <w:szCs w:val="20"/>
        </w:rPr>
        <w:lastRenderedPageBreak/>
        <w:t xml:space="preserve">Figure </w:t>
      </w:r>
      <w:r w:rsidR="000A56BB">
        <w:rPr>
          <w:b/>
          <w:bCs/>
          <w:i w:val="0"/>
          <w:iCs w:val="0"/>
          <w:sz w:val="20"/>
          <w:szCs w:val="20"/>
        </w:rPr>
        <w:t>36</w:t>
      </w:r>
      <w:r>
        <w:rPr>
          <w:b/>
          <w:bCs/>
          <w:i w:val="0"/>
          <w:iCs w:val="0"/>
          <w:sz w:val="20"/>
          <w:szCs w:val="20"/>
        </w:rPr>
        <w:fldChar w:fldCharType="begin"/>
      </w:r>
      <w:r>
        <w:rPr>
          <w:b/>
          <w:bCs/>
          <w:i w:val="0"/>
          <w:iCs w:val="0"/>
          <w:sz w:val="20"/>
          <w:szCs w:val="20"/>
        </w:rPr>
        <w:instrText xml:space="preserve"> SEQ Figure \* ARABIC </w:instrText>
      </w:r>
      <w:r w:rsidR="006C1E97">
        <w:rPr>
          <w:b/>
          <w:bCs/>
          <w:i w:val="0"/>
          <w:iCs w:val="0"/>
          <w:sz w:val="20"/>
          <w:szCs w:val="20"/>
        </w:rPr>
        <w:fldChar w:fldCharType="separate"/>
      </w:r>
      <w:r>
        <w:rPr>
          <w:b/>
          <w:bCs/>
          <w:i w:val="0"/>
          <w:iCs w:val="0"/>
          <w:sz w:val="20"/>
          <w:szCs w:val="20"/>
        </w:rPr>
        <w:fldChar w:fldCharType="end"/>
      </w:r>
      <w:r>
        <w:rPr>
          <w:b/>
          <w:bCs/>
          <w:i w:val="0"/>
          <w:iCs w:val="0"/>
          <w:sz w:val="20"/>
          <w:szCs w:val="20"/>
        </w:rPr>
        <w:t xml:space="preserve">. </w:t>
      </w:r>
      <w:r>
        <w:rPr>
          <w:i w:val="0"/>
          <w:iCs w:val="0"/>
          <w:sz w:val="20"/>
          <w:szCs w:val="20"/>
        </w:rPr>
        <w:t>Online job vacancies advertised for tourism-related occupations, monthly, January 201</w:t>
      </w:r>
      <w:r w:rsidR="005403B9">
        <w:rPr>
          <w:i w:val="0"/>
          <w:iCs w:val="0"/>
          <w:sz w:val="20"/>
          <w:szCs w:val="20"/>
        </w:rPr>
        <w:t>6</w:t>
      </w:r>
      <w:r>
        <w:rPr>
          <w:i w:val="0"/>
          <w:iCs w:val="0"/>
          <w:sz w:val="20"/>
          <w:szCs w:val="20"/>
        </w:rPr>
        <w:t xml:space="preserve"> to </w:t>
      </w:r>
      <w:r w:rsidR="00F651E7">
        <w:rPr>
          <w:i w:val="0"/>
          <w:iCs w:val="0"/>
          <w:sz w:val="20"/>
          <w:szCs w:val="20"/>
        </w:rPr>
        <w:t>Febr</w:t>
      </w:r>
      <w:r w:rsidR="00D13660">
        <w:rPr>
          <w:i w:val="0"/>
          <w:iCs w:val="0"/>
          <w:sz w:val="20"/>
          <w:szCs w:val="20"/>
        </w:rPr>
        <w:t xml:space="preserve">uary </w:t>
      </w:r>
      <w:r>
        <w:rPr>
          <w:i w:val="0"/>
          <w:iCs w:val="0"/>
          <w:sz w:val="20"/>
          <w:szCs w:val="20"/>
        </w:rPr>
        <w:t>202</w:t>
      </w:r>
      <w:r w:rsidR="00D13660">
        <w:rPr>
          <w:i w:val="0"/>
          <w:iCs w:val="0"/>
          <w:sz w:val="20"/>
          <w:szCs w:val="20"/>
        </w:rPr>
        <w:t>4</w:t>
      </w:r>
      <w:r>
        <w:rPr>
          <w:i w:val="0"/>
          <w:iCs w:val="0"/>
          <w:sz w:val="20"/>
          <w:szCs w:val="20"/>
        </w:rPr>
        <w:t>.</w:t>
      </w:r>
    </w:p>
    <w:p w14:paraId="459E3814" w14:textId="2E3B2ACE" w:rsidR="002E55BB" w:rsidRDefault="00DF758E" w:rsidP="002E55BB">
      <w:pPr>
        <w:spacing w:line="300" w:lineRule="atLeast"/>
        <w:rPr>
          <w:lang w:eastAsia="zh-CN"/>
        </w:rPr>
      </w:pPr>
      <w:r w:rsidRPr="00DF758E">
        <w:rPr>
          <w:noProof/>
        </w:rPr>
        <w:drawing>
          <wp:inline distT="0" distB="0" distL="0" distR="0" wp14:anchorId="1DDF782A" wp14:editId="3BED30F4">
            <wp:extent cx="6329680" cy="3797935"/>
            <wp:effectExtent l="0" t="0" r="0" b="0"/>
            <wp:docPr id="1225403798" name="Picture 1" descr="Figure 36 shows a time series chart with 8 series for the number of online job vacancies advertised for various tourism-related occupations, on a monthly basis for the period from January 2016 to Februar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3798" name="Picture 1" descr="Figure 36 shows a time series chart with 8 series for the number of online job vacancies advertised for various tourism-related occupations, on a monthly basis for the period from January 2016 to February 20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9680" cy="3797935"/>
                    </a:xfrm>
                    <a:prstGeom prst="rect">
                      <a:avLst/>
                    </a:prstGeom>
                    <a:noFill/>
                    <a:ln>
                      <a:noFill/>
                    </a:ln>
                  </pic:spPr>
                </pic:pic>
              </a:graphicData>
            </a:graphic>
          </wp:inline>
        </w:drawing>
      </w:r>
    </w:p>
    <w:p w14:paraId="07166D5D" w14:textId="7D9B75C2" w:rsidR="00EA7A19" w:rsidRDefault="00EA7A19" w:rsidP="00EA7A19">
      <w:r>
        <w:t xml:space="preserve">This suggests the severity of labour shortages eased in 2023, though skills shortages remained elevated relative to the pre-pandemic period, especially for </w:t>
      </w:r>
      <w:proofErr w:type="gramStart"/>
      <w:r>
        <w:t>particular roles</w:t>
      </w:r>
      <w:proofErr w:type="gramEnd"/>
      <w:r>
        <w:t>.</w:t>
      </w:r>
      <w:r w:rsidRPr="00DB6EC6">
        <w:rPr>
          <w:rStyle w:val="ui-provider"/>
        </w:rPr>
        <w:t xml:space="preserve"> </w:t>
      </w:r>
      <w:r>
        <w:rPr>
          <w:rStyle w:val="ui-provider"/>
        </w:rPr>
        <w:t xml:space="preserve">In 2023, the Skills Priority List (SPL) reported </w:t>
      </w:r>
      <w:r>
        <w:t>that 36%</w:t>
      </w:r>
      <w:r w:rsidR="4255D9CD">
        <w:t xml:space="preserve"> </w:t>
      </w:r>
      <w:r w:rsidR="00D5683E">
        <w:t>of occupations,</w:t>
      </w:r>
      <w:r w:rsidR="4255D9CD">
        <w:t xml:space="preserve"> or 332 out of 916</w:t>
      </w:r>
      <w:r>
        <w:t xml:space="preserve"> occupations</w:t>
      </w:r>
      <w:r w:rsidR="4255D9CD">
        <w:t>,</w:t>
      </w:r>
      <w:r>
        <w:t xml:space="preserve"> were in national shortage. This is 5 percentage points higher than the share of occupations that were in national shortage </w:t>
      </w:r>
      <w:r w:rsidR="008B399D">
        <w:t xml:space="preserve">in </w:t>
      </w:r>
      <w:r>
        <w:t>the previous year (31% of occupations in 2022) and 17 percentage points higher than in 2021 (19% of occupations</w:t>
      </w:r>
      <w:r w:rsidR="006F1CE9">
        <w:t>)</w:t>
      </w:r>
      <w:r>
        <w:t>. The rise in share of occupations facing shortages is said to reflect ‘the cumulative impact of recruitment challenges, stemming from a persistently tight labour market which began tightening from late 2021’.</w:t>
      </w:r>
      <w:r w:rsidR="006D58FC">
        <w:rPr>
          <w:rStyle w:val="FootnoteReference"/>
        </w:rPr>
        <w:footnoteReference w:id="29"/>
      </w:r>
      <w:r>
        <w:t xml:space="preserve"> </w:t>
      </w:r>
    </w:p>
    <w:p w14:paraId="026E4BDA" w14:textId="77777777" w:rsidR="00EA7A19" w:rsidRDefault="00EA7A19" w:rsidP="00EA7A19">
      <w:r>
        <w:t>Occupations relevant to the visitor economy that are listed as having a shortage in 2023 include:</w:t>
      </w:r>
    </w:p>
    <w:p w14:paraId="5C608D1C" w14:textId="77777777" w:rsidR="00EA7A19" w:rsidRDefault="00EA7A19" w:rsidP="004717BB">
      <w:pPr>
        <w:pStyle w:val="BulletList"/>
      </w:pPr>
      <w:r>
        <w:t>Accommodation and hospitality managers</w:t>
      </w:r>
    </w:p>
    <w:p w14:paraId="7F125DBC" w14:textId="77777777" w:rsidR="00EA7A19" w:rsidRDefault="00EA7A19" w:rsidP="004717BB">
      <w:pPr>
        <w:pStyle w:val="BulletList"/>
      </w:pPr>
      <w:r>
        <w:t xml:space="preserve">Air transport professionals </w:t>
      </w:r>
    </w:p>
    <w:p w14:paraId="7EA30215" w14:textId="7F1BD60B" w:rsidR="00EA7A19" w:rsidRDefault="00EA7A19" w:rsidP="004717BB">
      <w:pPr>
        <w:pStyle w:val="BulletList"/>
      </w:pPr>
      <w:r>
        <w:t>Train driver</w:t>
      </w:r>
      <w:r w:rsidR="00EF12B7">
        <w:t>s</w:t>
      </w:r>
    </w:p>
    <w:p w14:paraId="4E93EB85" w14:textId="62FF050F" w:rsidR="00EA7A19" w:rsidRDefault="00EA7A19" w:rsidP="004717BB">
      <w:pPr>
        <w:pStyle w:val="BulletList"/>
      </w:pPr>
      <w:r>
        <w:t>Cook</w:t>
      </w:r>
      <w:r w:rsidR="00EF12B7">
        <w:t>s</w:t>
      </w:r>
      <w:r>
        <w:t>, chef</w:t>
      </w:r>
      <w:r w:rsidR="00EF12B7">
        <w:t>s</w:t>
      </w:r>
      <w:r>
        <w:t>, baker</w:t>
      </w:r>
      <w:r w:rsidR="00EF12B7">
        <w:t>s</w:t>
      </w:r>
      <w:r>
        <w:t>, pastrycook</w:t>
      </w:r>
      <w:r w:rsidR="00EF12B7">
        <w:t>s</w:t>
      </w:r>
      <w:r>
        <w:t> </w:t>
      </w:r>
    </w:p>
    <w:p w14:paraId="1BBF2BF4" w14:textId="69EF64A5" w:rsidR="00EA7A19" w:rsidRDefault="00EA7A19" w:rsidP="004717BB">
      <w:pPr>
        <w:pStyle w:val="BulletList"/>
      </w:pPr>
      <w:r>
        <w:t>Waiter</w:t>
      </w:r>
      <w:r w:rsidR="00EF12B7">
        <w:t>s</w:t>
      </w:r>
      <w:r>
        <w:t>  </w:t>
      </w:r>
    </w:p>
    <w:p w14:paraId="1005F2EE" w14:textId="1FF50980" w:rsidR="00EA7A19" w:rsidRDefault="00EA7A19" w:rsidP="004717BB">
      <w:pPr>
        <w:pStyle w:val="BulletList"/>
      </w:pPr>
      <w:r>
        <w:t xml:space="preserve">Travel </w:t>
      </w:r>
      <w:proofErr w:type="gramStart"/>
      <w:r>
        <w:t>consultant</w:t>
      </w:r>
      <w:r w:rsidR="00EF12B7">
        <w:t>s</w:t>
      </w:r>
      <w:proofErr w:type="gramEnd"/>
      <w:r>
        <w:t>  </w:t>
      </w:r>
    </w:p>
    <w:p w14:paraId="4F454C48" w14:textId="167A3B22" w:rsidR="00EA7A19" w:rsidRDefault="00EA7A19" w:rsidP="004717BB">
      <w:pPr>
        <w:pStyle w:val="BulletList"/>
        <w:rPr>
          <w:rStyle w:val="ui-provider"/>
        </w:rPr>
      </w:pPr>
      <w:r>
        <w:t>Tour guide</w:t>
      </w:r>
      <w:r w:rsidR="00EF12B7">
        <w:t>s</w:t>
      </w:r>
      <w:r>
        <w:t>.  </w:t>
      </w:r>
    </w:p>
    <w:p w14:paraId="7D9BEB79" w14:textId="77777777" w:rsidR="00995286" w:rsidRDefault="00995286">
      <w:pPr>
        <w:spacing w:before="0" w:after="160" w:line="259" w:lineRule="auto"/>
        <w:rPr>
          <w:bCs/>
          <w:sz w:val="26"/>
          <w:szCs w:val="24"/>
        </w:rPr>
      </w:pPr>
      <w:r>
        <w:br w:type="page"/>
      </w:r>
    </w:p>
    <w:p w14:paraId="27D3992B" w14:textId="25E92E24" w:rsidR="00AA67F9" w:rsidRDefault="00AA67F9" w:rsidP="00AA67F9">
      <w:pPr>
        <w:pStyle w:val="Heading4"/>
        <w:rPr>
          <w:lang w:eastAsia="zh-CN"/>
        </w:rPr>
      </w:pPr>
      <w:r>
        <w:lastRenderedPageBreak/>
        <w:t>Direct and indirect tourism jobs by state/territory</w:t>
      </w:r>
    </w:p>
    <w:p w14:paraId="29AE9F2A" w14:textId="02F1FC55" w:rsidR="005013E2" w:rsidRDefault="007B17D7" w:rsidP="00237174">
      <w:r>
        <w:t xml:space="preserve">Data in the annual </w:t>
      </w:r>
      <w:r w:rsidR="00AA67F9">
        <w:t xml:space="preserve">state Tourism Satellite </w:t>
      </w:r>
      <w:r>
        <w:t>A</w:t>
      </w:r>
      <w:r w:rsidR="00AA67F9">
        <w:t xml:space="preserve">ccount </w:t>
      </w:r>
      <w:r>
        <w:t>release by TRA</w:t>
      </w:r>
      <w:r w:rsidR="00AA67F9">
        <w:t xml:space="preserve"> shows </w:t>
      </w:r>
      <w:r>
        <w:t xml:space="preserve">strong growth in filled jobs across all </w:t>
      </w:r>
      <w:r w:rsidR="00AA67F9">
        <w:t>state</w:t>
      </w:r>
      <w:r>
        <w:t xml:space="preserve">s/territories in </w:t>
      </w:r>
      <w:r w:rsidR="00AA67F9">
        <w:t>2022-23</w:t>
      </w:r>
      <w:r w:rsidR="006D7F64">
        <w:t xml:space="preserve">, although there </w:t>
      </w:r>
      <w:proofErr w:type="gramStart"/>
      <w:r w:rsidR="006D7F64">
        <w:t>were</w:t>
      </w:r>
      <w:proofErr w:type="gramEnd"/>
      <w:r w:rsidR="006D7F64">
        <w:t xml:space="preserve"> still fewer direct tourism filled jobs in every state/territory in 2022-23 than there were prior to the </w:t>
      </w:r>
      <w:r w:rsidR="00AA67F9">
        <w:t>pandemic</w:t>
      </w:r>
      <w:r w:rsidR="00750AFC">
        <w:t xml:space="preserve"> (Table </w:t>
      </w:r>
      <w:r w:rsidR="003457C6">
        <w:t>1</w:t>
      </w:r>
      <w:r w:rsidR="00750AFC">
        <w:t>)</w:t>
      </w:r>
      <w:r w:rsidR="00AA67F9">
        <w:t xml:space="preserve">. </w:t>
      </w:r>
      <w:r w:rsidR="00C4429E">
        <w:t>Growth</w:t>
      </w:r>
      <w:r w:rsidR="00750AFC">
        <w:t xml:space="preserve"> in total filled jobs (which includes both direct and indirect jobs) was stronger over the year </w:t>
      </w:r>
      <w:r w:rsidR="00C4429E">
        <w:t xml:space="preserve">than growth in direct jobs, </w:t>
      </w:r>
      <w:r w:rsidR="00750AFC">
        <w:t xml:space="preserve">and </w:t>
      </w:r>
      <w:r w:rsidR="00C4429E">
        <w:t xml:space="preserve">the total number of tourism jobs was closer to its pre-pandemic level. </w:t>
      </w:r>
      <w:r w:rsidR="00181F9B">
        <w:t xml:space="preserve">There were more total jobs in Queensland, South Australia, Western </w:t>
      </w:r>
      <w:r w:rsidR="007349F6">
        <w:t>Australia</w:t>
      </w:r>
      <w:r w:rsidR="00181F9B">
        <w:t xml:space="preserve"> and the ACT in 2022-23 than there were in 2018-19.</w:t>
      </w:r>
      <w:r w:rsidR="00C4429E">
        <w:t xml:space="preserve"> </w:t>
      </w:r>
    </w:p>
    <w:p w14:paraId="722D7C98" w14:textId="55D3D92B" w:rsidR="00624118" w:rsidRDefault="00624118" w:rsidP="00624118">
      <w:pPr>
        <w:pStyle w:val="Caption"/>
        <w:spacing w:before="120"/>
        <w:rPr>
          <w:i w:val="0"/>
          <w:iCs w:val="0"/>
          <w:sz w:val="20"/>
          <w:szCs w:val="20"/>
        </w:rPr>
      </w:pPr>
      <w:r>
        <w:rPr>
          <w:b/>
          <w:bCs/>
          <w:i w:val="0"/>
          <w:iCs w:val="0"/>
          <w:sz w:val="20"/>
          <w:szCs w:val="20"/>
        </w:rPr>
        <w:t xml:space="preserve">Table </w:t>
      </w:r>
      <w:r w:rsidR="003457C6">
        <w:rPr>
          <w:b/>
          <w:bCs/>
          <w:i w:val="0"/>
          <w:iCs w:val="0"/>
          <w:sz w:val="20"/>
          <w:szCs w:val="20"/>
        </w:rPr>
        <w:t>1</w:t>
      </w:r>
      <w:r>
        <w:rPr>
          <w:b/>
          <w:bCs/>
          <w:i w:val="0"/>
          <w:iCs w:val="0"/>
          <w:sz w:val="20"/>
          <w:szCs w:val="20"/>
        </w:rPr>
        <w:t xml:space="preserve">. </w:t>
      </w:r>
      <w:r>
        <w:rPr>
          <w:i w:val="0"/>
          <w:iCs w:val="0"/>
          <w:sz w:val="20"/>
          <w:szCs w:val="20"/>
        </w:rPr>
        <w:t>Tourism direct jobs and total jobs by state and territory, 2022-23</w:t>
      </w:r>
    </w:p>
    <w:tbl>
      <w:tblPr>
        <w:tblStyle w:val="TableGrid"/>
        <w:tblW w:w="10485" w:type="dxa"/>
        <w:tblLook w:val="04A0" w:firstRow="1" w:lastRow="0" w:firstColumn="1" w:lastColumn="0" w:noHBand="0" w:noVBand="1"/>
        <w:tblCaption w:val="Tourism direct jobs and total jobs by state and territory, 2022-23."/>
        <w:tblDescription w:val="This table provides the number of direct tourism jobs and total tourism jobs for each state/territory in Australia in 2022-23. It also provides the percentage change in the number of direct and total jobs between 2021-22 and 2022-23, as well as 2018-19 to 2022-23 (the comparison to pre-pandemic)."/>
      </w:tblPr>
      <w:tblGrid>
        <w:gridCol w:w="2122"/>
        <w:gridCol w:w="1984"/>
        <w:gridCol w:w="1843"/>
        <w:gridCol w:w="2268"/>
        <w:gridCol w:w="2268"/>
      </w:tblGrid>
      <w:tr w:rsidR="002C3601" w:rsidRPr="003A58AB" w14:paraId="662A0DFD" w14:textId="77777777" w:rsidTr="2246A285">
        <w:trPr>
          <w:trHeight w:val="2380"/>
          <w:tblHeader/>
        </w:trPr>
        <w:tc>
          <w:tcPr>
            <w:tcW w:w="2122" w:type="dxa"/>
            <w:shd w:val="clear" w:color="auto" w:fill="2E1A47" w:themeFill="accent2"/>
          </w:tcPr>
          <w:p w14:paraId="62BAED77" w14:textId="759FA848" w:rsidR="002C3601" w:rsidRPr="003A58AB" w:rsidRDefault="002C3601">
            <w:pPr>
              <w:rPr>
                <w:b/>
                <w:color w:val="FFFFFF" w:themeColor="background1"/>
              </w:rPr>
            </w:pPr>
            <w:r>
              <w:rPr>
                <w:b/>
                <w:color w:val="FFFFFF" w:themeColor="background1"/>
              </w:rPr>
              <w:t xml:space="preserve">State </w:t>
            </w:r>
          </w:p>
        </w:tc>
        <w:tc>
          <w:tcPr>
            <w:tcW w:w="1984" w:type="dxa"/>
            <w:shd w:val="clear" w:color="auto" w:fill="2E1A47" w:themeFill="accent2"/>
          </w:tcPr>
          <w:p w14:paraId="70B3B8DE" w14:textId="77777777" w:rsidR="002C3601" w:rsidRDefault="002C3601" w:rsidP="0087520D">
            <w:pPr>
              <w:jc w:val="center"/>
              <w:rPr>
                <w:b/>
                <w:color w:val="FFFFFF" w:themeColor="background1"/>
              </w:rPr>
            </w:pPr>
            <w:r>
              <w:rPr>
                <w:b/>
                <w:color w:val="FFFFFF" w:themeColor="background1"/>
              </w:rPr>
              <w:t>Direct jobs</w:t>
            </w:r>
          </w:p>
          <w:p w14:paraId="7EBA5176" w14:textId="77777777" w:rsidR="002C3601" w:rsidRDefault="002C3601" w:rsidP="0087520D">
            <w:pPr>
              <w:jc w:val="center"/>
              <w:rPr>
                <w:b/>
                <w:color w:val="FFFFFF" w:themeColor="background1"/>
              </w:rPr>
            </w:pPr>
            <w:r>
              <w:rPr>
                <w:b/>
                <w:color w:val="FFFFFF" w:themeColor="background1"/>
              </w:rPr>
              <w:t>(000)</w:t>
            </w:r>
          </w:p>
          <w:p w14:paraId="3834D961" w14:textId="744D6C6A" w:rsidR="002C3601" w:rsidRPr="003A58AB" w:rsidRDefault="002C3601" w:rsidP="0087520D">
            <w:pPr>
              <w:jc w:val="center"/>
              <w:rPr>
                <w:b/>
                <w:color w:val="FFFFFF" w:themeColor="background1"/>
              </w:rPr>
            </w:pPr>
            <w:r>
              <w:rPr>
                <w:b/>
                <w:color w:val="FFFFFF" w:themeColor="background1"/>
              </w:rPr>
              <w:t>In 2022-23</w:t>
            </w:r>
          </w:p>
        </w:tc>
        <w:tc>
          <w:tcPr>
            <w:tcW w:w="1843" w:type="dxa"/>
            <w:shd w:val="clear" w:color="auto" w:fill="2E1A47" w:themeFill="accent2"/>
          </w:tcPr>
          <w:p w14:paraId="3230C73C" w14:textId="27CBA447" w:rsidR="002C3601" w:rsidRDefault="002C3601" w:rsidP="0087520D">
            <w:pPr>
              <w:jc w:val="center"/>
              <w:rPr>
                <w:b/>
                <w:color w:val="FFFFFF" w:themeColor="background1"/>
              </w:rPr>
            </w:pPr>
            <w:r>
              <w:rPr>
                <w:b/>
                <w:color w:val="FFFFFF" w:themeColor="background1"/>
              </w:rPr>
              <w:t>Total jobs</w:t>
            </w:r>
            <w:r w:rsidR="00467197">
              <w:rPr>
                <w:b/>
                <w:color w:val="FFFFFF" w:themeColor="background1"/>
              </w:rPr>
              <w:t>*</w:t>
            </w:r>
          </w:p>
          <w:p w14:paraId="657E51BD" w14:textId="77777777" w:rsidR="002C3601" w:rsidRDefault="002C3601" w:rsidP="0087520D">
            <w:pPr>
              <w:jc w:val="center"/>
              <w:rPr>
                <w:b/>
                <w:color w:val="FFFFFF" w:themeColor="background1"/>
              </w:rPr>
            </w:pPr>
            <w:r>
              <w:rPr>
                <w:b/>
                <w:color w:val="FFFFFF" w:themeColor="background1"/>
              </w:rPr>
              <w:t>(000)</w:t>
            </w:r>
          </w:p>
          <w:p w14:paraId="0FF279C1" w14:textId="4AAA7615" w:rsidR="002C3601" w:rsidRPr="003A58AB" w:rsidRDefault="002C3601" w:rsidP="0087520D">
            <w:pPr>
              <w:jc w:val="center"/>
              <w:rPr>
                <w:b/>
                <w:color w:val="FFFFFF" w:themeColor="background1"/>
              </w:rPr>
            </w:pPr>
            <w:r>
              <w:rPr>
                <w:b/>
                <w:color w:val="FFFFFF" w:themeColor="background1"/>
              </w:rPr>
              <w:t>In 2022-23</w:t>
            </w:r>
          </w:p>
        </w:tc>
        <w:tc>
          <w:tcPr>
            <w:tcW w:w="2268" w:type="dxa"/>
            <w:shd w:val="clear" w:color="auto" w:fill="2E1A47" w:themeFill="accent2"/>
          </w:tcPr>
          <w:p w14:paraId="4A64F33D" w14:textId="67A90A2B" w:rsidR="00E64B2F" w:rsidRPr="00F92E29" w:rsidRDefault="002C3601" w:rsidP="001A5BC6">
            <w:pPr>
              <w:spacing w:after="0" w:line="240" w:lineRule="auto"/>
              <w:jc w:val="center"/>
              <w:rPr>
                <w:b/>
                <w:color w:val="FFFFFF" w:themeColor="background1"/>
              </w:rPr>
            </w:pPr>
            <w:r w:rsidRPr="00F92E29">
              <w:rPr>
                <w:b/>
                <w:color w:val="FFFFFF" w:themeColor="background1"/>
              </w:rPr>
              <w:t>Growth in the year</w:t>
            </w:r>
            <w:r w:rsidR="00CF6FA5" w:rsidRPr="00F92E29">
              <w:rPr>
                <w:b/>
                <w:color w:val="FFFFFF" w:themeColor="background1"/>
              </w:rPr>
              <w:t xml:space="preserve"> </w:t>
            </w:r>
            <w:r w:rsidR="00E64B2F" w:rsidRPr="00F92E29">
              <w:rPr>
                <w:b/>
                <w:color w:val="FFFFFF" w:themeColor="background1"/>
              </w:rPr>
              <w:t>(%)</w:t>
            </w:r>
          </w:p>
          <w:p w14:paraId="643592CA" w14:textId="584E2EC4" w:rsidR="002C3601" w:rsidRPr="00F92E29" w:rsidRDefault="000579D4" w:rsidP="001A5BC6">
            <w:pPr>
              <w:spacing w:after="0" w:line="240" w:lineRule="auto"/>
              <w:jc w:val="center"/>
              <w:rPr>
                <w:b/>
                <w:color w:val="FFFFFF" w:themeColor="background1"/>
              </w:rPr>
            </w:pPr>
            <w:r w:rsidRPr="00F92E29">
              <w:rPr>
                <w:b/>
                <w:color w:val="FFFFFF" w:themeColor="background1"/>
              </w:rPr>
              <w:t>Direct jobs (</w:t>
            </w:r>
            <w:r w:rsidR="00CF6FA5" w:rsidRPr="00D668E6">
              <w:rPr>
                <w:b/>
                <w:i/>
                <w:iCs/>
                <w:color w:val="FFFFFF" w:themeColor="background1"/>
              </w:rPr>
              <w:t>T</w:t>
            </w:r>
            <w:r w:rsidR="009926D2" w:rsidRPr="00D668E6">
              <w:rPr>
                <w:b/>
                <w:i/>
                <w:iCs/>
                <w:color w:val="FFFFFF" w:themeColor="background1"/>
              </w:rPr>
              <w:t>otal jobs</w:t>
            </w:r>
            <w:r w:rsidRPr="00F92E29">
              <w:rPr>
                <w:b/>
                <w:color w:val="FFFFFF" w:themeColor="background1"/>
              </w:rPr>
              <w:t>)</w:t>
            </w:r>
          </w:p>
          <w:p w14:paraId="764D39A1" w14:textId="3B5AFE70" w:rsidR="002C3601" w:rsidRPr="00F92E29" w:rsidRDefault="002C3601" w:rsidP="001A5BC6">
            <w:pPr>
              <w:spacing w:after="0" w:line="240" w:lineRule="auto"/>
              <w:jc w:val="center"/>
              <w:rPr>
                <w:bCs/>
                <w:color w:val="FFFFFF" w:themeColor="background1"/>
              </w:rPr>
            </w:pPr>
            <w:r w:rsidRPr="00F92E29">
              <w:rPr>
                <w:bCs/>
                <w:color w:val="FFFFFF" w:themeColor="background1"/>
              </w:rPr>
              <w:t>2022-23 compared to 2021-22</w:t>
            </w:r>
          </w:p>
        </w:tc>
        <w:tc>
          <w:tcPr>
            <w:tcW w:w="2268" w:type="dxa"/>
            <w:shd w:val="clear" w:color="auto" w:fill="2E1A47" w:themeFill="accent2"/>
          </w:tcPr>
          <w:p w14:paraId="58B86627" w14:textId="3669B990" w:rsidR="002C3601" w:rsidRPr="00F92E29" w:rsidRDefault="002C3601" w:rsidP="001A5BC6">
            <w:pPr>
              <w:spacing w:after="0" w:line="240" w:lineRule="auto"/>
              <w:jc w:val="center"/>
              <w:rPr>
                <w:b/>
                <w:color w:val="FFFFFF" w:themeColor="background1"/>
              </w:rPr>
            </w:pPr>
            <w:r w:rsidRPr="00F92E29">
              <w:rPr>
                <w:b/>
                <w:color w:val="FFFFFF" w:themeColor="background1"/>
              </w:rPr>
              <w:t>Relative to pre-pandemic</w:t>
            </w:r>
            <w:r w:rsidR="00CF6FA5" w:rsidRPr="00F92E29">
              <w:rPr>
                <w:b/>
                <w:color w:val="FFFFFF" w:themeColor="background1"/>
              </w:rPr>
              <w:t xml:space="preserve"> </w:t>
            </w:r>
            <w:r w:rsidRPr="00F92E29">
              <w:rPr>
                <w:b/>
                <w:color w:val="FFFFFF" w:themeColor="background1"/>
              </w:rPr>
              <w:t>(%)</w:t>
            </w:r>
          </w:p>
          <w:p w14:paraId="5D9D2213" w14:textId="77777777" w:rsidR="00E64B2F" w:rsidRPr="00F92E29" w:rsidRDefault="00E64B2F" w:rsidP="00E64B2F">
            <w:pPr>
              <w:spacing w:after="0" w:line="240" w:lineRule="auto"/>
              <w:jc w:val="center"/>
              <w:rPr>
                <w:b/>
                <w:color w:val="FFFFFF" w:themeColor="background1"/>
              </w:rPr>
            </w:pPr>
            <w:r w:rsidRPr="00F92E29">
              <w:rPr>
                <w:b/>
                <w:color w:val="FFFFFF" w:themeColor="background1"/>
              </w:rPr>
              <w:t>Direct jobs (</w:t>
            </w:r>
            <w:r w:rsidRPr="00D668E6">
              <w:rPr>
                <w:b/>
                <w:i/>
                <w:iCs/>
                <w:color w:val="FFFFFF" w:themeColor="background1"/>
              </w:rPr>
              <w:t>Total jobs</w:t>
            </w:r>
            <w:r w:rsidRPr="00F92E29">
              <w:rPr>
                <w:b/>
                <w:color w:val="FFFFFF" w:themeColor="background1"/>
              </w:rPr>
              <w:t>)</w:t>
            </w:r>
          </w:p>
          <w:p w14:paraId="649C95C2" w14:textId="758F07F2" w:rsidR="002C3601" w:rsidRPr="00F92E29" w:rsidRDefault="002C3601" w:rsidP="001A5BC6">
            <w:pPr>
              <w:spacing w:after="0" w:line="240" w:lineRule="auto"/>
              <w:jc w:val="center"/>
              <w:rPr>
                <w:bCs/>
                <w:color w:val="FFFFFF" w:themeColor="background1"/>
              </w:rPr>
            </w:pPr>
            <w:r w:rsidRPr="00F92E29">
              <w:rPr>
                <w:bCs/>
                <w:color w:val="FFFFFF" w:themeColor="background1"/>
              </w:rPr>
              <w:t>2022-23 compared to 2018-19</w:t>
            </w:r>
          </w:p>
        </w:tc>
      </w:tr>
      <w:tr w:rsidR="002C3601" w:rsidRPr="003A58AB" w14:paraId="106EF0D8" w14:textId="77777777" w:rsidTr="00685FC1">
        <w:trPr>
          <w:trHeight w:hRule="exact" w:val="340"/>
        </w:trPr>
        <w:tc>
          <w:tcPr>
            <w:tcW w:w="2122" w:type="dxa"/>
            <w:vAlign w:val="center"/>
          </w:tcPr>
          <w:p w14:paraId="76678CEE" w14:textId="6FE4F2FF" w:rsidR="002C3601" w:rsidRPr="003A58AB" w:rsidRDefault="005A0DA2" w:rsidP="001A5BC6">
            <w:pPr>
              <w:spacing w:before="0" w:after="0" w:line="240" w:lineRule="auto"/>
            </w:pPr>
            <w:r>
              <w:t>NSW</w:t>
            </w:r>
          </w:p>
        </w:tc>
        <w:tc>
          <w:tcPr>
            <w:tcW w:w="1984" w:type="dxa"/>
            <w:vAlign w:val="center"/>
          </w:tcPr>
          <w:p w14:paraId="7D96877C" w14:textId="056CA86E" w:rsidR="002C3601" w:rsidRPr="003A58AB" w:rsidRDefault="000578D6" w:rsidP="001A5BC6">
            <w:pPr>
              <w:spacing w:before="0" w:after="0" w:line="240" w:lineRule="auto"/>
              <w:jc w:val="center"/>
            </w:pPr>
            <w:r>
              <w:t>172.6</w:t>
            </w:r>
          </w:p>
        </w:tc>
        <w:tc>
          <w:tcPr>
            <w:tcW w:w="1843" w:type="dxa"/>
            <w:vAlign w:val="center"/>
          </w:tcPr>
          <w:p w14:paraId="12D89829" w14:textId="047AF81A" w:rsidR="002C3601" w:rsidRPr="003A58AB" w:rsidRDefault="007D1D20" w:rsidP="001A5BC6">
            <w:pPr>
              <w:spacing w:before="0" w:after="0" w:line="240" w:lineRule="auto"/>
              <w:jc w:val="center"/>
            </w:pPr>
            <w:r>
              <w:t>292.3</w:t>
            </w:r>
          </w:p>
        </w:tc>
        <w:tc>
          <w:tcPr>
            <w:tcW w:w="2268" w:type="dxa"/>
            <w:vAlign w:val="center"/>
          </w:tcPr>
          <w:p w14:paraId="1A5216F7" w14:textId="5B5D7F87" w:rsidR="002C3601" w:rsidRDefault="00885A32" w:rsidP="000A51B5">
            <w:pPr>
              <w:spacing w:before="0" w:after="0" w:line="240" w:lineRule="auto"/>
              <w:jc w:val="center"/>
            </w:pPr>
            <w:r>
              <w:t>63</w:t>
            </w:r>
            <w:proofErr w:type="gramStart"/>
            <w:r w:rsidR="00614255">
              <w:t xml:space="preserve">  </w:t>
            </w:r>
            <w:r>
              <w:t xml:space="preserve"> </w:t>
            </w:r>
            <w:r w:rsidR="00E64B2F">
              <w:t>(</w:t>
            </w:r>
            <w:proofErr w:type="gramEnd"/>
            <w:r w:rsidR="00DB10D1" w:rsidRPr="00D668E6">
              <w:rPr>
                <w:i/>
                <w:iCs/>
              </w:rPr>
              <w:t>76</w:t>
            </w:r>
            <w:r w:rsidR="00E64B2F">
              <w:t>)</w:t>
            </w:r>
          </w:p>
        </w:tc>
        <w:tc>
          <w:tcPr>
            <w:tcW w:w="2268" w:type="dxa"/>
            <w:vAlign w:val="center"/>
          </w:tcPr>
          <w:p w14:paraId="5A47D2CD" w14:textId="1CD3037A" w:rsidR="002C3601" w:rsidRDefault="00885A32" w:rsidP="001A5BC6">
            <w:pPr>
              <w:spacing w:before="0" w:after="0" w:line="240" w:lineRule="auto"/>
              <w:jc w:val="center"/>
            </w:pPr>
            <w:r>
              <w:t>-15</w:t>
            </w:r>
            <w:proofErr w:type="gramStart"/>
            <w:r>
              <w:t xml:space="preserve"> </w:t>
            </w:r>
            <w:r w:rsidR="00614255">
              <w:t xml:space="preserve">  </w:t>
            </w:r>
            <w:r>
              <w:t>(</w:t>
            </w:r>
            <w:proofErr w:type="gramEnd"/>
            <w:r w:rsidR="00DD614E" w:rsidRPr="00D668E6">
              <w:rPr>
                <w:i/>
                <w:iCs/>
              </w:rPr>
              <w:t>-8</w:t>
            </w:r>
            <w:r>
              <w:t>)</w:t>
            </w:r>
          </w:p>
        </w:tc>
      </w:tr>
      <w:tr w:rsidR="002C3601" w:rsidRPr="003A58AB" w14:paraId="4B6D3661" w14:textId="77777777" w:rsidTr="001A5BC6">
        <w:trPr>
          <w:trHeight w:hRule="exact" w:val="340"/>
        </w:trPr>
        <w:tc>
          <w:tcPr>
            <w:tcW w:w="2122" w:type="dxa"/>
            <w:vAlign w:val="center"/>
          </w:tcPr>
          <w:p w14:paraId="0B1A574D" w14:textId="388AFE0B" w:rsidR="002C3601" w:rsidRPr="003A58AB" w:rsidRDefault="00467197" w:rsidP="001A5BC6">
            <w:pPr>
              <w:spacing w:before="0" w:after="0" w:line="240" w:lineRule="auto"/>
            </w:pPr>
            <w:r>
              <w:t>Victoria</w:t>
            </w:r>
          </w:p>
        </w:tc>
        <w:tc>
          <w:tcPr>
            <w:tcW w:w="1984" w:type="dxa"/>
            <w:vAlign w:val="center"/>
          </w:tcPr>
          <w:p w14:paraId="0C93EDBB" w14:textId="27B37C60" w:rsidR="002C3601" w:rsidRPr="003A58AB" w:rsidRDefault="003C1664" w:rsidP="001A5BC6">
            <w:pPr>
              <w:spacing w:before="0" w:after="0" w:line="240" w:lineRule="auto"/>
              <w:jc w:val="center"/>
            </w:pPr>
            <w:r>
              <w:t>16</w:t>
            </w:r>
            <w:r w:rsidR="000578D6">
              <w:t>3</w:t>
            </w:r>
            <w:r>
              <w:t>.</w:t>
            </w:r>
            <w:r w:rsidR="000578D6">
              <w:t>6</w:t>
            </w:r>
          </w:p>
        </w:tc>
        <w:tc>
          <w:tcPr>
            <w:tcW w:w="1843" w:type="dxa"/>
            <w:vAlign w:val="center"/>
          </w:tcPr>
          <w:p w14:paraId="2213E0B9" w14:textId="0E9BE3A5" w:rsidR="002C3601" w:rsidRPr="003A58AB" w:rsidRDefault="007D1D20" w:rsidP="001A5BC6">
            <w:pPr>
              <w:spacing w:before="0" w:after="0" w:line="240" w:lineRule="auto"/>
              <w:jc w:val="center"/>
            </w:pPr>
            <w:r>
              <w:t>257.5</w:t>
            </w:r>
          </w:p>
        </w:tc>
        <w:tc>
          <w:tcPr>
            <w:tcW w:w="2268" w:type="dxa"/>
            <w:vAlign w:val="center"/>
          </w:tcPr>
          <w:p w14:paraId="6FA0DF1D" w14:textId="41422E58" w:rsidR="002C3601" w:rsidRDefault="00885A32" w:rsidP="001A5BC6">
            <w:pPr>
              <w:spacing w:before="0" w:after="0" w:line="240" w:lineRule="auto"/>
              <w:jc w:val="center"/>
            </w:pPr>
            <w:r>
              <w:t>50</w:t>
            </w:r>
            <w:proofErr w:type="gramStart"/>
            <w:r w:rsidR="00614255">
              <w:t xml:space="preserve">  </w:t>
            </w:r>
            <w:r>
              <w:t xml:space="preserve"> (</w:t>
            </w:r>
            <w:proofErr w:type="gramEnd"/>
            <w:r w:rsidR="00DB10D1" w:rsidRPr="00D668E6">
              <w:rPr>
                <w:i/>
                <w:iCs/>
              </w:rPr>
              <w:t>62</w:t>
            </w:r>
            <w:r>
              <w:t>)</w:t>
            </w:r>
          </w:p>
        </w:tc>
        <w:tc>
          <w:tcPr>
            <w:tcW w:w="2268" w:type="dxa"/>
            <w:vAlign w:val="center"/>
          </w:tcPr>
          <w:p w14:paraId="099C476F" w14:textId="3AE2BC1F" w:rsidR="002C3601" w:rsidRDefault="00885A32" w:rsidP="001A5BC6">
            <w:pPr>
              <w:spacing w:before="0" w:after="0" w:line="240" w:lineRule="auto"/>
              <w:jc w:val="center"/>
            </w:pPr>
            <w:r>
              <w:t>-15</w:t>
            </w:r>
            <w:proofErr w:type="gramStart"/>
            <w:r w:rsidR="00614255">
              <w:t xml:space="preserve">  </w:t>
            </w:r>
            <w:r>
              <w:t xml:space="preserve"> (</w:t>
            </w:r>
            <w:proofErr w:type="gramEnd"/>
            <w:r w:rsidR="00DD614E" w:rsidRPr="00D668E6">
              <w:rPr>
                <w:i/>
                <w:iCs/>
              </w:rPr>
              <w:t>-9</w:t>
            </w:r>
            <w:r>
              <w:t>)</w:t>
            </w:r>
          </w:p>
        </w:tc>
      </w:tr>
      <w:tr w:rsidR="002C3601" w:rsidRPr="003A58AB" w14:paraId="11FDD89F" w14:textId="77777777" w:rsidTr="001A5BC6">
        <w:trPr>
          <w:trHeight w:hRule="exact" w:val="340"/>
        </w:trPr>
        <w:tc>
          <w:tcPr>
            <w:tcW w:w="2122" w:type="dxa"/>
            <w:vAlign w:val="center"/>
          </w:tcPr>
          <w:p w14:paraId="37CC04E6" w14:textId="212685BC" w:rsidR="002C3601" w:rsidRDefault="00467197" w:rsidP="001A5BC6">
            <w:pPr>
              <w:spacing w:before="0" w:after="0" w:line="240" w:lineRule="auto"/>
            </w:pPr>
            <w:r>
              <w:t>Queensland</w:t>
            </w:r>
          </w:p>
        </w:tc>
        <w:tc>
          <w:tcPr>
            <w:tcW w:w="1984" w:type="dxa"/>
            <w:vAlign w:val="center"/>
          </w:tcPr>
          <w:p w14:paraId="28E4C758" w14:textId="0E0541FF" w:rsidR="002C3601" w:rsidRDefault="009E1217" w:rsidP="001A5BC6">
            <w:pPr>
              <w:spacing w:before="0" w:after="0" w:line="240" w:lineRule="auto"/>
              <w:jc w:val="center"/>
            </w:pPr>
            <w:r>
              <w:t>14</w:t>
            </w:r>
            <w:r w:rsidR="000578D6">
              <w:t>5</w:t>
            </w:r>
            <w:r>
              <w:t>.</w:t>
            </w:r>
            <w:r w:rsidR="000578D6">
              <w:t>7</w:t>
            </w:r>
          </w:p>
        </w:tc>
        <w:tc>
          <w:tcPr>
            <w:tcW w:w="1843" w:type="dxa"/>
            <w:vAlign w:val="center"/>
          </w:tcPr>
          <w:p w14:paraId="6BC04200" w14:textId="3837DB99" w:rsidR="002C3601" w:rsidRDefault="007D1D20" w:rsidP="001A5BC6">
            <w:pPr>
              <w:spacing w:before="0" w:after="0" w:line="240" w:lineRule="auto"/>
              <w:jc w:val="center"/>
            </w:pPr>
            <w:r>
              <w:t>259.7</w:t>
            </w:r>
          </w:p>
        </w:tc>
        <w:tc>
          <w:tcPr>
            <w:tcW w:w="2268" w:type="dxa"/>
            <w:vAlign w:val="center"/>
          </w:tcPr>
          <w:p w14:paraId="49B0DB55" w14:textId="3D394A7B" w:rsidR="002C3601" w:rsidRDefault="00885A32" w:rsidP="001A5BC6">
            <w:pPr>
              <w:spacing w:before="0" w:after="0" w:line="240" w:lineRule="auto"/>
              <w:jc w:val="center"/>
            </w:pPr>
            <w:r>
              <w:t>29</w:t>
            </w:r>
            <w:proofErr w:type="gramStart"/>
            <w:r w:rsidR="00614255">
              <w:t xml:space="preserve">  </w:t>
            </w:r>
            <w:r>
              <w:t xml:space="preserve"> (</w:t>
            </w:r>
            <w:proofErr w:type="gramEnd"/>
            <w:r w:rsidR="00DB10D1" w:rsidRPr="00D668E6">
              <w:rPr>
                <w:i/>
                <w:iCs/>
              </w:rPr>
              <w:t>42</w:t>
            </w:r>
            <w:r>
              <w:t>)</w:t>
            </w:r>
          </w:p>
        </w:tc>
        <w:tc>
          <w:tcPr>
            <w:tcW w:w="2268" w:type="dxa"/>
            <w:vAlign w:val="center"/>
          </w:tcPr>
          <w:p w14:paraId="20DB23EC" w14:textId="3A6A5034" w:rsidR="002C3601" w:rsidRDefault="00885A32" w:rsidP="001A5BC6">
            <w:pPr>
              <w:spacing w:before="0" w:after="0" w:line="240" w:lineRule="auto"/>
              <w:jc w:val="center"/>
            </w:pPr>
            <w:r>
              <w:t xml:space="preserve">-3 </w:t>
            </w:r>
            <w:proofErr w:type="gramStart"/>
            <w:r w:rsidR="00614255">
              <w:t xml:space="preserve">   </w:t>
            </w:r>
            <w:r>
              <w:t>(</w:t>
            </w:r>
            <w:proofErr w:type="gramEnd"/>
            <w:r w:rsidR="00DD614E" w:rsidRPr="00D668E6">
              <w:rPr>
                <w:i/>
                <w:iCs/>
              </w:rPr>
              <w:t>5</w:t>
            </w:r>
            <w:r>
              <w:t>)</w:t>
            </w:r>
          </w:p>
        </w:tc>
      </w:tr>
      <w:tr w:rsidR="002C3601" w:rsidRPr="003A58AB" w14:paraId="7715D758" w14:textId="77777777" w:rsidTr="001A5BC6">
        <w:trPr>
          <w:trHeight w:hRule="exact" w:val="340"/>
        </w:trPr>
        <w:tc>
          <w:tcPr>
            <w:tcW w:w="2122" w:type="dxa"/>
            <w:vAlign w:val="center"/>
          </w:tcPr>
          <w:p w14:paraId="526C14F7" w14:textId="7C3A1978" w:rsidR="002C3601" w:rsidRDefault="00467197" w:rsidP="001A5BC6">
            <w:pPr>
              <w:spacing w:before="0" w:after="0" w:line="240" w:lineRule="auto"/>
            </w:pPr>
            <w:r>
              <w:t>South Australia</w:t>
            </w:r>
          </w:p>
        </w:tc>
        <w:tc>
          <w:tcPr>
            <w:tcW w:w="1984" w:type="dxa"/>
            <w:vAlign w:val="center"/>
          </w:tcPr>
          <w:p w14:paraId="176D3355" w14:textId="40FBD86B" w:rsidR="002C3601" w:rsidRDefault="000578D6" w:rsidP="001A5BC6">
            <w:pPr>
              <w:spacing w:before="0" w:after="0" w:line="240" w:lineRule="auto"/>
              <w:jc w:val="center"/>
            </w:pPr>
            <w:r>
              <w:t>40.6</w:t>
            </w:r>
          </w:p>
        </w:tc>
        <w:tc>
          <w:tcPr>
            <w:tcW w:w="1843" w:type="dxa"/>
            <w:vAlign w:val="center"/>
          </w:tcPr>
          <w:p w14:paraId="5356F10F" w14:textId="15087DE3" w:rsidR="002C3601" w:rsidRDefault="007D1D20" w:rsidP="001A5BC6">
            <w:pPr>
              <w:spacing w:before="0" w:after="0" w:line="240" w:lineRule="auto"/>
              <w:jc w:val="center"/>
            </w:pPr>
            <w:r>
              <w:t>69.8</w:t>
            </w:r>
          </w:p>
        </w:tc>
        <w:tc>
          <w:tcPr>
            <w:tcW w:w="2268" w:type="dxa"/>
            <w:vAlign w:val="center"/>
          </w:tcPr>
          <w:p w14:paraId="496ABA98" w14:textId="2EF8FAC6" w:rsidR="002C3601" w:rsidRDefault="00885A32" w:rsidP="001A5BC6">
            <w:pPr>
              <w:spacing w:before="0" w:after="0" w:line="240" w:lineRule="auto"/>
              <w:jc w:val="center"/>
            </w:pPr>
            <w:r>
              <w:t>32</w:t>
            </w:r>
            <w:proofErr w:type="gramStart"/>
            <w:r w:rsidR="00614255">
              <w:t xml:space="preserve">  </w:t>
            </w:r>
            <w:r>
              <w:t xml:space="preserve"> (</w:t>
            </w:r>
            <w:proofErr w:type="gramEnd"/>
            <w:r w:rsidR="00DB10D1" w:rsidRPr="00D668E6">
              <w:rPr>
                <w:i/>
                <w:iCs/>
              </w:rPr>
              <w:t>45</w:t>
            </w:r>
            <w:r>
              <w:t>)</w:t>
            </w:r>
          </w:p>
        </w:tc>
        <w:tc>
          <w:tcPr>
            <w:tcW w:w="2268" w:type="dxa"/>
            <w:vAlign w:val="center"/>
          </w:tcPr>
          <w:p w14:paraId="1E853382" w14:textId="071136A7" w:rsidR="002C3601" w:rsidRDefault="00885A32" w:rsidP="001A5BC6">
            <w:pPr>
              <w:spacing w:before="0" w:after="0" w:line="240" w:lineRule="auto"/>
              <w:jc w:val="center"/>
            </w:pPr>
            <w:r>
              <w:t>-5</w:t>
            </w:r>
            <w:r w:rsidR="00614255">
              <w:t xml:space="preserve"> </w:t>
            </w:r>
            <w:proofErr w:type="gramStart"/>
            <w:r w:rsidR="00614255">
              <w:t xml:space="preserve">  </w:t>
            </w:r>
            <w:r>
              <w:t xml:space="preserve"> (</w:t>
            </w:r>
            <w:proofErr w:type="gramEnd"/>
            <w:r w:rsidR="00DD614E" w:rsidRPr="00D668E6">
              <w:rPr>
                <w:i/>
                <w:iCs/>
              </w:rPr>
              <w:t>2</w:t>
            </w:r>
            <w:r>
              <w:t>)</w:t>
            </w:r>
          </w:p>
        </w:tc>
      </w:tr>
      <w:tr w:rsidR="002C3601" w:rsidRPr="003A58AB" w14:paraId="2D1DE38C" w14:textId="77777777" w:rsidTr="001A5BC6">
        <w:trPr>
          <w:trHeight w:hRule="exact" w:val="340"/>
        </w:trPr>
        <w:tc>
          <w:tcPr>
            <w:tcW w:w="2122" w:type="dxa"/>
            <w:vAlign w:val="center"/>
          </w:tcPr>
          <w:p w14:paraId="1BF331FF" w14:textId="54B8D30D" w:rsidR="002C3601" w:rsidRDefault="00467197" w:rsidP="001A5BC6">
            <w:pPr>
              <w:spacing w:before="0" w:after="0" w:line="240" w:lineRule="auto"/>
            </w:pPr>
            <w:r>
              <w:t>Western Australia</w:t>
            </w:r>
          </w:p>
        </w:tc>
        <w:tc>
          <w:tcPr>
            <w:tcW w:w="1984" w:type="dxa"/>
            <w:vAlign w:val="center"/>
          </w:tcPr>
          <w:p w14:paraId="5BD1D42F" w14:textId="669028DD" w:rsidR="002C3601" w:rsidRDefault="000578D6" w:rsidP="001A5BC6">
            <w:pPr>
              <w:spacing w:before="0" w:after="0" w:line="240" w:lineRule="auto"/>
              <w:jc w:val="center"/>
            </w:pPr>
            <w:r>
              <w:t>66.7</w:t>
            </w:r>
          </w:p>
        </w:tc>
        <w:tc>
          <w:tcPr>
            <w:tcW w:w="1843" w:type="dxa"/>
            <w:vAlign w:val="center"/>
          </w:tcPr>
          <w:p w14:paraId="1BC5F308" w14:textId="6017D855" w:rsidR="002C3601" w:rsidRDefault="007D1D20" w:rsidP="001A5BC6">
            <w:pPr>
              <w:spacing w:before="0" w:after="0" w:line="240" w:lineRule="auto"/>
              <w:jc w:val="center"/>
            </w:pPr>
            <w:r>
              <w:t>110.8</w:t>
            </w:r>
          </w:p>
        </w:tc>
        <w:tc>
          <w:tcPr>
            <w:tcW w:w="2268" w:type="dxa"/>
            <w:vAlign w:val="center"/>
          </w:tcPr>
          <w:p w14:paraId="14093939" w14:textId="7FBCA581" w:rsidR="002C3601" w:rsidRDefault="00885A32" w:rsidP="001A5BC6">
            <w:pPr>
              <w:spacing w:before="0" w:after="0" w:line="240" w:lineRule="auto"/>
              <w:jc w:val="center"/>
            </w:pPr>
            <w:r>
              <w:t>24</w:t>
            </w:r>
            <w:proofErr w:type="gramStart"/>
            <w:r w:rsidR="00614255">
              <w:t xml:space="preserve">  </w:t>
            </w:r>
            <w:r>
              <w:t xml:space="preserve"> (</w:t>
            </w:r>
            <w:proofErr w:type="gramEnd"/>
            <w:r w:rsidR="00DB10D1" w:rsidRPr="00D668E6">
              <w:rPr>
                <w:i/>
                <w:iCs/>
              </w:rPr>
              <w:t>35</w:t>
            </w:r>
            <w:r>
              <w:t>)</w:t>
            </w:r>
          </w:p>
        </w:tc>
        <w:tc>
          <w:tcPr>
            <w:tcW w:w="2268" w:type="dxa"/>
            <w:vAlign w:val="center"/>
          </w:tcPr>
          <w:p w14:paraId="40E505D7" w14:textId="3CB857E8" w:rsidR="002C3601" w:rsidRDefault="00885A32" w:rsidP="001A5BC6">
            <w:pPr>
              <w:spacing w:before="0" w:after="0" w:line="240" w:lineRule="auto"/>
              <w:jc w:val="center"/>
            </w:pPr>
            <w:r>
              <w:t xml:space="preserve">-6 </w:t>
            </w:r>
            <w:proofErr w:type="gramStart"/>
            <w:r w:rsidR="00614255">
              <w:t xml:space="preserve">   </w:t>
            </w:r>
            <w:r>
              <w:t>(</w:t>
            </w:r>
            <w:proofErr w:type="gramEnd"/>
            <w:r w:rsidR="00DD614E" w:rsidRPr="00D668E6">
              <w:rPr>
                <w:i/>
                <w:iCs/>
              </w:rPr>
              <w:t>1</w:t>
            </w:r>
            <w:r>
              <w:t>)</w:t>
            </w:r>
          </w:p>
        </w:tc>
      </w:tr>
      <w:tr w:rsidR="002C3601" w:rsidRPr="003A58AB" w14:paraId="77CF2350" w14:textId="77777777" w:rsidTr="001A5BC6">
        <w:trPr>
          <w:trHeight w:hRule="exact" w:val="340"/>
        </w:trPr>
        <w:tc>
          <w:tcPr>
            <w:tcW w:w="2122" w:type="dxa"/>
            <w:vAlign w:val="center"/>
          </w:tcPr>
          <w:p w14:paraId="6EAF2E8C" w14:textId="440C72DD" w:rsidR="002C3601" w:rsidRDefault="00467197" w:rsidP="001A5BC6">
            <w:pPr>
              <w:spacing w:before="0" w:after="0" w:line="240" w:lineRule="auto"/>
            </w:pPr>
            <w:r>
              <w:t>Tasmania</w:t>
            </w:r>
          </w:p>
        </w:tc>
        <w:tc>
          <w:tcPr>
            <w:tcW w:w="1984" w:type="dxa"/>
            <w:vAlign w:val="center"/>
          </w:tcPr>
          <w:p w14:paraId="5199B602" w14:textId="1CEEE9F9" w:rsidR="002C3601" w:rsidRDefault="000578D6" w:rsidP="001A5BC6">
            <w:pPr>
              <w:spacing w:before="0" w:after="0" w:line="240" w:lineRule="auto"/>
              <w:jc w:val="center"/>
            </w:pPr>
            <w:r>
              <w:t>19.0</w:t>
            </w:r>
          </w:p>
        </w:tc>
        <w:tc>
          <w:tcPr>
            <w:tcW w:w="1843" w:type="dxa"/>
            <w:vAlign w:val="center"/>
          </w:tcPr>
          <w:p w14:paraId="10E83C07" w14:textId="4ACE351F" w:rsidR="002C3601" w:rsidRDefault="007D1D20" w:rsidP="001A5BC6">
            <w:pPr>
              <w:spacing w:before="0" w:after="0" w:line="240" w:lineRule="auto"/>
              <w:jc w:val="center"/>
            </w:pPr>
            <w:r>
              <w:t>42.9</w:t>
            </w:r>
          </w:p>
        </w:tc>
        <w:tc>
          <w:tcPr>
            <w:tcW w:w="2268" w:type="dxa"/>
            <w:vAlign w:val="center"/>
          </w:tcPr>
          <w:p w14:paraId="38538F17" w14:textId="0D89A61C" w:rsidR="002C3601" w:rsidRDefault="00583472" w:rsidP="001A5BC6">
            <w:pPr>
              <w:spacing w:before="0" w:after="0" w:line="240" w:lineRule="auto"/>
              <w:jc w:val="center"/>
            </w:pPr>
            <w:r>
              <w:t>10</w:t>
            </w:r>
            <w:r w:rsidR="00614255">
              <w:t xml:space="preserve"> </w:t>
            </w:r>
            <w:proofErr w:type="gramStart"/>
            <w:r w:rsidR="00614255">
              <w:t xml:space="preserve"> </w:t>
            </w:r>
            <w:r w:rsidR="00885A32">
              <w:t xml:space="preserve"> </w:t>
            </w:r>
            <w:r w:rsidR="00614255">
              <w:t xml:space="preserve"> </w:t>
            </w:r>
            <w:r w:rsidR="00885A32">
              <w:t>(</w:t>
            </w:r>
            <w:proofErr w:type="gramEnd"/>
            <w:r w:rsidR="00DB10D1" w:rsidRPr="00D668E6">
              <w:rPr>
                <w:i/>
                <w:iCs/>
              </w:rPr>
              <w:t>21</w:t>
            </w:r>
            <w:r w:rsidR="00885A32">
              <w:t>)</w:t>
            </w:r>
          </w:p>
        </w:tc>
        <w:tc>
          <w:tcPr>
            <w:tcW w:w="2268" w:type="dxa"/>
            <w:vAlign w:val="center"/>
          </w:tcPr>
          <w:p w14:paraId="78A5482F" w14:textId="1F401029" w:rsidR="002C3601" w:rsidRDefault="00885A32" w:rsidP="001A5BC6">
            <w:pPr>
              <w:spacing w:before="0" w:after="0" w:line="240" w:lineRule="auto"/>
              <w:jc w:val="center"/>
            </w:pPr>
            <w:r>
              <w:t>-17</w:t>
            </w:r>
            <w:proofErr w:type="gramStart"/>
            <w:r w:rsidR="00614255">
              <w:t xml:space="preserve">  </w:t>
            </w:r>
            <w:r>
              <w:t xml:space="preserve"> (</w:t>
            </w:r>
            <w:proofErr w:type="gramEnd"/>
            <w:r w:rsidR="00DD614E" w:rsidRPr="00D668E6">
              <w:rPr>
                <w:i/>
                <w:iCs/>
              </w:rPr>
              <w:t>-9</w:t>
            </w:r>
            <w:r>
              <w:t>)</w:t>
            </w:r>
          </w:p>
        </w:tc>
      </w:tr>
      <w:tr w:rsidR="002C3601" w:rsidRPr="003A58AB" w14:paraId="1FC53677" w14:textId="77777777" w:rsidTr="001A5BC6">
        <w:trPr>
          <w:trHeight w:hRule="exact" w:val="340"/>
        </w:trPr>
        <w:tc>
          <w:tcPr>
            <w:tcW w:w="2122" w:type="dxa"/>
            <w:vAlign w:val="center"/>
          </w:tcPr>
          <w:p w14:paraId="608AB829" w14:textId="1C4A833D" w:rsidR="002C3601" w:rsidRDefault="00467197" w:rsidP="001A5BC6">
            <w:pPr>
              <w:spacing w:before="0" w:after="0" w:line="240" w:lineRule="auto"/>
            </w:pPr>
            <w:r>
              <w:t>Northern Territory</w:t>
            </w:r>
          </w:p>
        </w:tc>
        <w:tc>
          <w:tcPr>
            <w:tcW w:w="1984" w:type="dxa"/>
            <w:vAlign w:val="center"/>
          </w:tcPr>
          <w:p w14:paraId="44C7DFBA" w14:textId="59EBE48C" w:rsidR="002C3601" w:rsidRDefault="009E7B97" w:rsidP="001A5BC6">
            <w:pPr>
              <w:spacing w:before="0" w:after="0" w:line="240" w:lineRule="auto"/>
              <w:jc w:val="center"/>
            </w:pPr>
            <w:r>
              <w:t>7.</w:t>
            </w:r>
            <w:r w:rsidR="000578D6">
              <w:t>5</w:t>
            </w:r>
          </w:p>
        </w:tc>
        <w:tc>
          <w:tcPr>
            <w:tcW w:w="1843" w:type="dxa"/>
            <w:vAlign w:val="center"/>
          </w:tcPr>
          <w:p w14:paraId="42DEAC73" w14:textId="2ADF6BB9" w:rsidR="002C3601" w:rsidRDefault="007D1D20" w:rsidP="001A5BC6">
            <w:pPr>
              <w:spacing w:before="0" w:after="0" w:line="240" w:lineRule="auto"/>
              <w:jc w:val="center"/>
            </w:pPr>
            <w:r>
              <w:t>16.3</w:t>
            </w:r>
          </w:p>
        </w:tc>
        <w:tc>
          <w:tcPr>
            <w:tcW w:w="2268" w:type="dxa"/>
            <w:vAlign w:val="center"/>
          </w:tcPr>
          <w:p w14:paraId="738A955C" w14:textId="4EC80867" w:rsidR="002C3601" w:rsidRDefault="00885A32" w:rsidP="001A5BC6">
            <w:pPr>
              <w:spacing w:before="0" w:after="0" w:line="240" w:lineRule="auto"/>
              <w:jc w:val="center"/>
            </w:pPr>
            <w:r>
              <w:t>21</w:t>
            </w:r>
            <w:proofErr w:type="gramStart"/>
            <w:r>
              <w:t xml:space="preserve"> </w:t>
            </w:r>
            <w:r w:rsidR="00614255">
              <w:t xml:space="preserve">  </w:t>
            </w:r>
            <w:r>
              <w:t>(</w:t>
            </w:r>
            <w:proofErr w:type="gramEnd"/>
            <w:r w:rsidR="00DB10D1" w:rsidRPr="00D668E6">
              <w:rPr>
                <w:i/>
                <w:iCs/>
              </w:rPr>
              <w:t>36</w:t>
            </w:r>
            <w:r>
              <w:t>)</w:t>
            </w:r>
          </w:p>
        </w:tc>
        <w:tc>
          <w:tcPr>
            <w:tcW w:w="2268" w:type="dxa"/>
            <w:vAlign w:val="center"/>
          </w:tcPr>
          <w:p w14:paraId="2690E59B" w14:textId="0E86265B" w:rsidR="002C3601" w:rsidRDefault="00885A32" w:rsidP="001A5BC6">
            <w:pPr>
              <w:spacing w:before="0" w:after="0" w:line="240" w:lineRule="auto"/>
              <w:jc w:val="center"/>
            </w:pPr>
            <w:r>
              <w:t>-1</w:t>
            </w:r>
            <w:r w:rsidR="00583472">
              <w:t>0</w:t>
            </w:r>
            <w:proofErr w:type="gramStart"/>
            <w:r w:rsidR="00614255">
              <w:t xml:space="preserve">  </w:t>
            </w:r>
            <w:r>
              <w:t xml:space="preserve"> (</w:t>
            </w:r>
            <w:proofErr w:type="gramEnd"/>
            <w:r w:rsidR="00DD614E" w:rsidRPr="00D668E6">
              <w:rPr>
                <w:i/>
                <w:iCs/>
              </w:rPr>
              <w:t>-3</w:t>
            </w:r>
            <w:r>
              <w:t>)</w:t>
            </w:r>
          </w:p>
        </w:tc>
      </w:tr>
      <w:tr w:rsidR="002C3601" w:rsidRPr="003A58AB" w14:paraId="0A6CDAE4" w14:textId="77777777" w:rsidTr="001A5BC6">
        <w:trPr>
          <w:trHeight w:hRule="exact" w:val="340"/>
        </w:trPr>
        <w:tc>
          <w:tcPr>
            <w:tcW w:w="2122" w:type="dxa"/>
            <w:vAlign w:val="center"/>
          </w:tcPr>
          <w:p w14:paraId="6BC72DD2" w14:textId="13776B15" w:rsidR="002C3601" w:rsidRDefault="005A0DA2" w:rsidP="001A5BC6">
            <w:pPr>
              <w:spacing w:before="0" w:after="0" w:line="240" w:lineRule="auto"/>
            </w:pPr>
            <w:r>
              <w:t>ACT</w:t>
            </w:r>
          </w:p>
        </w:tc>
        <w:tc>
          <w:tcPr>
            <w:tcW w:w="1984" w:type="dxa"/>
            <w:vAlign w:val="center"/>
          </w:tcPr>
          <w:p w14:paraId="5335D324" w14:textId="37CE0491" w:rsidR="002C3601" w:rsidRDefault="009E7B97" w:rsidP="001A5BC6">
            <w:pPr>
              <w:spacing w:before="0" w:after="0" w:line="240" w:lineRule="auto"/>
              <w:jc w:val="center"/>
            </w:pPr>
            <w:r>
              <w:t>10.</w:t>
            </w:r>
            <w:r w:rsidR="00583472">
              <w:t>5</w:t>
            </w:r>
          </w:p>
        </w:tc>
        <w:tc>
          <w:tcPr>
            <w:tcW w:w="1843" w:type="dxa"/>
            <w:vAlign w:val="center"/>
          </w:tcPr>
          <w:p w14:paraId="52F1DDAD" w14:textId="38B6F8C5" w:rsidR="002C3601" w:rsidRDefault="007D1D20" w:rsidP="001A5BC6">
            <w:pPr>
              <w:spacing w:before="0" w:after="0" w:line="240" w:lineRule="auto"/>
              <w:jc w:val="center"/>
            </w:pPr>
            <w:r>
              <w:t>20.3</w:t>
            </w:r>
          </w:p>
        </w:tc>
        <w:tc>
          <w:tcPr>
            <w:tcW w:w="2268" w:type="dxa"/>
            <w:vAlign w:val="center"/>
          </w:tcPr>
          <w:p w14:paraId="23D20845" w14:textId="6D58FBD7" w:rsidR="002C3601" w:rsidRDefault="00885A32" w:rsidP="001A5BC6">
            <w:pPr>
              <w:spacing w:before="0" w:after="0" w:line="240" w:lineRule="auto"/>
              <w:jc w:val="center"/>
            </w:pPr>
            <w:r>
              <w:t>6</w:t>
            </w:r>
            <w:r w:rsidR="00DB18C8">
              <w:t>3</w:t>
            </w:r>
            <w:proofErr w:type="gramStart"/>
            <w:r w:rsidR="00614255">
              <w:t xml:space="preserve">  </w:t>
            </w:r>
            <w:r>
              <w:t xml:space="preserve"> (</w:t>
            </w:r>
            <w:proofErr w:type="gramEnd"/>
            <w:r w:rsidR="00DB10D1" w:rsidRPr="00D668E6">
              <w:rPr>
                <w:i/>
                <w:iCs/>
              </w:rPr>
              <w:t>78</w:t>
            </w:r>
            <w:r>
              <w:t>)</w:t>
            </w:r>
          </w:p>
        </w:tc>
        <w:tc>
          <w:tcPr>
            <w:tcW w:w="2268" w:type="dxa"/>
            <w:vAlign w:val="center"/>
          </w:tcPr>
          <w:p w14:paraId="4B94116A" w14:textId="1B93A2D3" w:rsidR="002C3601" w:rsidRDefault="00885A32" w:rsidP="001A5BC6">
            <w:pPr>
              <w:spacing w:before="0" w:after="0" w:line="240" w:lineRule="auto"/>
              <w:jc w:val="center"/>
            </w:pPr>
            <w:r>
              <w:t xml:space="preserve">-5 </w:t>
            </w:r>
            <w:proofErr w:type="gramStart"/>
            <w:r w:rsidR="00614255">
              <w:t xml:space="preserve">   </w:t>
            </w:r>
            <w:r>
              <w:t>(</w:t>
            </w:r>
            <w:proofErr w:type="gramEnd"/>
            <w:r w:rsidR="00DD614E" w:rsidRPr="00D668E6">
              <w:rPr>
                <w:i/>
                <w:iCs/>
              </w:rPr>
              <w:t>4</w:t>
            </w:r>
            <w:r>
              <w:t>)</w:t>
            </w:r>
          </w:p>
        </w:tc>
      </w:tr>
      <w:tr w:rsidR="002C3601" w:rsidRPr="00467197" w14:paraId="0AA64421" w14:textId="77777777" w:rsidTr="00467197">
        <w:trPr>
          <w:trHeight w:hRule="exact" w:val="454"/>
        </w:trPr>
        <w:tc>
          <w:tcPr>
            <w:tcW w:w="2122" w:type="dxa"/>
            <w:vAlign w:val="center"/>
          </w:tcPr>
          <w:p w14:paraId="0D1605F8" w14:textId="40D427C5" w:rsidR="002C3601" w:rsidRPr="00467197" w:rsidRDefault="00467197">
            <w:pPr>
              <w:spacing w:before="0" w:after="0"/>
              <w:rPr>
                <w:b/>
                <w:bCs/>
              </w:rPr>
            </w:pPr>
            <w:r w:rsidRPr="00467197">
              <w:rPr>
                <w:b/>
                <w:bCs/>
              </w:rPr>
              <w:t>Total</w:t>
            </w:r>
          </w:p>
        </w:tc>
        <w:tc>
          <w:tcPr>
            <w:tcW w:w="1984" w:type="dxa"/>
            <w:vAlign w:val="center"/>
          </w:tcPr>
          <w:p w14:paraId="20EFA3DB" w14:textId="4C170D0E" w:rsidR="002C3601" w:rsidRPr="00467197" w:rsidRDefault="00AC4CE5" w:rsidP="0087520D">
            <w:pPr>
              <w:spacing w:before="0" w:after="0"/>
              <w:jc w:val="center"/>
              <w:rPr>
                <w:b/>
                <w:bCs/>
              </w:rPr>
            </w:pPr>
            <w:r>
              <w:rPr>
                <w:b/>
                <w:bCs/>
              </w:rPr>
              <w:t>626.2</w:t>
            </w:r>
          </w:p>
        </w:tc>
        <w:tc>
          <w:tcPr>
            <w:tcW w:w="1843" w:type="dxa"/>
            <w:vAlign w:val="center"/>
          </w:tcPr>
          <w:p w14:paraId="246DDB35" w14:textId="38A786D4" w:rsidR="002C3601" w:rsidRPr="00467197" w:rsidRDefault="007D1D20" w:rsidP="0087520D">
            <w:pPr>
              <w:spacing w:before="0" w:after="0"/>
              <w:jc w:val="center"/>
              <w:rPr>
                <w:b/>
                <w:bCs/>
              </w:rPr>
            </w:pPr>
            <w:r>
              <w:rPr>
                <w:b/>
                <w:bCs/>
              </w:rPr>
              <w:t>1069.6</w:t>
            </w:r>
          </w:p>
        </w:tc>
        <w:tc>
          <w:tcPr>
            <w:tcW w:w="2268" w:type="dxa"/>
            <w:vAlign w:val="center"/>
          </w:tcPr>
          <w:p w14:paraId="257F4125" w14:textId="458A228D" w:rsidR="002C3601" w:rsidRPr="00467197" w:rsidRDefault="00885A32" w:rsidP="0087520D">
            <w:pPr>
              <w:spacing w:before="0" w:after="0"/>
              <w:jc w:val="center"/>
              <w:rPr>
                <w:b/>
                <w:bCs/>
              </w:rPr>
            </w:pPr>
            <w:r>
              <w:rPr>
                <w:b/>
                <w:bCs/>
              </w:rPr>
              <w:t>42</w:t>
            </w:r>
            <w:proofErr w:type="gramStart"/>
            <w:r>
              <w:rPr>
                <w:b/>
                <w:bCs/>
              </w:rPr>
              <w:t xml:space="preserve"> </w:t>
            </w:r>
            <w:r w:rsidR="00614255">
              <w:rPr>
                <w:b/>
                <w:bCs/>
              </w:rPr>
              <w:t xml:space="preserve">  </w:t>
            </w:r>
            <w:r>
              <w:rPr>
                <w:b/>
                <w:bCs/>
              </w:rPr>
              <w:t>(</w:t>
            </w:r>
            <w:proofErr w:type="gramEnd"/>
            <w:r w:rsidR="00DB10D1" w:rsidRPr="00D668E6">
              <w:rPr>
                <w:b/>
                <w:bCs/>
                <w:i/>
                <w:iCs/>
              </w:rPr>
              <w:t>53</w:t>
            </w:r>
            <w:r>
              <w:rPr>
                <w:b/>
                <w:bCs/>
              </w:rPr>
              <w:t>)</w:t>
            </w:r>
          </w:p>
        </w:tc>
        <w:tc>
          <w:tcPr>
            <w:tcW w:w="2268" w:type="dxa"/>
            <w:vAlign w:val="center"/>
          </w:tcPr>
          <w:p w14:paraId="1DF2E775" w14:textId="0558DA38" w:rsidR="002C3601" w:rsidRPr="00467197" w:rsidRDefault="00885A32" w:rsidP="0087520D">
            <w:pPr>
              <w:spacing w:before="0" w:after="0"/>
              <w:jc w:val="center"/>
              <w:rPr>
                <w:b/>
                <w:bCs/>
              </w:rPr>
            </w:pPr>
            <w:r>
              <w:rPr>
                <w:b/>
                <w:bCs/>
              </w:rPr>
              <w:t>-11</w:t>
            </w:r>
            <w:proofErr w:type="gramStart"/>
            <w:r w:rsidR="00614255">
              <w:rPr>
                <w:b/>
                <w:bCs/>
              </w:rPr>
              <w:t xml:space="preserve">  </w:t>
            </w:r>
            <w:r>
              <w:rPr>
                <w:b/>
                <w:bCs/>
              </w:rPr>
              <w:t xml:space="preserve"> (</w:t>
            </w:r>
            <w:proofErr w:type="gramEnd"/>
            <w:r w:rsidR="00DD614E" w:rsidRPr="00D668E6">
              <w:rPr>
                <w:b/>
                <w:bCs/>
                <w:i/>
                <w:iCs/>
              </w:rPr>
              <w:t>-4</w:t>
            </w:r>
            <w:r>
              <w:rPr>
                <w:b/>
                <w:bCs/>
              </w:rPr>
              <w:t>)</w:t>
            </w:r>
          </w:p>
        </w:tc>
      </w:tr>
    </w:tbl>
    <w:p w14:paraId="453DBE2F" w14:textId="77777777" w:rsidR="00467197" w:rsidRPr="005046E3" w:rsidRDefault="00467197" w:rsidP="005046E3">
      <w:pPr>
        <w:pStyle w:val="Caption"/>
        <w:spacing w:after="0"/>
        <w:rPr>
          <w:color w:val="auto"/>
        </w:rPr>
      </w:pPr>
      <w:r w:rsidRPr="005046E3">
        <w:rPr>
          <w:color w:val="auto"/>
        </w:rPr>
        <w:t>* Total jobs includes both direct and indirect jobs</w:t>
      </w:r>
    </w:p>
    <w:p w14:paraId="359D0A86" w14:textId="6A4BFE32" w:rsidR="00BA0140" w:rsidRDefault="00467197" w:rsidP="00467197">
      <w:pPr>
        <w:spacing w:before="0" w:after="160" w:line="300" w:lineRule="atLeast"/>
      </w:pPr>
      <w:r>
        <w:t>Source: Tourism Research Australia, State Tourism Satellite Account 202</w:t>
      </w:r>
      <w:r w:rsidR="005046E3">
        <w:t>2</w:t>
      </w:r>
      <w:r>
        <w:t>-2</w:t>
      </w:r>
      <w:r w:rsidR="005046E3">
        <w:t>3</w:t>
      </w:r>
    </w:p>
    <w:p w14:paraId="64A97F22" w14:textId="77777777" w:rsidR="00BA0140" w:rsidRDefault="00BA0140" w:rsidP="00BA0140">
      <w:pPr>
        <w:pStyle w:val="Heading3"/>
        <w:rPr>
          <w:lang w:eastAsia="zh-CN"/>
        </w:rPr>
      </w:pPr>
      <w:bookmarkStart w:id="87" w:name="_Toc135990467"/>
      <w:bookmarkStart w:id="88" w:name="_Toc167113893"/>
      <w:r>
        <w:rPr>
          <w:lang w:eastAsia="zh-CN"/>
        </w:rPr>
        <w:t>Businesses</w:t>
      </w:r>
      <w:bookmarkEnd w:id="87"/>
      <w:bookmarkEnd w:id="88"/>
    </w:p>
    <w:p w14:paraId="7EF3C04F" w14:textId="4546F211" w:rsidR="00AE4238" w:rsidRDefault="00B06CA4" w:rsidP="00861065">
      <w:r w:rsidRPr="004C75AB">
        <w:t>There were 355,570 tourism businesses in Australia in June 2023. This means</w:t>
      </w:r>
      <w:r w:rsidR="6941305F">
        <w:t xml:space="preserve"> </w:t>
      </w:r>
      <w:r>
        <w:t>1</w:t>
      </w:r>
      <w:r w:rsidRPr="004C75AB">
        <w:t xml:space="preserve"> in 7</w:t>
      </w:r>
      <w:r w:rsidR="7FBA87A5">
        <w:t>, or 14%</w:t>
      </w:r>
      <w:r w:rsidR="007F5DA7">
        <w:t>,</w:t>
      </w:r>
      <w:r w:rsidR="7FBA87A5">
        <w:t xml:space="preserve"> of</w:t>
      </w:r>
      <w:r w:rsidRPr="004C75AB">
        <w:t xml:space="preserve"> Australian businesses were tourism related. </w:t>
      </w:r>
      <w:r w:rsidR="00861065">
        <w:t xml:space="preserve">The number of tourism businesses </w:t>
      </w:r>
      <w:r w:rsidR="00861065" w:rsidRPr="004C75AB">
        <w:t>declined by 5,262 (1.5%)</w:t>
      </w:r>
      <w:r w:rsidR="00861065">
        <w:t xml:space="preserve"> </w:t>
      </w:r>
      <w:r w:rsidR="008408C6" w:rsidRPr="004C75AB">
        <w:t xml:space="preserve">in the year to June 2023 </w:t>
      </w:r>
      <w:r w:rsidR="00861065">
        <w:t>compared with June 2022</w:t>
      </w:r>
      <w:r w:rsidR="008408C6">
        <w:t xml:space="preserve">, but </w:t>
      </w:r>
      <w:r w:rsidR="000A3FCF">
        <w:t>remained</w:t>
      </w:r>
      <w:r w:rsidR="00AE4238">
        <w:t xml:space="preserve"> </w:t>
      </w:r>
      <w:r w:rsidR="00AE4238" w:rsidRPr="004C75AB">
        <w:t>41,1</w:t>
      </w:r>
      <w:r w:rsidR="008C08B4">
        <w:t>97</w:t>
      </w:r>
      <w:r w:rsidR="008E4296">
        <w:t>,</w:t>
      </w:r>
      <w:r w:rsidR="00AE4238" w:rsidRPr="004C75AB">
        <w:t xml:space="preserve"> </w:t>
      </w:r>
      <w:r w:rsidR="45995004">
        <w:t xml:space="preserve">or </w:t>
      </w:r>
      <w:r w:rsidR="00AE4238" w:rsidRPr="004C75AB">
        <w:t>13</w:t>
      </w:r>
      <w:r w:rsidR="00AE4238">
        <w:t>%</w:t>
      </w:r>
      <w:r w:rsidR="2BAF5B97">
        <w:t>,</w:t>
      </w:r>
      <w:r w:rsidR="00AE4238">
        <w:t xml:space="preserve"> higher than</w:t>
      </w:r>
      <w:r w:rsidR="0040455D">
        <w:t xml:space="preserve"> </w:t>
      </w:r>
      <w:r w:rsidR="0040455D" w:rsidRPr="004C75AB">
        <w:t>in June 2018</w:t>
      </w:r>
      <w:r w:rsidR="0040455D">
        <w:t xml:space="preserve"> (</w:t>
      </w:r>
      <w:r w:rsidR="0040455D" w:rsidRPr="004C75AB">
        <w:t>314,373</w:t>
      </w:r>
      <w:r w:rsidR="0040455D">
        <w:t>)</w:t>
      </w:r>
      <w:r w:rsidR="000A3FCF">
        <w:t>.</w:t>
      </w:r>
      <w:r w:rsidR="00A22E35">
        <w:t xml:space="preserve"> </w:t>
      </w:r>
    </w:p>
    <w:p w14:paraId="64D12DEA" w14:textId="347EC6AF" w:rsidR="006A12F7" w:rsidRPr="004C75AB" w:rsidRDefault="00B06CA4" w:rsidP="006A12F7">
      <w:r w:rsidRPr="004C75AB">
        <w:t>T</w:t>
      </w:r>
      <w:r w:rsidR="000A3FCF">
        <w:t>ourism</w:t>
      </w:r>
      <w:r w:rsidRPr="004C75AB">
        <w:t xml:space="preserve"> businesses are spread across 9 industry </w:t>
      </w:r>
      <w:r>
        <w:t>sector</w:t>
      </w:r>
      <w:r w:rsidRPr="00C27848">
        <w:t xml:space="preserve">s. </w:t>
      </w:r>
      <w:r w:rsidR="00FD6A38" w:rsidRPr="004C75AB">
        <w:t xml:space="preserve">The largest </w:t>
      </w:r>
      <w:r w:rsidR="00FD6A38">
        <w:t>sector</w:t>
      </w:r>
      <w:r w:rsidR="00FD6A38" w:rsidRPr="004C75AB">
        <w:t xml:space="preserve"> in the tourism-related business </w:t>
      </w:r>
      <w:r w:rsidR="00FD6A38">
        <w:t>group</w:t>
      </w:r>
      <w:r w:rsidR="00FD6A38" w:rsidRPr="004C75AB">
        <w:t xml:space="preserve"> is </w:t>
      </w:r>
      <w:r w:rsidR="00FD6A38">
        <w:t>Retail trade</w:t>
      </w:r>
      <w:r w:rsidR="00FD6A38" w:rsidRPr="004C75AB">
        <w:t xml:space="preserve"> (Table </w:t>
      </w:r>
      <w:r w:rsidR="003457C6">
        <w:t>2</w:t>
      </w:r>
      <w:r w:rsidR="00FD6A38" w:rsidRPr="004C75AB">
        <w:t xml:space="preserve">). In June 2023, this </w:t>
      </w:r>
      <w:r w:rsidR="00FD6A38">
        <w:t>sector</w:t>
      </w:r>
      <w:r w:rsidR="00FD6A38" w:rsidRPr="004C75AB">
        <w:t xml:space="preserve"> accounted for 44</w:t>
      </w:r>
      <w:r w:rsidR="00FD6A38">
        <w:t>%</w:t>
      </w:r>
      <w:r w:rsidR="00FD6A38" w:rsidRPr="004C75AB">
        <w:t xml:space="preserve"> of all tourism-related businesses. </w:t>
      </w:r>
      <w:r w:rsidR="006A12F7" w:rsidRPr="004C75AB">
        <w:t>The bulk of the</w:t>
      </w:r>
      <w:r w:rsidR="006A12F7">
        <w:t xml:space="preserve"> </w:t>
      </w:r>
      <w:r w:rsidR="006A12F7" w:rsidRPr="004C75AB">
        <w:t xml:space="preserve">decline in business numbers between </w:t>
      </w:r>
      <w:r w:rsidR="006A12F7">
        <w:t xml:space="preserve">June </w:t>
      </w:r>
      <w:r w:rsidR="006A12F7" w:rsidRPr="004C75AB">
        <w:t xml:space="preserve">2022 and </w:t>
      </w:r>
      <w:r w:rsidR="006A12F7">
        <w:t xml:space="preserve">June </w:t>
      </w:r>
      <w:r w:rsidR="006A12F7" w:rsidRPr="004C75AB">
        <w:t xml:space="preserve">2023 </w:t>
      </w:r>
      <w:r w:rsidR="00120955" w:rsidRPr="004C75AB">
        <w:t>(83%</w:t>
      </w:r>
      <w:r w:rsidR="00120955">
        <w:t xml:space="preserve"> of the decline</w:t>
      </w:r>
      <w:r w:rsidR="00120955" w:rsidRPr="004C75AB">
        <w:t xml:space="preserve">) </w:t>
      </w:r>
      <w:r w:rsidR="00120955">
        <w:t>was accoun</w:t>
      </w:r>
      <w:r w:rsidR="008E5A5A">
        <w:t>ted for by</w:t>
      </w:r>
      <w:r w:rsidR="006A12F7" w:rsidRPr="004C75AB">
        <w:t xml:space="preserve"> </w:t>
      </w:r>
      <w:r w:rsidR="0056617C">
        <w:t xml:space="preserve">the </w:t>
      </w:r>
      <w:r w:rsidR="006A12F7" w:rsidRPr="004C75AB">
        <w:t xml:space="preserve">2 industry </w:t>
      </w:r>
      <w:r w:rsidR="006A12F7">
        <w:t>sector</w:t>
      </w:r>
      <w:r w:rsidR="006A12F7" w:rsidRPr="004C75AB">
        <w:t>s</w:t>
      </w:r>
      <w:r w:rsidR="0056617C">
        <w:t xml:space="preserve"> of retail trade and taxi transport. For more details, see </w:t>
      </w:r>
      <w:hyperlink r:id="rId71" w:history="1">
        <w:r w:rsidR="0056617C" w:rsidRPr="001942C8">
          <w:rPr>
            <w:rStyle w:val="Hyperlink"/>
          </w:rPr>
          <w:t>Tourism businesses in Australia: June 2018 to June 2023</w:t>
        </w:r>
      </w:hyperlink>
      <w:r w:rsidR="005A7D20">
        <w:t>.</w:t>
      </w:r>
    </w:p>
    <w:p w14:paraId="5A176014" w14:textId="4C235059" w:rsidR="00FD6A38" w:rsidRPr="004C75AB" w:rsidRDefault="00FD6A38" w:rsidP="00BA4F44">
      <w:pPr>
        <w:pStyle w:val="Caption"/>
        <w:keepNext/>
        <w:keepLines/>
        <w:rPr>
          <w:rFonts w:asciiTheme="majorHAnsi" w:hAnsiTheme="majorHAnsi"/>
          <w:i w:val="0"/>
          <w:iCs w:val="0"/>
          <w:sz w:val="20"/>
          <w:szCs w:val="20"/>
        </w:rPr>
      </w:pPr>
      <w:r w:rsidRPr="000A56BB">
        <w:rPr>
          <w:rFonts w:asciiTheme="majorHAnsi" w:hAnsiTheme="majorHAnsi"/>
          <w:b/>
          <w:i w:val="0"/>
          <w:sz w:val="20"/>
          <w:szCs w:val="20"/>
        </w:rPr>
        <w:lastRenderedPageBreak/>
        <w:t xml:space="preserve">Table </w:t>
      </w:r>
      <w:r w:rsidR="003457C6">
        <w:rPr>
          <w:rFonts w:asciiTheme="majorHAnsi" w:hAnsiTheme="majorHAnsi"/>
          <w:b/>
          <w:i w:val="0"/>
          <w:sz w:val="20"/>
          <w:szCs w:val="20"/>
        </w:rPr>
        <w:t>2</w:t>
      </w:r>
      <w:r w:rsidRPr="004C75AB">
        <w:rPr>
          <w:rFonts w:asciiTheme="majorHAnsi" w:hAnsiTheme="majorHAnsi"/>
          <w:i w:val="0"/>
          <w:iCs w:val="0"/>
          <w:sz w:val="20"/>
          <w:szCs w:val="20"/>
        </w:rPr>
        <w:t>: Tourism businesses in June 2023 by industry sector</w:t>
      </w:r>
    </w:p>
    <w:tbl>
      <w:tblPr>
        <w:tblW w:w="100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ourism businesses in June 2023 by industry sector"/>
        <w:tblDescription w:val="This is a table showing the number of businesses in June 2023 by tourism sub-sector. The largest 3 sub-sectors were retail trade with 155,755 businesses, cafes, restaurants and takeaways (with 95,958 businesses) and cultural, sports and recreational services (with 36,422 businesses).  "/>
      </w:tblPr>
      <w:tblGrid>
        <w:gridCol w:w="4351"/>
        <w:gridCol w:w="2023"/>
        <w:gridCol w:w="1559"/>
        <w:gridCol w:w="2127"/>
      </w:tblGrid>
      <w:tr w:rsidR="006A12AE" w:rsidRPr="002C1317" w14:paraId="299A8CB5" w14:textId="614FB2D6" w:rsidTr="005361BF">
        <w:trPr>
          <w:trHeight w:val="315"/>
          <w:tblHeader/>
        </w:trPr>
        <w:tc>
          <w:tcPr>
            <w:tcW w:w="4351" w:type="dxa"/>
            <w:shd w:val="clear" w:color="auto" w:fill="2E1A47" w:themeFill="accent2"/>
            <w:noWrap/>
            <w:vAlign w:val="bottom"/>
            <w:hideMark/>
          </w:tcPr>
          <w:p w14:paraId="4DCDC34B" w14:textId="77777777" w:rsidR="006A12AE" w:rsidRPr="002C1317" w:rsidRDefault="006A12AE" w:rsidP="00BA4F44">
            <w:pPr>
              <w:keepNext/>
              <w:keepLines/>
              <w:spacing w:before="0"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Industry sector</w:t>
            </w:r>
          </w:p>
        </w:tc>
        <w:tc>
          <w:tcPr>
            <w:tcW w:w="2023" w:type="dxa"/>
            <w:shd w:val="clear" w:color="auto" w:fill="2E1A47" w:themeFill="accent2"/>
            <w:noWrap/>
            <w:vAlign w:val="bottom"/>
            <w:hideMark/>
          </w:tcPr>
          <w:p w14:paraId="0BC639DB" w14:textId="306DE9D8" w:rsidR="006A12AE" w:rsidRDefault="006A12AE" w:rsidP="00BA4F44">
            <w:pPr>
              <w:keepNext/>
              <w:keepLines/>
              <w:spacing w:before="0"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Number of businesses</w:t>
            </w:r>
          </w:p>
          <w:p w14:paraId="0A5C0243" w14:textId="77777777" w:rsidR="006A12AE" w:rsidRDefault="006A12AE" w:rsidP="00BA4F44">
            <w:pPr>
              <w:keepNext/>
              <w:keepLines/>
              <w:spacing w:before="0" w:after="0" w:line="240" w:lineRule="auto"/>
              <w:jc w:val="center"/>
              <w:rPr>
                <w:rFonts w:eastAsia="Times New Roman" w:cs="Calibri"/>
                <w:b/>
                <w:color w:val="FFFFFF" w:themeColor="background1"/>
                <w:lang w:eastAsia="en-AU"/>
              </w:rPr>
            </w:pPr>
          </w:p>
          <w:p w14:paraId="38F0F093" w14:textId="7A948C00" w:rsidR="006A12AE" w:rsidRDefault="006A12AE" w:rsidP="00BA4F44">
            <w:pPr>
              <w:keepNext/>
              <w:keepLines/>
              <w:spacing w:before="0"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June 2023</w:t>
            </w:r>
          </w:p>
          <w:p w14:paraId="69CA00E4" w14:textId="232EB3CD" w:rsidR="006A12AE" w:rsidRPr="002C1317" w:rsidRDefault="006A12AE" w:rsidP="00BA4F44">
            <w:pPr>
              <w:keepNext/>
              <w:keepLines/>
              <w:spacing w:before="0" w:after="0" w:line="240" w:lineRule="auto"/>
              <w:jc w:val="center"/>
              <w:rPr>
                <w:rFonts w:eastAsia="Times New Roman" w:cs="Calibri"/>
                <w:b/>
                <w:color w:val="FFFFFF" w:themeColor="background1"/>
                <w:lang w:eastAsia="en-AU"/>
              </w:rPr>
            </w:pPr>
          </w:p>
        </w:tc>
        <w:tc>
          <w:tcPr>
            <w:tcW w:w="1559" w:type="dxa"/>
            <w:shd w:val="clear" w:color="auto" w:fill="2E1A47" w:themeFill="accent2"/>
            <w:noWrap/>
            <w:vAlign w:val="bottom"/>
            <w:hideMark/>
          </w:tcPr>
          <w:p w14:paraId="6053FD2C" w14:textId="77777777" w:rsidR="006A12AE" w:rsidRDefault="006A12AE" w:rsidP="00BA4F44">
            <w:pPr>
              <w:keepNext/>
              <w:keepLines/>
              <w:spacing w:before="0" w:after="0" w:line="240" w:lineRule="auto"/>
              <w:jc w:val="center"/>
              <w:rPr>
                <w:rFonts w:eastAsia="Times New Roman" w:cs="Calibri"/>
                <w:b/>
                <w:color w:val="FFFFFF" w:themeColor="background1"/>
                <w:lang w:eastAsia="en-AU"/>
              </w:rPr>
            </w:pPr>
            <w:r>
              <w:rPr>
                <w:rFonts w:eastAsia="Times New Roman" w:cs="Calibri"/>
                <w:b/>
                <w:color w:val="FFFFFF" w:themeColor="background1"/>
                <w:lang w:eastAsia="en-AU"/>
              </w:rPr>
              <w:t>Share</w:t>
            </w:r>
            <w:r w:rsidRPr="002C1317">
              <w:rPr>
                <w:rFonts w:eastAsia="Times New Roman" w:cs="Calibri"/>
                <w:b/>
                <w:color w:val="FFFFFF" w:themeColor="background1"/>
                <w:lang w:eastAsia="en-AU"/>
              </w:rPr>
              <w:t xml:space="preserve"> of </w:t>
            </w:r>
            <w:r>
              <w:rPr>
                <w:rFonts w:eastAsia="Times New Roman" w:cs="Calibri"/>
                <w:b/>
                <w:color w:val="FFFFFF" w:themeColor="background1"/>
                <w:lang w:eastAsia="en-AU"/>
              </w:rPr>
              <w:t>t</w:t>
            </w:r>
            <w:r w:rsidRPr="002C1317">
              <w:rPr>
                <w:rFonts w:eastAsia="Times New Roman" w:cs="Calibri"/>
                <w:b/>
                <w:color w:val="FFFFFF" w:themeColor="background1"/>
                <w:lang w:eastAsia="en-AU"/>
              </w:rPr>
              <w:t>otal</w:t>
            </w:r>
          </w:p>
          <w:p w14:paraId="1AF01925" w14:textId="77777777" w:rsidR="00537F37" w:rsidRDefault="00537F37" w:rsidP="00BA4F44">
            <w:pPr>
              <w:keepNext/>
              <w:keepLines/>
              <w:spacing w:before="0" w:after="0" w:line="240" w:lineRule="auto"/>
              <w:jc w:val="center"/>
              <w:rPr>
                <w:rFonts w:eastAsia="Times New Roman" w:cs="Calibri"/>
                <w:b/>
                <w:color w:val="FFFFFF" w:themeColor="background1"/>
                <w:lang w:eastAsia="en-AU"/>
              </w:rPr>
            </w:pPr>
          </w:p>
          <w:p w14:paraId="05911335" w14:textId="329EAE9E" w:rsidR="006A12AE" w:rsidRPr="002C1317" w:rsidRDefault="00537F37" w:rsidP="00BA4F44">
            <w:pPr>
              <w:keepNext/>
              <w:keepLines/>
              <w:spacing w:before="0" w:after="0" w:line="240" w:lineRule="auto"/>
              <w:jc w:val="center"/>
              <w:rPr>
                <w:rFonts w:eastAsia="Times New Roman" w:cs="Calibri"/>
                <w:b/>
                <w:color w:val="FFFFFF" w:themeColor="background1"/>
                <w:lang w:eastAsia="en-AU"/>
              </w:rPr>
            </w:pPr>
            <w:r>
              <w:rPr>
                <w:rFonts w:eastAsia="Times New Roman" w:cs="Calibri"/>
                <w:b/>
                <w:color w:val="FFFFFF" w:themeColor="background1"/>
                <w:lang w:eastAsia="en-AU"/>
              </w:rPr>
              <w:t>%</w:t>
            </w:r>
          </w:p>
        </w:tc>
        <w:tc>
          <w:tcPr>
            <w:tcW w:w="2127" w:type="dxa"/>
            <w:shd w:val="clear" w:color="auto" w:fill="2E1A47" w:themeFill="accent2"/>
          </w:tcPr>
          <w:p w14:paraId="091941EE" w14:textId="77777777" w:rsidR="006A12AE" w:rsidRDefault="006A12AE" w:rsidP="00BA4F44">
            <w:pPr>
              <w:keepNext/>
              <w:keepLines/>
              <w:spacing w:before="0" w:after="0" w:line="240" w:lineRule="auto"/>
              <w:jc w:val="center"/>
              <w:rPr>
                <w:rFonts w:eastAsia="Times New Roman" w:cs="Calibri"/>
                <w:b/>
                <w:color w:val="FFFFFF" w:themeColor="background1"/>
                <w:lang w:eastAsia="en-AU"/>
              </w:rPr>
            </w:pPr>
            <w:r>
              <w:rPr>
                <w:rFonts w:eastAsia="Times New Roman" w:cs="Calibri"/>
                <w:b/>
                <w:color w:val="FFFFFF" w:themeColor="background1"/>
                <w:lang w:eastAsia="en-AU"/>
              </w:rPr>
              <w:t>Change since June 2022</w:t>
            </w:r>
          </w:p>
          <w:p w14:paraId="377E5EB7" w14:textId="77777777" w:rsidR="00537F37" w:rsidRDefault="00537F37" w:rsidP="00BA4F44">
            <w:pPr>
              <w:keepNext/>
              <w:keepLines/>
              <w:spacing w:before="0" w:after="0" w:line="240" w:lineRule="auto"/>
              <w:jc w:val="center"/>
              <w:rPr>
                <w:rFonts w:eastAsia="Times New Roman" w:cs="Calibri"/>
                <w:b/>
                <w:color w:val="FFFFFF" w:themeColor="background1"/>
                <w:lang w:eastAsia="en-AU"/>
              </w:rPr>
            </w:pPr>
          </w:p>
          <w:p w14:paraId="498CB700" w14:textId="65105F31" w:rsidR="006A12AE" w:rsidRPr="002C1317" w:rsidRDefault="006A12AE" w:rsidP="00BA4F44">
            <w:pPr>
              <w:keepNext/>
              <w:keepLines/>
              <w:spacing w:before="0" w:after="0" w:line="240" w:lineRule="auto"/>
              <w:jc w:val="center"/>
              <w:rPr>
                <w:rFonts w:eastAsia="Times New Roman" w:cs="Calibri"/>
                <w:b/>
                <w:color w:val="FFFFFF" w:themeColor="background1"/>
                <w:lang w:eastAsia="en-AU"/>
              </w:rPr>
            </w:pPr>
            <w:r>
              <w:rPr>
                <w:rFonts w:eastAsia="Times New Roman" w:cs="Calibri"/>
                <w:b/>
                <w:color w:val="FFFFFF" w:themeColor="background1"/>
                <w:lang w:eastAsia="en-AU"/>
              </w:rPr>
              <w:t>Number (%)</w:t>
            </w:r>
          </w:p>
        </w:tc>
      </w:tr>
      <w:tr w:rsidR="006A12AE" w:rsidRPr="00E44BD5" w14:paraId="78C38F29" w14:textId="1F8B49F2" w:rsidTr="00AF69C2">
        <w:trPr>
          <w:trHeight w:hRule="exact" w:val="340"/>
        </w:trPr>
        <w:tc>
          <w:tcPr>
            <w:tcW w:w="4351" w:type="dxa"/>
            <w:shd w:val="clear" w:color="auto" w:fill="auto"/>
            <w:noWrap/>
            <w:vAlign w:val="bottom"/>
            <w:hideMark/>
          </w:tcPr>
          <w:p w14:paraId="2914B4ED"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Retail trade</w:t>
            </w:r>
          </w:p>
        </w:tc>
        <w:tc>
          <w:tcPr>
            <w:tcW w:w="2023" w:type="dxa"/>
            <w:shd w:val="clear" w:color="auto" w:fill="auto"/>
            <w:noWrap/>
            <w:vAlign w:val="bottom"/>
            <w:hideMark/>
          </w:tcPr>
          <w:p w14:paraId="1A6DB247" w14:textId="035DBC4B"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155,755</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7D5D20E3"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44%</w:t>
            </w:r>
          </w:p>
        </w:tc>
        <w:tc>
          <w:tcPr>
            <w:tcW w:w="2127" w:type="dxa"/>
          </w:tcPr>
          <w:p w14:paraId="3DA096EB" w14:textId="52199EC3"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-2,211</w:t>
            </w:r>
            <w:r w:rsidR="00537F37">
              <w:rPr>
                <w:rFonts w:asciiTheme="minorHAnsi" w:eastAsia="Times New Roman" w:hAnsiTheme="minorHAnsi" w:cs="Calibri"/>
                <w:color w:val="000000"/>
                <w:lang w:eastAsia="en-AU"/>
              </w:rPr>
              <w:t xml:space="preserve"> (</w:t>
            </w:r>
            <w:r>
              <w:rPr>
                <w:rFonts w:asciiTheme="minorHAnsi" w:eastAsia="Times New Roman" w:hAnsiTheme="minorHAnsi" w:cs="Calibri"/>
                <w:color w:val="000000"/>
                <w:lang w:eastAsia="en-AU"/>
              </w:rPr>
              <w:t>-1.4%)</w:t>
            </w:r>
          </w:p>
        </w:tc>
      </w:tr>
      <w:tr w:rsidR="006A12AE" w:rsidRPr="00E44BD5" w14:paraId="62238DCB" w14:textId="50A7BF9D" w:rsidTr="00AF69C2">
        <w:trPr>
          <w:trHeight w:hRule="exact" w:val="340"/>
        </w:trPr>
        <w:tc>
          <w:tcPr>
            <w:tcW w:w="4351" w:type="dxa"/>
            <w:shd w:val="clear" w:color="auto" w:fill="auto"/>
            <w:noWrap/>
            <w:vAlign w:val="bottom"/>
            <w:hideMark/>
          </w:tcPr>
          <w:p w14:paraId="01580AEA"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Caf</w:t>
            </w:r>
            <w:r>
              <w:rPr>
                <w:rFonts w:asciiTheme="minorHAnsi" w:eastAsia="Times New Roman" w:hAnsiTheme="minorHAnsi" w:cs="Calibri"/>
                <w:color w:val="000000"/>
                <w:lang w:eastAsia="en-AU"/>
              </w:rPr>
              <w:t>é</w:t>
            </w:r>
            <w:r w:rsidRPr="004C75AB">
              <w:rPr>
                <w:rFonts w:asciiTheme="minorHAnsi" w:eastAsia="Times New Roman" w:hAnsiTheme="minorHAnsi" w:cs="Calibri"/>
                <w:color w:val="000000"/>
                <w:lang w:eastAsia="en-AU"/>
              </w:rPr>
              <w:t>s, restaurants and takeaways</w:t>
            </w:r>
            <w:r w:rsidRPr="00777112">
              <w:rPr>
                <w:rFonts w:asciiTheme="minorHAnsi" w:eastAsia="Times New Roman" w:hAnsiTheme="minorHAnsi" w:cs="Calibri"/>
                <w:color w:val="000000"/>
                <w:vertAlign w:val="superscript"/>
                <w:lang w:eastAsia="en-AU"/>
              </w:rPr>
              <w:t>1</w:t>
            </w:r>
          </w:p>
        </w:tc>
        <w:tc>
          <w:tcPr>
            <w:tcW w:w="2023" w:type="dxa"/>
            <w:shd w:val="clear" w:color="auto" w:fill="auto"/>
            <w:noWrap/>
            <w:vAlign w:val="bottom"/>
            <w:hideMark/>
          </w:tcPr>
          <w:p w14:paraId="29A75F98" w14:textId="33036CDC"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9</w:t>
            </w:r>
            <w:r w:rsidRPr="004C75AB">
              <w:rPr>
                <w:rFonts w:asciiTheme="minorHAnsi" w:eastAsia="Times New Roman" w:hAnsiTheme="minorHAnsi" w:cs="Calibri"/>
                <w:color w:val="000000"/>
                <w:lang w:eastAsia="en-AU"/>
              </w:rPr>
              <w:t>5,958</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150B009F"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27%</w:t>
            </w:r>
          </w:p>
        </w:tc>
        <w:tc>
          <w:tcPr>
            <w:tcW w:w="2127" w:type="dxa"/>
          </w:tcPr>
          <w:p w14:paraId="4E6ECB37" w14:textId="0A9EB580"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-386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-0.4%)</w:t>
            </w:r>
          </w:p>
        </w:tc>
      </w:tr>
      <w:tr w:rsidR="006A12AE" w:rsidRPr="00E44BD5" w14:paraId="55B5AA57" w14:textId="1C34C2D9" w:rsidTr="00AF69C2">
        <w:trPr>
          <w:trHeight w:hRule="exact" w:val="340"/>
        </w:trPr>
        <w:tc>
          <w:tcPr>
            <w:tcW w:w="4351" w:type="dxa"/>
            <w:shd w:val="clear" w:color="auto" w:fill="auto"/>
            <w:noWrap/>
            <w:vAlign w:val="bottom"/>
            <w:hideMark/>
          </w:tcPr>
          <w:p w14:paraId="09038585"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Cultural, sports and recreation services</w:t>
            </w:r>
          </w:p>
        </w:tc>
        <w:tc>
          <w:tcPr>
            <w:tcW w:w="2023" w:type="dxa"/>
            <w:shd w:val="clear" w:color="auto" w:fill="auto"/>
            <w:noWrap/>
            <w:vAlign w:val="bottom"/>
            <w:hideMark/>
          </w:tcPr>
          <w:p w14:paraId="6725F629" w14:textId="68D58140"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36,422</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36618199"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10%</w:t>
            </w:r>
          </w:p>
        </w:tc>
        <w:tc>
          <w:tcPr>
            <w:tcW w:w="2127" w:type="dxa"/>
          </w:tcPr>
          <w:p w14:paraId="2F23CAE3" w14:textId="553A2D6A"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664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1.9%)</w:t>
            </w:r>
          </w:p>
        </w:tc>
      </w:tr>
      <w:tr w:rsidR="006A12AE" w:rsidRPr="00E44BD5" w14:paraId="1DE97506" w14:textId="0A1131A7" w:rsidTr="00AF69C2">
        <w:trPr>
          <w:trHeight w:hRule="exact" w:val="340"/>
        </w:trPr>
        <w:tc>
          <w:tcPr>
            <w:tcW w:w="4351" w:type="dxa"/>
            <w:shd w:val="clear" w:color="auto" w:fill="auto"/>
            <w:noWrap/>
            <w:vAlign w:val="bottom"/>
            <w:hideMark/>
          </w:tcPr>
          <w:p w14:paraId="3554AAB1" w14:textId="50CBD55F"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 xml:space="preserve">Taxi </w:t>
            </w:r>
            <w:r w:rsidR="00B576F4">
              <w:rPr>
                <w:rFonts w:asciiTheme="minorHAnsi" w:eastAsia="Times New Roman" w:hAnsiTheme="minorHAnsi" w:cs="Calibri"/>
                <w:color w:val="000000"/>
                <w:lang w:eastAsia="en-AU"/>
              </w:rPr>
              <w:t>t</w:t>
            </w:r>
            <w:r w:rsidRPr="004C75AB">
              <w:rPr>
                <w:rFonts w:asciiTheme="minorHAnsi" w:eastAsia="Times New Roman" w:hAnsiTheme="minorHAnsi" w:cs="Calibri"/>
                <w:color w:val="000000"/>
                <w:lang w:eastAsia="en-AU"/>
              </w:rPr>
              <w:t>ransport</w:t>
            </w:r>
            <w:r w:rsidRPr="00370236">
              <w:rPr>
                <w:rFonts w:asciiTheme="minorHAnsi" w:eastAsia="Times New Roman" w:hAnsiTheme="minorHAnsi" w:cs="Calibri"/>
                <w:color w:val="000000"/>
                <w:vertAlign w:val="superscript"/>
                <w:lang w:eastAsia="en-AU"/>
              </w:rPr>
              <w:t>2</w:t>
            </w:r>
            <w:r w:rsidRPr="004C75AB">
              <w:rPr>
                <w:rFonts w:asciiTheme="minorHAnsi" w:eastAsia="Times New Roman" w:hAnsiTheme="minorHAnsi" w:cs="Calibri"/>
                <w:color w:val="000000"/>
                <w:lang w:eastAsia="en-AU"/>
              </w:rPr>
              <w:t xml:space="preserve"> </w:t>
            </w:r>
          </w:p>
        </w:tc>
        <w:tc>
          <w:tcPr>
            <w:tcW w:w="2023" w:type="dxa"/>
            <w:shd w:val="clear" w:color="auto" w:fill="auto"/>
            <w:noWrap/>
            <w:vAlign w:val="bottom"/>
            <w:hideMark/>
          </w:tcPr>
          <w:p w14:paraId="0C250F09" w14:textId="311DE18B"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34,704</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04BE91BB"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10%</w:t>
            </w:r>
          </w:p>
        </w:tc>
        <w:tc>
          <w:tcPr>
            <w:tcW w:w="2127" w:type="dxa"/>
          </w:tcPr>
          <w:p w14:paraId="50AA9B39" w14:textId="31318EA5"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-2,909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-7.7%)</w:t>
            </w:r>
          </w:p>
        </w:tc>
      </w:tr>
      <w:tr w:rsidR="006A12AE" w:rsidRPr="00E44BD5" w14:paraId="5A393660" w14:textId="3679BDAA" w:rsidTr="00AF69C2">
        <w:trPr>
          <w:trHeight w:hRule="exact" w:val="340"/>
        </w:trPr>
        <w:tc>
          <w:tcPr>
            <w:tcW w:w="4351" w:type="dxa"/>
            <w:shd w:val="clear" w:color="auto" w:fill="auto"/>
            <w:noWrap/>
            <w:vAlign w:val="bottom"/>
            <w:hideMark/>
          </w:tcPr>
          <w:p w14:paraId="203B229A"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Accommodation</w:t>
            </w:r>
          </w:p>
        </w:tc>
        <w:tc>
          <w:tcPr>
            <w:tcW w:w="2023" w:type="dxa"/>
            <w:shd w:val="clear" w:color="auto" w:fill="auto"/>
            <w:noWrap/>
            <w:vAlign w:val="bottom"/>
            <w:hideMark/>
          </w:tcPr>
          <w:p w14:paraId="17AB22FF" w14:textId="1E5DE9E1"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14,217</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1B6A5B31"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4%</w:t>
            </w:r>
          </w:p>
        </w:tc>
        <w:tc>
          <w:tcPr>
            <w:tcW w:w="2127" w:type="dxa"/>
          </w:tcPr>
          <w:p w14:paraId="776DFDCB" w14:textId="20C2EE4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-325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-2.2%)</w:t>
            </w:r>
          </w:p>
        </w:tc>
      </w:tr>
      <w:tr w:rsidR="006A12AE" w:rsidRPr="00E44BD5" w14:paraId="0C80CF0A" w14:textId="2B907593" w:rsidTr="00AF69C2">
        <w:trPr>
          <w:trHeight w:hRule="exact" w:val="340"/>
        </w:trPr>
        <w:tc>
          <w:tcPr>
            <w:tcW w:w="4351" w:type="dxa"/>
            <w:shd w:val="clear" w:color="auto" w:fill="auto"/>
            <w:noWrap/>
            <w:vAlign w:val="bottom"/>
            <w:hideMark/>
          </w:tcPr>
          <w:p w14:paraId="5FE7D6F7"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Travel agency and tour operator services</w:t>
            </w:r>
          </w:p>
        </w:tc>
        <w:tc>
          <w:tcPr>
            <w:tcW w:w="2023" w:type="dxa"/>
            <w:shd w:val="clear" w:color="auto" w:fill="auto"/>
            <w:noWrap/>
            <w:vAlign w:val="bottom"/>
            <w:hideMark/>
          </w:tcPr>
          <w:p w14:paraId="5C2EB69E" w14:textId="63F77EFC"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8,524</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0720B307"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2%</w:t>
            </w:r>
          </w:p>
        </w:tc>
        <w:tc>
          <w:tcPr>
            <w:tcW w:w="2127" w:type="dxa"/>
          </w:tcPr>
          <w:p w14:paraId="5FFB604B" w14:textId="2A1A700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-130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-1.5%)</w:t>
            </w:r>
          </w:p>
        </w:tc>
      </w:tr>
      <w:tr w:rsidR="006A12AE" w:rsidRPr="00E44BD5" w14:paraId="45E3D143" w14:textId="2630718B" w:rsidTr="00AF69C2">
        <w:trPr>
          <w:trHeight w:hRule="exact" w:val="340"/>
        </w:trPr>
        <w:tc>
          <w:tcPr>
            <w:tcW w:w="4351" w:type="dxa"/>
            <w:shd w:val="clear" w:color="auto" w:fill="auto"/>
            <w:noWrap/>
            <w:vAlign w:val="bottom"/>
            <w:hideMark/>
          </w:tcPr>
          <w:p w14:paraId="44936EA7"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Air, water and rail transport</w:t>
            </w:r>
          </w:p>
        </w:tc>
        <w:tc>
          <w:tcPr>
            <w:tcW w:w="2023" w:type="dxa"/>
            <w:shd w:val="clear" w:color="auto" w:fill="auto"/>
            <w:noWrap/>
            <w:vAlign w:val="bottom"/>
            <w:hideMark/>
          </w:tcPr>
          <w:p w14:paraId="6708C319" w14:textId="421B0B58"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5,765</w:t>
            </w:r>
            <w:r>
              <w:rPr>
                <w:rFonts w:asciiTheme="minorHAnsi" w:eastAsia="Times New Roman" w:hAnsiTheme="minorHAnsi" w:cs="Calibri"/>
                <w:color w:val="000000"/>
                <w:lang w:eastAsia="en-AU"/>
              </w:rPr>
              <w:t xml:space="preserve"> </w:t>
            </w:r>
          </w:p>
        </w:tc>
        <w:tc>
          <w:tcPr>
            <w:tcW w:w="1559" w:type="dxa"/>
            <w:shd w:val="clear" w:color="auto" w:fill="auto"/>
            <w:noWrap/>
            <w:vAlign w:val="bottom"/>
            <w:hideMark/>
          </w:tcPr>
          <w:p w14:paraId="56318C65"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2%</w:t>
            </w:r>
          </w:p>
        </w:tc>
        <w:tc>
          <w:tcPr>
            <w:tcW w:w="2127" w:type="dxa"/>
          </w:tcPr>
          <w:p w14:paraId="2B8095B9" w14:textId="71E3DF0D"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 xml:space="preserve">-146 </w:t>
            </w:r>
            <w:r w:rsidR="00537F37">
              <w:rPr>
                <w:rFonts w:asciiTheme="minorHAnsi" w:eastAsia="Times New Roman" w:hAnsiTheme="minorHAnsi" w:cs="Calibri"/>
                <w:color w:val="000000"/>
                <w:lang w:eastAsia="en-AU"/>
              </w:rPr>
              <w:t>(</w:t>
            </w:r>
            <w:r>
              <w:rPr>
                <w:rFonts w:asciiTheme="minorHAnsi" w:eastAsia="Times New Roman" w:hAnsiTheme="minorHAnsi" w:cs="Calibri"/>
                <w:color w:val="000000"/>
                <w:lang w:eastAsia="en-AU"/>
              </w:rPr>
              <w:t>-2.5%)</w:t>
            </w:r>
          </w:p>
        </w:tc>
      </w:tr>
      <w:tr w:rsidR="006A12AE" w:rsidRPr="00E44BD5" w14:paraId="6D8532EF" w14:textId="3A48CE91" w:rsidTr="00AF69C2">
        <w:trPr>
          <w:trHeight w:hRule="exact" w:val="340"/>
        </w:trPr>
        <w:tc>
          <w:tcPr>
            <w:tcW w:w="4351" w:type="dxa"/>
            <w:shd w:val="clear" w:color="auto" w:fill="auto"/>
            <w:noWrap/>
            <w:vAlign w:val="bottom"/>
            <w:hideMark/>
          </w:tcPr>
          <w:p w14:paraId="4FDFD79F"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 xml:space="preserve">Motor vehicle hiring </w:t>
            </w:r>
          </w:p>
        </w:tc>
        <w:tc>
          <w:tcPr>
            <w:tcW w:w="2023" w:type="dxa"/>
            <w:shd w:val="clear" w:color="auto" w:fill="auto"/>
            <w:noWrap/>
            <w:vAlign w:val="bottom"/>
            <w:hideMark/>
          </w:tcPr>
          <w:p w14:paraId="595FD842"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2,998</w:t>
            </w:r>
          </w:p>
        </w:tc>
        <w:tc>
          <w:tcPr>
            <w:tcW w:w="1559" w:type="dxa"/>
            <w:shd w:val="clear" w:color="auto" w:fill="auto"/>
            <w:noWrap/>
            <w:vAlign w:val="bottom"/>
            <w:hideMark/>
          </w:tcPr>
          <w:p w14:paraId="4CF85296"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w:t>
            </w:r>
          </w:p>
        </w:tc>
        <w:tc>
          <w:tcPr>
            <w:tcW w:w="2127" w:type="dxa"/>
          </w:tcPr>
          <w:p w14:paraId="1629668C" w14:textId="600F2E25" w:rsidR="006A12AE" w:rsidRPr="004C75AB" w:rsidRDefault="00537F37"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245 (8.9%)</w:t>
            </w:r>
          </w:p>
        </w:tc>
      </w:tr>
      <w:tr w:rsidR="006A12AE" w:rsidRPr="00E44BD5" w14:paraId="13640976" w14:textId="6C32D56E" w:rsidTr="00AF69C2">
        <w:trPr>
          <w:trHeight w:hRule="exact" w:val="340"/>
        </w:trPr>
        <w:tc>
          <w:tcPr>
            <w:tcW w:w="4351" w:type="dxa"/>
            <w:shd w:val="clear" w:color="auto" w:fill="auto"/>
            <w:noWrap/>
            <w:vAlign w:val="bottom"/>
            <w:hideMark/>
          </w:tcPr>
          <w:p w14:paraId="29FFF0FD" w14:textId="77777777" w:rsidR="006A12AE" w:rsidRPr="004C75AB" w:rsidRDefault="006A12AE" w:rsidP="00BA4F44">
            <w:pPr>
              <w:keepNext/>
              <w:keepLines/>
              <w:spacing w:before="0" w:after="0" w:line="240" w:lineRule="auto"/>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Casino and gambling services</w:t>
            </w:r>
          </w:p>
        </w:tc>
        <w:tc>
          <w:tcPr>
            <w:tcW w:w="2023" w:type="dxa"/>
            <w:shd w:val="clear" w:color="auto" w:fill="auto"/>
            <w:noWrap/>
            <w:vAlign w:val="bottom"/>
            <w:hideMark/>
          </w:tcPr>
          <w:p w14:paraId="5ACCDE9E"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1,227</w:t>
            </w:r>
          </w:p>
        </w:tc>
        <w:tc>
          <w:tcPr>
            <w:tcW w:w="1559" w:type="dxa"/>
            <w:shd w:val="clear" w:color="auto" w:fill="auto"/>
            <w:noWrap/>
            <w:vAlign w:val="bottom"/>
            <w:hideMark/>
          </w:tcPr>
          <w:p w14:paraId="008542E5" w14:textId="77777777" w:rsidR="006A12AE" w:rsidRPr="004C75AB" w:rsidRDefault="006A12AE" w:rsidP="00BA4F44">
            <w:pPr>
              <w:keepNext/>
              <w:keepLines/>
              <w:spacing w:before="0" w:after="0" w:line="240" w:lineRule="auto"/>
              <w:jc w:val="center"/>
              <w:rPr>
                <w:rFonts w:asciiTheme="minorHAnsi" w:eastAsia="Times New Roman" w:hAnsiTheme="minorHAnsi" w:cs="Calibri"/>
                <w:color w:val="000000"/>
                <w:lang w:eastAsia="en-AU"/>
              </w:rPr>
            </w:pPr>
            <w:r w:rsidRPr="004C75AB">
              <w:rPr>
                <w:rFonts w:asciiTheme="minorHAnsi" w:eastAsia="Times New Roman" w:hAnsiTheme="minorHAnsi" w:cs="Calibri"/>
                <w:color w:val="000000"/>
                <w:lang w:eastAsia="en-AU"/>
              </w:rPr>
              <w:t>0.3%</w:t>
            </w:r>
          </w:p>
        </w:tc>
        <w:tc>
          <w:tcPr>
            <w:tcW w:w="2127" w:type="dxa"/>
          </w:tcPr>
          <w:p w14:paraId="7532C9E7" w14:textId="2D0572C0" w:rsidR="006A12AE" w:rsidRPr="004C75AB" w:rsidRDefault="00537F37" w:rsidP="00BA4F44">
            <w:pPr>
              <w:keepNext/>
              <w:keepLines/>
              <w:spacing w:before="0" w:after="0" w:line="240" w:lineRule="auto"/>
              <w:jc w:val="center"/>
              <w:rPr>
                <w:rFonts w:asciiTheme="minorHAnsi" w:eastAsia="Times New Roman" w:hAnsiTheme="minorHAnsi" w:cs="Calibri"/>
                <w:color w:val="000000"/>
                <w:lang w:eastAsia="en-AU"/>
              </w:rPr>
            </w:pPr>
            <w:r>
              <w:rPr>
                <w:rFonts w:asciiTheme="minorHAnsi" w:eastAsia="Times New Roman" w:hAnsiTheme="minorHAnsi" w:cs="Calibri"/>
                <w:color w:val="000000"/>
                <w:lang w:eastAsia="en-AU"/>
              </w:rPr>
              <w:t>-64 (-5.0%)</w:t>
            </w:r>
          </w:p>
        </w:tc>
      </w:tr>
      <w:tr w:rsidR="006A12AE" w:rsidRPr="002C1317" w14:paraId="3D03F876" w14:textId="2B858CF7" w:rsidTr="00AF69C2">
        <w:trPr>
          <w:trHeight w:val="300"/>
        </w:trPr>
        <w:tc>
          <w:tcPr>
            <w:tcW w:w="4351" w:type="dxa"/>
            <w:shd w:val="clear" w:color="auto" w:fill="2E1A47" w:themeFill="accent2"/>
            <w:noWrap/>
            <w:vAlign w:val="bottom"/>
            <w:hideMark/>
          </w:tcPr>
          <w:p w14:paraId="7FCBA52B" w14:textId="77777777" w:rsidR="006A12AE" w:rsidRPr="002C1317" w:rsidRDefault="006A12AE">
            <w:pPr>
              <w:spacing w:after="0" w:line="240" w:lineRule="auto"/>
              <w:rPr>
                <w:rFonts w:eastAsia="Times New Roman" w:cs="Calibri"/>
                <w:b/>
                <w:color w:val="FFFFFF" w:themeColor="background1"/>
                <w:lang w:eastAsia="en-AU"/>
              </w:rPr>
            </w:pPr>
            <w:r w:rsidRPr="002C1317">
              <w:rPr>
                <w:rFonts w:eastAsia="Times New Roman" w:cs="Calibri"/>
                <w:b/>
                <w:color w:val="FFFFFF" w:themeColor="background1"/>
                <w:lang w:eastAsia="en-AU"/>
              </w:rPr>
              <w:t>Grand total</w:t>
            </w:r>
          </w:p>
        </w:tc>
        <w:tc>
          <w:tcPr>
            <w:tcW w:w="2023" w:type="dxa"/>
            <w:shd w:val="clear" w:color="auto" w:fill="2E1A47" w:themeFill="accent2"/>
            <w:noWrap/>
            <w:vAlign w:val="bottom"/>
            <w:hideMark/>
          </w:tcPr>
          <w:p w14:paraId="428C5BE5" w14:textId="77777777" w:rsidR="006A12AE" w:rsidRPr="002C1317" w:rsidRDefault="006A12AE">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355,570</w:t>
            </w:r>
          </w:p>
        </w:tc>
        <w:tc>
          <w:tcPr>
            <w:tcW w:w="1559" w:type="dxa"/>
            <w:shd w:val="clear" w:color="auto" w:fill="2E1A47" w:themeFill="accent2"/>
            <w:noWrap/>
            <w:vAlign w:val="bottom"/>
            <w:hideMark/>
          </w:tcPr>
          <w:p w14:paraId="1DAE2667" w14:textId="77777777" w:rsidR="006A12AE" w:rsidRPr="002C1317" w:rsidRDefault="006A12AE">
            <w:pPr>
              <w:spacing w:after="0" w:line="240" w:lineRule="auto"/>
              <w:jc w:val="center"/>
              <w:rPr>
                <w:rFonts w:eastAsia="Times New Roman" w:cs="Calibri"/>
                <w:b/>
                <w:color w:val="FFFFFF" w:themeColor="background1"/>
                <w:lang w:eastAsia="en-AU"/>
              </w:rPr>
            </w:pPr>
            <w:r w:rsidRPr="002C1317">
              <w:rPr>
                <w:rFonts w:eastAsia="Times New Roman" w:cs="Calibri"/>
                <w:b/>
                <w:color w:val="FFFFFF" w:themeColor="background1"/>
                <w:lang w:eastAsia="en-AU"/>
              </w:rPr>
              <w:t>100%</w:t>
            </w:r>
          </w:p>
        </w:tc>
        <w:tc>
          <w:tcPr>
            <w:tcW w:w="2127" w:type="dxa"/>
            <w:shd w:val="clear" w:color="auto" w:fill="2E1A47" w:themeFill="accent2"/>
          </w:tcPr>
          <w:p w14:paraId="3D7D9874" w14:textId="097C7432" w:rsidR="006A12AE" w:rsidRPr="002C1317" w:rsidRDefault="00B576F4">
            <w:pPr>
              <w:spacing w:after="0" w:line="240" w:lineRule="auto"/>
              <w:jc w:val="center"/>
              <w:rPr>
                <w:rFonts w:eastAsia="Times New Roman" w:cs="Calibri"/>
                <w:b/>
                <w:color w:val="FFFFFF" w:themeColor="background1"/>
                <w:lang w:eastAsia="en-AU"/>
              </w:rPr>
            </w:pPr>
            <w:r>
              <w:rPr>
                <w:rFonts w:eastAsia="Times New Roman" w:cs="Calibri"/>
                <w:b/>
                <w:color w:val="FFFFFF" w:themeColor="background1"/>
                <w:lang w:eastAsia="en-AU"/>
              </w:rPr>
              <w:t>-5,262 (-1.5%)</w:t>
            </w:r>
          </w:p>
        </w:tc>
      </w:tr>
    </w:tbl>
    <w:p w14:paraId="5C5FA5CD" w14:textId="77777777" w:rsidR="00FD6A38" w:rsidRPr="00370236" w:rsidRDefault="00FD6A38" w:rsidP="00B546A2">
      <w:pPr>
        <w:pStyle w:val="ListParagraph"/>
        <w:numPr>
          <w:ilvl w:val="0"/>
          <w:numId w:val="32"/>
        </w:numPr>
        <w:spacing w:before="0" w:after="0" w:line="259" w:lineRule="auto"/>
        <w:ind w:left="714" w:hanging="357"/>
        <w:contextualSpacing w:val="0"/>
        <w:textAlignment w:val="baseline"/>
        <w:rPr>
          <w:rFonts w:asciiTheme="majorHAnsi" w:hAnsiTheme="majorHAnsi"/>
          <w:i/>
          <w:iCs/>
          <w:sz w:val="16"/>
          <w:szCs w:val="16"/>
        </w:rPr>
      </w:pPr>
      <w:r w:rsidRPr="00370236">
        <w:rPr>
          <w:rFonts w:asciiTheme="majorHAnsi" w:hAnsiTheme="majorHAnsi"/>
          <w:i/>
          <w:iCs/>
          <w:sz w:val="16"/>
          <w:szCs w:val="16"/>
        </w:rPr>
        <w:t>Includes pubs, clubs, taverns and bars.</w:t>
      </w:r>
    </w:p>
    <w:p w14:paraId="5C6888A1" w14:textId="77777777" w:rsidR="00FD6A38" w:rsidRPr="00370236" w:rsidRDefault="00FD6A38" w:rsidP="00B546A2">
      <w:pPr>
        <w:pStyle w:val="ListParagraph"/>
        <w:numPr>
          <w:ilvl w:val="0"/>
          <w:numId w:val="32"/>
        </w:numPr>
        <w:spacing w:before="0" w:after="0" w:line="259" w:lineRule="auto"/>
        <w:ind w:left="714" w:hanging="357"/>
        <w:contextualSpacing w:val="0"/>
        <w:textAlignment w:val="baseline"/>
        <w:rPr>
          <w:rFonts w:asciiTheme="majorHAnsi" w:hAnsiTheme="majorHAnsi"/>
          <w:i/>
          <w:sz w:val="16"/>
          <w:szCs w:val="16"/>
        </w:rPr>
      </w:pPr>
      <w:r>
        <w:rPr>
          <w:rFonts w:asciiTheme="majorHAnsi" w:hAnsiTheme="majorHAnsi"/>
          <w:i/>
          <w:sz w:val="16"/>
          <w:szCs w:val="16"/>
        </w:rPr>
        <w:t>Includes ride-sharing services.</w:t>
      </w:r>
    </w:p>
    <w:p w14:paraId="62902550" w14:textId="1E3C0459" w:rsidR="00124DC4" w:rsidRDefault="00ED20BC" w:rsidP="0076092A">
      <w:r>
        <w:t>The tourism sector is</w:t>
      </w:r>
      <w:r w:rsidR="00907A03">
        <w:t xml:space="preserve"> predominantly </w:t>
      </w:r>
      <w:r>
        <w:t xml:space="preserve">made up of </w:t>
      </w:r>
      <w:r w:rsidR="00907A03">
        <w:t xml:space="preserve">small </w:t>
      </w:r>
      <w:r w:rsidR="007A327F">
        <w:t>businesses</w:t>
      </w:r>
      <w:r>
        <w:t>,</w:t>
      </w:r>
      <w:r w:rsidR="007A327F">
        <w:t xml:space="preserve"> </w:t>
      </w:r>
      <w:r w:rsidR="004F6F6A">
        <w:t xml:space="preserve">with </w:t>
      </w:r>
      <w:r w:rsidR="00F81204">
        <w:t xml:space="preserve">95% of tourism businesses </w:t>
      </w:r>
      <w:r>
        <w:t xml:space="preserve">in 2023 </w:t>
      </w:r>
      <w:r w:rsidR="00F81204">
        <w:t>employ</w:t>
      </w:r>
      <w:r w:rsidR="2715EFFD">
        <w:t>ing</w:t>
      </w:r>
      <w:r w:rsidR="00F81204">
        <w:t xml:space="preserve"> fewer than 20 people</w:t>
      </w:r>
      <w:r w:rsidR="007A327F">
        <w:t xml:space="preserve">. </w:t>
      </w:r>
      <w:r w:rsidR="00124DC4" w:rsidRPr="004C75AB">
        <w:t xml:space="preserve">The largest groups of tourism-related businesses </w:t>
      </w:r>
      <w:r w:rsidR="00F81204">
        <w:t>were</w:t>
      </w:r>
      <w:r w:rsidR="00124DC4" w:rsidRPr="004C75AB">
        <w:t xml:space="preserve"> non-employing </w:t>
      </w:r>
      <w:r w:rsidR="00124DC4">
        <w:t>businesses and</w:t>
      </w:r>
      <w:r w:rsidR="00124DC4" w:rsidRPr="004C75AB">
        <w:t xml:space="preserve"> micro</w:t>
      </w:r>
      <w:r w:rsidR="00124DC4">
        <w:t xml:space="preserve"> businesses</w:t>
      </w:r>
      <w:r w:rsidR="00124DC4" w:rsidRPr="004C75AB">
        <w:t>. Taken together, 78% of tourism-related businesses employ</w:t>
      </w:r>
      <w:r w:rsidR="007A327F">
        <w:t>ed</w:t>
      </w:r>
      <w:r w:rsidR="00124DC4" w:rsidRPr="004C75AB">
        <w:t xml:space="preserve"> fewer than 5 people</w:t>
      </w:r>
      <w:r w:rsidR="5220860C">
        <w:t>;</w:t>
      </w:r>
      <w:r w:rsidR="00124DC4" w:rsidRPr="004C75AB">
        <w:t xml:space="preserve"> 5% </w:t>
      </w:r>
      <w:r w:rsidR="000362FC">
        <w:t xml:space="preserve">of tourism businesses </w:t>
      </w:r>
      <w:r w:rsidR="00124DC4" w:rsidRPr="004C75AB">
        <w:t>employ</w:t>
      </w:r>
      <w:r w:rsidR="007A327F">
        <w:t>ed</w:t>
      </w:r>
      <w:r w:rsidR="00124DC4" w:rsidRPr="004C75AB">
        <w:t xml:space="preserve"> between 20 </w:t>
      </w:r>
      <w:r w:rsidR="000362FC">
        <w:t>and</w:t>
      </w:r>
      <w:r w:rsidR="00124DC4" w:rsidRPr="004C75AB">
        <w:t xml:space="preserve"> 199 people</w:t>
      </w:r>
      <w:r w:rsidR="769BBA3E">
        <w:t>;</w:t>
      </w:r>
      <w:r w:rsidR="00124DC4" w:rsidRPr="004C75AB">
        <w:t xml:space="preserve"> and only 0.3% employ</w:t>
      </w:r>
      <w:r w:rsidR="007A327F">
        <w:t>ed</w:t>
      </w:r>
      <w:r w:rsidR="00124DC4" w:rsidRPr="004C75AB">
        <w:t xml:space="preserve"> over 200 people.</w:t>
      </w:r>
      <w:r w:rsidR="004451DF">
        <w:t xml:space="preserve"> The decline in tourism business number</w:t>
      </w:r>
      <w:r w:rsidR="002A3974">
        <w:t>s</w:t>
      </w:r>
      <w:r w:rsidR="004451DF">
        <w:t xml:space="preserve"> between 2022 and 2023 was </w:t>
      </w:r>
      <w:r w:rsidR="00973FDF">
        <w:t>most prominent</w:t>
      </w:r>
      <w:r w:rsidR="004451DF">
        <w:t xml:space="preserve"> in the micro business sector (1</w:t>
      </w:r>
      <w:r w:rsidR="007F5DA7">
        <w:noBreakHyphen/>
      </w:r>
      <w:r w:rsidR="004451DF">
        <w:t>4</w:t>
      </w:r>
      <w:r w:rsidR="007F5DA7">
        <w:t> </w:t>
      </w:r>
      <w:r w:rsidR="004D5903">
        <w:t xml:space="preserve">employees), </w:t>
      </w:r>
      <w:r w:rsidR="004124C3">
        <w:t>where business numbers</w:t>
      </w:r>
      <w:r w:rsidR="004D5903">
        <w:t xml:space="preserve"> declined by </w:t>
      </w:r>
      <w:r w:rsidR="004124C3">
        <w:t>8,598 (</w:t>
      </w:r>
      <w:r w:rsidR="004D5903">
        <w:t>7.7%</w:t>
      </w:r>
      <w:r w:rsidR="004124C3">
        <w:t>) while all other categories increased in number over the year.</w:t>
      </w:r>
    </w:p>
    <w:p w14:paraId="00046CB0" w14:textId="610880A4" w:rsidR="006E725C" w:rsidRDefault="006E725C" w:rsidP="006E725C">
      <w:pPr>
        <w:rPr>
          <w:color w:val="auto"/>
        </w:rPr>
      </w:pPr>
      <w:r>
        <w:t xml:space="preserve">Although most tourism-related businesses are either non-employing or micro (1-4 employees), the tourism industry </w:t>
      </w:r>
      <w:proofErr w:type="gramStart"/>
      <w:r>
        <w:t>as a whole actually</w:t>
      </w:r>
      <w:proofErr w:type="gramEnd"/>
      <w:r>
        <w:t xml:space="preserve"> contains a larger proportion of businesses that employ 5</w:t>
      </w:r>
      <w:r w:rsidR="002A3974">
        <w:t> </w:t>
      </w:r>
      <w:r>
        <w:t>or more people than Australian businesses generally. For example, 22% of tourism-related businesses employ 5 or more people compared with only 11% for Australian businesses from all industries taken together.</w:t>
      </w:r>
    </w:p>
    <w:p w14:paraId="0F271D8A" w14:textId="160DB1FF" w:rsidR="00C34B2D" w:rsidRDefault="00C34B2D" w:rsidP="00BE04F9">
      <w:r w:rsidRPr="004C75AB">
        <w:t>70</w:t>
      </w:r>
      <w:r>
        <w:t>%</w:t>
      </w:r>
      <w:r w:rsidR="319EF57C">
        <w:t xml:space="preserve"> or</w:t>
      </w:r>
      <w:r w:rsidR="00652138">
        <w:t xml:space="preserve"> </w:t>
      </w:r>
      <w:r w:rsidR="00652138" w:rsidRPr="004C75AB">
        <w:t>248,551</w:t>
      </w:r>
      <w:r w:rsidR="00910F19">
        <w:t xml:space="preserve"> </w:t>
      </w:r>
      <w:r w:rsidRPr="004C75AB">
        <w:t xml:space="preserve">of Australia’s tourism-related businesses </w:t>
      </w:r>
      <w:proofErr w:type="gramStart"/>
      <w:r w:rsidR="00EF14F1">
        <w:t>were</w:t>
      </w:r>
      <w:r w:rsidRPr="004C75AB">
        <w:t xml:space="preserve"> located in</w:t>
      </w:r>
      <w:proofErr w:type="gramEnd"/>
      <w:r w:rsidRPr="004C75AB">
        <w:t xml:space="preserve"> capital cities</w:t>
      </w:r>
      <w:r>
        <w:t>,</w:t>
      </w:r>
      <w:r w:rsidRPr="004C75AB">
        <w:t xml:space="preserve"> while 30</w:t>
      </w:r>
      <w:r>
        <w:t>%</w:t>
      </w:r>
      <w:r w:rsidR="0AF32353">
        <w:t xml:space="preserve">, or </w:t>
      </w:r>
      <w:r w:rsidR="00652138" w:rsidRPr="004C75AB">
        <w:t>107,019</w:t>
      </w:r>
      <w:r w:rsidR="00652138">
        <w:t xml:space="preserve"> </w:t>
      </w:r>
      <w:r w:rsidR="00EF14F1">
        <w:t>were</w:t>
      </w:r>
      <w:r w:rsidRPr="004C75AB">
        <w:t xml:space="preserve"> in regional areas.</w:t>
      </w:r>
      <w:r w:rsidR="00137968">
        <w:t xml:space="preserve"> In 2023, the number of tourism businesses declined </w:t>
      </w:r>
      <w:r w:rsidR="3400DD6B">
        <w:t xml:space="preserve">by 0.7% </w:t>
      </w:r>
      <w:r w:rsidR="00137968">
        <w:t xml:space="preserve">in regional Australia and </w:t>
      </w:r>
      <w:r w:rsidR="4B1A4045">
        <w:t xml:space="preserve">by 1.8% </w:t>
      </w:r>
      <w:r w:rsidR="00137968">
        <w:t>in the capital cities</w:t>
      </w:r>
      <w:r w:rsidR="00652138">
        <w:t>.</w:t>
      </w:r>
      <w:r w:rsidRPr="004C75AB">
        <w:t xml:space="preserve"> </w:t>
      </w:r>
      <w:r>
        <w:t>C</w:t>
      </w:r>
      <w:r w:rsidRPr="004C75AB">
        <w:t>apital cities ha</w:t>
      </w:r>
      <w:r w:rsidR="00652138">
        <w:t>d</w:t>
      </w:r>
      <w:r w:rsidRPr="004C75AB">
        <w:t xml:space="preserve"> one tourism business for every 68 residents</w:t>
      </w:r>
      <w:r>
        <w:t>,</w:t>
      </w:r>
      <w:r w:rsidRPr="004C75AB">
        <w:t xml:space="preserve"> which </w:t>
      </w:r>
      <w:r w:rsidR="00652138">
        <w:t>wa</w:t>
      </w:r>
      <w:r w:rsidRPr="004C75AB">
        <w:t xml:space="preserve">s a higher rate than </w:t>
      </w:r>
      <w:r>
        <w:t xml:space="preserve">in </w:t>
      </w:r>
      <w:r w:rsidRPr="004C75AB">
        <w:t>regional areas</w:t>
      </w:r>
      <w:r>
        <w:t>, where there is one tourism business for every 85 residents</w:t>
      </w:r>
      <w:r w:rsidRPr="004C75AB">
        <w:t xml:space="preserve">. </w:t>
      </w:r>
    </w:p>
    <w:p w14:paraId="6F46995E" w14:textId="0672317F" w:rsidR="0050755D" w:rsidRPr="00BB1EE1" w:rsidRDefault="0050755D" w:rsidP="0050755D">
      <w:pPr>
        <w:pStyle w:val="Heading4"/>
      </w:pPr>
      <w:r>
        <w:t>Change</w:t>
      </w:r>
      <w:r w:rsidRPr="00BB1EE1">
        <w:t xml:space="preserve"> by state</w:t>
      </w:r>
      <w:r w:rsidR="00106F64">
        <w:t>/</w:t>
      </w:r>
      <w:proofErr w:type="gramStart"/>
      <w:r w:rsidR="00106F64">
        <w:t>territory</w:t>
      </w:r>
      <w:proofErr w:type="gramEnd"/>
    </w:p>
    <w:p w14:paraId="7F12AAF3" w14:textId="121CD55E" w:rsidR="008D0C10" w:rsidRDefault="0050755D" w:rsidP="0050755D">
      <w:r w:rsidRPr="00EC6215">
        <w:t xml:space="preserve">Tourism business numbers </w:t>
      </w:r>
      <w:r w:rsidR="008D0C10">
        <w:t xml:space="preserve">rose </w:t>
      </w:r>
      <w:r w:rsidR="00017CA7" w:rsidRPr="00EC6215">
        <w:t xml:space="preserve">across </w:t>
      </w:r>
      <w:r w:rsidR="007B438D">
        <w:t>all</w:t>
      </w:r>
      <w:r w:rsidR="00017CA7" w:rsidRPr="00EC6215">
        <w:t xml:space="preserve"> states and territories between June 2018 and June 2023</w:t>
      </w:r>
      <w:r w:rsidR="00017CA7">
        <w:t xml:space="preserve">, </w:t>
      </w:r>
      <w:r w:rsidR="00536752">
        <w:t>and Victoria recorded</w:t>
      </w:r>
      <w:r w:rsidR="00017CA7">
        <w:t xml:space="preserve"> the </w:t>
      </w:r>
      <w:r w:rsidR="00536752">
        <w:t xml:space="preserve">highest </w:t>
      </w:r>
      <w:r w:rsidR="00017CA7">
        <w:t>average annual growth rate, followed by</w:t>
      </w:r>
      <w:r w:rsidR="00415CA5">
        <w:t xml:space="preserve"> the ACT and NT (Figure</w:t>
      </w:r>
      <w:r w:rsidR="0011653D">
        <w:t> </w:t>
      </w:r>
      <w:r w:rsidR="000A56BB">
        <w:t>37</w:t>
      </w:r>
      <w:r w:rsidR="00415CA5">
        <w:t xml:space="preserve">). All states </w:t>
      </w:r>
      <w:r w:rsidR="00415CA5" w:rsidRPr="00EC6215">
        <w:t>and territories</w:t>
      </w:r>
      <w:r w:rsidR="00415CA5">
        <w:t xml:space="preserve"> then saw a decline in the number of tourism businesses in the year to June 2023</w:t>
      </w:r>
      <w:r w:rsidR="0011653D">
        <w:t xml:space="preserve"> except for the ACT</w:t>
      </w:r>
      <w:r w:rsidR="00131710">
        <w:t xml:space="preserve">, </w:t>
      </w:r>
      <w:r w:rsidR="0011653D">
        <w:t>Queensland</w:t>
      </w:r>
      <w:r w:rsidR="00131710">
        <w:t>, and WA</w:t>
      </w:r>
      <w:r w:rsidR="0011653D">
        <w:t>. Victoria recorded the largest decline in business numbers in the year to June 2023.</w:t>
      </w:r>
    </w:p>
    <w:p w14:paraId="5AC4DF5C" w14:textId="77777777" w:rsidR="000A51B5" w:rsidRDefault="000A51B5" w:rsidP="0050755D"/>
    <w:p w14:paraId="6606D728" w14:textId="77777777" w:rsidR="000A51B5" w:rsidRDefault="000A51B5" w:rsidP="0050755D"/>
    <w:p w14:paraId="347D5F0A" w14:textId="6F8A61F3" w:rsidR="0050755D" w:rsidRPr="006E725C" w:rsidRDefault="006715A9" w:rsidP="006E725C">
      <w:pPr>
        <w:pStyle w:val="Caption"/>
        <w:keepNext/>
        <w:spacing w:line="300" w:lineRule="atLeast"/>
        <w:rPr>
          <w:rFonts w:asciiTheme="majorHAnsi" w:hAnsiTheme="majorHAnsi"/>
          <w:i w:val="0"/>
          <w:iCs w:val="0"/>
          <w:sz w:val="20"/>
          <w:szCs w:val="20"/>
        </w:rPr>
      </w:pPr>
      <w:r>
        <w:rPr>
          <w:b/>
          <w:bCs/>
          <w:i w:val="0"/>
          <w:iCs w:val="0"/>
          <w:sz w:val="20"/>
          <w:szCs w:val="20"/>
        </w:rPr>
        <w:lastRenderedPageBreak/>
        <w:t xml:space="preserve">Figure </w:t>
      </w:r>
      <w:r w:rsidR="000A56BB">
        <w:rPr>
          <w:b/>
          <w:bCs/>
          <w:i w:val="0"/>
          <w:iCs w:val="0"/>
          <w:sz w:val="20"/>
          <w:szCs w:val="20"/>
        </w:rPr>
        <w:t>37</w:t>
      </w:r>
      <w:r w:rsidR="0050755D" w:rsidRPr="00D80D34">
        <w:rPr>
          <w:rFonts w:asciiTheme="majorHAnsi" w:hAnsiTheme="majorHAnsi"/>
          <w:i w:val="0"/>
          <w:iCs w:val="0"/>
          <w:sz w:val="20"/>
          <w:szCs w:val="20"/>
        </w:rPr>
        <w:t xml:space="preserve">: </w:t>
      </w:r>
      <w:r w:rsidR="0050755D">
        <w:rPr>
          <w:rFonts w:asciiTheme="majorHAnsi" w:hAnsiTheme="majorHAnsi"/>
          <w:i w:val="0"/>
          <w:iCs w:val="0"/>
          <w:sz w:val="20"/>
          <w:szCs w:val="20"/>
        </w:rPr>
        <w:t>Change</w:t>
      </w:r>
      <w:r w:rsidR="0050755D" w:rsidRPr="00D80D34">
        <w:rPr>
          <w:rFonts w:asciiTheme="majorHAnsi" w:hAnsiTheme="majorHAnsi"/>
          <w:i w:val="0"/>
          <w:iCs w:val="0"/>
          <w:sz w:val="20"/>
          <w:szCs w:val="20"/>
        </w:rPr>
        <w:t xml:space="preserve"> in </w:t>
      </w:r>
      <w:r w:rsidR="0050755D">
        <w:rPr>
          <w:rFonts w:asciiTheme="majorHAnsi" w:hAnsiTheme="majorHAnsi"/>
          <w:i w:val="0"/>
          <w:iCs w:val="0"/>
          <w:sz w:val="20"/>
          <w:szCs w:val="20"/>
        </w:rPr>
        <w:t xml:space="preserve">the number of </w:t>
      </w:r>
      <w:r w:rsidR="0050755D" w:rsidRPr="00D80D34">
        <w:rPr>
          <w:rFonts w:asciiTheme="majorHAnsi" w:hAnsiTheme="majorHAnsi"/>
          <w:i w:val="0"/>
          <w:iCs w:val="0"/>
          <w:sz w:val="20"/>
          <w:szCs w:val="20"/>
        </w:rPr>
        <w:t>tourism related businesses by state</w:t>
      </w:r>
      <w:r w:rsidR="00113063">
        <w:rPr>
          <w:rFonts w:asciiTheme="majorHAnsi" w:hAnsiTheme="majorHAnsi"/>
          <w:i w:val="0"/>
          <w:iCs w:val="0"/>
          <w:sz w:val="20"/>
          <w:szCs w:val="20"/>
        </w:rPr>
        <w:t>/</w:t>
      </w:r>
      <w:r w:rsidR="0050755D">
        <w:rPr>
          <w:rFonts w:asciiTheme="majorHAnsi" w:hAnsiTheme="majorHAnsi"/>
          <w:i w:val="0"/>
          <w:iCs w:val="0"/>
          <w:sz w:val="20"/>
          <w:szCs w:val="20"/>
        </w:rPr>
        <w:t>territory</w:t>
      </w:r>
      <w:r w:rsidR="00113063">
        <w:rPr>
          <w:rFonts w:asciiTheme="majorHAnsi" w:hAnsiTheme="majorHAnsi"/>
          <w:i w:val="0"/>
          <w:iCs w:val="0"/>
          <w:sz w:val="20"/>
          <w:szCs w:val="20"/>
        </w:rPr>
        <w:t>, 2023 compared with 2018 (5</w:t>
      </w:r>
      <w:r>
        <w:rPr>
          <w:rFonts w:asciiTheme="majorHAnsi" w:hAnsiTheme="majorHAnsi"/>
          <w:i w:val="0"/>
          <w:iCs w:val="0"/>
          <w:sz w:val="20"/>
          <w:szCs w:val="20"/>
        </w:rPr>
        <w:t>-</w:t>
      </w:r>
      <w:r w:rsidR="00113063">
        <w:rPr>
          <w:rFonts w:asciiTheme="majorHAnsi" w:hAnsiTheme="majorHAnsi"/>
          <w:i w:val="0"/>
          <w:iCs w:val="0"/>
          <w:sz w:val="20"/>
          <w:szCs w:val="20"/>
        </w:rPr>
        <w:t xml:space="preserve">year annual average growth rate) and with 2022 </w:t>
      </w:r>
      <w:r>
        <w:rPr>
          <w:rFonts w:asciiTheme="majorHAnsi" w:hAnsiTheme="majorHAnsi"/>
          <w:i w:val="0"/>
          <w:iCs w:val="0"/>
          <w:sz w:val="20"/>
          <w:szCs w:val="20"/>
        </w:rPr>
        <w:t>(change over the year).</w:t>
      </w:r>
      <w:r w:rsidR="00113063">
        <w:rPr>
          <w:rFonts w:asciiTheme="majorHAnsi" w:hAnsiTheme="majorHAnsi"/>
          <w:i w:val="0"/>
          <w:iCs w:val="0"/>
          <w:sz w:val="20"/>
          <w:szCs w:val="20"/>
        </w:rPr>
        <w:t xml:space="preserve"> </w:t>
      </w:r>
    </w:p>
    <w:p w14:paraId="302E9FB2" w14:textId="1636062C" w:rsidR="00F04FFF" w:rsidRDefault="00F04FFF" w:rsidP="0050755D">
      <w:pPr>
        <w:spacing w:line="300" w:lineRule="atLeast"/>
      </w:pPr>
      <w:r w:rsidRPr="00F04FFF">
        <w:rPr>
          <w:noProof/>
        </w:rPr>
        <w:drawing>
          <wp:inline distT="0" distB="0" distL="0" distR="0" wp14:anchorId="48F591BA" wp14:editId="1CFAD368">
            <wp:extent cx="6172200" cy="3371850"/>
            <wp:effectExtent l="0" t="0" r="0" b="0"/>
            <wp:docPr id="689180191" name="Picture 2" descr="Figure 37 shows a bar chart with the change in the number of tourism related businesses by state/territory for 2023 compared with 2018 (5-year annual average growth rate) and with 2022 (change over the year). Over the 5 year period, all states and territories saw growth, but over the past year there was some variation in the change in the number of tourism businesses across the states/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80191" name="Picture 2" descr="Figure 37 shows a bar chart with the change in the number of tourism related businesses by state/territory for 2023 compared with 2018 (5-year annual average growth rate) and with 2022 (change over the year). Over the 5 year period, all states and territories saw growth, but over the past year there was some variation in the change in the number of tourism businesses across the states/territori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72200" cy="3371850"/>
                    </a:xfrm>
                    <a:prstGeom prst="rect">
                      <a:avLst/>
                    </a:prstGeom>
                    <a:noFill/>
                    <a:ln>
                      <a:noFill/>
                    </a:ln>
                  </pic:spPr>
                </pic:pic>
              </a:graphicData>
            </a:graphic>
          </wp:inline>
        </w:drawing>
      </w:r>
    </w:p>
    <w:p w14:paraId="1E615430" w14:textId="77777777" w:rsidR="00BA0140" w:rsidRDefault="00BA0140" w:rsidP="00BA0140">
      <w:pPr>
        <w:pStyle w:val="Heading3"/>
        <w:rPr>
          <w:lang w:eastAsia="zh-CN"/>
        </w:rPr>
      </w:pPr>
      <w:bookmarkStart w:id="89" w:name="_Toc131073764"/>
      <w:bookmarkStart w:id="90" w:name="_Toc135990468"/>
      <w:bookmarkStart w:id="91" w:name="_Toc167113894"/>
      <w:r>
        <w:rPr>
          <w:lang w:eastAsia="zh-CN"/>
        </w:rPr>
        <w:t>Investment</w:t>
      </w:r>
      <w:bookmarkEnd w:id="89"/>
      <w:bookmarkEnd w:id="90"/>
      <w:bookmarkEnd w:id="91"/>
    </w:p>
    <w:p w14:paraId="1571A93E" w14:textId="422039C9" w:rsidR="008537F7" w:rsidRDefault="008537F7" w:rsidP="008537F7">
      <w:pPr>
        <w:rPr>
          <w:rFonts w:eastAsia="Verdana" w:cs="Verdana"/>
        </w:rPr>
      </w:pPr>
      <w:r>
        <w:rPr>
          <w:rFonts w:eastAsia="Verdana" w:cs="Verdana"/>
        </w:rPr>
        <w:t>In line with growing demand for tourism and a positive medium</w:t>
      </w:r>
      <w:r w:rsidR="56C0B358" w:rsidRPr="256A9AFC">
        <w:rPr>
          <w:rFonts w:eastAsia="Verdana" w:cs="Verdana"/>
        </w:rPr>
        <w:t>-</w:t>
      </w:r>
      <w:r>
        <w:rPr>
          <w:rFonts w:eastAsia="Verdana" w:cs="Verdana"/>
        </w:rPr>
        <w:t>to</w:t>
      </w:r>
      <w:r w:rsidR="1249863C" w:rsidRPr="256A9AFC">
        <w:rPr>
          <w:rFonts w:eastAsia="Verdana" w:cs="Verdana"/>
        </w:rPr>
        <w:t>-</w:t>
      </w:r>
      <w:r>
        <w:rPr>
          <w:rFonts w:eastAsia="Verdana" w:cs="Verdana"/>
        </w:rPr>
        <w:t xml:space="preserve">long-term outlook, investment in Australia’s tourism sector </w:t>
      </w:r>
      <w:r w:rsidR="6E38C285" w:rsidRPr="256A9AFC">
        <w:rPr>
          <w:rFonts w:eastAsia="Verdana" w:cs="Verdana"/>
        </w:rPr>
        <w:t xml:space="preserve">continued to </w:t>
      </w:r>
      <w:r w:rsidR="6E38C285" w:rsidRPr="1AD8DF68">
        <w:rPr>
          <w:rFonts w:eastAsia="Verdana" w:cs="Verdana"/>
        </w:rPr>
        <w:t xml:space="preserve">grow </w:t>
      </w:r>
      <w:r w:rsidRPr="1AD8DF68">
        <w:rPr>
          <w:rFonts w:eastAsia="Verdana" w:cs="Verdana"/>
        </w:rPr>
        <w:t>in</w:t>
      </w:r>
      <w:r w:rsidRPr="256A9AFC">
        <w:rPr>
          <w:rFonts w:eastAsia="Verdana" w:cs="Verdana"/>
        </w:rPr>
        <w:t xml:space="preserve"> 2022-23.</w:t>
      </w:r>
      <w:r w:rsidRPr="00004BB1">
        <w:rPr>
          <w:rFonts w:eastAsia="Verdana" w:cs="Verdana"/>
        </w:rPr>
        <w:t xml:space="preserve"> </w:t>
      </w:r>
      <w:r w:rsidRPr="5DAB0F3D">
        <w:rPr>
          <w:rFonts w:eastAsia="Verdana" w:cs="Verdana"/>
        </w:rPr>
        <w:t>In 202</w:t>
      </w:r>
      <w:r>
        <w:rPr>
          <w:rFonts w:eastAsia="Verdana" w:cs="Verdana"/>
        </w:rPr>
        <w:t>2</w:t>
      </w:r>
      <w:r w:rsidRPr="5DAB0F3D">
        <w:rPr>
          <w:rFonts w:eastAsia="Verdana" w:cs="Verdana"/>
        </w:rPr>
        <w:t>–2</w:t>
      </w:r>
      <w:r>
        <w:rPr>
          <w:rFonts w:eastAsia="Verdana" w:cs="Verdana"/>
        </w:rPr>
        <w:t>3</w:t>
      </w:r>
      <w:r w:rsidRPr="5DAB0F3D">
        <w:rPr>
          <w:rFonts w:eastAsia="Verdana" w:cs="Verdana"/>
        </w:rPr>
        <w:t xml:space="preserve"> Australia’s tourism investment pipeline </w:t>
      </w:r>
      <w:r>
        <w:rPr>
          <w:rFonts w:eastAsia="Verdana" w:cs="Verdana"/>
        </w:rPr>
        <w:t xml:space="preserve">consisted of 307 projects </w:t>
      </w:r>
      <w:r w:rsidR="00951394">
        <w:rPr>
          <w:rFonts w:eastAsia="Verdana" w:cs="Verdana"/>
        </w:rPr>
        <w:t xml:space="preserve">(worth $20 million or more) </w:t>
      </w:r>
      <w:r>
        <w:rPr>
          <w:rFonts w:eastAsia="Verdana" w:cs="Verdana"/>
        </w:rPr>
        <w:t>valued at</w:t>
      </w:r>
      <w:r w:rsidRPr="5DAB0F3D">
        <w:rPr>
          <w:rFonts w:eastAsia="Verdana" w:cs="Verdana"/>
        </w:rPr>
        <w:t xml:space="preserve"> $</w:t>
      </w:r>
      <w:r>
        <w:rPr>
          <w:rFonts w:eastAsia="Verdana" w:cs="Verdana"/>
        </w:rPr>
        <w:t>56.1</w:t>
      </w:r>
      <w:r w:rsidRPr="5DAB0F3D">
        <w:rPr>
          <w:rFonts w:eastAsia="Verdana" w:cs="Verdana"/>
        </w:rPr>
        <w:t xml:space="preserve"> billion. </w:t>
      </w:r>
      <w:r>
        <w:rPr>
          <w:rFonts w:eastAsia="Verdana" w:cs="Verdana"/>
        </w:rPr>
        <w:t xml:space="preserve">The value of the pipeline </w:t>
      </w:r>
      <w:r w:rsidR="00DC6F8E">
        <w:rPr>
          <w:rFonts w:eastAsia="Verdana" w:cs="Verdana"/>
        </w:rPr>
        <w:t>increased</w:t>
      </w:r>
      <w:r>
        <w:rPr>
          <w:rFonts w:eastAsia="Verdana" w:cs="Verdana"/>
        </w:rPr>
        <w:t xml:space="preserve"> by 27</w:t>
      </w:r>
      <w:r w:rsidR="00184491" w:rsidRPr="1AD8DF68">
        <w:rPr>
          <w:rFonts w:eastAsia="Verdana" w:cs="Verdana"/>
        </w:rPr>
        <w:t>%</w:t>
      </w:r>
      <w:r w:rsidR="6CC13F80" w:rsidRPr="1AD8DF68">
        <w:rPr>
          <w:rFonts w:eastAsia="Verdana" w:cs="Verdana"/>
        </w:rPr>
        <w:t>,</w:t>
      </w:r>
      <w:r w:rsidR="00184491">
        <w:rPr>
          <w:rFonts w:eastAsia="Verdana" w:cs="Verdana"/>
        </w:rPr>
        <w:t xml:space="preserve"> </w:t>
      </w:r>
      <w:r>
        <w:rPr>
          <w:rFonts w:eastAsia="Verdana" w:cs="Verdana"/>
        </w:rPr>
        <w:t>or $11.8 billion</w:t>
      </w:r>
      <w:r w:rsidR="13D23505" w:rsidRPr="1AD8DF68">
        <w:rPr>
          <w:rFonts w:eastAsia="Verdana" w:cs="Verdana"/>
        </w:rPr>
        <w:t>,</w:t>
      </w:r>
      <w:r>
        <w:rPr>
          <w:rFonts w:eastAsia="Verdana" w:cs="Verdana"/>
        </w:rPr>
        <w:t xml:space="preserve"> on the 2021</w:t>
      </w:r>
      <w:r w:rsidRPr="5DAB0F3D">
        <w:rPr>
          <w:rFonts w:eastAsia="Verdana" w:cs="Verdana"/>
        </w:rPr>
        <w:t>–</w:t>
      </w:r>
      <w:r>
        <w:rPr>
          <w:rFonts w:eastAsia="Verdana" w:cs="Verdana"/>
        </w:rPr>
        <w:t>22</w:t>
      </w:r>
      <w:r w:rsidRPr="5DAB0F3D">
        <w:rPr>
          <w:rFonts w:eastAsia="Verdana" w:cs="Verdana"/>
        </w:rPr>
        <w:t xml:space="preserve"> figure of $</w:t>
      </w:r>
      <w:r>
        <w:rPr>
          <w:rFonts w:eastAsia="Verdana" w:cs="Verdana"/>
        </w:rPr>
        <w:t>44.3</w:t>
      </w:r>
      <w:r w:rsidR="00324596">
        <w:rPr>
          <w:rFonts w:eastAsia="Verdana" w:cs="Verdana"/>
        </w:rPr>
        <w:t> </w:t>
      </w:r>
      <w:r w:rsidRPr="5DAB0F3D">
        <w:rPr>
          <w:rFonts w:eastAsia="Verdana" w:cs="Verdana"/>
        </w:rPr>
        <w:t>billion</w:t>
      </w:r>
      <w:r w:rsidR="00C226DC">
        <w:rPr>
          <w:rFonts w:eastAsia="Verdana" w:cs="Verdana"/>
        </w:rPr>
        <w:t xml:space="preserve">, noting an updated methodological approach to this </w:t>
      </w:r>
      <w:r w:rsidR="00276CC1">
        <w:rPr>
          <w:rFonts w:eastAsia="Verdana" w:cs="Verdana"/>
        </w:rPr>
        <w:t xml:space="preserve">report identified </w:t>
      </w:r>
      <w:r w:rsidR="006015E9">
        <w:rPr>
          <w:rFonts w:eastAsia="Verdana" w:cs="Verdana"/>
        </w:rPr>
        <w:t>additional projects</w:t>
      </w:r>
      <w:r w:rsidR="00010EED">
        <w:rPr>
          <w:rFonts w:eastAsia="Verdana" w:cs="Verdana"/>
        </w:rPr>
        <w:t xml:space="preserve"> that may already have been in progress</w:t>
      </w:r>
      <w:r w:rsidR="00DC31B6">
        <w:rPr>
          <w:rFonts w:eastAsia="Verdana" w:cs="Verdana"/>
        </w:rPr>
        <w:t xml:space="preserve"> the previous year</w:t>
      </w:r>
      <w:r>
        <w:rPr>
          <w:rFonts w:eastAsia="Verdana" w:cs="Verdana"/>
        </w:rPr>
        <w:t>.</w:t>
      </w:r>
      <w:r w:rsidRPr="00BE2CD9">
        <w:rPr>
          <w:rFonts w:eastAsia="Verdana" w:cs="Verdana"/>
        </w:rPr>
        <w:t xml:space="preserve"> </w:t>
      </w:r>
      <w:r>
        <w:rPr>
          <w:rFonts w:eastAsia="Verdana" w:cs="Verdana"/>
        </w:rPr>
        <w:t>S</w:t>
      </w:r>
      <w:r w:rsidRPr="5DAB0F3D">
        <w:rPr>
          <w:rFonts w:eastAsia="Verdana" w:cs="Verdana"/>
        </w:rPr>
        <w:t xml:space="preserve">ee TRA’s annual </w:t>
      </w:r>
      <w:hyperlink r:id="rId73">
        <w:r w:rsidRPr="2059BACE">
          <w:rPr>
            <w:rStyle w:val="Hyperlink"/>
          </w:rPr>
          <w:t>Tourism Investment Monitor | Tourism Research Australia</w:t>
        </w:r>
      </w:hyperlink>
      <w:r>
        <w:t xml:space="preserve"> </w:t>
      </w:r>
      <w:r w:rsidRPr="2059BACE">
        <w:rPr>
          <w:rFonts w:eastAsia="Verdana" w:cs="Verdana"/>
        </w:rPr>
        <w:t>for more detail.</w:t>
      </w:r>
    </w:p>
    <w:p w14:paraId="44765B48" w14:textId="5B8EAA8C" w:rsidR="008537F7" w:rsidRDefault="008537F7" w:rsidP="008537F7">
      <w:r w:rsidRPr="5DAB0F3D">
        <w:rPr>
          <w:rFonts w:eastAsia="Verdana" w:cs="Verdana"/>
        </w:rPr>
        <w:t xml:space="preserve">Continued investment in the visitor economy is vital to support its capacity to grow </w:t>
      </w:r>
      <w:r>
        <w:rPr>
          <w:rFonts w:eastAsia="Verdana" w:cs="Verdana"/>
        </w:rPr>
        <w:t xml:space="preserve">sustainably </w:t>
      </w:r>
      <w:r w:rsidRPr="5DAB0F3D">
        <w:rPr>
          <w:rFonts w:eastAsia="Verdana" w:cs="Verdana"/>
        </w:rPr>
        <w:t xml:space="preserve">and adapt to </w:t>
      </w:r>
      <w:r>
        <w:rPr>
          <w:rFonts w:eastAsia="Verdana" w:cs="Verdana"/>
        </w:rPr>
        <w:t xml:space="preserve">changing future tourism </w:t>
      </w:r>
      <w:r w:rsidRPr="5DAB0F3D">
        <w:rPr>
          <w:rFonts w:eastAsia="Verdana" w:cs="Verdana"/>
        </w:rPr>
        <w:t xml:space="preserve">demand </w:t>
      </w:r>
      <w:r>
        <w:rPr>
          <w:rFonts w:eastAsia="Verdana" w:cs="Verdana"/>
        </w:rPr>
        <w:t>and traveller expectations</w:t>
      </w:r>
      <w:r w:rsidRPr="5DAB0F3D">
        <w:rPr>
          <w:rFonts w:eastAsia="Verdana" w:cs="Verdana"/>
        </w:rPr>
        <w:t xml:space="preserve">. </w:t>
      </w:r>
      <w:r>
        <w:rPr>
          <w:rFonts w:eastAsia="Verdana" w:cs="Verdana"/>
        </w:rPr>
        <w:t>In 2022-23, many projects progressed through the pipeline stages, including 123 new entrants valued at $14.3 billion or 25</w:t>
      </w:r>
      <w:r w:rsidR="00EF2384">
        <w:rPr>
          <w:rFonts w:eastAsia="Verdana" w:cs="Verdana"/>
        </w:rPr>
        <w:t xml:space="preserve">% </w:t>
      </w:r>
      <w:r>
        <w:rPr>
          <w:rFonts w:eastAsia="Verdana" w:cs="Verdana"/>
        </w:rPr>
        <w:t xml:space="preserve">of the total value of investment </w:t>
      </w:r>
      <w:r w:rsidR="00A0281A">
        <w:rPr>
          <w:rFonts w:eastAsia="Verdana" w:cs="Verdana"/>
        </w:rPr>
        <w:t>(this</w:t>
      </w:r>
      <w:r w:rsidRPr="15CF871E">
        <w:rPr>
          <w:rFonts w:eastAsia="Verdana" w:cs="Verdana"/>
        </w:rPr>
        <w:t xml:space="preserve"> </w:t>
      </w:r>
      <w:r w:rsidR="4454A777" w:rsidRPr="15CF871E">
        <w:rPr>
          <w:rFonts w:eastAsia="Verdana" w:cs="Verdana"/>
        </w:rPr>
        <w:t>was</w:t>
      </w:r>
      <w:r>
        <w:rPr>
          <w:rFonts w:eastAsia="Verdana" w:cs="Verdana"/>
        </w:rPr>
        <w:t xml:space="preserve"> </w:t>
      </w:r>
      <w:r w:rsidR="00EF2384">
        <w:rPr>
          <w:rFonts w:eastAsia="Verdana" w:cs="Verdana"/>
        </w:rPr>
        <w:t xml:space="preserve">nearly double the number of </w:t>
      </w:r>
      <w:r>
        <w:rPr>
          <w:rFonts w:eastAsia="Verdana" w:cs="Verdana"/>
        </w:rPr>
        <w:t xml:space="preserve">new projects </w:t>
      </w:r>
      <w:r w:rsidR="00A0281A">
        <w:rPr>
          <w:rFonts w:eastAsia="Verdana" w:cs="Verdana"/>
        </w:rPr>
        <w:t xml:space="preserve">in </w:t>
      </w:r>
      <w:r>
        <w:rPr>
          <w:rFonts w:eastAsia="Verdana" w:cs="Verdana"/>
        </w:rPr>
        <w:t>the previous year</w:t>
      </w:r>
      <w:r w:rsidR="00EF2384">
        <w:rPr>
          <w:rFonts w:eastAsia="Verdana" w:cs="Verdana"/>
        </w:rPr>
        <w:t xml:space="preserve"> </w:t>
      </w:r>
      <w:r w:rsidR="00C44B2F">
        <w:rPr>
          <w:rFonts w:eastAsia="Verdana" w:cs="Verdana"/>
        </w:rPr>
        <w:t>–</w:t>
      </w:r>
      <w:r w:rsidR="00A0281A">
        <w:rPr>
          <w:rFonts w:eastAsia="Verdana" w:cs="Verdana"/>
        </w:rPr>
        <w:t xml:space="preserve"> </w:t>
      </w:r>
      <w:r w:rsidR="00C44B2F">
        <w:rPr>
          <w:rFonts w:eastAsia="Verdana" w:cs="Verdana"/>
        </w:rPr>
        <w:t xml:space="preserve">there were </w:t>
      </w:r>
      <w:r w:rsidR="55640166" w:rsidRPr="08EC718A">
        <w:rPr>
          <w:rFonts w:eastAsia="Verdana" w:cs="Verdana"/>
        </w:rPr>
        <w:t xml:space="preserve">68 new projects </w:t>
      </w:r>
      <w:r w:rsidR="00C44B2F">
        <w:rPr>
          <w:rFonts w:eastAsia="Verdana" w:cs="Verdana"/>
        </w:rPr>
        <w:t>added to the pipeline</w:t>
      </w:r>
      <w:r w:rsidR="00EF2384">
        <w:rPr>
          <w:rFonts w:eastAsia="Verdana" w:cs="Verdana"/>
        </w:rPr>
        <w:t xml:space="preserve"> in 2021-22)</w:t>
      </w:r>
      <w:r>
        <w:rPr>
          <w:rFonts w:eastAsia="Verdana" w:cs="Verdana"/>
        </w:rPr>
        <w:t>.</w:t>
      </w:r>
      <w:r w:rsidRPr="00D52D7D">
        <w:rPr>
          <w:rFonts w:eastAsia="Verdana" w:cs="Verdana"/>
        </w:rPr>
        <w:t xml:space="preserve"> </w:t>
      </w:r>
      <w:r w:rsidRPr="5DAB0F3D">
        <w:rPr>
          <w:rFonts w:eastAsia="Verdana" w:cs="Verdana"/>
        </w:rPr>
        <w:t xml:space="preserve">The continued flow of new projects into development </w:t>
      </w:r>
      <w:r>
        <w:rPr>
          <w:rFonts w:eastAsia="Verdana" w:cs="Verdana"/>
        </w:rPr>
        <w:t>indicates</w:t>
      </w:r>
      <w:r w:rsidRPr="5DAB0F3D">
        <w:rPr>
          <w:rFonts w:eastAsia="Verdana" w:cs="Verdana"/>
        </w:rPr>
        <w:t xml:space="preserve"> investor confidence in the longer-term prospects </w:t>
      </w:r>
      <w:r>
        <w:rPr>
          <w:rFonts w:eastAsia="Verdana" w:cs="Verdana"/>
        </w:rPr>
        <w:t>of</w:t>
      </w:r>
      <w:r w:rsidRPr="5DAB0F3D">
        <w:rPr>
          <w:rFonts w:eastAsia="Verdana" w:cs="Verdana"/>
        </w:rPr>
        <w:t xml:space="preserve"> the industry.</w:t>
      </w:r>
      <w:r w:rsidRPr="00DF7AB5">
        <w:t xml:space="preserve"> </w:t>
      </w:r>
    </w:p>
    <w:p w14:paraId="48D029BF" w14:textId="05AB1ED9" w:rsidR="00C04946" w:rsidRDefault="00C04946" w:rsidP="00C04946">
      <w:r w:rsidRPr="5DAB0F3D">
        <w:rPr>
          <w:rFonts w:eastAsia="Verdana" w:cs="Verdana"/>
        </w:rPr>
        <w:t xml:space="preserve">Across the 3 tourism sectors, the pipeline </w:t>
      </w:r>
      <w:r>
        <w:rPr>
          <w:rFonts w:eastAsia="Verdana" w:cs="Verdana"/>
        </w:rPr>
        <w:t xml:space="preserve">of tourism investment projects </w:t>
      </w:r>
      <w:r w:rsidR="007E6DCC">
        <w:rPr>
          <w:rFonts w:eastAsia="Verdana" w:cs="Verdana"/>
        </w:rPr>
        <w:t xml:space="preserve">(Figure </w:t>
      </w:r>
      <w:r w:rsidR="00FC12F6">
        <w:rPr>
          <w:rFonts w:eastAsia="Verdana" w:cs="Verdana"/>
        </w:rPr>
        <w:t>38</w:t>
      </w:r>
      <w:r w:rsidR="007E6DCC">
        <w:rPr>
          <w:rFonts w:eastAsia="Verdana" w:cs="Verdana"/>
        </w:rPr>
        <w:t xml:space="preserve">) </w:t>
      </w:r>
      <w:r w:rsidRPr="5DAB0F3D">
        <w:rPr>
          <w:rFonts w:eastAsia="Verdana" w:cs="Verdana"/>
        </w:rPr>
        <w:t xml:space="preserve">was split by: </w:t>
      </w:r>
    </w:p>
    <w:p w14:paraId="74DE5049" w14:textId="77777777" w:rsidR="00C04946" w:rsidRPr="004A496E" w:rsidRDefault="00C04946" w:rsidP="00B72140">
      <w:pPr>
        <w:pStyle w:val="BulletList"/>
      </w:pPr>
      <w:r w:rsidRPr="004A496E">
        <w:t xml:space="preserve">aviation – </w:t>
      </w:r>
      <w:r>
        <w:t>19</w:t>
      </w:r>
      <w:r w:rsidRPr="004A496E">
        <w:t xml:space="preserve"> projects valued at $</w:t>
      </w:r>
      <w:r>
        <w:t>18.8</w:t>
      </w:r>
      <w:r w:rsidRPr="004A496E">
        <w:t xml:space="preserve"> </w:t>
      </w:r>
      <w:proofErr w:type="gramStart"/>
      <w:r w:rsidRPr="004A496E">
        <w:t>billion</w:t>
      </w:r>
      <w:proofErr w:type="gramEnd"/>
      <w:r w:rsidRPr="004A496E">
        <w:t xml:space="preserve"> </w:t>
      </w:r>
    </w:p>
    <w:p w14:paraId="0FBB00CD" w14:textId="77777777" w:rsidR="00C04946" w:rsidRPr="004A496E" w:rsidRDefault="00C04946" w:rsidP="00B72140">
      <w:pPr>
        <w:pStyle w:val="BulletList"/>
      </w:pPr>
      <w:r w:rsidRPr="004A496E">
        <w:t xml:space="preserve">arts, recreation and business services – </w:t>
      </w:r>
      <w:r>
        <w:t>129</w:t>
      </w:r>
      <w:r w:rsidRPr="004A496E">
        <w:t xml:space="preserve"> projects valued at $</w:t>
      </w:r>
      <w:r>
        <w:t>25</w:t>
      </w:r>
      <w:r w:rsidRPr="004A496E">
        <w:t xml:space="preserve">.1 </w:t>
      </w:r>
      <w:proofErr w:type="gramStart"/>
      <w:r w:rsidRPr="004A496E">
        <w:t>billion</w:t>
      </w:r>
      <w:proofErr w:type="gramEnd"/>
      <w:r w:rsidRPr="004A496E">
        <w:t xml:space="preserve"> </w:t>
      </w:r>
    </w:p>
    <w:p w14:paraId="141A6AC1" w14:textId="073E9DDF" w:rsidR="00C04946" w:rsidRDefault="00C04946" w:rsidP="00B72140">
      <w:pPr>
        <w:pStyle w:val="BulletList"/>
        <w:rPr>
          <w:rFonts w:eastAsia="Verdana" w:cs="Verdana"/>
        </w:rPr>
      </w:pPr>
      <w:r w:rsidRPr="004A496E">
        <w:lastRenderedPageBreak/>
        <w:t xml:space="preserve">accommodation – </w:t>
      </w:r>
      <w:r>
        <w:t>159</w:t>
      </w:r>
      <w:r w:rsidRPr="004A496E">
        <w:t xml:space="preserve"> projects valued at $</w:t>
      </w:r>
      <w:r>
        <w:t>12.2</w:t>
      </w:r>
      <w:r w:rsidRPr="004A496E">
        <w:t xml:space="preserve"> billion</w:t>
      </w:r>
      <w:r w:rsidR="007E6DCC">
        <w:t>,</w:t>
      </w:r>
      <w:r>
        <w:rPr>
          <w:rStyle w:val="FootnoteReference"/>
        </w:rPr>
        <w:footnoteReference w:id="30"/>
      </w:r>
      <w:r w:rsidRPr="004A496E">
        <w:t xml:space="preserve"> with the potential to add </w:t>
      </w:r>
      <w:r>
        <w:t>24,300</w:t>
      </w:r>
      <w:r w:rsidRPr="004A496E">
        <w:t xml:space="preserve"> rooms</w:t>
      </w:r>
      <w:r>
        <w:rPr>
          <w:rStyle w:val="FootnoteReference"/>
        </w:rPr>
        <w:footnoteReference w:id="31"/>
      </w:r>
      <w:r w:rsidRPr="004A496E">
        <w:t xml:space="preserve"> to accommodation</w:t>
      </w:r>
      <w:r w:rsidRPr="5DAB0F3D">
        <w:rPr>
          <w:rFonts w:eastAsia="Verdana" w:cs="Verdana"/>
        </w:rPr>
        <w:t xml:space="preserve"> supply</w:t>
      </w:r>
      <w:r>
        <w:rPr>
          <w:rFonts w:eastAsia="Verdana" w:cs="Verdana"/>
        </w:rPr>
        <w:t>.</w:t>
      </w:r>
    </w:p>
    <w:p w14:paraId="484933A6" w14:textId="244C3186" w:rsidR="00461D74" w:rsidRDefault="00EF2384" w:rsidP="00461D74">
      <w:pPr>
        <w:pStyle w:val="Caption"/>
        <w:spacing w:line="300" w:lineRule="atLeast"/>
        <w:rPr>
          <w:b/>
          <w:bCs/>
          <w:i w:val="0"/>
          <w:iCs w:val="0"/>
          <w:sz w:val="20"/>
          <w:szCs w:val="20"/>
        </w:rPr>
      </w:pPr>
      <w:r>
        <w:rPr>
          <w:b/>
          <w:bCs/>
          <w:i w:val="0"/>
          <w:iCs w:val="0"/>
          <w:sz w:val="20"/>
          <w:szCs w:val="20"/>
        </w:rPr>
        <w:t xml:space="preserve">Figure </w:t>
      </w:r>
      <w:r w:rsidR="00FC12F6">
        <w:rPr>
          <w:b/>
          <w:bCs/>
          <w:i w:val="0"/>
          <w:iCs w:val="0"/>
          <w:sz w:val="20"/>
          <w:szCs w:val="20"/>
        </w:rPr>
        <w:t>38</w:t>
      </w:r>
      <w:r w:rsidRPr="00D80D34">
        <w:rPr>
          <w:rFonts w:asciiTheme="majorHAnsi" w:hAnsiTheme="majorHAnsi"/>
          <w:i w:val="0"/>
          <w:iCs w:val="0"/>
          <w:sz w:val="20"/>
          <w:szCs w:val="20"/>
        </w:rPr>
        <w:t>:</w:t>
      </w:r>
      <w:r w:rsidR="00FC12F6">
        <w:rPr>
          <w:rFonts w:asciiTheme="majorHAnsi" w:hAnsiTheme="majorHAnsi"/>
          <w:i w:val="0"/>
          <w:iCs w:val="0"/>
          <w:sz w:val="20"/>
          <w:szCs w:val="20"/>
        </w:rPr>
        <w:t xml:space="preserve"> </w:t>
      </w:r>
      <w:r w:rsidR="00461D74" w:rsidRPr="005F2490">
        <w:rPr>
          <w:i w:val="0"/>
          <w:iCs w:val="0"/>
          <w:sz w:val="20"/>
          <w:szCs w:val="20"/>
        </w:rPr>
        <w:t>Value of the tourism investment pipeline in Australia by sector</w:t>
      </w:r>
      <w:r w:rsidR="00B83E58">
        <w:rPr>
          <w:i w:val="0"/>
          <w:iCs w:val="0"/>
          <w:sz w:val="20"/>
          <w:szCs w:val="20"/>
        </w:rPr>
        <w:t>,</w:t>
      </w:r>
      <w:r w:rsidR="00461D74" w:rsidRPr="005F2490">
        <w:rPr>
          <w:i w:val="0"/>
          <w:iCs w:val="0"/>
          <w:sz w:val="20"/>
          <w:szCs w:val="20"/>
        </w:rPr>
        <w:t xml:space="preserve"> 202</w:t>
      </w:r>
      <w:r w:rsidR="00B83E58">
        <w:rPr>
          <w:i w:val="0"/>
          <w:iCs w:val="0"/>
          <w:sz w:val="20"/>
          <w:szCs w:val="20"/>
        </w:rPr>
        <w:t>0</w:t>
      </w:r>
      <w:r w:rsidR="00461D74" w:rsidRPr="005F2490">
        <w:rPr>
          <w:i w:val="0"/>
          <w:iCs w:val="0"/>
          <w:sz w:val="20"/>
          <w:szCs w:val="20"/>
        </w:rPr>
        <w:t>-2</w:t>
      </w:r>
      <w:r w:rsidR="00B83E58">
        <w:rPr>
          <w:i w:val="0"/>
          <w:iCs w:val="0"/>
          <w:sz w:val="20"/>
          <w:szCs w:val="20"/>
        </w:rPr>
        <w:t>1</w:t>
      </w:r>
      <w:r w:rsidR="00461D74" w:rsidRPr="005F2490">
        <w:rPr>
          <w:i w:val="0"/>
          <w:iCs w:val="0"/>
          <w:sz w:val="20"/>
          <w:szCs w:val="20"/>
        </w:rPr>
        <w:t xml:space="preserve"> </w:t>
      </w:r>
      <w:r w:rsidR="00B83E58">
        <w:rPr>
          <w:i w:val="0"/>
          <w:iCs w:val="0"/>
          <w:sz w:val="20"/>
          <w:szCs w:val="20"/>
        </w:rPr>
        <w:t>to</w:t>
      </w:r>
      <w:r w:rsidR="00461D74" w:rsidRPr="005F2490">
        <w:rPr>
          <w:i w:val="0"/>
          <w:iCs w:val="0"/>
          <w:sz w:val="20"/>
          <w:szCs w:val="20"/>
        </w:rPr>
        <w:t xml:space="preserve"> 2022</w:t>
      </w:r>
      <w:r>
        <w:rPr>
          <w:i w:val="0"/>
          <w:iCs w:val="0"/>
          <w:sz w:val="20"/>
          <w:szCs w:val="20"/>
        </w:rPr>
        <w:noBreakHyphen/>
      </w:r>
      <w:r w:rsidR="00461D74" w:rsidRPr="005F2490">
        <w:rPr>
          <w:i w:val="0"/>
          <w:iCs w:val="0"/>
          <w:sz w:val="20"/>
          <w:szCs w:val="20"/>
        </w:rPr>
        <w:t>23</w:t>
      </w:r>
    </w:p>
    <w:p w14:paraId="19D8BDEC" w14:textId="071BE1F8" w:rsidR="00461D74" w:rsidRDefault="00847C7A" w:rsidP="00461D74">
      <w:pPr>
        <w:spacing w:line="300" w:lineRule="atLeast"/>
      </w:pPr>
      <w:r w:rsidRPr="00847C7A">
        <w:rPr>
          <w:noProof/>
        </w:rPr>
        <w:drawing>
          <wp:inline distT="0" distB="0" distL="0" distR="0" wp14:anchorId="35D2CB71" wp14:editId="699873E6">
            <wp:extent cx="6329680" cy="1956435"/>
            <wp:effectExtent l="0" t="0" r="0" b="5715"/>
            <wp:docPr id="614159815" name="Picture 3" descr="Figure 38 shows the value of the tourism investment pipeline in Australia by sector in 2021-22 and in 2022-23. The total value, and all three components of the pipeline have increased in value from 2021-2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59815" name="Picture 3" descr="Figure 38 shows the value of the tourism investment pipeline in Australia by sector in 2021-22 and in 2022-23. The total value, and all three components of the pipeline have increased in value from 2021-22 to 2022-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9680" cy="1956435"/>
                    </a:xfrm>
                    <a:prstGeom prst="rect">
                      <a:avLst/>
                    </a:prstGeom>
                    <a:noFill/>
                    <a:ln>
                      <a:noFill/>
                    </a:ln>
                  </pic:spPr>
                </pic:pic>
              </a:graphicData>
            </a:graphic>
          </wp:inline>
        </w:drawing>
      </w:r>
    </w:p>
    <w:p w14:paraId="313C780C" w14:textId="36800C02" w:rsidR="005952AB" w:rsidRDefault="005952AB" w:rsidP="005952AB">
      <w:r>
        <w:t>The most significant growth in the investment pipeline in 2022-23 was in the arts, recreation, and business services sector. With an additional 51 projects</w:t>
      </w:r>
      <w:r w:rsidR="5AF35E54">
        <w:t>, i</w:t>
      </w:r>
      <w:r>
        <w:t>nvestment in th</w:t>
      </w:r>
      <w:r w:rsidR="00BC42E6">
        <w:t>is</w:t>
      </w:r>
      <w:r>
        <w:t xml:space="preserve"> sector rose by 56</w:t>
      </w:r>
      <w:r w:rsidR="00BC42E6">
        <w:t>%</w:t>
      </w:r>
      <w:r>
        <w:t xml:space="preserve"> or $9.0 billion to $25.1 billion in 2022-23. Many</w:t>
      </w:r>
      <w:r w:rsidR="6720EA49">
        <w:t xml:space="preserve"> of these</w:t>
      </w:r>
      <w:r>
        <w:t xml:space="preserve"> were new projects to the 2022-23 pipeline </w:t>
      </w:r>
      <w:r w:rsidR="0D8C4EB2">
        <w:t xml:space="preserve">that were </w:t>
      </w:r>
      <w:r>
        <w:t>identified by review</w:t>
      </w:r>
      <w:r w:rsidR="68B3398D">
        <w:t>ing</w:t>
      </w:r>
      <w:r>
        <w:t xml:space="preserve"> Government budget papers, an additional data source used for the first time. </w:t>
      </w:r>
    </w:p>
    <w:p w14:paraId="77D62C36" w14:textId="61B0D9C7" w:rsidR="005952AB" w:rsidRDefault="005952AB" w:rsidP="005952AB">
      <w:pPr>
        <w:rPr>
          <w:rFonts w:cs="AU Sans Text"/>
          <w:color w:val="000000"/>
        </w:rPr>
      </w:pPr>
      <w:r>
        <w:rPr>
          <w:rFonts w:cs="AU Sans Text"/>
          <w:color w:val="000000"/>
        </w:rPr>
        <w:t xml:space="preserve">Among the more prominent </w:t>
      </w:r>
      <w:r w:rsidRPr="007D739D">
        <w:rPr>
          <w:rFonts w:cs="AU Sans Text"/>
          <w:color w:val="000000"/>
        </w:rPr>
        <w:t xml:space="preserve">projects in the arts, recreation, and business services pipeline </w:t>
      </w:r>
      <w:r w:rsidR="002A7ACC">
        <w:rPr>
          <w:rFonts w:cs="AU Sans Text"/>
          <w:color w:val="000000"/>
        </w:rPr>
        <w:t xml:space="preserve">as </w:t>
      </w:r>
      <w:proofErr w:type="gramStart"/>
      <w:r>
        <w:rPr>
          <w:rFonts w:cs="AU Sans Text"/>
          <w:color w:val="000000"/>
        </w:rPr>
        <w:t>at</w:t>
      </w:r>
      <w:proofErr w:type="gramEnd"/>
      <w:r>
        <w:rPr>
          <w:rFonts w:cs="AU Sans Text"/>
          <w:color w:val="000000"/>
        </w:rPr>
        <w:t xml:space="preserve"> 30 June 2023 </w:t>
      </w:r>
      <w:r w:rsidRPr="007D739D">
        <w:rPr>
          <w:rFonts w:cs="AU Sans Text"/>
          <w:color w:val="000000"/>
        </w:rPr>
        <w:t>were the:</w:t>
      </w:r>
    </w:p>
    <w:p w14:paraId="1E77D9C0" w14:textId="77777777" w:rsidR="005952AB" w:rsidRPr="00C4205B" w:rsidRDefault="005952AB" w:rsidP="001470C9">
      <w:pPr>
        <w:pStyle w:val="BulletList"/>
        <w:rPr>
          <w:color w:val="000000"/>
        </w:rPr>
      </w:pPr>
      <w:r w:rsidRPr="00C4205B">
        <w:rPr>
          <w:color w:val="000000"/>
        </w:rPr>
        <w:t xml:space="preserve">New and upgraded venues for Brisbane hosting of the 2032 Olympic Games (new and in planning) – $1.9 </w:t>
      </w:r>
      <w:proofErr w:type="gramStart"/>
      <w:r w:rsidRPr="00C4205B">
        <w:rPr>
          <w:color w:val="000000"/>
        </w:rPr>
        <w:t>billion</w:t>
      </w:r>
      <w:proofErr w:type="gramEnd"/>
    </w:p>
    <w:p w14:paraId="76E9666D" w14:textId="77777777" w:rsidR="005952AB" w:rsidRDefault="005952AB" w:rsidP="001470C9">
      <w:pPr>
        <w:pStyle w:val="BulletList"/>
        <w:rPr>
          <w:color w:val="000000"/>
        </w:rPr>
      </w:pPr>
      <w:r w:rsidRPr="00B807D0">
        <w:rPr>
          <w:color w:val="000000"/>
        </w:rPr>
        <w:t>Redevelopment of Melbourne Arts Precinct (under construction) – $1.7 billion</w:t>
      </w:r>
    </w:p>
    <w:p w14:paraId="730B4EF8" w14:textId="77777777" w:rsidR="005952AB" w:rsidRDefault="005952AB" w:rsidP="001470C9">
      <w:pPr>
        <w:pStyle w:val="BulletList"/>
        <w:rPr>
          <w:color w:val="000000"/>
        </w:rPr>
      </w:pPr>
      <w:r w:rsidRPr="00D920F4">
        <w:rPr>
          <w:color w:val="000000"/>
        </w:rPr>
        <w:t>Redevelopment of Adelaide Festival Plaza (under construction) – $1.0 billion</w:t>
      </w:r>
    </w:p>
    <w:p w14:paraId="13E1652D" w14:textId="77777777" w:rsidR="005952AB" w:rsidRDefault="005952AB" w:rsidP="001470C9">
      <w:pPr>
        <w:pStyle w:val="BulletList"/>
        <w:rPr>
          <w:color w:val="000000"/>
        </w:rPr>
      </w:pPr>
      <w:r w:rsidRPr="00D920F4">
        <w:rPr>
          <w:color w:val="000000"/>
        </w:rPr>
        <w:t>New Powerhouse Museum in Parramatta (under construction) – $0.9 billion</w:t>
      </w:r>
    </w:p>
    <w:p w14:paraId="48F3242C" w14:textId="77777777" w:rsidR="005952AB" w:rsidRDefault="005952AB" w:rsidP="001470C9">
      <w:pPr>
        <w:pStyle w:val="BulletList"/>
        <w:rPr>
          <w:color w:val="000000"/>
        </w:rPr>
      </w:pPr>
      <w:r w:rsidRPr="00C5396F">
        <w:rPr>
          <w:color w:val="000000"/>
        </w:rPr>
        <w:t>New Sydney Fish Markets (new and under construction) – $0.8 billion</w:t>
      </w:r>
    </w:p>
    <w:p w14:paraId="32BF87FF" w14:textId="77777777" w:rsidR="005952AB" w:rsidRDefault="005952AB" w:rsidP="001470C9">
      <w:pPr>
        <w:pStyle w:val="BulletList"/>
        <w:rPr>
          <w:color w:val="000000"/>
        </w:rPr>
      </w:pPr>
      <w:r w:rsidRPr="008A6E0E">
        <w:rPr>
          <w:color w:val="000000"/>
        </w:rPr>
        <w:t>New arts, entertainment, and sports precinct at Macquarie Point in Hobart (newly proposed) – $0.7 billion</w:t>
      </w:r>
    </w:p>
    <w:p w14:paraId="78D11D92" w14:textId="7F488C0C" w:rsidR="005952AB" w:rsidRDefault="005952AB" w:rsidP="001470C9">
      <w:pPr>
        <w:pStyle w:val="BulletList"/>
        <w:rPr>
          <w:color w:val="000000"/>
        </w:rPr>
      </w:pPr>
      <w:r w:rsidRPr="008A6E0E">
        <w:rPr>
          <w:color w:val="000000"/>
        </w:rPr>
        <w:t xml:space="preserve">Barangaroo precinct cultural and recreational transformations (new and in </w:t>
      </w:r>
      <w:r>
        <w:rPr>
          <w:color w:val="000000"/>
        </w:rPr>
        <w:t>p</w:t>
      </w:r>
      <w:r w:rsidRPr="008A6E0E">
        <w:rPr>
          <w:color w:val="000000"/>
        </w:rPr>
        <w:t>lanning) – $0.6</w:t>
      </w:r>
      <w:r w:rsidR="002A7ACC">
        <w:rPr>
          <w:color w:val="000000"/>
        </w:rPr>
        <w:t> </w:t>
      </w:r>
      <w:r w:rsidRPr="008A6E0E">
        <w:rPr>
          <w:color w:val="000000"/>
        </w:rPr>
        <w:t>billion</w:t>
      </w:r>
    </w:p>
    <w:p w14:paraId="09686560" w14:textId="77777777" w:rsidR="005952AB" w:rsidRDefault="005952AB" w:rsidP="001470C9">
      <w:pPr>
        <w:pStyle w:val="BulletList"/>
        <w:rPr>
          <w:color w:val="000000"/>
        </w:rPr>
      </w:pPr>
      <w:r w:rsidRPr="006A5BE1">
        <w:rPr>
          <w:color w:val="000000"/>
        </w:rPr>
        <w:t>Redevelopment of Canberra’s Australian War Memorial (under construction) – $0.5 billion</w:t>
      </w:r>
    </w:p>
    <w:p w14:paraId="0505C6C1" w14:textId="77777777" w:rsidR="005952AB" w:rsidRPr="00B054A1" w:rsidRDefault="005952AB" w:rsidP="001470C9">
      <w:pPr>
        <w:pStyle w:val="BulletList"/>
        <w:rPr>
          <w:color w:val="000000"/>
        </w:rPr>
      </w:pPr>
      <w:r w:rsidRPr="00CC1BE4">
        <w:rPr>
          <w:color w:val="000000"/>
        </w:rPr>
        <w:t>Darwin sports stadium and entertainment precinct (newly proposed) – $0.5 billion</w:t>
      </w:r>
      <w:r>
        <w:rPr>
          <w:color w:val="000000"/>
        </w:rPr>
        <w:t>.</w:t>
      </w:r>
    </w:p>
    <w:p w14:paraId="49A69A67" w14:textId="4DB1C776" w:rsidR="005952AB" w:rsidRDefault="005952AB" w:rsidP="005952AB">
      <w:pPr>
        <w:rPr>
          <w:rFonts w:eastAsia="Verdana" w:cs="Verdana"/>
        </w:rPr>
      </w:pPr>
      <w:r w:rsidRPr="492B14D5">
        <w:rPr>
          <w:rFonts w:cs="AU Sans Text"/>
        </w:rPr>
        <w:t xml:space="preserve">The investment pipeline </w:t>
      </w:r>
      <w:r w:rsidR="002A7ACC" w:rsidRPr="492B14D5">
        <w:rPr>
          <w:rFonts w:cs="AU Sans Text"/>
        </w:rPr>
        <w:t>increased</w:t>
      </w:r>
      <w:r w:rsidRPr="492B14D5">
        <w:rPr>
          <w:rFonts w:cs="AU Sans Text"/>
        </w:rPr>
        <w:t xml:space="preserve"> </w:t>
      </w:r>
      <w:r w:rsidR="00DD6401" w:rsidRPr="492B14D5">
        <w:rPr>
          <w:rFonts w:cs="AU Sans Text"/>
        </w:rPr>
        <w:t>for</w:t>
      </w:r>
      <w:r w:rsidRPr="492B14D5">
        <w:rPr>
          <w:rFonts w:cs="AU Sans Text"/>
        </w:rPr>
        <w:t xml:space="preserve"> all states and territories. </w:t>
      </w:r>
      <w:r w:rsidR="00DD6401" w:rsidRPr="492B14D5">
        <w:rPr>
          <w:rFonts w:cs="AU Sans Text"/>
        </w:rPr>
        <w:t>The largest increase was in Queensland, accounting for 42%</w:t>
      </w:r>
      <w:r w:rsidR="7E53ECAB" w:rsidRPr="492B14D5">
        <w:rPr>
          <w:rFonts w:cs="AU Sans Text"/>
        </w:rPr>
        <w:t>,</w:t>
      </w:r>
      <w:r w:rsidR="00DD6401" w:rsidRPr="492B14D5">
        <w:rPr>
          <w:rFonts w:cs="AU Sans Text"/>
        </w:rPr>
        <w:t xml:space="preserve"> or $4.9 billion</w:t>
      </w:r>
      <w:r w:rsidR="407F0742" w:rsidRPr="6DA75874">
        <w:rPr>
          <w:rFonts w:cs="AU Sans Text"/>
        </w:rPr>
        <w:t>,</w:t>
      </w:r>
      <w:r w:rsidR="00DD6401" w:rsidRPr="492B14D5">
        <w:rPr>
          <w:rFonts w:cs="AU Sans Text"/>
        </w:rPr>
        <w:t xml:space="preserve"> of the total increase in the investment pipeline in 2022-23</w:t>
      </w:r>
      <w:r w:rsidR="00EE17F0" w:rsidRPr="492B14D5">
        <w:rPr>
          <w:rFonts w:cs="AU Sans Text"/>
        </w:rPr>
        <w:t>, w</w:t>
      </w:r>
      <w:r w:rsidRPr="492B14D5">
        <w:rPr>
          <w:rFonts w:cs="AU Sans Text"/>
        </w:rPr>
        <w:t xml:space="preserve">ith planning for the 2032 Olympics and Paralympics </w:t>
      </w:r>
      <w:r w:rsidR="64F56A8E" w:rsidRPr="14BA037A">
        <w:rPr>
          <w:rFonts w:cs="AU Sans Text"/>
        </w:rPr>
        <w:t xml:space="preserve">strongly </w:t>
      </w:r>
      <w:r w:rsidR="00721DDA" w:rsidRPr="14BA037A">
        <w:rPr>
          <w:rFonts w:cs="AU Sans Text"/>
        </w:rPr>
        <w:t>contributing</w:t>
      </w:r>
      <w:r w:rsidR="00EE17F0" w:rsidRPr="492B14D5">
        <w:rPr>
          <w:rFonts w:cs="AU Sans Text"/>
        </w:rPr>
        <w:t>.</w:t>
      </w:r>
    </w:p>
    <w:p w14:paraId="40DF6003" w14:textId="05D6973F" w:rsidR="00203402" w:rsidRDefault="00203402" w:rsidP="00203402">
      <w:pPr>
        <w:rPr>
          <w:rFonts w:eastAsia="Verdana" w:cs="Verdana"/>
        </w:rPr>
      </w:pPr>
      <w:r>
        <w:rPr>
          <w:rFonts w:eastAsia="Verdana" w:cs="Verdana"/>
        </w:rPr>
        <w:lastRenderedPageBreak/>
        <w:t xml:space="preserve">The pipeline </w:t>
      </w:r>
      <w:r w:rsidR="00756811">
        <w:rPr>
          <w:rFonts w:eastAsia="Verdana" w:cs="Verdana"/>
        </w:rPr>
        <w:t xml:space="preserve">of </w:t>
      </w:r>
      <w:r>
        <w:rPr>
          <w:rFonts w:eastAsia="Verdana" w:cs="Verdana"/>
        </w:rPr>
        <w:t xml:space="preserve">mixed-use </w:t>
      </w:r>
      <w:r w:rsidR="00756811">
        <w:rPr>
          <w:rFonts w:eastAsia="Verdana" w:cs="Verdana"/>
        </w:rPr>
        <w:t>projects</w:t>
      </w:r>
      <w:r w:rsidR="008C2DD4">
        <w:rPr>
          <w:rStyle w:val="FootnoteReference"/>
          <w:rFonts w:eastAsia="Verdana" w:cs="Verdana"/>
        </w:rPr>
        <w:footnoteReference w:id="32"/>
      </w:r>
      <w:r w:rsidR="00756811">
        <w:rPr>
          <w:rFonts w:eastAsia="Verdana" w:cs="Verdana"/>
        </w:rPr>
        <w:t xml:space="preserve"> </w:t>
      </w:r>
      <w:r w:rsidR="00721DDA">
        <w:rPr>
          <w:rFonts w:eastAsia="Verdana" w:cs="Verdana"/>
        </w:rPr>
        <w:t>wa</w:t>
      </w:r>
      <w:r>
        <w:rPr>
          <w:rFonts w:eastAsia="Verdana" w:cs="Verdana"/>
        </w:rPr>
        <w:t>s also very large</w:t>
      </w:r>
      <w:r w:rsidR="00721DDA">
        <w:rPr>
          <w:rFonts w:eastAsia="Verdana" w:cs="Verdana"/>
        </w:rPr>
        <w:t>,</w:t>
      </w:r>
      <w:r>
        <w:rPr>
          <w:rFonts w:eastAsia="Verdana" w:cs="Verdana"/>
        </w:rPr>
        <w:t xml:space="preserve"> offer</w:t>
      </w:r>
      <w:r w:rsidR="48416941">
        <w:rPr>
          <w:rFonts w:eastAsia="Verdana" w:cs="Verdana"/>
        </w:rPr>
        <w:t>ing</w:t>
      </w:r>
      <w:r>
        <w:rPr>
          <w:rFonts w:eastAsia="Verdana" w:cs="Verdana"/>
        </w:rPr>
        <w:t xml:space="preserve"> significant value to the visitor economy and to the stock of hotel rooms. </w:t>
      </w:r>
      <w:r w:rsidRPr="5DAB0F3D">
        <w:rPr>
          <w:rFonts w:eastAsia="Verdana" w:cs="Verdana"/>
        </w:rPr>
        <w:t>In 20</w:t>
      </w:r>
      <w:r>
        <w:rPr>
          <w:rFonts w:eastAsia="Verdana" w:cs="Verdana"/>
        </w:rPr>
        <w:t>22</w:t>
      </w:r>
      <w:r w:rsidRPr="5DAB0F3D">
        <w:rPr>
          <w:rFonts w:eastAsia="Verdana" w:cs="Verdana"/>
        </w:rPr>
        <w:t>–</w:t>
      </w:r>
      <w:r>
        <w:rPr>
          <w:rFonts w:eastAsia="Verdana" w:cs="Verdana"/>
        </w:rPr>
        <w:t>23</w:t>
      </w:r>
      <w:r w:rsidRPr="5DAB0F3D">
        <w:rPr>
          <w:rFonts w:eastAsia="Verdana" w:cs="Verdana"/>
        </w:rPr>
        <w:t xml:space="preserve"> there were </w:t>
      </w:r>
      <w:r>
        <w:rPr>
          <w:rFonts w:eastAsia="Verdana" w:cs="Verdana"/>
        </w:rPr>
        <w:t>174</w:t>
      </w:r>
      <w:r w:rsidRPr="5DAB0F3D">
        <w:rPr>
          <w:rFonts w:eastAsia="Verdana" w:cs="Verdana"/>
        </w:rPr>
        <w:t xml:space="preserve"> mixed-use developments valued at $</w:t>
      </w:r>
      <w:r>
        <w:rPr>
          <w:rFonts w:eastAsia="Verdana" w:cs="Verdana"/>
        </w:rPr>
        <w:t>73.0</w:t>
      </w:r>
      <w:r w:rsidR="00756811">
        <w:rPr>
          <w:rFonts w:eastAsia="Verdana" w:cs="Verdana"/>
        </w:rPr>
        <w:t> </w:t>
      </w:r>
      <w:r w:rsidRPr="5DAB0F3D">
        <w:rPr>
          <w:rFonts w:eastAsia="Verdana" w:cs="Verdana"/>
        </w:rPr>
        <w:t>billion</w:t>
      </w:r>
      <w:r>
        <w:rPr>
          <w:rStyle w:val="FootnoteReference"/>
        </w:rPr>
        <w:footnoteReference w:id="33"/>
      </w:r>
      <w:r w:rsidRPr="5DAB0F3D">
        <w:rPr>
          <w:rFonts w:eastAsia="Verdana" w:cs="Verdana"/>
        </w:rPr>
        <w:t xml:space="preserve"> with the potential to add </w:t>
      </w:r>
      <w:r>
        <w:rPr>
          <w:rFonts w:eastAsia="Verdana" w:cs="Verdana"/>
        </w:rPr>
        <w:t>28,200</w:t>
      </w:r>
      <w:r w:rsidRPr="5DAB0F3D">
        <w:rPr>
          <w:rFonts w:eastAsia="Verdana" w:cs="Verdana"/>
        </w:rPr>
        <w:t xml:space="preserve"> rooms</w:t>
      </w:r>
      <w:r>
        <w:rPr>
          <w:rStyle w:val="FootnoteReference"/>
        </w:rPr>
        <w:footnoteReference w:id="34"/>
      </w:r>
      <w:r w:rsidRPr="5DAB0F3D">
        <w:rPr>
          <w:rFonts w:eastAsia="Verdana" w:cs="Verdana"/>
        </w:rPr>
        <w:t xml:space="preserve"> to accommodation supply. </w:t>
      </w:r>
    </w:p>
    <w:p w14:paraId="7FDC8511" w14:textId="77777777" w:rsidR="00D849FB" w:rsidRDefault="00D849FB" w:rsidP="00203402">
      <w:pPr>
        <w:rPr>
          <w:rFonts w:eastAsia="Verdana" w:cs="Verdana"/>
        </w:rPr>
      </w:pPr>
    </w:p>
    <w:p w14:paraId="324E880F" w14:textId="1607A3DB" w:rsidR="00DC68EF" w:rsidRDefault="00DC68EF" w:rsidP="00192601">
      <w:pPr>
        <w:pStyle w:val="Heading4"/>
        <w:pBdr>
          <w:top w:val="thinThickSmallGap" w:sz="24" w:space="1" w:color="2E1A47" w:themeColor="accent2"/>
        </w:pBdr>
      </w:pPr>
      <w:bookmarkStart w:id="92" w:name="_Toc131073765"/>
      <w:r w:rsidRPr="00F31D6D">
        <w:t>FIFA Women’s World Cup 2023™</w:t>
      </w:r>
    </w:p>
    <w:p w14:paraId="34EACA4C" w14:textId="1F16ECE7" w:rsidR="00F31D6D" w:rsidRPr="00BE0524" w:rsidRDefault="00F31D6D" w:rsidP="00384D5D">
      <w:pPr>
        <w:rPr>
          <w:rStyle w:val="Emphasis"/>
        </w:rPr>
      </w:pPr>
      <w:r w:rsidRPr="00BE0524">
        <w:rPr>
          <w:rStyle w:val="Emphasis"/>
        </w:rPr>
        <w:t>Case study by Tourism Western Australia</w:t>
      </w:r>
    </w:p>
    <w:p w14:paraId="0E1F1818" w14:textId="5E6C0F53" w:rsidR="007301A8" w:rsidRDefault="00DC68EF" w:rsidP="00384D5D">
      <w:pPr>
        <w:rPr>
          <w:rFonts w:eastAsia="Times New Roman"/>
          <w:lang w:eastAsia="en-AU"/>
        </w:rPr>
      </w:pPr>
      <w:r w:rsidRPr="2CACA810">
        <w:rPr>
          <w:rFonts w:eastAsia="Times New Roman"/>
          <w:lang w:eastAsia="en-AU"/>
        </w:rPr>
        <w:t>The FIFA Women’s World Cup 2023</w:t>
      </w:r>
      <w:r w:rsidR="00384D5D" w:rsidRPr="00F31D6D">
        <w:t>™</w:t>
      </w:r>
      <w:r w:rsidRPr="2CACA810">
        <w:rPr>
          <w:rFonts w:eastAsia="Times New Roman"/>
          <w:lang w:eastAsia="en-AU"/>
        </w:rPr>
        <w:t xml:space="preserve"> – proudly supported by the Western Australian Government through Tourism WA –</w:t>
      </w:r>
      <w:r w:rsidR="00E45084">
        <w:rPr>
          <w:rFonts w:eastAsia="Times New Roman"/>
          <w:lang w:eastAsia="en-AU"/>
        </w:rPr>
        <w:t xml:space="preserve"> </w:t>
      </w:r>
      <w:r w:rsidRPr="2CACA810">
        <w:rPr>
          <w:rFonts w:eastAsia="Times New Roman"/>
          <w:lang w:eastAsia="en-AU"/>
        </w:rPr>
        <w:t xml:space="preserve">shone a global spotlight on Perth as </w:t>
      </w:r>
      <w:r w:rsidR="00947C0A">
        <w:rPr>
          <w:rFonts w:eastAsia="Times New Roman"/>
          <w:lang w:eastAsia="en-AU"/>
        </w:rPr>
        <w:t>one of the Australian</w:t>
      </w:r>
      <w:r w:rsidRPr="2CACA810">
        <w:rPr>
          <w:rFonts w:eastAsia="Times New Roman"/>
          <w:lang w:eastAsia="en-AU"/>
        </w:rPr>
        <w:t xml:space="preserve"> host cit</w:t>
      </w:r>
      <w:r w:rsidR="00947C0A">
        <w:rPr>
          <w:rFonts w:eastAsia="Times New Roman"/>
          <w:lang w:eastAsia="en-AU"/>
        </w:rPr>
        <w:t>ies</w:t>
      </w:r>
      <w:r w:rsidRPr="2CACA810">
        <w:rPr>
          <w:rFonts w:eastAsia="Times New Roman"/>
          <w:lang w:eastAsia="en-AU"/>
        </w:rPr>
        <w:t>.</w:t>
      </w:r>
    </w:p>
    <w:p w14:paraId="112A4C5B" w14:textId="71B83E7B" w:rsidR="00DC68EF" w:rsidRDefault="00DC68EF" w:rsidP="00384D5D">
      <w:pPr>
        <w:rPr>
          <w:rFonts w:eastAsia="Times New Roman" w:cstheme="minorHAnsi"/>
          <w:lang w:eastAsia="en-AU"/>
        </w:rPr>
      </w:pPr>
      <w:r w:rsidRPr="00697F30">
        <w:rPr>
          <w:rFonts w:eastAsia="Times New Roman" w:cstheme="minorHAnsi"/>
          <w:lang w:eastAsia="en-AU"/>
        </w:rPr>
        <w:t xml:space="preserve">West Australians and out-of-State visitors embraced the history-making tournament with more than 85,000 spectators flocking to Perth’s five matches (of which three sold out). Furthermore, nearly 41,000 fans attended the Forrest Place FIFA Fan Festival and HBF Park viewing sites.  Millions of global viewers also tuned in to see some of the world’s best footballers from Canada, Colombia, Denmark, Haiti, Jamaica, Morocco, Panama, Republic of Ireland and the People’s Republic of China battle it out at Perth Rectangular Stadium. The match between Denmark and the People’s Republic of China alone was watched by a staggering 45 million viewers in China – showcasing Perth’s world class sporting facilities to the huge Chinese inbound visitor market, ahead of Australia being reinstated as an approved destination for Chinese </w:t>
      </w:r>
      <w:r w:rsidR="00853A61">
        <w:rPr>
          <w:rFonts w:eastAsia="Times New Roman" w:cstheme="minorHAnsi"/>
          <w:lang w:eastAsia="en-AU"/>
        </w:rPr>
        <w:t xml:space="preserve">group </w:t>
      </w:r>
      <w:r w:rsidRPr="00697F30">
        <w:rPr>
          <w:rFonts w:eastAsia="Times New Roman" w:cstheme="minorHAnsi"/>
          <w:lang w:eastAsia="en-AU"/>
        </w:rPr>
        <w:t>travellers.</w:t>
      </w:r>
    </w:p>
    <w:p w14:paraId="2990FB4D" w14:textId="35CCE998" w:rsidR="00DC68EF" w:rsidRPr="00192601" w:rsidRDefault="00DC68EF" w:rsidP="00384D5D">
      <w:pPr>
        <w:rPr>
          <w:rFonts w:eastAsia="Times New Roman" w:cstheme="minorHAnsi"/>
          <w:lang w:eastAsia="en-AU"/>
        </w:rPr>
      </w:pPr>
      <w:r w:rsidRPr="00697F30">
        <w:rPr>
          <w:rFonts w:eastAsia="Times New Roman" w:cstheme="minorHAnsi"/>
          <w:lang w:eastAsia="en-AU"/>
        </w:rPr>
        <w:t xml:space="preserve">The post-event economic impact study revealed </w:t>
      </w:r>
      <w:r w:rsidRPr="00192601">
        <w:rPr>
          <w:rFonts w:eastAsia="Times New Roman" w:cstheme="minorHAnsi"/>
          <w:lang w:eastAsia="en-AU"/>
        </w:rPr>
        <w:t>that the tournament injected over $25</w:t>
      </w:r>
      <w:r w:rsidR="006128FE" w:rsidRPr="00192601">
        <w:rPr>
          <w:rFonts w:eastAsia="Times New Roman" w:cstheme="minorHAnsi"/>
          <w:lang w:eastAsia="en-AU"/>
        </w:rPr>
        <w:t> </w:t>
      </w:r>
      <w:r w:rsidRPr="00192601">
        <w:rPr>
          <w:rFonts w:eastAsia="Times New Roman" w:cstheme="minorHAnsi"/>
          <w:lang w:eastAsia="en-AU"/>
        </w:rPr>
        <w:t xml:space="preserve">million into the Western Australian economy through event holder and visitor spend. </w:t>
      </w:r>
    </w:p>
    <w:p w14:paraId="3A057C7C" w14:textId="0FB8C860" w:rsidR="00DC68EF" w:rsidRPr="00192601" w:rsidRDefault="00DC68EF" w:rsidP="00384D5D">
      <w:pPr>
        <w:rPr>
          <w:rFonts w:eastAsia="Times New Roman"/>
          <w:lang w:eastAsia="en-AU"/>
        </w:rPr>
      </w:pPr>
      <w:r w:rsidRPr="00192601">
        <w:rPr>
          <w:rFonts w:eastAsia="Times New Roman"/>
          <w:lang w:eastAsia="en-AU"/>
        </w:rPr>
        <w:t>Hosting the FIFA Women’s World Cup 2023™ was a once</w:t>
      </w:r>
      <w:r w:rsidR="41CDA930" w:rsidRPr="00192601">
        <w:rPr>
          <w:rFonts w:eastAsia="Times New Roman"/>
          <w:lang w:eastAsia="en-AU"/>
        </w:rPr>
        <w:t>-</w:t>
      </w:r>
      <w:r w:rsidRPr="00192601">
        <w:rPr>
          <w:rFonts w:eastAsia="Times New Roman"/>
          <w:lang w:eastAsia="en-AU"/>
        </w:rPr>
        <w:t>in</w:t>
      </w:r>
      <w:r w:rsidR="6721C125" w:rsidRPr="00192601">
        <w:rPr>
          <w:rFonts w:eastAsia="Times New Roman"/>
          <w:lang w:eastAsia="en-AU"/>
        </w:rPr>
        <w:t>-</w:t>
      </w:r>
      <w:r w:rsidRPr="00192601">
        <w:rPr>
          <w:rFonts w:eastAsia="Times New Roman"/>
          <w:lang w:eastAsia="en-AU"/>
        </w:rPr>
        <w:t>a</w:t>
      </w:r>
      <w:r w:rsidR="140ABB93" w:rsidRPr="00192601">
        <w:rPr>
          <w:rFonts w:eastAsia="Times New Roman"/>
          <w:lang w:eastAsia="en-AU"/>
        </w:rPr>
        <w:t>-</w:t>
      </w:r>
      <w:r w:rsidRPr="00192601">
        <w:rPr>
          <w:rFonts w:eastAsia="Times New Roman"/>
          <w:lang w:eastAsia="en-AU"/>
        </w:rPr>
        <w:t>lifetime opportunity to realise a truly meaningful legacy. The social benefits included more than $35 million invested in upgrades to Perth Rectangular Stadium, Dorrien Gardens and the State Football Centre. In addition, thousands of young women and girls have been inspired to join the game. Football West reported a 54.5% increase in overall female player registrations, 101.9% increase in female coach registrations and 580% increase in female referee registrations.</w:t>
      </w:r>
    </w:p>
    <w:p w14:paraId="7F856DC5" w14:textId="58F4D3CD" w:rsidR="00DC68EF" w:rsidRPr="0051390E" w:rsidRDefault="00DC68EF" w:rsidP="00192601">
      <w:pPr>
        <w:pBdr>
          <w:bottom w:val="thickThinSmallGap" w:sz="24" w:space="1" w:color="2E1A47" w:themeColor="accent2"/>
        </w:pBdr>
      </w:pPr>
      <w:r w:rsidRPr="0051390E">
        <w:t xml:space="preserve">Post the FIFA Women’s World Cup 2023™, </w:t>
      </w:r>
      <w:r w:rsidR="004D4578">
        <w:t xml:space="preserve">Tourism WA is </w:t>
      </w:r>
      <w:r w:rsidRPr="0051390E">
        <w:t xml:space="preserve">excited to welcome even more football fans from around the world to Western Australia to experience </w:t>
      </w:r>
      <w:r w:rsidR="004D4578">
        <w:t>the</w:t>
      </w:r>
      <w:r w:rsidRPr="0051390E">
        <w:t xml:space="preserve"> state as an incredible </w:t>
      </w:r>
      <w:r w:rsidR="00CE4AE4" w:rsidRPr="0051390E">
        <w:t xml:space="preserve">holiday </w:t>
      </w:r>
      <w:r w:rsidRPr="0051390E">
        <w:t xml:space="preserve">and </w:t>
      </w:r>
      <w:r w:rsidR="00CE4AE4" w:rsidRPr="0051390E">
        <w:t xml:space="preserve">events </w:t>
      </w:r>
      <w:r w:rsidRPr="0051390E">
        <w:t>destination.</w:t>
      </w:r>
    </w:p>
    <w:p w14:paraId="4D560586" w14:textId="20BFF9B1" w:rsidR="00BA0140" w:rsidRDefault="00BA0140" w:rsidP="00BA0140">
      <w:pPr>
        <w:pStyle w:val="Heading2"/>
        <w:spacing w:before="720"/>
      </w:pPr>
      <w:bookmarkStart w:id="93" w:name="_Toc135990469"/>
      <w:bookmarkStart w:id="94" w:name="_Toc167113895"/>
      <w:r>
        <w:lastRenderedPageBreak/>
        <w:t>Looking forward</w:t>
      </w:r>
      <w:bookmarkEnd w:id="92"/>
      <w:bookmarkEnd w:id="93"/>
      <w:bookmarkEnd w:id="94"/>
    </w:p>
    <w:p w14:paraId="0E946A00" w14:textId="65A3E102" w:rsidR="00B40C0F" w:rsidRDefault="0043130C" w:rsidP="00B40C0F">
      <w:pPr>
        <w:rPr>
          <w:rFonts w:eastAsia="Verdana" w:cs="Times New Roman"/>
          <w:color w:val="000000"/>
        </w:rPr>
      </w:pPr>
      <w:r w:rsidRPr="04CB4D8C">
        <w:rPr>
          <w:rFonts w:eastAsia="Verdana" w:cs="Times New Roman"/>
          <w:lang w:eastAsia="zh-CN"/>
        </w:rPr>
        <w:t xml:space="preserve">Australia’s visitor economy </w:t>
      </w:r>
      <w:r w:rsidR="00817ED9" w:rsidRPr="04CB4D8C">
        <w:rPr>
          <w:rFonts w:eastAsia="Verdana" w:cs="Times New Roman"/>
          <w:lang w:eastAsia="zh-CN"/>
        </w:rPr>
        <w:t xml:space="preserve">has </w:t>
      </w:r>
      <w:r w:rsidRPr="04CB4D8C">
        <w:rPr>
          <w:rFonts w:eastAsia="Verdana" w:cs="Times New Roman"/>
          <w:lang w:eastAsia="zh-CN"/>
        </w:rPr>
        <w:t xml:space="preserve">made substantial progress towards </w:t>
      </w:r>
      <w:r w:rsidR="00817ED9" w:rsidRPr="04CB4D8C">
        <w:rPr>
          <w:rFonts w:eastAsia="Verdana" w:cs="Times New Roman"/>
          <w:lang w:eastAsia="zh-CN"/>
        </w:rPr>
        <w:t>achieving sustainable development and ambitious spending targets.</w:t>
      </w:r>
      <w:r w:rsidR="00B40C0F" w:rsidRPr="04CB4D8C">
        <w:rPr>
          <w:rFonts w:eastAsia="Verdana" w:cs="Times New Roman"/>
        </w:rPr>
        <w:t xml:space="preserve"> In 2023, </w:t>
      </w:r>
      <w:r w:rsidR="00147494" w:rsidRPr="04CB4D8C">
        <w:rPr>
          <w:rFonts w:eastAsia="Verdana" w:cs="Times New Roman"/>
        </w:rPr>
        <w:t xml:space="preserve">Austrade </w:t>
      </w:r>
      <w:r w:rsidR="00B40C0F" w:rsidRPr="04CB4D8C">
        <w:rPr>
          <w:rFonts w:eastAsia="Verdana" w:cs="Times New Roman"/>
        </w:rPr>
        <w:t>release</w:t>
      </w:r>
      <w:r w:rsidR="00147494" w:rsidRPr="04CB4D8C">
        <w:rPr>
          <w:rFonts w:eastAsia="Verdana" w:cs="Times New Roman"/>
        </w:rPr>
        <w:t xml:space="preserve">d </w:t>
      </w:r>
      <w:r w:rsidR="00B40C0F" w:rsidRPr="04CB4D8C">
        <w:rPr>
          <w:rFonts w:eastAsia="Verdana" w:cs="Times New Roman"/>
        </w:rPr>
        <w:t xml:space="preserve">the </w:t>
      </w:r>
      <w:r w:rsidR="00132342">
        <w:rPr>
          <w:rFonts w:eastAsia="Verdana" w:cs="Times New Roman"/>
        </w:rPr>
        <w:t>N</w:t>
      </w:r>
      <w:r w:rsidR="00B40C0F" w:rsidRPr="04CB4D8C">
        <w:rPr>
          <w:rFonts w:eastAsia="Verdana" w:cs="Times New Roman"/>
        </w:rPr>
        <w:t xml:space="preserve">ational </w:t>
      </w:r>
      <w:r w:rsidR="00132342">
        <w:rPr>
          <w:rFonts w:eastAsia="Verdana" w:cs="Times New Roman"/>
        </w:rPr>
        <w:t>S</w:t>
      </w:r>
      <w:r w:rsidR="00B40C0F" w:rsidRPr="04CB4D8C">
        <w:rPr>
          <w:rFonts w:eastAsia="Verdana" w:cs="Times New Roman"/>
        </w:rPr>
        <w:t xml:space="preserve">ustainability </w:t>
      </w:r>
      <w:r w:rsidR="00132342">
        <w:rPr>
          <w:rFonts w:eastAsia="Verdana" w:cs="Times New Roman"/>
        </w:rPr>
        <w:t>F</w:t>
      </w:r>
      <w:r w:rsidR="00B40C0F" w:rsidRPr="04CB4D8C">
        <w:rPr>
          <w:rFonts w:eastAsia="Verdana" w:cs="Times New Roman"/>
        </w:rPr>
        <w:t>ramework</w:t>
      </w:r>
      <w:r w:rsidR="00473031" w:rsidRPr="04CB4D8C">
        <w:rPr>
          <w:rFonts w:eastAsia="Verdana" w:cs="Times New Roman"/>
        </w:rPr>
        <w:t xml:space="preserve"> for the </w:t>
      </w:r>
      <w:r w:rsidR="00132342">
        <w:rPr>
          <w:rFonts w:eastAsia="Verdana" w:cs="Times New Roman"/>
        </w:rPr>
        <w:t>V</w:t>
      </w:r>
      <w:r w:rsidR="00473031" w:rsidRPr="04CB4D8C">
        <w:rPr>
          <w:rFonts w:eastAsia="Verdana" w:cs="Times New Roman"/>
        </w:rPr>
        <w:t xml:space="preserve">isitor </w:t>
      </w:r>
      <w:r w:rsidR="00132342">
        <w:rPr>
          <w:rFonts w:eastAsia="Verdana" w:cs="Times New Roman"/>
        </w:rPr>
        <w:t>E</w:t>
      </w:r>
      <w:r w:rsidR="00473031" w:rsidRPr="04CB4D8C">
        <w:rPr>
          <w:rFonts w:eastAsia="Verdana" w:cs="Times New Roman"/>
        </w:rPr>
        <w:t xml:space="preserve">conomy and </w:t>
      </w:r>
      <w:r w:rsidR="00B40C0F" w:rsidRPr="04CB4D8C">
        <w:rPr>
          <w:rFonts w:eastAsia="Verdana" w:cs="Times New Roman"/>
        </w:rPr>
        <w:t xml:space="preserve">TRA </w:t>
      </w:r>
      <w:r w:rsidR="008C64FD">
        <w:rPr>
          <w:rFonts w:eastAsia="Verdana" w:cs="Times New Roman"/>
        </w:rPr>
        <w:t>is developing a</w:t>
      </w:r>
      <w:r w:rsidR="00B40C0F">
        <w:rPr>
          <w:rFonts w:eastAsia="Verdana" w:cs="Times New Roman"/>
        </w:rPr>
        <w:t xml:space="preserve"> </w:t>
      </w:r>
      <w:r w:rsidR="009B278C">
        <w:rPr>
          <w:rFonts w:eastAsia="Verdana" w:cs="Times New Roman"/>
        </w:rPr>
        <w:t>framework of</w:t>
      </w:r>
      <w:r w:rsidR="00B40C0F" w:rsidRPr="04CB4D8C">
        <w:rPr>
          <w:rFonts w:eastAsia="Verdana" w:cs="Times New Roman"/>
        </w:rPr>
        <w:t xml:space="preserve"> Longitudinal Indicators </w:t>
      </w:r>
      <w:r w:rsidR="001634DE">
        <w:rPr>
          <w:rFonts w:eastAsia="Verdana" w:cs="Times New Roman"/>
        </w:rPr>
        <w:t>for</w:t>
      </w:r>
      <w:r w:rsidR="00B40C0F" w:rsidRPr="04CB4D8C">
        <w:rPr>
          <w:rFonts w:eastAsia="Verdana" w:cs="Times New Roman"/>
        </w:rPr>
        <w:t xml:space="preserve"> the Visitor Economy</w:t>
      </w:r>
      <w:r w:rsidR="00DE1DB6">
        <w:rPr>
          <w:rFonts w:eastAsia="Verdana" w:cs="Times New Roman"/>
        </w:rPr>
        <w:t xml:space="preserve"> </w:t>
      </w:r>
      <w:r w:rsidR="008C64FD">
        <w:rPr>
          <w:rFonts w:eastAsia="Verdana" w:cs="Times New Roman"/>
        </w:rPr>
        <w:t>to</w:t>
      </w:r>
      <w:r w:rsidR="00B40C0F" w:rsidRPr="04CB4D8C">
        <w:rPr>
          <w:rFonts w:eastAsia="Verdana" w:cs="Times New Roman"/>
        </w:rPr>
        <w:t xml:space="preserve"> actively measure progress on sustainable development</w:t>
      </w:r>
      <w:r w:rsidR="00466E3D">
        <w:rPr>
          <w:rFonts w:eastAsia="Verdana" w:cs="Times New Roman"/>
        </w:rPr>
        <w:t xml:space="preserve"> of the sector</w:t>
      </w:r>
      <w:r w:rsidR="00B40C0F" w:rsidRPr="54FDCAFB">
        <w:rPr>
          <w:rFonts w:eastAsia="Verdana" w:cs="Times New Roman"/>
        </w:rPr>
        <w:t>.</w:t>
      </w:r>
      <w:r w:rsidR="00B40C0F" w:rsidRPr="04CB4D8C">
        <w:rPr>
          <w:rFonts w:eastAsia="Verdana" w:cs="Times New Roman"/>
        </w:rPr>
        <w:t xml:space="preserve"> The LIVE </w:t>
      </w:r>
      <w:r w:rsidR="00466E3D">
        <w:rPr>
          <w:rFonts w:eastAsia="Verdana" w:cs="Times New Roman"/>
        </w:rPr>
        <w:t>Framework</w:t>
      </w:r>
      <w:r w:rsidR="00466E3D" w:rsidRPr="04CB4D8C">
        <w:rPr>
          <w:rFonts w:eastAsia="Verdana" w:cs="Times New Roman"/>
        </w:rPr>
        <w:t xml:space="preserve"> </w:t>
      </w:r>
      <w:r w:rsidR="00B40C0F" w:rsidRPr="04CB4D8C">
        <w:rPr>
          <w:rFonts w:eastAsia="Verdana" w:cs="Times New Roman"/>
        </w:rPr>
        <w:t xml:space="preserve">will routinely report on </w:t>
      </w:r>
      <w:r w:rsidR="006E4E47">
        <w:rPr>
          <w:rFonts w:eastAsia="Verdana" w:cs="Times New Roman"/>
        </w:rPr>
        <w:t>progress</w:t>
      </w:r>
      <w:r w:rsidR="006E4E47" w:rsidRPr="04CB4D8C">
        <w:rPr>
          <w:rFonts w:eastAsia="Verdana" w:cs="Times New Roman"/>
        </w:rPr>
        <w:t xml:space="preserve"> </w:t>
      </w:r>
      <w:r w:rsidR="00B40C0F" w:rsidRPr="04CB4D8C">
        <w:rPr>
          <w:rFonts w:eastAsia="Verdana" w:cs="Times New Roman"/>
        </w:rPr>
        <w:t xml:space="preserve">across a range of economic, social and environmental indicators. </w:t>
      </w:r>
    </w:p>
    <w:p w14:paraId="4DF04DD2" w14:textId="4CB7A482" w:rsidR="000434E9" w:rsidRDefault="00D169F4" w:rsidP="000434E9">
      <w:pPr>
        <w:rPr>
          <w:rFonts w:eastAsia="Verdana" w:cs="Times New Roman"/>
          <w:color w:val="000000"/>
        </w:rPr>
      </w:pPr>
      <w:r w:rsidRPr="54FDCAFB">
        <w:rPr>
          <w:rFonts w:eastAsia="Verdana" w:cs="Times New Roman"/>
          <w:lang w:eastAsia="zh-CN"/>
        </w:rPr>
        <w:t xml:space="preserve">Spending targets </w:t>
      </w:r>
      <w:r w:rsidR="005D1BC6">
        <w:rPr>
          <w:rFonts w:eastAsia="Verdana" w:cs="Times New Roman"/>
          <w:lang w:eastAsia="zh-CN"/>
        </w:rPr>
        <w:t xml:space="preserve">for the visitor economy </w:t>
      </w:r>
      <w:r w:rsidR="00452ACE">
        <w:rPr>
          <w:rFonts w:eastAsia="Verdana" w:cs="Times New Roman"/>
          <w:lang w:eastAsia="zh-CN"/>
        </w:rPr>
        <w:t xml:space="preserve">set in the national THRIVE </w:t>
      </w:r>
      <w:r w:rsidR="0019675B">
        <w:rPr>
          <w:rFonts w:eastAsia="Verdana" w:cs="Times New Roman"/>
          <w:lang w:eastAsia="zh-CN"/>
        </w:rPr>
        <w:t xml:space="preserve">2030 </w:t>
      </w:r>
      <w:r w:rsidR="00452ACE">
        <w:rPr>
          <w:rFonts w:eastAsia="Verdana" w:cs="Times New Roman"/>
          <w:lang w:eastAsia="zh-CN"/>
        </w:rPr>
        <w:t xml:space="preserve">Strategy </w:t>
      </w:r>
      <w:r w:rsidRPr="54FDCAFB">
        <w:rPr>
          <w:rFonts w:eastAsia="Verdana" w:cs="Times New Roman"/>
          <w:lang w:eastAsia="zh-CN"/>
        </w:rPr>
        <w:t xml:space="preserve">were surpassed in 2023, </w:t>
      </w:r>
      <w:r w:rsidR="00C76A09">
        <w:rPr>
          <w:rFonts w:eastAsia="Verdana" w:cs="Times New Roman"/>
          <w:lang w:eastAsia="zh-CN"/>
        </w:rPr>
        <w:t>noting</w:t>
      </w:r>
      <w:r w:rsidR="00C76A09" w:rsidRPr="54FDCAFB">
        <w:rPr>
          <w:rFonts w:eastAsia="Verdana" w:cs="Times New Roman"/>
          <w:lang w:eastAsia="zh-CN"/>
        </w:rPr>
        <w:t xml:space="preserve"> </w:t>
      </w:r>
      <w:r w:rsidR="00386FAF" w:rsidRPr="54FDCAFB">
        <w:rPr>
          <w:rFonts w:eastAsia="Verdana" w:cs="Times New Roman"/>
          <w:lang w:eastAsia="zh-CN"/>
        </w:rPr>
        <w:t xml:space="preserve">spend measures were </w:t>
      </w:r>
      <w:r w:rsidR="009569A9" w:rsidRPr="54FDCAFB">
        <w:rPr>
          <w:rFonts w:eastAsia="Verdana" w:cs="Times New Roman"/>
          <w:lang w:eastAsia="zh-CN"/>
        </w:rPr>
        <w:t>boost</w:t>
      </w:r>
      <w:r w:rsidR="00386FAF" w:rsidRPr="54FDCAFB">
        <w:rPr>
          <w:rFonts w:eastAsia="Verdana" w:cs="Times New Roman"/>
          <w:lang w:eastAsia="zh-CN"/>
        </w:rPr>
        <w:t>ed</w:t>
      </w:r>
      <w:r w:rsidRPr="54FDCAFB">
        <w:rPr>
          <w:rFonts w:eastAsia="Verdana" w:cs="Times New Roman"/>
          <w:lang w:eastAsia="zh-CN"/>
        </w:rPr>
        <w:t xml:space="preserve"> </w:t>
      </w:r>
      <w:r w:rsidR="000D2876">
        <w:rPr>
          <w:rFonts w:eastAsia="Verdana" w:cs="Times New Roman"/>
          <w:lang w:eastAsia="zh-CN"/>
        </w:rPr>
        <w:t xml:space="preserve">in part </w:t>
      </w:r>
      <w:r w:rsidR="00386FAF" w:rsidRPr="54FDCAFB">
        <w:rPr>
          <w:rFonts w:eastAsia="Verdana" w:cs="Times New Roman"/>
          <w:lang w:eastAsia="zh-CN"/>
        </w:rPr>
        <w:t xml:space="preserve">by </w:t>
      </w:r>
      <w:r w:rsidRPr="54FDCAFB">
        <w:rPr>
          <w:rFonts w:eastAsia="Verdana" w:cs="Times New Roman"/>
          <w:lang w:eastAsia="zh-CN"/>
        </w:rPr>
        <w:t>elevated inflation</w:t>
      </w:r>
      <w:r w:rsidR="00C76A09">
        <w:rPr>
          <w:rFonts w:eastAsia="Verdana" w:cs="Times New Roman"/>
          <w:lang w:eastAsia="zh-CN"/>
        </w:rPr>
        <w:t xml:space="preserve"> immediately following the pandemic</w:t>
      </w:r>
      <w:r w:rsidR="000434E9" w:rsidRPr="54FDCAFB">
        <w:rPr>
          <w:rFonts w:eastAsia="Verdana" w:cs="Times New Roman"/>
          <w:lang w:eastAsia="zh-CN"/>
        </w:rPr>
        <w:t>.</w:t>
      </w:r>
      <w:r w:rsidR="000434E9" w:rsidRPr="54FDCAFB">
        <w:rPr>
          <w:rFonts w:eastAsia="Verdana" w:cs="Times New Roman"/>
        </w:rPr>
        <w:t xml:space="preserve"> Total </w:t>
      </w:r>
      <w:r w:rsidR="009414DE">
        <w:rPr>
          <w:rFonts w:eastAsia="Verdana" w:cs="Times New Roman"/>
        </w:rPr>
        <w:t xml:space="preserve">short-term </w:t>
      </w:r>
      <w:r w:rsidR="000434E9" w:rsidRPr="54FDCAFB">
        <w:rPr>
          <w:rFonts w:eastAsia="Verdana" w:cs="Times New Roman"/>
        </w:rPr>
        <w:t>visitor expenditure in Australia was 23% above its pre-pandemic level in 2023 and is forecast to continue rising strongly to reach over $220 billion by 2028</w:t>
      </w:r>
      <w:r w:rsidR="7C08BC91" w:rsidRPr="6CE15FC9">
        <w:rPr>
          <w:rFonts w:eastAsia="Verdana" w:cs="Times New Roman"/>
        </w:rPr>
        <w:t xml:space="preserve">, </w:t>
      </w:r>
      <w:r w:rsidR="000434E9" w:rsidRPr="54FDCAFB">
        <w:rPr>
          <w:rFonts w:eastAsia="Verdana" w:cs="Times New Roman"/>
        </w:rPr>
        <w:t>61% above the level in 2019. This includes:</w:t>
      </w:r>
    </w:p>
    <w:p w14:paraId="16E63F98" w14:textId="4AF2F97D" w:rsidR="000434E9" w:rsidRDefault="000434E9" w:rsidP="000434E9">
      <w:pPr>
        <w:pStyle w:val="BulletList"/>
      </w:pPr>
      <w:r>
        <w:t>international visitor expenditure in Australia exceeding pre-pandemic levels in 2024 before increasing to $</w:t>
      </w:r>
      <w:r w:rsidR="00CE26B9">
        <w:t>50.7</w:t>
      </w:r>
      <w:r>
        <w:t xml:space="preserve"> billion by 2028</w:t>
      </w:r>
      <w:r w:rsidR="63DCFA0D">
        <w:t xml:space="preserve">, </w:t>
      </w:r>
      <w:r w:rsidRPr="377B9FDE">
        <w:rPr>
          <w:rFonts w:eastAsia="Verdana" w:cs="Times New Roman"/>
        </w:rPr>
        <w:t xml:space="preserve">61% above the level in </w:t>
      </w:r>
      <w:proofErr w:type="gramStart"/>
      <w:r w:rsidRPr="377B9FDE">
        <w:rPr>
          <w:rFonts w:eastAsia="Verdana" w:cs="Times New Roman"/>
        </w:rPr>
        <w:t>2019</w:t>
      </w:r>
      <w:proofErr w:type="gramEnd"/>
    </w:p>
    <w:p w14:paraId="1A225694" w14:textId="23AA5B7F" w:rsidR="000434E9" w:rsidRDefault="000434E9" w:rsidP="000434E9">
      <w:pPr>
        <w:pStyle w:val="BulletList"/>
      </w:pPr>
      <w:r>
        <w:t>domestic overnight trip expenditure reaching $</w:t>
      </w:r>
      <w:r w:rsidR="005F38D2">
        <w:t>132.0</w:t>
      </w:r>
      <w:r>
        <w:t xml:space="preserve"> billion</w:t>
      </w:r>
      <w:r w:rsidRPr="005C509C">
        <w:t xml:space="preserve"> </w:t>
      </w:r>
      <w:r>
        <w:t>by 2028</w:t>
      </w:r>
      <w:r w:rsidR="373EA74B">
        <w:t>,</w:t>
      </w:r>
      <w:r w:rsidR="004134B3">
        <w:t xml:space="preserve"> </w:t>
      </w:r>
      <w:r w:rsidRPr="377B9FDE">
        <w:rPr>
          <w:rFonts w:eastAsia="Verdana" w:cs="Times New Roman"/>
        </w:rPr>
        <w:t xml:space="preserve">64% above the level in </w:t>
      </w:r>
      <w:proofErr w:type="gramStart"/>
      <w:r w:rsidRPr="377B9FDE">
        <w:rPr>
          <w:rFonts w:eastAsia="Verdana" w:cs="Times New Roman"/>
        </w:rPr>
        <w:t>2019</w:t>
      </w:r>
      <w:proofErr w:type="gramEnd"/>
    </w:p>
    <w:p w14:paraId="3260339F" w14:textId="5A7EA26B" w:rsidR="000434E9" w:rsidRPr="005C509C" w:rsidRDefault="000434E9" w:rsidP="000434E9">
      <w:pPr>
        <w:pStyle w:val="BulletList"/>
      </w:pPr>
      <w:r>
        <w:t>day trip expenditure reaching $4</w:t>
      </w:r>
      <w:r w:rsidR="005F38D2">
        <w:t xml:space="preserve">0.5 </w:t>
      </w:r>
      <w:r>
        <w:t>billion by 2028</w:t>
      </w:r>
      <w:r w:rsidR="17FCD8C0">
        <w:t xml:space="preserve">, </w:t>
      </w:r>
      <w:r w:rsidRPr="377B9FDE">
        <w:rPr>
          <w:rFonts w:eastAsia="Verdana" w:cs="Times New Roman"/>
        </w:rPr>
        <w:t>54% above the level in 201</w:t>
      </w:r>
      <w:r w:rsidR="00AB5895">
        <w:rPr>
          <w:rFonts w:eastAsia="Verdana" w:cs="Times New Roman"/>
        </w:rPr>
        <w:t>9</w:t>
      </w:r>
      <w:r w:rsidRPr="005C509C">
        <w:t>.</w:t>
      </w:r>
    </w:p>
    <w:p w14:paraId="2484EAC1" w14:textId="5CBC8410" w:rsidR="000311EC" w:rsidRDefault="00363686" w:rsidP="00BA0140">
      <w:pPr>
        <w:rPr>
          <w:rFonts w:eastAsia="Verdana" w:cs="Times New Roman"/>
          <w:color w:val="000000"/>
          <w:lang w:eastAsia="zh-CN"/>
        </w:rPr>
      </w:pPr>
      <w:r>
        <w:rPr>
          <w:rFonts w:eastAsia="Verdana" w:cs="Times New Roman"/>
          <w:color w:val="000000"/>
          <w:lang w:eastAsia="zh-CN"/>
        </w:rPr>
        <w:t xml:space="preserve">In </w:t>
      </w:r>
      <w:r w:rsidR="008A3EA2">
        <w:rPr>
          <w:rFonts w:eastAsia="Verdana" w:cs="Times New Roman"/>
          <w:color w:val="000000"/>
          <w:lang w:eastAsia="zh-CN"/>
        </w:rPr>
        <w:t>2023</w:t>
      </w:r>
      <w:r>
        <w:rPr>
          <w:rFonts w:eastAsia="Verdana" w:cs="Times New Roman"/>
          <w:color w:val="000000"/>
          <w:lang w:eastAsia="zh-CN"/>
        </w:rPr>
        <w:t>,</w:t>
      </w:r>
      <w:r w:rsidR="00817ED9">
        <w:rPr>
          <w:rFonts w:eastAsia="Verdana" w:cs="Times New Roman"/>
          <w:color w:val="000000"/>
          <w:lang w:eastAsia="zh-CN"/>
        </w:rPr>
        <w:t xml:space="preserve"> </w:t>
      </w:r>
      <w:r>
        <w:rPr>
          <w:rFonts w:eastAsia="Verdana" w:cs="Times New Roman"/>
          <w:color w:val="000000"/>
          <w:lang w:eastAsia="zh-CN"/>
        </w:rPr>
        <w:t>i</w:t>
      </w:r>
      <w:r w:rsidR="000953A7">
        <w:rPr>
          <w:rFonts w:eastAsia="Verdana" w:cs="Times New Roman"/>
          <w:color w:val="000000"/>
          <w:lang w:eastAsia="zh-CN"/>
        </w:rPr>
        <w:t xml:space="preserve">nternational tourism demand continued its rapid growth off a low base and </w:t>
      </w:r>
      <w:r>
        <w:rPr>
          <w:rFonts w:eastAsia="Verdana" w:cs="Times New Roman"/>
          <w:color w:val="000000"/>
          <w:lang w:eastAsia="zh-CN"/>
        </w:rPr>
        <w:t>international arrivals were</w:t>
      </w:r>
      <w:r w:rsidR="005E46C7">
        <w:rPr>
          <w:rFonts w:eastAsia="Verdana" w:cs="Times New Roman"/>
          <w:color w:val="000000"/>
          <w:lang w:eastAsia="zh-CN"/>
        </w:rPr>
        <w:t xml:space="preserve"> at 76% of the pre-pandemic level in 2023 overall, while</w:t>
      </w:r>
      <w:r w:rsidR="21C02E6B">
        <w:rPr>
          <w:rFonts w:eastAsia="Verdana" w:cs="Times New Roman"/>
          <w:color w:val="000000"/>
          <w:lang w:eastAsia="zh-CN"/>
        </w:rPr>
        <w:t>, in September 2023,</w:t>
      </w:r>
      <w:r w:rsidR="005E46C7">
        <w:rPr>
          <w:rFonts w:eastAsia="Verdana" w:cs="Times New Roman"/>
          <w:color w:val="000000"/>
          <w:lang w:eastAsia="zh-CN"/>
        </w:rPr>
        <w:t xml:space="preserve"> </w:t>
      </w:r>
      <w:r w:rsidR="00893F0B">
        <w:rPr>
          <w:rFonts w:eastAsia="Verdana" w:cs="Times New Roman"/>
          <w:color w:val="000000"/>
          <w:lang w:eastAsia="zh-CN"/>
        </w:rPr>
        <w:t xml:space="preserve">monthly </w:t>
      </w:r>
      <w:r w:rsidR="000953A7">
        <w:rPr>
          <w:rFonts w:eastAsia="Verdana" w:cs="Times New Roman"/>
          <w:color w:val="000000"/>
          <w:lang w:eastAsia="zh-CN"/>
        </w:rPr>
        <w:t xml:space="preserve">international arrivals </w:t>
      </w:r>
      <w:r w:rsidR="00893F0B">
        <w:rPr>
          <w:rFonts w:eastAsia="Verdana" w:cs="Times New Roman"/>
          <w:color w:val="000000"/>
          <w:lang w:eastAsia="zh-CN"/>
        </w:rPr>
        <w:t>peaked at 84</w:t>
      </w:r>
      <w:r w:rsidR="000953A7">
        <w:rPr>
          <w:rFonts w:eastAsia="Verdana" w:cs="Times New Roman"/>
          <w:color w:val="000000"/>
          <w:lang w:eastAsia="zh-CN"/>
        </w:rPr>
        <w:t xml:space="preserve">% of the pre-pandemic </w:t>
      </w:r>
      <w:r w:rsidR="00893F0B">
        <w:rPr>
          <w:rFonts w:eastAsia="Verdana" w:cs="Times New Roman"/>
          <w:color w:val="000000"/>
          <w:lang w:eastAsia="zh-CN"/>
        </w:rPr>
        <w:t xml:space="preserve">equivalent </w:t>
      </w:r>
      <w:r w:rsidR="00AC0C30">
        <w:rPr>
          <w:rFonts w:eastAsia="Verdana" w:cs="Times New Roman"/>
          <w:color w:val="000000"/>
          <w:lang w:eastAsia="zh-CN"/>
        </w:rPr>
        <w:t>during the year</w:t>
      </w:r>
      <w:r w:rsidR="000953A7">
        <w:rPr>
          <w:rFonts w:eastAsia="Verdana" w:cs="Times New Roman"/>
          <w:color w:val="000000"/>
          <w:lang w:eastAsia="zh-CN"/>
        </w:rPr>
        <w:t>.</w:t>
      </w:r>
      <w:r w:rsidR="00DD5893">
        <w:rPr>
          <w:rStyle w:val="FootnoteReference"/>
          <w:rFonts w:eastAsia="Verdana" w:cs="Times New Roman"/>
          <w:color w:val="000000"/>
          <w:lang w:eastAsia="zh-CN"/>
        </w:rPr>
        <w:footnoteReference w:id="35"/>
      </w:r>
      <w:r w:rsidR="000953A7">
        <w:rPr>
          <w:rFonts w:eastAsia="Verdana" w:cs="Times New Roman"/>
          <w:color w:val="000000"/>
          <w:lang w:eastAsia="zh-CN"/>
        </w:rPr>
        <w:t xml:space="preserve"> </w:t>
      </w:r>
      <w:r w:rsidR="00F67B70">
        <w:rPr>
          <w:rFonts w:eastAsia="Verdana" w:cs="Times New Roman"/>
          <w:color w:val="000000"/>
          <w:lang w:eastAsia="zh-CN"/>
        </w:rPr>
        <w:t xml:space="preserve">In the period </w:t>
      </w:r>
      <w:r w:rsidR="00F67B70" w:rsidRPr="00F67B70">
        <w:rPr>
          <w:rFonts w:eastAsia="Verdana" w:cs="Times New Roman"/>
          <w:lang w:eastAsia="zh-CN"/>
        </w:rPr>
        <w:t xml:space="preserve">January to March 2024, international arrivals </w:t>
      </w:r>
      <w:r w:rsidR="00F67B70">
        <w:rPr>
          <w:rFonts w:eastAsia="Verdana" w:cs="Times New Roman"/>
          <w:lang w:eastAsia="zh-CN"/>
        </w:rPr>
        <w:t xml:space="preserve">were at </w:t>
      </w:r>
      <w:r w:rsidR="00F67B70" w:rsidRPr="00F67B70">
        <w:rPr>
          <w:rFonts w:eastAsia="Verdana" w:cs="Times New Roman"/>
          <w:lang w:eastAsia="zh-CN"/>
        </w:rPr>
        <w:t>89</w:t>
      </w:r>
      <w:r w:rsidR="00F67B70">
        <w:rPr>
          <w:rFonts w:eastAsia="Verdana" w:cs="Times New Roman"/>
          <w:lang w:eastAsia="zh-CN"/>
        </w:rPr>
        <w:t xml:space="preserve">% </w:t>
      </w:r>
      <w:r w:rsidR="00F67B70" w:rsidRPr="00F67B70">
        <w:rPr>
          <w:rFonts w:eastAsia="Verdana" w:cs="Times New Roman"/>
          <w:lang w:eastAsia="zh-CN"/>
        </w:rPr>
        <w:t xml:space="preserve">of </w:t>
      </w:r>
      <w:r w:rsidR="00F67B70">
        <w:rPr>
          <w:rFonts w:eastAsia="Verdana" w:cs="Times New Roman"/>
          <w:lang w:eastAsia="zh-CN"/>
        </w:rPr>
        <w:t xml:space="preserve">the </w:t>
      </w:r>
      <w:r w:rsidR="00F67B70" w:rsidRPr="00F67B70">
        <w:rPr>
          <w:rFonts w:eastAsia="Verdana" w:cs="Times New Roman"/>
          <w:lang w:eastAsia="zh-CN"/>
        </w:rPr>
        <w:t>pre-</w:t>
      </w:r>
      <w:r w:rsidR="00F67B70">
        <w:rPr>
          <w:rFonts w:eastAsia="Verdana" w:cs="Times New Roman"/>
          <w:lang w:eastAsia="zh-CN"/>
        </w:rPr>
        <w:t xml:space="preserve">pandemic </w:t>
      </w:r>
      <w:r w:rsidR="00F67B70" w:rsidRPr="00F67B70">
        <w:rPr>
          <w:rFonts w:eastAsia="Verdana" w:cs="Times New Roman"/>
          <w:lang w:eastAsia="zh-CN"/>
        </w:rPr>
        <w:t>level. </w:t>
      </w:r>
      <w:r w:rsidR="09FDCCF6">
        <w:rPr>
          <w:rFonts w:eastAsia="Verdana" w:cs="Times New Roman"/>
          <w:color w:val="000000"/>
          <w:lang w:eastAsia="zh-CN"/>
        </w:rPr>
        <w:t>Arrivals are</w:t>
      </w:r>
      <w:r w:rsidR="000953A7">
        <w:rPr>
          <w:rFonts w:eastAsia="Verdana" w:cs="Times New Roman"/>
          <w:color w:val="000000"/>
          <w:lang w:eastAsia="zh-CN"/>
        </w:rPr>
        <w:t xml:space="preserve"> </w:t>
      </w:r>
      <w:r w:rsidR="00C0498A">
        <w:rPr>
          <w:rFonts w:eastAsia="Verdana" w:cs="Times New Roman"/>
          <w:color w:val="000000"/>
          <w:lang w:eastAsia="zh-CN"/>
        </w:rPr>
        <w:t>expected</w:t>
      </w:r>
      <w:r w:rsidR="00A86806">
        <w:rPr>
          <w:rFonts w:eastAsia="Verdana" w:cs="Times New Roman"/>
          <w:color w:val="000000"/>
          <w:lang w:eastAsia="zh-CN"/>
        </w:rPr>
        <w:t xml:space="preserve"> </w:t>
      </w:r>
      <w:r w:rsidR="09FDCCF6">
        <w:rPr>
          <w:rFonts w:eastAsia="Verdana" w:cs="Times New Roman"/>
          <w:color w:val="000000"/>
          <w:lang w:eastAsia="zh-CN"/>
        </w:rPr>
        <w:t xml:space="preserve">to continue to grow </w:t>
      </w:r>
      <w:r w:rsidR="00A86806">
        <w:rPr>
          <w:rFonts w:eastAsia="Verdana" w:cs="Times New Roman"/>
          <w:color w:val="000000"/>
          <w:lang w:eastAsia="zh-CN"/>
        </w:rPr>
        <w:t xml:space="preserve">and TRA </w:t>
      </w:r>
      <w:r w:rsidR="005E46C7">
        <w:rPr>
          <w:rFonts w:eastAsia="Verdana" w:cs="Times New Roman"/>
          <w:color w:val="000000"/>
          <w:lang w:eastAsia="zh-CN"/>
        </w:rPr>
        <w:t>forecasts</w:t>
      </w:r>
      <w:r w:rsidR="000953A7">
        <w:rPr>
          <w:rFonts w:eastAsia="Verdana" w:cs="Times New Roman"/>
          <w:color w:val="000000"/>
          <w:lang w:eastAsia="zh-CN"/>
        </w:rPr>
        <w:t xml:space="preserve"> international arrivals </w:t>
      </w:r>
      <w:r w:rsidR="0033063C">
        <w:rPr>
          <w:rFonts w:eastAsia="Verdana" w:cs="Times New Roman"/>
          <w:color w:val="000000"/>
          <w:lang w:eastAsia="zh-CN"/>
        </w:rPr>
        <w:t>will</w:t>
      </w:r>
      <w:r w:rsidR="00A86806">
        <w:rPr>
          <w:rFonts w:eastAsia="Verdana" w:cs="Times New Roman"/>
          <w:color w:val="000000"/>
          <w:lang w:eastAsia="zh-CN"/>
        </w:rPr>
        <w:t xml:space="preserve"> </w:t>
      </w:r>
      <w:r w:rsidR="000953A7">
        <w:rPr>
          <w:rFonts w:eastAsia="Verdana" w:cs="Times New Roman"/>
          <w:color w:val="000000"/>
          <w:lang w:eastAsia="zh-CN"/>
        </w:rPr>
        <w:t xml:space="preserve">set new records from 2025. </w:t>
      </w:r>
    </w:p>
    <w:p w14:paraId="0B790924" w14:textId="29F82F7F" w:rsidR="001119BA" w:rsidRDefault="000311EC" w:rsidP="001119BA">
      <w:r>
        <w:rPr>
          <w:rFonts w:eastAsia="Verdana" w:cs="Times New Roman"/>
          <w:color w:val="000000"/>
          <w:lang w:eastAsia="zh-CN"/>
        </w:rPr>
        <w:t>D</w:t>
      </w:r>
      <w:r w:rsidR="00E82328">
        <w:rPr>
          <w:rFonts w:eastAsia="Verdana" w:cs="Times New Roman"/>
          <w:color w:val="000000"/>
          <w:lang w:eastAsia="zh-CN"/>
        </w:rPr>
        <w:t>omestic tourism demand softened in 2023 relative to the temporary, elevated level in 2022</w:t>
      </w:r>
      <w:r w:rsidR="000D2876">
        <w:rPr>
          <w:rFonts w:eastAsia="Verdana" w:cs="Times New Roman"/>
          <w:color w:val="000000"/>
          <w:lang w:eastAsia="zh-CN"/>
        </w:rPr>
        <w:t>.</w:t>
      </w:r>
      <w:r w:rsidR="00177070">
        <w:rPr>
          <w:rFonts w:eastAsia="Verdana" w:cs="Times New Roman"/>
          <w:color w:val="000000"/>
          <w:lang w:eastAsia="zh-CN"/>
        </w:rPr>
        <w:t xml:space="preserve"> </w:t>
      </w:r>
      <w:r w:rsidR="000D2876">
        <w:rPr>
          <w:rFonts w:eastAsia="Verdana" w:cs="Times New Roman"/>
          <w:color w:val="000000"/>
          <w:lang w:eastAsia="zh-CN"/>
        </w:rPr>
        <w:t>H</w:t>
      </w:r>
      <w:r>
        <w:rPr>
          <w:rFonts w:eastAsia="Verdana" w:cs="Times New Roman"/>
          <w:color w:val="000000"/>
          <w:lang w:eastAsia="zh-CN"/>
        </w:rPr>
        <w:t xml:space="preserve">owever, </w:t>
      </w:r>
      <w:r w:rsidR="00177070">
        <w:rPr>
          <w:rFonts w:eastAsia="Verdana" w:cs="Times New Roman"/>
          <w:color w:val="000000"/>
          <w:lang w:eastAsia="zh-CN"/>
        </w:rPr>
        <w:t>TRA expect</w:t>
      </w:r>
      <w:r w:rsidR="00A86806">
        <w:rPr>
          <w:rFonts w:eastAsia="Verdana" w:cs="Times New Roman"/>
          <w:color w:val="000000"/>
          <w:lang w:eastAsia="zh-CN"/>
        </w:rPr>
        <w:t>s</w:t>
      </w:r>
      <w:r w:rsidR="00177070">
        <w:rPr>
          <w:rFonts w:eastAsia="Verdana" w:cs="Times New Roman"/>
          <w:color w:val="000000"/>
          <w:lang w:eastAsia="zh-CN"/>
        </w:rPr>
        <w:t xml:space="preserve"> domestic tourism demand to </w:t>
      </w:r>
      <w:r w:rsidR="006F3FBD">
        <w:rPr>
          <w:rFonts w:eastAsia="Verdana" w:cs="Times New Roman"/>
          <w:color w:val="000000"/>
          <w:lang w:eastAsia="zh-CN"/>
        </w:rPr>
        <w:t xml:space="preserve">strengthen over each of the next 5 years. </w:t>
      </w:r>
      <w:r>
        <w:rPr>
          <w:rFonts w:eastAsia="Verdana" w:cs="Times New Roman"/>
          <w:color w:val="000000"/>
          <w:lang w:eastAsia="zh-CN"/>
        </w:rPr>
        <w:t>Moreover, d</w:t>
      </w:r>
      <w:r w:rsidR="001119BA">
        <w:t xml:space="preserve">omestic visitor nights </w:t>
      </w:r>
      <w:r w:rsidR="00EC7237">
        <w:t>in</w:t>
      </w:r>
      <w:r w:rsidR="001119BA">
        <w:t xml:space="preserve"> all states and territories are expected to </w:t>
      </w:r>
      <w:r w:rsidR="00EC7237">
        <w:t>trend</w:t>
      </w:r>
      <w:r w:rsidR="001119BA">
        <w:t xml:space="preserve"> higher </w:t>
      </w:r>
      <w:r w:rsidR="00EC7237">
        <w:t>over the next</w:t>
      </w:r>
      <w:r w:rsidR="000D1E36">
        <w:t xml:space="preserve"> 5 years.</w:t>
      </w:r>
    </w:p>
    <w:p w14:paraId="2182DE3C" w14:textId="77777777" w:rsidR="00995286" w:rsidRDefault="00995286">
      <w:pPr>
        <w:spacing w:before="0" w:after="160" w:line="259" w:lineRule="auto"/>
        <w:rPr>
          <w:bCs/>
          <w:color w:val="2E1A47" w:themeColor="text2"/>
          <w:sz w:val="28"/>
          <w:szCs w:val="32"/>
          <w:lang w:eastAsia="zh-CN"/>
        </w:rPr>
      </w:pPr>
      <w:bookmarkStart w:id="95" w:name="_Toc135990470"/>
      <w:bookmarkStart w:id="96" w:name="_Toc167113896"/>
      <w:r>
        <w:rPr>
          <w:lang w:eastAsia="zh-CN"/>
        </w:rPr>
        <w:br w:type="page"/>
      </w:r>
    </w:p>
    <w:p w14:paraId="65EEDCA7" w14:textId="085AE153" w:rsidR="00BA0140" w:rsidRDefault="00BA0140" w:rsidP="00BA0140">
      <w:pPr>
        <w:pStyle w:val="Heading3"/>
        <w:rPr>
          <w:lang w:eastAsia="zh-CN"/>
        </w:rPr>
      </w:pPr>
      <w:r>
        <w:rPr>
          <w:lang w:eastAsia="zh-CN"/>
        </w:rPr>
        <w:lastRenderedPageBreak/>
        <w:t>International</w:t>
      </w:r>
      <w:bookmarkEnd w:id="95"/>
      <w:r w:rsidR="00883321">
        <w:rPr>
          <w:lang w:eastAsia="zh-CN"/>
        </w:rPr>
        <w:t xml:space="preserve"> outlook</w:t>
      </w:r>
      <w:bookmarkEnd w:id="96"/>
    </w:p>
    <w:p w14:paraId="30463216" w14:textId="1C5AA9CA" w:rsidR="006A38E4" w:rsidRDefault="00807336" w:rsidP="00534699">
      <w:pPr>
        <w:rPr>
          <w:rFonts w:eastAsia="Verdana" w:cs="Times New Roman"/>
          <w:color w:val="000000"/>
        </w:rPr>
      </w:pPr>
      <w:r>
        <w:rPr>
          <w:rFonts w:eastAsia="Verdana" w:cs="Times New Roman"/>
          <w:color w:val="000000"/>
        </w:rPr>
        <w:t xml:space="preserve">The recovery of international tourism has progressed </w:t>
      </w:r>
      <w:r w:rsidR="00BF2A9E">
        <w:rPr>
          <w:rFonts w:eastAsia="Verdana" w:cs="Times New Roman"/>
          <w:color w:val="000000"/>
        </w:rPr>
        <w:t>generally in line with earlier expectations</w:t>
      </w:r>
      <w:r>
        <w:rPr>
          <w:rFonts w:eastAsia="Verdana" w:cs="Times New Roman"/>
          <w:color w:val="000000"/>
        </w:rPr>
        <w:t xml:space="preserve">, off an extremely low base. There were 7.2 million international visitors to Australia in 2023, almost twice as many as the previous year (3.7 million). </w:t>
      </w:r>
    </w:p>
    <w:p w14:paraId="7BF43582" w14:textId="32E0C167" w:rsidR="00534699" w:rsidRDefault="00534699" w:rsidP="00534699">
      <w:pPr>
        <w:rPr>
          <w:rFonts w:eastAsia="Verdana" w:cs="Times New Roman"/>
          <w:color w:val="000000"/>
        </w:rPr>
      </w:pPr>
      <w:r>
        <w:rPr>
          <w:rFonts w:eastAsia="Verdana" w:cs="Times New Roman"/>
          <w:color w:val="000000"/>
        </w:rPr>
        <w:t xml:space="preserve">The number of international arrivals is forecast to increase by a further 26% in 2024 to reach 9.3 million (98% of the pre-pandemic level). The number of short-term visitor arrivals is expected to surpass the pre-pandemic level in 2025 to set a </w:t>
      </w:r>
      <w:proofErr w:type="gramStart"/>
      <w:r>
        <w:rPr>
          <w:rFonts w:eastAsia="Verdana" w:cs="Times New Roman"/>
          <w:color w:val="000000"/>
        </w:rPr>
        <w:t>new record</w:t>
      </w:r>
      <w:proofErr w:type="gramEnd"/>
      <w:r>
        <w:rPr>
          <w:rFonts w:eastAsia="Verdana" w:cs="Times New Roman"/>
          <w:color w:val="000000"/>
        </w:rPr>
        <w:t xml:space="preserve"> of 10.2 million international visitors in the year. The number of international visitor arrivals is expected to reach 12.1 million in 2028</w:t>
      </w:r>
      <w:r w:rsidR="00571EE0">
        <w:rPr>
          <w:rFonts w:eastAsia="Verdana" w:cs="Times New Roman"/>
          <w:color w:val="000000"/>
        </w:rPr>
        <w:t xml:space="preserve"> (28% above the 2019 level)</w:t>
      </w:r>
      <w:r>
        <w:rPr>
          <w:rFonts w:eastAsia="Verdana" w:cs="Times New Roman"/>
          <w:color w:val="000000"/>
        </w:rPr>
        <w:t>.</w:t>
      </w:r>
    </w:p>
    <w:p w14:paraId="28260A6E" w14:textId="77777777" w:rsidR="00F22069" w:rsidRPr="00F22069" w:rsidRDefault="00F22069" w:rsidP="00F22069">
      <w:r w:rsidRPr="00F22069">
        <w:t>Some emerging markets for Australia are likely to see stronger visitor growth than more mature markets, although those mature markets will remain a large share of inbound visitors.</w:t>
      </w:r>
    </w:p>
    <w:p w14:paraId="4104C403" w14:textId="366FF1B2" w:rsidR="00801584" w:rsidRDefault="00341C4C" w:rsidP="004D7EE3">
      <w:pPr>
        <w:rPr>
          <w:rFonts w:eastAsia="Verdana" w:cs="Times New Roman"/>
          <w:color w:val="000000"/>
        </w:rPr>
      </w:pPr>
      <w:r>
        <w:rPr>
          <w:rFonts w:eastAsia="Verdana" w:cs="Times New Roman"/>
          <w:color w:val="000000"/>
        </w:rPr>
        <w:t xml:space="preserve">International </w:t>
      </w:r>
      <w:proofErr w:type="gramStart"/>
      <w:r>
        <w:rPr>
          <w:rFonts w:eastAsia="Verdana" w:cs="Times New Roman"/>
          <w:color w:val="000000"/>
        </w:rPr>
        <w:t>visitor</w:t>
      </w:r>
      <w:proofErr w:type="gramEnd"/>
      <w:r>
        <w:rPr>
          <w:rFonts w:eastAsia="Verdana" w:cs="Times New Roman"/>
          <w:color w:val="000000"/>
        </w:rPr>
        <w:t xml:space="preserve"> spend is forecast to </w:t>
      </w:r>
      <w:r w:rsidR="00C8743D">
        <w:rPr>
          <w:rFonts w:eastAsia="Verdana" w:cs="Times New Roman"/>
          <w:color w:val="000000"/>
        </w:rPr>
        <w:t xml:space="preserve">grow strongly in 2024 and </w:t>
      </w:r>
      <w:r>
        <w:rPr>
          <w:rFonts w:eastAsia="Verdana" w:cs="Times New Roman"/>
          <w:color w:val="000000"/>
        </w:rPr>
        <w:t xml:space="preserve">reach above the pre-pandemic level, one year ahead of the recovery in visitor numbers. </w:t>
      </w:r>
      <w:r w:rsidR="00801584" w:rsidRPr="004D7EE3">
        <w:rPr>
          <w:rFonts w:eastAsia="Verdana" w:cs="Times New Roman"/>
          <w:color w:val="000000"/>
        </w:rPr>
        <w:t>International visitor expenditure</w:t>
      </w:r>
      <w:r w:rsidR="004D7EE3">
        <w:rPr>
          <w:rFonts w:eastAsia="Verdana" w:cs="Times New Roman"/>
          <w:color w:val="000000"/>
        </w:rPr>
        <w:t xml:space="preserve"> </w:t>
      </w:r>
      <w:r w:rsidR="00C04AD1">
        <w:rPr>
          <w:rFonts w:eastAsia="Verdana" w:cs="Times New Roman"/>
          <w:color w:val="000000"/>
        </w:rPr>
        <w:t xml:space="preserve">is </w:t>
      </w:r>
      <w:r w:rsidR="00510384">
        <w:rPr>
          <w:rFonts w:eastAsia="Verdana" w:cs="Times New Roman"/>
          <w:color w:val="000000"/>
        </w:rPr>
        <w:t xml:space="preserve">then </w:t>
      </w:r>
      <w:r w:rsidR="00801584">
        <w:rPr>
          <w:rFonts w:eastAsia="Verdana" w:cs="Times New Roman"/>
          <w:color w:val="000000"/>
        </w:rPr>
        <w:t xml:space="preserve">forecast to increase </w:t>
      </w:r>
      <w:r w:rsidR="00883321">
        <w:rPr>
          <w:rFonts w:eastAsia="Verdana" w:cs="Times New Roman"/>
          <w:color w:val="000000"/>
        </w:rPr>
        <w:t xml:space="preserve">to </w:t>
      </w:r>
      <w:r w:rsidR="00801584">
        <w:rPr>
          <w:rFonts w:eastAsia="Verdana" w:cs="Times New Roman"/>
          <w:color w:val="000000"/>
        </w:rPr>
        <w:t>$50.7 billion in 2028 (annual average growth of 12% over the</w:t>
      </w:r>
      <w:r w:rsidR="009F4F89">
        <w:rPr>
          <w:rFonts w:eastAsia="Verdana" w:cs="Times New Roman"/>
          <w:color w:val="000000"/>
        </w:rPr>
        <w:t xml:space="preserve"> 5-year</w:t>
      </w:r>
      <w:r w:rsidR="00801584">
        <w:rPr>
          <w:rFonts w:eastAsia="Verdana" w:cs="Times New Roman"/>
          <w:color w:val="000000"/>
        </w:rPr>
        <w:t xml:space="preserve"> forecast horizon)</w:t>
      </w:r>
      <w:r w:rsidR="004D1C35">
        <w:rPr>
          <w:rFonts w:eastAsia="Verdana" w:cs="Times New Roman"/>
          <w:color w:val="000000"/>
        </w:rPr>
        <w:t>.</w:t>
      </w:r>
    </w:p>
    <w:p w14:paraId="74B4CCDA" w14:textId="2620331B" w:rsidR="00883321" w:rsidRDefault="00883321" w:rsidP="001D1E81">
      <w:pPr>
        <w:pStyle w:val="Heading4"/>
        <w:keepNext/>
      </w:pPr>
      <w:r>
        <w:t>Drivers and risks</w:t>
      </w:r>
    </w:p>
    <w:p w14:paraId="3D278678" w14:textId="77777777" w:rsidR="000D1C46" w:rsidRDefault="00764C58" w:rsidP="00764C58">
      <w:r w:rsidRPr="00FC4132">
        <w:t>The current growth profile project</w:t>
      </w:r>
      <w:r>
        <w:t>s</w:t>
      </w:r>
      <w:r w:rsidRPr="00FC4132">
        <w:t xml:space="preserve"> strong and progressive </w:t>
      </w:r>
      <w:r w:rsidR="001F728D">
        <w:t>growth</w:t>
      </w:r>
      <w:r w:rsidRPr="00FC4132">
        <w:t xml:space="preserve"> in international visitation</w:t>
      </w:r>
      <w:r>
        <w:t>,</w:t>
      </w:r>
      <w:r w:rsidRPr="00FC4132">
        <w:t xml:space="preserve"> supported by ongoing increases </w:t>
      </w:r>
      <w:r w:rsidR="26DA2F34">
        <w:t>in</w:t>
      </w:r>
      <w:r w:rsidRPr="00FC4132">
        <w:t xml:space="preserve"> aviation capacity and </w:t>
      </w:r>
      <w:r w:rsidR="3A9A010E">
        <w:t xml:space="preserve">a </w:t>
      </w:r>
      <w:r w:rsidRPr="00FC4132">
        <w:t xml:space="preserve">strong desire to travel to Australia for a range of reasons. </w:t>
      </w:r>
      <w:r w:rsidR="002C65BF">
        <w:t xml:space="preserve">The recoveries </w:t>
      </w:r>
      <w:r w:rsidR="00370F82">
        <w:t xml:space="preserve">in arrivals </w:t>
      </w:r>
      <w:r w:rsidR="002C65BF">
        <w:t xml:space="preserve">from </w:t>
      </w:r>
      <w:r w:rsidR="002C65BF" w:rsidRPr="08F844D8">
        <w:rPr>
          <w:rFonts w:eastAsia="Verdana" w:cs="Times New Roman"/>
        </w:rPr>
        <w:t xml:space="preserve">China and Japan are expected to gain pace </w:t>
      </w:r>
      <w:r w:rsidR="00370F82">
        <w:rPr>
          <w:rFonts w:eastAsia="Verdana" w:cs="Times New Roman"/>
        </w:rPr>
        <w:t>and catch up with other source markets</w:t>
      </w:r>
      <w:r w:rsidR="002C65BF" w:rsidRPr="08F844D8">
        <w:rPr>
          <w:rFonts w:eastAsia="Verdana" w:cs="Times New Roman"/>
        </w:rPr>
        <w:t xml:space="preserve">. </w:t>
      </w:r>
      <w:r w:rsidRPr="00FC4132">
        <w:t xml:space="preserve">Australia </w:t>
      </w:r>
      <w:r>
        <w:t xml:space="preserve">will </w:t>
      </w:r>
      <w:r w:rsidRPr="00FC4132">
        <w:t xml:space="preserve">also benefit from close </w:t>
      </w:r>
      <w:r>
        <w:t xml:space="preserve">and growing </w:t>
      </w:r>
      <w:r w:rsidRPr="00FC4132">
        <w:t>ties with high-growth markets</w:t>
      </w:r>
      <w:r>
        <w:t xml:space="preserve"> in our region</w:t>
      </w:r>
      <w:r w:rsidR="009F2658">
        <w:t xml:space="preserve"> including Southeast Asia, the Pacific and India</w:t>
      </w:r>
      <w:r w:rsidR="000D1C46">
        <w:t xml:space="preserve"> (Figure 39)</w:t>
      </w:r>
      <w:r w:rsidRPr="00FC4132">
        <w:t>.</w:t>
      </w:r>
    </w:p>
    <w:p w14:paraId="33301EA8" w14:textId="40DE1C16" w:rsidR="000D1C46" w:rsidRDefault="000D1C46" w:rsidP="007663CA">
      <w:pPr>
        <w:pStyle w:val="Caption"/>
        <w:spacing w:line="300" w:lineRule="atLeast"/>
        <w:rPr>
          <w:b/>
          <w:bCs/>
          <w:i w:val="0"/>
          <w:iCs w:val="0"/>
          <w:sz w:val="20"/>
          <w:szCs w:val="20"/>
        </w:rPr>
      </w:pPr>
      <w:r>
        <w:rPr>
          <w:b/>
          <w:bCs/>
          <w:i w:val="0"/>
          <w:iCs w:val="0"/>
          <w:sz w:val="20"/>
          <w:szCs w:val="20"/>
        </w:rPr>
        <w:t>Figure 39</w:t>
      </w:r>
      <w:r w:rsidRPr="00D80D34">
        <w:rPr>
          <w:rFonts w:asciiTheme="majorHAnsi" w:hAnsiTheme="majorHAnsi"/>
          <w:i w:val="0"/>
          <w:iCs w:val="0"/>
          <w:sz w:val="20"/>
          <w:szCs w:val="20"/>
        </w:rPr>
        <w:t>:</w:t>
      </w:r>
      <w:r>
        <w:rPr>
          <w:rFonts w:asciiTheme="majorHAnsi" w:hAnsiTheme="majorHAnsi"/>
          <w:i w:val="0"/>
          <w:iCs w:val="0"/>
          <w:sz w:val="20"/>
          <w:szCs w:val="20"/>
        </w:rPr>
        <w:t xml:space="preserve"> </w:t>
      </w:r>
      <w:r w:rsidR="007663CA" w:rsidRPr="007663CA">
        <w:rPr>
          <w:i w:val="0"/>
          <w:iCs w:val="0"/>
          <w:sz w:val="20"/>
          <w:szCs w:val="20"/>
        </w:rPr>
        <w:t>International short-term visitor arrivals by source market in 2023 and in 2028 (forecast value), relative to 2019 level.</w:t>
      </w:r>
    </w:p>
    <w:p w14:paraId="72B64512" w14:textId="4A421AC5" w:rsidR="00764C58" w:rsidRPr="00FC4132" w:rsidRDefault="00A56C10" w:rsidP="007663CA">
      <w:pPr>
        <w:spacing w:line="300" w:lineRule="atLeast"/>
      </w:pPr>
      <w:r w:rsidRPr="00A56C10">
        <w:rPr>
          <w:noProof/>
        </w:rPr>
        <w:drawing>
          <wp:inline distT="0" distB="0" distL="0" distR="0" wp14:anchorId="71EA2036" wp14:editId="4B6DF830">
            <wp:extent cx="6329680" cy="3608705"/>
            <wp:effectExtent l="0" t="0" r="0" b="0"/>
            <wp:docPr id="1066050086" name="Picture 14" descr="Figure 39 shows bar chart with a bar for each source market showing the level of arrivals from that market in 2023, relative to its 2019 level. The value of arrivals in 2023 for each source market is written, as well as the ranking of these countries in 2023 in terms of most arrivals to Australia. There is also a dash for each source market showing the level of arrivals forecast from that market in 2028, relative to its 2019 level. All source markets are expected to have more arrivals to Australia in 2028 than they did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50086" name="Picture 14" descr="Figure 39 shows bar chart with a bar for each source market showing the level of arrivals from that market in 2023, relative to its 2019 level. The value of arrivals in 2023 for each source market is written, as well as the ranking of these countries in 2023 in terms of most arrivals to Australia. There is also a dash for each source market showing the level of arrivals forecast from that market in 2028, relative to its 2019 level. All source markets are expected to have more arrivals to Australia in 2028 than they did in 20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29680" cy="3608705"/>
                    </a:xfrm>
                    <a:prstGeom prst="rect">
                      <a:avLst/>
                    </a:prstGeom>
                    <a:noFill/>
                    <a:ln>
                      <a:noFill/>
                    </a:ln>
                  </pic:spPr>
                </pic:pic>
              </a:graphicData>
            </a:graphic>
          </wp:inline>
        </w:drawing>
      </w:r>
    </w:p>
    <w:p w14:paraId="5584A6D1" w14:textId="756C2C33" w:rsidR="00764C58" w:rsidRPr="00FC4132" w:rsidRDefault="00764C58" w:rsidP="00764C58">
      <w:r w:rsidRPr="00FC4132">
        <w:lastRenderedPageBreak/>
        <w:t xml:space="preserve">Nevertheless, </w:t>
      </w:r>
      <w:r>
        <w:t xml:space="preserve">global </w:t>
      </w:r>
      <w:r w:rsidRPr="00FC4132">
        <w:t xml:space="preserve">economic headwinds </w:t>
      </w:r>
      <w:r w:rsidR="001C0ABF" w:rsidRPr="00FC4132">
        <w:t>remain,</w:t>
      </w:r>
      <w:r w:rsidRPr="00FC4132">
        <w:t xml:space="preserve"> and </w:t>
      </w:r>
      <w:r>
        <w:t xml:space="preserve">the </w:t>
      </w:r>
      <w:r w:rsidRPr="00FC4132">
        <w:t>persisten</w:t>
      </w:r>
      <w:r>
        <w:t>ce of elevated</w:t>
      </w:r>
      <w:r w:rsidRPr="00FC4132">
        <w:t xml:space="preserve"> inflation has led to higher travel costs and tighter household budgets</w:t>
      </w:r>
      <w:r>
        <w:t xml:space="preserve"> in some economies</w:t>
      </w:r>
      <w:r w:rsidRPr="00FC4132">
        <w:t>. Global efforts to combat climate change and reduce carbon emission</w:t>
      </w:r>
      <w:r>
        <w:t>s</w:t>
      </w:r>
      <w:r w:rsidRPr="00FC4132">
        <w:t xml:space="preserve"> will also </w:t>
      </w:r>
      <w:r w:rsidR="134BA752">
        <w:t xml:space="preserve">increasingly </w:t>
      </w:r>
      <w:r w:rsidRPr="00FC4132">
        <w:t xml:space="preserve">affect inbound arrivals to Australia. </w:t>
      </w:r>
      <w:r w:rsidR="2E408AEB">
        <w:t>N</w:t>
      </w:r>
      <w:r>
        <w:t>egative</w:t>
      </w:r>
      <w:r w:rsidRPr="00FC4132">
        <w:t xml:space="preserve"> consumer sentiment towards long-haul flights is </w:t>
      </w:r>
      <w:r>
        <w:t>expected</w:t>
      </w:r>
      <w:r w:rsidRPr="00FC4132">
        <w:t xml:space="preserve"> to affect growth in arrivals from Europe</w:t>
      </w:r>
      <w:r w:rsidR="002152B8">
        <w:t xml:space="preserve"> in particular</w:t>
      </w:r>
      <w:r w:rsidR="522B0720">
        <w:t>.</w:t>
      </w:r>
      <w:r w:rsidR="075C41A6">
        <w:t xml:space="preserve"> R</w:t>
      </w:r>
      <w:r>
        <w:t xml:space="preserve">egulatory and reporting requirements for businesses </w:t>
      </w:r>
      <w:r w:rsidR="00E873F6">
        <w:t xml:space="preserve">are </w:t>
      </w:r>
      <w:r w:rsidR="00DC45DD">
        <w:t xml:space="preserve">also </w:t>
      </w:r>
      <w:r>
        <w:t xml:space="preserve">expected to </w:t>
      </w:r>
      <w:r w:rsidR="00DC45DD">
        <w:t>be a factor affecting</w:t>
      </w:r>
      <w:r>
        <w:t xml:space="preserve"> growth in international business travel</w:t>
      </w:r>
      <w:r w:rsidRPr="00FC4132">
        <w:t xml:space="preserve">. </w:t>
      </w:r>
    </w:p>
    <w:p w14:paraId="3588A65B" w14:textId="6F02B467" w:rsidR="00980F03" w:rsidRPr="00980F03" w:rsidRDefault="00980F03" w:rsidP="00980F03">
      <w:pPr>
        <w:rPr>
          <w:rFonts w:eastAsia="Verdana" w:cs="Times New Roman"/>
          <w:color w:val="000000"/>
        </w:rPr>
      </w:pPr>
      <w:r w:rsidRPr="00980F03">
        <w:rPr>
          <w:rFonts w:eastAsia="Verdana" w:cs="Times New Roman"/>
          <w:color w:val="000000"/>
        </w:rPr>
        <w:t xml:space="preserve">Key downside risks </w:t>
      </w:r>
      <w:r w:rsidR="00686506">
        <w:rPr>
          <w:rFonts w:eastAsia="Verdana" w:cs="Times New Roman"/>
          <w:color w:val="000000"/>
        </w:rPr>
        <w:t>to</w:t>
      </w:r>
      <w:r w:rsidRPr="00980F03">
        <w:rPr>
          <w:rFonts w:eastAsia="Verdana" w:cs="Times New Roman"/>
          <w:color w:val="000000"/>
        </w:rPr>
        <w:t xml:space="preserve"> </w:t>
      </w:r>
      <w:r w:rsidR="00364D1A">
        <w:rPr>
          <w:rFonts w:eastAsia="Verdana" w:cs="Times New Roman"/>
          <w:color w:val="000000"/>
        </w:rPr>
        <w:t xml:space="preserve">the outlook </w:t>
      </w:r>
      <w:r w:rsidR="00686506">
        <w:rPr>
          <w:rFonts w:eastAsia="Verdana" w:cs="Times New Roman"/>
          <w:color w:val="000000"/>
        </w:rPr>
        <w:t xml:space="preserve">for </w:t>
      </w:r>
      <w:r w:rsidR="00364D1A">
        <w:rPr>
          <w:rFonts w:eastAsia="Verdana" w:cs="Times New Roman"/>
          <w:color w:val="000000"/>
        </w:rPr>
        <w:t xml:space="preserve">growth </w:t>
      </w:r>
      <w:r w:rsidR="00686506">
        <w:rPr>
          <w:rFonts w:eastAsia="Verdana" w:cs="Times New Roman"/>
          <w:color w:val="000000"/>
        </w:rPr>
        <w:t xml:space="preserve">in </w:t>
      </w:r>
      <w:r w:rsidRPr="00980F03">
        <w:rPr>
          <w:rFonts w:eastAsia="Verdana" w:cs="Times New Roman"/>
          <w:color w:val="000000"/>
        </w:rPr>
        <w:t>international arrivals and spending include:</w:t>
      </w:r>
    </w:p>
    <w:p w14:paraId="7A2EB920" w14:textId="06619329" w:rsidR="00764C58" w:rsidRDefault="00764C58" w:rsidP="00E873F6">
      <w:pPr>
        <w:pStyle w:val="BulletList"/>
        <w:rPr>
          <w:lang w:eastAsia="zh-CN"/>
        </w:rPr>
      </w:pPr>
      <w:r>
        <w:rPr>
          <w:lang w:eastAsia="zh-CN"/>
        </w:rPr>
        <w:t xml:space="preserve">prolonged weak global economic </w:t>
      </w:r>
      <w:r w:rsidR="00686506">
        <w:rPr>
          <w:lang w:eastAsia="zh-CN"/>
        </w:rPr>
        <w:t>growth</w:t>
      </w:r>
      <w:r w:rsidR="007A16D8">
        <w:rPr>
          <w:lang w:eastAsia="zh-CN"/>
        </w:rPr>
        <w:t>,</w:t>
      </w:r>
      <w:r>
        <w:rPr>
          <w:lang w:eastAsia="zh-CN"/>
        </w:rPr>
        <w:t xml:space="preserve"> combined with cost-of-living pressures </w:t>
      </w:r>
      <w:r w:rsidR="00647762">
        <w:rPr>
          <w:lang w:eastAsia="zh-CN"/>
        </w:rPr>
        <w:t>across several economies</w:t>
      </w:r>
      <w:r w:rsidR="005B21EB">
        <w:rPr>
          <w:lang w:eastAsia="zh-CN"/>
        </w:rPr>
        <w:t>, including</w:t>
      </w:r>
      <w:r w:rsidR="00647762">
        <w:rPr>
          <w:lang w:eastAsia="zh-CN"/>
        </w:rPr>
        <w:t xml:space="preserve"> </w:t>
      </w:r>
      <w:r w:rsidR="005B21EB">
        <w:rPr>
          <w:lang w:eastAsia="zh-CN"/>
        </w:rPr>
        <w:t xml:space="preserve">high inflation and high interest </w:t>
      </w:r>
      <w:proofErr w:type="gramStart"/>
      <w:r w:rsidR="005B21EB">
        <w:rPr>
          <w:lang w:eastAsia="zh-CN"/>
        </w:rPr>
        <w:t>rates</w:t>
      </w:r>
      <w:proofErr w:type="gramEnd"/>
      <w:r w:rsidR="005B21EB">
        <w:rPr>
          <w:lang w:eastAsia="zh-CN"/>
        </w:rPr>
        <w:t xml:space="preserve"> </w:t>
      </w:r>
    </w:p>
    <w:p w14:paraId="22D6AC92" w14:textId="689D138F" w:rsidR="004C0E44" w:rsidRDefault="004C0E44" w:rsidP="00E873F6">
      <w:pPr>
        <w:pStyle w:val="BulletList"/>
        <w:rPr>
          <w:lang w:eastAsia="zh-CN"/>
        </w:rPr>
      </w:pPr>
      <w:r>
        <w:rPr>
          <w:lang w:eastAsia="zh-CN"/>
        </w:rPr>
        <w:t xml:space="preserve">larger impact from efforts, </w:t>
      </w:r>
      <w:r w:rsidR="002924AC">
        <w:rPr>
          <w:lang w:eastAsia="zh-CN"/>
        </w:rPr>
        <w:t xml:space="preserve">either </w:t>
      </w:r>
      <w:r>
        <w:rPr>
          <w:lang w:eastAsia="zh-CN"/>
        </w:rPr>
        <w:t>regulatory or industry</w:t>
      </w:r>
      <w:r w:rsidR="002924AC">
        <w:rPr>
          <w:lang w:eastAsia="zh-CN"/>
        </w:rPr>
        <w:t>-</w:t>
      </w:r>
      <w:r>
        <w:rPr>
          <w:lang w:eastAsia="zh-CN"/>
        </w:rPr>
        <w:t xml:space="preserve">driven, to reduce carbon emissions in aviation, and faster </w:t>
      </w:r>
      <w:r w:rsidRPr="38072153">
        <w:rPr>
          <w:rFonts w:eastAsia="Times New Roman"/>
        </w:rPr>
        <w:t>shift</w:t>
      </w:r>
      <w:r w:rsidR="681E24EF" w:rsidRPr="38072153">
        <w:rPr>
          <w:rFonts w:eastAsia="Times New Roman"/>
        </w:rPr>
        <w:t>s</w:t>
      </w:r>
      <w:r>
        <w:rPr>
          <w:rFonts w:eastAsia="Times New Roman"/>
        </w:rPr>
        <w:t xml:space="preserve"> in consumer preferences regarding </w:t>
      </w:r>
      <w:r>
        <w:rPr>
          <w:lang w:eastAsia="zh-CN"/>
        </w:rPr>
        <w:t xml:space="preserve">long-haul </w:t>
      </w:r>
      <w:proofErr w:type="gramStart"/>
      <w:r>
        <w:rPr>
          <w:lang w:eastAsia="zh-CN"/>
        </w:rPr>
        <w:t>flights</w:t>
      </w:r>
      <w:proofErr w:type="gramEnd"/>
      <w:r>
        <w:rPr>
          <w:lang w:eastAsia="zh-CN"/>
        </w:rPr>
        <w:t xml:space="preserve"> </w:t>
      </w:r>
    </w:p>
    <w:p w14:paraId="20A71636" w14:textId="4C609063" w:rsidR="004C0E44" w:rsidRDefault="004C0E44" w:rsidP="00E873F6">
      <w:pPr>
        <w:pStyle w:val="BulletList"/>
        <w:rPr>
          <w:lang w:eastAsia="zh-CN"/>
        </w:rPr>
      </w:pPr>
      <w:r>
        <w:rPr>
          <w:lang w:eastAsia="zh-CN"/>
        </w:rPr>
        <w:t xml:space="preserve">greater cost pressures </w:t>
      </w:r>
      <w:r w:rsidR="006A548A">
        <w:rPr>
          <w:lang w:eastAsia="zh-CN"/>
        </w:rPr>
        <w:t>for</w:t>
      </w:r>
      <w:r>
        <w:rPr>
          <w:lang w:eastAsia="zh-CN"/>
        </w:rPr>
        <w:t xml:space="preserve"> airlines as they </w:t>
      </w:r>
      <w:r w:rsidR="005865AD">
        <w:rPr>
          <w:lang w:eastAsia="zh-CN"/>
        </w:rPr>
        <w:t>add further</w:t>
      </w:r>
      <w:r>
        <w:rPr>
          <w:lang w:eastAsia="zh-CN"/>
        </w:rPr>
        <w:t xml:space="preserve"> capacity, including </w:t>
      </w:r>
      <w:r w:rsidR="00EF06CF">
        <w:rPr>
          <w:lang w:eastAsia="zh-CN"/>
        </w:rPr>
        <w:t xml:space="preserve">rising </w:t>
      </w:r>
      <w:r>
        <w:rPr>
          <w:lang w:eastAsia="zh-CN"/>
        </w:rPr>
        <w:t xml:space="preserve">fuel costs, which could lead to slower growth in routes and higher </w:t>
      </w:r>
      <w:proofErr w:type="gramStart"/>
      <w:r>
        <w:rPr>
          <w:lang w:eastAsia="zh-CN"/>
        </w:rPr>
        <w:t>airfares</w:t>
      </w:r>
      <w:proofErr w:type="gramEnd"/>
    </w:p>
    <w:p w14:paraId="450BDFCC" w14:textId="6407D6D2" w:rsidR="004C0E44" w:rsidRDefault="004C0E44" w:rsidP="00E873F6">
      <w:pPr>
        <w:pStyle w:val="BulletList"/>
        <w:rPr>
          <w:lang w:eastAsia="zh-CN"/>
        </w:rPr>
      </w:pPr>
      <w:r>
        <w:rPr>
          <w:lang w:eastAsia="zh-CN"/>
        </w:rPr>
        <w:t>intensified global conflict that results in broad disruptions to air travel.</w:t>
      </w:r>
    </w:p>
    <w:p w14:paraId="700C0A2F" w14:textId="55F7B2E9" w:rsidR="00801584" w:rsidRDefault="00764C58" w:rsidP="00BA0140">
      <w:pPr>
        <w:rPr>
          <w:rFonts w:eastAsia="Verdana" w:cs="Times New Roman"/>
          <w:color w:val="000000"/>
          <w:lang w:eastAsia="zh-CN"/>
        </w:rPr>
      </w:pPr>
      <w:r w:rsidRPr="0007064C">
        <w:rPr>
          <w:rFonts w:eastAsia="Verdana" w:cs="Times New Roman"/>
          <w:color w:val="000000"/>
          <w:lang w:eastAsia="zh-CN"/>
        </w:rPr>
        <w:t xml:space="preserve">On the other hand, Australia’s increasing connections with several high growth economies could see stronger than anticipated growth in arrivals – this reflects the ongoing growth in aviation routes connecting Australian and Southeast Asian cities, as well as strong economic growth prospects for the </w:t>
      </w:r>
      <w:r w:rsidR="006C0C7A">
        <w:rPr>
          <w:rFonts w:eastAsia="Verdana" w:cs="Times New Roman"/>
          <w:color w:val="000000"/>
          <w:lang w:eastAsia="zh-CN"/>
        </w:rPr>
        <w:t xml:space="preserve">wider </w:t>
      </w:r>
      <w:r w:rsidRPr="0007064C">
        <w:rPr>
          <w:rFonts w:eastAsia="Verdana" w:cs="Times New Roman"/>
          <w:color w:val="000000"/>
          <w:lang w:eastAsia="zh-CN"/>
        </w:rPr>
        <w:t>region and for India</w:t>
      </w:r>
      <w:r w:rsidR="0007064C">
        <w:rPr>
          <w:rFonts w:eastAsia="Verdana" w:cs="Times New Roman"/>
          <w:color w:val="000000"/>
          <w:lang w:eastAsia="zh-CN"/>
        </w:rPr>
        <w:t xml:space="preserve">. </w:t>
      </w:r>
    </w:p>
    <w:p w14:paraId="79B1C5D1" w14:textId="3494564D" w:rsidR="00BA0140" w:rsidRDefault="00BA0140" w:rsidP="00BA0140">
      <w:pPr>
        <w:pStyle w:val="Heading3"/>
        <w:rPr>
          <w:lang w:eastAsia="zh-CN"/>
        </w:rPr>
      </w:pPr>
      <w:bookmarkStart w:id="97" w:name="_Toc135990471"/>
      <w:bookmarkStart w:id="98" w:name="_Toc167113897"/>
      <w:r>
        <w:rPr>
          <w:lang w:eastAsia="zh-CN"/>
        </w:rPr>
        <w:t>Domestic</w:t>
      </w:r>
      <w:bookmarkEnd w:id="97"/>
      <w:r w:rsidR="00883321">
        <w:rPr>
          <w:lang w:eastAsia="zh-CN"/>
        </w:rPr>
        <w:t xml:space="preserve"> outlook</w:t>
      </w:r>
      <w:bookmarkEnd w:id="98"/>
    </w:p>
    <w:p w14:paraId="77EBAEB9" w14:textId="75B938B1" w:rsidR="00820614" w:rsidRPr="009C67DA" w:rsidRDefault="00EA5CE2" w:rsidP="00820614">
      <w:pPr>
        <w:rPr>
          <w:rFonts w:eastAsia="Verdana" w:cs="Times New Roman"/>
          <w:color w:val="000000"/>
        </w:rPr>
      </w:pPr>
      <w:r w:rsidRPr="33611259">
        <w:rPr>
          <w:rFonts w:eastAsia="Verdana" w:cs="Times New Roman"/>
        </w:rPr>
        <w:t xml:space="preserve">In contrast to the </w:t>
      </w:r>
      <w:r w:rsidR="00504E06" w:rsidRPr="33611259">
        <w:rPr>
          <w:rFonts w:eastAsia="Verdana" w:cs="Times New Roman"/>
        </w:rPr>
        <w:t>prolonged</w:t>
      </w:r>
      <w:r w:rsidRPr="33611259">
        <w:rPr>
          <w:rFonts w:eastAsia="Verdana" w:cs="Times New Roman"/>
        </w:rPr>
        <w:t xml:space="preserve"> recovery in international travel to Australia, domestic </w:t>
      </w:r>
      <w:r w:rsidR="006C2B99" w:rsidRPr="33611259">
        <w:rPr>
          <w:rFonts w:eastAsia="Verdana" w:cs="Times New Roman"/>
        </w:rPr>
        <w:t xml:space="preserve">tourism </w:t>
      </w:r>
      <w:r w:rsidR="00953CFD" w:rsidRPr="33611259">
        <w:rPr>
          <w:rFonts w:eastAsia="Verdana" w:cs="Times New Roman"/>
        </w:rPr>
        <w:t xml:space="preserve">has already largely </w:t>
      </w:r>
      <w:r w:rsidR="0075208D" w:rsidRPr="33611259">
        <w:rPr>
          <w:rFonts w:eastAsia="Verdana" w:cs="Times New Roman"/>
        </w:rPr>
        <w:t xml:space="preserve">returned to or </w:t>
      </w:r>
      <w:r w:rsidR="00953CFD" w:rsidRPr="33611259">
        <w:rPr>
          <w:rFonts w:eastAsia="Verdana" w:cs="Times New Roman"/>
        </w:rPr>
        <w:t>surpassed pre-pandemic levels</w:t>
      </w:r>
      <w:r w:rsidR="00336748" w:rsidRPr="33611259">
        <w:rPr>
          <w:rFonts w:eastAsia="Verdana" w:cs="Times New Roman"/>
        </w:rPr>
        <w:t xml:space="preserve">, although conditions vary </w:t>
      </w:r>
      <w:r w:rsidR="00AA2943" w:rsidRPr="33611259">
        <w:rPr>
          <w:rFonts w:eastAsia="Verdana" w:cs="Times New Roman"/>
        </w:rPr>
        <w:t xml:space="preserve">widely </w:t>
      </w:r>
      <w:r w:rsidR="00336748" w:rsidRPr="33611259">
        <w:rPr>
          <w:rFonts w:eastAsia="Verdana" w:cs="Times New Roman"/>
        </w:rPr>
        <w:t>across a range of sectors and regions. F</w:t>
      </w:r>
      <w:r w:rsidR="00953CFD" w:rsidRPr="33611259">
        <w:rPr>
          <w:rFonts w:eastAsia="Verdana" w:cs="Times New Roman"/>
        </w:rPr>
        <w:t xml:space="preserve">uture growth </w:t>
      </w:r>
      <w:r w:rsidRPr="33611259">
        <w:rPr>
          <w:rFonts w:eastAsia="Verdana" w:cs="Times New Roman"/>
        </w:rPr>
        <w:t>i</w:t>
      </w:r>
      <w:r w:rsidR="00336748" w:rsidRPr="33611259">
        <w:rPr>
          <w:rFonts w:eastAsia="Verdana" w:cs="Times New Roman"/>
        </w:rPr>
        <w:t>n domestic touri</w:t>
      </w:r>
      <w:r w:rsidRPr="33611259">
        <w:rPr>
          <w:rFonts w:eastAsia="Verdana" w:cs="Times New Roman"/>
        </w:rPr>
        <w:t>s</w:t>
      </w:r>
      <w:r w:rsidR="00336748" w:rsidRPr="33611259">
        <w:rPr>
          <w:rFonts w:eastAsia="Verdana" w:cs="Times New Roman"/>
        </w:rPr>
        <w:t>m demand is therefore</w:t>
      </w:r>
      <w:r w:rsidRPr="33611259">
        <w:rPr>
          <w:rFonts w:eastAsia="Verdana" w:cs="Times New Roman"/>
        </w:rPr>
        <w:t xml:space="preserve"> expected to be more moderate</w:t>
      </w:r>
      <w:r w:rsidR="00336748" w:rsidRPr="33611259">
        <w:rPr>
          <w:rFonts w:eastAsia="Verdana" w:cs="Times New Roman"/>
        </w:rPr>
        <w:t xml:space="preserve"> compared to </w:t>
      </w:r>
      <w:r w:rsidR="00CB2BA2" w:rsidRPr="33611259">
        <w:rPr>
          <w:rFonts w:eastAsia="Verdana" w:cs="Times New Roman"/>
        </w:rPr>
        <w:t>international tourism demand</w:t>
      </w:r>
      <w:r w:rsidRPr="33611259">
        <w:rPr>
          <w:rFonts w:eastAsia="Verdana" w:cs="Times New Roman"/>
        </w:rPr>
        <w:t>.</w:t>
      </w:r>
      <w:r w:rsidR="00820614" w:rsidRPr="33611259">
        <w:rPr>
          <w:rFonts w:eastAsia="Verdana" w:cs="Times New Roman"/>
        </w:rPr>
        <w:t xml:space="preserve"> </w:t>
      </w:r>
    </w:p>
    <w:p w14:paraId="6235BED6" w14:textId="77777777" w:rsidR="00D07882" w:rsidRDefault="00D07882" w:rsidP="00D07882">
      <w:pPr>
        <w:rPr>
          <w:rFonts w:eastAsia="Verdana" w:cs="Times New Roman"/>
          <w:color w:val="000000"/>
        </w:rPr>
      </w:pPr>
      <w:r>
        <w:rPr>
          <w:rFonts w:eastAsia="Verdana" w:cs="Times New Roman"/>
          <w:color w:val="000000"/>
        </w:rPr>
        <w:t>By 2028, there are forecast to be:</w:t>
      </w:r>
    </w:p>
    <w:p w14:paraId="42E70CDB" w14:textId="4B7828C9" w:rsidR="00D07882" w:rsidRPr="000840FF" w:rsidRDefault="00D07882" w:rsidP="00677736">
      <w:pPr>
        <w:pStyle w:val="BulletList"/>
        <w:rPr>
          <w:color w:val="000000"/>
        </w:rPr>
      </w:pPr>
      <w:r w:rsidRPr="33611259">
        <w:t>466.9 million domestic visitor nights</w:t>
      </w:r>
      <w:r w:rsidR="5D72331D" w:rsidRPr="33611259">
        <w:t xml:space="preserve">, </w:t>
      </w:r>
      <w:r w:rsidRPr="33611259">
        <w:t>up 12% on 2019</w:t>
      </w:r>
    </w:p>
    <w:p w14:paraId="34E503BA" w14:textId="28BE7200" w:rsidR="00D07882" w:rsidRDefault="00D07882" w:rsidP="00677736">
      <w:pPr>
        <w:pStyle w:val="BulletList"/>
        <w:rPr>
          <w:color w:val="000000"/>
        </w:rPr>
      </w:pPr>
      <w:r w:rsidRPr="33611259">
        <w:t>128.9 million domestic overnight trips</w:t>
      </w:r>
      <w:r w:rsidR="52AA60CB" w:rsidRPr="33611259">
        <w:t xml:space="preserve">, </w:t>
      </w:r>
      <w:r w:rsidRPr="33611259">
        <w:t>up 10% on 2019</w:t>
      </w:r>
    </w:p>
    <w:p w14:paraId="50CCCC10" w14:textId="7C9442B7" w:rsidR="00D07882" w:rsidRPr="009234C6" w:rsidRDefault="00D07882" w:rsidP="00677736">
      <w:pPr>
        <w:pStyle w:val="BulletList"/>
        <w:rPr>
          <w:color w:val="000000"/>
        </w:rPr>
      </w:pPr>
      <w:r w:rsidRPr="33611259">
        <w:t>262.3 million domestic day trips</w:t>
      </w:r>
      <w:r w:rsidR="5BFDDE5F" w:rsidRPr="33611259">
        <w:t xml:space="preserve">, </w:t>
      </w:r>
      <w:r w:rsidRPr="33611259">
        <w:t>up 6% on 2019.</w:t>
      </w:r>
    </w:p>
    <w:p w14:paraId="59A0B528" w14:textId="6D8D551E" w:rsidR="003B77BD" w:rsidRDefault="004326F7" w:rsidP="003B77BD">
      <w:pPr>
        <w:rPr>
          <w:rFonts w:eastAsia="Verdana" w:cs="Times New Roman"/>
          <w:color w:val="000000"/>
        </w:rPr>
      </w:pPr>
      <w:r>
        <w:rPr>
          <w:rFonts w:eastAsia="Verdana" w:cs="Times New Roman"/>
        </w:rPr>
        <w:t>T</w:t>
      </w:r>
      <w:r w:rsidR="003B77BD" w:rsidRPr="33611259">
        <w:rPr>
          <w:rFonts w:eastAsia="Verdana" w:cs="Times New Roman"/>
        </w:rPr>
        <w:t>otal domestic visitor spend on overnight and day trips is forecast to increase from $</w:t>
      </w:r>
      <w:r w:rsidR="00CB2BA2" w:rsidRPr="33611259">
        <w:rPr>
          <w:rFonts w:eastAsia="Verdana" w:cs="Times New Roman"/>
        </w:rPr>
        <w:t>142.3</w:t>
      </w:r>
      <w:r w:rsidR="003B77BD" w:rsidRPr="33611259">
        <w:rPr>
          <w:rFonts w:eastAsia="Verdana" w:cs="Times New Roman"/>
        </w:rPr>
        <w:t> billion in 2023 to $172.6 billion in 2028</w:t>
      </w:r>
      <w:r w:rsidR="4B45C4C8" w:rsidRPr="33611259">
        <w:rPr>
          <w:rFonts w:eastAsia="Verdana" w:cs="Times New Roman"/>
        </w:rPr>
        <w:t xml:space="preserve">, </w:t>
      </w:r>
      <w:r w:rsidR="003B77BD">
        <w:rPr>
          <w:rFonts w:eastAsia="Verdana" w:cs="Times New Roman"/>
        </w:rPr>
        <w:t xml:space="preserve">which </w:t>
      </w:r>
      <w:r w:rsidR="00555AA0">
        <w:rPr>
          <w:rFonts w:eastAsia="Verdana" w:cs="Times New Roman"/>
        </w:rPr>
        <w:t>is</w:t>
      </w:r>
      <w:r w:rsidR="003B77BD" w:rsidRPr="33611259">
        <w:rPr>
          <w:rFonts w:eastAsia="Verdana" w:cs="Times New Roman"/>
        </w:rPr>
        <w:t xml:space="preserve"> 61% higher than the 2019 level</w:t>
      </w:r>
      <w:r w:rsidR="00841E6C" w:rsidRPr="33611259">
        <w:rPr>
          <w:rFonts w:eastAsia="Verdana" w:cs="Times New Roman"/>
        </w:rPr>
        <w:t>. Within this:</w:t>
      </w:r>
    </w:p>
    <w:p w14:paraId="7E1C33F3" w14:textId="599077B7" w:rsidR="00D20EFB" w:rsidRDefault="00841E6C" w:rsidP="00677736">
      <w:pPr>
        <w:pStyle w:val="BulletList"/>
        <w:rPr>
          <w:color w:val="000000"/>
        </w:rPr>
      </w:pPr>
      <w:r w:rsidRPr="33611259">
        <w:t>d</w:t>
      </w:r>
      <w:r w:rsidR="00D20EFB" w:rsidRPr="33611259">
        <w:t xml:space="preserve">omestic overnight trip spend </w:t>
      </w:r>
      <w:r w:rsidRPr="33611259">
        <w:t>is</w:t>
      </w:r>
      <w:r w:rsidR="00D20EFB" w:rsidRPr="33611259">
        <w:t xml:space="preserve"> forecast to increase from $109.</w:t>
      </w:r>
      <w:r w:rsidR="00342A75" w:rsidRPr="33611259">
        <w:t>3</w:t>
      </w:r>
      <w:r w:rsidR="00D20EFB" w:rsidRPr="33611259">
        <w:t xml:space="preserve"> billion in 2023 to $132 billion in 2028</w:t>
      </w:r>
      <w:r w:rsidR="3AEF85CB" w:rsidRPr="33611259">
        <w:t xml:space="preserve">, </w:t>
      </w:r>
      <w:r w:rsidR="0034575F" w:rsidRPr="33611259">
        <w:t xml:space="preserve">an increase of 21% or </w:t>
      </w:r>
      <w:r w:rsidR="00D20EFB" w:rsidRPr="33611259">
        <w:t>annual average growth of 3.</w:t>
      </w:r>
      <w:r w:rsidR="0034575F" w:rsidRPr="33611259">
        <w:t>8</w:t>
      </w:r>
      <w:r w:rsidR="00D20EFB" w:rsidRPr="33611259">
        <w:t xml:space="preserve">% over the next 5 </w:t>
      </w:r>
      <w:proofErr w:type="gramStart"/>
      <w:r w:rsidR="00D20EFB" w:rsidRPr="33611259">
        <w:t>years</w:t>
      </w:r>
      <w:proofErr w:type="gramEnd"/>
    </w:p>
    <w:p w14:paraId="7BF4EC5A" w14:textId="37165093" w:rsidR="00D20EFB" w:rsidRPr="00D07882" w:rsidRDefault="00841E6C" w:rsidP="00677736">
      <w:pPr>
        <w:pStyle w:val="BulletList"/>
        <w:rPr>
          <w:color w:val="000000"/>
        </w:rPr>
      </w:pPr>
      <w:r w:rsidRPr="03EF5135">
        <w:t>d</w:t>
      </w:r>
      <w:r w:rsidR="00D20EFB" w:rsidRPr="03EF5135">
        <w:t xml:space="preserve">omestic day trip expenditure </w:t>
      </w:r>
      <w:r w:rsidRPr="03EF5135">
        <w:t>is</w:t>
      </w:r>
      <w:r w:rsidR="00D20EFB" w:rsidRPr="03EF5135">
        <w:t xml:space="preserve"> forecast to increase from $32.</w:t>
      </w:r>
      <w:r w:rsidR="002E5021" w:rsidRPr="03EF5135">
        <w:t>9</w:t>
      </w:r>
      <w:r w:rsidR="00D20EFB" w:rsidRPr="03EF5135">
        <w:t> billion in 2023 to $40.5</w:t>
      </w:r>
      <w:r w:rsidR="00311F3F" w:rsidRPr="03EF5135">
        <w:t> </w:t>
      </w:r>
      <w:r w:rsidR="00D20EFB" w:rsidRPr="03EF5135">
        <w:t>billion in 2028</w:t>
      </w:r>
      <w:r w:rsidR="04427BA9" w:rsidRPr="03EF5135">
        <w:t xml:space="preserve">, </w:t>
      </w:r>
      <w:r w:rsidR="002E5021" w:rsidRPr="03EF5135">
        <w:t xml:space="preserve">an increase of 23% or </w:t>
      </w:r>
      <w:r w:rsidR="00D20EFB" w:rsidRPr="03EF5135">
        <w:t>annual average growth of 4.</w:t>
      </w:r>
      <w:r w:rsidR="002E5021" w:rsidRPr="03EF5135">
        <w:t>2</w:t>
      </w:r>
      <w:r w:rsidR="00D20EFB" w:rsidRPr="03EF5135">
        <w:t>% over the forecast period.</w:t>
      </w:r>
    </w:p>
    <w:p w14:paraId="0E67D68C" w14:textId="4C755C46" w:rsidR="00BF71E2" w:rsidRDefault="00BF71E2" w:rsidP="00BF71E2">
      <w:pPr>
        <w:pStyle w:val="Heading4"/>
      </w:pPr>
      <w:r>
        <w:t>Drivers and risks</w:t>
      </w:r>
    </w:p>
    <w:p w14:paraId="3E81A81F" w14:textId="3EC93105" w:rsidR="00C756FD" w:rsidRPr="009C67DA" w:rsidRDefault="0A3D3C0D" w:rsidP="00C756FD">
      <w:pPr>
        <w:rPr>
          <w:rFonts w:eastAsia="Verdana" w:cs="Times New Roman"/>
          <w:color w:val="000000"/>
        </w:rPr>
      </w:pPr>
      <w:r w:rsidRPr="3BCF6D8E">
        <w:rPr>
          <w:rFonts w:eastAsia="Verdana" w:cs="Times New Roman"/>
        </w:rPr>
        <w:t xml:space="preserve">Increased </w:t>
      </w:r>
      <w:r w:rsidR="008205AD">
        <w:rPr>
          <w:rFonts w:eastAsia="Verdana" w:cs="Times New Roman"/>
        </w:rPr>
        <w:t>availability</w:t>
      </w:r>
      <w:r w:rsidR="00047C91">
        <w:rPr>
          <w:rFonts w:eastAsia="Verdana" w:cs="Times New Roman"/>
        </w:rPr>
        <w:t xml:space="preserve"> of</w:t>
      </w:r>
      <w:r w:rsidR="00047C91" w:rsidRPr="3BCF6D8E">
        <w:rPr>
          <w:rFonts w:eastAsia="Verdana" w:cs="Times New Roman"/>
        </w:rPr>
        <w:t xml:space="preserve"> </w:t>
      </w:r>
      <w:r w:rsidR="00C756FD" w:rsidRPr="3BCF6D8E">
        <w:rPr>
          <w:rFonts w:eastAsia="Verdana" w:cs="Times New Roman"/>
        </w:rPr>
        <w:t>international outbound travel</w:t>
      </w:r>
      <w:r w:rsidR="7583A247" w:rsidRPr="67C5C5F1">
        <w:rPr>
          <w:rFonts w:eastAsia="Verdana" w:cs="Times New Roman"/>
        </w:rPr>
        <w:t>,</w:t>
      </w:r>
      <w:r w:rsidR="00C756FD" w:rsidRPr="3BCF6D8E">
        <w:rPr>
          <w:rFonts w:eastAsia="Verdana" w:cs="Times New Roman"/>
        </w:rPr>
        <w:t xml:space="preserve"> and cost-of-living pressures leading to reduced discretionary spending</w:t>
      </w:r>
      <w:r w:rsidRPr="3BCF6D8E">
        <w:rPr>
          <w:rFonts w:eastAsia="Verdana" w:cs="Times New Roman"/>
        </w:rPr>
        <w:t xml:space="preserve">, </w:t>
      </w:r>
      <w:r w:rsidR="008205AD">
        <w:rPr>
          <w:rFonts w:eastAsia="Verdana" w:cs="Times New Roman"/>
        </w:rPr>
        <w:t>are</w:t>
      </w:r>
      <w:r w:rsidRPr="3BCF6D8E">
        <w:rPr>
          <w:rFonts w:eastAsia="Verdana" w:cs="Times New Roman"/>
        </w:rPr>
        <w:t xml:space="preserve"> </w:t>
      </w:r>
      <w:r w:rsidRPr="7C61DFEC">
        <w:rPr>
          <w:rFonts w:eastAsia="Verdana" w:cs="Times New Roman"/>
        </w:rPr>
        <w:t xml:space="preserve">expected to </w:t>
      </w:r>
      <w:r w:rsidR="00BF7B00">
        <w:rPr>
          <w:rFonts w:eastAsia="Verdana" w:cs="Times New Roman"/>
        </w:rPr>
        <w:t>moderate</w:t>
      </w:r>
      <w:r w:rsidRPr="7C61DFEC">
        <w:rPr>
          <w:rFonts w:eastAsia="Verdana" w:cs="Times New Roman"/>
        </w:rPr>
        <w:t xml:space="preserve"> domestic tourism growth </w:t>
      </w:r>
      <w:r w:rsidR="00065CFE">
        <w:rPr>
          <w:rFonts w:eastAsia="Verdana" w:cs="Times New Roman"/>
        </w:rPr>
        <w:t>over</w:t>
      </w:r>
      <w:r w:rsidR="001528F1">
        <w:rPr>
          <w:rFonts w:eastAsia="Verdana" w:cs="Times New Roman"/>
        </w:rPr>
        <w:t xml:space="preserve"> the next year</w:t>
      </w:r>
      <w:r w:rsidR="00C756FD" w:rsidRPr="1B244CD0">
        <w:rPr>
          <w:rFonts w:eastAsia="Verdana" w:cs="Times New Roman"/>
        </w:rPr>
        <w:t xml:space="preserve">. Meanwhile, domestic overnight business travel </w:t>
      </w:r>
      <w:r w:rsidR="00AF2FB5" w:rsidRPr="1B244CD0">
        <w:rPr>
          <w:rFonts w:eastAsia="Verdana" w:cs="Times New Roman"/>
        </w:rPr>
        <w:t>and day trips are</w:t>
      </w:r>
      <w:r w:rsidR="00C756FD" w:rsidRPr="1B244CD0">
        <w:rPr>
          <w:rFonts w:eastAsia="Verdana" w:cs="Times New Roman"/>
        </w:rPr>
        <w:t xml:space="preserve"> expected to continue </w:t>
      </w:r>
      <w:r w:rsidR="00AF2FB5" w:rsidRPr="1B244CD0">
        <w:rPr>
          <w:rFonts w:eastAsia="Verdana" w:cs="Times New Roman"/>
        </w:rPr>
        <w:t>their</w:t>
      </w:r>
      <w:r w:rsidR="00C756FD" w:rsidRPr="1B244CD0">
        <w:rPr>
          <w:rFonts w:eastAsia="Verdana" w:cs="Times New Roman"/>
        </w:rPr>
        <w:t xml:space="preserve"> </w:t>
      </w:r>
      <w:r w:rsidR="00C756FD" w:rsidRPr="1B244CD0">
        <w:rPr>
          <w:rFonts w:eastAsia="Verdana" w:cs="Times New Roman"/>
        </w:rPr>
        <w:lastRenderedPageBreak/>
        <w:t xml:space="preserve">recovery trajectory after experiencing a slower pick-up following the pandemic than that of </w:t>
      </w:r>
      <w:r w:rsidR="00AF2FB5" w:rsidRPr="1B244CD0">
        <w:rPr>
          <w:rFonts w:eastAsia="Verdana" w:cs="Times New Roman"/>
        </w:rPr>
        <w:t xml:space="preserve">overnight </w:t>
      </w:r>
      <w:r w:rsidR="00C756FD" w:rsidRPr="1B244CD0">
        <w:rPr>
          <w:rFonts w:eastAsia="Verdana" w:cs="Times New Roman"/>
        </w:rPr>
        <w:t xml:space="preserve">leisure travel. </w:t>
      </w:r>
    </w:p>
    <w:p w14:paraId="1D3F70DD" w14:textId="1C4A9AE4" w:rsidR="00841E6C" w:rsidRDefault="005B00DD" w:rsidP="00841E6C">
      <w:pPr>
        <w:rPr>
          <w:rFonts w:eastAsia="Verdana" w:cs="Times New Roman"/>
          <w:color w:val="000000"/>
        </w:rPr>
      </w:pPr>
      <w:r w:rsidRPr="1EAE9288">
        <w:rPr>
          <w:rFonts w:eastAsia="Verdana" w:cs="Times New Roman"/>
        </w:rPr>
        <w:t xml:space="preserve">Growth in domestic spend is </w:t>
      </w:r>
      <w:r w:rsidR="0018629E" w:rsidRPr="1EAE9288">
        <w:rPr>
          <w:rFonts w:eastAsia="Verdana" w:cs="Times New Roman"/>
        </w:rPr>
        <w:t xml:space="preserve">expected to </w:t>
      </w:r>
      <w:r w:rsidR="001D37E8" w:rsidRPr="1EAE9288">
        <w:rPr>
          <w:rFonts w:eastAsia="Verdana" w:cs="Times New Roman"/>
        </w:rPr>
        <w:t xml:space="preserve">be more </w:t>
      </w:r>
      <w:r w:rsidR="00CB24AD">
        <w:rPr>
          <w:rFonts w:eastAsia="Verdana" w:cs="Times New Roman"/>
        </w:rPr>
        <w:t>aligned with the growth in visitation</w:t>
      </w:r>
      <w:r w:rsidR="001D37E8" w:rsidRPr="1EAE9288">
        <w:rPr>
          <w:rFonts w:eastAsia="Verdana" w:cs="Times New Roman"/>
        </w:rPr>
        <w:t xml:space="preserve"> going forward, as inflationary pressures ease. </w:t>
      </w:r>
    </w:p>
    <w:p w14:paraId="37EC4D90" w14:textId="7E8C197D" w:rsidR="0070007A" w:rsidRDefault="00312A2F" w:rsidP="0070007A">
      <w:r>
        <w:t>F</w:t>
      </w:r>
      <w:r w:rsidR="0070007A">
        <w:t xml:space="preserve">actors that </w:t>
      </w:r>
      <w:r>
        <w:t xml:space="preserve">are expected to </w:t>
      </w:r>
      <w:r w:rsidR="0070007A">
        <w:t xml:space="preserve">support growth </w:t>
      </w:r>
      <w:r w:rsidR="00855474">
        <w:t>in</w:t>
      </w:r>
      <w:r>
        <w:t xml:space="preserve"> domestic tourism </w:t>
      </w:r>
      <w:r w:rsidR="0070007A">
        <w:t>include:</w:t>
      </w:r>
    </w:p>
    <w:p w14:paraId="7F6865CD" w14:textId="2028B749" w:rsidR="0070007A" w:rsidRDefault="00F0321F" w:rsidP="00E70469">
      <w:pPr>
        <w:pStyle w:val="BulletList"/>
      </w:pPr>
      <w:r>
        <w:t>efforts</w:t>
      </w:r>
      <w:r w:rsidR="0070007A">
        <w:t xml:space="preserve"> to stimulate domestic travel demand alongside</w:t>
      </w:r>
      <w:r w:rsidR="0070007A" w:rsidRPr="005F65A7">
        <w:t xml:space="preserve"> </w:t>
      </w:r>
      <w:r w:rsidR="4EAFD55E">
        <w:t xml:space="preserve">continued industry </w:t>
      </w:r>
      <w:r w:rsidR="0070007A">
        <w:t>innovation and adapt</w:t>
      </w:r>
      <w:r w:rsidR="006E44FD">
        <w:t>at</w:t>
      </w:r>
      <w:r w:rsidR="0070007A">
        <w:t xml:space="preserve">ion to align with consumer trends </w:t>
      </w:r>
      <w:r w:rsidR="747BDE03">
        <w:t>like</w:t>
      </w:r>
      <w:r w:rsidR="0070007A">
        <w:t xml:space="preserve"> sustainability, connection</w:t>
      </w:r>
      <w:r w:rsidR="00506BB8">
        <w:t xml:space="preserve"> and</w:t>
      </w:r>
      <w:r w:rsidR="0070007A">
        <w:t xml:space="preserve"> </w:t>
      </w:r>
      <w:proofErr w:type="gramStart"/>
      <w:r w:rsidR="0070007A">
        <w:t>wellness</w:t>
      </w:r>
      <w:proofErr w:type="gramEnd"/>
    </w:p>
    <w:p w14:paraId="6316572A" w14:textId="41164EE5" w:rsidR="0070007A" w:rsidRDefault="5ED7A293" w:rsidP="00E70469">
      <w:pPr>
        <w:pStyle w:val="BulletList"/>
      </w:pPr>
      <w:r>
        <w:t>ong</w:t>
      </w:r>
      <w:r w:rsidR="00E70469">
        <w:t>o</w:t>
      </w:r>
      <w:r>
        <w:t>ing</w:t>
      </w:r>
      <w:r w:rsidR="0070007A">
        <w:t xml:space="preserve"> investment in the sector</w:t>
      </w:r>
      <w:r w:rsidR="00937EE6">
        <w:t>,</w:t>
      </w:r>
      <w:r w:rsidR="0070007A">
        <w:t xml:space="preserve"> which continue</w:t>
      </w:r>
      <w:r w:rsidR="00E70469">
        <w:t>s</w:t>
      </w:r>
      <w:r w:rsidR="0070007A">
        <w:t xml:space="preserve"> to revive high-class and varied tourism products and services available to domestic </w:t>
      </w:r>
      <w:proofErr w:type="gramStart"/>
      <w:r w:rsidR="0070007A">
        <w:t>travellers</w:t>
      </w:r>
      <w:proofErr w:type="gramEnd"/>
      <w:r w:rsidR="0070007A">
        <w:t xml:space="preserve"> </w:t>
      </w:r>
    </w:p>
    <w:p w14:paraId="019513B7" w14:textId="59D329F5" w:rsidR="0070007A" w:rsidRDefault="0070007A" w:rsidP="00E70469">
      <w:pPr>
        <w:pStyle w:val="BulletList"/>
      </w:pPr>
      <w:r>
        <w:t>an easing in tourism</w:t>
      </w:r>
      <w:r w:rsidRPr="003E4AA5">
        <w:rPr>
          <w:rFonts w:eastAsia="Verdana" w:cs="Times New Roman"/>
          <w:color w:val="000000"/>
        </w:rPr>
        <w:t xml:space="preserve"> </w:t>
      </w:r>
      <w:r>
        <w:rPr>
          <w:rFonts w:eastAsia="Verdana" w:cs="Times New Roman"/>
          <w:color w:val="000000"/>
        </w:rPr>
        <w:t xml:space="preserve">sector workforce shortages after acute labour shortages in </w:t>
      </w:r>
      <w:r w:rsidR="001E6865">
        <w:rPr>
          <w:rFonts w:eastAsia="Verdana" w:cs="Times New Roman"/>
          <w:color w:val="000000"/>
        </w:rPr>
        <w:t>previous years</w:t>
      </w:r>
      <w:r>
        <w:rPr>
          <w:rFonts w:eastAsia="Verdana" w:cs="Times New Roman"/>
          <w:color w:val="000000"/>
        </w:rPr>
        <w:t xml:space="preserve"> affected the visitor economy’s ability to service demand</w:t>
      </w:r>
      <w:r w:rsidRPr="00597D71">
        <w:rPr>
          <w:rFonts w:eastAsia="Verdana" w:cs="Times New Roman"/>
          <w:color w:val="000000"/>
        </w:rPr>
        <w:t>.</w:t>
      </w:r>
    </w:p>
    <w:p w14:paraId="30FEC2BE" w14:textId="24106E55" w:rsidR="00836171" w:rsidRDefault="001E6865" w:rsidP="001E6865">
      <w:pPr>
        <w:rPr>
          <w:rFonts w:eastAsia="Verdana" w:cs="Times New Roman"/>
          <w:color w:val="000000"/>
          <w:lang w:eastAsia="zh-CN"/>
        </w:rPr>
      </w:pPr>
      <w:r w:rsidRPr="43F62E56">
        <w:rPr>
          <w:rFonts w:eastAsia="Verdana" w:cs="Times New Roman"/>
          <w:lang w:eastAsia="zh-CN"/>
        </w:rPr>
        <w:t xml:space="preserve">TRA’s forecasts acknowledge the strong portfolio of events coming </w:t>
      </w:r>
      <w:r w:rsidR="40214816" w:rsidRPr="43F62E56">
        <w:rPr>
          <w:rFonts w:eastAsia="Verdana" w:cs="Times New Roman"/>
          <w:lang w:eastAsia="zh-CN"/>
        </w:rPr>
        <w:t>to</w:t>
      </w:r>
      <w:r w:rsidRPr="43F62E56">
        <w:rPr>
          <w:rFonts w:eastAsia="Verdana" w:cs="Times New Roman"/>
          <w:lang w:eastAsia="zh-CN"/>
        </w:rPr>
        <w:t xml:space="preserve"> Australia and persistent strong travel trends. </w:t>
      </w:r>
      <w:r w:rsidR="5ECAED21" w:rsidRPr="43F62E56">
        <w:rPr>
          <w:rFonts w:eastAsia="Verdana" w:cs="Times New Roman"/>
          <w:lang w:eastAsia="zh-CN"/>
        </w:rPr>
        <w:t>F</w:t>
      </w:r>
      <w:r w:rsidR="00892D08" w:rsidRPr="43F62E56">
        <w:rPr>
          <w:rFonts w:eastAsia="Verdana" w:cs="Times New Roman"/>
          <w:lang w:eastAsia="zh-CN"/>
        </w:rPr>
        <w:t>actors that could stimulate additional growth beyond TRA’s point-forecasts</w:t>
      </w:r>
      <w:r w:rsidR="00836171" w:rsidRPr="43F62E56">
        <w:rPr>
          <w:rFonts w:eastAsia="Verdana" w:cs="Times New Roman"/>
          <w:lang w:eastAsia="zh-CN"/>
        </w:rPr>
        <w:t xml:space="preserve"> include:</w:t>
      </w:r>
    </w:p>
    <w:p w14:paraId="34BC11F0" w14:textId="1848993C" w:rsidR="001E6865" w:rsidRDefault="001E6865" w:rsidP="009F0F3D">
      <w:pPr>
        <w:pStyle w:val="BulletList"/>
        <w:rPr>
          <w:color w:val="000000"/>
          <w:lang w:eastAsia="zh-CN"/>
        </w:rPr>
      </w:pPr>
      <w:r w:rsidRPr="5C8BCF34">
        <w:rPr>
          <w:lang w:eastAsia="zh-CN"/>
        </w:rPr>
        <w:t>increas</w:t>
      </w:r>
      <w:r w:rsidR="00836171" w:rsidRPr="5C8BCF34">
        <w:rPr>
          <w:lang w:eastAsia="zh-CN"/>
        </w:rPr>
        <w:t>ed</w:t>
      </w:r>
      <w:r w:rsidRPr="5C8BCF34">
        <w:rPr>
          <w:lang w:eastAsia="zh-CN"/>
        </w:rPr>
        <w:t xml:space="preserve"> demand for hybrid working holidays, the new category of ‘</w:t>
      </w:r>
      <w:proofErr w:type="spellStart"/>
      <w:r w:rsidRPr="5C8BCF34">
        <w:rPr>
          <w:lang w:eastAsia="zh-CN"/>
        </w:rPr>
        <w:t>bleisure</w:t>
      </w:r>
      <w:proofErr w:type="spellEnd"/>
      <w:r w:rsidRPr="5C8BCF34">
        <w:rPr>
          <w:lang w:eastAsia="zh-CN"/>
        </w:rPr>
        <w:t>’ travel</w:t>
      </w:r>
      <w:r w:rsidR="00836171" w:rsidRPr="5C8BCF34">
        <w:rPr>
          <w:lang w:eastAsia="zh-CN"/>
        </w:rPr>
        <w:t>,</w:t>
      </w:r>
      <w:r w:rsidRPr="5C8BCF34">
        <w:rPr>
          <w:lang w:eastAsia="zh-CN"/>
        </w:rPr>
        <w:t xml:space="preserve"> and renewed travel </w:t>
      </w:r>
      <w:proofErr w:type="gramStart"/>
      <w:r w:rsidRPr="5C8BCF34">
        <w:rPr>
          <w:lang w:eastAsia="zh-CN"/>
        </w:rPr>
        <w:t>enthusiasm</w:t>
      </w:r>
      <w:proofErr w:type="gramEnd"/>
      <w:r w:rsidRPr="5C8BCF34">
        <w:rPr>
          <w:lang w:eastAsia="zh-CN"/>
        </w:rPr>
        <w:t xml:space="preserve"> </w:t>
      </w:r>
    </w:p>
    <w:p w14:paraId="2E08ECA5" w14:textId="0C12B7BF" w:rsidR="001E6865" w:rsidRDefault="001E6865" w:rsidP="009F0F3D">
      <w:pPr>
        <w:pStyle w:val="BulletList"/>
        <w:rPr>
          <w:color w:val="000000"/>
          <w:lang w:eastAsia="zh-CN"/>
        </w:rPr>
      </w:pPr>
      <w:r>
        <w:rPr>
          <w:color w:val="000000"/>
          <w:lang w:eastAsia="zh-CN"/>
        </w:rPr>
        <w:t xml:space="preserve">efforts by the visitor economy to attract growth segments including accessible tourism, wellness tourism, first nations experiences, nature tourism and adventure </w:t>
      </w:r>
      <w:proofErr w:type="gramStart"/>
      <w:r>
        <w:rPr>
          <w:color w:val="000000"/>
          <w:lang w:eastAsia="zh-CN"/>
        </w:rPr>
        <w:t>travel</w:t>
      </w:r>
      <w:proofErr w:type="gramEnd"/>
      <w:r>
        <w:rPr>
          <w:color w:val="000000"/>
          <w:lang w:eastAsia="zh-CN"/>
        </w:rPr>
        <w:t xml:space="preserve"> </w:t>
      </w:r>
    </w:p>
    <w:p w14:paraId="276B4238" w14:textId="63C7AE69" w:rsidR="001E6865" w:rsidRPr="0051132D" w:rsidRDefault="001E6865" w:rsidP="009F0F3D">
      <w:pPr>
        <w:pStyle w:val="BulletList"/>
        <w:rPr>
          <w:color w:val="000000"/>
          <w:lang w:eastAsia="zh-CN"/>
        </w:rPr>
      </w:pPr>
      <w:r w:rsidRPr="45957194">
        <w:rPr>
          <w:lang w:eastAsia="zh-CN"/>
        </w:rPr>
        <w:t xml:space="preserve">trends of more personalised, bespoke and luxury trips </w:t>
      </w:r>
      <w:r w:rsidR="6BF1791B" w:rsidRPr="45957194">
        <w:rPr>
          <w:lang w:eastAsia="zh-CN"/>
        </w:rPr>
        <w:t>increasing</w:t>
      </w:r>
      <w:r w:rsidRPr="45957194">
        <w:rPr>
          <w:lang w:eastAsia="zh-CN"/>
        </w:rPr>
        <w:t xml:space="preserve"> average trip spend faster than currently assumed in the forecasts.</w:t>
      </w:r>
    </w:p>
    <w:p w14:paraId="58D834BC" w14:textId="761F4DFF" w:rsidR="001E6865" w:rsidRPr="0070007A" w:rsidRDefault="009F2709" w:rsidP="001E6865">
      <w:r>
        <w:t>These factors largely reflect</w:t>
      </w:r>
      <w:r w:rsidRPr="009F2709">
        <w:rPr>
          <w:rFonts w:eastAsia="Verdana" w:cs="Times New Roman"/>
          <w:color w:val="000000"/>
          <w:lang w:eastAsia="zh-CN"/>
        </w:rPr>
        <w:t xml:space="preserve"> </w:t>
      </w:r>
      <w:r>
        <w:rPr>
          <w:rFonts w:eastAsia="Verdana" w:cs="Times New Roman"/>
          <w:color w:val="000000"/>
          <w:lang w:eastAsia="zh-CN"/>
        </w:rPr>
        <w:t>the potential impact of significant ongoing investment in the visitor economy and emerging demand trends.</w:t>
      </w:r>
    </w:p>
    <w:p w14:paraId="0A44B2E3" w14:textId="16231D39" w:rsidR="001620B0" w:rsidRDefault="009112B6" w:rsidP="001620B0">
      <w:pPr>
        <w:rPr>
          <w:rFonts w:eastAsia="Verdana" w:cs="Times New Roman"/>
          <w:color w:val="000000"/>
          <w:lang w:eastAsia="zh-CN"/>
        </w:rPr>
      </w:pPr>
      <w:r w:rsidRPr="3A4E75DE">
        <w:rPr>
          <w:rFonts w:eastAsia="Verdana" w:cs="Times New Roman"/>
          <w:lang w:eastAsia="zh-CN"/>
        </w:rPr>
        <w:t>D</w:t>
      </w:r>
      <w:r w:rsidR="009F2709" w:rsidRPr="3A4E75DE">
        <w:rPr>
          <w:rFonts w:eastAsia="Verdana" w:cs="Times New Roman"/>
          <w:lang w:eastAsia="zh-CN"/>
        </w:rPr>
        <w:t>ownside r</w:t>
      </w:r>
      <w:r w:rsidR="001620B0" w:rsidRPr="3A4E75DE">
        <w:rPr>
          <w:rFonts w:eastAsia="Verdana" w:cs="Times New Roman"/>
          <w:lang w:eastAsia="zh-CN"/>
        </w:rPr>
        <w:t xml:space="preserve">isks </w:t>
      </w:r>
      <w:r w:rsidR="009F2709" w:rsidRPr="3A4E75DE">
        <w:rPr>
          <w:rFonts w:eastAsia="Verdana" w:cs="Times New Roman"/>
          <w:lang w:eastAsia="zh-CN"/>
        </w:rPr>
        <w:t>to</w:t>
      </w:r>
      <w:r w:rsidR="001620B0" w:rsidRPr="3A4E75DE">
        <w:rPr>
          <w:rFonts w:eastAsia="Verdana" w:cs="Times New Roman"/>
          <w:lang w:eastAsia="zh-CN"/>
        </w:rPr>
        <w:t xml:space="preserve"> the forecast profile for domestic travel include</w:t>
      </w:r>
      <w:r w:rsidR="75008BC9" w:rsidRPr="3A4E75DE">
        <w:rPr>
          <w:rFonts w:eastAsia="Verdana" w:cs="Times New Roman"/>
          <w:lang w:eastAsia="zh-CN"/>
        </w:rPr>
        <w:t xml:space="preserve"> the potential for</w:t>
      </w:r>
      <w:r w:rsidR="001620B0" w:rsidRPr="3A4E75DE">
        <w:rPr>
          <w:rFonts w:eastAsia="Verdana" w:cs="Times New Roman"/>
          <w:lang w:eastAsia="zh-CN"/>
        </w:rPr>
        <w:t>:</w:t>
      </w:r>
    </w:p>
    <w:p w14:paraId="088F59DA" w14:textId="27F04BAE" w:rsidR="001620B0" w:rsidRDefault="009F2709" w:rsidP="00B46CC2">
      <w:pPr>
        <w:pStyle w:val="BulletList"/>
        <w:rPr>
          <w:lang w:eastAsia="zh-CN"/>
        </w:rPr>
      </w:pPr>
      <w:r>
        <w:rPr>
          <w:lang w:eastAsia="zh-CN"/>
        </w:rPr>
        <w:t>a</w:t>
      </w:r>
      <w:r w:rsidR="001620B0">
        <w:rPr>
          <w:lang w:eastAsia="zh-CN"/>
        </w:rPr>
        <w:t xml:space="preserve"> prolonged or intensified pull-back in household travel budgets, particularly for overnight </w:t>
      </w:r>
      <w:r w:rsidR="00CD6D83">
        <w:rPr>
          <w:lang w:eastAsia="zh-CN"/>
        </w:rPr>
        <w:t xml:space="preserve">and interstate </w:t>
      </w:r>
      <w:r w:rsidR="001620B0">
        <w:rPr>
          <w:lang w:eastAsia="zh-CN"/>
        </w:rPr>
        <w:t xml:space="preserve">leisure travel </w:t>
      </w:r>
      <w:r w:rsidR="00A9613B">
        <w:rPr>
          <w:lang w:eastAsia="zh-CN"/>
        </w:rPr>
        <w:t>in 2024 and 2025</w:t>
      </w:r>
    </w:p>
    <w:p w14:paraId="7E76BA30" w14:textId="31086DCE" w:rsidR="001620B0" w:rsidRDefault="008F2FA8" w:rsidP="00B46CC2">
      <w:pPr>
        <w:pStyle w:val="BulletList"/>
        <w:rPr>
          <w:lang w:eastAsia="zh-CN"/>
        </w:rPr>
      </w:pPr>
      <w:r>
        <w:rPr>
          <w:lang w:eastAsia="zh-CN"/>
        </w:rPr>
        <w:t>a sustain</w:t>
      </w:r>
      <w:r w:rsidR="00B46CC2">
        <w:rPr>
          <w:lang w:eastAsia="zh-CN"/>
        </w:rPr>
        <w:t>ed</w:t>
      </w:r>
      <w:r>
        <w:rPr>
          <w:lang w:eastAsia="zh-CN"/>
        </w:rPr>
        <w:t xml:space="preserve"> elevated</w:t>
      </w:r>
      <w:r w:rsidR="001620B0" w:rsidRPr="5FC36FF6">
        <w:rPr>
          <w:lang w:eastAsia="zh-CN"/>
        </w:rPr>
        <w:t xml:space="preserve"> rate of growth in outbound travel</w:t>
      </w:r>
      <w:r w:rsidR="006B5530">
        <w:rPr>
          <w:lang w:eastAsia="zh-CN"/>
        </w:rPr>
        <w:t>,</w:t>
      </w:r>
      <w:r w:rsidR="001620B0" w:rsidRPr="5FC36FF6">
        <w:rPr>
          <w:lang w:eastAsia="zh-CN"/>
        </w:rPr>
        <w:t xml:space="preserve"> and </w:t>
      </w:r>
      <w:r w:rsidR="00B46CC2" w:rsidRPr="00B46CC2">
        <w:rPr>
          <w:lang w:eastAsia="zh-CN"/>
        </w:rPr>
        <w:t>the possibility that Australians'</w:t>
      </w:r>
      <w:r w:rsidR="001620B0" w:rsidRPr="00B46CC2">
        <w:rPr>
          <w:lang w:eastAsia="zh-CN"/>
        </w:rPr>
        <w:t xml:space="preserve"> travel preferences </w:t>
      </w:r>
      <w:r w:rsidR="00B46CC2" w:rsidRPr="00B46CC2">
        <w:rPr>
          <w:lang w:eastAsia="zh-CN"/>
        </w:rPr>
        <w:t>have changed since the pandemic, leading to a changed</w:t>
      </w:r>
      <w:r w:rsidR="001620B0" w:rsidRPr="5FC36FF6">
        <w:rPr>
          <w:lang w:eastAsia="zh-CN"/>
        </w:rPr>
        <w:t xml:space="preserve"> combination of international outbound, domestic interstate, intrastate travel and day </w:t>
      </w:r>
      <w:proofErr w:type="gramStart"/>
      <w:r w:rsidR="001620B0" w:rsidRPr="5FC36FF6">
        <w:rPr>
          <w:lang w:eastAsia="zh-CN"/>
        </w:rPr>
        <w:t>trips</w:t>
      </w:r>
      <w:proofErr w:type="gramEnd"/>
    </w:p>
    <w:p w14:paraId="2BD1B3E8" w14:textId="48D88E21" w:rsidR="001620B0" w:rsidRDefault="00A9613B" w:rsidP="00B46CC2">
      <w:pPr>
        <w:pStyle w:val="BulletList"/>
        <w:rPr>
          <w:lang w:eastAsia="zh-CN"/>
        </w:rPr>
      </w:pPr>
      <w:r w:rsidRPr="3A4E75DE">
        <w:rPr>
          <w:lang w:eastAsia="zh-CN"/>
        </w:rPr>
        <w:t>i</w:t>
      </w:r>
      <w:r w:rsidR="001620B0" w:rsidRPr="3A4E75DE">
        <w:rPr>
          <w:lang w:eastAsia="zh-CN"/>
        </w:rPr>
        <w:t xml:space="preserve">ncreasingly large, uncontrolled, unpredictable and damaging weather events </w:t>
      </w:r>
      <w:r w:rsidR="009C0EAE">
        <w:rPr>
          <w:lang w:eastAsia="zh-CN"/>
        </w:rPr>
        <w:t>that</w:t>
      </w:r>
      <w:r w:rsidR="001620B0" w:rsidRPr="3A4E75DE">
        <w:rPr>
          <w:lang w:eastAsia="zh-CN"/>
        </w:rPr>
        <w:t xml:space="preserve"> dampen demand for travel to an increasing number of destinations over an increasing </w:t>
      </w:r>
      <w:proofErr w:type="gramStart"/>
      <w:r w:rsidR="001620B0" w:rsidRPr="3A4E75DE">
        <w:rPr>
          <w:lang w:eastAsia="zh-CN"/>
        </w:rPr>
        <w:t>period of time</w:t>
      </w:r>
      <w:proofErr w:type="gramEnd"/>
      <w:r w:rsidR="001620B0" w:rsidRPr="3A4E75DE">
        <w:rPr>
          <w:lang w:eastAsia="zh-CN"/>
        </w:rPr>
        <w:t xml:space="preserve"> throughout the year.</w:t>
      </w:r>
    </w:p>
    <w:p w14:paraId="4846DB78" w14:textId="77777777" w:rsidR="00F3719C" w:rsidRDefault="00F3719C">
      <w:pPr>
        <w:spacing w:before="0" w:after="160" w:line="259" w:lineRule="auto"/>
        <w:rPr>
          <w:rFonts w:eastAsia="SimSun" w:cs="Times New Roman"/>
          <w:bCs/>
          <w:color w:val="3D2141" w:themeColor="accent1" w:themeShade="80"/>
          <w:sz w:val="32"/>
          <w:szCs w:val="26"/>
          <w:lang w:eastAsia="zh-CN"/>
        </w:rPr>
      </w:pPr>
      <w:bookmarkStart w:id="99" w:name="_Toc131073766"/>
      <w:bookmarkStart w:id="100" w:name="_Toc135990472"/>
      <w:r>
        <w:br w:type="page"/>
      </w:r>
    </w:p>
    <w:p w14:paraId="38FEDA2C" w14:textId="3E25B96A" w:rsidR="00BA0140" w:rsidRDefault="00BA0140" w:rsidP="00BA0140">
      <w:pPr>
        <w:pStyle w:val="Heading2"/>
      </w:pPr>
      <w:bookmarkStart w:id="101" w:name="_Toc167113898"/>
      <w:r>
        <w:lastRenderedPageBreak/>
        <w:t>Data sources</w:t>
      </w:r>
      <w:bookmarkEnd w:id="99"/>
      <w:bookmarkEnd w:id="100"/>
      <w:bookmarkEnd w:id="101"/>
      <w:r w:rsidR="00AA5BE4">
        <w:t xml:space="preserve"> </w:t>
      </w:r>
    </w:p>
    <w:p w14:paraId="2404A95F" w14:textId="172E61E8" w:rsidR="00BA0140" w:rsidRDefault="00BA0140" w:rsidP="00BA0140">
      <w:r>
        <w:t>Australian Bureau of Statistics (ABS)</w:t>
      </w:r>
    </w:p>
    <w:p w14:paraId="407C47EC" w14:textId="58CB9FEA" w:rsidR="00D52E85" w:rsidRDefault="006C1E97" w:rsidP="00A87E23">
      <w:pPr>
        <w:pStyle w:val="BulletList"/>
      </w:pPr>
      <w:hyperlink r:id="rId76" w:history="1">
        <w:r w:rsidR="00494D50">
          <w:rPr>
            <w:rStyle w:val="Hyperlink"/>
          </w:rPr>
          <w:t>Australian National Accounts: Tourism Satellite Account, 2022-23 financial year</w:t>
        </w:r>
      </w:hyperlink>
      <w:r w:rsidR="00D52E85">
        <w:t xml:space="preserve">, </w:t>
      </w:r>
      <w:r w:rsidR="00D52E85" w:rsidRPr="0090538F">
        <w:t xml:space="preserve">accessed </w:t>
      </w:r>
      <w:r w:rsidR="00D52E85">
        <w:t>March</w:t>
      </w:r>
      <w:r w:rsidR="00D52E85" w:rsidRPr="0090538F">
        <w:t xml:space="preserve"> 2024</w:t>
      </w:r>
    </w:p>
    <w:p w14:paraId="44339073" w14:textId="2F25A38B" w:rsidR="00BA0140" w:rsidRDefault="006C1E97" w:rsidP="00A87E23">
      <w:pPr>
        <w:pStyle w:val="BulletList"/>
      </w:pPr>
      <w:hyperlink r:id="rId77" w:history="1">
        <w:r w:rsidR="00494D50">
          <w:rPr>
            <w:rStyle w:val="Hyperlink"/>
          </w:rPr>
          <w:t>Balance of Payments and International Investment Position, Australia, December 2023</w:t>
        </w:r>
      </w:hyperlink>
      <w:r w:rsidR="00C1375C">
        <w:t xml:space="preserve">, Table 8 download, </w:t>
      </w:r>
      <w:r w:rsidR="00196A63" w:rsidRPr="0090538F">
        <w:t xml:space="preserve">accessed </w:t>
      </w:r>
      <w:r w:rsidR="00196A63">
        <w:t>March</w:t>
      </w:r>
      <w:r w:rsidR="00196A63" w:rsidRPr="0090538F">
        <w:t xml:space="preserve"> 2024</w:t>
      </w:r>
    </w:p>
    <w:p w14:paraId="093975BB" w14:textId="6DC3C325" w:rsidR="00BA0140" w:rsidRDefault="006C1E97" w:rsidP="00A87E23">
      <w:pPr>
        <w:pStyle w:val="BulletList"/>
      </w:pPr>
      <w:hyperlink r:id="rId78" w:history="1">
        <w:r w:rsidR="00494D50">
          <w:rPr>
            <w:rStyle w:val="Hyperlink"/>
          </w:rPr>
          <w:t>Overseas Arrivals and Departures, Australia, February 2024</w:t>
        </w:r>
      </w:hyperlink>
      <w:r w:rsidR="00AD066D">
        <w:t>, accessed April 2024</w:t>
      </w:r>
    </w:p>
    <w:bookmarkStart w:id="102" w:name="_Hlk104386732"/>
    <w:p w14:paraId="7C663443" w14:textId="403ED304" w:rsidR="00BA0140" w:rsidRDefault="009363D7" w:rsidP="00A87E23">
      <w:pPr>
        <w:pStyle w:val="BulletList"/>
      </w:pPr>
      <w:r>
        <w:fldChar w:fldCharType="begin"/>
      </w:r>
      <w:r w:rsidR="00494D50">
        <w:instrText>HYPERLINK "https://www.abs.gov.au/statistics/economy/national-accounts/tourism-satellite-accounts-quarterly-tourism-labour-statistics-australia-experimental-estimates/dec-2023"</w:instrText>
      </w:r>
      <w:r>
        <w:fldChar w:fldCharType="separate"/>
      </w:r>
      <w:r w:rsidR="00494D50">
        <w:rPr>
          <w:rStyle w:val="Hyperlink"/>
        </w:rPr>
        <w:t>Tourism Satellite Accounts: quarterly tourism labour statistics, Australia, experimental estimates, December 2023</w:t>
      </w:r>
      <w:r>
        <w:fldChar w:fldCharType="end"/>
      </w:r>
      <w:r w:rsidR="000B30C7">
        <w:t xml:space="preserve">, </w:t>
      </w:r>
      <w:r w:rsidR="000B30C7" w:rsidRPr="0090538F">
        <w:t xml:space="preserve">accessed </w:t>
      </w:r>
      <w:r w:rsidR="000B30C7">
        <w:t>March</w:t>
      </w:r>
      <w:r w:rsidR="000B30C7" w:rsidRPr="0090538F">
        <w:t xml:space="preserve"> 2024</w:t>
      </w:r>
    </w:p>
    <w:bookmarkEnd w:id="102"/>
    <w:p w14:paraId="77EFEA6B" w14:textId="77777777" w:rsidR="00BA0140" w:rsidRDefault="00BA0140" w:rsidP="00BA0140">
      <w:r>
        <w:t>Australian Trade and Investment Commission (Austrade)</w:t>
      </w:r>
    </w:p>
    <w:p w14:paraId="23E7B71A" w14:textId="63E0AFCA" w:rsidR="00BA0140" w:rsidRDefault="006C1E97" w:rsidP="00A87E23">
      <w:pPr>
        <w:pStyle w:val="BulletList"/>
      </w:pPr>
      <w:hyperlink r:id="rId79" w:history="1">
        <w:r w:rsidR="001B1E53">
          <w:rPr>
            <w:rStyle w:val="Hyperlink"/>
          </w:rPr>
          <w:t>End of Year 2023 Review</w:t>
        </w:r>
      </w:hyperlink>
      <w:r w:rsidR="00BA0140">
        <w:t xml:space="preserve"> (of international education), April 202</w:t>
      </w:r>
      <w:r w:rsidR="00DA3B4E">
        <w:t>4</w:t>
      </w:r>
      <w:r w:rsidR="00A61D8A">
        <w:t>, accessed April 2024</w:t>
      </w:r>
    </w:p>
    <w:p w14:paraId="10D29BC2" w14:textId="598A744F" w:rsidR="00DC21A3" w:rsidRDefault="006C1E97" w:rsidP="00A87E23">
      <w:pPr>
        <w:pStyle w:val="BulletList"/>
      </w:pPr>
      <w:hyperlink r:id="rId80" w:history="1">
        <w:r w:rsidR="00DC21A3">
          <w:rPr>
            <w:rStyle w:val="Hyperlink"/>
          </w:rPr>
          <w:t>National Sustainability Framework for the Visitor Economy</w:t>
        </w:r>
      </w:hyperlink>
      <w:r w:rsidR="00DC21A3">
        <w:t>, accessed April 2024</w:t>
      </w:r>
    </w:p>
    <w:p w14:paraId="1F65865E" w14:textId="6379CA01" w:rsidR="00DC21A3" w:rsidRDefault="006C1E97" w:rsidP="00DC21A3">
      <w:pPr>
        <w:pStyle w:val="BulletList"/>
      </w:pPr>
      <w:hyperlink r:id="rId81" w:history="1">
        <w:r w:rsidR="00DC21A3">
          <w:rPr>
            <w:rStyle w:val="Hyperlink"/>
          </w:rPr>
          <w:t>THRIVE 2030 Revised Strategy</w:t>
        </w:r>
      </w:hyperlink>
      <w:r w:rsidR="00DC21A3">
        <w:t>, March 2023, accessed April 2024</w:t>
      </w:r>
    </w:p>
    <w:p w14:paraId="0B682109" w14:textId="77777777" w:rsidR="00BA0140" w:rsidRDefault="00BA0140" w:rsidP="00BA0140">
      <w:r>
        <w:t>Department of Education</w:t>
      </w:r>
    </w:p>
    <w:p w14:paraId="7C77D009" w14:textId="7F57588F" w:rsidR="00BA0140" w:rsidRDefault="00006CDB" w:rsidP="00A87E23">
      <w:pPr>
        <w:pStyle w:val="BulletList"/>
      </w:pPr>
      <w:r w:rsidRPr="009D6198">
        <w:t xml:space="preserve">PRISMS International Student Data – monthly YTD (year to date) data, December 2023 </w:t>
      </w:r>
      <w:hyperlink r:id="rId82" w:history="1">
        <w:r w:rsidRPr="00844EA0">
          <w:rPr>
            <w:rStyle w:val="Hyperlink"/>
          </w:rPr>
          <w:t>https://www.education.gov.au/international-education-data-and-research/international-student-monthly-summary-and-data-tables</w:t>
        </w:r>
      </w:hyperlink>
      <w:r>
        <w:t xml:space="preserve">, </w:t>
      </w:r>
      <w:r w:rsidRPr="0090538F">
        <w:t xml:space="preserve">accessed </w:t>
      </w:r>
      <w:r w:rsidR="00ED6131">
        <w:t>March</w:t>
      </w:r>
      <w:r w:rsidRPr="0090538F">
        <w:t xml:space="preserve"> 2024</w:t>
      </w:r>
    </w:p>
    <w:p w14:paraId="1B74D2B2" w14:textId="77777777" w:rsidR="00BA0140" w:rsidRDefault="00BA0140" w:rsidP="00BA0140">
      <w:pPr>
        <w:spacing w:before="0" w:after="120" w:line="254" w:lineRule="auto"/>
        <w:textAlignment w:val="baseline"/>
      </w:pPr>
      <w:r>
        <w:t>Department of Home Affairs</w:t>
      </w:r>
    </w:p>
    <w:p w14:paraId="689B8BB1" w14:textId="19993FD0" w:rsidR="0010476C" w:rsidRPr="00ED6131" w:rsidRDefault="0010476C" w:rsidP="00A87E23">
      <w:pPr>
        <w:pStyle w:val="BulletList"/>
        <w:rPr>
          <w:rFonts w:asciiTheme="minorHAnsi" w:eastAsiaTheme="minorEastAsia" w:hAnsiTheme="minorHAnsi"/>
          <w:color w:val="auto"/>
          <w:sz w:val="16"/>
          <w:szCs w:val="16"/>
          <w:lang w:val="en-US" w:eastAsia="ja-JP"/>
        </w:rPr>
      </w:pPr>
      <w:r w:rsidRPr="005733B9">
        <w:t xml:space="preserve">Student visa holders, </w:t>
      </w:r>
      <w:hyperlink r:id="rId83" w:history="1">
        <w:r w:rsidRPr="005733B9">
          <w:rPr>
            <w:rStyle w:val="Hyperlink"/>
          </w:rPr>
          <w:t>https://data.gov.au/data/dataset/temporary-entrants-visa-holders</w:t>
        </w:r>
      </w:hyperlink>
      <w:r w:rsidR="00DA0142">
        <w:t xml:space="preserve">, </w:t>
      </w:r>
      <w:r w:rsidRPr="005733B9">
        <w:t xml:space="preserve">accessed March 2024 </w:t>
      </w:r>
    </w:p>
    <w:p w14:paraId="4FAA52FC" w14:textId="3B90E764" w:rsidR="00BA0140" w:rsidRDefault="00450F78" w:rsidP="00A87E23">
      <w:pPr>
        <w:pStyle w:val="BulletList"/>
      </w:pPr>
      <w:r>
        <w:t>Working Holiday maker visas granted</w:t>
      </w:r>
      <w:r w:rsidR="00CC4CA3">
        <w:t xml:space="preserve"> pivot table, 2023-24 to 31 March 2024</w:t>
      </w:r>
      <w:r w:rsidR="00BA0140">
        <w:t xml:space="preserve">, </w:t>
      </w:r>
      <w:hyperlink r:id="rId84" w:history="1">
        <w:r w:rsidR="0085219A">
          <w:rPr>
            <w:rStyle w:val="Hyperlink"/>
          </w:rPr>
          <w:t>Working Holiday Maker visa program | Datasets | data.gov.au - beta</w:t>
        </w:r>
      </w:hyperlink>
      <w:r w:rsidR="0085219A">
        <w:t xml:space="preserve">, </w:t>
      </w:r>
      <w:r w:rsidR="00BA0140">
        <w:t>access</w:t>
      </w:r>
      <w:r w:rsidR="00B33286">
        <w:t>ed</w:t>
      </w:r>
      <w:r w:rsidR="00BA0140">
        <w:t xml:space="preserve"> April 202</w:t>
      </w:r>
      <w:r w:rsidR="00CC4CA3">
        <w:t>4</w:t>
      </w:r>
    </w:p>
    <w:p w14:paraId="543E7F5D" w14:textId="77777777" w:rsidR="00BA0140" w:rsidRDefault="00BA0140" w:rsidP="00BA0140">
      <w:bookmarkStart w:id="103" w:name="_Hlk104386782"/>
      <w:r>
        <w:t>Department of Infrastructure, Transport, Regional Development, Communications and the Arts (BITRE)</w:t>
      </w:r>
    </w:p>
    <w:bookmarkEnd w:id="103"/>
    <w:p w14:paraId="77092D9D" w14:textId="0E1518EE" w:rsidR="00BA0140" w:rsidRDefault="00F21A9C" w:rsidP="00A87E23">
      <w:pPr>
        <w:pStyle w:val="BulletList"/>
      </w:pPr>
      <w:r w:rsidRPr="00A80DBC">
        <w:t>International Airline Activity monthly airline performance - January 2024,</w:t>
      </w:r>
      <w:r>
        <w:rPr>
          <w:rFonts w:ascii="Open Sans" w:hAnsi="Open Sans" w:cs="Open Sans"/>
          <w:color w:val="313131"/>
          <w:shd w:val="clear" w:color="auto" w:fill="FFFFFF"/>
        </w:rPr>
        <w:t xml:space="preserve"> </w:t>
      </w:r>
      <w:hyperlink r:id="rId85" w:history="1">
        <w:r w:rsidR="00494D50">
          <w:rPr>
            <w:rStyle w:val="Hyperlink"/>
          </w:rPr>
          <w:t>International Airline Activity—Time Series</w:t>
        </w:r>
      </w:hyperlink>
      <w:r w:rsidR="00A80DBC">
        <w:t xml:space="preserve">, </w:t>
      </w:r>
      <w:r w:rsidR="00BA0140">
        <w:t>accessed April 202</w:t>
      </w:r>
      <w:r w:rsidR="00A80DBC">
        <w:t>4</w:t>
      </w:r>
    </w:p>
    <w:p w14:paraId="7D669D5F" w14:textId="77777777" w:rsidR="00BA369B" w:rsidRDefault="00BA369B" w:rsidP="00BA0140">
      <w:pPr>
        <w:spacing w:before="0" w:after="160" w:line="252" w:lineRule="auto"/>
      </w:pPr>
      <w:r>
        <w:t>Jobs and Skills Australia</w:t>
      </w:r>
    </w:p>
    <w:p w14:paraId="564A7370" w14:textId="64094C4D" w:rsidR="00BA369B" w:rsidRDefault="006C1E97" w:rsidP="00FD2661">
      <w:pPr>
        <w:pStyle w:val="ListParagraph"/>
        <w:numPr>
          <w:ilvl w:val="0"/>
          <w:numId w:val="47"/>
        </w:numPr>
        <w:spacing w:before="0" w:after="160" w:line="252" w:lineRule="auto"/>
      </w:pPr>
      <w:hyperlink r:id="rId86" w:history="1">
        <w:r w:rsidR="00922F4D">
          <w:rPr>
            <w:rStyle w:val="Hyperlink"/>
          </w:rPr>
          <w:t>Internet Vacancy Index</w:t>
        </w:r>
      </w:hyperlink>
      <w:r w:rsidR="00FD2661">
        <w:t>, March 2024, accessed April 2024</w:t>
      </w:r>
    </w:p>
    <w:p w14:paraId="347B4BA9" w14:textId="39143CEF" w:rsidR="00A34EA5" w:rsidRDefault="006C1E97" w:rsidP="00A34EA5">
      <w:pPr>
        <w:pStyle w:val="ListParagraph"/>
        <w:numPr>
          <w:ilvl w:val="0"/>
          <w:numId w:val="47"/>
        </w:numPr>
        <w:spacing w:before="0" w:after="160" w:line="252" w:lineRule="auto"/>
      </w:pPr>
      <w:hyperlink r:id="rId87" w:history="1">
        <w:r w:rsidR="00922F4D">
          <w:rPr>
            <w:rStyle w:val="Hyperlink"/>
          </w:rPr>
          <w:t>Skills Priority List</w:t>
        </w:r>
      </w:hyperlink>
      <w:r w:rsidR="00A34EA5">
        <w:t>, 2023, accessed April 2024</w:t>
      </w:r>
    </w:p>
    <w:p w14:paraId="5FD7F49D" w14:textId="3E0AAD09" w:rsidR="00766F7D" w:rsidRDefault="006C1E97" w:rsidP="00FD2661">
      <w:pPr>
        <w:pStyle w:val="ListParagraph"/>
        <w:numPr>
          <w:ilvl w:val="0"/>
          <w:numId w:val="47"/>
        </w:numPr>
        <w:spacing w:before="0" w:after="160" w:line="252" w:lineRule="auto"/>
      </w:pPr>
      <w:hyperlink r:id="rId88" w:history="1">
        <w:r w:rsidR="00766F7D">
          <w:rPr>
            <w:rStyle w:val="Hyperlink"/>
          </w:rPr>
          <w:t>Recruitment Experiences and Outlook Survey</w:t>
        </w:r>
      </w:hyperlink>
      <w:r w:rsidR="00766F7D">
        <w:t>, March 2024, accessed April 2024</w:t>
      </w:r>
    </w:p>
    <w:p w14:paraId="31CFA18C" w14:textId="64B030BB" w:rsidR="00BA0140" w:rsidRDefault="00BA0140" w:rsidP="00BA0140">
      <w:pPr>
        <w:spacing w:before="0" w:after="160" w:line="252" w:lineRule="auto"/>
      </w:pPr>
      <w:r>
        <w:t>Reserve Bank of Australia</w:t>
      </w:r>
    </w:p>
    <w:p w14:paraId="05754B7C" w14:textId="13B6A0DB" w:rsidR="00BA0140" w:rsidRDefault="006C1E97" w:rsidP="00A87E23">
      <w:pPr>
        <w:pStyle w:val="BulletList"/>
      </w:pPr>
      <w:hyperlink r:id="rId89" w:history="1">
        <w:r w:rsidR="00BA0140">
          <w:rPr>
            <w:rStyle w:val="Hyperlink"/>
          </w:rPr>
          <w:t>Statement of Monetary Policy</w:t>
        </w:r>
      </w:hyperlink>
      <w:r w:rsidR="00BA0140">
        <w:t xml:space="preserve">, </w:t>
      </w:r>
      <w:r w:rsidR="0018278A">
        <w:t xml:space="preserve">SMP </w:t>
      </w:r>
      <w:r w:rsidR="00BA0140">
        <w:t xml:space="preserve">February 2023, </w:t>
      </w:r>
      <w:r w:rsidR="0018278A">
        <w:t xml:space="preserve">SMP </w:t>
      </w:r>
      <w:r w:rsidR="00BA0140">
        <w:t>May 2023</w:t>
      </w:r>
      <w:r w:rsidR="0018278A">
        <w:t>, Accessed April 2024</w:t>
      </w:r>
    </w:p>
    <w:p w14:paraId="7FDD7C6E" w14:textId="40A5E179" w:rsidR="00BA0140" w:rsidRDefault="00BA0140" w:rsidP="00BA0140">
      <w:r>
        <w:t>STR</w:t>
      </w:r>
      <w:r w:rsidR="009F75FA">
        <w:t xml:space="preserve"> (</w:t>
      </w:r>
      <w:r w:rsidR="004E0627">
        <w:t>acquired by CoStar Group, Inc.)</w:t>
      </w:r>
    </w:p>
    <w:p w14:paraId="4216AB6B" w14:textId="77777777" w:rsidR="00BA0140" w:rsidRDefault="00BA0140" w:rsidP="00A87E23">
      <w:pPr>
        <w:pStyle w:val="BulletList"/>
      </w:pPr>
      <w:r>
        <w:t xml:space="preserve">Subscription data </w:t>
      </w:r>
    </w:p>
    <w:p w14:paraId="7ABAF305" w14:textId="77777777" w:rsidR="00BA0140" w:rsidRDefault="00BA0140" w:rsidP="00BA0140">
      <w:r>
        <w:t xml:space="preserve">Tourism Research Australia (TRA) </w:t>
      </w:r>
    </w:p>
    <w:p w14:paraId="65312459" w14:textId="00AAF094" w:rsidR="00050036" w:rsidRDefault="006C1E97" w:rsidP="00A87E23">
      <w:pPr>
        <w:pStyle w:val="BulletList"/>
      </w:pPr>
      <w:hyperlink r:id="rId90" w:history="1">
        <w:r w:rsidR="00050036">
          <w:rPr>
            <w:rStyle w:val="Hyperlink"/>
          </w:rPr>
          <w:t>Accessible Tourism in Australia - Key Insights</w:t>
        </w:r>
      </w:hyperlink>
      <w:r w:rsidR="00050036">
        <w:t>, accessed May 2024</w:t>
      </w:r>
    </w:p>
    <w:p w14:paraId="1687BB3B" w14:textId="042A48A2" w:rsidR="002B726C" w:rsidRDefault="006C1E97" w:rsidP="00A87E23">
      <w:pPr>
        <w:pStyle w:val="BulletList"/>
      </w:pPr>
      <w:hyperlink r:id="rId91" w:history="1">
        <w:r w:rsidR="002B726C">
          <w:rPr>
            <w:rStyle w:val="Hyperlink"/>
          </w:rPr>
          <w:t>Business events data</w:t>
        </w:r>
      </w:hyperlink>
      <w:r w:rsidR="002B726C">
        <w:t>, year ending December 2023, accessed April 2024</w:t>
      </w:r>
    </w:p>
    <w:p w14:paraId="036CD94C" w14:textId="2D5470C2" w:rsidR="00242184" w:rsidRDefault="006C1E97" w:rsidP="00A87E23">
      <w:pPr>
        <w:pStyle w:val="BulletList"/>
      </w:pPr>
      <w:hyperlink r:id="rId92" w:history="1">
        <w:r w:rsidR="008C4A9B">
          <w:rPr>
            <w:rStyle w:val="Hyperlink"/>
          </w:rPr>
          <w:t>Domestic mobility data</w:t>
        </w:r>
      </w:hyperlink>
      <w:r w:rsidR="008C4A9B" w:rsidRPr="008C4A9B">
        <w:t xml:space="preserve"> </w:t>
      </w:r>
      <w:r w:rsidR="008C4A9B">
        <w:t>March 2024, accessed April 2024</w:t>
      </w:r>
    </w:p>
    <w:p w14:paraId="710A0E22" w14:textId="42461B07" w:rsidR="00BA0140" w:rsidRDefault="006C1E97" w:rsidP="00A87E23">
      <w:pPr>
        <w:pStyle w:val="BulletList"/>
      </w:pPr>
      <w:hyperlink r:id="rId93" w:history="1">
        <w:r w:rsidR="00494D50">
          <w:rPr>
            <w:rStyle w:val="Hyperlink"/>
          </w:rPr>
          <w:t>International tourism results</w:t>
        </w:r>
      </w:hyperlink>
      <w:r w:rsidR="00BA0140">
        <w:t>, year ending December 202</w:t>
      </w:r>
      <w:r w:rsidR="00EB431F">
        <w:t>3</w:t>
      </w:r>
      <w:r w:rsidR="00494D50">
        <w:t>, accessed April 2024</w:t>
      </w:r>
    </w:p>
    <w:p w14:paraId="3DFAF14D" w14:textId="77777777" w:rsidR="0018278A" w:rsidRDefault="006C1E97" w:rsidP="00A87E23">
      <w:pPr>
        <w:pStyle w:val="BulletList"/>
      </w:pPr>
      <w:hyperlink r:id="rId94" w:history="1">
        <w:r w:rsidR="00494D50">
          <w:rPr>
            <w:rStyle w:val="Hyperlink"/>
          </w:rPr>
          <w:t>Domestic tourism results</w:t>
        </w:r>
      </w:hyperlink>
      <w:r w:rsidR="00BA0140">
        <w:t>, year ending June 202</w:t>
      </w:r>
      <w:r w:rsidR="00EB431F">
        <w:t>3</w:t>
      </w:r>
      <w:r w:rsidR="00BA0140">
        <w:t>, September 202</w:t>
      </w:r>
      <w:r w:rsidR="00EB431F">
        <w:t>3</w:t>
      </w:r>
      <w:r w:rsidR="00BA0140">
        <w:t>, December 202</w:t>
      </w:r>
      <w:r w:rsidR="00EB431F">
        <w:t>3</w:t>
      </w:r>
      <w:r w:rsidR="0018278A">
        <w:t>, accessed April 2024</w:t>
      </w:r>
    </w:p>
    <w:p w14:paraId="1EFABE4A" w14:textId="77777777" w:rsidR="006D089D" w:rsidRDefault="006C1E97" w:rsidP="006D089D">
      <w:pPr>
        <w:pStyle w:val="BulletList"/>
      </w:pPr>
      <w:hyperlink r:id="rId95" w:history="1">
        <w:r w:rsidR="006D089D">
          <w:rPr>
            <w:rStyle w:val="Hyperlink"/>
          </w:rPr>
          <w:t>Quarterly tourism labour force statistics</w:t>
        </w:r>
      </w:hyperlink>
      <w:r w:rsidR="006D089D">
        <w:t>, December 2023, accessed April 2024</w:t>
      </w:r>
    </w:p>
    <w:p w14:paraId="7BDBBD9C" w14:textId="1763229C" w:rsidR="00BA0140" w:rsidRDefault="006C1E97" w:rsidP="00A87E23">
      <w:pPr>
        <w:pStyle w:val="BulletList"/>
      </w:pPr>
      <w:hyperlink r:id="rId96" w:history="1">
        <w:r w:rsidR="00494D50">
          <w:rPr>
            <w:rStyle w:val="Hyperlink"/>
          </w:rPr>
          <w:t>State of the Industry</w:t>
        </w:r>
      </w:hyperlink>
      <w:r w:rsidR="00CF6EB3">
        <w:t xml:space="preserve">, </w:t>
      </w:r>
      <w:r w:rsidR="00BA0140">
        <w:t>State of the Industry 20</w:t>
      </w:r>
      <w:r w:rsidR="00EB431F">
        <w:t>22</w:t>
      </w:r>
      <w:r w:rsidR="003E0DB1">
        <w:t>, accessed March 2024</w:t>
      </w:r>
    </w:p>
    <w:p w14:paraId="598C51E1" w14:textId="40D08758" w:rsidR="0093537C" w:rsidRDefault="006C1E97" w:rsidP="00A87E23">
      <w:pPr>
        <w:pStyle w:val="BulletList"/>
      </w:pPr>
      <w:hyperlink r:id="rId97" w:history="1">
        <w:r w:rsidR="00494D50">
          <w:rPr>
            <w:rStyle w:val="Hyperlink"/>
          </w:rPr>
          <w:t>State Tourism Satellite Account</w:t>
        </w:r>
      </w:hyperlink>
      <w:r w:rsidR="00FE7C92">
        <w:t xml:space="preserve">, </w:t>
      </w:r>
      <w:r w:rsidR="00845CAC">
        <w:t xml:space="preserve">STSA </w:t>
      </w:r>
      <w:r w:rsidR="00FE7C92">
        <w:t>2022-23</w:t>
      </w:r>
      <w:r w:rsidR="00845CAC">
        <w:t>, accessed April 2024</w:t>
      </w:r>
    </w:p>
    <w:p w14:paraId="38060322" w14:textId="62522125" w:rsidR="00BA0140" w:rsidRDefault="006C1E97" w:rsidP="00A87E23">
      <w:pPr>
        <w:pStyle w:val="BulletList"/>
      </w:pPr>
      <w:hyperlink r:id="rId98" w:history="1">
        <w:r w:rsidR="00494D50">
          <w:rPr>
            <w:rStyle w:val="Hyperlink"/>
          </w:rPr>
          <w:t>Tourism businesses</w:t>
        </w:r>
      </w:hyperlink>
      <w:r w:rsidR="00F32415">
        <w:t xml:space="preserve">, </w:t>
      </w:r>
      <w:r w:rsidR="00BA0140">
        <w:t>Tourism businesses in Australia: June 201</w:t>
      </w:r>
      <w:r w:rsidR="00EB431F">
        <w:t>8</w:t>
      </w:r>
      <w:r w:rsidR="00BA0140">
        <w:t xml:space="preserve"> to 202</w:t>
      </w:r>
      <w:r w:rsidR="00EB431F">
        <w:t>3</w:t>
      </w:r>
      <w:r w:rsidR="00845CAC">
        <w:t>, accessed April 2024</w:t>
      </w:r>
    </w:p>
    <w:p w14:paraId="59B2F3C3" w14:textId="1F3DB122" w:rsidR="00BA0140" w:rsidRDefault="006C1E97" w:rsidP="00A87E23">
      <w:pPr>
        <w:pStyle w:val="BulletList"/>
      </w:pPr>
      <w:hyperlink r:id="rId99" w:history="1">
        <w:r w:rsidR="00494D50">
          <w:rPr>
            <w:rStyle w:val="Hyperlink"/>
          </w:rPr>
          <w:t>Tourism forecasts</w:t>
        </w:r>
      </w:hyperlink>
      <w:r w:rsidR="00F32415">
        <w:t xml:space="preserve">, </w:t>
      </w:r>
      <w:r w:rsidR="00BA0140">
        <w:t>Tourism Forecasts for Australia 202</w:t>
      </w:r>
      <w:r w:rsidR="00EB431F">
        <w:t>3</w:t>
      </w:r>
      <w:r w:rsidR="00BA0140">
        <w:t xml:space="preserve"> to 202</w:t>
      </w:r>
      <w:r w:rsidR="00EB431F">
        <w:t>8</w:t>
      </w:r>
      <w:r w:rsidR="00845CAC">
        <w:t>, accessed March 2024</w:t>
      </w:r>
    </w:p>
    <w:p w14:paraId="3255B23C" w14:textId="2B0488DB" w:rsidR="00BA7EEE" w:rsidRDefault="006C1E97" w:rsidP="00A87E23">
      <w:pPr>
        <w:pStyle w:val="BulletList"/>
      </w:pPr>
      <w:hyperlink r:id="rId100" w:history="1">
        <w:r w:rsidR="00494D50">
          <w:rPr>
            <w:rStyle w:val="Hyperlink"/>
          </w:rPr>
          <w:t>Tourism Investment Monitor</w:t>
        </w:r>
      </w:hyperlink>
      <w:r w:rsidR="00F542AA">
        <w:t xml:space="preserve">, </w:t>
      </w:r>
      <w:r w:rsidR="00BA0140">
        <w:t>Tourism Investment Monitor 202</w:t>
      </w:r>
      <w:r w:rsidR="00EB431F">
        <w:t>2</w:t>
      </w:r>
      <w:r w:rsidR="00BA0140">
        <w:t>-2</w:t>
      </w:r>
      <w:r w:rsidR="00EB431F">
        <w:t>3</w:t>
      </w:r>
      <w:r w:rsidR="00845CAC">
        <w:t>, accessed March 2024</w:t>
      </w:r>
    </w:p>
    <w:p w14:paraId="2EE094BA" w14:textId="4BE3140F" w:rsidR="00F542AA" w:rsidRDefault="006C1E97" w:rsidP="00A87E23">
      <w:pPr>
        <w:pStyle w:val="BulletList"/>
      </w:pPr>
      <w:hyperlink r:id="rId101" w:history="1">
        <w:r w:rsidR="00494D50">
          <w:rPr>
            <w:rStyle w:val="Hyperlink"/>
          </w:rPr>
          <w:t>Tourism workforce report</w:t>
        </w:r>
      </w:hyperlink>
      <w:r w:rsidR="00DC399C">
        <w:t>, October 2023</w:t>
      </w:r>
      <w:r w:rsidR="00845CAC">
        <w:t>, accessed March 2024.</w:t>
      </w:r>
    </w:p>
    <w:p w14:paraId="01257EE1" w14:textId="77777777" w:rsidR="006B44BF" w:rsidRPr="00B546A2" w:rsidRDefault="006B44BF" w:rsidP="006B44BF">
      <w:pPr>
        <w:spacing w:before="0" w:after="160" w:line="252" w:lineRule="auto"/>
        <w:rPr>
          <w:rStyle w:val="eop"/>
        </w:rPr>
      </w:pPr>
    </w:p>
    <w:sectPr w:rsidR="006B44BF" w:rsidRPr="00B546A2" w:rsidSect="009A6E60">
      <w:footerReference w:type="first" r:id="rId102"/>
      <w:pgSz w:w="11906" w:h="16838"/>
      <w:pgMar w:top="851" w:right="945" w:bottom="993" w:left="993" w:header="708"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53DE7" w14:textId="77777777" w:rsidR="00473EE8" w:rsidRDefault="00473EE8" w:rsidP="007B0021">
      <w:r>
        <w:separator/>
      </w:r>
    </w:p>
    <w:p w14:paraId="17F49C0A" w14:textId="77777777" w:rsidR="00473EE8" w:rsidRDefault="00473EE8" w:rsidP="007B0021"/>
  </w:endnote>
  <w:endnote w:type="continuationSeparator" w:id="0">
    <w:p w14:paraId="56FFF015" w14:textId="77777777" w:rsidR="00473EE8" w:rsidRDefault="00473EE8" w:rsidP="007B0021">
      <w:r>
        <w:continuationSeparator/>
      </w:r>
    </w:p>
    <w:p w14:paraId="33AA329E" w14:textId="77777777" w:rsidR="00473EE8" w:rsidRDefault="00473EE8" w:rsidP="007B0021"/>
  </w:endnote>
  <w:endnote w:type="continuationNotice" w:id="1">
    <w:p w14:paraId="6594C980" w14:textId="77777777" w:rsidR="00473EE8" w:rsidRDefault="00473E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U Sans BETA Text Light">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U Sans Tex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42845" w14:textId="0A46652C" w:rsidR="003547D9" w:rsidRDefault="003547D9" w:rsidP="003547D9">
    <w:pPr>
      <w:pStyle w:val="Footer"/>
      <w:pBdr>
        <w:top w:val="single" w:sz="4" w:space="8" w:color="7A4282" w:themeColor="accent1"/>
      </w:pBdr>
      <w:tabs>
        <w:tab w:val="left" w:pos="300"/>
        <w:tab w:val="right" w:pos="9968"/>
      </w:tabs>
      <w:spacing w:before="360"/>
      <w:contextualSpacing/>
      <w:rPr>
        <w:noProof/>
        <w:color w:val="404040" w:themeColor="text1" w:themeTint="BF"/>
      </w:rPr>
    </w:pPr>
    <w:r>
      <w:rPr>
        <w:noProof/>
        <w:color w:val="404040" w:themeColor="text1" w:themeTint="BF"/>
      </w:rPr>
      <w:tab/>
      <w:t>State of the Industry: Australia’s tourism sector in 2023</w:t>
    </w:r>
    <w:r w:rsidR="00B949C2">
      <w:rPr>
        <w:noProof/>
        <w:color w:val="404040" w:themeColor="text1" w:themeTint="BF"/>
      </w:rPr>
      <w:tab/>
    </w:r>
    <w:r w:rsidR="000B1B2B">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B7BEB" w14:textId="0C492D86" w:rsidR="00177F0A" w:rsidRDefault="00177F0A" w:rsidP="003547D9">
    <w:pPr>
      <w:pStyle w:val="Footer"/>
      <w:pBdr>
        <w:top w:val="single" w:sz="4" w:space="8" w:color="7A4282" w:themeColor="accent1"/>
      </w:pBdr>
      <w:tabs>
        <w:tab w:val="left" w:pos="300"/>
        <w:tab w:val="right" w:pos="9968"/>
      </w:tabs>
      <w:spacing w:before="360"/>
      <w:contextualSpacing/>
      <w:rPr>
        <w:noProof/>
        <w:color w:val="404040" w:themeColor="text1" w:themeTint="BF"/>
      </w:rPr>
    </w:pPr>
    <w:r>
      <w:rPr>
        <w:noProof/>
        <w:color w:val="404040" w:themeColor="text1" w:themeTint="BF"/>
      </w:rPr>
      <w:tab/>
      <w:t>State of the Industry: Australia’s tourism sector in 2023</w:t>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B6E64" w14:textId="0A4A5B27" w:rsidR="00EB2681" w:rsidRDefault="00EB2681">
    <w:pPr>
      <w:pStyle w:val="Footer"/>
    </w:pPr>
    <w:r>
      <w:t xml:space="preserve">State of the Industry: Australia’s tourism sector in 2023 </w:t>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2F30D" w14:textId="640DE1D3" w:rsidR="00930687" w:rsidRDefault="00930687">
    <w:pPr>
      <w:pStyle w:val="Footer"/>
    </w:pPr>
    <w:r>
      <w:t xml:space="preserve">State of the Industry: Australia’s tourism sector in 2023 </w:t>
    </w:r>
    <w:r>
      <w:tab/>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848944" w14:textId="77777777" w:rsidR="00473EE8" w:rsidRDefault="00473EE8" w:rsidP="007B0021">
      <w:r>
        <w:separator/>
      </w:r>
    </w:p>
    <w:p w14:paraId="4992FD66" w14:textId="77777777" w:rsidR="00473EE8" w:rsidRDefault="00473EE8" w:rsidP="007B0021"/>
  </w:footnote>
  <w:footnote w:type="continuationSeparator" w:id="0">
    <w:p w14:paraId="2D6024F8" w14:textId="77777777" w:rsidR="00473EE8" w:rsidRDefault="00473EE8" w:rsidP="007B0021">
      <w:r>
        <w:continuationSeparator/>
      </w:r>
    </w:p>
    <w:p w14:paraId="5C77074C" w14:textId="77777777" w:rsidR="00473EE8" w:rsidRDefault="00473EE8" w:rsidP="007B0021"/>
  </w:footnote>
  <w:footnote w:type="continuationNotice" w:id="1">
    <w:p w14:paraId="4142F6CD" w14:textId="77777777" w:rsidR="00473EE8" w:rsidRDefault="00473EE8">
      <w:pPr>
        <w:spacing w:before="0" w:after="0" w:line="240" w:lineRule="auto"/>
      </w:pPr>
    </w:p>
  </w:footnote>
  <w:footnote w:id="2">
    <w:p w14:paraId="44D02FEE" w14:textId="65E1D6F4" w:rsidR="00633B20" w:rsidRDefault="00633B20" w:rsidP="00633B20">
      <w:pPr>
        <w:pStyle w:val="FootnoteText"/>
      </w:pPr>
      <w:r>
        <w:rPr>
          <w:rStyle w:val="FootnoteReference"/>
        </w:rPr>
        <w:footnoteRef/>
      </w:r>
      <w:r>
        <w:t xml:space="preserve"> </w:t>
      </w:r>
      <w:r w:rsidRPr="00975B82">
        <w:rPr>
          <w:sz w:val="18"/>
          <w:szCs w:val="18"/>
          <w:lang w:eastAsia="en-AU"/>
        </w:rPr>
        <w:t xml:space="preserve">On average, in 2023, international holiday trips in Australia lasted 23 days, and </w:t>
      </w:r>
      <w:r w:rsidR="00655B02">
        <w:rPr>
          <w:sz w:val="18"/>
          <w:szCs w:val="18"/>
          <w:lang w:eastAsia="en-AU"/>
        </w:rPr>
        <w:t>accounted for</w:t>
      </w:r>
      <w:r w:rsidRPr="00975B82">
        <w:rPr>
          <w:sz w:val="18"/>
          <w:szCs w:val="18"/>
          <w:lang w:eastAsia="en-AU"/>
        </w:rPr>
        <w:t xml:space="preserve"> $3,214 in </w:t>
      </w:r>
      <w:r w:rsidR="00655B02">
        <w:rPr>
          <w:sz w:val="18"/>
          <w:szCs w:val="18"/>
          <w:lang w:eastAsia="en-AU"/>
        </w:rPr>
        <w:t xml:space="preserve">visitor spend </w:t>
      </w:r>
      <w:r w:rsidRPr="00975B82">
        <w:rPr>
          <w:sz w:val="18"/>
          <w:szCs w:val="18"/>
          <w:lang w:eastAsia="en-AU"/>
        </w:rPr>
        <w:t>Australia. This was higher than the average of $1,238 and 4 days on average per domestic overnight holiday.</w:t>
      </w:r>
    </w:p>
  </w:footnote>
  <w:footnote w:id="3">
    <w:p w14:paraId="21728148" w14:textId="77777777" w:rsidR="008A0F95" w:rsidRDefault="008A0F95" w:rsidP="008A0F95">
      <w:pPr>
        <w:pStyle w:val="FootnoteText"/>
      </w:pPr>
      <w:r>
        <w:rPr>
          <w:rStyle w:val="FootnoteReference"/>
        </w:rPr>
        <w:footnoteRef/>
      </w:r>
      <w:r>
        <w:t xml:space="preserve"> </w:t>
      </w:r>
      <w:r w:rsidRPr="0078135E">
        <w:rPr>
          <w:sz w:val="18"/>
          <w:szCs w:val="18"/>
        </w:rPr>
        <w:t xml:space="preserve">Prior to the pandemic, 41% of international holiday makers visited regional Australia, while 33% of international VFR travellers visited regional Australia. In 2023, 35% of international holiday makers visited regional Australia, while 32% of international VFR travellers visited regional Australia.  Note that these shares are consistently higher than the share of international travellers visiting regional Australia that report their main purpose of visit was either business, education or ‘other’. </w:t>
      </w:r>
    </w:p>
  </w:footnote>
  <w:footnote w:id="4">
    <w:p w14:paraId="1F99CF54" w14:textId="58A918A2" w:rsidR="00B346FF" w:rsidRPr="00B346FF" w:rsidRDefault="00B346FF" w:rsidP="00827247">
      <w:pPr>
        <w:pStyle w:val="Bullet"/>
        <w:numPr>
          <w:ilvl w:val="0"/>
          <w:numId w:val="0"/>
        </w:numPr>
        <w:spacing w:after="0"/>
        <w:ind w:left="142" w:hanging="142"/>
        <w:rPr>
          <w:rFonts w:asciiTheme="minorHAnsi" w:hAnsiTheme="minorHAnsi" w:cstheme="minorHAnsi"/>
          <w:sz w:val="18"/>
          <w:szCs w:val="18"/>
        </w:rPr>
      </w:pPr>
      <w:r w:rsidRPr="00B346FF">
        <w:rPr>
          <w:rStyle w:val="FootnoteReference"/>
          <w:rFonts w:ascii="Verdana" w:hAnsi="Verdana"/>
          <w:sz w:val="20"/>
          <w:szCs w:val="20"/>
        </w:rPr>
        <w:footnoteRef/>
      </w:r>
      <w:r w:rsidRPr="00B346FF">
        <w:rPr>
          <w:sz w:val="18"/>
          <w:szCs w:val="18"/>
        </w:rPr>
        <w:t xml:space="preserve"> </w:t>
      </w:r>
      <w:r w:rsidRPr="00B346FF">
        <w:rPr>
          <w:rFonts w:asciiTheme="minorHAnsi" w:hAnsiTheme="minorHAnsi" w:cstheme="minorHAnsi"/>
          <w:sz w:val="18"/>
          <w:szCs w:val="18"/>
        </w:rPr>
        <w:t xml:space="preserve">The </w:t>
      </w:r>
      <w:r>
        <w:rPr>
          <w:rFonts w:asciiTheme="minorHAnsi" w:hAnsiTheme="minorHAnsi" w:cstheme="minorHAnsi"/>
          <w:sz w:val="18"/>
          <w:szCs w:val="18"/>
        </w:rPr>
        <w:t xml:space="preserve">ADS scheme </w:t>
      </w:r>
      <w:r w:rsidR="001B2369">
        <w:rPr>
          <w:rFonts w:asciiTheme="minorHAnsi" w:hAnsiTheme="minorHAnsi" w:cstheme="minorHAnsi"/>
          <w:sz w:val="18"/>
          <w:szCs w:val="18"/>
        </w:rPr>
        <w:t>is</w:t>
      </w:r>
      <w:r w:rsidR="0071358F">
        <w:rPr>
          <w:rFonts w:asciiTheme="minorHAnsi" w:hAnsiTheme="minorHAnsi" w:cstheme="minorHAnsi"/>
          <w:sz w:val="18"/>
          <w:szCs w:val="18"/>
        </w:rPr>
        <w:t xml:space="preserve"> managed by Austrade</w:t>
      </w:r>
      <w:r w:rsidR="001738D7">
        <w:rPr>
          <w:rFonts w:asciiTheme="minorHAnsi" w:hAnsiTheme="minorHAnsi" w:cstheme="minorHAnsi"/>
          <w:sz w:val="18"/>
          <w:szCs w:val="18"/>
        </w:rPr>
        <w:t>.</w:t>
      </w:r>
      <w:r w:rsidR="0071358F">
        <w:rPr>
          <w:rFonts w:asciiTheme="minorHAnsi" w:hAnsiTheme="minorHAnsi" w:cstheme="minorHAnsi"/>
          <w:sz w:val="18"/>
          <w:szCs w:val="18"/>
        </w:rPr>
        <w:t xml:space="preserve"> </w:t>
      </w:r>
      <w:r w:rsidR="001738D7">
        <w:rPr>
          <w:rFonts w:asciiTheme="minorHAnsi" w:hAnsiTheme="minorHAnsi" w:cstheme="minorHAnsi"/>
          <w:sz w:val="18"/>
          <w:szCs w:val="18"/>
        </w:rPr>
        <w:t>T</w:t>
      </w:r>
      <w:r w:rsidR="0071358F">
        <w:rPr>
          <w:rFonts w:asciiTheme="minorHAnsi" w:hAnsiTheme="minorHAnsi" w:cstheme="minorHAnsi"/>
          <w:sz w:val="18"/>
          <w:szCs w:val="18"/>
        </w:rPr>
        <w:t xml:space="preserve">he </w:t>
      </w:r>
      <w:r w:rsidRPr="00B346FF">
        <w:rPr>
          <w:rFonts w:asciiTheme="minorHAnsi" w:hAnsiTheme="minorHAnsi" w:cstheme="minorHAnsi"/>
          <w:sz w:val="18"/>
          <w:szCs w:val="18"/>
        </w:rPr>
        <w:t xml:space="preserve">2024-25 </w:t>
      </w:r>
      <w:r w:rsidR="0071358F">
        <w:rPr>
          <w:rFonts w:asciiTheme="minorHAnsi" w:hAnsiTheme="minorHAnsi" w:cstheme="minorHAnsi"/>
          <w:sz w:val="18"/>
          <w:szCs w:val="18"/>
        </w:rPr>
        <w:t xml:space="preserve">Federal </w:t>
      </w:r>
      <w:r w:rsidRPr="00B346FF">
        <w:rPr>
          <w:rFonts w:asciiTheme="minorHAnsi" w:hAnsiTheme="minorHAnsi" w:cstheme="minorHAnsi"/>
          <w:sz w:val="18"/>
          <w:szCs w:val="18"/>
        </w:rPr>
        <w:t>Budget provide</w:t>
      </w:r>
      <w:r w:rsidR="001738D7">
        <w:rPr>
          <w:rFonts w:asciiTheme="minorHAnsi" w:hAnsiTheme="minorHAnsi" w:cstheme="minorHAnsi"/>
          <w:sz w:val="18"/>
          <w:szCs w:val="18"/>
        </w:rPr>
        <w:t>d</w:t>
      </w:r>
      <w:r w:rsidRPr="00B346FF">
        <w:rPr>
          <w:rFonts w:asciiTheme="minorHAnsi" w:hAnsiTheme="minorHAnsi" w:cstheme="minorHAnsi"/>
          <w:sz w:val="18"/>
          <w:szCs w:val="18"/>
        </w:rPr>
        <w:t xml:space="preserve"> Austrade with $8.1 million over the next four </w:t>
      </w:r>
      <w:r w:rsidR="001738D7" w:rsidRPr="00B346FF">
        <w:rPr>
          <w:rFonts w:asciiTheme="minorHAnsi" w:hAnsiTheme="minorHAnsi" w:cstheme="minorHAnsi"/>
          <w:sz w:val="18"/>
          <w:szCs w:val="18"/>
        </w:rPr>
        <w:t>years and</w:t>
      </w:r>
      <w:r w:rsidRPr="00B346FF">
        <w:rPr>
          <w:rFonts w:asciiTheme="minorHAnsi" w:hAnsiTheme="minorHAnsi" w:cstheme="minorHAnsi"/>
          <w:sz w:val="18"/>
          <w:szCs w:val="18"/>
        </w:rPr>
        <w:t xml:space="preserve"> funding of $2.5 million per year on an ongoing basis thereafter.</w:t>
      </w:r>
      <w:r w:rsidR="001738D7">
        <w:rPr>
          <w:rFonts w:asciiTheme="minorHAnsi" w:hAnsiTheme="minorHAnsi" w:cstheme="minorHAnsi"/>
          <w:sz w:val="18"/>
          <w:szCs w:val="18"/>
        </w:rPr>
        <w:t xml:space="preserve"> </w:t>
      </w:r>
      <w:r w:rsidRPr="00B346FF">
        <w:rPr>
          <w:rFonts w:asciiTheme="minorHAnsi" w:hAnsiTheme="minorHAnsi" w:cstheme="minorHAnsi"/>
          <w:sz w:val="18"/>
          <w:szCs w:val="18"/>
        </w:rPr>
        <w:t xml:space="preserve">The announced funding will allow for activities </w:t>
      </w:r>
      <w:r w:rsidR="00ED268E">
        <w:rPr>
          <w:rFonts w:asciiTheme="minorHAnsi" w:hAnsiTheme="minorHAnsi" w:cstheme="minorHAnsi"/>
          <w:sz w:val="18"/>
          <w:szCs w:val="18"/>
        </w:rPr>
        <w:t>such as: the c</w:t>
      </w:r>
      <w:r w:rsidRPr="00B346FF">
        <w:rPr>
          <w:rFonts w:asciiTheme="minorHAnsi" w:hAnsiTheme="minorHAnsi" w:cstheme="minorHAnsi"/>
          <w:sz w:val="18"/>
          <w:szCs w:val="18"/>
        </w:rPr>
        <w:t>ontinued assessment and approval of agents to take part in the regulated scheme</w:t>
      </w:r>
      <w:r w:rsidR="00801A78">
        <w:rPr>
          <w:rFonts w:asciiTheme="minorHAnsi" w:hAnsiTheme="minorHAnsi" w:cstheme="minorHAnsi"/>
          <w:sz w:val="18"/>
          <w:szCs w:val="18"/>
        </w:rPr>
        <w:t xml:space="preserve"> and</w:t>
      </w:r>
      <w:r w:rsidRPr="00B346FF">
        <w:rPr>
          <w:rFonts w:asciiTheme="minorHAnsi" w:hAnsiTheme="minorHAnsi" w:cstheme="minorHAnsi"/>
          <w:sz w:val="18"/>
          <w:szCs w:val="18"/>
        </w:rPr>
        <w:t xml:space="preserve"> building the cohort of ADS accredited agents</w:t>
      </w:r>
      <w:r w:rsidR="00ED268E">
        <w:rPr>
          <w:rFonts w:asciiTheme="minorHAnsi" w:hAnsiTheme="minorHAnsi" w:cstheme="minorHAnsi"/>
          <w:sz w:val="18"/>
          <w:szCs w:val="18"/>
        </w:rPr>
        <w:t>; i</w:t>
      </w:r>
      <w:r w:rsidRPr="00B346FF">
        <w:rPr>
          <w:rFonts w:asciiTheme="minorHAnsi" w:hAnsiTheme="minorHAnsi" w:cstheme="minorHAnsi"/>
          <w:sz w:val="18"/>
          <w:szCs w:val="18"/>
        </w:rPr>
        <w:t>mproving the supply and quality of tour guides, including training to attract more locally-employed multilingual guides</w:t>
      </w:r>
      <w:r w:rsidR="00ED268E">
        <w:rPr>
          <w:rFonts w:asciiTheme="minorHAnsi" w:hAnsiTheme="minorHAnsi" w:cstheme="minorHAnsi"/>
          <w:sz w:val="18"/>
          <w:szCs w:val="18"/>
        </w:rPr>
        <w:t>; u</w:t>
      </w:r>
      <w:r w:rsidRPr="00B346FF">
        <w:rPr>
          <w:rFonts w:asciiTheme="minorHAnsi" w:hAnsiTheme="minorHAnsi" w:cstheme="minorHAnsi"/>
          <w:sz w:val="18"/>
          <w:szCs w:val="18"/>
        </w:rPr>
        <w:t>ndertaking compliance to support traveller</w:t>
      </w:r>
      <w:r w:rsidR="00AB4324">
        <w:rPr>
          <w:rFonts w:asciiTheme="minorHAnsi" w:hAnsiTheme="minorHAnsi" w:cstheme="minorHAnsi"/>
          <w:sz w:val="18"/>
          <w:szCs w:val="18"/>
        </w:rPr>
        <w:t>’</w:t>
      </w:r>
      <w:r w:rsidRPr="00B346FF">
        <w:rPr>
          <w:rFonts w:asciiTheme="minorHAnsi" w:hAnsiTheme="minorHAnsi" w:cstheme="minorHAnsi"/>
          <w:sz w:val="18"/>
          <w:szCs w:val="18"/>
        </w:rPr>
        <w:t>s</w:t>
      </w:r>
      <w:r w:rsidR="00AB4324" w:rsidRPr="00AB4324">
        <w:rPr>
          <w:rFonts w:asciiTheme="minorHAnsi" w:hAnsiTheme="minorHAnsi" w:cstheme="minorHAnsi"/>
          <w:sz w:val="18"/>
          <w:szCs w:val="18"/>
        </w:rPr>
        <w:t xml:space="preserve"> </w:t>
      </w:r>
      <w:r w:rsidR="00AB4324" w:rsidRPr="00B346FF">
        <w:rPr>
          <w:rFonts w:asciiTheme="minorHAnsi" w:hAnsiTheme="minorHAnsi" w:cstheme="minorHAnsi"/>
          <w:sz w:val="18"/>
          <w:szCs w:val="18"/>
        </w:rPr>
        <w:t>experiences</w:t>
      </w:r>
      <w:r w:rsidR="00ED268E">
        <w:rPr>
          <w:rFonts w:asciiTheme="minorHAnsi" w:hAnsiTheme="minorHAnsi" w:cstheme="minorHAnsi"/>
          <w:sz w:val="18"/>
          <w:szCs w:val="18"/>
        </w:rPr>
        <w:t>; r</w:t>
      </w:r>
      <w:r w:rsidRPr="00B346FF">
        <w:rPr>
          <w:rFonts w:asciiTheme="minorHAnsi" w:hAnsiTheme="minorHAnsi" w:cstheme="minorHAnsi"/>
          <w:sz w:val="18"/>
          <w:szCs w:val="18"/>
        </w:rPr>
        <w:t>esearch and data analysis to better support policy and business decisions</w:t>
      </w:r>
      <w:r w:rsidR="00ED268E">
        <w:rPr>
          <w:rFonts w:asciiTheme="minorHAnsi" w:hAnsiTheme="minorHAnsi" w:cstheme="minorHAnsi"/>
          <w:sz w:val="18"/>
          <w:szCs w:val="18"/>
        </w:rPr>
        <w:t>; and s</w:t>
      </w:r>
      <w:r w:rsidRPr="00B346FF">
        <w:rPr>
          <w:rFonts w:asciiTheme="minorHAnsi" w:hAnsiTheme="minorHAnsi" w:cstheme="minorHAnsi"/>
          <w:sz w:val="18"/>
          <w:szCs w:val="18"/>
        </w:rPr>
        <w:t>upporting and strengthening bilateral tourism engagement with the Chinese Government.</w:t>
      </w:r>
    </w:p>
    <w:p w14:paraId="04C0FEDE" w14:textId="6AB3823C" w:rsidR="00B346FF" w:rsidRPr="00B346FF" w:rsidRDefault="00B346FF" w:rsidP="00B346FF">
      <w:pPr>
        <w:pStyle w:val="FootnoteText"/>
        <w:ind w:left="720"/>
        <w:rPr>
          <w:sz w:val="18"/>
          <w:szCs w:val="18"/>
        </w:rPr>
      </w:pPr>
    </w:p>
  </w:footnote>
  <w:footnote w:id="5">
    <w:p w14:paraId="13209D95" w14:textId="77777777" w:rsidR="004D55F6" w:rsidRPr="00197622" w:rsidRDefault="004D55F6" w:rsidP="0048097A">
      <w:pPr>
        <w:spacing w:before="0" w:after="0" w:line="240" w:lineRule="auto"/>
      </w:pPr>
      <w:r>
        <w:rPr>
          <w:rStyle w:val="FootnoteReference"/>
        </w:rPr>
        <w:footnoteRef/>
      </w:r>
      <w:r>
        <w:t xml:space="preserve"> </w:t>
      </w:r>
      <w:r w:rsidRPr="00197622">
        <w:rPr>
          <w:sz w:val="18"/>
          <w:szCs w:val="18"/>
        </w:rPr>
        <w:t xml:space="preserve">Southeast Asia </w:t>
      </w:r>
      <w:r w:rsidRPr="00197622">
        <w:rPr>
          <w:rFonts w:eastAsia="Segoe UI"/>
          <w:sz w:val="18"/>
          <w:szCs w:val="18"/>
        </w:rPr>
        <w:t>includes</w:t>
      </w:r>
      <w:r w:rsidRPr="00197622">
        <w:rPr>
          <w:sz w:val="18"/>
          <w:szCs w:val="18"/>
        </w:rPr>
        <w:t xml:space="preserve"> Singapore, Indonesia, Malaysia, Vietnam, Philippines, Thailand, Cambodia, Timor-Leste, Brunei Darussalam, Laos, and Myanmar. </w:t>
      </w:r>
    </w:p>
  </w:footnote>
  <w:footnote w:id="6">
    <w:p w14:paraId="659E28D3" w14:textId="77777777" w:rsidR="00667936" w:rsidRPr="00935D99" w:rsidRDefault="00667936" w:rsidP="00667936">
      <w:pPr>
        <w:pStyle w:val="FootnoteText"/>
        <w:rPr>
          <w:sz w:val="18"/>
          <w:szCs w:val="18"/>
        </w:rPr>
      </w:pPr>
      <w:r>
        <w:rPr>
          <w:rStyle w:val="FootnoteReference"/>
        </w:rPr>
        <w:footnoteRef/>
      </w:r>
      <w:r>
        <w:t xml:space="preserve"> </w:t>
      </w:r>
      <w:r w:rsidRPr="00851F7D">
        <w:rPr>
          <w:sz w:val="18"/>
          <w:szCs w:val="18"/>
        </w:rPr>
        <w:t>The 4 SEA countries included in the chart analysis are Singapore, Malaysia, Thailand, and Indonesia. The</w:t>
      </w:r>
      <w:r w:rsidRPr="00935D99">
        <w:rPr>
          <w:sz w:val="18"/>
          <w:szCs w:val="18"/>
        </w:rPr>
        <w:t xml:space="preserve"> inclusion of Vietnam and Philippines would increase the coverage of the region to 97%, but these 2 countries are not yet benchmarked in the IVS data.</w:t>
      </w:r>
    </w:p>
  </w:footnote>
  <w:footnote w:id="7">
    <w:p w14:paraId="5840F7D8" w14:textId="5D52A89E" w:rsidR="00734A8F" w:rsidRPr="00FF4B51" w:rsidRDefault="00734A8F" w:rsidP="00734A8F">
      <w:pPr>
        <w:spacing w:after="0" w:line="240" w:lineRule="auto"/>
        <w:rPr>
          <w:sz w:val="18"/>
          <w:szCs w:val="18"/>
        </w:rPr>
      </w:pPr>
      <w:r>
        <w:rPr>
          <w:rStyle w:val="FootnoteReference"/>
        </w:rPr>
        <w:footnoteRef/>
      </w:r>
      <w:r>
        <w:t xml:space="preserve"> </w:t>
      </w:r>
      <w:r w:rsidRPr="00FF4B51">
        <w:rPr>
          <w:sz w:val="18"/>
          <w:szCs w:val="18"/>
        </w:rPr>
        <w:t xml:space="preserve">First </w:t>
      </w:r>
      <w:r w:rsidR="00C87C1C">
        <w:rPr>
          <w:sz w:val="18"/>
          <w:szCs w:val="18"/>
        </w:rPr>
        <w:t>N</w:t>
      </w:r>
      <w:r w:rsidRPr="00FF4B51">
        <w:rPr>
          <w:sz w:val="18"/>
          <w:szCs w:val="18"/>
        </w:rPr>
        <w:t>ations activities include: experiencing Aboriginal art/craft and cultural displays; visiting an Aboriginal site/community; attending an Aboriginal performance; going on a tour with an Aboriginal guide; participating in traditional activities; having an Aboriginal food experience; having a camping experience on Aboriginal land.</w:t>
      </w:r>
    </w:p>
  </w:footnote>
  <w:footnote w:id="8">
    <w:p w14:paraId="02DD40F2" w14:textId="1475B39E" w:rsidR="00C6505E" w:rsidRPr="00C6505E" w:rsidRDefault="00C6505E">
      <w:pPr>
        <w:pStyle w:val="FootnoteText"/>
        <w:rPr>
          <w:sz w:val="18"/>
          <w:szCs w:val="18"/>
        </w:rPr>
      </w:pPr>
      <w:r>
        <w:rPr>
          <w:rStyle w:val="FootnoteReference"/>
        </w:rPr>
        <w:footnoteRef/>
      </w:r>
      <w:r>
        <w:t xml:space="preserve"> </w:t>
      </w:r>
      <w:r w:rsidRPr="00C6505E">
        <w:rPr>
          <w:sz w:val="18"/>
          <w:szCs w:val="18"/>
        </w:rPr>
        <w:t>Participation in these activities grew by 40-50% over the period from 2014 to 2019.</w:t>
      </w:r>
    </w:p>
  </w:footnote>
  <w:footnote w:id="9">
    <w:p w14:paraId="073C8598" w14:textId="7E454673" w:rsidR="00F14495" w:rsidRDefault="00F14495" w:rsidP="00F14495">
      <w:pPr>
        <w:pStyle w:val="FootnoteText"/>
      </w:pPr>
      <w:r>
        <w:rPr>
          <w:rStyle w:val="FootnoteReference"/>
        </w:rPr>
        <w:footnoteRef/>
      </w:r>
      <w:r>
        <w:t xml:space="preserve"> </w:t>
      </w:r>
      <w:r w:rsidRPr="00B35168">
        <w:rPr>
          <w:rFonts w:asciiTheme="minorHAnsi" w:hAnsiTheme="minorHAnsi"/>
          <w:sz w:val="18"/>
          <w:szCs w:val="18"/>
        </w:rPr>
        <w:t>Source: Euromonitor International</w:t>
      </w:r>
      <w:r w:rsidR="00B026BB">
        <w:rPr>
          <w:rFonts w:asciiTheme="minorHAnsi" w:hAnsiTheme="minorHAnsi"/>
          <w:sz w:val="18"/>
          <w:szCs w:val="18"/>
        </w:rPr>
        <w:t xml:space="preserve">, </w:t>
      </w:r>
      <w:hyperlink r:id="rId1" w:anchor=":~:text=2019%3A%20Euromonitor%20International-,Women%27s%20World%20Cup%202023%20viewership%20to%20cross%202,double%20from%202019%3A%20Euromonitor%20International&amp;text=Share%3A,already%20exceeding%20pre%2DCovid%20levels" w:history="1">
        <w:r w:rsidR="00B026BB">
          <w:rPr>
            <w:rStyle w:val="Hyperlink"/>
          </w:rPr>
          <w:t>Women’s World Cup 2023 viewership to cross 2 billion, double from 2019: Euromonitor International - Euromonitor.com</w:t>
        </w:r>
      </w:hyperlink>
      <w:r w:rsidR="00B026BB">
        <w:t>.</w:t>
      </w:r>
    </w:p>
  </w:footnote>
  <w:footnote w:id="10">
    <w:p w14:paraId="3BD542CC" w14:textId="77777777" w:rsidR="00C85738" w:rsidRPr="000A5F90" w:rsidRDefault="00C85738" w:rsidP="000A5F90">
      <w:pPr>
        <w:pStyle w:val="BulletList"/>
        <w:numPr>
          <w:ilvl w:val="0"/>
          <w:numId w:val="0"/>
        </w:numPr>
        <w:spacing w:after="0" w:line="240" w:lineRule="auto"/>
        <w:ind w:left="142"/>
        <w:rPr>
          <w:rFonts w:eastAsia="Verdana"/>
          <w:color w:val="auto"/>
          <w:sz w:val="18"/>
          <w:szCs w:val="18"/>
        </w:rPr>
      </w:pPr>
      <w:r>
        <w:rPr>
          <w:rStyle w:val="FootnoteReference"/>
        </w:rPr>
        <w:footnoteRef/>
      </w:r>
      <w:r>
        <w:t xml:space="preserve"> </w:t>
      </w:r>
      <w:r w:rsidRPr="000A5F90">
        <w:rPr>
          <w:sz w:val="18"/>
          <w:szCs w:val="18"/>
        </w:rPr>
        <w:t xml:space="preserve">As at 31 December 2023, there were 544,617 student visa holders in Australia (primary and secondary visa holders, excluding defence and foreign affairs sectors). This was an increase of 20% compared to the prior year, and an </w:t>
      </w:r>
      <w:r w:rsidRPr="000A5F90">
        <w:rPr>
          <w:color w:val="auto"/>
          <w:sz w:val="18"/>
          <w:szCs w:val="18"/>
        </w:rPr>
        <w:t xml:space="preserve">increase of 14% compared to December 2019. </w:t>
      </w:r>
    </w:p>
  </w:footnote>
  <w:footnote w:id="11">
    <w:p w14:paraId="07D58753" w14:textId="514CCDE7" w:rsidR="0075595C" w:rsidRDefault="0075595C">
      <w:pPr>
        <w:pStyle w:val="FootnoteText"/>
      </w:pPr>
      <w:r>
        <w:rPr>
          <w:rStyle w:val="FootnoteReference"/>
        </w:rPr>
        <w:footnoteRef/>
      </w:r>
      <w:r>
        <w:t xml:space="preserve"> </w:t>
      </w:r>
      <w:r w:rsidR="00392CBF">
        <w:rPr>
          <w:rFonts w:ascii="Segoe UI" w:hAnsi="Segoe UI" w:cs="Segoe UI"/>
          <w:color w:val="000000"/>
          <w:sz w:val="18"/>
          <w:szCs w:val="18"/>
        </w:rPr>
        <w:t>Destination of visit indicates the main destination reported by returning Australian residents. Travellers may have visited other countries on the same trip.</w:t>
      </w:r>
    </w:p>
  </w:footnote>
  <w:footnote w:id="12">
    <w:p w14:paraId="1CE5AC35" w14:textId="333BF0D6" w:rsidR="00BA1E43" w:rsidRPr="0039204D" w:rsidRDefault="00BA1E43">
      <w:pPr>
        <w:pStyle w:val="FootnoteText"/>
        <w:rPr>
          <w:sz w:val="18"/>
          <w:szCs w:val="18"/>
        </w:rPr>
      </w:pPr>
      <w:r>
        <w:rPr>
          <w:rStyle w:val="FootnoteReference"/>
        </w:rPr>
        <w:footnoteRef/>
      </w:r>
      <w:r>
        <w:t xml:space="preserve"> </w:t>
      </w:r>
      <w:r w:rsidRPr="0039204D">
        <w:rPr>
          <w:sz w:val="18"/>
          <w:szCs w:val="18"/>
        </w:rPr>
        <w:t xml:space="preserve">This </w:t>
      </w:r>
      <w:r w:rsidR="00704CEE" w:rsidRPr="0039204D">
        <w:rPr>
          <w:sz w:val="18"/>
          <w:szCs w:val="18"/>
        </w:rPr>
        <w:t>dichotomy</w:t>
      </w:r>
      <w:r w:rsidRPr="0039204D">
        <w:rPr>
          <w:sz w:val="18"/>
          <w:szCs w:val="18"/>
        </w:rPr>
        <w:t xml:space="preserve"> is </w:t>
      </w:r>
      <w:r w:rsidR="00704CEE" w:rsidRPr="0039204D">
        <w:rPr>
          <w:sz w:val="18"/>
          <w:szCs w:val="18"/>
        </w:rPr>
        <w:t xml:space="preserve">consistent with </w:t>
      </w:r>
      <w:r w:rsidR="003E7D84" w:rsidRPr="0039204D">
        <w:rPr>
          <w:sz w:val="18"/>
          <w:szCs w:val="18"/>
        </w:rPr>
        <w:t xml:space="preserve">broader </w:t>
      </w:r>
      <w:r w:rsidR="00704CEE" w:rsidRPr="0039204D">
        <w:rPr>
          <w:sz w:val="18"/>
          <w:szCs w:val="18"/>
        </w:rPr>
        <w:t xml:space="preserve">trends in </w:t>
      </w:r>
      <w:r w:rsidR="00F951E3" w:rsidRPr="0039204D">
        <w:rPr>
          <w:sz w:val="18"/>
          <w:szCs w:val="18"/>
        </w:rPr>
        <w:t>international travel to Japan compared with Japanese outbound travel</w:t>
      </w:r>
      <w:r w:rsidR="00360713" w:rsidRPr="0039204D">
        <w:rPr>
          <w:sz w:val="18"/>
          <w:szCs w:val="18"/>
        </w:rPr>
        <w:t>.</w:t>
      </w:r>
      <w:r w:rsidR="00797D08" w:rsidRPr="0039204D">
        <w:rPr>
          <w:sz w:val="18"/>
          <w:szCs w:val="18"/>
        </w:rPr>
        <w:t xml:space="preserve"> For example, in</w:t>
      </w:r>
      <w:r w:rsidR="00F4548D" w:rsidRPr="0039204D">
        <w:rPr>
          <w:sz w:val="18"/>
          <w:szCs w:val="18"/>
        </w:rPr>
        <w:t xml:space="preserve"> </w:t>
      </w:r>
      <w:r w:rsidR="00FE1412" w:rsidRPr="0039204D">
        <w:rPr>
          <w:sz w:val="18"/>
          <w:szCs w:val="18"/>
        </w:rPr>
        <w:t>the calendar year to April</w:t>
      </w:r>
      <w:r w:rsidR="00BA7230" w:rsidRPr="0039204D">
        <w:rPr>
          <w:sz w:val="18"/>
          <w:szCs w:val="18"/>
        </w:rPr>
        <w:t xml:space="preserve"> </w:t>
      </w:r>
      <w:r w:rsidR="00797D08" w:rsidRPr="0039204D">
        <w:rPr>
          <w:sz w:val="18"/>
          <w:szCs w:val="18"/>
        </w:rPr>
        <w:t>2024</w:t>
      </w:r>
      <w:r w:rsidR="00C51954" w:rsidRPr="0039204D">
        <w:rPr>
          <w:sz w:val="18"/>
          <w:szCs w:val="18"/>
        </w:rPr>
        <w:t xml:space="preserve">, international arrivals to Japan </w:t>
      </w:r>
      <w:r w:rsidR="00793744" w:rsidRPr="0039204D">
        <w:rPr>
          <w:sz w:val="18"/>
          <w:szCs w:val="18"/>
        </w:rPr>
        <w:t>were 105% of</w:t>
      </w:r>
      <w:r w:rsidR="00C51954" w:rsidRPr="0039204D">
        <w:rPr>
          <w:sz w:val="18"/>
          <w:szCs w:val="18"/>
        </w:rPr>
        <w:t xml:space="preserve"> their equivalent 2019 levels</w:t>
      </w:r>
      <w:r w:rsidR="00AD553E" w:rsidRPr="0039204D">
        <w:rPr>
          <w:sz w:val="18"/>
          <w:szCs w:val="18"/>
        </w:rPr>
        <w:t>.</w:t>
      </w:r>
      <w:r w:rsidR="00360713" w:rsidRPr="0039204D">
        <w:rPr>
          <w:sz w:val="18"/>
          <w:szCs w:val="18"/>
        </w:rPr>
        <w:t xml:space="preserve"> In</w:t>
      </w:r>
      <w:r w:rsidR="00AD553E" w:rsidRPr="0039204D">
        <w:rPr>
          <w:sz w:val="18"/>
          <w:szCs w:val="18"/>
        </w:rPr>
        <w:t xml:space="preserve"> contrast, Japanese outbound travel </w:t>
      </w:r>
      <w:r w:rsidR="004E07E5" w:rsidRPr="0039204D">
        <w:rPr>
          <w:sz w:val="18"/>
          <w:szCs w:val="18"/>
        </w:rPr>
        <w:t xml:space="preserve">in </w:t>
      </w:r>
      <w:r w:rsidR="00793744" w:rsidRPr="0039204D">
        <w:rPr>
          <w:sz w:val="18"/>
          <w:szCs w:val="18"/>
        </w:rPr>
        <w:t>January to</w:t>
      </w:r>
      <w:r w:rsidR="00360713" w:rsidRPr="0039204D">
        <w:rPr>
          <w:sz w:val="18"/>
          <w:szCs w:val="18"/>
        </w:rPr>
        <w:t xml:space="preserve"> March 2024</w:t>
      </w:r>
      <w:r w:rsidR="00793744" w:rsidRPr="0039204D">
        <w:rPr>
          <w:sz w:val="18"/>
          <w:szCs w:val="18"/>
        </w:rPr>
        <w:t xml:space="preserve"> was only </w:t>
      </w:r>
      <w:r w:rsidR="00262EF7" w:rsidRPr="0039204D">
        <w:rPr>
          <w:sz w:val="18"/>
          <w:szCs w:val="18"/>
        </w:rPr>
        <w:t>60% of the pre-pandemic level.</w:t>
      </w:r>
      <w:r w:rsidR="006C1B9E" w:rsidRPr="0039204D">
        <w:rPr>
          <w:sz w:val="18"/>
          <w:szCs w:val="18"/>
        </w:rPr>
        <w:t xml:space="preserve"> (Source: </w:t>
      </w:r>
      <w:r w:rsidR="00954D9F" w:rsidRPr="0039204D">
        <w:rPr>
          <w:sz w:val="18"/>
          <w:szCs w:val="18"/>
        </w:rPr>
        <w:t>Japanese Tourism Statistics</w:t>
      </w:r>
      <w:r w:rsidR="00F4548D" w:rsidRPr="0039204D">
        <w:rPr>
          <w:sz w:val="18"/>
          <w:szCs w:val="18"/>
        </w:rPr>
        <w:t>, April 2024,</w:t>
      </w:r>
      <w:r w:rsidR="006C1B9E" w:rsidRPr="0039204D">
        <w:rPr>
          <w:sz w:val="18"/>
          <w:szCs w:val="18"/>
        </w:rPr>
        <w:t xml:space="preserve"> </w:t>
      </w:r>
      <w:hyperlink r:id="rId2" w:history="1">
        <w:r w:rsidR="006C1B9E" w:rsidRPr="0039204D">
          <w:rPr>
            <w:rStyle w:val="Hyperlink"/>
            <w:sz w:val="18"/>
            <w:szCs w:val="18"/>
          </w:rPr>
          <w:t>Data list | Japan Tourism Statistics (jnto.go.jp)</w:t>
        </w:r>
      </w:hyperlink>
      <w:r w:rsidR="00F4548D" w:rsidRPr="0039204D">
        <w:rPr>
          <w:sz w:val="18"/>
          <w:szCs w:val="18"/>
        </w:rPr>
        <w:t>, accessed May 2024).</w:t>
      </w:r>
    </w:p>
  </w:footnote>
  <w:footnote w:id="13">
    <w:p w14:paraId="03C48C2B" w14:textId="7B75FAE5" w:rsidR="00F57CF5" w:rsidRDefault="00F57CF5">
      <w:pPr>
        <w:pStyle w:val="FootnoteText"/>
      </w:pPr>
      <w:r>
        <w:rPr>
          <w:rStyle w:val="FootnoteReference"/>
        </w:rPr>
        <w:footnoteRef/>
      </w:r>
      <w:r>
        <w:t xml:space="preserve"> </w:t>
      </w:r>
      <w:r w:rsidR="007B418D" w:rsidRPr="00276528">
        <w:rPr>
          <w:rFonts w:eastAsia="Verdana" w:cs="Times New Roman"/>
          <w:color w:val="2E1A47" w:themeColor="accent2"/>
          <w:sz w:val="18"/>
          <w:szCs w:val="18"/>
        </w:rPr>
        <w:t xml:space="preserve">A major feature globally in 2022 was the high inflation rates that persisted in many economies. Australia was no exception. </w:t>
      </w:r>
      <w:r w:rsidR="007B418D" w:rsidRPr="00276528">
        <w:rPr>
          <w:color w:val="2E1A47" w:themeColor="accent2"/>
          <w:sz w:val="18"/>
          <w:szCs w:val="18"/>
        </w:rPr>
        <w:t>Over the year to December 2022, consumer prices in Australia rose by 7.8%, the largest increase in 32 years. Price growth was also elevated in the travel sector. Over the year to December 2022, the consumer price index for domestic holiday travel and accommodation increased by 20%. This was 2½ times the rate of price growth across the whole economy and was the fastest increase in domestic travel prices on record (since 1983) in this series</w:t>
      </w:r>
      <w:r w:rsidR="009C2ABB" w:rsidRPr="00276528">
        <w:rPr>
          <w:color w:val="2E1A47" w:themeColor="accent2"/>
          <w:sz w:val="18"/>
          <w:szCs w:val="18"/>
        </w:rPr>
        <w:t>.</w:t>
      </w:r>
    </w:p>
  </w:footnote>
  <w:footnote w:id="14">
    <w:p w14:paraId="5D557463" w14:textId="77777777" w:rsidR="00570CE7" w:rsidRDefault="00570CE7" w:rsidP="00570CE7">
      <w:pPr>
        <w:pStyle w:val="FootnoteText"/>
      </w:pPr>
      <w:r>
        <w:rPr>
          <w:rStyle w:val="FootnoteReference"/>
        </w:rPr>
        <w:footnoteRef/>
      </w:r>
      <w:r>
        <w:t xml:space="preserve"> </w:t>
      </w:r>
      <w:r w:rsidRPr="00CF3BD7">
        <w:rPr>
          <w:sz w:val="18"/>
          <w:szCs w:val="18"/>
        </w:rPr>
        <w:t xml:space="preserve">See </w:t>
      </w:r>
      <w:hyperlink r:id="rId3" w:history="1">
        <w:r w:rsidRPr="00CF3BD7">
          <w:rPr>
            <w:rStyle w:val="Hyperlink"/>
            <w:sz w:val="18"/>
            <w:szCs w:val="18"/>
          </w:rPr>
          <w:t>Domestic Economic Conditions | Statement on Monetary Policy – August 2023 | RBA</w:t>
        </w:r>
      </w:hyperlink>
    </w:p>
  </w:footnote>
  <w:footnote w:id="15">
    <w:p w14:paraId="71FDE492" w14:textId="3140401C" w:rsidR="00580702" w:rsidRPr="0043439C" w:rsidRDefault="00580702">
      <w:pPr>
        <w:pStyle w:val="FootnoteText"/>
        <w:rPr>
          <w:sz w:val="16"/>
          <w:szCs w:val="16"/>
        </w:rPr>
      </w:pPr>
      <w:r>
        <w:rPr>
          <w:rStyle w:val="FootnoteReference"/>
        </w:rPr>
        <w:footnoteRef/>
      </w:r>
      <w:r>
        <w:t xml:space="preserve"> </w:t>
      </w:r>
      <w:r w:rsidR="00AD5AA1" w:rsidRPr="0043439C">
        <w:rPr>
          <w:sz w:val="16"/>
          <w:szCs w:val="16"/>
        </w:rPr>
        <w:t>See A</w:t>
      </w:r>
      <w:r w:rsidR="00344396" w:rsidRPr="0043439C">
        <w:rPr>
          <w:sz w:val="16"/>
          <w:szCs w:val="16"/>
        </w:rPr>
        <w:t xml:space="preserve">ustralian </w:t>
      </w:r>
      <w:r w:rsidR="00AD5AA1" w:rsidRPr="0043439C">
        <w:rPr>
          <w:sz w:val="16"/>
          <w:szCs w:val="16"/>
        </w:rPr>
        <w:t>B</w:t>
      </w:r>
      <w:r w:rsidR="00344396" w:rsidRPr="0043439C">
        <w:rPr>
          <w:sz w:val="16"/>
          <w:szCs w:val="16"/>
        </w:rPr>
        <w:t xml:space="preserve">ureau of </w:t>
      </w:r>
      <w:r w:rsidR="00AD5AA1" w:rsidRPr="0043439C">
        <w:rPr>
          <w:sz w:val="16"/>
          <w:szCs w:val="16"/>
        </w:rPr>
        <w:t>S</w:t>
      </w:r>
      <w:r w:rsidR="00344396" w:rsidRPr="0043439C">
        <w:rPr>
          <w:sz w:val="16"/>
          <w:szCs w:val="16"/>
        </w:rPr>
        <w:t>tatistics</w:t>
      </w:r>
      <w:r w:rsidR="00AD5AA1" w:rsidRPr="0043439C">
        <w:rPr>
          <w:sz w:val="16"/>
          <w:szCs w:val="16"/>
        </w:rPr>
        <w:t xml:space="preserve">, </w:t>
      </w:r>
      <w:hyperlink r:id="rId4" w:anchor="discretionary-and-non-discretionary-spending" w:history="1">
        <w:r w:rsidR="00344396" w:rsidRPr="0043439C">
          <w:rPr>
            <w:rStyle w:val="Hyperlink"/>
            <w:sz w:val="16"/>
            <w:szCs w:val="16"/>
          </w:rPr>
          <w:t>Monthly Household Spending Indicator, February 2024</w:t>
        </w:r>
      </w:hyperlink>
      <w:r w:rsidR="001E6811" w:rsidRPr="0043439C">
        <w:rPr>
          <w:sz w:val="16"/>
          <w:szCs w:val="16"/>
        </w:rPr>
        <w:t>, CommBank</w:t>
      </w:r>
      <w:r w:rsidR="00294F03" w:rsidRPr="0043439C">
        <w:rPr>
          <w:sz w:val="16"/>
          <w:szCs w:val="16"/>
        </w:rPr>
        <w:t xml:space="preserve"> iQ Cost of Living Insights,</w:t>
      </w:r>
      <w:r w:rsidR="001E6811" w:rsidRPr="0043439C">
        <w:rPr>
          <w:sz w:val="16"/>
          <w:szCs w:val="16"/>
        </w:rPr>
        <w:t xml:space="preserve"> </w:t>
      </w:r>
      <w:hyperlink r:id="rId5" w:history="1">
        <w:r w:rsidR="00344396" w:rsidRPr="0043439C">
          <w:rPr>
            <w:rStyle w:val="Hyperlink"/>
            <w:sz w:val="16"/>
            <w:szCs w:val="16"/>
          </w:rPr>
          <w:t>Consumers cut back discretionary spend but leave room for travel and entertainment</w:t>
        </w:r>
      </w:hyperlink>
      <w:r w:rsidR="004A055F" w:rsidRPr="0043439C">
        <w:rPr>
          <w:sz w:val="16"/>
          <w:szCs w:val="16"/>
        </w:rPr>
        <w:t xml:space="preserve">, Reserve Bank of Australia, </w:t>
      </w:r>
      <w:hyperlink r:id="rId6" w:history="1">
        <w:r w:rsidR="00344396" w:rsidRPr="0043439C">
          <w:rPr>
            <w:rStyle w:val="Hyperlink"/>
            <w:sz w:val="16"/>
            <w:szCs w:val="16"/>
          </w:rPr>
          <w:t>Domestic Economic Conditions | Statement on Monetary Policy – February 2023</w:t>
        </w:r>
      </w:hyperlink>
      <w:r w:rsidR="00D26E8B" w:rsidRPr="0043439C">
        <w:rPr>
          <w:sz w:val="16"/>
          <w:szCs w:val="16"/>
        </w:rPr>
        <w:t xml:space="preserve"> including</w:t>
      </w:r>
      <w:r w:rsidR="00E75F71" w:rsidRPr="0043439C">
        <w:rPr>
          <w:sz w:val="16"/>
          <w:szCs w:val="16"/>
        </w:rPr>
        <w:t xml:space="preserve"> </w:t>
      </w:r>
      <w:hyperlink r:id="rId7" w:history="1">
        <w:r w:rsidR="00E75F71" w:rsidRPr="0043439C">
          <w:rPr>
            <w:rStyle w:val="Hyperlink"/>
            <w:sz w:val="16"/>
            <w:szCs w:val="16"/>
          </w:rPr>
          <w:t>Box B: Insights from Liaison</w:t>
        </w:r>
      </w:hyperlink>
      <w:r w:rsidR="00D26E8B" w:rsidRPr="0043439C">
        <w:rPr>
          <w:sz w:val="16"/>
          <w:szCs w:val="16"/>
        </w:rPr>
        <w:t>.</w:t>
      </w:r>
    </w:p>
  </w:footnote>
  <w:footnote w:id="16">
    <w:p w14:paraId="71ACB37D" w14:textId="465635A2" w:rsidR="00BD7045" w:rsidRDefault="00BD7045">
      <w:pPr>
        <w:pStyle w:val="FootnoteText"/>
      </w:pPr>
      <w:r>
        <w:rPr>
          <w:rStyle w:val="FootnoteReference"/>
        </w:rPr>
        <w:footnoteRef/>
      </w:r>
      <w:r>
        <w:t xml:space="preserve"> </w:t>
      </w:r>
      <w:r w:rsidR="00B70702">
        <w:rPr>
          <w:sz w:val="18"/>
          <w:szCs w:val="18"/>
          <w:lang w:eastAsia="zh-CN"/>
        </w:rPr>
        <w:t>S</w:t>
      </w:r>
      <w:r w:rsidR="00B70702" w:rsidRPr="00B70702">
        <w:rPr>
          <w:sz w:val="18"/>
          <w:szCs w:val="18"/>
          <w:lang w:eastAsia="zh-CN"/>
        </w:rPr>
        <w:t>ee</w:t>
      </w:r>
      <w:r w:rsidR="00B70702" w:rsidRPr="00B70702">
        <w:rPr>
          <w:rFonts w:ascii="Arial" w:eastAsia="Times New Roman" w:hAnsi="Arial" w:cs="Arial"/>
          <w:color w:val="1B1B1B"/>
          <w:sz w:val="18"/>
          <w:szCs w:val="18"/>
          <w:lang w:eastAsia="en-AU"/>
        </w:rPr>
        <w:t xml:space="preserve"> </w:t>
      </w:r>
      <w:hyperlink r:id="rId8" w:history="1">
        <w:r w:rsidR="00B70702" w:rsidRPr="00B70702">
          <w:rPr>
            <w:rStyle w:val="Hyperlink"/>
            <w:rFonts w:ascii="Arial" w:hAnsi="Arial" w:cs="Arial"/>
            <w:i/>
            <w:iCs/>
            <w:sz w:val="18"/>
            <w:szCs w:val="18"/>
          </w:rPr>
          <w:t>The Value of Cruise Tourism</w:t>
        </w:r>
      </w:hyperlink>
      <w:r w:rsidR="00B70702" w:rsidRPr="00B70702">
        <w:rPr>
          <w:rStyle w:val="Hyperlink"/>
          <w:rFonts w:ascii="Arial" w:hAnsi="Arial" w:cs="Arial"/>
          <w:i/>
          <w:iCs/>
          <w:sz w:val="18"/>
          <w:szCs w:val="18"/>
        </w:rPr>
        <w:t xml:space="preserve"> </w:t>
      </w:r>
      <w:r w:rsidR="00B70702" w:rsidRPr="00B70702">
        <w:rPr>
          <w:sz w:val="18"/>
          <w:szCs w:val="18"/>
          <w:lang w:eastAsia="zh-CN"/>
        </w:rPr>
        <w:t xml:space="preserve">and </w:t>
      </w:r>
      <w:hyperlink r:id="rId9" w:history="1">
        <w:r w:rsidR="00B70702" w:rsidRPr="00B70702">
          <w:rPr>
            <w:rStyle w:val="Hyperlink"/>
            <w:sz w:val="18"/>
            <w:szCs w:val="18"/>
          </w:rPr>
          <w:t>Australian cruise passenger numbers recover (cruising.org.au)</w:t>
        </w:r>
      </w:hyperlink>
      <w:r w:rsidR="00B70702" w:rsidRPr="00B70702">
        <w:rPr>
          <w:sz w:val="18"/>
          <w:szCs w:val="18"/>
          <w:lang w:eastAsia="zh-CN"/>
        </w:rPr>
        <w:t>.</w:t>
      </w:r>
    </w:p>
  </w:footnote>
  <w:footnote w:id="17">
    <w:p w14:paraId="417706E0" w14:textId="77777777" w:rsidR="00600B68" w:rsidRPr="002456CC" w:rsidRDefault="00600B68" w:rsidP="00600B68">
      <w:pPr>
        <w:pStyle w:val="FootnoteText"/>
        <w:rPr>
          <w:sz w:val="18"/>
          <w:szCs w:val="18"/>
        </w:rPr>
      </w:pPr>
      <w:r>
        <w:rPr>
          <w:rStyle w:val="FootnoteReference"/>
        </w:rPr>
        <w:footnoteRef/>
      </w:r>
      <w:r>
        <w:t xml:space="preserve"> </w:t>
      </w:r>
      <w:r w:rsidRPr="002456CC">
        <w:rPr>
          <w:sz w:val="18"/>
          <w:szCs w:val="18"/>
        </w:rPr>
        <w:t>Interstate trips are those that cross a state or territory border, while intrastate trips occur within the same state or territory as the travellers’ residence.</w:t>
      </w:r>
    </w:p>
  </w:footnote>
  <w:footnote w:id="18">
    <w:p w14:paraId="6C639FA5" w14:textId="438D9376" w:rsidR="006F0C0C" w:rsidRPr="00F512B4" w:rsidRDefault="006F0C0C" w:rsidP="006F0C0C">
      <w:pPr>
        <w:pStyle w:val="FootnoteText"/>
        <w:rPr>
          <w:sz w:val="18"/>
          <w:szCs w:val="18"/>
        </w:rPr>
      </w:pPr>
      <w:r w:rsidRPr="00F512B4">
        <w:rPr>
          <w:rStyle w:val="FootnoteReference"/>
          <w:sz w:val="18"/>
          <w:szCs w:val="18"/>
        </w:rPr>
        <w:footnoteRef/>
      </w:r>
      <w:r w:rsidRPr="00F512B4">
        <w:rPr>
          <w:sz w:val="18"/>
          <w:szCs w:val="18"/>
        </w:rPr>
        <w:t xml:space="preserve"> See </w:t>
      </w:r>
      <w:hyperlink r:id="rId10" w:history="1">
        <w:r w:rsidR="003A249F" w:rsidRPr="00F512B4">
          <w:rPr>
            <w:rStyle w:val="Hyperlink"/>
            <w:sz w:val="18"/>
            <w:szCs w:val="18"/>
          </w:rPr>
          <w:t>Domestic tourism results September 2023 | Tourism Research Australia</w:t>
        </w:r>
      </w:hyperlink>
      <w:r w:rsidR="003A249F" w:rsidRPr="00F512B4">
        <w:rPr>
          <w:sz w:val="18"/>
          <w:szCs w:val="18"/>
        </w:rPr>
        <w:t xml:space="preserve"> </w:t>
      </w:r>
      <w:r w:rsidRPr="00F512B4">
        <w:rPr>
          <w:sz w:val="18"/>
          <w:szCs w:val="18"/>
        </w:rPr>
        <w:t xml:space="preserve">and </w:t>
      </w:r>
      <w:r w:rsidR="00F512B4" w:rsidRPr="00F512B4">
        <w:rPr>
          <w:sz w:val="18"/>
          <w:szCs w:val="18"/>
        </w:rPr>
        <w:t xml:space="preserve">CommBank </w:t>
      </w:r>
      <w:r w:rsidR="00F512B4">
        <w:rPr>
          <w:sz w:val="18"/>
          <w:szCs w:val="18"/>
        </w:rPr>
        <w:t>i</w:t>
      </w:r>
      <w:r w:rsidR="00F512B4" w:rsidRPr="00F512B4">
        <w:rPr>
          <w:sz w:val="18"/>
          <w:szCs w:val="18"/>
        </w:rPr>
        <w:t xml:space="preserve">Q </w:t>
      </w:r>
      <w:r w:rsidR="00F512B4">
        <w:rPr>
          <w:sz w:val="18"/>
          <w:szCs w:val="18"/>
        </w:rPr>
        <w:t>Cost-of-</w:t>
      </w:r>
      <w:r w:rsidR="00C75E15">
        <w:rPr>
          <w:sz w:val="18"/>
          <w:szCs w:val="18"/>
        </w:rPr>
        <w:t>L</w:t>
      </w:r>
      <w:r w:rsidR="00F512B4">
        <w:rPr>
          <w:sz w:val="18"/>
          <w:szCs w:val="18"/>
        </w:rPr>
        <w:t xml:space="preserve">iving </w:t>
      </w:r>
      <w:r w:rsidR="00C75E15">
        <w:rPr>
          <w:sz w:val="18"/>
          <w:szCs w:val="18"/>
        </w:rPr>
        <w:t xml:space="preserve">Insights </w:t>
      </w:r>
      <w:r w:rsidR="00F512B4" w:rsidRPr="00F512B4">
        <w:rPr>
          <w:sz w:val="18"/>
          <w:szCs w:val="18"/>
        </w:rPr>
        <w:t xml:space="preserve">report </w:t>
      </w:r>
      <w:hyperlink r:id="rId11" w:history="1">
        <w:r w:rsidR="003B7033" w:rsidRPr="00F512B4">
          <w:rPr>
            <w:rStyle w:val="Hyperlink"/>
            <w:sz w:val="18"/>
            <w:szCs w:val="18"/>
          </w:rPr>
          <w:t>Consumers cut back discretionary spend but leave room for travel and entertainment (commbank.com.au)</w:t>
        </w:r>
      </w:hyperlink>
      <w:r w:rsidR="003B7033" w:rsidRPr="00F512B4">
        <w:rPr>
          <w:sz w:val="18"/>
          <w:szCs w:val="18"/>
        </w:rPr>
        <w:t xml:space="preserve"> including the downloadable chart </w:t>
      </w:r>
      <w:r w:rsidR="00F512B4" w:rsidRPr="00F512B4">
        <w:rPr>
          <w:rFonts w:ascii="Arial" w:hAnsi="Arial" w:cs="Arial"/>
          <w:color w:val="1E1E1E"/>
          <w:sz w:val="18"/>
          <w:szCs w:val="18"/>
          <w:shd w:val="clear" w:color="auto" w:fill="FFFFFF"/>
        </w:rPr>
        <w:t>Spending per capita growth between age bands</w:t>
      </w:r>
      <w:r w:rsidR="00F512B4" w:rsidRPr="00F512B4">
        <w:rPr>
          <w:sz w:val="18"/>
          <w:szCs w:val="18"/>
        </w:rPr>
        <w:t xml:space="preserve"> </w:t>
      </w:r>
    </w:p>
  </w:footnote>
  <w:footnote w:id="19">
    <w:p w14:paraId="15B6E700" w14:textId="7C383FFE" w:rsidR="00CC62DC" w:rsidRPr="007835B4" w:rsidRDefault="00CC62DC" w:rsidP="00420326">
      <w:pPr>
        <w:pStyle w:val="BulletList"/>
        <w:numPr>
          <w:ilvl w:val="0"/>
          <w:numId w:val="0"/>
        </w:numPr>
        <w:spacing w:after="0" w:line="240" w:lineRule="auto"/>
        <w:ind w:right="471"/>
        <w:contextualSpacing w:val="0"/>
        <w:rPr>
          <w:sz w:val="18"/>
          <w:szCs w:val="18"/>
        </w:rPr>
      </w:pPr>
      <w:r>
        <w:rPr>
          <w:rStyle w:val="FootnoteReference"/>
        </w:rPr>
        <w:footnoteRef/>
      </w:r>
      <w:r>
        <w:t xml:space="preserve"> </w:t>
      </w:r>
      <w:r w:rsidRPr="007835B4">
        <w:rPr>
          <w:sz w:val="18"/>
          <w:szCs w:val="18"/>
        </w:rPr>
        <w:t xml:space="preserve">The initial data release was made available through an interactive dashboard on TRA’s website on 27 March 2024. Future insights </w:t>
      </w:r>
      <w:r w:rsidR="00657280">
        <w:rPr>
          <w:sz w:val="18"/>
          <w:szCs w:val="18"/>
        </w:rPr>
        <w:t xml:space="preserve">will </w:t>
      </w:r>
      <w:r w:rsidRPr="007835B4">
        <w:rPr>
          <w:sz w:val="18"/>
          <w:szCs w:val="18"/>
        </w:rPr>
        <w:t xml:space="preserve">be added </w:t>
      </w:r>
      <w:r w:rsidR="00E0406C">
        <w:rPr>
          <w:sz w:val="18"/>
          <w:szCs w:val="18"/>
        </w:rPr>
        <w:t xml:space="preserve">to the dashboard, </w:t>
      </w:r>
      <w:r w:rsidRPr="007835B4">
        <w:rPr>
          <w:sz w:val="18"/>
          <w:szCs w:val="18"/>
        </w:rPr>
        <w:t>includ</w:t>
      </w:r>
      <w:r w:rsidR="00E0406C">
        <w:rPr>
          <w:sz w:val="18"/>
          <w:szCs w:val="18"/>
        </w:rPr>
        <w:t>ing information on source</w:t>
      </w:r>
      <w:r w:rsidRPr="007835B4">
        <w:rPr>
          <w:sz w:val="18"/>
          <w:szCs w:val="18"/>
        </w:rPr>
        <w:t xml:space="preserve"> markets, stat</w:t>
      </w:r>
      <w:r w:rsidR="00E0406C">
        <w:rPr>
          <w:sz w:val="18"/>
          <w:szCs w:val="18"/>
        </w:rPr>
        <w:t xml:space="preserve">e/territory </w:t>
      </w:r>
      <w:r w:rsidR="00884BC0">
        <w:rPr>
          <w:sz w:val="18"/>
          <w:szCs w:val="18"/>
        </w:rPr>
        <w:t>detail</w:t>
      </w:r>
      <w:r w:rsidRPr="007835B4">
        <w:rPr>
          <w:sz w:val="18"/>
          <w:szCs w:val="18"/>
        </w:rPr>
        <w:t>, repeat visitation, activities and additional days beyond event participation.</w:t>
      </w:r>
    </w:p>
    <w:p w14:paraId="2FA1BB54" w14:textId="24C8BA0D" w:rsidR="00CC62DC" w:rsidRDefault="00CC62DC">
      <w:pPr>
        <w:pStyle w:val="FootnoteText"/>
      </w:pPr>
    </w:p>
  </w:footnote>
  <w:footnote w:id="20">
    <w:p w14:paraId="370D11DB" w14:textId="77777777" w:rsidR="00BA0140" w:rsidRDefault="00BA0140" w:rsidP="00BA0140">
      <w:pPr>
        <w:pStyle w:val="FootnoteText"/>
      </w:pPr>
      <w:r>
        <w:rPr>
          <w:rStyle w:val="FootnoteReference"/>
        </w:rPr>
        <w:footnoteRef/>
      </w:r>
      <w:r>
        <w:t xml:space="preserve"> </w:t>
      </w:r>
      <w:r>
        <w:rPr>
          <w:sz w:val="18"/>
          <w:szCs w:val="18"/>
        </w:rPr>
        <w:t>Capital cities includes the 8 capital cities and the Gold Coast.</w:t>
      </w:r>
    </w:p>
  </w:footnote>
  <w:footnote w:id="21">
    <w:p w14:paraId="565F42BF" w14:textId="62BA0670" w:rsidR="00D10EDE" w:rsidRDefault="00D10EDE">
      <w:pPr>
        <w:pStyle w:val="FootnoteText"/>
      </w:pPr>
      <w:r>
        <w:rPr>
          <w:rStyle w:val="FootnoteReference"/>
        </w:rPr>
        <w:footnoteRef/>
      </w:r>
      <w:r>
        <w:t xml:space="preserve"> </w:t>
      </w:r>
      <w:r w:rsidRPr="00FF3B9B">
        <w:rPr>
          <w:sz w:val="18"/>
          <w:szCs w:val="18"/>
        </w:rPr>
        <w:t xml:space="preserve">The National Sustainability Framework was developed collaboratively by Austrade in partnership with all State and Territory Governments, Tourism Australia, </w:t>
      </w:r>
      <w:r w:rsidR="00D75482" w:rsidRPr="00FF3B9B">
        <w:rPr>
          <w:sz w:val="18"/>
          <w:szCs w:val="18"/>
        </w:rPr>
        <w:t>Earthcheck Pty Ltd</w:t>
      </w:r>
      <w:r w:rsidR="00211D08">
        <w:rPr>
          <w:sz w:val="18"/>
          <w:szCs w:val="18"/>
        </w:rPr>
        <w:t>,</w:t>
      </w:r>
      <w:r w:rsidR="00D75482" w:rsidRPr="00FF3B9B">
        <w:rPr>
          <w:sz w:val="18"/>
          <w:szCs w:val="18"/>
        </w:rPr>
        <w:t xml:space="preserve"> and </w:t>
      </w:r>
      <w:r w:rsidRPr="00FF3B9B">
        <w:rPr>
          <w:sz w:val="18"/>
          <w:szCs w:val="18"/>
        </w:rPr>
        <w:t>with input from a wide range of industry, First Nations, and government stakeholders</w:t>
      </w:r>
      <w:r w:rsidR="00FF3B9B">
        <w:t>.</w:t>
      </w:r>
    </w:p>
  </w:footnote>
  <w:footnote w:id="22">
    <w:p w14:paraId="3D1989A5" w14:textId="49F95505" w:rsidR="003B5E59" w:rsidRDefault="009044BA" w:rsidP="003B5E59">
      <w:pPr>
        <w:spacing w:before="0" w:after="0" w:line="240" w:lineRule="auto"/>
      </w:pPr>
      <w:r>
        <w:rPr>
          <w:rStyle w:val="FootnoteReference"/>
        </w:rPr>
        <w:footnoteRef/>
      </w:r>
      <w:r>
        <w:t xml:space="preserve"> </w:t>
      </w:r>
      <w:r w:rsidRPr="009044BA">
        <w:rPr>
          <w:sz w:val="18"/>
          <w:szCs w:val="18"/>
        </w:rPr>
        <w:t xml:space="preserve">The LIVE framework was a key recommendation of the </w:t>
      </w:r>
      <w:hyperlink r:id="rId12" w:anchor=":~:text=The%20THRIVE%202030%20Industry%20Data,areas%20in%20Australia's%20visitor%20economy.&amp;text=build%20investor%20confidence." w:history="1">
        <w:r w:rsidR="000A445A">
          <w:rPr>
            <w:rStyle w:val="Hyperlink"/>
          </w:rPr>
          <w:t>Industry Data and Expert Analysis (IDEA) Working Group</w:t>
        </w:r>
      </w:hyperlink>
      <w:r w:rsidR="008A02F8">
        <w:t xml:space="preserve"> </w:t>
      </w:r>
      <w:r w:rsidRPr="009044BA">
        <w:rPr>
          <w:sz w:val="18"/>
          <w:szCs w:val="18"/>
        </w:rPr>
        <w:t xml:space="preserve">which was established for 12 months to April 2023 as part of the implementation governance for the </w:t>
      </w:r>
      <w:r w:rsidRPr="003B5E59">
        <w:rPr>
          <w:sz w:val="18"/>
          <w:szCs w:val="18"/>
        </w:rPr>
        <w:t xml:space="preserve">THRIVE 2030 Strategy. </w:t>
      </w:r>
      <w:r w:rsidR="003B5E59" w:rsidRPr="003B5E59">
        <w:rPr>
          <w:sz w:val="18"/>
          <w:szCs w:val="18"/>
        </w:rPr>
        <w:t xml:space="preserve">The proposed LIVE framework was informed by earlier research by the Griffith Institute for Tourism, and by the United Nations World Tourism Organization (UNWTO) framework for </w:t>
      </w:r>
      <w:hyperlink r:id="rId13" w:history="1">
        <w:r w:rsidR="003B5E59" w:rsidRPr="003B5E59">
          <w:rPr>
            <w:rStyle w:val="Hyperlink"/>
            <w:sz w:val="18"/>
            <w:szCs w:val="18"/>
          </w:rPr>
          <w:t>Measuring the Sustainability of Tourism</w:t>
        </w:r>
      </w:hyperlink>
      <w:r w:rsidR="003B5E59" w:rsidRPr="003B5E59">
        <w:rPr>
          <w:sz w:val="18"/>
          <w:szCs w:val="18"/>
        </w:rPr>
        <w:t>. The Working Group considered over 70 indicators to measure visitor economy performance which were condensed into an initial short-list of 21 indicators. The Working Group expected the initial shortlist to evolve over time as community and policy priorities emerge.</w:t>
      </w:r>
      <w:r w:rsidR="003B5E59">
        <w:t xml:space="preserve"> </w:t>
      </w:r>
    </w:p>
    <w:p w14:paraId="12011F8C" w14:textId="429F5CF9" w:rsidR="009044BA" w:rsidRPr="009044BA" w:rsidRDefault="009044BA" w:rsidP="009044BA">
      <w:pPr>
        <w:spacing w:before="0" w:after="0" w:line="240" w:lineRule="auto"/>
        <w:rPr>
          <w:sz w:val="18"/>
          <w:szCs w:val="18"/>
        </w:rPr>
      </w:pPr>
    </w:p>
  </w:footnote>
  <w:footnote w:id="23">
    <w:p w14:paraId="4619F3F6" w14:textId="2056E06E" w:rsidR="004E0627" w:rsidRPr="004E69CC" w:rsidRDefault="004E0627">
      <w:pPr>
        <w:pStyle w:val="FootnoteText"/>
        <w:rPr>
          <w:sz w:val="18"/>
          <w:szCs w:val="18"/>
        </w:rPr>
      </w:pPr>
      <w:r>
        <w:rPr>
          <w:rStyle w:val="FootnoteReference"/>
        </w:rPr>
        <w:footnoteRef/>
      </w:r>
      <w:r>
        <w:t xml:space="preserve"> </w:t>
      </w:r>
      <w:r w:rsidR="00AF2F4D" w:rsidRPr="000A3AF3">
        <w:rPr>
          <w:sz w:val="18"/>
          <w:szCs w:val="18"/>
        </w:rPr>
        <w:t>STR is a</w:t>
      </w:r>
      <w:r w:rsidR="00FB18D5">
        <w:rPr>
          <w:sz w:val="18"/>
          <w:szCs w:val="18"/>
        </w:rPr>
        <w:t xml:space="preserve"> global</w:t>
      </w:r>
      <w:r w:rsidR="00AF2F4D" w:rsidRPr="000A3AF3">
        <w:rPr>
          <w:sz w:val="18"/>
          <w:szCs w:val="18"/>
        </w:rPr>
        <w:t xml:space="preserve"> data analytics company that</w:t>
      </w:r>
      <w:r w:rsidR="00C22AF2" w:rsidRPr="000A3AF3">
        <w:rPr>
          <w:sz w:val="18"/>
          <w:szCs w:val="18"/>
        </w:rPr>
        <w:t xml:space="preserve"> produces </w:t>
      </w:r>
      <w:r w:rsidR="00820BAB" w:rsidRPr="000A3AF3">
        <w:rPr>
          <w:sz w:val="18"/>
          <w:szCs w:val="18"/>
        </w:rPr>
        <w:t xml:space="preserve">hotel </w:t>
      </w:r>
      <w:r w:rsidR="00C22AF2" w:rsidRPr="000A3AF3">
        <w:rPr>
          <w:sz w:val="18"/>
          <w:szCs w:val="18"/>
        </w:rPr>
        <w:t>benchmark</w:t>
      </w:r>
      <w:r w:rsidR="00820BAB" w:rsidRPr="000A3AF3">
        <w:rPr>
          <w:sz w:val="18"/>
          <w:szCs w:val="18"/>
        </w:rPr>
        <w:t>ing</w:t>
      </w:r>
      <w:r w:rsidR="00AF2F4D" w:rsidRPr="000A3AF3">
        <w:rPr>
          <w:sz w:val="18"/>
          <w:szCs w:val="18"/>
        </w:rPr>
        <w:t xml:space="preserve"> </w:t>
      </w:r>
      <w:r w:rsidR="00820BAB" w:rsidRPr="000A3AF3">
        <w:rPr>
          <w:sz w:val="18"/>
          <w:szCs w:val="18"/>
        </w:rPr>
        <w:t xml:space="preserve">and </w:t>
      </w:r>
      <w:r w:rsidR="00D20D3F" w:rsidRPr="000A3AF3">
        <w:rPr>
          <w:sz w:val="18"/>
          <w:szCs w:val="18"/>
        </w:rPr>
        <w:t>stocktake monitors</w:t>
      </w:r>
      <w:r w:rsidR="00A02EC3" w:rsidRPr="000A3AF3">
        <w:rPr>
          <w:sz w:val="18"/>
          <w:szCs w:val="18"/>
        </w:rPr>
        <w:t xml:space="preserve"> for the accommodation sector</w:t>
      </w:r>
      <w:r w:rsidR="009409FB" w:rsidRPr="000A3AF3">
        <w:rPr>
          <w:sz w:val="18"/>
          <w:szCs w:val="18"/>
        </w:rPr>
        <w:t xml:space="preserve"> globally. It </w:t>
      </w:r>
      <w:r w:rsidR="00AF2F4D" w:rsidRPr="000A3AF3">
        <w:rPr>
          <w:sz w:val="18"/>
          <w:szCs w:val="18"/>
        </w:rPr>
        <w:t xml:space="preserve">was acquired by CoStar </w:t>
      </w:r>
      <w:r w:rsidR="00CA51D0" w:rsidRPr="000A3AF3">
        <w:rPr>
          <w:sz w:val="18"/>
          <w:szCs w:val="18"/>
        </w:rPr>
        <w:t xml:space="preserve">Inc, a global </w:t>
      </w:r>
      <w:r w:rsidR="000A3AF3" w:rsidRPr="000A3AF3">
        <w:rPr>
          <w:sz w:val="18"/>
          <w:szCs w:val="18"/>
        </w:rPr>
        <w:t>provider of real estate data, analytics and news.</w:t>
      </w:r>
      <w:r w:rsidR="004E69CC">
        <w:rPr>
          <w:sz w:val="18"/>
          <w:szCs w:val="18"/>
        </w:rPr>
        <w:t xml:space="preserve"> </w:t>
      </w:r>
      <w:r w:rsidR="0069429B">
        <w:rPr>
          <w:sz w:val="18"/>
          <w:szCs w:val="18"/>
        </w:rPr>
        <w:t xml:space="preserve">The </w:t>
      </w:r>
      <w:r w:rsidR="004E69CC" w:rsidRPr="004E69CC">
        <w:rPr>
          <w:sz w:val="18"/>
          <w:szCs w:val="18"/>
        </w:rPr>
        <w:t>STR Global database reports supply, demand and revenue for hotels &amp; resorts, motels/private hotels/guest houses, serviced apartments and holiday parks with 10 or more rooms</w:t>
      </w:r>
      <w:r w:rsidR="004E69CC">
        <w:rPr>
          <w:sz w:val="18"/>
          <w:szCs w:val="18"/>
        </w:rPr>
        <w:t>.</w:t>
      </w:r>
    </w:p>
  </w:footnote>
  <w:footnote w:id="24">
    <w:p w14:paraId="0CEAC919" w14:textId="10D5762C" w:rsidR="00CE1DF1" w:rsidRPr="005C20DE" w:rsidRDefault="00CE1DF1" w:rsidP="005C20DE">
      <w:pPr>
        <w:pStyle w:val="NormalWeb"/>
        <w:shd w:val="clear" w:color="auto" w:fill="FFFFFF"/>
        <w:spacing w:before="0" w:beforeAutospacing="0" w:after="0" w:afterAutospacing="0"/>
        <w:rPr>
          <w:rFonts w:asciiTheme="minorHAnsi" w:hAnsiTheme="minorHAnsi" w:cs="Open Sans"/>
          <w:color w:val="313131"/>
          <w:sz w:val="18"/>
          <w:szCs w:val="18"/>
        </w:rPr>
      </w:pPr>
      <w:r w:rsidRPr="005C20DE">
        <w:rPr>
          <w:rStyle w:val="FootnoteReference"/>
          <w:rFonts w:asciiTheme="minorHAnsi" w:hAnsiTheme="minorHAnsi"/>
          <w:sz w:val="20"/>
          <w:szCs w:val="20"/>
        </w:rPr>
        <w:footnoteRef/>
      </w:r>
      <w:r w:rsidRPr="005C20DE">
        <w:rPr>
          <w:rFonts w:asciiTheme="minorHAnsi" w:hAnsiTheme="minorHAnsi"/>
          <w:sz w:val="20"/>
          <w:szCs w:val="20"/>
        </w:rPr>
        <w:t xml:space="preserve"> </w:t>
      </w:r>
      <w:r w:rsidR="005C20DE">
        <w:rPr>
          <w:rFonts w:asciiTheme="minorHAnsi" w:hAnsiTheme="minorHAnsi"/>
          <w:sz w:val="20"/>
          <w:szCs w:val="20"/>
        </w:rPr>
        <w:t>T</w:t>
      </w:r>
      <w:r w:rsidR="005C20DE" w:rsidRPr="005C20DE">
        <w:rPr>
          <w:rFonts w:asciiTheme="minorHAnsi" w:hAnsiTheme="minorHAnsi" w:cs="Open Sans"/>
          <w:color w:val="313131"/>
          <w:sz w:val="18"/>
          <w:szCs w:val="18"/>
        </w:rPr>
        <w:t>he Bureau of Infrastructure and Transport Research Economics (BITRE) provides economic analysis, research and statistics on infrastructure and transport issues to inform Australian Government policy development and wider community understanding.</w:t>
      </w:r>
      <w:r w:rsidR="005C20DE">
        <w:rPr>
          <w:rFonts w:asciiTheme="minorHAnsi" w:hAnsiTheme="minorHAnsi" w:cs="Open Sans"/>
          <w:color w:val="313131"/>
          <w:sz w:val="18"/>
          <w:szCs w:val="18"/>
        </w:rPr>
        <w:t xml:space="preserve"> </w:t>
      </w:r>
      <w:r w:rsidR="005C20DE" w:rsidRPr="005C20DE">
        <w:rPr>
          <w:rFonts w:asciiTheme="minorHAnsi" w:hAnsiTheme="minorHAnsi" w:cs="Open Sans"/>
          <w:color w:val="313131"/>
          <w:sz w:val="18"/>
          <w:szCs w:val="18"/>
        </w:rPr>
        <w:t>BITRE is part of the Data, Analytics and Policy Division of the Department of Infrastructure, Transport, Regional Development, Communications and the Arts.</w:t>
      </w:r>
    </w:p>
  </w:footnote>
  <w:footnote w:id="25">
    <w:p w14:paraId="63B9A49A" w14:textId="4EE72428" w:rsidR="005931B5" w:rsidRPr="00895C84" w:rsidRDefault="005931B5">
      <w:pPr>
        <w:pStyle w:val="FootnoteText"/>
        <w:rPr>
          <w:rFonts w:asciiTheme="minorHAnsi" w:hAnsiTheme="minorHAnsi" w:cs="Open Sans"/>
          <w:color w:val="auto"/>
          <w:sz w:val="18"/>
          <w:szCs w:val="18"/>
          <w:shd w:val="clear" w:color="auto" w:fill="FFFFFF"/>
        </w:rPr>
      </w:pPr>
      <w:r w:rsidRPr="00895C84">
        <w:rPr>
          <w:rStyle w:val="FootnoteReference"/>
          <w:color w:val="auto"/>
          <w:sz w:val="22"/>
          <w:szCs w:val="22"/>
        </w:rPr>
        <w:footnoteRef/>
      </w:r>
      <w:r w:rsidRPr="00895C84">
        <w:rPr>
          <w:sz w:val="18"/>
          <w:szCs w:val="18"/>
        </w:rPr>
        <w:t xml:space="preserve"> </w:t>
      </w:r>
      <w:r w:rsidR="00DA3BAB" w:rsidRPr="00895C84">
        <w:rPr>
          <w:sz w:val="18"/>
          <w:szCs w:val="18"/>
        </w:rPr>
        <w:t xml:space="preserve">BITRE’s Air Fares </w:t>
      </w:r>
      <w:r w:rsidRPr="00895C84">
        <w:rPr>
          <w:rFonts w:asciiTheme="minorHAnsi" w:hAnsiTheme="minorHAnsi" w:cs="Open Sans"/>
          <w:color w:val="auto"/>
          <w:sz w:val="18"/>
          <w:szCs w:val="18"/>
          <w:shd w:val="clear" w:color="auto" w:fill="FFFFFF"/>
        </w:rPr>
        <w:t xml:space="preserve">Indexes are constructed from </w:t>
      </w:r>
      <w:r w:rsidR="00DA3BAB" w:rsidRPr="00895C84">
        <w:rPr>
          <w:rFonts w:asciiTheme="minorHAnsi" w:hAnsiTheme="minorHAnsi" w:cs="Open Sans"/>
          <w:color w:val="auto"/>
          <w:sz w:val="18"/>
          <w:szCs w:val="18"/>
          <w:shd w:val="clear" w:color="auto" w:fill="FFFFFF"/>
        </w:rPr>
        <w:t>a</w:t>
      </w:r>
      <w:r w:rsidRPr="00895C84">
        <w:rPr>
          <w:rFonts w:asciiTheme="minorHAnsi" w:hAnsiTheme="minorHAnsi" w:cs="Open Sans"/>
          <w:color w:val="auto"/>
          <w:sz w:val="18"/>
          <w:szCs w:val="18"/>
          <w:shd w:val="clear" w:color="auto" w:fill="FFFFFF"/>
        </w:rPr>
        <w:t xml:space="preserve"> monthly survey of airline internet booking sites</w:t>
      </w:r>
      <w:r w:rsidR="00D0414D" w:rsidRPr="00895C84">
        <w:rPr>
          <w:rFonts w:asciiTheme="minorHAnsi" w:hAnsiTheme="minorHAnsi" w:cs="Open Sans"/>
          <w:color w:val="auto"/>
          <w:sz w:val="18"/>
          <w:szCs w:val="18"/>
          <w:shd w:val="clear" w:color="auto" w:fill="FFFFFF"/>
        </w:rPr>
        <w:t xml:space="preserve"> for the top 70 routes in the Australian domestic network</w:t>
      </w:r>
      <w:r w:rsidRPr="00895C84">
        <w:rPr>
          <w:rFonts w:asciiTheme="minorHAnsi" w:hAnsiTheme="minorHAnsi" w:cs="Open Sans"/>
          <w:color w:val="auto"/>
          <w:sz w:val="18"/>
          <w:szCs w:val="18"/>
          <w:shd w:val="clear" w:color="auto" w:fill="FFFFFF"/>
        </w:rPr>
        <w:t xml:space="preserve">. </w:t>
      </w:r>
      <w:r w:rsidR="00C24B14" w:rsidRPr="00895C84">
        <w:rPr>
          <w:rFonts w:asciiTheme="minorHAnsi" w:hAnsiTheme="minorHAnsi" w:cs="Open Sans"/>
          <w:color w:val="auto"/>
          <w:sz w:val="18"/>
          <w:szCs w:val="18"/>
          <w:shd w:val="clear" w:color="auto" w:fill="FFFFFF"/>
        </w:rPr>
        <w:t xml:space="preserve">The series is a price index of the lowest available fare in each fare class, weighted over selected routes (for fares </w:t>
      </w:r>
      <w:r w:rsidRPr="00895C84">
        <w:rPr>
          <w:rFonts w:asciiTheme="minorHAnsi" w:hAnsiTheme="minorHAnsi" w:cs="Open Sans"/>
          <w:color w:val="auto"/>
          <w:sz w:val="18"/>
          <w:szCs w:val="18"/>
          <w:shd w:val="clear" w:color="auto" w:fill="FFFFFF"/>
        </w:rPr>
        <w:t>available on the last Thursday of the month</w:t>
      </w:r>
      <w:r w:rsidR="00C24B14" w:rsidRPr="00895C84">
        <w:rPr>
          <w:rFonts w:asciiTheme="minorHAnsi" w:hAnsiTheme="minorHAnsi" w:cs="Open Sans"/>
          <w:color w:val="auto"/>
          <w:sz w:val="18"/>
          <w:szCs w:val="18"/>
          <w:shd w:val="clear" w:color="auto" w:fill="FFFFFF"/>
        </w:rPr>
        <w:t>, the ‘nominated day of travel’</w:t>
      </w:r>
      <w:r w:rsidRPr="00895C84">
        <w:rPr>
          <w:rFonts w:asciiTheme="minorHAnsi" w:hAnsiTheme="minorHAnsi" w:cs="Open Sans"/>
          <w:color w:val="auto"/>
          <w:sz w:val="18"/>
          <w:szCs w:val="18"/>
          <w:shd w:val="clear" w:color="auto" w:fill="FFFFFF"/>
        </w:rPr>
        <w:t>). It does not measure real airline yields, or average fares paid by passengers.</w:t>
      </w:r>
      <w:r w:rsidR="0026077B" w:rsidRPr="00895C84">
        <w:rPr>
          <w:rFonts w:asciiTheme="minorHAnsi" w:hAnsiTheme="minorHAnsi" w:cs="Open Sans"/>
          <w:color w:val="auto"/>
          <w:sz w:val="18"/>
          <w:szCs w:val="18"/>
          <w:shd w:val="clear" w:color="auto" w:fill="FFFFFF"/>
        </w:rPr>
        <w:t xml:space="preserve"> During the period of "Half Off" air fares made available through Tourism Aviation Network Support (TANS), the BITRE </w:t>
      </w:r>
      <w:r w:rsidR="00457D01" w:rsidRPr="00895C84">
        <w:rPr>
          <w:rFonts w:asciiTheme="minorHAnsi" w:hAnsiTheme="minorHAnsi" w:cs="Open Sans"/>
          <w:color w:val="auto"/>
          <w:sz w:val="18"/>
          <w:szCs w:val="18"/>
          <w:shd w:val="clear" w:color="auto" w:fill="FFFFFF"/>
        </w:rPr>
        <w:t xml:space="preserve">Best discount index uses </w:t>
      </w:r>
      <w:r w:rsidR="0026077B" w:rsidRPr="00895C84">
        <w:rPr>
          <w:rFonts w:asciiTheme="minorHAnsi" w:hAnsiTheme="minorHAnsi" w:cs="Open Sans"/>
          <w:color w:val="auto"/>
          <w:sz w:val="18"/>
          <w:szCs w:val="18"/>
          <w:shd w:val="clear" w:color="auto" w:fill="FFFFFF"/>
        </w:rPr>
        <w:t>the cheapest available fare</w:t>
      </w:r>
      <w:r w:rsidR="007570C5" w:rsidRPr="00895C84">
        <w:rPr>
          <w:rFonts w:asciiTheme="minorHAnsi" w:hAnsiTheme="minorHAnsi" w:cs="Open Sans"/>
          <w:color w:val="auto"/>
          <w:sz w:val="18"/>
          <w:szCs w:val="18"/>
          <w:shd w:val="clear" w:color="auto" w:fill="FFFFFF"/>
        </w:rPr>
        <w:t xml:space="preserve"> </w:t>
      </w:r>
      <w:r w:rsidR="0026077B" w:rsidRPr="00895C84">
        <w:rPr>
          <w:rFonts w:asciiTheme="minorHAnsi" w:hAnsiTheme="minorHAnsi" w:cs="Open Sans"/>
          <w:color w:val="auto"/>
          <w:sz w:val="18"/>
          <w:szCs w:val="18"/>
          <w:shd w:val="clear" w:color="auto" w:fill="FFFFFF"/>
        </w:rPr>
        <w:t>using "Half Off" fares where available.</w:t>
      </w:r>
    </w:p>
  </w:footnote>
  <w:footnote w:id="26">
    <w:p w14:paraId="12ABFAB3" w14:textId="1286C460" w:rsidR="00030E11" w:rsidRDefault="00030E11">
      <w:pPr>
        <w:pStyle w:val="FootnoteText"/>
      </w:pPr>
      <w:r>
        <w:rPr>
          <w:rStyle w:val="FootnoteReference"/>
        </w:rPr>
        <w:footnoteRef/>
      </w:r>
      <w:r>
        <w:t xml:space="preserve"> </w:t>
      </w:r>
      <w:r w:rsidRPr="00C61EDC">
        <w:rPr>
          <w:sz w:val="18"/>
          <w:szCs w:val="18"/>
        </w:rPr>
        <w:t xml:space="preserve">Based on insights from the Accommodation and Food Services </w:t>
      </w:r>
      <w:r w:rsidRPr="002F3A4E">
        <w:rPr>
          <w:sz w:val="18"/>
          <w:szCs w:val="18"/>
        </w:rPr>
        <w:t>industry in the quarterly</w:t>
      </w:r>
      <w:r w:rsidR="00DA626C" w:rsidRPr="002F3A4E">
        <w:rPr>
          <w:sz w:val="18"/>
          <w:szCs w:val="18"/>
        </w:rPr>
        <w:t xml:space="preserve"> </w:t>
      </w:r>
      <w:hyperlink r:id="rId14" w:history="1">
        <w:r w:rsidR="00DA626C" w:rsidRPr="002F3A4E">
          <w:rPr>
            <w:rStyle w:val="Hyperlink"/>
            <w:sz w:val="18"/>
            <w:szCs w:val="18"/>
          </w:rPr>
          <w:t>Recruitment Experiences and Outlook Survey | Jobs and Skills Australia</w:t>
        </w:r>
      </w:hyperlink>
      <w:r w:rsidR="002F3A4E" w:rsidRPr="002F3A4E">
        <w:rPr>
          <w:sz w:val="18"/>
          <w:szCs w:val="18"/>
        </w:rPr>
        <w:t>.</w:t>
      </w:r>
    </w:p>
  </w:footnote>
  <w:footnote w:id="27">
    <w:p w14:paraId="5905730B" w14:textId="77777777" w:rsidR="00275B6F" w:rsidRPr="004A4052" w:rsidRDefault="00275B6F" w:rsidP="00275B6F">
      <w:pPr>
        <w:spacing w:before="0" w:after="0" w:line="240" w:lineRule="auto"/>
        <w:rPr>
          <w:sz w:val="18"/>
          <w:szCs w:val="18"/>
        </w:rPr>
      </w:pPr>
      <w:r>
        <w:rPr>
          <w:rStyle w:val="FootnoteReference"/>
        </w:rPr>
        <w:footnoteRef/>
      </w:r>
      <w:r>
        <w:t xml:space="preserve"> </w:t>
      </w:r>
      <w:r>
        <w:rPr>
          <w:sz w:val="18"/>
          <w:szCs w:val="18"/>
        </w:rPr>
        <w:t>For</w:t>
      </w:r>
      <w:r w:rsidRPr="004A4052">
        <w:rPr>
          <w:sz w:val="18"/>
          <w:szCs w:val="18"/>
        </w:rPr>
        <w:t xml:space="preserve"> the visa subclass 417, the following 8 partner countries typically contribute the majority of visa holders in Australia: the UK, South Korea, Ireland, Taiwan, France, Germany, Japan, and Italy. These countries accounted for 85% of 417 visas granted in 2012 and 2013, but the share trended down to 75% in 2019</w:t>
      </w:r>
      <w:r>
        <w:rPr>
          <w:sz w:val="18"/>
          <w:szCs w:val="18"/>
        </w:rPr>
        <w:t xml:space="preserve"> and was 73% in 2023</w:t>
      </w:r>
      <w:r w:rsidRPr="004A4052">
        <w:rPr>
          <w:sz w:val="18"/>
          <w:szCs w:val="18"/>
        </w:rPr>
        <w:t>.</w:t>
      </w:r>
    </w:p>
  </w:footnote>
  <w:footnote w:id="28">
    <w:p w14:paraId="3DA7786E" w14:textId="77777777" w:rsidR="00275B6F" w:rsidRPr="00133C20" w:rsidRDefault="00275B6F" w:rsidP="00275B6F">
      <w:pPr>
        <w:pStyle w:val="FootnoteText"/>
        <w:rPr>
          <w:sz w:val="18"/>
          <w:szCs w:val="18"/>
        </w:rPr>
      </w:pPr>
      <w:r>
        <w:rPr>
          <w:rStyle w:val="FootnoteReference"/>
        </w:rPr>
        <w:footnoteRef/>
      </w:r>
      <w:r>
        <w:t xml:space="preserve"> </w:t>
      </w:r>
      <w:r w:rsidRPr="00133C20">
        <w:rPr>
          <w:sz w:val="18"/>
          <w:szCs w:val="18"/>
        </w:rPr>
        <w:t>The visa subclass 462 is a relatively new program, as it came into operation in early 2005. The number of partner countries for this visa has steadily increased from 16 countries in 2016 to 28 countries in 2023 (while the number of partner countries for the 417 visa remained constant at 19 countries). In 2023, the following 8 partner countries accounted for 84% of 462 visas granted: Indonesia, Argentina, Vietnam, the US, Chile, Thailand, China</w:t>
      </w:r>
      <w:r>
        <w:rPr>
          <w:sz w:val="18"/>
          <w:szCs w:val="18"/>
        </w:rPr>
        <w:t>,</w:t>
      </w:r>
      <w:r w:rsidRPr="00133C20">
        <w:rPr>
          <w:sz w:val="18"/>
          <w:szCs w:val="18"/>
        </w:rPr>
        <w:t xml:space="preserve"> and Spain.</w:t>
      </w:r>
    </w:p>
  </w:footnote>
  <w:footnote w:id="29">
    <w:p w14:paraId="5001879D" w14:textId="19297CCD" w:rsidR="006D58FC" w:rsidRDefault="006D58FC">
      <w:pPr>
        <w:pStyle w:val="FootnoteText"/>
      </w:pPr>
      <w:r>
        <w:rPr>
          <w:rStyle w:val="FootnoteReference"/>
        </w:rPr>
        <w:footnoteRef/>
      </w:r>
      <w:r>
        <w:t xml:space="preserve"> </w:t>
      </w:r>
      <w:hyperlink r:id="rId15" w:history="1">
        <w:r w:rsidR="00A6722E" w:rsidRPr="00A6722E">
          <w:rPr>
            <w:rStyle w:val="Hyperlink"/>
            <w:sz w:val="18"/>
            <w:szCs w:val="18"/>
          </w:rPr>
          <w:t>See: Skills Priority List 2023 Key Findings Report</w:t>
        </w:r>
      </w:hyperlink>
      <w:r w:rsidR="00A6722E" w:rsidRPr="00A6722E">
        <w:rPr>
          <w:sz w:val="18"/>
          <w:szCs w:val="18"/>
        </w:rPr>
        <w:t xml:space="preserve"> (page 6)</w:t>
      </w:r>
      <w:r w:rsidR="00A6722E">
        <w:rPr>
          <w:sz w:val="18"/>
          <w:szCs w:val="18"/>
        </w:rPr>
        <w:t>.</w:t>
      </w:r>
    </w:p>
  </w:footnote>
  <w:footnote w:id="30">
    <w:p w14:paraId="052C176C" w14:textId="6BB5C0EF" w:rsidR="00C04946" w:rsidRPr="007E6DCC" w:rsidRDefault="00C04946" w:rsidP="00C04946">
      <w:pPr>
        <w:spacing w:before="0" w:after="0" w:line="240" w:lineRule="auto"/>
        <w:rPr>
          <w:sz w:val="18"/>
          <w:szCs w:val="18"/>
        </w:rPr>
      </w:pPr>
      <w:r>
        <w:rPr>
          <w:rStyle w:val="FootnoteReference"/>
        </w:rPr>
        <w:footnoteRef/>
      </w:r>
      <w:r>
        <w:rPr>
          <w:sz w:val="18"/>
          <w:szCs w:val="18"/>
        </w:rPr>
        <w:t xml:space="preserve"> </w:t>
      </w:r>
      <w:r w:rsidRPr="001F19E2">
        <w:rPr>
          <w:rFonts w:cs="AU Sans Text"/>
          <w:color w:val="000000"/>
          <w:sz w:val="18"/>
          <w:szCs w:val="18"/>
        </w:rPr>
        <w:t>There were 14 projects for which the full investment value was unavailable. Therefore, the estimated total value of investment understates the real value</w:t>
      </w:r>
      <w:r w:rsidRPr="001F19E2">
        <w:rPr>
          <w:sz w:val="18"/>
          <w:szCs w:val="18"/>
        </w:rPr>
        <w:t>.</w:t>
      </w:r>
      <w:r w:rsidRPr="006C34DD">
        <w:rPr>
          <w:sz w:val="18"/>
          <w:szCs w:val="18"/>
        </w:rPr>
        <w:t xml:space="preserve">  </w:t>
      </w:r>
    </w:p>
  </w:footnote>
  <w:footnote w:id="31">
    <w:p w14:paraId="078B2C1B" w14:textId="32045DD5" w:rsidR="00C04946" w:rsidRDefault="00C04946" w:rsidP="00C04946">
      <w:pPr>
        <w:spacing w:before="0" w:after="0" w:line="240" w:lineRule="auto"/>
        <w:rPr>
          <w:sz w:val="18"/>
          <w:szCs w:val="18"/>
        </w:rPr>
      </w:pPr>
      <w:r>
        <w:rPr>
          <w:rStyle w:val="FootnoteReference"/>
        </w:rPr>
        <w:footnoteRef/>
      </w:r>
      <w:r>
        <w:rPr>
          <w:sz w:val="18"/>
          <w:szCs w:val="18"/>
        </w:rPr>
        <w:t xml:space="preserve"> </w:t>
      </w:r>
      <w:r w:rsidRPr="006149F3">
        <w:rPr>
          <w:rFonts w:cs="AU Sans Text"/>
          <w:color w:val="000000"/>
          <w:sz w:val="18"/>
          <w:szCs w:val="18"/>
        </w:rPr>
        <w:t>The number of rooms was not available for one project at the time the Tourism Investment Monitor 2022</w:t>
      </w:r>
      <w:r w:rsidR="00B43047">
        <w:rPr>
          <w:rFonts w:cs="AU Sans Text"/>
          <w:color w:val="000000"/>
          <w:sz w:val="18"/>
          <w:szCs w:val="18"/>
        </w:rPr>
        <w:noBreakHyphen/>
      </w:r>
      <w:r w:rsidRPr="006149F3">
        <w:rPr>
          <w:rFonts w:cs="AU Sans Text"/>
          <w:color w:val="000000"/>
          <w:sz w:val="18"/>
          <w:szCs w:val="18"/>
        </w:rPr>
        <w:t>23 was finalised in January 2024</w:t>
      </w:r>
      <w:r w:rsidRPr="001F19E2">
        <w:rPr>
          <w:sz w:val="18"/>
          <w:szCs w:val="18"/>
        </w:rPr>
        <w:t>.</w:t>
      </w:r>
      <w:r w:rsidRPr="006C34DD">
        <w:rPr>
          <w:sz w:val="18"/>
          <w:szCs w:val="18"/>
        </w:rPr>
        <w:t xml:space="preserve">  </w:t>
      </w:r>
    </w:p>
    <w:p w14:paraId="0127BF2F" w14:textId="77777777" w:rsidR="00C04946" w:rsidRDefault="00C04946" w:rsidP="00C04946">
      <w:pPr>
        <w:spacing w:before="0" w:after="0" w:line="240" w:lineRule="auto"/>
      </w:pPr>
    </w:p>
  </w:footnote>
  <w:footnote w:id="32">
    <w:p w14:paraId="79D19242" w14:textId="5AE289CF" w:rsidR="008C2DD4" w:rsidRPr="001A3AFE" w:rsidRDefault="008C2DD4" w:rsidP="001A3AFE">
      <w:pPr>
        <w:spacing w:before="0" w:after="0" w:line="240" w:lineRule="auto"/>
        <w:rPr>
          <w:sz w:val="18"/>
          <w:szCs w:val="18"/>
        </w:rPr>
      </w:pPr>
      <w:r>
        <w:rPr>
          <w:rStyle w:val="FootnoteReference"/>
        </w:rPr>
        <w:footnoteRef/>
      </w:r>
      <w:r>
        <w:t xml:space="preserve"> </w:t>
      </w:r>
      <w:r w:rsidRPr="001A3AFE">
        <w:rPr>
          <w:sz w:val="18"/>
          <w:szCs w:val="18"/>
        </w:rPr>
        <w:t>Mixed use projects may combine short-term accommodation, residential, commercial and leisure spaces. They will typically contain food and beverage or retail services and hotel or short-stay rental properties. As such, they contribute significant value to the visitor economy. However, the Tourism Investment Monitor pipeline does not include mixed-use developments because of the difficulty in attributing an explicit value to the tourism-specific component of such projects.</w:t>
      </w:r>
    </w:p>
  </w:footnote>
  <w:footnote w:id="33">
    <w:p w14:paraId="5E595D1E" w14:textId="09181172" w:rsidR="00203402" w:rsidRPr="007E6DCC" w:rsidRDefault="00203402" w:rsidP="00203402">
      <w:pPr>
        <w:spacing w:before="0" w:after="0" w:line="240" w:lineRule="auto"/>
        <w:rPr>
          <w:sz w:val="18"/>
          <w:szCs w:val="18"/>
        </w:rPr>
      </w:pPr>
      <w:r>
        <w:rPr>
          <w:rStyle w:val="FootnoteReference"/>
        </w:rPr>
        <w:footnoteRef/>
      </w:r>
      <w:r>
        <w:rPr>
          <w:sz w:val="18"/>
          <w:szCs w:val="18"/>
        </w:rPr>
        <w:t xml:space="preserve"> </w:t>
      </w:r>
      <w:r w:rsidRPr="00021E79">
        <w:rPr>
          <w:rFonts w:cs="AU Sans Text"/>
          <w:color w:val="000000"/>
          <w:sz w:val="18"/>
          <w:szCs w:val="18"/>
        </w:rPr>
        <w:t>There were 13 mixed-use projects for which the full investment value was unavailable. Therefore, the estimated total value of investment understates the real value</w:t>
      </w:r>
      <w:r w:rsidR="007E6DCC">
        <w:rPr>
          <w:sz w:val="18"/>
          <w:szCs w:val="18"/>
        </w:rPr>
        <w:t>.</w:t>
      </w:r>
    </w:p>
  </w:footnote>
  <w:footnote w:id="34">
    <w:p w14:paraId="25563D03" w14:textId="77777777" w:rsidR="00203402" w:rsidRDefault="00203402" w:rsidP="00203402">
      <w:pPr>
        <w:spacing w:before="0" w:after="0" w:line="240" w:lineRule="auto"/>
        <w:rPr>
          <w:sz w:val="18"/>
          <w:szCs w:val="18"/>
        </w:rPr>
      </w:pPr>
      <w:r>
        <w:rPr>
          <w:rStyle w:val="FootnoteReference"/>
        </w:rPr>
        <w:footnoteRef/>
      </w:r>
      <w:r>
        <w:rPr>
          <w:sz w:val="18"/>
          <w:szCs w:val="18"/>
        </w:rPr>
        <w:t xml:space="preserve"> </w:t>
      </w:r>
      <w:r w:rsidRPr="00411F59">
        <w:rPr>
          <w:rFonts w:cs="AU Sans Text"/>
          <w:color w:val="000000"/>
          <w:sz w:val="18"/>
          <w:szCs w:val="18"/>
        </w:rPr>
        <w:t>The number of rooms is not always available for projects, particularly newly announced mixed-use projects. Given this, the estimated number of rooms reported here is likely to be an underestimation. Of the mixed-use projects, 16 had no room numbers available at the time the Tourism Investment Monitor 2022-23 was finalised in January 2024</w:t>
      </w:r>
      <w:r>
        <w:rPr>
          <w:rFonts w:cs="AU Sans Text"/>
          <w:color w:val="000000"/>
          <w:sz w:val="18"/>
          <w:szCs w:val="18"/>
        </w:rPr>
        <w:t>.</w:t>
      </w:r>
      <w:r w:rsidRPr="00411F59">
        <w:rPr>
          <w:rFonts w:cs="AU Sans Text"/>
          <w:color w:val="000000"/>
          <w:sz w:val="18"/>
          <w:szCs w:val="18"/>
        </w:rPr>
        <w:t xml:space="preserve"> </w:t>
      </w:r>
      <w:r w:rsidRPr="006C34DD">
        <w:rPr>
          <w:sz w:val="18"/>
          <w:szCs w:val="18"/>
        </w:rPr>
        <w:t xml:space="preserve">  </w:t>
      </w:r>
    </w:p>
    <w:p w14:paraId="786F7241" w14:textId="77777777" w:rsidR="00203402" w:rsidRDefault="00203402" w:rsidP="00203402">
      <w:pPr>
        <w:spacing w:before="0" w:after="0" w:line="240" w:lineRule="auto"/>
      </w:pPr>
    </w:p>
  </w:footnote>
  <w:footnote w:id="35">
    <w:p w14:paraId="2650D17A" w14:textId="2E9D1E54" w:rsidR="00DD5893" w:rsidRDefault="00DD5893">
      <w:pPr>
        <w:pStyle w:val="FootnoteText"/>
      </w:pPr>
      <w:r>
        <w:rPr>
          <w:rStyle w:val="FootnoteReference"/>
        </w:rPr>
        <w:footnoteRef/>
      </w:r>
      <w:r>
        <w:t xml:space="preserve"> </w:t>
      </w:r>
      <w:r w:rsidRPr="00DD5893">
        <w:rPr>
          <w:rFonts w:eastAsia="Verdana" w:cs="Times New Roman"/>
          <w:color w:val="000000"/>
          <w:sz w:val="18"/>
          <w:szCs w:val="18"/>
          <w:lang w:eastAsia="zh-CN"/>
        </w:rPr>
        <w:t>International arrivals reached 93% of the pre-pandemic level in the month of February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72F7"/>
    <w:multiLevelType w:val="hybridMultilevel"/>
    <w:tmpl w:val="FD904498"/>
    <w:lvl w:ilvl="0" w:tplc="0F2C7738">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1C4A0B"/>
    <w:multiLevelType w:val="hybridMultilevel"/>
    <w:tmpl w:val="9DE6FD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CE4F49"/>
    <w:multiLevelType w:val="multilevel"/>
    <w:tmpl w:val="09A2F3A0"/>
    <w:lvl w:ilvl="0">
      <w:start w:val="1"/>
      <w:numFmt w:val="bullet"/>
      <w:pStyle w:val="Bullet"/>
      <w:lvlText w:val="•"/>
      <w:lvlJc w:val="left"/>
      <w:pPr>
        <w:tabs>
          <w:tab w:val="num" w:pos="567"/>
        </w:tabs>
        <w:ind w:left="567" w:hanging="567"/>
      </w:pPr>
      <w:rPr>
        <w:rFonts w:ascii="Times New Roman" w:hAnsi="Times New Roman" w:cs="Times New Roman"/>
        <w:b/>
        <w:color w:val="000000" w:themeColor="text1"/>
        <w:sz w:val="34"/>
        <w:szCs w:val="34"/>
      </w:rPr>
    </w:lvl>
    <w:lvl w:ilvl="1">
      <w:start w:val="1"/>
      <w:numFmt w:val="bullet"/>
      <w:pStyle w:val="Dash"/>
      <w:lvlText w:val="–"/>
      <w:lvlJc w:val="left"/>
      <w:pPr>
        <w:tabs>
          <w:tab w:val="num" w:pos="1134"/>
        </w:tabs>
        <w:ind w:left="1134" w:hanging="567"/>
      </w:pPr>
      <w:rPr>
        <w:rFonts w:ascii="Times New Roman" w:hAnsi="Times New Roman" w:cs="Times New Roman"/>
        <w:color w:val="000000" w:themeColor="text1"/>
      </w:rPr>
    </w:lvl>
    <w:lvl w:ilvl="2">
      <w:start w:val="1"/>
      <w:numFmt w:val="bullet"/>
      <w:pStyle w:val="DoubleDot"/>
      <w:lvlText w:val=""/>
      <w:lvlJc w:val="left"/>
      <w:pPr>
        <w:tabs>
          <w:tab w:val="num" w:pos="1701"/>
        </w:tabs>
        <w:ind w:left="1701" w:hanging="567"/>
      </w:pPr>
      <w:rPr>
        <w:rFonts w:ascii="Wingdings" w:hAnsi="Wingdings" w:hint="default"/>
        <w:color w:val="000000" w:themeColor="text1"/>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5E14709"/>
    <w:multiLevelType w:val="hybridMultilevel"/>
    <w:tmpl w:val="D3A60D8E"/>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761364F"/>
    <w:multiLevelType w:val="hybridMultilevel"/>
    <w:tmpl w:val="8382B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91B5D"/>
    <w:multiLevelType w:val="multilevel"/>
    <w:tmpl w:val="03C6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2114E9"/>
    <w:multiLevelType w:val="hybridMultilevel"/>
    <w:tmpl w:val="DD129F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BD36285"/>
    <w:multiLevelType w:val="hybridMultilevel"/>
    <w:tmpl w:val="C2C0F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205CC6"/>
    <w:multiLevelType w:val="hybridMultilevel"/>
    <w:tmpl w:val="E40AF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467E54"/>
    <w:multiLevelType w:val="hybridMultilevel"/>
    <w:tmpl w:val="598CD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F425BD"/>
    <w:multiLevelType w:val="hybridMultilevel"/>
    <w:tmpl w:val="D5C46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7C56DD"/>
    <w:multiLevelType w:val="hybridMultilevel"/>
    <w:tmpl w:val="5B9E4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1B2D42"/>
    <w:multiLevelType w:val="hybridMultilevel"/>
    <w:tmpl w:val="E1FE5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6C3FAD"/>
    <w:multiLevelType w:val="hybridMultilevel"/>
    <w:tmpl w:val="07A47E46"/>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1E240BD4"/>
    <w:multiLevelType w:val="multilevel"/>
    <w:tmpl w:val="F1CA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46627A"/>
    <w:multiLevelType w:val="hybridMultilevel"/>
    <w:tmpl w:val="5EE01DB8"/>
    <w:lvl w:ilvl="0" w:tplc="95AEB2A6">
      <w:start w:val="1"/>
      <w:numFmt w:val="decimal"/>
      <w:lvlText w:val="%1)"/>
      <w:lvlJc w:val="left"/>
      <w:pPr>
        <w:ind w:left="1020" w:hanging="360"/>
      </w:pPr>
    </w:lvl>
    <w:lvl w:ilvl="1" w:tplc="3BA0C3B0">
      <w:start w:val="1"/>
      <w:numFmt w:val="decimal"/>
      <w:lvlText w:val="%2)"/>
      <w:lvlJc w:val="left"/>
      <w:pPr>
        <w:ind w:left="1020" w:hanging="360"/>
      </w:pPr>
    </w:lvl>
    <w:lvl w:ilvl="2" w:tplc="C4D6B8A6">
      <w:start w:val="1"/>
      <w:numFmt w:val="decimal"/>
      <w:lvlText w:val="%3)"/>
      <w:lvlJc w:val="left"/>
      <w:pPr>
        <w:ind w:left="1020" w:hanging="360"/>
      </w:pPr>
    </w:lvl>
    <w:lvl w:ilvl="3" w:tplc="3BDCC90C">
      <w:start w:val="1"/>
      <w:numFmt w:val="decimal"/>
      <w:lvlText w:val="%4)"/>
      <w:lvlJc w:val="left"/>
      <w:pPr>
        <w:ind w:left="1020" w:hanging="360"/>
      </w:pPr>
    </w:lvl>
    <w:lvl w:ilvl="4" w:tplc="6F662B9C">
      <w:start w:val="1"/>
      <w:numFmt w:val="decimal"/>
      <w:lvlText w:val="%5)"/>
      <w:lvlJc w:val="left"/>
      <w:pPr>
        <w:ind w:left="1020" w:hanging="360"/>
      </w:pPr>
    </w:lvl>
    <w:lvl w:ilvl="5" w:tplc="7F54377C">
      <w:start w:val="1"/>
      <w:numFmt w:val="decimal"/>
      <w:lvlText w:val="%6)"/>
      <w:lvlJc w:val="left"/>
      <w:pPr>
        <w:ind w:left="1020" w:hanging="360"/>
      </w:pPr>
    </w:lvl>
    <w:lvl w:ilvl="6" w:tplc="EC843BFE">
      <w:start w:val="1"/>
      <w:numFmt w:val="decimal"/>
      <w:lvlText w:val="%7)"/>
      <w:lvlJc w:val="left"/>
      <w:pPr>
        <w:ind w:left="1020" w:hanging="360"/>
      </w:pPr>
    </w:lvl>
    <w:lvl w:ilvl="7" w:tplc="F4CCE3B2">
      <w:start w:val="1"/>
      <w:numFmt w:val="decimal"/>
      <w:lvlText w:val="%8)"/>
      <w:lvlJc w:val="left"/>
      <w:pPr>
        <w:ind w:left="1020" w:hanging="360"/>
      </w:pPr>
    </w:lvl>
    <w:lvl w:ilvl="8" w:tplc="BD1A41B4">
      <w:start w:val="1"/>
      <w:numFmt w:val="decimal"/>
      <w:lvlText w:val="%9)"/>
      <w:lvlJc w:val="left"/>
      <w:pPr>
        <w:ind w:left="1020" w:hanging="360"/>
      </w:pPr>
    </w:lvl>
  </w:abstractNum>
  <w:abstractNum w:abstractNumId="16" w15:restartNumberingAfterBreak="0">
    <w:nsid w:val="23C74C46"/>
    <w:multiLevelType w:val="multilevel"/>
    <w:tmpl w:val="AB101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E618D0"/>
    <w:multiLevelType w:val="hybridMultilevel"/>
    <w:tmpl w:val="BCA0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B443C5"/>
    <w:multiLevelType w:val="hybridMultilevel"/>
    <w:tmpl w:val="254A06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7B6B82"/>
    <w:multiLevelType w:val="hybridMultilevel"/>
    <w:tmpl w:val="2F146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C64355B"/>
    <w:multiLevelType w:val="hybridMultilevel"/>
    <w:tmpl w:val="5142A6B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21" w15:restartNumberingAfterBreak="0">
    <w:nsid w:val="2C8229A8"/>
    <w:multiLevelType w:val="hybridMultilevel"/>
    <w:tmpl w:val="A19A3446"/>
    <w:lvl w:ilvl="0" w:tplc="0F2C7738">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8B49A1"/>
    <w:multiLevelType w:val="hybridMultilevel"/>
    <w:tmpl w:val="B190513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23" w15:restartNumberingAfterBreak="0">
    <w:nsid w:val="30767092"/>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4" w15:restartNumberingAfterBreak="0">
    <w:nsid w:val="32953185"/>
    <w:multiLevelType w:val="hybridMultilevel"/>
    <w:tmpl w:val="3C0848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3365BF6"/>
    <w:multiLevelType w:val="hybridMultilevel"/>
    <w:tmpl w:val="944CB0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77002BE"/>
    <w:multiLevelType w:val="hybridMultilevel"/>
    <w:tmpl w:val="B19079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D355FC"/>
    <w:multiLevelType w:val="multilevel"/>
    <w:tmpl w:val="B96E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484D34"/>
    <w:multiLevelType w:val="hybridMultilevel"/>
    <w:tmpl w:val="16806C3A"/>
    <w:lvl w:ilvl="0" w:tplc="0C090001">
      <w:start w:val="1"/>
      <w:numFmt w:val="bullet"/>
      <w:lvlText w:val=""/>
      <w:lvlJc w:val="left"/>
      <w:pPr>
        <w:ind w:left="790" w:hanging="360"/>
      </w:pPr>
      <w:rPr>
        <w:rFonts w:ascii="Symbol" w:hAnsi="Symbol" w:hint="default"/>
      </w:rPr>
    </w:lvl>
    <w:lvl w:ilvl="1" w:tplc="0C090003">
      <w:start w:val="1"/>
      <w:numFmt w:val="bullet"/>
      <w:lvlText w:val="o"/>
      <w:lvlJc w:val="left"/>
      <w:pPr>
        <w:ind w:left="1510" w:hanging="360"/>
      </w:pPr>
      <w:rPr>
        <w:rFonts w:ascii="Courier New" w:hAnsi="Courier New" w:cs="Courier New" w:hint="default"/>
      </w:rPr>
    </w:lvl>
    <w:lvl w:ilvl="2" w:tplc="0C090005">
      <w:start w:val="1"/>
      <w:numFmt w:val="bullet"/>
      <w:lvlText w:val=""/>
      <w:lvlJc w:val="left"/>
      <w:pPr>
        <w:ind w:left="2230" w:hanging="360"/>
      </w:pPr>
      <w:rPr>
        <w:rFonts w:ascii="Wingdings" w:hAnsi="Wingdings" w:hint="default"/>
      </w:rPr>
    </w:lvl>
    <w:lvl w:ilvl="3" w:tplc="0C090001">
      <w:start w:val="1"/>
      <w:numFmt w:val="bullet"/>
      <w:lvlText w:val=""/>
      <w:lvlJc w:val="left"/>
      <w:pPr>
        <w:ind w:left="2950" w:hanging="360"/>
      </w:pPr>
      <w:rPr>
        <w:rFonts w:ascii="Symbol" w:hAnsi="Symbol" w:hint="default"/>
      </w:rPr>
    </w:lvl>
    <w:lvl w:ilvl="4" w:tplc="0C090003">
      <w:start w:val="1"/>
      <w:numFmt w:val="bullet"/>
      <w:lvlText w:val="o"/>
      <w:lvlJc w:val="left"/>
      <w:pPr>
        <w:ind w:left="3670" w:hanging="360"/>
      </w:pPr>
      <w:rPr>
        <w:rFonts w:ascii="Courier New" w:hAnsi="Courier New" w:cs="Courier New" w:hint="default"/>
      </w:rPr>
    </w:lvl>
    <w:lvl w:ilvl="5" w:tplc="0C090005">
      <w:start w:val="1"/>
      <w:numFmt w:val="bullet"/>
      <w:lvlText w:val=""/>
      <w:lvlJc w:val="left"/>
      <w:pPr>
        <w:ind w:left="4390" w:hanging="360"/>
      </w:pPr>
      <w:rPr>
        <w:rFonts w:ascii="Wingdings" w:hAnsi="Wingdings" w:hint="default"/>
      </w:rPr>
    </w:lvl>
    <w:lvl w:ilvl="6" w:tplc="0C090001">
      <w:start w:val="1"/>
      <w:numFmt w:val="bullet"/>
      <w:lvlText w:val=""/>
      <w:lvlJc w:val="left"/>
      <w:pPr>
        <w:ind w:left="5110" w:hanging="360"/>
      </w:pPr>
      <w:rPr>
        <w:rFonts w:ascii="Symbol" w:hAnsi="Symbol" w:hint="default"/>
      </w:rPr>
    </w:lvl>
    <w:lvl w:ilvl="7" w:tplc="0C090003">
      <w:start w:val="1"/>
      <w:numFmt w:val="bullet"/>
      <w:lvlText w:val="o"/>
      <w:lvlJc w:val="left"/>
      <w:pPr>
        <w:ind w:left="5830" w:hanging="360"/>
      </w:pPr>
      <w:rPr>
        <w:rFonts w:ascii="Courier New" w:hAnsi="Courier New" w:cs="Courier New" w:hint="default"/>
      </w:rPr>
    </w:lvl>
    <w:lvl w:ilvl="8" w:tplc="0C090005">
      <w:start w:val="1"/>
      <w:numFmt w:val="bullet"/>
      <w:lvlText w:val=""/>
      <w:lvlJc w:val="left"/>
      <w:pPr>
        <w:ind w:left="6550" w:hanging="360"/>
      </w:pPr>
      <w:rPr>
        <w:rFonts w:ascii="Wingdings" w:hAnsi="Wingdings" w:hint="default"/>
      </w:rPr>
    </w:lvl>
  </w:abstractNum>
  <w:abstractNum w:abstractNumId="29" w15:restartNumberingAfterBreak="0">
    <w:nsid w:val="397903A6"/>
    <w:multiLevelType w:val="hybridMultilevel"/>
    <w:tmpl w:val="35A691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E66307"/>
    <w:multiLevelType w:val="hybridMultilevel"/>
    <w:tmpl w:val="C470B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763317"/>
    <w:multiLevelType w:val="hybridMultilevel"/>
    <w:tmpl w:val="69F08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BF332B"/>
    <w:multiLevelType w:val="hybridMultilevel"/>
    <w:tmpl w:val="812AB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4B0D16"/>
    <w:multiLevelType w:val="hybridMultilevel"/>
    <w:tmpl w:val="8116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E73127"/>
    <w:multiLevelType w:val="hybridMultilevel"/>
    <w:tmpl w:val="D870C8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cs="Times New Roman" w:hint="default"/>
        <w:color w:val="1E988A" w:themeColor="background2"/>
      </w:rPr>
    </w:lvl>
    <w:lvl w:ilvl="2">
      <w:start w:val="1"/>
      <w:numFmt w:val="bullet"/>
      <w:pStyle w:val="ListBullet3"/>
      <w:lvlText w:val="–"/>
      <w:lvlJc w:val="left"/>
      <w:pPr>
        <w:ind w:left="852" w:hanging="284"/>
      </w:pPr>
      <w:rPr>
        <w:rFonts w:ascii="Calibri" w:hAnsi="Calibri" w:cs="Times New Roman" w:hint="default"/>
        <w:color w:val="1E988A" w:themeColor="background2"/>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36" w15:restartNumberingAfterBreak="0">
    <w:nsid w:val="40D903CA"/>
    <w:multiLevelType w:val="hybridMultilevel"/>
    <w:tmpl w:val="71BCC85A"/>
    <w:lvl w:ilvl="0" w:tplc="BC522ABC">
      <w:start w:val="1"/>
      <w:numFmt w:val="bullet"/>
      <w:pStyle w:val="BulletList"/>
      <w:lvlText w:val=""/>
      <w:lvlJc w:val="left"/>
      <w:pPr>
        <w:ind w:left="502" w:hanging="360"/>
      </w:pPr>
      <w:rPr>
        <w:rFonts w:ascii="Symbol" w:hAnsi="Symbol" w:cs="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37" w15:restartNumberingAfterBreak="0">
    <w:nsid w:val="43E911BE"/>
    <w:multiLevelType w:val="hybridMultilevel"/>
    <w:tmpl w:val="C72C6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E43866"/>
    <w:multiLevelType w:val="hybridMultilevel"/>
    <w:tmpl w:val="ACC6AD7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9" w15:restartNumberingAfterBreak="0">
    <w:nsid w:val="49F0418E"/>
    <w:multiLevelType w:val="hybridMultilevel"/>
    <w:tmpl w:val="6A469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0FA525D"/>
    <w:multiLevelType w:val="hybridMultilevel"/>
    <w:tmpl w:val="E7A42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D11F94"/>
    <w:multiLevelType w:val="hybridMultilevel"/>
    <w:tmpl w:val="86D28D8C"/>
    <w:lvl w:ilvl="0" w:tplc="8C58AF16">
      <w:numFmt w:val="bullet"/>
      <w:lvlText w:val="•"/>
      <w:lvlJc w:val="left"/>
      <w:pPr>
        <w:ind w:left="108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B581AA0"/>
    <w:multiLevelType w:val="hybridMultilevel"/>
    <w:tmpl w:val="5BB82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9C0E42"/>
    <w:multiLevelType w:val="hybridMultilevel"/>
    <w:tmpl w:val="4F50092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75920C3"/>
    <w:multiLevelType w:val="multilevel"/>
    <w:tmpl w:val="472A7FB0"/>
    <w:lvl w:ilvl="0">
      <w:start w:val="1"/>
      <w:numFmt w:val="bullet"/>
      <w:lvlText w:val=""/>
      <w:lvlJc w:val="left"/>
      <w:pPr>
        <w:ind w:left="795" w:hanging="360"/>
      </w:pPr>
      <w:rPr>
        <w:rFonts w:ascii="Symbol" w:hAnsi="Symbol" w:hint="default"/>
      </w:rPr>
    </w:lvl>
    <w:lvl w:ilvl="1">
      <w:start w:val="1"/>
      <w:numFmt w:val="decimal"/>
      <w:lvlText w:val="%1.%2."/>
      <w:lvlJc w:val="left"/>
      <w:pPr>
        <w:ind w:left="1515" w:hanging="360"/>
      </w:pPr>
    </w:lvl>
    <w:lvl w:ilvl="2">
      <w:start w:val="1"/>
      <w:numFmt w:val="decimal"/>
      <w:lvlText w:val="%1.%2.%3."/>
      <w:lvlJc w:val="left"/>
      <w:pPr>
        <w:ind w:left="2235" w:hanging="360"/>
      </w:pPr>
    </w:lvl>
    <w:lvl w:ilvl="3">
      <w:start w:val="1"/>
      <w:numFmt w:val="decimal"/>
      <w:lvlText w:val="%1.%2.%3.%4."/>
      <w:lvlJc w:val="left"/>
      <w:pPr>
        <w:ind w:left="2955" w:hanging="360"/>
      </w:pPr>
    </w:lvl>
    <w:lvl w:ilvl="4">
      <w:start w:val="1"/>
      <w:numFmt w:val="decimal"/>
      <w:lvlText w:val="%1.%2.%3.%4.%5."/>
      <w:lvlJc w:val="left"/>
      <w:pPr>
        <w:ind w:left="3675" w:hanging="360"/>
      </w:pPr>
    </w:lvl>
    <w:lvl w:ilvl="5">
      <w:start w:val="1"/>
      <w:numFmt w:val="decimal"/>
      <w:lvlText w:val="%1.%2.%3.%4.%5.%6."/>
      <w:lvlJc w:val="left"/>
      <w:pPr>
        <w:ind w:left="4395" w:hanging="360"/>
      </w:pPr>
    </w:lvl>
    <w:lvl w:ilvl="6">
      <w:start w:val="1"/>
      <w:numFmt w:val="decimal"/>
      <w:lvlText w:val="%1.%2.%3.%4.%5.%6.%7."/>
      <w:lvlJc w:val="left"/>
      <w:pPr>
        <w:ind w:left="5115" w:hanging="360"/>
      </w:pPr>
    </w:lvl>
    <w:lvl w:ilvl="7">
      <w:start w:val="1"/>
      <w:numFmt w:val="decimal"/>
      <w:lvlText w:val="%1.%2.%3.%4.%5.%6.%7.%8."/>
      <w:lvlJc w:val="left"/>
      <w:pPr>
        <w:ind w:left="5835" w:hanging="360"/>
      </w:pPr>
    </w:lvl>
    <w:lvl w:ilvl="8">
      <w:start w:val="1"/>
      <w:numFmt w:val="decimal"/>
      <w:lvlText w:val="%1.%2.%3.%4.%5.%6.%7.%8.%9."/>
      <w:lvlJc w:val="left"/>
      <w:pPr>
        <w:ind w:left="6555" w:hanging="360"/>
      </w:pPr>
    </w:lvl>
  </w:abstractNum>
  <w:abstractNum w:abstractNumId="46" w15:restartNumberingAfterBreak="0">
    <w:nsid w:val="67903CD7"/>
    <w:multiLevelType w:val="hybridMultilevel"/>
    <w:tmpl w:val="8B22F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7C2540"/>
    <w:multiLevelType w:val="hybridMultilevel"/>
    <w:tmpl w:val="AA88B282"/>
    <w:lvl w:ilvl="0" w:tplc="E8B4FDD6">
      <w:start w:val="11"/>
      <w:numFmt w:val="bullet"/>
      <w:lvlText w:val="-"/>
      <w:lvlJc w:val="left"/>
      <w:pPr>
        <w:ind w:left="720" w:hanging="360"/>
      </w:pPr>
      <w:rPr>
        <w:rFonts w:ascii="Verdana" w:eastAsia="Verdana"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9639102">
    <w:abstractNumId w:val="36"/>
  </w:num>
  <w:num w:numId="2" w16cid:durableId="784662544">
    <w:abstractNumId w:val="40"/>
  </w:num>
  <w:num w:numId="3" w16cid:durableId="1421415807">
    <w:abstractNumId w:val="13"/>
  </w:num>
  <w:num w:numId="4" w16cid:durableId="1477987893">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2103061">
    <w:abstractNumId w:val="36"/>
  </w:num>
  <w:num w:numId="6" w16cid:durableId="145242724">
    <w:abstractNumId w:val="45"/>
  </w:num>
  <w:num w:numId="7" w16cid:durableId="542789037">
    <w:abstractNumId w:val="34"/>
  </w:num>
  <w:num w:numId="8" w16cid:durableId="294995006">
    <w:abstractNumId w:val="7"/>
  </w:num>
  <w:num w:numId="9" w16cid:durableId="1509907936">
    <w:abstractNumId w:val="20"/>
  </w:num>
  <w:num w:numId="10" w16cid:durableId="591009391">
    <w:abstractNumId w:val="0"/>
  </w:num>
  <w:num w:numId="11" w16cid:durableId="372657057">
    <w:abstractNumId w:val="19"/>
  </w:num>
  <w:num w:numId="12" w16cid:durableId="46531942">
    <w:abstractNumId w:val="6"/>
  </w:num>
  <w:num w:numId="13" w16cid:durableId="1752435221">
    <w:abstractNumId w:val="1"/>
  </w:num>
  <w:num w:numId="14" w16cid:durableId="2104954649">
    <w:abstractNumId w:val="44"/>
  </w:num>
  <w:num w:numId="15" w16cid:durableId="907038228">
    <w:abstractNumId w:val="9"/>
  </w:num>
  <w:num w:numId="16" w16cid:durableId="428964039">
    <w:abstractNumId w:val="25"/>
  </w:num>
  <w:num w:numId="17" w16cid:durableId="1262033022">
    <w:abstractNumId w:val="41"/>
  </w:num>
  <w:num w:numId="18" w16cid:durableId="166099982">
    <w:abstractNumId w:val="47"/>
  </w:num>
  <w:num w:numId="19" w16cid:durableId="238029114">
    <w:abstractNumId w:val="28"/>
  </w:num>
  <w:num w:numId="20" w16cid:durableId="1611936307">
    <w:abstractNumId w:val="4"/>
  </w:num>
  <w:num w:numId="21" w16cid:durableId="2065761738">
    <w:abstractNumId w:val="29"/>
  </w:num>
  <w:num w:numId="22" w16cid:durableId="386998386">
    <w:abstractNumId w:val="46"/>
  </w:num>
  <w:num w:numId="23" w16cid:durableId="475755873">
    <w:abstractNumId w:val="43"/>
  </w:num>
  <w:num w:numId="24" w16cid:durableId="1827672479">
    <w:abstractNumId w:val="30"/>
  </w:num>
  <w:num w:numId="25" w16cid:durableId="1271399133">
    <w:abstractNumId w:val="2"/>
  </w:num>
  <w:num w:numId="26" w16cid:durableId="413166043">
    <w:abstractNumId w:val="33"/>
  </w:num>
  <w:num w:numId="27" w16cid:durableId="1264462698">
    <w:abstractNumId w:val="22"/>
  </w:num>
  <w:num w:numId="28" w16cid:durableId="317809264">
    <w:abstractNumId w:val="32"/>
  </w:num>
  <w:num w:numId="29" w16cid:durableId="2081321896">
    <w:abstractNumId w:val="38"/>
  </w:num>
  <w:num w:numId="30" w16cid:durableId="1780905534">
    <w:abstractNumId w:val="3"/>
  </w:num>
  <w:num w:numId="31" w16cid:durableId="847328263">
    <w:abstractNumId w:val="31"/>
  </w:num>
  <w:num w:numId="32" w16cid:durableId="827793184">
    <w:abstractNumId w:val="26"/>
  </w:num>
  <w:num w:numId="33" w16cid:durableId="1887333963">
    <w:abstractNumId w:val="15"/>
  </w:num>
  <w:num w:numId="34" w16cid:durableId="1774666104">
    <w:abstractNumId w:val="16"/>
  </w:num>
  <w:num w:numId="35" w16cid:durableId="1513912892">
    <w:abstractNumId w:val="21"/>
  </w:num>
  <w:num w:numId="36" w16cid:durableId="1335453994">
    <w:abstractNumId w:val="42"/>
  </w:num>
  <w:num w:numId="37" w16cid:durableId="2017733827">
    <w:abstractNumId w:val="5"/>
  </w:num>
  <w:num w:numId="38" w16cid:durableId="1649936154">
    <w:abstractNumId w:val="14"/>
  </w:num>
  <w:num w:numId="39" w16cid:durableId="1458403726">
    <w:abstractNumId w:val="10"/>
  </w:num>
  <w:num w:numId="40" w16cid:durableId="1429501904">
    <w:abstractNumId w:val="17"/>
  </w:num>
  <w:num w:numId="41" w16cid:durableId="928586229">
    <w:abstractNumId w:val="12"/>
  </w:num>
  <w:num w:numId="42" w16cid:durableId="665518981">
    <w:abstractNumId w:val="23"/>
  </w:num>
  <w:num w:numId="43" w16cid:durableId="297955757">
    <w:abstractNumId w:val="39"/>
  </w:num>
  <w:num w:numId="44" w16cid:durableId="177455056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53098091">
    <w:abstractNumId w:val="24"/>
  </w:num>
  <w:num w:numId="46" w16cid:durableId="1604533245">
    <w:abstractNumId w:val="18"/>
  </w:num>
  <w:num w:numId="47" w16cid:durableId="802427501">
    <w:abstractNumId w:val="11"/>
  </w:num>
  <w:num w:numId="48" w16cid:durableId="446967319">
    <w:abstractNumId w:val="27"/>
  </w:num>
  <w:num w:numId="49" w16cid:durableId="75902153">
    <w:abstractNumId w:val="37"/>
  </w:num>
  <w:num w:numId="50" w16cid:durableId="45521786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40"/>
    <w:rsid w:val="00000EE8"/>
    <w:rsid w:val="0000148E"/>
    <w:rsid w:val="00001A0F"/>
    <w:rsid w:val="000024F9"/>
    <w:rsid w:val="0000272B"/>
    <w:rsid w:val="00002C66"/>
    <w:rsid w:val="000035A0"/>
    <w:rsid w:val="00003AC7"/>
    <w:rsid w:val="00004179"/>
    <w:rsid w:val="00004850"/>
    <w:rsid w:val="00004D69"/>
    <w:rsid w:val="00004F22"/>
    <w:rsid w:val="00005026"/>
    <w:rsid w:val="000055CF"/>
    <w:rsid w:val="000062A7"/>
    <w:rsid w:val="00006381"/>
    <w:rsid w:val="00006460"/>
    <w:rsid w:val="000067B2"/>
    <w:rsid w:val="00006CDB"/>
    <w:rsid w:val="000076F5"/>
    <w:rsid w:val="000077AB"/>
    <w:rsid w:val="0001005C"/>
    <w:rsid w:val="00010E62"/>
    <w:rsid w:val="00010EED"/>
    <w:rsid w:val="00011018"/>
    <w:rsid w:val="00012F7F"/>
    <w:rsid w:val="000133EF"/>
    <w:rsid w:val="000134D4"/>
    <w:rsid w:val="00013D7D"/>
    <w:rsid w:val="00013EBD"/>
    <w:rsid w:val="00014712"/>
    <w:rsid w:val="00014BBD"/>
    <w:rsid w:val="00014D56"/>
    <w:rsid w:val="00014EC5"/>
    <w:rsid w:val="00015300"/>
    <w:rsid w:val="00015F2B"/>
    <w:rsid w:val="00016162"/>
    <w:rsid w:val="00016F6E"/>
    <w:rsid w:val="0001733A"/>
    <w:rsid w:val="000177A9"/>
    <w:rsid w:val="00017CA7"/>
    <w:rsid w:val="00020570"/>
    <w:rsid w:val="0002062D"/>
    <w:rsid w:val="00020CA0"/>
    <w:rsid w:val="000219B9"/>
    <w:rsid w:val="00021A14"/>
    <w:rsid w:val="0002257B"/>
    <w:rsid w:val="00022C8C"/>
    <w:rsid w:val="00023341"/>
    <w:rsid w:val="00023BFF"/>
    <w:rsid w:val="0002431E"/>
    <w:rsid w:val="00024536"/>
    <w:rsid w:val="00025438"/>
    <w:rsid w:val="00026209"/>
    <w:rsid w:val="00026E16"/>
    <w:rsid w:val="00026F07"/>
    <w:rsid w:val="00030706"/>
    <w:rsid w:val="00030D8B"/>
    <w:rsid w:val="00030E11"/>
    <w:rsid w:val="000311EC"/>
    <w:rsid w:val="000318C0"/>
    <w:rsid w:val="00031B14"/>
    <w:rsid w:val="00032354"/>
    <w:rsid w:val="000326B3"/>
    <w:rsid w:val="0003405B"/>
    <w:rsid w:val="00034E9F"/>
    <w:rsid w:val="0003567F"/>
    <w:rsid w:val="000362FC"/>
    <w:rsid w:val="00036C4C"/>
    <w:rsid w:val="00036E22"/>
    <w:rsid w:val="000370D3"/>
    <w:rsid w:val="0003750F"/>
    <w:rsid w:val="00037602"/>
    <w:rsid w:val="00037BD6"/>
    <w:rsid w:val="00040587"/>
    <w:rsid w:val="00041739"/>
    <w:rsid w:val="0004189E"/>
    <w:rsid w:val="00042025"/>
    <w:rsid w:val="000424F7"/>
    <w:rsid w:val="00043251"/>
    <w:rsid w:val="000434E9"/>
    <w:rsid w:val="00043850"/>
    <w:rsid w:val="00043CB2"/>
    <w:rsid w:val="00044832"/>
    <w:rsid w:val="00044B4C"/>
    <w:rsid w:val="00044D83"/>
    <w:rsid w:val="00044EAF"/>
    <w:rsid w:val="00045213"/>
    <w:rsid w:val="0004529C"/>
    <w:rsid w:val="000456FC"/>
    <w:rsid w:val="00045B2A"/>
    <w:rsid w:val="00045BE2"/>
    <w:rsid w:val="00045CBE"/>
    <w:rsid w:val="000461D4"/>
    <w:rsid w:val="000475B4"/>
    <w:rsid w:val="00047658"/>
    <w:rsid w:val="00047C91"/>
    <w:rsid w:val="00047CF1"/>
    <w:rsid w:val="00050036"/>
    <w:rsid w:val="00050EB9"/>
    <w:rsid w:val="0005106D"/>
    <w:rsid w:val="00051A2D"/>
    <w:rsid w:val="00052110"/>
    <w:rsid w:val="000525AF"/>
    <w:rsid w:val="00052D4F"/>
    <w:rsid w:val="00052EAD"/>
    <w:rsid w:val="0005308D"/>
    <w:rsid w:val="000534F5"/>
    <w:rsid w:val="000535C8"/>
    <w:rsid w:val="00053A18"/>
    <w:rsid w:val="00053F5A"/>
    <w:rsid w:val="00054592"/>
    <w:rsid w:val="000545E9"/>
    <w:rsid w:val="00054EE5"/>
    <w:rsid w:val="0005533F"/>
    <w:rsid w:val="000554F0"/>
    <w:rsid w:val="000558CD"/>
    <w:rsid w:val="000559F8"/>
    <w:rsid w:val="00055F42"/>
    <w:rsid w:val="000569F0"/>
    <w:rsid w:val="00056B3E"/>
    <w:rsid w:val="00056E4B"/>
    <w:rsid w:val="00056F82"/>
    <w:rsid w:val="000571A6"/>
    <w:rsid w:val="000574CF"/>
    <w:rsid w:val="000578D6"/>
    <w:rsid w:val="000579D4"/>
    <w:rsid w:val="000606CD"/>
    <w:rsid w:val="00060832"/>
    <w:rsid w:val="00060DD2"/>
    <w:rsid w:val="000610FD"/>
    <w:rsid w:val="000617C3"/>
    <w:rsid w:val="000623F0"/>
    <w:rsid w:val="0006312D"/>
    <w:rsid w:val="00063235"/>
    <w:rsid w:val="00063D6F"/>
    <w:rsid w:val="000643B3"/>
    <w:rsid w:val="00064929"/>
    <w:rsid w:val="00065A60"/>
    <w:rsid w:val="00065C32"/>
    <w:rsid w:val="00065CFE"/>
    <w:rsid w:val="00065F48"/>
    <w:rsid w:val="00066418"/>
    <w:rsid w:val="00066585"/>
    <w:rsid w:val="000674A7"/>
    <w:rsid w:val="00067BEA"/>
    <w:rsid w:val="00067E36"/>
    <w:rsid w:val="00067EA2"/>
    <w:rsid w:val="0007025B"/>
    <w:rsid w:val="000703CA"/>
    <w:rsid w:val="00070615"/>
    <w:rsid w:val="0007064C"/>
    <w:rsid w:val="00070862"/>
    <w:rsid w:val="000709A7"/>
    <w:rsid w:val="00071DC4"/>
    <w:rsid w:val="000721A6"/>
    <w:rsid w:val="0007233C"/>
    <w:rsid w:val="000726FF"/>
    <w:rsid w:val="00072775"/>
    <w:rsid w:val="00072CA3"/>
    <w:rsid w:val="0007364A"/>
    <w:rsid w:val="000739DE"/>
    <w:rsid w:val="0007437E"/>
    <w:rsid w:val="0007441C"/>
    <w:rsid w:val="00074933"/>
    <w:rsid w:val="00075A00"/>
    <w:rsid w:val="00075B30"/>
    <w:rsid w:val="00075F28"/>
    <w:rsid w:val="00075F89"/>
    <w:rsid w:val="00076570"/>
    <w:rsid w:val="00077E47"/>
    <w:rsid w:val="000809B1"/>
    <w:rsid w:val="0008256A"/>
    <w:rsid w:val="00082AC6"/>
    <w:rsid w:val="000830C5"/>
    <w:rsid w:val="00083548"/>
    <w:rsid w:val="00084019"/>
    <w:rsid w:val="000849B1"/>
    <w:rsid w:val="00085271"/>
    <w:rsid w:val="00085349"/>
    <w:rsid w:val="000853F9"/>
    <w:rsid w:val="0008566E"/>
    <w:rsid w:val="00085B06"/>
    <w:rsid w:val="00085BA3"/>
    <w:rsid w:val="00085C01"/>
    <w:rsid w:val="0008672B"/>
    <w:rsid w:val="0009044A"/>
    <w:rsid w:val="000918B7"/>
    <w:rsid w:val="0009208C"/>
    <w:rsid w:val="0009209D"/>
    <w:rsid w:val="00092973"/>
    <w:rsid w:val="00092C8A"/>
    <w:rsid w:val="00092F23"/>
    <w:rsid w:val="000932A8"/>
    <w:rsid w:val="000941D2"/>
    <w:rsid w:val="0009423B"/>
    <w:rsid w:val="000949EC"/>
    <w:rsid w:val="00095193"/>
    <w:rsid w:val="000953A7"/>
    <w:rsid w:val="00095C24"/>
    <w:rsid w:val="00095C66"/>
    <w:rsid w:val="00095DC3"/>
    <w:rsid w:val="00095E07"/>
    <w:rsid w:val="00096667"/>
    <w:rsid w:val="00096B44"/>
    <w:rsid w:val="00096B60"/>
    <w:rsid w:val="00097606"/>
    <w:rsid w:val="000A0F48"/>
    <w:rsid w:val="000A1197"/>
    <w:rsid w:val="000A15EC"/>
    <w:rsid w:val="000A1D33"/>
    <w:rsid w:val="000A212D"/>
    <w:rsid w:val="000A269B"/>
    <w:rsid w:val="000A27CC"/>
    <w:rsid w:val="000A2892"/>
    <w:rsid w:val="000A2E76"/>
    <w:rsid w:val="000A33CC"/>
    <w:rsid w:val="000A3AF3"/>
    <w:rsid w:val="000A3FCF"/>
    <w:rsid w:val="000A445A"/>
    <w:rsid w:val="000A45A4"/>
    <w:rsid w:val="000A4B39"/>
    <w:rsid w:val="000A4E97"/>
    <w:rsid w:val="000A51B5"/>
    <w:rsid w:val="000A56BB"/>
    <w:rsid w:val="000A59E5"/>
    <w:rsid w:val="000A5D24"/>
    <w:rsid w:val="000A5E59"/>
    <w:rsid w:val="000A5F90"/>
    <w:rsid w:val="000A6022"/>
    <w:rsid w:val="000A66A8"/>
    <w:rsid w:val="000A6B25"/>
    <w:rsid w:val="000A6F81"/>
    <w:rsid w:val="000A7324"/>
    <w:rsid w:val="000A75CA"/>
    <w:rsid w:val="000A781C"/>
    <w:rsid w:val="000A7F32"/>
    <w:rsid w:val="000B0922"/>
    <w:rsid w:val="000B0C39"/>
    <w:rsid w:val="000B0E26"/>
    <w:rsid w:val="000B1B2B"/>
    <w:rsid w:val="000B2281"/>
    <w:rsid w:val="000B22B3"/>
    <w:rsid w:val="000B261C"/>
    <w:rsid w:val="000B30C7"/>
    <w:rsid w:val="000B3383"/>
    <w:rsid w:val="000B3EA1"/>
    <w:rsid w:val="000B48F8"/>
    <w:rsid w:val="000B4D23"/>
    <w:rsid w:val="000B4F9A"/>
    <w:rsid w:val="000B4FDB"/>
    <w:rsid w:val="000B5057"/>
    <w:rsid w:val="000B63AA"/>
    <w:rsid w:val="000B674A"/>
    <w:rsid w:val="000B6949"/>
    <w:rsid w:val="000B6DBE"/>
    <w:rsid w:val="000B7249"/>
    <w:rsid w:val="000C0B8C"/>
    <w:rsid w:val="000C20A9"/>
    <w:rsid w:val="000C23E5"/>
    <w:rsid w:val="000C2925"/>
    <w:rsid w:val="000C2C00"/>
    <w:rsid w:val="000C2D5C"/>
    <w:rsid w:val="000C2DCE"/>
    <w:rsid w:val="000C3A06"/>
    <w:rsid w:val="000C3C0E"/>
    <w:rsid w:val="000C3CCC"/>
    <w:rsid w:val="000C3E69"/>
    <w:rsid w:val="000C4257"/>
    <w:rsid w:val="000C4288"/>
    <w:rsid w:val="000C531C"/>
    <w:rsid w:val="000C5662"/>
    <w:rsid w:val="000C56EB"/>
    <w:rsid w:val="000C57EC"/>
    <w:rsid w:val="000C5B0A"/>
    <w:rsid w:val="000C6663"/>
    <w:rsid w:val="000C6893"/>
    <w:rsid w:val="000C68F8"/>
    <w:rsid w:val="000C6915"/>
    <w:rsid w:val="000C691D"/>
    <w:rsid w:val="000C7255"/>
    <w:rsid w:val="000C7672"/>
    <w:rsid w:val="000C7B85"/>
    <w:rsid w:val="000D041D"/>
    <w:rsid w:val="000D081F"/>
    <w:rsid w:val="000D1C46"/>
    <w:rsid w:val="000D1DD7"/>
    <w:rsid w:val="000D1E36"/>
    <w:rsid w:val="000D2166"/>
    <w:rsid w:val="000D2811"/>
    <w:rsid w:val="000D2876"/>
    <w:rsid w:val="000D2D0D"/>
    <w:rsid w:val="000D2ED0"/>
    <w:rsid w:val="000D38C3"/>
    <w:rsid w:val="000D3B16"/>
    <w:rsid w:val="000D3CE8"/>
    <w:rsid w:val="000D43AE"/>
    <w:rsid w:val="000D4856"/>
    <w:rsid w:val="000D4884"/>
    <w:rsid w:val="000D6AD6"/>
    <w:rsid w:val="000D7C2D"/>
    <w:rsid w:val="000E19D0"/>
    <w:rsid w:val="000E19EA"/>
    <w:rsid w:val="000E1BA1"/>
    <w:rsid w:val="000E23FB"/>
    <w:rsid w:val="000E339A"/>
    <w:rsid w:val="000E3535"/>
    <w:rsid w:val="000E3E6A"/>
    <w:rsid w:val="000E3E8B"/>
    <w:rsid w:val="000E4715"/>
    <w:rsid w:val="000E5040"/>
    <w:rsid w:val="000E50E0"/>
    <w:rsid w:val="000E5186"/>
    <w:rsid w:val="000E54D4"/>
    <w:rsid w:val="000E6435"/>
    <w:rsid w:val="000E644A"/>
    <w:rsid w:val="000E65A4"/>
    <w:rsid w:val="000E66A1"/>
    <w:rsid w:val="000E7523"/>
    <w:rsid w:val="000E7E86"/>
    <w:rsid w:val="000F0B6D"/>
    <w:rsid w:val="000F0D67"/>
    <w:rsid w:val="000F16C0"/>
    <w:rsid w:val="000F178D"/>
    <w:rsid w:val="000F1CFE"/>
    <w:rsid w:val="000F1E7C"/>
    <w:rsid w:val="000F1F7F"/>
    <w:rsid w:val="000F2477"/>
    <w:rsid w:val="000F2579"/>
    <w:rsid w:val="000F2CE1"/>
    <w:rsid w:val="000F3B33"/>
    <w:rsid w:val="000F3E81"/>
    <w:rsid w:val="000F404F"/>
    <w:rsid w:val="000F4528"/>
    <w:rsid w:val="000F48AC"/>
    <w:rsid w:val="000F4A0C"/>
    <w:rsid w:val="000F4FEB"/>
    <w:rsid w:val="000F5055"/>
    <w:rsid w:val="000F5871"/>
    <w:rsid w:val="000F7244"/>
    <w:rsid w:val="000F788E"/>
    <w:rsid w:val="000F7934"/>
    <w:rsid w:val="000F7973"/>
    <w:rsid w:val="000F7B2C"/>
    <w:rsid w:val="000F7C7E"/>
    <w:rsid w:val="000F7FA9"/>
    <w:rsid w:val="00100155"/>
    <w:rsid w:val="00100A04"/>
    <w:rsid w:val="00100ED1"/>
    <w:rsid w:val="001023EA"/>
    <w:rsid w:val="0010326C"/>
    <w:rsid w:val="001036A0"/>
    <w:rsid w:val="001043AC"/>
    <w:rsid w:val="0010476C"/>
    <w:rsid w:val="00104A4E"/>
    <w:rsid w:val="0010520B"/>
    <w:rsid w:val="001056B2"/>
    <w:rsid w:val="0010647F"/>
    <w:rsid w:val="0010674D"/>
    <w:rsid w:val="001067E7"/>
    <w:rsid w:val="00106985"/>
    <w:rsid w:val="00106F64"/>
    <w:rsid w:val="00106FDB"/>
    <w:rsid w:val="00107466"/>
    <w:rsid w:val="0010747D"/>
    <w:rsid w:val="00107BA3"/>
    <w:rsid w:val="001106FE"/>
    <w:rsid w:val="0011087F"/>
    <w:rsid w:val="0011089C"/>
    <w:rsid w:val="00110C0E"/>
    <w:rsid w:val="001119BA"/>
    <w:rsid w:val="00111C73"/>
    <w:rsid w:val="00112AF8"/>
    <w:rsid w:val="00113063"/>
    <w:rsid w:val="00113263"/>
    <w:rsid w:val="001138E7"/>
    <w:rsid w:val="0011550E"/>
    <w:rsid w:val="001157F7"/>
    <w:rsid w:val="00115A02"/>
    <w:rsid w:val="00116239"/>
    <w:rsid w:val="001162EE"/>
    <w:rsid w:val="0011641A"/>
    <w:rsid w:val="0011653D"/>
    <w:rsid w:val="001167F3"/>
    <w:rsid w:val="00116CA6"/>
    <w:rsid w:val="00117092"/>
    <w:rsid w:val="00117EF3"/>
    <w:rsid w:val="00120955"/>
    <w:rsid w:val="00121101"/>
    <w:rsid w:val="001213E0"/>
    <w:rsid w:val="001227CA"/>
    <w:rsid w:val="0012303A"/>
    <w:rsid w:val="001236CD"/>
    <w:rsid w:val="001239D2"/>
    <w:rsid w:val="0012425F"/>
    <w:rsid w:val="001247DF"/>
    <w:rsid w:val="00124974"/>
    <w:rsid w:val="00124DC4"/>
    <w:rsid w:val="00124E99"/>
    <w:rsid w:val="00125150"/>
    <w:rsid w:val="0012518C"/>
    <w:rsid w:val="0012518D"/>
    <w:rsid w:val="001254CA"/>
    <w:rsid w:val="00125DA9"/>
    <w:rsid w:val="00126079"/>
    <w:rsid w:val="00127092"/>
    <w:rsid w:val="00127611"/>
    <w:rsid w:val="00127CB1"/>
    <w:rsid w:val="001307A2"/>
    <w:rsid w:val="00130A6B"/>
    <w:rsid w:val="00130B6D"/>
    <w:rsid w:val="001314B1"/>
    <w:rsid w:val="00131710"/>
    <w:rsid w:val="0013176A"/>
    <w:rsid w:val="00132342"/>
    <w:rsid w:val="00133052"/>
    <w:rsid w:val="001335B5"/>
    <w:rsid w:val="00133C20"/>
    <w:rsid w:val="00134612"/>
    <w:rsid w:val="001351CF"/>
    <w:rsid w:val="00135CC3"/>
    <w:rsid w:val="001360F6"/>
    <w:rsid w:val="001367E5"/>
    <w:rsid w:val="0013693F"/>
    <w:rsid w:val="001371C9"/>
    <w:rsid w:val="001373B4"/>
    <w:rsid w:val="00137585"/>
    <w:rsid w:val="00137968"/>
    <w:rsid w:val="00140152"/>
    <w:rsid w:val="00140F2E"/>
    <w:rsid w:val="00141171"/>
    <w:rsid w:val="00141FEC"/>
    <w:rsid w:val="00142432"/>
    <w:rsid w:val="0014243C"/>
    <w:rsid w:val="00142564"/>
    <w:rsid w:val="00142CCB"/>
    <w:rsid w:val="00142DD8"/>
    <w:rsid w:val="00143582"/>
    <w:rsid w:val="00143AA6"/>
    <w:rsid w:val="0014435D"/>
    <w:rsid w:val="001450E6"/>
    <w:rsid w:val="001452D6"/>
    <w:rsid w:val="00145EFF"/>
    <w:rsid w:val="00145F65"/>
    <w:rsid w:val="0014682A"/>
    <w:rsid w:val="001470C9"/>
    <w:rsid w:val="00147494"/>
    <w:rsid w:val="00147D40"/>
    <w:rsid w:val="00150CF5"/>
    <w:rsid w:val="001512C8"/>
    <w:rsid w:val="00151721"/>
    <w:rsid w:val="0015191C"/>
    <w:rsid w:val="001520CF"/>
    <w:rsid w:val="001528F1"/>
    <w:rsid w:val="0015299C"/>
    <w:rsid w:val="00152B50"/>
    <w:rsid w:val="001533B7"/>
    <w:rsid w:val="0015366C"/>
    <w:rsid w:val="0015475C"/>
    <w:rsid w:val="00154C5D"/>
    <w:rsid w:val="00154DF5"/>
    <w:rsid w:val="0015591C"/>
    <w:rsid w:val="001566D3"/>
    <w:rsid w:val="00156C2C"/>
    <w:rsid w:val="0015714A"/>
    <w:rsid w:val="0015756D"/>
    <w:rsid w:val="00157795"/>
    <w:rsid w:val="001602BF"/>
    <w:rsid w:val="0016036D"/>
    <w:rsid w:val="001605EA"/>
    <w:rsid w:val="001608AF"/>
    <w:rsid w:val="00161C1D"/>
    <w:rsid w:val="00161D57"/>
    <w:rsid w:val="001620B0"/>
    <w:rsid w:val="001621EE"/>
    <w:rsid w:val="0016249A"/>
    <w:rsid w:val="00162553"/>
    <w:rsid w:val="0016285B"/>
    <w:rsid w:val="0016315E"/>
    <w:rsid w:val="001634DE"/>
    <w:rsid w:val="00163771"/>
    <w:rsid w:val="00163865"/>
    <w:rsid w:val="00163C37"/>
    <w:rsid w:val="00163C96"/>
    <w:rsid w:val="00163D39"/>
    <w:rsid w:val="001643C9"/>
    <w:rsid w:val="00164715"/>
    <w:rsid w:val="00164B77"/>
    <w:rsid w:val="0016571D"/>
    <w:rsid w:val="001657BA"/>
    <w:rsid w:val="00165D00"/>
    <w:rsid w:val="0016653D"/>
    <w:rsid w:val="0016692B"/>
    <w:rsid w:val="00166FFE"/>
    <w:rsid w:val="00167201"/>
    <w:rsid w:val="00167AE9"/>
    <w:rsid w:val="0017006B"/>
    <w:rsid w:val="001702C8"/>
    <w:rsid w:val="001702F9"/>
    <w:rsid w:val="00170BAF"/>
    <w:rsid w:val="001711BD"/>
    <w:rsid w:val="001711EE"/>
    <w:rsid w:val="00171244"/>
    <w:rsid w:val="0017156D"/>
    <w:rsid w:val="00171D80"/>
    <w:rsid w:val="001723B0"/>
    <w:rsid w:val="001724CB"/>
    <w:rsid w:val="00172677"/>
    <w:rsid w:val="00172A54"/>
    <w:rsid w:val="001738D7"/>
    <w:rsid w:val="00173AD7"/>
    <w:rsid w:val="00173CFF"/>
    <w:rsid w:val="00173E03"/>
    <w:rsid w:val="00174009"/>
    <w:rsid w:val="00174CD6"/>
    <w:rsid w:val="0017504C"/>
    <w:rsid w:val="00175227"/>
    <w:rsid w:val="00175293"/>
    <w:rsid w:val="001753A2"/>
    <w:rsid w:val="001755FE"/>
    <w:rsid w:val="00175A25"/>
    <w:rsid w:val="00175B87"/>
    <w:rsid w:val="00175DEB"/>
    <w:rsid w:val="00175E68"/>
    <w:rsid w:val="0017681B"/>
    <w:rsid w:val="00176AA1"/>
    <w:rsid w:val="00176FD9"/>
    <w:rsid w:val="00177070"/>
    <w:rsid w:val="00177AF2"/>
    <w:rsid w:val="00177F0A"/>
    <w:rsid w:val="00180359"/>
    <w:rsid w:val="00180A0F"/>
    <w:rsid w:val="001814A4"/>
    <w:rsid w:val="0018182D"/>
    <w:rsid w:val="00181AF1"/>
    <w:rsid w:val="00181F9B"/>
    <w:rsid w:val="00182014"/>
    <w:rsid w:val="001825BD"/>
    <w:rsid w:val="0018278A"/>
    <w:rsid w:val="001827DC"/>
    <w:rsid w:val="00182D79"/>
    <w:rsid w:val="00183206"/>
    <w:rsid w:val="001839EE"/>
    <w:rsid w:val="0018411A"/>
    <w:rsid w:val="00184491"/>
    <w:rsid w:val="00184EB9"/>
    <w:rsid w:val="00184F22"/>
    <w:rsid w:val="00185EB5"/>
    <w:rsid w:val="00186092"/>
    <w:rsid w:val="0018629E"/>
    <w:rsid w:val="001862D4"/>
    <w:rsid w:val="00186404"/>
    <w:rsid w:val="00186A04"/>
    <w:rsid w:val="00187652"/>
    <w:rsid w:val="001876DC"/>
    <w:rsid w:val="00191380"/>
    <w:rsid w:val="00191A08"/>
    <w:rsid w:val="00192428"/>
    <w:rsid w:val="001924B2"/>
    <w:rsid w:val="00192601"/>
    <w:rsid w:val="0019352B"/>
    <w:rsid w:val="001937E4"/>
    <w:rsid w:val="001942C8"/>
    <w:rsid w:val="00194354"/>
    <w:rsid w:val="0019437E"/>
    <w:rsid w:val="001949E1"/>
    <w:rsid w:val="00194B2A"/>
    <w:rsid w:val="00194E19"/>
    <w:rsid w:val="001950E9"/>
    <w:rsid w:val="001952A4"/>
    <w:rsid w:val="00195AD1"/>
    <w:rsid w:val="00195DE3"/>
    <w:rsid w:val="00196380"/>
    <w:rsid w:val="00196534"/>
    <w:rsid w:val="0019675B"/>
    <w:rsid w:val="001968CF"/>
    <w:rsid w:val="00196A63"/>
    <w:rsid w:val="001A0565"/>
    <w:rsid w:val="001A0FC9"/>
    <w:rsid w:val="001A113A"/>
    <w:rsid w:val="001A1140"/>
    <w:rsid w:val="001A1638"/>
    <w:rsid w:val="001A1784"/>
    <w:rsid w:val="001A185C"/>
    <w:rsid w:val="001A23E1"/>
    <w:rsid w:val="001A2C09"/>
    <w:rsid w:val="001A34FC"/>
    <w:rsid w:val="001A3A8A"/>
    <w:rsid w:val="001A3AFE"/>
    <w:rsid w:val="001A3EB4"/>
    <w:rsid w:val="001A403E"/>
    <w:rsid w:val="001A44D0"/>
    <w:rsid w:val="001A4628"/>
    <w:rsid w:val="001A4C3E"/>
    <w:rsid w:val="001A4F94"/>
    <w:rsid w:val="001A5018"/>
    <w:rsid w:val="001A5112"/>
    <w:rsid w:val="001A5BC6"/>
    <w:rsid w:val="001A5BC8"/>
    <w:rsid w:val="001A5F01"/>
    <w:rsid w:val="001A615B"/>
    <w:rsid w:val="001A6428"/>
    <w:rsid w:val="001A6520"/>
    <w:rsid w:val="001A7BE1"/>
    <w:rsid w:val="001A7FC9"/>
    <w:rsid w:val="001B0A43"/>
    <w:rsid w:val="001B0B8D"/>
    <w:rsid w:val="001B0FCC"/>
    <w:rsid w:val="001B13A0"/>
    <w:rsid w:val="001B1948"/>
    <w:rsid w:val="001B1AE3"/>
    <w:rsid w:val="001B1E13"/>
    <w:rsid w:val="001B1E53"/>
    <w:rsid w:val="001B2369"/>
    <w:rsid w:val="001B23BF"/>
    <w:rsid w:val="001B2690"/>
    <w:rsid w:val="001B28FD"/>
    <w:rsid w:val="001B2989"/>
    <w:rsid w:val="001B2A71"/>
    <w:rsid w:val="001B3171"/>
    <w:rsid w:val="001B3B20"/>
    <w:rsid w:val="001B3B81"/>
    <w:rsid w:val="001B3E29"/>
    <w:rsid w:val="001B4066"/>
    <w:rsid w:val="001B4175"/>
    <w:rsid w:val="001B426F"/>
    <w:rsid w:val="001B4368"/>
    <w:rsid w:val="001B457F"/>
    <w:rsid w:val="001B47A0"/>
    <w:rsid w:val="001B5334"/>
    <w:rsid w:val="001B58FF"/>
    <w:rsid w:val="001B5E1E"/>
    <w:rsid w:val="001B643C"/>
    <w:rsid w:val="001B67AF"/>
    <w:rsid w:val="001B7622"/>
    <w:rsid w:val="001B771B"/>
    <w:rsid w:val="001B7739"/>
    <w:rsid w:val="001B7E8C"/>
    <w:rsid w:val="001C0826"/>
    <w:rsid w:val="001C0ABF"/>
    <w:rsid w:val="001C0CB9"/>
    <w:rsid w:val="001C1885"/>
    <w:rsid w:val="001C2182"/>
    <w:rsid w:val="001C2235"/>
    <w:rsid w:val="001C228C"/>
    <w:rsid w:val="001C2941"/>
    <w:rsid w:val="001C2D3C"/>
    <w:rsid w:val="001C2DA7"/>
    <w:rsid w:val="001C2EE4"/>
    <w:rsid w:val="001C3688"/>
    <w:rsid w:val="001C3C4D"/>
    <w:rsid w:val="001C3D4C"/>
    <w:rsid w:val="001C3D62"/>
    <w:rsid w:val="001C415D"/>
    <w:rsid w:val="001C433B"/>
    <w:rsid w:val="001C4344"/>
    <w:rsid w:val="001C4472"/>
    <w:rsid w:val="001C472F"/>
    <w:rsid w:val="001C47BD"/>
    <w:rsid w:val="001C4A92"/>
    <w:rsid w:val="001C4CE1"/>
    <w:rsid w:val="001C4E12"/>
    <w:rsid w:val="001C5638"/>
    <w:rsid w:val="001C64F8"/>
    <w:rsid w:val="001C65B5"/>
    <w:rsid w:val="001C688A"/>
    <w:rsid w:val="001C73AB"/>
    <w:rsid w:val="001C73F4"/>
    <w:rsid w:val="001C7476"/>
    <w:rsid w:val="001C749A"/>
    <w:rsid w:val="001C74C5"/>
    <w:rsid w:val="001C77D7"/>
    <w:rsid w:val="001C7B9D"/>
    <w:rsid w:val="001D0340"/>
    <w:rsid w:val="001D0A88"/>
    <w:rsid w:val="001D0E6C"/>
    <w:rsid w:val="001D1CE7"/>
    <w:rsid w:val="001D1E7B"/>
    <w:rsid w:val="001D1E81"/>
    <w:rsid w:val="001D1E8F"/>
    <w:rsid w:val="001D23C9"/>
    <w:rsid w:val="001D2507"/>
    <w:rsid w:val="001D2649"/>
    <w:rsid w:val="001D2B59"/>
    <w:rsid w:val="001D2C3D"/>
    <w:rsid w:val="001D2EAB"/>
    <w:rsid w:val="001D3321"/>
    <w:rsid w:val="001D37E8"/>
    <w:rsid w:val="001D5C19"/>
    <w:rsid w:val="001D601B"/>
    <w:rsid w:val="001D6349"/>
    <w:rsid w:val="001D685B"/>
    <w:rsid w:val="001D686B"/>
    <w:rsid w:val="001D6B97"/>
    <w:rsid w:val="001D712F"/>
    <w:rsid w:val="001D74CF"/>
    <w:rsid w:val="001E0378"/>
    <w:rsid w:val="001E07C9"/>
    <w:rsid w:val="001E0CF2"/>
    <w:rsid w:val="001E0EC2"/>
    <w:rsid w:val="001E1197"/>
    <w:rsid w:val="001E12A1"/>
    <w:rsid w:val="001E13F8"/>
    <w:rsid w:val="001E168B"/>
    <w:rsid w:val="001E186F"/>
    <w:rsid w:val="001E19C9"/>
    <w:rsid w:val="001E2CF8"/>
    <w:rsid w:val="001E32BA"/>
    <w:rsid w:val="001E3A51"/>
    <w:rsid w:val="001E4096"/>
    <w:rsid w:val="001E5FF0"/>
    <w:rsid w:val="001E61B3"/>
    <w:rsid w:val="001E6459"/>
    <w:rsid w:val="001E64E8"/>
    <w:rsid w:val="001E65AF"/>
    <w:rsid w:val="001E6811"/>
    <w:rsid w:val="001E6865"/>
    <w:rsid w:val="001E697C"/>
    <w:rsid w:val="001E6FC2"/>
    <w:rsid w:val="001E70DA"/>
    <w:rsid w:val="001E7857"/>
    <w:rsid w:val="001F04D3"/>
    <w:rsid w:val="001F06AF"/>
    <w:rsid w:val="001F0DBF"/>
    <w:rsid w:val="001F1605"/>
    <w:rsid w:val="001F1DDF"/>
    <w:rsid w:val="001F1FDF"/>
    <w:rsid w:val="001F2378"/>
    <w:rsid w:val="001F2F69"/>
    <w:rsid w:val="001F41B6"/>
    <w:rsid w:val="001F42B3"/>
    <w:rsid w:val="001F4BE6"/>
    <w:rsid w:val="001F4CF4"/>
    <w:rsid w:val="001F52F3"/>
    <w:rsid w:val="001F5444"/>
    <w:rsid w:val="001F5CDD"/>
    <w:rsid w:val="001F5D34"/>
    <w:rsid w:val="001F603E"/>
    <w:rsid w:val="001F6E83"/>
    <w:rsid w:val="001F71DA"/>
    <w:rsid w:val="001F728D"/>
    <w:rsid w:val="001F77F9"/>
    <w:rsid w:val="001F7877"/>
    <w:rsid w:val="001F7AB2"/>
    <w:rsid w:val="001F7F66"/>
    <w:rsid w:val="001F7F83"/>
    <w:rsid w:val="00200E7D"/>
    <w:rsid w:val="00200FDC"/>
    <w:rsid w:val="00201122"/>
    <w:rsid w:val="00201420"/>
    <w:rsid w:val="00201BEF"/>
    <w:rsid w:val="0020240D"/>
    <w:rsid w:val="00203402"/>
    <w:rsid w:val="00203B4F"/>
    <w:rsid w:val="002044EC"/>
    <w:rsid w:val="00204573"/>
    <w:rsid w:val="002051DB"/>
    <w:rsid w:val="0020547B"/>
    <w:rsid w:val="002056E7"/>
    <w:rsid w:val="00206730"/>
    <w:rsid w:val="00206EC1"/>
    <w:rsid w:val="002078A3"/>
    <w:rsid w:val="00207955"/>
    <w:rsid w:val="00207CF6"/>
    <w:rsid w:val="00207D64"/>
    <w:rsid w:val="002116B4"/>
    <w:rsid w:val="00211A34"/>
    <w:rsid w:val="00211C3A"/>
    <w:rsid w:val="00211D08"/>
    <w:rsid w:val="00212110"/>
    <w:rsid w:val="00212641"/>
    <w:rsid w:val="002134A3"/>
    <w:rsid w:val="00213B3B"/>
    <w:rsid w:val="00213D49"/>
    <w:rsid w:val="00213E31"/>
    <w:rsid w:val="002140C8"/>
    <w:rsid w:val="002141D5"/>
    <w:rsid w:val="002144AD"/>
    <w:rsid w:val="00214537"/>
    <w:rsid w:val="00214927"/>
    <w:rsid w:val="00214A11"/>
    <w:rsid w:val="002152B8"/>
    <w:rsid w:val="0021563B"/>
    <w:rsid w:val="00215FA3"/>
    <w:rsid w:val="0021604B"/>
    <w:rsid w:val="00217349"/>
    <w:rsid w:val="0022191D"/>
    <w:rsid w:val="00222331"/>
    <w:rsid w:val="002224D3"/>
    <w:rsid w:val="002227BA"/>
    <w:rsid w:val="002229DB"/>
    <w:rsid w:val="00222E29"/>
    <w:rsid w:val="00223600"/>
    <w:rsid w:val="002247C8"/>
    <w:rsid w:val="00224C9F"/>
    <w:rsid w:val="002252E1"/>
    <w:rsid w:val="00225807"/>
    <w:rsid w:val="00225CD3"/>
    <w:rsid w:val="00225E8C"/>
    <w:rsid w:val="002265B1"/>
    <w:rsid w:val="00226CE6"/>
    <w:rsid w:val="002271CD"/>
    <w:rsid w:val="00227C17"/>
    <w:rsid w:val="002304F9"/>
    <w:rsid w:val="00230622"/>
    <w:rsid w:val="0023072E"/>
    <w:rsid w:val="0023082B"/>
    <w:rsid w:val="00230F81"/>
    <w:rsid w:val="0023178C"/>
    <w:rsid w:val="00231BC8"/>
    <w:rsid w:val="00231CC2"/>
    <w:rsid w:val="00233096"/>
    <w:rsid w:val="002337BC"/>
    <w:rsid w:val="002340DF"/>
    <w:rsid w:val="00234644"/>
    <w:rsid w:val="00234710"/>
    <w:rsid w:val="0023503F"/>
    <w:rsid w:val="002351F6"/>
    <w:rsid w:val="002352FE"/>
    <w:rsid w:val="00235565"/>
    <w:rsid w:val="0023561B"/>
    <w:rsid w:val="002357C2"/>
    <w:rsid w:val="00235C7E"/>
    <w:rsid w:val="002360BE"/>
    <w:rsid w:val="0023618F"/>
    <w:rsid w:val="002367E3"/>
    <w:rsid w:val="00237174"/>
    <w:rsid w:val="0024009E"/>
    <w:rsid w:val="002402FB"/>
    <w:rsid w:val="002405A5"/>
    <w:rsid w:val="00240780"/>
    <w:rsid w:val="00241060"/>
    <w:rsid w:val="0024192D"/>
    <w:rsid w:val="00241ADE"/>
    <w:rsid w:val="00241B1F"/>
    <w:rsid w:val="00242184"/>
    <w:rsid w:val="00243671"/>
    <w:rsid w:val="0024399F"/>
    <w:rsid w:val="002439AE"/>
    <w:rsid w:val="00243CF6"/>
    <w:rsid w:val="00243F3C"/>
    <w:rsid w:val="00243F5F"/>
    <w:rsid w:val="00244D3A"/>
    <w:rsid w:val="002453FB"/>
    <w:rsid w:val="002456CC"/>
    <w:rsid w:val="00245C1A"/>
    <w:rsid w:val="00245E86"/>
    <w:rsid w:val="00246674"/>
    <w:rsid w:val="0024676D"/>
    <w:rsid w:val="0024700C"/>
    <w:rsid w:val="00247CDD"/>
    <w:rsid w:val="00247F2F"/>
    <w:rsid w:val="00251999"/>
    <w:rsid w:val="00251D8E"/>
    <w:rsid w:val="00251FCD"/>
    <w:rsid w:val="00252463"/>
    <w:rsid w:val="00252DDB"/>
    <w:rsid w:val="00253226"/>
    <w:rsid w:val="002535CA"/>
    <w:rsid w:val="00253B79"/>
    <w:rsid w:val="00253F1D"/>
    <w:rsid w:val="00253F67"/>
    <w:rsid w:val="00254327"/>
    <w:rsid w:val="00254ABA"/>
    <w:rsid w:val="002550F7"/>
    <w:rsid w:val="00255177"/>
    <w:rsid w:val="002556B6"/>
    <w:rsid w:val="00255AED"/>
    <w:rsid w:val="00255F25"/>
    <w:rsid w:val="00255FF7"/>
    <w:rsid w:val="002564E8"/>
    <w:rsid w:val="00256F65"/>
    <w:rsid w:val="00256FD9"/>
    <w:rsid w:val="00257065"/>
    <w:rsid w:val="0025732F"/>
    <w:rsid w:val="00257DCF"/>
    <w:rsid w:val="00257E04"/>
    <w:rsid w:val="0026077B"/>
    <w:rsid w:val="002615D9"/>
    <w:rsid w:val="00261ED1"/>
    <w:rsid w:val="00261F28"/>
    <w:rsid w:val="0026236C"/>
    <w:rsid w:val="00262A02"/>
    <w:rsid w:val="00262DA4"/>
    <w:rsid w:val="00262EF7"/>
    <w:rsid w:val="0026370A"/>
    <w:rsid w:val="002643A6"/>
    <w:rsid w:val="002651D4"/>
    <w:rsid w:val="0026583E"/>
    <w:rsid w:val="00265A11"/>
    <w:rsid w:val="00265D72"/>
    <w:rsid w:val="00267037"/>
    <w:rsid w:val="002679FA"/>
    <w:rsid w:val="00267EFD"/>
    <w:rsid w:val="002707FC"/>
    <w:rsid w:val="002711F1"/>
    <w:rsid w:val="00271A9F"/>
    <w:rsid w:val="00272176"/>
    <w:rsid w:val="002722F8"/>
    <w:rsid w:val="0027318E"/>
    <w:rsid w:val="0027325E"/>
    <w:rsid w:val="00273868"/>
    <w:rsid w:val="00273A00"/>
    <w:rsid w:val="00273E2A"/>
    <w:rsid w:val="0027452E"/>
    <w:rsid w:val="00274801"/>
    <w:rsid w:val="00274896"/>
    <w:rsid w:val="002749C0"/>
    <w:rsid w:val="00274F27"/>
    <w:rsid w:val="00274FCF"/>
    <w:rsid w:val="00275054"/>
    <w:rsid w:val="002753EC"/>
    <w:rsid w:val="0027586B"/>
    <w:rsid w:val="00275B59"/>
    <w:rsid w:val="00275B6F"/>
    <w:rsid w:val="00275B94"/>
    <w:rsid w:val="002761F3"/>
    <w:rsid w:val="00276299"/>
    <w:rsid w:val="00276493"/>
    <w:rsid w:val="00276528"/>
    <w:rsid w:val="00276CC1"/>
    <w:rsid w:val="0027744A"/>
    <w:rsid w:val="00277A00"/>
    <w:rsid w:val="0028011D"/>
    <w:rsid w:val="0028086C"/>
    <w:rsid w:val="0028112D"/>
    <w:rsid w:val="002815B9"/>
    <w:rsid w:val="00281876"/>
    <w:rsid w:val="00281AA0"/>
    <w:rsid w:val="00281C4D"/>
    <w:rsid w:val="00281D1D"/>
    <w:rsid w:val="002824E1"/>
    <w:rsid w:val="0028270E"/>
    <w:rsid w:val="002827C2"/>
    <w:rsid w:val="00282862"/>
    <w:rsid w:val="00282C92"/>
    <w:rsid w:val="00282F5D"/>
    <w:rsid w:val="00283240"/>
    <w:rsid w:val="00283348"/>
    <w:rsid w:val="00283509"/>
    <w:rsid w:val="002838D5"/>
    <w:rsid w:val="00284542"/>
    <w:rsid w:val="00284BF0"/>
    <w:rsid w:val="00284DD9"/>
    <w:rsid w:val="00284F9D"/>
    <w:rsid w:val="00285479"/>
    <w:rsid w:val="0028696F"/>
    <w:rsid w:val="002879DA"/>
    <w:rsid w:val="002902F1"/>
    <w:rsid w:val="0029071D"/>
    <w:rsid w:val="00290773"/>
    <w:rsid w:val="00290CD0"/>
    <w:rsid w:val="0029111D"/>
    <w:rsid w:val="002911A1"/>
    <w:rsid w:val="00291288"/>
    <w:rsid w:val="00291529"/>
    <w:rsid w:val="00291623"/>
    <w:rsid w:val="002917D5"/>
    <w:rsid w:val="00291982"/>
    <w:rsid w:val="002924AC"/>
    <w:rsid w:val="00292536"/>
    <w:rsid w:val="00292960"/>
    <w:rsid w:val="00292B0E"/>
    <w:rsid w:val="00293009"/>
    <w:rsid w:val="0029319C"/>
    <w:rsid w:val="002932C5"/>
    <w:rsid w:val="00293334"/>
    <w:rsid w:val="00293360"/>
    <w:rsid w:val="00293667"/>
    <w:rsid w:val="00293ECC"/>
    <w:rsid w:val="002940B1"/>
    <w:rsid w:val="0029465A"/>
    <w:rsid w:val="002947A6"/>
    <w:rsid w:val="00294859"/>
    <w:rsid w:val="00294C5F"/>
    <w:rsid w:val="00294D68"/>
    <w:rsid w:val="00294F03"/>
    <w:rsid w:val="002952EE"/>
    <w:rsid w:val="0029572F"/>
    <w:rsid w:val="00295AA2"/>
    <w:rsid w:val="0029632E"/>
    <w:rsid w:val="00296994"/>
    <w:rsid w:val="00296E38"/>
    <w:rsid w:val="002977B1"/>
    <w:rsid w:val="002977D4"/>
    <w:rsid w:val="00297E7D"/>
    <w:rsid w:val="002A0544"/>
    <w:rsid w:val="002A0A2C"/>
    <w:rsid w:val="002A0A30"/>
    <w:rsid w:val="002A0CED"/>
    <w:rsid w:val="002A1055"/>
    <w:rsid w:val="002A1431"/>
    <w:rsid w:val="002A1A03"/>
    <w:rsid w:val="002A1BEC"/>
    <w:rsid w:val="002A200A"/>
    <w:rsid w:val="002A20E2"/>
    <w:rsid w:val="002A2720"/>
    <w:rsid w:val="002A2887"/>
    <w:rsid w:val="002A2F04"/>
    <w:rsid w:val="002A3974"/>
    <w:rsid w:val="002A45B4"/>
    <w:rsid w:val="002A467B"/>
    <w:rsid w:val="002A480A"/>
    <w:rsid w:val="002A49F0"/>
    <w:rsid w:val="002A4C46"/>
    <w:rsid w:val="002A5210"/>
    <w:rsid w:val="002A6BED"/>
    <w:rsid w:val="002A73FE"/>
    <w:rsid w:val="002A7428"/>
    <w:rsid w:val="002A7536"/>
    <w:rsid w:val="002A7ACC"/>
    <w:rsid w:val="002A7B88"/>
    <w:rsid w:val="002B0162"/>
    <w:rsid w:val="002B019B"/>
    <w:rsid w:val="002B08D0"/>
    <w:rsid w:val="002B0C2D"/>
    <w:rsid w:val="002B0F1E"/>
    <w:rsid w:val="002B1AA8"/>
    <w:rsid w:val="002B26D7"/>
    <w:rsid w:val="002B2A2A"/>
    <w:rsid w:val="002B3060"/>
    <w:rsid w:val="002B3A15"/>
    <w:rsid w:val="002B3B5C"/>
    <w:rsid w:val="002B460E"/>
    <w:rsid w:val="002B4AEC"/>
    <w:rsid w:val="002B5312"/>
    <w:rsid w:val="002B5CA3"/>
    <w:rsid w:val="002B60FC"/>
    <w:rsid w:val="002B631F"/>
    <w:rsid w:val="002B670C"/>
    <w:rsid w:val="002B7081"/>
    <w:rsid w:val="002B726C"/>
    <w:rsid w:val="002B7497"/>
    <w:rsid w:val="002B75AF"/>
    <w:rsid w:val="002C0904"/>
    <w:rsid w:val="002C17A5"/>
    <w:rsid w:val="002C1C29"/>
    <w:rsid w:val="002C1C37"/>
    <w:rsid w:val="002C1F51"/>
    <w:rsid w:val="002C2265"/>
    <w:rsid w:val="002C26A1"/>
    <w:rsid w:val="002C333F"/>
    <w:rsid w:val="002C3601"/>
    <w:rsid w:val="002C3634"/>
    <w:rsid w:val="002C39FE"/>
    <w:rsid w:val="002C5872"/>
    <w:rsid w:val="002C5936"/>
    <w:rsid w:val="002C62B3"/>
    <w:rsid w:val="002C65BF"/>
    <w:rsid w:val="002C6897"/>
    <w:rsid w:val="002C6BB8"/>
    <w:rsid w:val="002C6CDD"/>
    <w:rsid w:val="002D0C6B"/>
    <w:rsid w:val="002D1911"/>
    <w:rsid w:val="002D1AC5"/>
    <w:rsid w:val="002D1B38"/>
    <w:rsid w:val="002D1CD5"/>
    <w:rsid w:val="002D233D"/>
    <w:rsid w:val="002D248F"/>
    <w:rsid w:val="002D2606"/>
    <w:rsid w:val="002D2C7F"/>
    <w:rsid w:val="002D2C92"/>
    <w:rsid w:val="002D2DEF"/>
    <w:rsid w:val="002D34F4"/>
    <w:rsid w:val="002D38BC"/>
    <w:rsid w:val="002D4065"/>
    <w:rsid w:val="002D422F"/>
    <w:rsid w:val="002D4E95"/>
    <w:rsid w:val="002D5491"/>
    <w:rsid w:val="002D54A4"/>
    <w:rsid w:val="002D55F7"/>
    <w:rsid w:val="002D576E"/>
    <w:rsid w:val="002D5C0B"/>
    <w:rsid w:val="002D64D3"/>
    <w:rsid w:val="002D6A10"/>
    <w:rsid w:val="002D6F5C"/>
    <w:rsid w:val="002D7133"/>
    <w:rsid w:val="002D7548"/>
    <w:rsid w:val="002D7559"/>
    <w:rsid w:val="002E104D"/>
    <w:rsid w:val="002E14D5"/>
    <w:rsid w:val="002E1BC7"/>
    <w:rsid w:val="002E219B"/>
    <w:rsid w:val="002E2E69"/>
    <w:rsid w:val="002E3044"/>
    <w:rsid w:val="002E309C"/>
    <w:rsid w:val="002E3677"/>
    <w:rsid w:val="002E3B70"/>
    <w:rsid w:val="002E4FE4"/>
    <w:rsid w:val="002E5021"/>
    <w:rsid w:val="002E5147"/>
    <w:rsid w:val="002E55BB"/>
    <w:rsid w:val="002E586B"/>
    <w:rsid w:val="002E5B29"/>
    <w:rsid w:val="002E621D"/>
    <w:rsid w:val="002E7354"/>
    <w:rsid w:val="002E7A6E"/>
    <w:rsid w:val="002E7AF3"/>
    <w:rsid w:val="002E7D8B"/>
    <w:rsid w:val="002E7E34"/>
    <w:rsid w:val="002F00B3"/>
    <w:rsid w:val="002F0939"/>
    <w:rsid w:val="002F0C30"/>
    <w:rsid w:val="002F0EE7"/>
    <w:rsid w:val="002F13F3"/>
    <w:rsid w:val="002F1C7D"/>
    <w:rsid w:val="002F1F30"/>
    <w:rsid w:val="002F1FC1"/>
    <w:rsid w:val="002F201E"/>
    <w:rsid w:val="002F2029"/>
    <w:rsid w:val="002F237B"/>
    <w:rsid w:val="002F2B8A"/>
    <w:rsid w:val="002F2E45"/>
    <w:rsid w:val="002F3097"/>
    <w:rsid w:val="002F3A19"/>
    <w:rsid w:val="002F3A4E"/>
    <w:rsid w:val="002F3EFA"/>
    <w:rsid w:val="002F4D10"/>
    <w:rsid w:val="002F51B1"/>
    <w:rsid w:val="002F57D7"/>
    <w:rsid w:val="002F58A7"/>
    <w:rsid w:val="002F5FB1"/>
    <w:rsid w:val="002F6021"/>
    <w:rsid w:val="002F6597"/>
    <w:rsid w:val="002F6664"/>
    <w:rsid w:val="002F6E7D"/>
    <w:rsid w:val="002F7490"/>
    <w:rsid w:val="002F74C7"/>
    <w:rsid w:val="002F750C"/>
    <w:rsid w:val="002F7646"/>
    <w:rsid w:val="002F7718"/>
    <w:rsid w:val="003000CA"/>
    <w:rsid w:val="00300789"/>
    <w:rsid w:val="00300989"/>
    <w:rsid w:val="00300D91"/>
    <w:rsid w:val="0030121D"/>
    <w:rsid w:val="0030125B"/>
    <w:rsid w:val="0030140B"/>
    <w:rsid w:val="00301636"/>
    <w:rsid w:val="0030315C"/>
    <w:rsid w:val="0030334A"/>
    <w:rsid w:val="003033BC"/>
    <w:rsid w:val="00303862"/>
    <w:rsid w:val="003042AD"/>
    <w:rsid w:val="00304CD5"/>
    <w:rsid w:val="00304D26"/>
    <w:rsid w:val="00304EAD"/>
    <w:rsid w:val="00304F53"/>
    <w:rsid w:val="003058A4"/>
    <w:rsid w:val="00305913"/>
    <w:rsid w:val="00305915"/>
    <w:rsid w:val="00305ACE"/>
    <w:rsid w:val="00305BA8"/>
    <w:rsid w:val="00305E4D"/>
    <w:rsid w:val="00306C5D"/>
    <w:rsid w:val="00306D14"/>
    <w:rsid w:val="003100EE"/>
    <w:rsid w:val="0031022E"/>
    <w:rsid w:val="003105FF"/>
    <w:rsid w:val="0031088F"/>
    <w:rsid w:val="00310B28"/>
    <w:rsid w:val="00310BF8"/>
    <w:rsid w:val="00310EC6"/>
    <w:rsid w:val="003110C2"/>
    <w:rsid w:val="0031110A"/>
    <w:rsid w:val="0031130A"/>
    <w:rsid w:val="00311992"/>
    <w:rsid w:val="00311BA0"/>
    <w:rsid w:val="00311F3F"/>
    <w:rsid w:val="003122AE"/>
    <w:rsid w:val="00312372"/>
    <w:rsid w:val="0031239E"/>
    <w:rsid w:val="00312474"/>
    <w:rsid w:val="00312699"/>
    <w:rsid w:val="00312715"/>
    <w:rsid w:val="00312A2F"/>
    <w:rsid w:val="00312A89"/>
    <w:rsid w:val="00312AE3"/>
    <w:rsid w:val="00312B36"/>
    <w:rsid w:val="00312D9E"/>
    <w:rsid w:val="00313497"/>
    <w:rsid w:val="0031384A"/>
    <w:rsid w:val="00313C6D"/>
    <w:rsid w:val="00313C93"/>
    <w:rsid w:val="003143A7"/>
    <w:rsid w:val="00314AB1"/>
    <w:rsid w:val="003150AB"/>
    <w:rsid w:val="003153BB"/>
    <w:rsid w:val="00315428"/>
    <w:rsid w:val="00316843"/>
    <w:rsid w:val="00316845"/>
    <w:rsid w:val="00317378"/>
    <w:rsid w:val="003177D5"/>
    <w:rsid w:val="00317CEF"/>
    <w:rsid w:val="003201F8"/>
    <w:rsid w:val="0032110B"/>
    <w:rsid w:val="00321447"/>
    <w:rsid w:val="00321953"/>
    <w:rsid w:val="00321BE9"/>
    <w:rsid w:val="00321E47"/>
    <w:rsid w:val="0032225C"/>
    <w:rsid w:val="003234F9"/>
    <w:rsid w:val="0032377E"/>
    <w:rsid w:val="00324596"/>
    <w:rsid w:val="0032471E"/>
    <w:rsid w:val="00324801"/>
    <w:rsid w:val="00324D48"/>
    <w:rsid w:val="00324D5D"/>
    <w:rsid w:val="00325386"/>
    <w:rsid w:val="003261B9"/>
    <w:rsid w:val="00326622"/>
    <w:rsid w:val="00326914"/>
    <w:rsid w:val="00326B31"/>
    <w:rsid w:val="00327017"/>
    <w:rsid w:val="003300BF"/>
    <w:rsid w:val="0033063C"/>
    <w:rsid w:val="00330A54"/>
    <w:rsid w:val="003310F3"/>
    <w:rsid w:val="00331E07"/>
    <w:rsid w:val="003320CF"/>
    <w:rsid w:val="003321F7"/>
    <w:rsid w:val="003336D3"/>
    <w:rsid w:val="0033398E"/>
    <w:rsid w:val="003339E2"/>
    <w:rsid w:val="003339FC"/>
    <w:rsid w:val="00333FDB"/>
    <w:rsid w:val="003341D7"/>
    <w:rsid w:val="003348BD"/>
    <w:rsid w:val="003348DE"/>
    <w:rsid w:val="00334F2A"/>
    <w:rsid w:val="003351BE"/>
    <w:rsid w:val="003356F7"/>
    <w:rsid w:val="0033593E"/>
    <w:rsid w:val="00336748"/>
    <w:rsid w:val="00336BB9"/>
    <w:rsid w:val="00336BFB"/>
    <w:rsid w:val="00337135"/>
    <w:rsid w:val="003371E7"/>
    <w:rsid w:val="003371EA"/>
    <w:rsid w:val="00337874"/>
    <w:rsid w:val="00337F07"/>
    <w:rsid w:val="00337F28"/>
    <w:rsid w:val="00337FD3"/>
    <w:rsid w:val="003404EC"/>
    <w:rsid w:val="00340514"/>
    <w:rsid w:val="00340B91"/>
    <w:rsid w:val="00340BF9"/>
    <w:rsid w:val="00341191"/>
    <w:rsid w:val="00341C4C"/>
    <w:rsid w:val="00341EBB"/>
    <w:rsid w:val="00341F38"/>
    <w:rsid w:val="003420D3"/>
    <w:rsid w:val="0034288D"/>
    <w:rsid w:val="00342A75"/>
    <w:rsid w:val="003430C4"/>
    <w:rsid w:val="00344200"/>
    <w:rsid w:val="00344396"/>
    <w:rsid w:val="00344678"/>
    <w:rsid w:val="00344C8D"/>
    <w:rsid w:val="0034502C"/>
    <w:rsid w:val="0034575F"/>
    <w:rsid w:val="003457C6"/>
    <w:rsid w:val="00345F78"/>
    <w:rsid w:val="00346A84"/>
    <w:rsid w:val="00346E16"/>
    <w:rsid w:val="0034735A"/>
    <w:rsid w:val="00347B48"/>
    <w:rsid w:val="00347E48"/>
    <w:rsid w:val="00347F3A"/>
    <w:rsid w:val="003506BE"/>
    <w:rsid w:val="00350DC1"/>
    <w:rsid w:val="00351014"/>
    <w:rsid w:val="003510E9"/>
    <w:rsid w:val="00351B95"/>
    <w:rsid w:val="00351CB0"/>
    <w:rsid w:val="00351F5D"/>
    <w:rsid w:val="003521EC"/>
    <w:rsid w:val="00353A55"/>
    <w:rsid w:val="00353CAD"/>
    <w:rsid w:val="00353CDA"/>
    <w:rsid w:val="0035402C"/>
    <w:rsid w:val="0035426C"/>
    <w:rsid w:val="0035469F"/>
    <w:rsid w:val="003547D9"/>
    <w:rsid w:val="00354EA6"/>
    <w:rsid w:val="00354EBA"/>
    <w:rsid w:val="00355562"/>
    <w:rsid w:val="0035574B"/>
    <w:rsid w:val="00355940"/>
    <w:rsid w:val="00355D7A"/>
    <w:rsid w:val="00356101"/>
    <w:rsid w:val="0035785A"/>
    <w:rsid w:val="00357F29"/>
    <w:rsid w:val="00360642"/>
    <w:rsid w:val="00360713"/>
    <w:rsid w:val="00360AF9"/>
    <w:rsid w:val="0036122D"/>
    <w:rsid w:val="00361665"/>
    <w:rsid w:val="00361D43"/>
    <w:rsid w:val="00363686"/>
    <w:rsid w:val="00364003"/>
    <w:rsid w:val="003640D6"/>
    <w:rsid w:val="003649F6"/>
    <w:rsid w:val="00364D1A"/>
    <w:rsid w:val="003651CB"/>
    <w:rsid w:val="00365262"/>
    <w:rsid w:val="00365660"/>
    <w:rsid w:val="00365B78"/>
    <w:rsid w:val="00365EAA"/>
    <w:rsid w:val="0036623D"/>
    <w:rsid w:val="003664A8"/>
    <w:rsid w:val="00367AC0"/>
    <w:rsid w:val="003700C3"/>
    <w:rsid w:val="00370286"/>
    <w:rsid w:val="00370672"/>
    <w:rsid w:val="00370F82"/>
    <w:rsid w:val="003710AB"/>
    <w:rsid w:val="00371A75"/>
    <w:rsid w:val="00371CE3"/>
    <w:rsid w:val="00372B8F"/>
    <w:rsid w:val="00373ACF"/>
    <w:rsid w:val="00373B35"/>
    <w:rsid w:val="00373EF8"/>
    <w:rsid w:val="003743C8"/>
    <w:rsid w:val="003744A1"/>
    <w:rsid w:val="00375316"/>
    <w:rsid w:val="00375AC1"/>
    <w:rsid w:val="00375B07"/>
    <w:rsid w:val="0037701B"/>
    <w:rsid w:val="00377627"/>
    <w:rsid w:val="003801DC"/>
    <w:rsid w:val="00380258"/>
    <w:rsid w:val="003808F3"/>
    <w:rsid w:val="003816C4"/>
    <w:rsid w:val="00381978"/>
    <w:rsid w:val="00381B3A"/>
    <w:rsid w:val="00381B9A"/>
    <w:rsid w:val="00381CDF"/>
    <w:rsid w:val="00381F74"/>
    <w:rsid w:val="00382391"/>
    <w:rsid w:val="0038266C"/>
    <w:rsid w:val="00382C52"/>
    <w:rsid w:val="00383FCD"/>
    <w:rsid w:val="00384D5D"/>
    <w:rsid w:val="003855BE"/>
    <w:rsid w:val="003867AA"/>
    <w:rsid w:val="00386F8F"/>
    <w:rsid w:val="00386FAF"/>
    <w:rsid w:val="00387252"/>
    <w:rsid w:val="00387885"/>
    <w:rsid w:val="0038791A"/>
    <w:rsid w:val="003901D9"/>
    <w:rsid w:val="0039065D"/>
    <w:rsid w:val="00390925"/>
    <w:rsid w:val="00390A3A"/>
    <w:rsid w:val="00390BAD"/>
    <w:rsid w:val="00390F9A"/>
    <w:rsid w:val="003913F9"/>
    <w:rsid w:val="0039143B"/>
    <w:rsid w:val="00391B91"/>
    <w:rsid w:val="00391F08"/>
    <w:rsid w:val="00391F58"/>
    <w:rsid w:val="0039204D"/>
    <w:rsid w:val="003924AE"/>
    <w:rsid w:val="003924EC"/>
    <w:rsid w:val="003926CA"/>
    <w:rsid w:val="00392896"/>
    <w:rsid w:val="00392CBF"/>
    <w:rsid w:val="003930F9"/>
    <w:rsid w:val="0039352B"/>
    <w:rsid w:val="0039355C"/>
    <w:rsid w:val="00393589"/>
    <w:rsid w:val="003937A8"/>
    <w:rsid w:val="00393B98"/>
    <w:rsid w:val="00393E8F"/>
    <w:rsid w:val="003941FE"/>
    <w:rsid w:val="003943AA"/>
    <w:rsid w:val="003948AF"/>
    <w:rsid w:val="00394D48"/>
    <w:rsid w:val="003954DB"/>
    <w:rsid w:val="00396273"/>
    <w:rsid w:val="00396336"/>
    <w:rsid w:val="003966F8"/>
    <w:rsid w:val="003971BE"/>
    <w:rsid w:val="003973EA"/>
    <w:rsid w:val="003977F4"/>
    <w:rsid w:val="0039786A"/>
    <w:rsid w:val="00397AB1"/>
    <w:rsid w:val="00397E0F"/>
    <w:rsid w:val="003A060C"/>
    <w:rsid w:val="003A1B20"/>
    <w:rsid w:val="003A1D7F"/>
    <w:rsid w:val="003A2455"/>
    <w:rsid w:val="003A249F"/>
    <w:rsid w:val="003A2797"/>
    <w:rsid w:val="003A2D0F"/>
    <w:rsid w:val="003A2D33"/>
    <w:rsid w:val="003A3346"/>
    <w:rsid w:val="003A3630"/>
    <w:rsid w:val="003A3F27"/>
    <w:rsid w:val="003A42E7"/>
    <w:rsid w:val="003A4957"/>
    <w:rsid w:val="003A5378"/>
    <w:rsid w:val="003A585F"/>
    <w:rsid w:val="003A58AB"/>
    <w:rsid w:val="003A5EC8"/>
    <w:rsid w:val="003A6915"/>
    <w:rsid w:val="003A6A47"/>
    <w:rsid w:val="003A6CE8"/>
    <w:rsid w:val="003A6F0A"/>
    <w:rsid w:val="003B0A64"/>
    <w:rsid w:val="003B0A88"/>
    <w:rsid w:val="003B0F95"/>
    <w:rsid w:val="003B16E9"/>
    <w:rsid w:val="003B1971"/>
    <w:rsid w:val="003B1E83"/>
    <w:rsid w:val="003B34D4"/>
    <w:rsid w:val="003B3654"/>
    <w:rsid w:val="003B37AC"/>
    <w:rsid w:val="003B3859"/>
    <w:rsid w:val="003B38C3"/>
    <w:rsid w:val="003B3A3E"/>
    <w:rsid w:val="003B3D2D"/>
    <w:rsid w:val="003B3FB7"/>
    <w:rsid w:val="003B53C2"/>
    <w:rsid w:val="003B56D9"/>
    <w:rsid w:val="003B5AA6"/>
    <w:rsid w:val="003B5E59"/>
    <w:rsid w:val="003B63B4"/>
    <w:rsid w:val="003B6A26"/>
    <w:rsid w:val="003B6CEB"/>
    <w:rsid w:val="003B6F31"/>
    <w:rsid w:val="003B7033"/>
    <w:rsid w:val="003B77BD"/>
    <w:rsid w:val="003B7D82"/>
    <w:rsid w:val="003C049E"/>
    <w:rsid w:val="003C08A8"/>
    <w:rsid w:val="003C0DDC"/>
    <w:rsid w:val="003C1664"/>
    <w:rsid w:val="003C1CC5"/>
    <w:rsid w:val="003C209E"/>
    <w:rsid w:val="003C2723"/>
    <w:rsid w:val="003C36AD"/>
    <w:rsid w:val="003C3734"/>
    <w:rsid w:val="003C3AC7"/>
    <w:rsid w:val="003C3B0A"/>
    <w:rsid w:val="003C4401"/>
    <w:rsid w:val="003C5206"/>
    <w:rsid w:val="003C54D2"/>
    <w:rsid w:val="003C57E8"/>
    <w:rsid w:val="003C5B2C"/>
    <w:rsid w:val="003C6FBE"/>
    <w:rsid w:val="003C752C"/>
    <w:rsid w:val="003C75E4"/>
    <w:rsid w:val="003C7851"/>
    <w:rsid w:val="003C7CD6"/>
    <w:rsid w:val="003C7CF8"/>
    <w:rsid w:val="003C7FC0"/>
    <w:rsid w:val="003D0704"/>
    <w:rsid w:val="003D08FF"/>
    <w:rsid w:val="003D0B71"/>
    <w:rsid w:val="003D1DF2"/>
    <w:rsid w:val="003D293D"/>
    <w:rsid w:val="003D331A"/>
    <w:rsid w:val="003D39FC"/>
    <w:rsid w:val="003D3A49"/>
    <w:rsid w:val="003D4150"/>
    <w:rsid w:val="003D443F"/>
    <w:rsid w:val="003D4631"/>
    <w:rsid w:val="003D518E"/>
    <w:rsid w:val="003D52F7"/>
    <w:rsid w:val="003D5C34"/>
    <w:rsid w:val="003D5CD5"/>
    <w:rsid w:val="003D6283"/>
    <w:rsid w:val="003D65E7"/>
    <w:rsid w:val="003D6F90"/>
    <w:rsid w:val="003D7AAC"/>
    <w:rsid w:val="003E0DB1"/>
    <w:rsid w:val="003E1C71"/>
    <w:rsid w:val="003E1EA7"/>
    <w:rsid w:val="003E21E1"/>
    <w:rsid w:val="003E229B"/>
    <w:rsid w:val="003E258F"/>
    <w:rsid w:val="003E262E"/>
    <w:rsid w:val="003E284D"/>
    <w:rsid w:val="003E2D1D"/>
    <w:rsid w:val="003E2E18"/>
    <w:rsid w:val="003E38E3"/>
    <w:rsid w:val="003E3A6C"/>
    <w:rsid w:val="003E4628"/>
    <w:rsid w:val="003E5497"/>
    <w:rsid w:val="003E5842"/>
    <w:rsid w:val="003E5B99"/>
    <w:rsid w:val="003E6014"/>
    <w:rsid w:val="003E66DE"/>
    <w:rsid w:val="003E67DD"/>
    <w:rsid w:val="003E6802"/>
    <w:rsid w:val="003E6A68"/>
    <w:rsid w:val="003E7540"/>
    <w:rsid w:val="003E7D83"/>
    <w:rsid w:val="003E7D84"/>
    <w:rsid w:val="003E7E11"/>
    <w:rsid w:val="003F007D"/>
    <w:rsid w:val="003F0299"/>
    <w:rsid w:val="003F0764"/>
    <w:rsid w:val="003F07B4"/>
    <w:rsid w:val="003F09AC"/>
    <w:rsid w:val="003F0E21"/>
    <w:rsid w:val="003F0F8E"/>
    <w:rsid w:val="003F21E8"/>
    <w:rsid w:val="003F236D"/>
    <w:rsid w:val="003F2463"/>
    <w:rsid w:val="003F24E5"/>
    <w:rsid w:val="003F400F"/>
    <w:rsid w:val="003F4BBF"/>
    <w:rsid w:val="003F5E02"/>
    <w:rsid w:val="003F607D"/>
    <w:rsid w:val="003F6B06"/>
    <w:rsid w:val="003F7324"/>
    <w:rsid w:val="003F775A"/>
    <w:rsid w:val="004003CC"/>
    <w:rsid w:val="004006F1"/>
    <w:rsid w:val="00400B11"/>
    <w:rsid w:val="00400F47"/>
    <w:rsid w:val="004019BD"/>
    <w:rsid w:val="00401A59"/>
    <w:rsid w:val="00401D41"/>
    <w:rsid w:val="00401DCF"/>
    <w:rsid w:val="00402490"/>
    <w:rsid w:val="0040287B"/>
    <w:rsid w:val="00403641"/>
    <w:rsid w:val="00403771"/>
    <w:rsid w:val="00403C91"/>
    <w:rsid w:val="004044A8"/>
    <w:rsid w:val="0040455D"/>
    <w:rsid w:val="0040480D"/>
    <w:rsid w:val="00404A76"/>
    <w:rsid w:val="00404ADA"/>
    <w:rsid w:val="0040590D"/>
    <w:rsid w:val="0040608F"/>
    <w:rsid w:val="00406195"/>
    <w:rsid w:val="00406545"/>
    <w:rsid w:val="00406806"/>
    <w:rsid w:val="00406F97"/>
    <w:rsid w:val="004070ED"/>
    <w:rsid w:val="004078D8"/>
    <w:rsid w:val="00407D9A"/>
    <w:rsid w:val="00407F6B"/>
    <w:rsid w:val="00410038"/>
    <w:rsid w:val="00410709"/>
    <w:rsid w:val="0041077A"/>
    <w:rsid w:val="004107CA"/>
    <w:rsid w:val="00410D37"/>
    <w:rsid w:val="0041120E"/>
    <w:rsid w:val="0041129F"/>
    <w:rsid w:val="004117B7"/>
    <w:rsid w:val="004118B8"/>
    <w:rsid w:val="00411974"/>
    <w:rsid w:val="004122E0"/>
    <w:rsid w:val="004124C3"/>
    <w:rsid w:val="00412A94"/>
    <w:rsid w:val="00412FBB"/>
    <w:rsid w:val="00413102"/>
    <w:rsid w:val="004133EE"/>
    <w:rsid w:val="004133F1"/>
    <w:rsid w:val="004134B3"/>
    <w:rsid w:val="0041353B"/>
    <w:rsid w:val="004137EE"/>
    <w:rsid w:val="00413BF9"/>
    <w:rsid w:val="00413D9E"/>
    <w:rsid w:val="00414084"/>
    <w:rsid w:val="004144F9"/>
    <w:rsid w:val="0041460C"/>
    <w:rsid w:val="00414678"/>
    <w:rsid w:val="004150A5"/>
    <w:rsid w:val="00415827"/>
    <w:rsid w:val="00415CA5"/>
    <w:rsid w:val="00415DF0"/>
    <w:rsid w:val="00415F70"/>
    <w:rsid w:val="0041644E"/>
    <w:rsid w:val="00416F90"/>
    <w:rsid w:val="0041739E"/>
    <w:rsid w:val="0041765D"/>
    <w:rsid w:val="00417DA5"/>
    <w:rsid w:val="00417F78"/>
    <w:rsid w:val="00417FC3"/>
    <w:rsid w:val="00420326"/>
    <w:rsid w:val="00420F84"/>
    <w:rsid w:val="00421164"/>
    <w:rsid w:val="00422608"/>
    <w:rsid w:val="00422C2E"/>
    <w:rsid w:val="00422DAE"/>
    <w:rsid w:val="00423882"/>
    <w:rsid w:val="004246F1"/>
    <w:rsid w:val="00424D16"/>
    <w:rsid w:val="00425508"/>
    <w:rsid w:val="00425511"/>
    <w:rsid w:val="00425719"/>
    <w:rsid w:val="00425ADA"/>
    <w:rsid w:val="00425D89"/>
    <w:rsid w:val="0042628E"/>
    <w:rsid w:val="0042652E"/>
    <w:rsid w:val="00426C78"/>
    <w:rsid w:val="00430173"/>
    <w:rsid w:val="0043062E"/>
    <w:rsid w:val="0043078B"/>
    <w:rsid w:val="00430853"/>
    <w:rsid w:val="00430AE6"/>
    <w:rsid w:val="0043130C"/>
    <w:rsid w:val="00431446"/>
    <w:rsid w:val="004319F1"/>
    <w:rsid w:val="00431FC2"/>
    <w:rsid w:val="0043201D"/>
    <w:rsid w:val="00432025"/>
    <w:rsid w:val="004326F7"/>
    <w:rsid w:val="00432973"/>
    <w:rsid w:val="00432ACC"/>
    <w:rsid w:val="00432D33"/>
    <w:rsid w:val="00432EA8"/>
    <w:rsid w:val="0043379B"/>
    <w:rsid w:val="0043439C"/>
    <w:rsid w:val="004349F7"/>
    <w:rsid w:val="00434B9A"/>
    <w:rsid w:val="004358F7"/>
    <w:rsid w:val="00435E61"/>
    <w:rsid w:val="00436372"/>
    <w:rsid w:val="00436E5C"/>
    <w:rsid w:val="00436F59"/>
    <w:rsid w:val="004371A5"/>
    <w:rsid w:val="004372DE"/>
    <w:rsid w:val="00440864"/>
    <w:rsid w:val="00440CBF"/>
    <w:rsid w:val="004417C1"/>
    <w:rsid w:val="00441D33"/>
    <w:rsid w:val="00441D83"/>
    <w:rsid w:val="0044235F"/>
    <w:rsid w:val="0044270C"/>
    <w:rsid w:val="004428E2"/>
    <w:rsid w:val="00442E50"/>
    <w:rsid w:val="00442E55"/>
    <w:rsid w:val="00443215"/>
    <w:rsid w:val="004433B5"/>
    <w:rsid w:val="00443C9A"/>
    <w:rsid w:val="00443DEE"/>
    <w:rsid w:val="00443FE2"/>
    <w:rsid w:val="0044442C"/>
    <w:rsid w:val="0044464F"/>
    <w:rsid w:val="00444A55"/>
    <w:rsid w:val="00444ED9"/>
    <w:rsid w:val="00445029"/>
    <w:rsid w:val="004451DF"/>
    <w:rsid w:val="0044581B"/>
    <w:rsid w:val="0044645D"/>
    <w:rsid w:val="004469EC"/>
    <w:rsid w:val="00446F0F"/>
    <w:rsid w:val="00450DC1"/>
    <w:rsid w:val="00450F78"/>
    <w:rsid w:val="0045192E"/>
    <w:rsid w:val="00451A2B"/>
    <w:rsid w:val="00451B32"/>
    <w:rsid w:val="004524FE"/>
    <w:rsid w:val="004527DB"/>
    <w:rsid w:val="004527F1"/>
    <w:rsid w:val="00452840"/>
    <w:rsid w:val="00452ACE"/>
    <w:rsid w:val="00452B04"/>
    <w:rsid w:val="004531CA"/>
    <w:rsid w:val="0045336B"/>
    <w:rsid w:val="004539B4"/>
    <w:rsid w:val="00453C9F"/>
    <w:rsid w:val="004540E7"/>
    <w:rsid w:val="0045462D"/>
    <w:rsid w:val="004548D4"/>
    <w:rsid w:val="0045492E"/>
    <w:rsid w:val="00454D8A"/>
    <w:rsid w:val="00455FF7"/>
    <w:rsid w:val="004560C0"/>
    <w:rsid w:val="00457948"/>
    <w:rsid w:val="00457D01"/>
    <w:rsid w:val="00457E0E"/>
    <w:rsid w:val="00460401"/>
    <w:rsid w:val="004609E4"/>
    <w:rsid w:val="00460A41"/>
    <w:rsid w:val="00460C76"/>
    <w:rsid w:val="00460F2F"/>
    <w:rsid w:val="0046191E"/>
    <w:rsid w:val="00461CA5"/>
    <w:rsid w:val="00461D74"/>
    <w:rsid w:val="00462739"/>
    <w:rsid w:val="00462B6D"/>
    <w:rsid w:val="00462EA5"/>
    <w:rsid w:val="00462F2A"/>
    <w:rsid w:val="0046311A"/>
    <w:rsid w:val="004633C7"/>
    <w:rsid w:val="00463658"/>
    <w:rsid w:val="00463923"/>
    <w:rsid w:val="004649F5"/>
    <w:rsid w:val="00464AFB"/>
    <w:rsid w:val="00465458"/>
    <w:rsid w:val="00465665"/>
    <w:rsid w:val="00465813"/>
    <w:rsid w:val="00465A24"/>
    <w:rsid w:val="00465C91"/>
    <w:rsid w:val="00465CD3"/>
    <w:rsid w:val="00466E3D"/>
    <w:rsid w:val="00467177"/>
    <w:rsid w:val="00467197"/>
    <w:rsid w:val="00467DE2"/>
    <w:rsid w:val="00470042"/>
    <w:rsid w:val="00470721"/>
    <w:rsid w:val="00470C50"/>
    <w:rsid w:val="00470EBD"/>
    <w:rsid w:val="00470FD5"/>
    <w:rsid w:val="00471222"/>
    <w:rsid w:val="004717BB"/>
    <w:rsid w:val="00471E4E"/>
    <w:rsid w:val="004728AD"/>
    <w:rsid w:val="00473031"/>
    <w:rsid w:val="004736D2"/>
    <w:rsid w:val="00473AD3"/>
    <w:rsid w:val="00473DE9"/>
    <w:rsid w:val="00473EE8"/>
    <w:rsid w:val="00474498"/>
    <w:rsid w:val="0047470C"/>
    <w:rsid w:val="00475983"/>
    <w:rsid w:val="00475D4F"/>
    <w:rsid w:val="0047619E"/>
    <w:rsid w:val="00476715"/>
    <w:rsid w:val="004767E6"/>
    <w:rsid w:val="0047702C"/>
    <w:rsid w:val="004772FF"/>
    <w:rsid w:val="00477568"/>
    <w:rsid w:val="004804CD"/>
    <w:rsid w:val="0048091D"/>
    <w:rsid w:val="0048097A"/>
    <w:rsid w:val="004814BB"/>
    <w:rsid w:val="004817CC"/>
    <w:rsid w:val="00481AE6"/>
    <w:rsid w:val="004821D3"/>
    <w:rsid w:val="00482477"/>
    <w:rsid w:val="00482FEA"/>
    <w:rsid w:val="004834BF"/>
    <w:rsid w:val="00484094"/>
    <w:rsid w:val="004846C4"/>
    <w:rsid w:val="00485266"/>
    <w:rsid w:val="0048556F"/>
    <w:rsid w:val="00485E9E"/>
    <w:rsid w:val="00485F44"/>
    <w:rsid w:val="00486732"/>
    <w:rsid w:val="00490B96"/>
    <w:rsid w:val="004916E8"/>
    <w:rsid w:val="00491818"/>
    <w:rsid w:val="00491BE7"/>
    <w:rsid w:val="00491DD4"/>
    <w:rsid w:val="00491EE3"/>
    <w:rsid w:val="004929F8"/>
    <w:rsid w:val="00492B7F"/>
    <w:rsid w:val="00492BB3"/>
    <w:rsid w:val="00494D50"/>
    <w:rsid w:val="00494EEC"/>
    <w:rsid w:val="004954EE"/>
    <w:rsid w:val="00495CA5"/>
    <w:rsid w:val="00495ED4"/>
    <w:rsid w:val="00496785"/>
    <w:rsid w:val="00496C6F"/>
    <w:rsid w:val="00496D36"/>
    <w:rsid w:val="0049723D"/>
    <w:rsid w:val="004977F7"/>
    <w:rsid w:val="00497EB4"/>
    <w:rsid w:val="00497ECE"/>
    <w:rsid w:val="00497EE9"/>
    <w:rsid w:val="00497F31"/>
    <w:rsid w:val="004A055F"/>
    <w:rsid w:val="004A0B63"/>
    <w:rsid w:val="004A0B8A"/>
    <w:rsid w:val="004A2536"/>
    <w:rsid w:val="004A2908"/>
    <w:rsid w:val="004A2D4D"/>
    <w:rsid w:val="004A4052"/>
    <w:rsid w:val="004A413D"/>
    <w:rsid w:val="004A46CE"/>
    <w:rsid w:val="004A4CAB"/>
    <w:rsid w:val="004A4F5E"/>
    <w:rsid w:val="004A53E3"/>
    <w:rsid w:val="004A54AE"/>
    <w:rsid w:val="004A5A81"/>
    <w:rsid w:val="004A60E1"/>
    <w:rsid w:val="004A692C"/>
    <w:rsid w:val="004A6AAB"/>
    <w:rsid w:val="004A6C01"/>
    <w:rsid w:val="004A750C"/>
    <w:rsid w:val="004A7714"/>
    <w:rsid w:val="004A7750"/>
    <w:rsid w:val="004A788D"/>
    <w:rsid w:val="004A795B"/>
    <w:rsid w:val="004A7A6F"/>
    <w:rsid w:val="004A7E3D"/>
    <w:rsid w:val="004B05D4"/>
    <w:rsid w:val="004B0763"/>
    <w:rsid w:val="004B0DA3"/>
    <w:rsid w:val="004B0F5D"/>
    <w:rsid w:val="004B1900"/>
    <w:rsid w:val="004B19E4"/>
    <w:rsid w:val="004B278A"/>
    <w:rsid w:val="004B27D4"/>
    <w:rsid w:val="004B2A60"/>
    <w:rsid w:val="004B2BB8"/>
    <w:rsid w:val="004B2C86"/>
    <w:rsid w:val="004B36C1"/>
    <w:rsid w:val="004B42E6"/>
    <w:rsid w:val="004B4629"/>
    <w:rsid w:val="004B5417"/>
    <w:rsid w:val="004B72C6"/>
    <w:rsid w:val="004B72D5"/>
    <w:rsid w:val="004B7890"/>
    <w:rsid w:val="004B7B33"/>
    <w:rsid w:val="004C0411"/>
    <w:rsid w:val="004C0948"/>
    <w:rsid w:val="004C0CFA"/>
    <w:rsid w:val="004C0E44"/>
    <w:rsid w:val="004C0EF1"/>
    <w:rsid w:val="004C0F6A"/>
    <w:rsid w:val="004C102C"/>
    <w:rsid w:val="004C1450"/>
    <w:rsid w:val="004C1788"/>
    <w:rsid w:val="004C17FD"/>
    <w:rsid w:val="004C2406"/>
    <w:rsid w:val="004C2613"/>
    <w:rsid w:val="004C2BC7"/>
    <w:rsid w:val="004C2BF2"/>
    <w:rsid w:val="004C3211"/>
    <w:rsid w:val="004C33B8"/>
    <w:rsid w:val="004C35C8"/>
    <w:rsid w:val="004C36D5"/>
    <w:rsid w:val="004C3B02"/>
    <w:rsid w:val="004C4448"/>
    <w:rsid w:val="004C4A3F"/>
    <w:rsid w:val="004C4B3C"/>
    <w:rsid w:val="004C52B1"/>
    <w:rsid w:val="004C5810"/>
    <w:rsid w:val="004C59B3"/>
    <w:rsid w:val="004C605A"/>
    <w:rsid w:val="004C6441"/>
    <w:rsid w:val="004C77BB"/>
    <w:rsid w:val="004C7900"/>
    <w:rsid w:val="004D06AF"/>
    <w:rsid w:val="004D090B"/>
    <w:rsid w:val="004D0AB1"/>
    <w:rsid w:val="004D1303"/>
    <w:rsid w:val="004D15A0"/>
    <w:rsid w:val="004D1AB7"/>
    <w:rsid w:val="004D1C35"/>
    <w:rsid w:val="004D200E"/>
    <w:rsid w:val="004D24DD"/>
    <w:rsid w:val="004D2545"/>
    <w:rsid w:val="004D26B3"/>
    <w:rsid w:val="004D2BB4"/>
    <w:rsid w:val="004D2CAF"/>
    <w:rsid w:val="004D2CFE"/>
    <w:rsid w:val="004D4578"/>
    <w:rsid w:val="004D47A8"/>
    <w:rsid w:val="004D4F19"/>
    <w:rsid w:val="004D5383"/>
    <w:rsid w:val="004D5589"/>
    <w:rsid w:val="004D55F6"/>
    <w:rsid w:val="004D5903"/>
    <w:rsid w:val="004D5B90"/>
    <w:rsid w:val="004D5DEE"/>
    <w:rsid w:val="004D67DF"/>
    <w:rsid w:val="004D6939"/>
    <w:rsid w:val="004D6AC0"/>
    <w:rsid w:val="004D6F59"/>
    <w:rsid w:val="004D7947"/>
    <w:rsid w:val="004D7E71"/>
    <w:rsid w:val="004D7EE3"/>
    <w:rsid w:val="004D7F28"/>
    <w:rsid w:val="004E0627"/>
    <w:rsid w:val="004E0791"/>
    <w:rsid w:val="004E07E5"/>
    <w:rsid w:val="004E0B9C"/>
    <w:rsid w:val="004E18C3"/>
    <w:rsid w:val="004E195F"/>
    <w:rsid w:val="004E1BB5"/>
    <w:rsid w:val="004E1CC9"/>
    <w:rsid w:val="004E2062"/>
    <w:rsid w:val="004E2749"/>
    <w:rsid w:val="004E2F32"/>
    <w:rsid w:val="004E2FBB"/>
    <w:rsid w:val="004E5183"/>
    <w:rsid w:val="004E5431"/>
    <w:rsid w:val="004E548D"/>
    <w:rsid w:val="004E58AC"/>
    <w:rsid w:val="004E59C9"/>
    <w:rsid w:val="004E5B5E"/>
    <w:rsid w:val="004E5FA5"/>
    <w:rsid w:val="004E613E"/>
    <w:rsid w:val="004E63D9"/>
    <w:rsid w:val="004E69CC"/>
    <w:rsid w:val="004E72C9"/>
    <w:rsid w:val="004E7A3E"/>
    <w:rsid w:val="004F0D9A"/>
    <w:rsid w:val="004F0F6C"/>
    <w:rsid w:val="004F10D2"/>
    <w:rsid w:val="004F1BA1"/>
    <w:rsid w:val="004F207F"/>
    <w:rsid w:val="004F2CAF"/>
    <w:rsid w:val="004F2EC8"/>
    <w:rsid w:val="004F3FE2"/>
    <w:rsid w:val="004F414C"/>
    <w:rsid w:val="004F429B"/>
    <w:rsid w:val="004F46CA"/>
    <w:rsid w:val="004F4B9B"/>
    <w:rsid w:val="004F52E8"/>
    <w:rsid w:val="004F5DC2"/>
    <w:rsid w:val="004F6370"/>
    <w:rsid w:val="004F6564"/>
    <w:rsid w:val="004F6781"/>
    <w:rsid w:val="004F6BD4"/>
    <w:rsid w:val="004F6CC0"/>
    <w:rsid w:val="004F6F6A"/>
    <w:rsid w:val="0050086E"/>
    <w:rsid w:val="0050094D"/>
    <w:rsid w:val="00501020"/>
    <w:rsid w:val="005013E2"/>
    <w:rsid w:val="005013FA"/>
    <w:rsid w:val="00501469"/>
    <w:rsid w:val="005019BD"/>
    <w:rsid w:val="00501E35"/>
    <w:rsid w:val="00501FEA"/>
    <w:rsid w:val="0050251F"/>
    <w:rsid w:val="005027BA"/>
    <w:rsid w:val="0050283D"/>
    <w:rsid w:val="00502BDD"/>
    <w:rsid w:val="0050332C"/>
    <w:rsid w:val="005037B5"/>
    <w:rsid w:val="00503895"/>
    <w:rsid w:val="00503A4F"/>
    <w:rsid w:val="005046E3"/>
    <w:rsid w:val="0050474E"/>
    <w:rsid w:val="005047B4"/>
    <w:rsid w:val="00504E06"/>
    <w:rsid w:val="00505C6C"/>
    <w:rsid w:val="00506527"/>
    <w:rsid w:val="005067C1"/>
    <w:rsid w:val="00506BB8"/>
    <w:rsid w:val="00506CDA"/>
    <w:rsid w:val="00507206"/>
    <w:rsid w:val="0050755D"/>
    <w:rsid w:val="0050763C"/>
    <w:rsid w:val="00507CFB"/>
    <w:rsid w:val="00510384"/>
    <w:rsid w:val="00510974"/>
    <w:rsid w:val="00510B88"/>
    <w:rsid w:val="00511603"/>
    <w:rsid w:val="00511BB3"/>
    <w:rsid w:val="00512475"/>
    <w:rsid w:val="00512532"/>
    <w:rsid w:val="0051305D"/>
    <w:rsid w:val="0051390E"/>
    <w:rsid w:val="005142FC"/>
    <w:rsid w:val="00514505"/>
    <w:rsid w:val="00514B17"/>
    <w:rsid w:val="005152D4"/>
    <w:rsid w:val="0051583D"/>
    <w:rsid w:val="00515C30"/>
    <w:rsid w:val="00515EF0"/>
    <w:rsid w:val="005163F2"/>
    <w:rsid w:val="00517B37"/>
    <w:rsid w:val="00517E03"/>
    <w:rsid w:val="00517E85"/>
    <w:rsid w:val="00520D3A"/>
    <w:rsid w:val="00520E8B"/>
    <w:rsid w:val="00520EEC"/>
    <w:rsid w:val="00521306"/>
    <w:rsid w:val="00521AC1"/>
    <w:rsid w:val="00521CA0"/>
    <w:rsid w:val="0052200E"/>
    <w:rsid w:val="00522164"/>
    <w:rsid w:val="005224BD"/>
    <w:rsid w:val="005224E4"/>
    <w:rsid w:val="00522594"/>
    <w:rsid w:val="00522B86"/>
    <w:rsid w:val="00522BA8"/>
    <w:rsid w:val="00522ED2"/>
    <w:rsid w:val="00522F73"/>
    <w:rsid w:val="00523E58"/>
    <w:rsid w:val="0052436E"/>
    <w:rsid w:val="00524B7F"/>
    <w:rsid w:val="00524BA6"/>
    <w:rsid w:val="005256E2"/>
    <w:rsid w:val="00525865"/>
    <w:rsid w:val="00525BCD"/>
    <w:rsid w:val="005263CD"/>
    <w:rsid w:val="0052654B"/>
    <w:rsid w:val="00526853"/>
    <w:rsid w:val="005270EA"/>
    <w:rsid w:val="00527F4A"/>
    <w:rsid w:val="005307E0"/>
    <w:rsid w:val="00530BDE"/>
    <w:rsid w:val="00530CD0"/>
    <w:rsid w:val="00531563"/>
    <w:rsid w:val="00531570"/>
    <w:rsid w:val="005319E1"/>
    <w:rsid w:val="00532B5C"/>
    <w:rsid w:val="00533093"/>
    <w:rsid w:val="005333C9"/>
    <w:rsid w:val="00534433"/>
    <w:rsid w:val="00534699"/>
    <w:rsid w:val="0053473A"/>
    <w:rsid w:val="005352A5"/>
    <w:rsid w:val="0053567C"/>
    <w:rsid w:val="00535805"/>
    <w:rsid w:val="005361BF"/>
    <w:rsid w:val="00536752"/>
    <w:rsid w:val="005369D0"/>
    <w:rsid w:val="00536A9D"/>
    <w:rsid w:val="00536ABE"/>
    <w:rsid w:val="00536AF7"/>
    <w:rsid w:val="0053748F"/>
    <w:rsid w:val="00537734"/>
    <w:rsid w:val="00537F37"/>
    <w:rsid w:val="005403B9"/>
    <w:rsid w:val="00540CCF"/>
    <w:rsid w:val="00540E24"/>
    <w:rsid w:val="005412A3"/>
    <w:rsid w:val="005413D4"/>
    <w:rsid w:val="0054216F"/>
    <w:rsid w:val="00542349"/>
    <w:rsid w:val="00543462"/>
    <w:rsid w:val="00544FB4"/>
    <w:rsid w:val="00545022"/>
    <w:rsid w:val="00545403"/>
    <w:rsid w:val="005457A4"/>
    <w:rsid w:val="0054584C"/>
    <w:rsid w:val="00546009"/>
    <w:rsid w:val="00546442"/>
    <w:rsid w:val="00546C53"/>
    <w:rsid w:val="0054719B"/>
    <w:rsid w:val="0054771E"/>
    <w:rsid w:val="0055102F"/>
    <w:rsid w:val="005516EC"/>
    <w:rsid w:val="00551EB5"/>
    <w:rsid w:val="005528EB"/>
    <w:rsid w:val="00552CA6"/>
    <w:rsid w:val="0055301D"/>
    <w:rsid w:val="00553044"/>
    <w:rsid w:val="00553175"/>
    <w:rsid w:val="0055398B"/>
    <w:rsid w:val="00554378"/>
    <w:rsid w:val="005546EB"/>
    <w:rsid w:val="00555279"/>
    <w:rsid w:val="00555564"/>
    <w:rsid w:val="00555AA0"/>
    <w:rsid w:val="00555D2A"/>
    <w:rsid w:val="005561A0"/>
    <w:rsid w:val="00556481"/>
    <w:rsid w:val="00556EF5"/>
    <w:rsid w:val="00557BCB"/>
    <w:rsid w:val="005600D4"/>
    <w:rsid w:val="005614B9"/>
    <w:rsid w:val="00561542"/>
    <w:rsid w:val="005619EB"/>
    <w:rsid w:val="00562E99"/>
    <w:rsid w:val="00562FCD"/>
    <w:rsid w:val="00563377"/>
    <w:rsid w:val="0056371B"/>
    <w:rsid w:val="00563730"/>
    <w:rsid w:val="00563A70"/>
    <w:rsid w:val="00563E01"/>
    <w:rsid w:val="00564266"/>
    <w:rsid w:val="00564D0B"/>
    <w:rsid w:val="00564F91"/>
    <w:rsid w:val="00565132"/>
    <w:rsid w:val="005659E1"/>
    <w:rsid w:val="00565AEA"/>
    <w:rsid w:val="00565D8D"/>
    <w:rsid w:val="0056617C"/>
    <w:rsid w:val="005665A2"/>
    <w:rsid w:val="005665D2"/>
    <w:rsid w:val="0056676B"/>
    <w:rsid w:val="00567198"/>
    <w:rsid w:val="00570252"/>
    <w:rsid w:val="0057072A"/>
    <w:rsid w:val="005707F3"/>
    <w:rsid w:val="00570863"/>
    <w:rsid w:val="00570A10"/>
    <w:rsid w:val="00570A57"/>
    <w:rsid w:val="00570AEE"/>
    <w:rsid w:val="00570BDD"/>
    <w:rsid w:val="00570CE7"/>
    <w:rsid w:val="0057131F"/>
    <w:rsid w:val="00571AF7"/>
    <w:rsid w:val="00571BDC"/>
    <w:rsid w:val="00571EE0"/>
    <w:rsid w:val="00572261"/>
    <w:rsid w:val="00572365"/>
    <w:rsid w:val="0057309D"/>
    <w:rsid w:val="00573161"/>
    <w:rsid w:val="00573BE3"/>
    <w:rsid w:val="0057426D"/>
    <w:rsid w:val="0057436D"/>
    <w:rsid w:val="00574D1E"/>
    <w:rsid w:val="005752D9"/>
    <w:rsid w:val="00575AF1"/>
    <w:rsid w:val="00575EFF"/>
    <w:rsid w:val="00576D9A"/>
    <w:rsid w:val="00577904"/>
    <w:rsid w:val="005779CF"/>
    <w:rsid w:val="00577F83"/>
    <w:rsid w:val="00580702"/>
    <w:rsid w:val="005807C0"/>
    <w:rsid w:val="005807F1"/>
    <w:rsid w:val="00581061"/>
    <w:rsid w:val="005814CE"/>
    <w:rsid w:val="00581F17"/>
    <w:rsid w:val="0058244F"/>
    <w:rsid w:val="005825D9"/>
    <w:rsid w:val="00582891"/>
    <w:rsid w:val="005829E8"/>
    <w:rsid w:val="00582A64"/>
    <w:rsid w:val="00582F1F"/>
    <w:rsid w:val="00583183"/>
    <w:rsid w:val="00583472"/>
    <w:rsid w:val="005838C0"/>
    <w:rsid w:val="00583E06"/>
    <w:rsid w:val="005841F7"/>
    <w:rsid w:val="00584DFC"/>
    <w:rsid w:val="0058541D"/>
    <w:rsid w:val="00585C9B"/>
    <w:rsid w:val="00585D6C"/>
    <w:rsid w:val="00586001"/>
    <w:rsid w:val="005865AD"/>
    <w:rsid w:val="00586FEA"/>
    <w:rsid w:val="00587130"/>
    <w:rsid w:val="00587535"/>
    <w:rsid w:val="00587851"/>
    <w:rsid w:val="0059038A"/>
    <w:rsid w:val="00590EA6"/>
    <w:rsid w:val="00591BC4"/>
    <w:rsid w:val="0059211D"/>
    <w:rsid w:val="005924C7"/>
    <w:rsid w:val="00592987"/>
    <w:rsid w:val="005931B5"/>
    <w:rsid w:val="00593341"/>
    <w:rsid w:val="005933D5"/>
    <w:rsid w:val="0059340F"/>
    <w:rsid w:val="005935E2"/>
    <w:rsid w:val="00593662"/>
    <w:rsid w:val="005936C9"/>
    <w:rsid w:val="00593AC6"/>
    <w:rsid w:val="00593ED6"/>
    <w:rsid w:val="005943BC"/>
    <w:rsid w:val="00594F12"/>
    <w:rsid w:val="005952AB"/>
    <w:rsid w:val="005956F8"/>
    <w:rsid w:val="00595AE2"/>
    <w:rsid w:val="0059638F"/>
    <w:rsid w:val="00597B94"/>
    <w:rsid w:val="00597D71"/>
    <w:rsid w:val="005A019A"/>
    <w:rsid w:val="005A0DA2"/>
    <w:rsid w:val="005A1049"/>
    <w:rsid w:val="005A127C"/>
    <w:rsid w:val="005A1A31"/>
    <w:rsid w:val="005A23F1"/>
    <w:rsid w:val="005A2979"/>
    <w:rsid w:val="005A2B6D"/>
    <w:rsid w:val="005A339A"/>
    <w:rsid w:val="005A3995"/>
    <w:rsid w:val="005A41E3"/>
    <w:rsid w:val="005A4F35"/>
    <w:rsid w:val="005A56DB"/>
    <w:rsid w:val="005A59BD"/>
    <w:rsid w:val="005A59D1"/>
    <w:rsid w:val="005A5A94"/>
    <w:rsid w:val="005A5C94"/>
    <w:rsid w:val="005A5EC2"/>
    <w:rsid w:val="005A6500"/>
    <w:rsid w:val="005A6F23"/>
    <w:rsid w:val="005A782F"/>
    <w:rsid w:val="005A7BC3"/>
    <w:rsid w:val="005A7D20"/>
    <w:rsid w:val="005B00DD"/>
    <w:rsid w:val="005B0273"/>
    <w:rsid w:val="005B0776"/>
    <w:rsid w:val="005B14E1"/>
    <w:rsid w:val="005B1792"/>
    <w:rsid w:val="005B18C7"/>
    <w:rsid w:val="005B1D09"/>
    <w:rsid w:val="005B20F6"/>
    <w:rsid w:val="005B21EB"/>
    <w:rsid w:val="005B2C5A"/>
    <w:rsid w:val="005B2EB7"/>
    <w:rsid w:val="005B350E"/>
    <w:rsid w:val="005B3652"/>
    <w:rsid w:val="005B3CA2"/>
    <w:rsid w:val="005B3DD6"/>
    <w:rsid w:val="005B3F82"/>
    <w:rsid w:val="005B432A"/>
    <w:rsid w:val="005B4DFC"/>
    <w:rsid w:val="005B5988"/>
    <w:rsid w:val="005B61FB"/>
    <w:rsid w:val="005B661C"/>
    <w:rsid w:val="005B72C3"/>
    <w:rsid w:val="005B7A9E"/>
    <w:rsid w:val="005B7EEF"/>
    <w:rsid w:val="005C0338"/>
    <w:rsid w:val="005C0F77"/>
    <w:rsid w:val="005C1876"/>
    <w:rsid w:val="005C19DB"/>
    <w:rsid w:val="005C1BE3"/>
    <w:rsid w:val="005C1BE8"/>
    <w:rsid w:val="005C20DE"/>
    <w:rsid w:val="005C223D"/>
    <w:rsid w:val="005C27E5"/>
    <w:rsid w:val="005C3475"/>
    <w:rsid w:val="005C3722"/>
    <w:rsid w:val="005C509C"/>
    <w:rsid w:val="005C6631"/>
    <w:rsid w:val="005C7286"/>
    <w:rsid w:val="005C758D"/>
    <w:rsid w:val="005C772B"/>
    <w:rsid w:val="005C7C99"/>
    <w:rsid w:val="005C7F44"/>
    <w:rsid w:val="005D07CC"/>
    <w:rsid w:val="005D0908"/>
    <w:rsid w:val="005D0A36"/>
    <w:rsid w:val="005D1075"/>
    <w:rsid w:val="005D1492"/>
    <w:rsid w:val="005D14A9"/>
    <w:rsid w:val="005D1BC6"/>
    <w:rsid w:val="005D1C61"/>
    <w:rsid w:val="005D27CF"/>
    <w:rsid w:val="005D3094"/>
    <w:rsid w:val="005D3666"/>
    <w:rsid w:val="005D397C"/>
    <w:rsid w:val="005D3E5E"/>
    <w:rsid w:val="005D4F6A"/>
    <w:rsid w:val="005D5773"/>
    <w:rsid w:val="005D5E04"/>
    <w:rsid w:val="005D74E3"/>
    <w:rsid w:val="005D7C06"/>
    <w:rsid w:val="005D7C18"/>
    <w:rsid w:val="005E01FA"/>
    <w:rsid w:val="005E03E9"/>
    <w:rsid w:val="005E0F65"/>
    <w:rsid w:val="005E179F"/>
    <w:rsid w:val="005E18C5"/>
    <w:rsid w:val="005E1FA4"/>
    <w:rsid w:val="005E202F"/>
    <w:rsid w:val="005E2820"/>
    <w:rsid w:val="005E2A6D"/>
    <w:rsid w:val="005E2D51"/>
    <w:rsid w:val="005E3104"/>
    <w:rsid w:val="005E314A"/>
    <w:rsid w:val="005E3496"/>
    <w:rsid w:val="005E3AEA"/>
    <w:rsid w:val="005E41DD"/>
    <w:rsid w:val="005E46C7"/>
    <w:rsid w:val="005E471C"/>
    <w:rsid w:val="005E51D2"/>
    <w:rsid w:val="005E55D4"/>
    <w:rsid w:val="005E59A4"/>
    <w:rsid w:val="005E713B"/>
    <w:rsid w:val="005E7ED4"/>
    <w:rsid w:val="005F06FD"/>
    <w:rsid w:val="005F090A"/>
    <w:rsid w:val="005F0FEC"/>
    <w:rsid w:val="005F106E"/>
    <w:rsid w:val="005F108A"/>
    <w:rsid w:val="005F19F3"/>
    <w:rsid w:val="005F1C0D"/>
    <w:rsid w:val="005F2490"/>
    <w:rsid w:val="005F25D8"/>
    <w:rsid w:val="005F277B"/>
    <w:rsid w:val="005F2DB9"/>
    <w:rsid w:val="005F36C1"/>
    <w:rsid w:val="005F375B"/>
    <w:rsid w:val="005F38D2"/>
    <w:rsid w:val="005F3FA6"/>
    <w:rsid w:val="005F458B"/>
    <w:rsid w:val="005F556D"/>
    <w:rsid w:val="005F5684"/>
    <w:rsid w:val="005F5ACD"/>
    <w:rsid w:val="005F61BC"/>
    <w:rsid w:val="005F64F4"/>
    <w:rsid w:val="005F66E2"/>
    <w:rsid w:val="005F6774"/>
    <w:rsid w:val="005F68AD"/>
    <w:rsid w:val="005F68F7"/>
    <w:rsid w:val="005F6ED7"/>
    <w:rsid w:val="005F7967"/>
    <w:rsid w:val="005F7F5D"/>
    <w:rsid w:val="006000C2"/>
    <w:rsid w:val="006005DA"/>
    <w:rsid w:val="00600B68"/>
    <w:rsid w:val="00600D59"/>
    <w:rsid w:val="006014AD"/>
    <w:rsid w:val="006015E9"/>
    <w:rsid w:val="0060174A"/>
    <w:rsid w:val="00601843"/>
    <w:rsid w:val="00602692"/>
    <w:rsid w:val="0060287A"/>
    <w:rsid w:val="006036DE"/>
    <w:rsid w:val="00603B0C"/>
    <w:rsid w:val="00603D9F"/>
    <w:rsid w:val="00604218"/>
    <w:rsid w:val="0060535B"/>
    <w:rsid w:val="00605779"/>
    <w:rsid w:val="00605947"/>
    <w:rsid w:val="006059A1"/>
    <w:rsid w:val="00605B79"/>
    <w:rsid w:val="00605BCD"/>
    <w:rsid w:val="00605C21"/>
    <w:rsid w:val="00605CB5"/>
    <w:rsid w:val="006068C1"/>
    <w:rsid w:val="00606F08"/>
    <w:rsid w:val="00607056"/>
    <w:rsid w:val="00607A8D"/>
    <w:rsid w:val="0061130A"/>
    <w:rsid w:val="00611AD2"/>
    <w:rsid w:val="00611B6B"/>
    <w:rsid w:val="00611EF8"/>
    <w:rsid w:val="00611FD4"/>
    <w:rsid w:val="00612616"/>
    <w:rsid w:val="006128FE"/>
    <w:rsid w:val="00612DD2"/>
    <w:rsid w:val="00613320"/>
    <w:rsid w:val="006135D1"/>
    <w:rsid w:val="0061374F"/>
    <w:rsid w:val="0061382E"/>
    <w:rsid w:val="0061386B"/>
    <w:rsid w:val="00613CF6"/>
    <w:rsid w:val="00613CF9"/>
    <w:rsid w:val="00613DC9"/>
    <w:rsid w:val="00614255"/>
    <w:rsid w:val="00614261"/>
    <w:rsid w:val="00614403"/>
    <w:rsid w:val="0061475F"/>
    <w:rsid w:val="006147C6"/>
    <w:rsid w:val="006156A0"/>
    <w:rsid w:val="00616C1A"/>
    <w:rsid w:val="00616F58"/>
    <w:rsid w:val="006172F0"/>
    <w:rsid w:val="0061731A"/>
    <w:rsid w:val="00617376"/>
    <w:rsid w:val="0061788B"/>
    <w:rsid w:val="00617F9E"/>
    <w:rsid w:val="0062020A"/>
    <w:rsid w:val="0062100B"/>
    <w:rsid w:val="0062146F"/>
    <w:rsid w:val="00621659"/>
    <w:rsid w:val="00622569"/>
    <w:rsid w:val="00622A7F"/>
    <w:rsid w:val="0062376A"/>
    <w:rsid w:val="00623AD3"/>
    <w:rsid w:val="00623AFC"/>
    <w:rsid w:val="00623B50"/>
    <w:rsid w:val="00624118"/>
    <w:rsid w:val="00624288"/>
    <w:rsid w:val="00624A29"/>
    <w:rsid w:val="006254DA"/>
    <w:rsid w:val="006254E4"/>
    <w:rsid w:val="00625B19"/>
    <w:rsid w:val="0062602D"/>
    <w:rsid w:val="0062657E"/>
    <w:rsid w:val="00626A45"/>
    <w:rsid w:val="00626DAD"/>
    <w:rsid w:val="00626E4A"/>
    <w:rsid w:val="00626E81"/>
    <w:rsid w:val="00626EA8"/>
    <w:rsid w:val="00627159"/>
    <w:rsid w:val="0062748D"/>
    <w:rsid w:val="00627C20"/>
    <w:rsid w:val="00627C89"/>
    <w:rsid w:val="00630237"/>
    <w:rsid w:val="00630404"/>
    <w:rsid w:val="006306D6"/>
    <w:rsid w:val="0063187F"/>
    <w:rsid w:val="00631BF2"/>
    <w:rsid w:val="00632389"/>
    <w:rsid w:val="006330B5"/>
    <w:rsid w:val="0063321F"/>
    <w:rsid w:val="0063345C"/>
    <w:rsid w:val="00633618"/>
    <w:rsid w:val="006339FE"/>
    <w:rsid w:val="00633B20"/>
    <w:rsid w:val="006341FF"/>
    <w:rsid w:val="006344F6"/>
    <w:rsid w:val="00634730"/>
    <w:rsid w:val="006347A5"/>
    <w:rsid w:val="006347BC"/>
    <w:rsid w:val="00634B77"/>
    <w:rsid w:val="00634D24"/>
    <w:rsid w:val="006350DA"/>
    <w:rsid w:val="006355DD"/>
    <w:rsid w:val="00635629"/>
    <w:rsid w:val="006365DC"/>
    <w:rsid w:val="006367A4"/>
    <w:rsid w:val="00636DCF"/>
    <w:rsid w:val="00637EA9"/>
    <w:rsid w:val="00640323"/>
    <w:rsid w:val="00640743"/>
    <w:rsid w:val="006408B0"/>
    <w:rsid w:val="00640A6B"/>
    <w:rsid w:val="00640A9F"/>
    <w:rsid w:val="00640E44"/>
    <w:rsid w:val="0064152E"/>
    <w:rsid w:val="00641C3F"/>
    <w:rsid w:val="00642172"/>
    <w:rsid w:val="00643865"/>
    <w:rsid w:val="00643936"/>
    <w:rsid w:val="00643C83"/>
    <w:rsid w:val="00643DB8"/>
    <w:rsid w:val="00643F92"/>
    <w:rsid w:val="00644503"/>
    <w:rsid w:val="00644581"/>
    <w:rsid w:val="00644A0C"/>
    <w:rsid w:val="00644F87"/>
    <w:rsid w:val="00645799"/>
    <w:rsid w:val="006461CD"/>
    <w:rsid w:val="006465B3"/>
    <w:rsid w:val="006466A0"/>
    <w:rsid w:val="00646CE2"/>
    <w:rsid w:val="00646D10"/>
    <w:rsid w:val="00647762"/>
    <w:rsid w:val="00647B2E"/>
    <w:rsid w:val="00647C36"/>
    <w:rsid w:val="00647C43"/>
    <w:rsid w:val="00647C61"/>
    <w:rsid w:val="0065015A"/>
    <w:rsid w:val="00650712"/>
    <w:rsid w:val="0065117B"/>
    <w:rsid w:val="0065121B"/>
    <w:rsid w:val="0065148D"/>
    <w:rsid w:val="00652020"/>
    <w:rsid w:val="00652138"/>
    <w:rsid w:val="00652387"/>
    <w:rsid w:val="006524C5"/>
    <w:rsid w:val="00652E97"/>
    <w:rsid w:val="00653682"/>
    <w:rsid w:val="00653BCA"/>
    <w:rsid w:val="006542A7"/>
    <w:rsid w:val="006543F7"/>
    <w:rsid w:val="00654A3E"/>
    <w:rsid w:val="00654F71"/>
    <w:rsid w:val="00655164"/>
    <w:rsid w:val="006557C1"/>
    <w:rsid w:val="006558CD"/>
    <w:rsid w:val="00655B02"/>
    <w:rsid w:val="00655E3C"/>
    <w:rsid w:val="00655FD7"/>
    <w:rsid w:val="00656733"/>
    <w:rsid w:val="006569D6"/>
    <w:rsid w:val="00656AC3"/>
    <w:rsid w:val="00657280"/>
    <w:rsid w:val="00657297"/>
    <w:rsid w:val="0065739B"/>
    <w:rsid w:val="0065768D"/>
    <w:rsid w:val="00657858"/>
    <w:rsid w:val="00657A8E"/>
    <w:rsid w:val="00657C3E"/>
    <w:rsid w:val="00657CFC"/>
    <w:rsid w:val="006609CE"/>
    <w:rsid w:val="00661121"/>
    <w:rsid w:val="006617F5"/>
    <w:rsid w:val="00661EB2"/>
    <w:rsid w:val="00661F72"/>
    <w:rsid w:val="006626D2"/>
    <w:rsid w:val="00663175"/>
    <w:rsid w:val="006640C2"/>
    <w:rsid w:val="00664683"/>
    <w:rsid w:val="00664E6F"/>
    <w:rsid w:val="0066537B"/>
    <w:rsid w:val="00665A1E"/>
    <w:rsid w:val="006660D5"/>
    <w:rsid w:val="00666218"/>
    <w:rsid w:val="006665C7"/>
    <w:rsid w:val="00666AB6"/>
    <w:rsid w:val="00667046"/>
    <w:rsid w:val="0066747C"/>
    <w:rsid w:val="00667936"/>
    <w:rsid w:val="00667D01"/>
    <w:rsid w:val="00670852"/>
    <w:rsid w:val="00670EC9"/>
    <w:rsid w:val="00670FA3"/>
    <w:rsid w:val="006712FF"/>
    <w:rsid w:val="006715A9"/>
    <w:rsid w:val="00671A44"/>
    <w:rsid w:val="006721DE"/>
    <w:rsid w:val="0067221C"/>
    <w:rsid w:val="006725B4"/>
    <w:rsid w:val="00672BED"/>
    <w:rsid w:val="0067308E"/>
    <w:rsid w:val="006732EE"/>
    <w:rsid w:val="006736C5"/>
    <w:rsid w:val="00673930"/>
    <w:rsid w:val="00673959"/>
    <w:rsid w:val="00673A88"/>
    <w:rsid w:val="00673C2B"/>
    <w:rsid w:val="00674490"/>
    <w:rsid w:val="00674BE6"/>
    <w:rsid w:val="00674DD9"/>
    <w:rsid w:val="00675092"/>
    <w:rsid w:val="00675140"/>
    <w:rsid w:val="006753D9"/>
    <w:rsid w:val="00675A8F"/>
    <w:rsid w:val="0067604A"/>
    <w:rsid w:val="006762D3"/>
    <w:rsid w:val="00676D56"/>
    <w:rsid w:val="00676EFE"/>
    <w:rsid w:val="006776F4"/>
    <w:rsid w:val="00677736"/>
    <w:rsid w:val="00677C51"/>
    <w:rsid w:val="00677E25"/>
    <w:rsid w:val="00677F1F"/>
    <w:rsid w:val="0068012B"/>
    <w:rsid w:val="00680239"/>
    <w:rsid w:val="006809A6"/>
    <w:rsid w:val="00680CB7"/>
    <w:rsid w:val="00680E11"/>
    <w:rsid w:val="006814D5"/>
    <w:rsid w:val="00681899"/>
    <w:rsid w:val="006819EE"/>
    <w:rsid w:val="006824E5"/>
    <w:rsid w:val="00682AD1"/>
    <w:rsid w:val="0068325B"/>
    <w:rsid w:val="00683890"/>
    <w:rsid w:val="00683D91"/>
    <w:rsid w:val="00685450"/>
    <w:rsid w:val="006859C8"/>
    <w:rsid w:val="00685FC1"/>
    <w:rsid w:val="006861B8"/>
    <w:rsid w:val="00686506"/>
    <w:rsid w:val="0068686D"/>
    <w:rsid w:val="0068696F"/>
    <w:rsid w:val="00686989"/>
    <w:rsid w:val="006870F3"/>
    <w:rsid w:val="00690217"/>
    <w:rsid w:val="00691055"/>
    <w:rsid w:val="00691E9B"/>
    <w:rsid w:val="00691F38"/>
    <w:rsid w:val="00691F5E"/>
    <w:rsid w:val="0069209A"/>
    <w:rsid w:val="006924CE"/>
    <w:rsid w:val="006936DE"/>
    <w:rsid w:val="00693849"/>
    <w:rsid w:val="006938CF"/>
    <w:rsid w:val="00693D57"/>
    <w:rsid w:val="00693DD4"/>
    <w:rsid w:val="00693E5B"/>
    <w:rsid w:val="0069429B"/>
    <w:rsid w:val="00694369"/>
    <w:rsid w:val="006947F4"/>
    <w:rsid w:val="006949C9"/>
    <w:rsid w:val="00694AAD"/>
    <w:rsid w:val="00694F7C"/>
    <w:rsid w:val="006956BE"/>
    <w:rsid w:val="00695737"/>
    <w:rsid w:val="00695CD6"/>
    <w:rsid w:val="00695F95"/>
    <w:rsid w:val="00695FD9"/>
    <w:rsid w:val="0069621F"/>
    <w:rsid w:val="00696264"/>
    <w:rsid w:val="006965C5"/>
    <w:rsid w:val="00696E6C"/>
    <w:rsid w:val="00696F9E"/>
    <w:rsid w:val="0069720C"/>
    <w:rsid w:val="00697A55"/>
    <w:rsid w:val="00697A80"/>
    <w:rsid w:val="00697BE5"/>
    <w:rsid w:val="00697F30"/>
    <w:rsid w:val="006A0697"/>
    <w:rsid w:val="006A0ED7"/>
    <w:rsid w:val="006A12AE"/>
    <w:rsid w:val="006A12F7"/>
    <w:rsid w:val="006A14D3"/>
    <w:rsid w:val="006A15A4"/>
    <w:rsid w:val="006A185A"/>
    <w:rsid w:val="006A1DB1"/>
    <w:rsid w:val="006A1DD8"/>
    <w:rsid w:val="006A2070"/>
    <w:rsid w:val="006A2755"/>
    <w:rsid w:val="006A28A2"/>
    <w:rsid w:val="006A3088"/>
    <w:rsid w:val="006A36A8"/>
    <w:rsid w:val="006A38E4"/>
    <w:rsid w:val="006A4447"/>
    <w:rsid w:val="006A44A8"/>
    <w:rsid w:val="006A47F1"/>
    <w:rsid w:val="006A4A40"/>
    <w:rsid w:val="006A4F8A"/>
    <w:rsid w:val="006A548A"/>
    <w:rsid w:val="006A5658"/>
    <w:rsid w:val="006A5C2A"/>
    <w:rsid w:val="006A5EBA"/>
    <w:rsid w:val="006A60AB"/>
    <w:rsid w:val="006A61A3"/>
    <w:rsid w:val="006A6FF7"/>
    <w:rsid w:val="006A706A"/>
    <w:rsid w:val="006B0581"/>
    <w:rsid w:val="006B0A48"/>
    <w:rsid w:val="006B0C41"/>
    <w:rsid w:val="006B0DAC"/>
    <w:rsid w:val="006B26B7"/>
    <w:rsid w:val="006B44BF"/>
    <w:rsid w:val="006B4B50"/>
    <w:rsid w:val="006B4CA6"/>
    <w:rsid w:val="006B4EE2"/>
    <w:rsid w:val="006B4F25"/>
    <w:rsid w:val="006B5276"/>
    <w:rsid w:val="006B5396"/>
    <w:rsid w:val="006B54C9"/>
    <w:rsid w:val="006B5530"/>
    <w:rsid w:val="006B5686"/>
    <w:rsid w:val="006B593E"/>
    <w:rsid w:val="006B6A73"/>
    <w:rsid w:val="006B7104"/>
    <w:rsid w:val="006B715E"/>
    <w:rsid w:val="006C0321"/>
    <w:rsid w:val="006C0802"/>
    <w:rsid w:val="006C0C7A"/>
    <w:rsid w:val="006C0CFD"/>
    <w:rsid w:val="006C1417"/>
    <w:rsid w:val="006C1B9E"/>
    <w:rsid w:val="006C281D"/>
    <w:rsid w:val="006C28AA"/>
    <w:rsid w:val="006C2B99"/>
    <w:rsid w:val="006C311A"/>
    <w:rsid w:val="006C34F5"/>
    <w:rsid w:val="006C381B"/>
    <w:rsid w:val="006C38B2"/>
    <w:rsid w:val="006C3EEF"/>
    <w:rsid w:val="006C4827"/>
    <w:rsid w:val="006C4B88"/>
    <w:rsid w:val="006C4BA6"/>
    <w:rsid w:val="006C4F44"/>
    <w:rsid w:val="006C54B6"/>
    <w:rsid w:val="006C5A18"/>
    <w:rsid w:val="006C5C9D"/>
    <w:rsid w:val="006C6B70"/>
    <w:rsid w:val="006C6FA9"/>
    <w:rsid w:val="006C70C9"/>
    <w:rsid w:val="006C78F9"/>
    <w:rsid w:val="006C7F89"/>
    <w:rsid w:val="006D089D"/>
    <w:rsid w:val="006D0A6A"/>
    <w:rsid w:val="006D1B13"/>
    <w:rsid w:val="006D1C8E"/>
    <w:rsid w:val="006D1E29"/>
    <w:rsid w:val="006D233B"/>
    <w:rsid w:val="006D2BE1"/>
    <w:rsid w:val="006D2FE2"/>
    <w:rsid w:val="006D3327"/>
    <w:rsid w:val="006D333E"/>
    <w:rsid w:val="006D3BDA"/>
    <w:rsid w:val="006D3CEA"/>
    <w:rsid w:val="006D435E"/>
    <w:rsid w:val="006D51E2"/>
    <w:rsid w:val="006D58B3"/>
    <w:rsid w:val="006D58DA"/>
    <w:rsid w:val="006D58FC"/>
    <w:rsid w:val="006D5C76"/>
    <w:rsid w:val="006D5D35"/>
    <w:rsid w:val="006D5E9B"/>
    <w:rsid w:val="006D5EC8"/>
    <w:rsid w:val="006D5EC9"/>
    <w:rsid w:val="006D5FD5"/>
    <w:rsid w:val="006D76A2"/>
    <w:rsid w:val="006D7873"/>
    <w:rsid w:val="006D7F64"/>
    <w:rsid w:val="006E03EB"/>
    <w:rsid w:val="006E0559"/>
    <w:rsid w:val="006E1024"/>
    <w:rsid w:val="006E121C"/>
    <w:rsid w:val="006E1A0D"/>
    <w:rsid w:val="006E1AB9"/>
    <w:rsid w:val="006E2C1F"/>
    <w:rsid w:val="006E2EB3"/>
    <w:rsid w:val="006E32C4"/>
    <w:rsid w:val="006E38F9"/>
    <w:rsid w:val="006E390F"/>
    <w:rsid w:val="006E3AFC"/>
    <w:rsid w:val="006E3D22"/>
    <w:rsid w:val="006E3DCE"/>
    <w:rsid w:val="006E3E11"/>
    <w:rsid w:val="006E44FD"/>
    <w:rsid w:val="006E4571"/>
    <w:rsid w:val="006E4E47"/>
    <w:rsid w:val="006E510F"/>
    <w:rsid w:val="006E5237"/>
    <w:rsid w:val="006E5434"/>
    <w:rsid w:val="006E5550"/>
    <w:rsid w:val="006E5730"/>
    <w:rsid w:val="006E5953"/>
    <w:rsid w:val="006E64EF"/>
    <w:rsid w:val="006E6C01"/>
    <w:rsid w:val="006E6EC2"/>
    <w:rsid w:val="006E6FD7"/>
    <w:rsid w:val="006E725C"/>
    <w:rsid w:val="006E75EC"/>
    <w:rsid w:val="006E77D8"/>
    <w:rsid w:val="006E7977"/>
    <w:rsid w:val="006E7AB6"/>
    <w:rsid w:val="006F0286"/>
    <w:rsid w:val="006F0C0C"/>
    <w:rsid w:val="006F0E70"/>
    <w:rsid w:val="006F105B"/>
    <w:rsid w:val="006F11BC"/>
    <w:rsid w:val="006F128B"/>
    <w:rsid w:val="006F1329"/>
    <w:rsid w:val="006F1CE9"/>
    <w:rsid w:val="006F1F59"/>
    <w:rsid w:val="006F2509"/>
    <w:rsid w:val="006F26EC"/>
    <w:rsid w:val="006F2709"/>
    <w:rsid w:val="006F2745"/>
    <w:rsid w:val="006F2C50"/>
    <w:rsid w:val="006F2CF6"/>
    <w:rsid w:val="006F37AD"/>
    <w:rsid w:val="006F3B2E"/>
    <w:rsid w:val="006F3C54"/>
    <w:rsid w:val="006F3FBD"/>
    <w:rsid w:val="006F4894"/>
    <w:rsid w:val="006F504A"/>
    <w:rsid w:val="006F5E44"/>
    <w:rsid w:val="006F5EDE"/>
    <w:rsid w:val="006F65AB"/>
    <w:rsid w:val="006F6B86"/>
    <w:rsid w:val="006F74B9"/>
    <w:rsid w:val="006F7525"/>
    <w:rsid w:val="006F78BF"/>
    <w:rsid w:val="006F7EF3"/>
    <w:rsid w:val="0070007A"/>
    <w:rsid w:val="0070029D"/>
    <w:rsid w:val="00700A20"/>
    <w:rsid w:val="00702166"/>
    <w:rsid w:val="007027C5"/>
    <w:rsid w:val="007027F5"/>
    <w:rsid w:val="00702DE7"/>
    <w:rsid w:val="00702F7B"/>
    <w:rsid w:val="007037C6"/>
    <w:rsid w:val="00704031"/>
    <w:rsid w:val="007043B7"/>
    <w:rsid w:val="00704AB4"/>
    <w:rsid w:val="00704BE4"/>
    <w:rsid w:val="00704C73"/>
    <w:rsid w:val="00704CEE"/>
    <w:rsid w:val="00704DBF"/>
    <w:rsid w:val="00704F05"/>
    <w:rsid w:val="00705378"/>
    <w:rsid w:val="007053D5"/>
    <w:rsid w:val="00705A24"/>
    <w:rsid w:val="00705C8C"/>
    <w:rsid w:val="007062F5"/>
    <w:rsid w:val="0070658D"/>
    <w:rsid w:val="007066C7"/>
    <w:rsid w:val="00706AF0"/>
    <w:rsid w:val="007073D6"/>
    <w:rsid w:val="00707794"/>
    <w:rsid w:val="007101D8"/>
    <w:rsid w:val="00710F15"/>
    <w:rsid w:val="007113D7"/>
    <w:rsid w:val="00711B49"/>
    <w:rsid w:val="00711C29"/>
    <w:rsid w:val="00711C4C"/>
    <w:rsid w:val="0071213F"/>
    <w:rsid w:val="00712C5B"/>
    <w:rsid w:val="0071307F"/>
    <w:rsid w:val="0071358F"/>
    <w:rsid w:val="007136A5"/>
    <w:rsid w:val="00713755"/>
    <w:rsid w:val="007138E9"/>
    <w:rsid w:val="00713EEE"/>
    <w:rsid w:val="0071404F"/>
    <w:rsid w:val="007141B1"/>
    <w:rsid w:val="0071425F"/>
    <w:rsid w:val="00714C3B"/>
    <w:rsid w:val="00715DA0"/>
    <w:rsid w:val="007162B6"/>
    <w:rsid w:val="0071655B"/>
    <w:rsid w:val="007168C9"/>
    <w:rsid w:val="00716BFC"/>
    <w:rsid w:val="00717211"/>
    <w:rsid w:val="0071742B"/>
    <w:rsid w:val="007174B4"/>
    <w:rsid w:val="00717C45"/>
    <w:rsid w:val="007201E8"/>
    <w:rsid w:val="00720334"/>
    <w:rsid w:val="007203DD"/>
    <w:rsid w:val="00720B42"/>
    <w:rsid w:val="00720C7A"/>
    <w:rsid w:val="00720E3C"/>
    <w:rsid w:val="00721527"/>
    <w:rsid w:val="00721DDA"/>
    <w:rsid w:val="0072297E"/>
    <w:rsid w:val="00723526"/>
    <w:rsid w:val="00723794"/>
    <w:rsid w:val="007239AE"/>
    <w:rsid w:val="007250AB"/>
    <w:rsid w:val="00725523"/>
    <w:rsid w:val="007257BC"/>
    <w:rsid w:val="007259F5"/>
    <w:rsid w:val="0072621E"/>
    <w:rsid w:val="007262D7"/>
    <w:rsid w:val="00726A89"/>
    <w:rsid w:val="00726F6F"/>
    <w:rsid w:val="007276B9"/>
    <w:rsid w:val="00727E62"/>
    <w:rsid w:val="00727F46"/>
    <w:rsid w:val="007301A8"/>
    <w:rsid w:val="00730364"/>
    <w:rsid w:val="00730479"/>
    <w:rsid w:val="00731042"/>
    <w:rsid w:val="00731104"/>
    <w:rsid w:val="0073253B"/>
    <w:rsid w:val="007334DB"/>
    <w:rsid w:val="007335F3"/>
    <w:rsid w:val="0073369B"/>
    <w:rsid w:val="00733790"/>
    <w:rsid w:val="0073388C"/>
    <w:rsid w:val="00733A4E"/>
    <w:rsid w:val="00733AA3"/>
    <w:rsid w:val="007340AA"/>
    <w:rsid w:val="00734347"/>
    <w:rsid w:val="007345A4"/>
    <w:rsid w:val="007349F6"/>
    <w:rsid w:val="00734A76"/>
    <w:rsid w:val="00734A8F"/>
    <w:rsid w:val="00734B52"/>
    <w:rsid w:val="00735014"/>
    <w:rsid w:val="0073512C"/>
    <w:rsid w:val="007357B8"/>
    <w:rsid w:val="00735889"/>
    <w:rsid w:val="00735C68"/>
    <w:rsid w:val="00735E81"/>
    <w:rsid w:val="00736995"/>
    <w:rsid w:val="00736CC1"/>
    <w:rsid w:val="00736D6B"/>
    <w:rsid w:val="00736F17"/>
    <w:rsid w:val="00737495"/>
    <w:rsid w:val="00737DC7"/>
    <w:rsid w:val="007404CC"/>
    <w:rsid w:val="007407FA"/>
    <w:rsid w:val="00740980"/>
    <w:rsid w:val="00740B83"/>
    <w:rsid w:val="007422B6"/>
    <w:rsid w:val="00742E2A"/>
    <w:rsid w:val="00742E51"/>
    <w:rsid w:val="00742ECF"/>
    <w:rsid w:val="0074390A"/>
    <w:rsid w:val="00743F90"/>
    <w:rsid w:val="0074442B"/>
    <w:rsid w:val="0074446C"/>
    <w:rsid w:val="00744854"/>
    <w:rsid w:val="007454C9"/>
    <w:rsid w:val="00745862"/>
    <w:rsid w:val="00745934"/>
    <w:rsid w:val="00746059"/>
    <w:rsid w:val="00746907"/>
    <w:rsid w:val="007472DD"/>
    <w:rsid w:val="0074756F"/>
    <w:rsid w:val="00747842"/>
    <w:rsid w:val="0075001D"/>
    <w:rsid w:val="00750ACD"/>
    <w:rsid w:val="00750AFC"/>
    <w:rsid w:val="00750CD1"/>
    <w:rsid w:val="0075183A"/>
    <w:rsid w:val="0075208D"/>
    <w:rsid w:val="007530A1"/>
    <w:rsid w:val="0075319F"/>
    <w:rsid w:val="007532F2"/>
    <w:rsid w:val="00753421"/>
    <w:rsid w:val="00753B5E"/>
    <w:rsid w:val="00753E81"/>
    <w:rsid w:val="00753EA3"/>
    <w:rsid w:val="00753FC6"/>
    <w:rsid w:val="007545C0"/>
    <w:rsid w:val="007548B4"/>
    <w:rsid w:val="00754EB0"/>
    <w:rsid w:val="00755117"/>
    <w:rsid w:val="00755322"/>
    <w:rsid w:val="007554A6"/>
    <w:rsid w:val="0075595C"/>
    <w:rsid w:val="007560FB"/>
    <w:rsid w:val="007563A9"/>
    <w:rsid w:val="007563BB"/>
    <w:rsid w:val="007563CA"/>
    <w:rsid w:val="00756811"/>
    <w:rsid w:val="00756A24"/>
    <w:rsid w:val="007570C5"/>
    <w:rsid w:val="0075769D"/>
    <w:rsid w:val="007601C6"/>
    <w:rsid w:val="00760583"/>
    <w:rsid w:val="0076092A"/>
    <w:rsid w:val="00760EDD"/>
    <w:rsid w:val="007614DC"/>
    <w:rsid w:val="007618D6"/>
    <w:rsid w:val="00761A63"/>
    <w:rsid w:val="00761C37"/>
    <w:rsid w:val="00761FF5"/>
    <w:rsid w:val="007629D8"/>
    <w:rsid w:val="00763287"/>
    <w:rsid w:val="00763621"/>
    <w:rsid w:val="007648BF"/>
    <w:rsid w:val="00764C58"/>
    <w:rsid w:val="00764D2B"/>
    <w:rsid w:val="00764EB9"/>
    <w:rsid w:val="00764F83"/>
    <w:rsid w:val="0076532A"/>
    <w:rsid w:val="00765609"/>
    <w:rsid w:val="00765752"/>
    <w:rsid w:val="0076610A"/>
    <w:rsid w:val="007661B6"/>
    <w:rsid w:val="007663CA"/>
    <w:rsid w:val="00766B03"/>
    <w:rsid w:val="00766F7D"/>
    <w:rsid w:val="00767553"/>
    <w:rsid w:val="0076791C"/>
    <w:rsid w:val="00767979"/>
    <w:rsid w:val="00770122"/>
    <w:rsid w:val="0077118A"/>
    <w:rsid w:val="007715AF"/>
    <w:rsid w:val="00771F99"/>
    <w:rsid w:val="007726F9"/>
    <w:rsid w:val="00772D4D"/>
    <w:rsid w:val="00772FE9"/>
    <w:rsid w:val="007731C5"/>
    <w:rsid w:val="007733DF"/>
    <w:rsid w:val="00773409"/>
    <w:rsid w:val="00774089"/>
    <w:rsid w:val="00774485"/>
    <w:rsid w:val="00774705"/>
    <w:rsid w:val="007759BF"/>
    <w:rsid w:val="00775DC2"/>
    <w:rsid w:val="00776501"/>
    <w:rsid w:val="00776A9A"/>
    <w:rsid w:val="00776D00"/>
    <w:rsid w:val="00776EC2"/>
    <w:rsid w:val="00777FF6"/>
    <w:rsid w:val="007800B8"/>
    <w:rsid w:val="00780240"/>
    <w:rsid w:val="00780B06"/>
    <w:rsid w:val="0078135E"/>
    <w:rsid w:val="00781764"/>
    <w:rsid w:val="00781E1E"/>
    <w:rsid w:val="0078233E"/>
    <w:rsid w:val="0078340C"/>
    <w:rsid w:val="007835B4"/>
    <w:rsid w:val="00783DC6"/>
    <w:rsid w:val="00784161"/>
    <w:rsid w:val="0078435A"/>
    <w:rsid w:val="007849F3"/>
    <w:rsid w:val="0078533C"/>
    <w:rsid w:val="007855F0"/>
    <w:rsid w:val="00785813"/>
    <w:rsid w:val="007859A0"/>
    <w:rsid w:val="00785FC2"/>
    <w:rsid w:val="00786A77"/>
    <w:rsid w:val="007872D1"/>
    <w:rsid w:val="0078737C"/>
    <w:rsid w:val="00787732"/>
    <w:rsid w:val="007877E4"/>
    <w:rsid w:val="00787DFF"/>
    <w:rsid w:val="007905CD"/>
    <w:rsid w:val="00790CBD"/>
    <w:rsid w:val="00790D24"/>
    <w:rsid w:val="00790D2F"/>
    <w:rsid w:val="00790D46"/>
    <w:rsid w:val="007910FF"/>
    <w:rsid w:val="00792247"/>
    <w:rsid w:val="00792390"/>
    <w:rsid w:val="00792E32"/>
    <w:rsid w:val="0079314A"/>
    <w:rsid w:val="0079338B"/>
    <w:rsid w:val="00793744"/>
    <w:rsid w:val="00793A59"/>
    <w:rsid w:val="00793DDE"/>
    <w:rsid w:val="00793E04"/>
    <w:rsid w:val="00793E25"/>
    <w:rsid w:val="007940ED"/>
    <w:rsid w:val="0079433B"/>
    <w:rsid w:val="00794A52"/>
    <w:rsid w:val="00795127"/>
    <w:rsid w:val="00795BEE"/>
    <w:rsid w:val="00796CC4"/>
    <w:rsid w:val="00796F9B"/>
    <w:rsid w:val="007974D7"/>
    <w:rsid w:val="00797A71"/>
    <w:rsid w:val="00797D08"/>
    <w:rsid w:val="00797E96"/>
    <w:rsid w:val="007A05E3"/>
    <w:rsid w:val="007A08F9"/>
    <w:rsid w:val="007A0E7B"/>
    <w:rsid w:val="007A0FC3"/>
    <w:rsid w:val="007A16D8"/>
    <w:rsid w:val="007A1AAE"/>
    <w:rsid w:val="007A2847"/>
    <w:rsid w:val="007A31B9"/>
    <w:rsid w:val="007A327F"/>
    <w:rsid w:val="007A32DF"/>
    <w:rsid w:val="007A394F"/>
    <w:rsid w:val="007A3C12"/>
    <w:rsid w:val="007A3F78"/>
    <w:rsid w:val="007A4086"/>
    <w:rsid w:val="007A45BB"/>
    <w:rsid w:val="007A4BE1"/>
    <w:rsid w:val="007A4EDC"/>
    <w:rsid w:val="007A4FCF"/>
    <w:rsid w:val="007A52E6"/>
    <w:rsid w:val="007A559A"/>
    <w:rsid w:val="007A5679"/>
    <w:rsid w:val="007A611D"/>
    <w:rsid w:val="007A68A2"/>
    <w:rsid w:val="007A6AB2"/>
    <w:rsid w:val="007A6DFA"/>
    <w:rsid w:val="007A784F"/>
    <w:rsid w:val="007B0021"/>
    <w:rsid w:val="007B0D17"/>
    <w:rsid w:val="007B0E98"/>
    <w:rsid w:val="007B124A"/>
    <w:rsid w:val="007B17B8"/>
    <w:rsid w:val="007B17D7"/>
    <w:rsid w:val="007B1A04"/>
    <w:rsid w:val="007B1F28"/>
    <w:rsid w:val="007B222C"/>
    <w:rsid w:val="007B3041"/>
    <w:rsid w:val="007B3460"/>
    <w:rsid w:val="007B3F29"/>
    <w:rsid w:val="007B418D"/>
    <w:rsid w:val="007B438D"/>
    <w:rsid w:val="007B445A"/>
    <w:rsid w:val="007B535A"/>
    <w:rsid w:val="007B53BF"/>
    <w:rsid w:val="007B546C"/>
    <w:rsid w:val="007B56D5"/>
    <w:rsid w:val="007B597A"/>
    <w:rsid w:val="007B59AC"/>
    <w:rsid w:val="007B60CE"/>
    <w:rsid w:val="007B66A4"/>
    <w:rsid w:val="007B695A"/>
    <w:rsid w:val="007B6B68"/>
    <w:rsid w:val="007B6EE0"/>
    <w:rsid w:val="007B72F2"/>
    <w:rsid w:val="007B7B7F"/>
    <w:rsid w:val="007C007F"/>
    <w:rsid w:val="007C0139"/>
    <w:rsid w:val="007C05CC"/>
    <w:rsid w:val="007C0641"/>
    <w:rsid w:val="007C070B"/>
    <w:rsid w:val="007C0D4A"/>
    <w:rsid w:val="007C0FC7"/>
    <w:rsid w:val="007C19EB"/>
    <w:rsid w:val="007C1BC5"/>
    <w:rsid w:val="007C2631"/>
    <w:rsid w:val="007C2D47"/>
    <w:rsid w:val="007C2FE0"/>
    <w:rsid w:val="007C3024"/>
    <w:rsid w:val="007C3B48"/>
    <w:rsid w:val="007C3D93"/>
    <w:rsid w:val="007C4086"/>
    <w:rsid w:val="007C4246"/>
    <w:rsid w:val="007C55BD"/>
    <w:rsid w:val="007C5714"/>
    <w:rsid w:val="007C5F8C"/>
    <w:rsid w:val="007C684E"/>
    <w:rsid w:val="007C70D9"/>
    <w:rsid w:val="007C7A16"/>
    <w:rsid w:val="007D0604"/>
    <w:rsid w:val="007D0BCD"/>
    <w:rsid w:val="007D0F9E"/>
    <w:rsid w:val="007D1528"/>
    <w:rsid w:val="007D1893"/>
    <w:rsid w:val="007D1D20"/>
    <w:rsid w:val="007D1D77"/>
    <w:rsid w:val="007D2145"/>
    <w:rsid w:val="007D21C6"/>
    <w:rsid w:val="007D25FE"/>
    <w:rsid w:val="007D3752"/>
    <w:rsid w:val="007D3F02"/>
    <w:rsid w:val="007D48F8"/>
    <w:rsid w:val="007D496A"/>
    <w:rsid w:val="007D5FC7"/>
    <w:rsid w:val="007D739A"/>
    <w:rsid w:val="007D73FB"/>
    <w:rsid w:val="007D7707"/>
    <w:rsid w:val="007D7B14"/>
    <w:rsid w:val="007D7CED"/>
    <w:rsid w:val="007D7DB1"/>
    <w:rsid w:val="007E0259"/>
    <w:rsid w:val="007E09A3"/>
    <w:rsid w:val="007E1679"/>
    <w:rsid w:val="007E210B"/>
    <w:rsid w:val="007E28CA"/>
    <w:rsid w:val="007E2DB7"/>
    <w:rsid w:val="007E50C1"/>
    <w:rsid w:val="007E574A"/>
    <w:rsid w:val="007E654A"/>
    <w:rsid w:val="007E6932"/>
    <w:rsid w:val="007E6D11"/>
    <w:rsid w:val="007E6DCC"/>
    <w:rsid w:val="007E7342"/>
    <w:rsid w:val="007E7710"/>
    <w:rsid w:val="007E7B16"/>
    <w:rsid w:val="007F027D"/>
    <w:rsid w:val="007F0602"/>
    <w:rsid w:val="007F09C7"/>
    <w:rsid w:val="007F0E73"/>
    <w:rsid w:val="007F0F02"/>
    <w:rsid w:val="007F102D"/>
    <w:rsid w:val="007F1FB4"/>
    <w:rsid w:val="007F310D"/>
    <w:rsid w:val="007F3365"/>
    <w:rsid w:val="007F35AC"/>
    <w:rsid w:val="007F3DF8"/>
    <w:rsid w:val="007F4580"/>
    <w:rsid w:val="007F52FC"/>
    <w:rsid w:val="007F5D2E"/>
    <w:rsid w:val="007F5DA7"/>
    <w:rsid w:val="007F60EA"/>
    <w:rsid w:val="007F6EBF"/>
    <w:rsid w:val="007F7DDB"/>
    <w:rsid w:val="007F7E17"/>
    <w:rsid w:val="00800673"/>
    <w:rsid w:val="00801584"/>
    <w:rsid w:val="00801A78"/>
    <w:rsid w:val="00801B64"/>
    <w:rsid w:val="008024A0"/>
    <w:rsid w:val="0080308E"/>
    <w:rsid w:val="00803299"/>
    <w:rsid w:val="008033FF"/>
    <w:rsid w:val="00803701"/>
    <w:rsid w:val="00803F90"/>
    <w:rsid w:val="008043AD"/>
    <w:rsid w:val="008046B1"/>
    <w:rsid w:val="00804A2E"/>
    <w:rsid w:val="00804E67"/>
    <w:rsid w:val="00805436"/>
    <w:rsid w:val="00805658"/>
    <w:rsid w:val="00805944"/>
    <w:rsid w:val="00806056"/>
    <w:rsid w:val="008065B4"/>
    <w:rsid w:val="008065D0"/>
    <w:rsid w:val="00807336"/>
    <w:rsid w:val="0080762D"/>
    <w:rsid w:val="00807D49"/>
    <w:rsid w:val="008102E5"/>
    <w:rsid w:val="00810319"/>
    <w:rsid w:val="008112BA"/>
    <w:rsid w:val="00811FB7"/>
    <w:rsid w:val="008128E8"/>
    <w:rsid w:val="00812B50"/>
    <w:rsid w:val="00812C17"/>
    <w:rsid w:val="00813141"/>
    <w:rsid w:val="0081318D"/>
    <w:rsid w:val="00813A62"/>
    <w:rsid w:val="00814695"/>
    <w:rsid w:val="008146D9"/>
    <w:rsid w:val="00815008"/>
    <w:rsid w:val="0081524E"/>
    <w:rsid w:val="008154F5"/>
    <w:rsid w:val="0081580A"/>
    <w:rsid w:val="00815AD9"/>
    <w:rsid w:val="00815B94"/>
    <w:rsid w:val="00815D7F"/>
    <w:rsid w:val="00816784"/>
    <w:rsid w:val="00816C77"/>
    <w:rsid w:val="0081777C"/>
    <w:rsid w:val="00817ED9"/>
    <w:rsid w:val="00820202"/>
    <w:rsid w:val="008205AD"/>
    <w:rsid w:val="00820614"/>
    <w:rsid w:val="0082063F"/>
    <w:rsid w:val="00820998"/>
    <w:rsid w:val="00820A87"/>
    <w:rsid w:val="00820BAB"/>
    <w:rsid w:val="00820F95"/>
    <w:rsid w:val="0082201D"/>
    <w:rsid w:val="00822FAB"/>
    <w:rsid w:val="008235DF"/>
    <w:rsid w:val="00823996"/>
    <w:rsid w:val="00823F62"/>
    <w:rsid w:val="008240BE"/>
    <w:rsid w:val="008242E4"/>
    <w:rsid w:val="00824D46"/>
    <w:rsid w:val="00825193"/>
    <w:rsid w:val="00825B35"/>
    <w:rsid w:val="00825DB1"/>
    <w:rsid w:val="00826039"/>
    <w:rsid w:val="0082662B"/>
    <w:rsid w:val="00826842"/>
    <w:rsid w:val="00826D72"/>
    <w:rsid w:val="00827247"/>
    <w:rsid w:val="00827F98"/>
    <w:rsid w:val="008309DE"/>
    <w:rsid w:val="008315C0"/>
    <w:rsid w:val="00832324"/>
    <w:rsid w:val="00832697"/>
    <w:rsid w:val="00832F34"/>
    <w:rsid w:val="00833219"/>
    <w:rsid w:val="0083330E"/>
    <w:rsid w:val="008336B4"/>
    <w:rsid w:val="00835696"/>
    <w:rsid w:val="008359F3"/>
    <w:rsid w:val="0083614D"/>
    <w:rsid w:val="00836171"/>
    <w:rsid w:val="00836511"/>
    <w:rsid w:val="00836B55"/>
    <w:rsid w:val="008372CC"/>
    <w:rsid w:val="00837410"/>
    <w:rsid w:val="00837AFE"/>
    <w:rsid w:val="008407EC"/>
    <w:rsid w:val="008408C6"/>
    <w:rsid w:val="00840BD1"/>
    <w:rsid w:val="008410B0"/>
    <w:rsid w:val="0084132B"/>
    <w:rsid w:val="00841393"/>
    <w:rsid w:val="008419E1"/>
    <w:rsid w:val="00841E6C"/>
    <w:rsid w:val="0084206E"/>
    <w:rsid w:val="00842723"/>
    <w:rsid w:val="0084274A"/>
    <w:rsid w:val="00842F60"/>
    <w:rsid w:val="008435C0"/>
    <w:rsid w:val="008439A0"/>
    <w:rsid w:val="00843B42"/>
    <w:rsid w:val="008441A0"/>
    <w:rsid w:val="008446E8"/>
    <w:rsid w:val="00844F1A"/>
    <w:rsid w:val="00845CAC"/>
    <w:rsid w:val="00845DE5"/>
    <w:rsid w:val="00846359"/>
    <w:rsid w:val="008465E8"/>
    <w:rsid w:val="00846DC4"/>
    <w:rsid w:val="00847C7A"/>
    <w:rsid w:val="00850056"/>
    <w:rsid w:val="008503E4"/>
    <w:rsid w:val="0085048C"/>
    <w:rsid w:val="00850879"/>
    <w:rsid w:val="008508BD"/>
    <w:rsid w:val="00850B02"/>
    <w:rsid w:val="008514EC"/>
    <w:rsid w:val="00851801"/>
    <w:rsid w:val="00851F7D"/>
    <w:rsid w:val="00851FBE"/>
    <w:rsid w:val="0085219A"/>
    <w:rsid w:val="00852C34"/>
    <w:rsid w:val="00852DF1"/>
    <w:rsid w:val="0085319A"/>
    <w:rsid w:val="008531D2"/>
    <w:rsid w:val="008537F7"/>
    <w:rsid w:val="00853814"/>
    <w:rsid w:val="008538E5"/>
    <w:rsid w:val="0085394A"/>
    <w:rsid w:val="008539B3"/>
    <w:rsid w:val="00853A61"/>
    <w:rsid w:val="00853F65"/>
    <w:rsid w:val="0085415E"/>
    <w:rsid w:val="0085438A"/>
    <w:rsid w:val="00854838"/>
    <w:rsid w:val="00855474"/>
    <w:rsid w:val="00855B85"/>
    <w:rsid w:val="00855D1F"/>
    <w:rsid w:val="0085641C"/>
    <w:rsid w:val="00856669"/>
    <w:rsid w:val="008568C9"/>
    <w:rsid w:val="00857406"/>
    <w:rsid w:val="008574F6"/>
    <w:rsid w:val="0085793B"/>
    <w:rsid w:val="00857A0A"/>
    <w:rsid w:val="00857B30"/>
    <w:rsid w:val="0086017B"/>
    <w:rsid w:val="008602C2"/>
    <w:rsid w:val="00860377"/>
    <w:rsid w:val="0086055F"/>
    <w:rsid w:val="008608F8"/>
    <w:rsid w:val="00860B60"/>
    <w:rsid w:val="00860E14"/>
    <w:rsid w:val="00861065"/>
    <w:rsid w:val="00861145"/>
    <w:rsid w:val="00861458"/>
    <w:rsid w:val="00861A2E"/>
    <w:rsid w:val="00861A54"/>
    <w:rsid w:val="0086208B"/>
    <w:rsid w:val="008620C1"/>
    <w:rsid w:val="00862826"/>
    <w:rsid w:val="00862E61"/>
    <w:rsid w:val="00863823"/>
    <w:rsid w:val="00863953"/>
    <w:rsid w:val="008644F0"/>
    <w:rsid w:val="008647E7"/>
    <w:rsid w:val="00865233"/>
    <w:rsid w:val="00865425"/>
    <w:rsid w:val="00865C6A"/>
    <w:rsid w:val="00865DE4"/>
    <w:rsid w:val="00867B02"/>
    <w:rsid w:val="00870673"/>
    <w:rsid w:val="00871569"/>
    <w:rsid w:val="00871784"/>
    <w:rsid w:val="0087189B"/>
    <w:rsid w:val="00872DA2"/>
    <w:rsid w:val="0087334A"/>
    <w:rsid w:val="00873E0B"/>
    <w:rsid w:val="00873E6C"/>
    <w:rsid w:val="0087509D"/>
    <w:rsid w:val="0087520D"/>
    <w:rsid w:val="008754A7"/>
    <w:rsid w:val="00875922"/>
    <w:rsid w:val="00875A51"/>
    <w:rsid w:val="0087636D"/>
    <w:rsid w:val="0087694E"/>
    <w:rsid w:val="00877D9B"/>
    <w:rsid w:val="008802A9"/>
    <w:rsid w:val="00880478"/>
    <w:rsid w:val="00881321"/>
    <w:rsid w:val="00882458"/>
    <w:rsid w:val="00882896"/>
    <w:rsid w:val="00883321"/>
    <w:rsid w:val="00883C9F"/>
    <w:rsid w:val="00883FBF"/>
    <w:rsid w:val="00884B70"/>
    <w:rsid w:val="00884BC0"/>
    <w:rsid w:val="00884C10"/>
    <w:rsid w:val="008851C0"/>
    <w:rsid w:val="008852A4"/>
    <w:rsid w:val="008852EA"/>
    <w:rsid w:val="0088573C"/>
    <w:rsid w:val="00885A32"/>
    <w:rsid w:val="008867B2"/>
    <w:rsid w:val="00886BB1"/>
    <w:rsid w:val="0088718D"/>
    <w:rsid w:val="008878A0"/>
    <w:rsid w:val="00890A23"/>
    <w:rsid w:val="008916C4"/>
    <w:rsid w:val="00892260"/>
    <w:rsid w:val="008922C5"/>
    <w:rsid w:val="008923ED"/>
    <w:rsid w:val="0089281A"/>
    <w:rsid w:val="0089285A"/>
    <w:rsid w:val="00892D08"/>
    <w:rsid w:val="00892EB5"/>
    <w:rsid w:val="00893801"/>
    <w:rsid w:val="00893C82"/>
    <w:rsid w:val="00893DEB"/>
    <w:rsid w:val="00893F0B"/>
    <w:rsid w:val="008940FA"/>
    <w:rsid w:val="008947C7"/>
    <w:rsid w:val="00894856"/>
    <w:rsid w:val="00894F9D"/>
    <w:rsid w:val="00894FA8"/>
    <w:rsid w:val="008951BB"/>
    <w:rsid w:val="0089586D"/>
    <w:rsid w:val="00895A3A"/>
    <w:rsid w:val="00895C0A"/>
    <w:rsid w:val="00895C84"/>
    <w:rsid w:val="00895E31"/>
    <w:rsid w:val="00896CBD"/>
    <w:rsid w:val="00896E1D"/>
    <w:rsid w:val="008972DE"/>
    <w:rsid w:val="00897761"/>
    <w:rsid w:val="008A02F8"/>
    <w:rsid w:val="008A038F"/>
    <w:rsid w:val="008A0EBB"/>
    <w:rsid w:val="008A0F95"/>
    <w:rsid w:val="008A1034"/>
    <w:rsid w:val="008A1F91"/>
    <w:rsid w:val="008A1F95"/>
    <w:rsid w:val="008A270E"/>
    <w:rsid w:val="008A2CA0"/>
    <w:rsid w:val="008A2E96"/>
    <w:rsid w:val="008A31E0"/>
    <w:rsid w:val="008A34BE"/>
    <w:rsid w:val="008A3802"/>
    <w:rsid w:val="008A3EA2"/>
    <w:rsid w:val="008A44C3"/>
    <w:rsid w:val="008A457C"/>
    <w:rsid w:val="008A4B59"/>
    <w:rsid w:val="008A4FFC"/>
    <w:rsid w:val="008A50C6"/>
    <w:rsid w:val="008A54F8"/>
    <w:rsid w:val="008A5811"/>
    <w:rsid w:val="008A622C"/>
    <w:rsid w:val="008A6462"/>
    <w:rsid w:val="008A6634"/>
    <w:rsid w:val="008A67EF"/>
    <w:rsid w:val="008A6F37"/>
    <w:rsid w:val="008A791C"/>
    <w:rsid w:val="008A7BA9"/>
    <w:rsid w:val="008A7BB4"/>
    <w:rsid w:val="008A7C6B"/>
    <w:rsid w:val="008B0216"/>
    <w:rsid w:val="008B0C2C"/>
    <w:rsid w:val="008B1038"/>
    <w:rsid w:val="008B1442"/>
    <w:rsid w:val="008B1D92"/>
    <w:rsid w:val="008B21C8"/>
    <w:rsid w:val="008B226E"/>
    <w:rsid w:val="008B2435"/>
    <w:rsid w:val="008B366C"/>
    <w:rsid w:val="008B3936"/>
    <w:rsid w:val="008B3967"/>
    <w:rsid w:val="008B399D"/>
    <w:rsid w:val="008B4F98"/>
    <w:rsid w:val="008B5020"/>
    <w:rsid w:val="008B51ED"/>
    <w:rsid w:val="008B5405"/>
    <w:rsid w:val="008B5851"/>
    <w:rsid w:val="008B5CCA"/>
    <w:rsid w:val="008B5F7F"/>
    <w:rsid w:val="008B6033"/>
    <w:rsid w:val="008B696C"/>
    <w:rsid w:val="008B6A9A"/>
    <w:rsid w:val="008B6D08"/>
    <w:rsid w:val="008B6DF3"/>
    <w:rsid w:val="008B723E"/>
    <w:rsid w:val="008B77DC"/>
    <w:rsid w:val="008B7922"/>
    <w:rsid w:val="008B7AB9"/>
    <w:rsid w:val="008B7F74"/>
    <w:rsid w:val="008C0564"/>
    <w:rsid w:val="008C05C9"/>
    <w:rsid w:val="008C08B4"/>
    <w:rsid w:val="008C0C05"/>
    <w:rsid w:val="008C1080"/>
    <w:rsid w:val="008C22CC"/>
    <w:rsid w:val="008C2560"/>
    <w:rsid w:val="008C27D2"/>
    <w:rsid w:val="008C287D"/>
    <w:rsid w:val="008C2DD4"/>
    <w:rsid w:val="008C3213"/>
    <w:rsid w:val="008C331C"/>
    <w:rsid w:val="008C3403"/>
    <w:rsid w:val="008C4544"/>
    <w:rsid w:val="008C4A9B"/>
    <w:rsid w:val="008C4F87"/>
    <w:rsid w:val="008C53C2"/>
    <w:rsid w:val="008C540E"/>
    <w:rsid w:val="008C56FF"/>
    <w:rsid w:val="008C64A7"/>
    <w:rsid w:val="008C64FD"/>
    <w:rsid w:val="008C6690"/>
    <w:rsid w:val="008C6BBD"/>
    <w:rsid w:val="008C6C46"/>
    <w:rsid w:val="008C7FFB"/>
    <w:rsid w:val="008D0B6D"/>
    <w:rsid w:val="008D0C10"/>
    <w:rsid w:val="008D1024"/>
    <w:rsid w:val="008D1151"/>
    <w:rsid w:val="008D1153"/>
    <w:rsid w:val="008D1461"/>
    <w:rsid w:val="008D1FC2"/>
    <w:rsid w:val="008D2BAA"/>
    <w:rsid w:val="008D37E1"/>
    <w:rsid w:val="008D3979"/>
    <w:rsid w:val="008D3BAE"/>
    <w:rsid w:val="008D4EAA"/>
    <w:rsid w:val="008D4FCC"/>
    <w:rsid w:val="008D54BB"/>
    <w:rsid w:val="008D57B7"/>
    <w:rsid w:val="008D599E"/>
    <w:rsid w:val="008D5C2F"/>
    <w:rsid w:val="008D73F4"/>
    <w:rsid w:val="008D76D2"/>
    <w:rsid w:val="008E00C9"/>
    <w:rsid w:val="008E024A"/>
    <w:rsid w:val="008E07D3"/>
    <w:rsid w:val="008E0A3B"/>
    <w:rsid w:val="008E0E6E"/>
    <w:rsid w:val="008E0F65"/>
    <w:rsid w:val="008E105C"/>
    <w:rsid w:val="008E17DD"/>
    <w:rsid w:val="008E1D90"/>
    <w:rsid w:val="008E2C43"/>
    <w:rsid w:val="008E3A72"/>
    <w:rsid w:val="008E3FD9"/>
    <w:rsid w:val="008E4296"/>
    <w:rsid w:val="008E496A"/>
    <w:rsid w:val="008E4D31"/>
    <w:rsid w:val="008E5A5A"/>
    <w:rsid w:val="008E657A"/>
    <w:rsid w:val="008E6731"/>
    <w:rsid w:val="008E67C0"/>
    <w:rsid w:val="008E6BFC"/>
    <w:rsid w:val="008E6F8A"/>
    <w:rsid w:val="008E738B"/>
    <w:rsid w:val="008E7D5A"/>
    <w:rsid w:val="008F02DE"/>
    <w:rsid w:val="008F031E"/>
    <w:rsid w:val="008F0558"/>
    <w:rsid w:val="008F0D6A"/>
    <w:rsid w:val="008F0E2A"/>
    <w:rsid w:val="008F244E"/>
    <w:rsid w:val="008F24F9"/>
    <w:rsid w:val="008F29F6"/>
    <w:rsid w:val="008F2FA8"/>
    <w:rsid w:val="008F339D"/>
    <w:rsid w:val="008F3F5C"/>
    <w:rsid w:val="008F4FD7"/>
    <w:rsid w:val="008F51B2"/>
    <w:rsid w:val="008F5B77"/>
    <w:rsid w:val="008F6882"/>
    <w:rsid w:val="008F6D69"/>
    <w:rsid w:val="008F716B"/>
    <w:rsid w:val="008F7234"/>
    <w:rsid w:val="008F73DA"/>
    <w:rsid w:val="008F74C7"/>
    <w:rsid w:val="008F7F42"/>
    <w:rsid w:val="009000DE"/>
    <w:rsid w:val="00900453"/>
    <w:rsid w:val="0090064C"/>
    <w:rsid w:val="00902043"/>
    <w:rsid w:val="009025BF"/>
    <w:rsid w:val="00903D28"/>
    <w:rsid w:val="00904056"/>
    <w:rsid w:val="00904221"/>
    <w:rsid w:val="009044BA"/>
    <w:rsid w:val="00904581"/>
    <w:rsid w:val="00904FE2"/>
    <w:rsid w:val="00905076"/>
    <w:rsid w:val="0090555B"/>
    <w:rsid w:val="0090578F"/>
    <w:rsid w:val="00905AF7"/>
    <w:rsid w:val="00906080"/>
    <w:rsid w:val="009068F4"/>
    <w:rsid w:val="00906946"/>
    <w:rsid w:val="00906A06"/>
    <w:rsid w:val="00906DC0"/>
    <w:rsid w:val="00906EDF"/>
    <w:rsid w:val="009070D5"/>
    <w:rsid w:val="009071EA"/>
    <w:rsid w:val="009072F6"/>
    <w:rsid w:val="00907A03"/>
    <w:rsid w:val="00907B81"/>
    <w:rsid w:val="00910058"/>
    <w:rsid w:val="0091051A"/>
    <w:rsid w:val="00910609"/>
    <w:rsid w:val="00910F19"/>
    <w:rsid w:val="009110AB"/>
    <w:rsid w:val="009112B6"/>
    <w:rsid w:val="009115DF"/>
    <w:rsid w:val="009116A0"/>
    <w:rsid w:val="009119B2"/>
    <w:rsid w:val="00911FF8"/>
    <w:rsid w:val="00912296"/>
    <w:rsid w:val="00913324"/>
    <w:rsid w:val="009135E1"/>
    <w:rsid w:val="00913DBD"/>
    <w:rsid w:val="00914D13"/>
    <w:rsid w:val="00914DEE"/>
    <w:rsid w:val="00915626"/>
    <w:rsid w:val="00916949"/>
    <w:rsid w:val="0091727A"/>
    <w:rsid w:val="009176A0"/>
    <w:rsid w:val="009176C9"/>
    <w:rsid w:val="009177CB"/>
    <w:rsid w:val="009177EA"/>
    <w:rsid w:val="0092047C"/>
    <w:rsid w:val="00920488"/>
    <w:rsid w:val="00920BFF"/>
    <w:rsid w:val="00921435"/>
    <w:rsid w:val="0092186E"/>
    <w:rsid w:val="009219C4"/>
    <w:rsid w:val="00921D7D"/>
    <w:rsid w:val="009223E2"/>
    <w:rsid w:val="009225AA"/>
    <w:rsid w:val="00922A8D"/>
    <w:rsid w:val="00922B57"/>
    <w:rsid w:val="00922F4D"/>
    <w:rsid w:val="009232C5"/>
    <w:rsid w:val="0092341B"/>
    <w:rsid w:val="00924DEB"/>
    <w:rsid w:val="009257DB"/>
    <w:rsid w:val="0092618D"/>
    <w:rsid w:val="0092648B"/>
    <w:rsid w:val="00927AF3"/>
    <w:rsid w:val="0093059C"/>
    <w:rsid w:val="00930687"/>
    <w:rsid w:val="00930771"/>
    <w:rsid w:val="009327C4"/>
    <w:rsid w:val="00932D7E"/>
    <w:rsid w:val="00932FE0"/>
    <w:rsid w:val="00933168"/>
    <w:rsid w:val="009331AB"/>
    <w:rsid w:val="00933350"/>
    <w:rsid w:val="00933BF0"/>
    <w:rsid w:val="0093537C"/>
    <w:rsid w:val="00935E70"/>
    <w:rsid w:val="009363D7"/>
    <w:rsid w:val="0093664D"/>
    <w:rsid w:val="009366FD"/>
    <w:rsid w:val="00936B96"/>
    <w:rsid w:val="00936FA5"/>
    <w:rsid w:val="009370B6"/>
    <w:rsid w:val="00937276"/>
    <w:rsid w:val="00937947"/>
    <w:rsid w:val="00937956"/>
    <w:rsid w:val="00937EE6"/>
    <w:rsid w:val="009400B8"/>
    <w:rsid w:val="009406CE"/>
    <w:rsid w:val="0094070A"/>
    <w:rsid w:val="009409FB"/>
    <w:rsid w:val="0094107A"/>
    <w:rsid w:val="009414DE"/>
    <w:rsid w:val="009416CF"/>
    <w:rsid w:val="009418FC"/>
    <w:rsid w:val="00941BF4"/>
    <w:rsid w:val="00941CFA"/>
    <w:rsid w:val="00942C29"/>
    <w:rsid w:val="00943321"/>
    <w:rsid w:val="0094349F"/>
    <w:rsid w:val="00944364"/>
    <w:rsid w:val="00944415"/>
    <w:rsid w:val="0094463A"/>
    <w:rsid w:val="009447C5"/>
    <w:rsid w:val="00944A60"/>
    <w:rsid w:val="0094519B"/>
    <w:rsid w:val="0094597B"/>
    <w:rsid w:val="00945A29"/>
    <w:rsid w:val="00946A9B"/>
    <w:rsid w:val="00947041"/>
    <w:rsid w:val="00947C0A"/>
    <w:rsid w:val="00950141"/>
    <w:rsid w:val="009501EF"/>
    <w:rsid w:val="00950795"/>
    <w:rsid w:val="00950859"/>
    <w:rsid w:val="00950F87"/>
    <w:rsid w:val="00951286"/>
    <w:rsid w:val="00951394"/>
    <w:rsid w:val="00951BEB"/>
    <w:rsid w:val="00952077"/>
    <w:rsid w:val="00952E42"/>
    <w:rsid w:val="0095304B"/>
    <w:rsid w:val="009530B5"/>
    <w:rsid w:val="00953166"/>
    <w:rsid w:val="00953CFD"/>
    <w:rsid w:val="00953DEE"/>
    <w:rsid w:val="00953FB8"/>
    <w:rsid w:val="0095448A"/>
    <w:rsid w:val="00954A67"/>
    <w:rsid w:val="00954D9F"/>
    <w:rsid w:val="009569A9"/>
    <w:rsid w:val="00956DEE"/>
    <w:rsid w:val="0095721D"/>
    <w:rsid w:val="00957D9D"/>
    <w:rsid w:val="009603D2"/>
    <w:rsid w:val="00960582"/>
    <w:rsid w:val="00960663"/>
    <w:rsid w:val="00960E28"/>
    <w:rsid w:val="00960F6E"/>
    <w:rsid w:val="00961111"/>
    <w:rsid w:val="0096111E"/>
    <w:rsid w:val="0096125B"/>
    <w:rsid w:val="0096154B"/>
    <w:rsid w:val="00961623"/>
    <w:rsid w:val="009621E4"/>
    <w:rsid w:val="00962C08"/>
    <w:rsid w:val="00962EB8"/>
    <w:rsid w:val="00963031"/>
    <w:rsid w:val="0096373C"/>
    <w:rsid w:val="009645E3"/>
    <w:rsid w:val="00964B56"/>
    <w:rsid w:val="009653FA"/>
    <w:rsid w:val="009654E5"/>
    <w:rsid w:val="0096640D"/>
    <w:rsid w:val="00966476"/>
    <w:rsid w:val="009664E3"/>
    <w:rsid w:val="00966944"/>
    <w:rsid w:val="00966CBE"/>
    <w:rsid w:val="00967046"/>
    <w:rsid w:val="00967EDB"/>
    <w:rsid w:val="009700A2"/>
    <w:rsid w:val="00970160"/>
    <w:rsid w:val="0097038C"/>
    <w:rsid w:val="0097104A"/>
    <w:rsid w:val="00971244"/>
    <w:rsid w:val="0097132D"/>
    <w:rsid w:val="00971895"/>
    <w:rsid w:val="00971B73"/>
    <w:rsid w:val="00971F78"/>
    <w:rsid w:val="009721C1"/>
    <w:rsid w:val="009723B6"/>
    <w:rsid w:val="0097276E"/>
    <w:rsid w:val="00972855"/>
    <w:rsid w:val="00972B43"/>
    <w:rsid w:val="00972C87"/>
    <w:rsid w:val="00972D14"/>
    <w:rsid w:val="00972EDE"/>
    <w:rsid w:val="009731A8"/>
    <w:rsid w:val="00973508"/>
    <w:rsid w:val="00973E75"/>
    <w:rsid w:val="00973FDF"/>
    <w:rsid w:val="00974830"/>
    <w:rsid w:val="00974AE5"/>
    <w:rsid w:val="00974B95"/>
    <w:rsid w:val="009753A1"/>
    <w:rsid w:val="0097592D"/>
    <w:rsid w:val="00975AA0"/>
    <w:rsid w:val="00975B82"/>
    <w:rsid w:val="00975E1B"/>
    <w:rsid w:val="00976040"/>
    <w:rsid w:val="00976116"/>
    <w:rsid w:val="009762D2"/>
    <w:rsid w:val="00976AF5"/>
    <w:rsid w:val="009771D4"/>
    <w:rsid w:val="009776A1"/>
    <w:rsid w:val="00980630"/>
    <w:rsid w:val="00980F03"/>
    <w:rsid w:val="009811B5"/>
    <w:rsid w:val="009812D3"/>
    <w:rsid w:val="00981A7F"/>
    <w:rsid w:val="00981D1D"/>
    <w:rsid w:val="00982167"/>
    <w:rsid w:val="0098284B"/>
    <w:rsid w:val="00983603"/>
    <w:rsid w:val="0098379B"/>
    <w:rsid w:val="009837B0"/>
    <w:rsid w:val="0098429F"/>
    <w:rsid w:val="00984810"/>
    <w:rsid w:val="00984D29"/>
    <w:rsid w:val="00984E89"/>
    <w:rsid w:val="00985177"/>
    <w:rsid w:val="009851B2"/>
    <w:rsid w:val="009852D0"/>
    <w:rsid w:val="009852D7"/>
    <w:rsid w:val="00985E8B"/>
    <w:rsid w:val="009867DB"/>
    <w:rsid w:val="009874CD"/>
    <w:rsid w:val="00987F53"/>
    <w:rsid w:val="009902C6"/>
    <w:rsid w:val="009903F5"/>
    <w:rsid w:val="009905CB"/>
    <w:rsid w:val="0099066B"/>
    <w:rsid w:val="00990D6B"/>
    <w:rsid w:val="00990FFA"/>
    <w:rsid w:val="00991BBD"/>
    <w:rsid w:val="00992426"/>
    <w:rsid w:val="009924A8"/>
    <w:rsid w:val="00992639"/>
    <w:rsid w:val="009926D2"/>
    <w:rsid w:val="00992767"/>
    <w:rsid w:val="009929B3"/>
    <w:rsid w:val="00992C74"/>
    <w:rsid w:val="00993146"/>
    <w:rsid w:val="0099389A"/>
    <w:rsid w:val="00995286"/>
    <w:rsid w:val="009952F2"/>
    <w:rsid w:val="00995F4B"/>
    <w:rsid w:val="009964CE"/>
    <w:rsid w:val="00996B27"/>
    <w:rsid w:val="00997675"/>
    <w:rsid w:val="00997ED2"/>
    <w:rsid w:val="009A00C2"/>
    <w:rsid w:val="009A0105"/>
    <w:rsid w:val="009A019F"/>
    <w:rsid w:val="009A02BD"/>
    <w:rsid w:val="009A02C0"/>
    <w:rsid w:val="009A0313"/>
    <w:rsid w:val="009A03A3"/>
    <w:rsid w:val="009A08E6"/>
    <w:rsid w:val="009A0981"/>
    <w:rsid w:val="009A0C36"/>
    <w:rsid w:val="009A0C90"/>
    <w:rsid w:val="009A11E6"/>
    <w:rsid w:val="009A1BFD"/>
    <w:rsid w:val="009A1D7A"/>
    <w:rsid w:val="009A1F3E"/>
    <w:rsid w:val="009A2A79"/>
    <w:rsid w:val="009A2B1C"/>
    <w:rsid w:val="009A2B59"/>
    <w:rsid w:val="009A2E1A"/>
    <w:rsid w:val="009A32BC"/>
    <w:rsid w:val="009A33FC"/>
    <w:rsid w:val="009A3939"/>
    <w:rsid w:val="009A40C5"/>
    <w:rsid w:val="009A4B84"/>
    <w:rsid w:val="009A60E7"/>
    <w:rsid w:val="009A6896"/>
    <w:rsid w:val="009A6A58"/>
    <w:rsid w:val="009A6E60"/>
    <w:rsid w:val="009A6E66"/>
    <w:rsid w:val="009A7080"/>
    <w:rsid w:val="009A77D7"/>
    <w:rsid w:val="009A7C07"/>
    <w:rsid w:val="009B001A"/>
    <w:rsid w:val="009B0235"/>
    <w:rsid w:val="009B03D6"/>
    <w:rsid w:val="009B1075"/>
    <w:rsid w:val="009B12B8"/>
    <w:rsid w:val="009B19EE"/>
    <w:rsid w:val="009B2411"/>
    <w:rsid w:val="009B2733"/>
    <w:rsid w:val="009B278C"/>
    <w:rsid w:val="009B2E9A"/>
    <w:rsid w:val="009B3839"/>
    <w:rsid w:val="009B5032"/>
    <w:rsid w:val="009B5098"/>
    <w:rsid w:val="009B5E52"/>
    <w:rsid w:val="009B6338"/>
    <w:rsid w:val="009B6370"/>
    <w:rsid w:val="009B6AEA"/>
    <w:rsid w:val="009B7B10"/>
    <w:rsid w:val="009B7C20"/>
    <w:rsid w:val="009B7DA0"/>
    <w:rsid w:val="009C016A"/>
    <w:rsid w:val="009C0352"/>
    <w:rsid w:val="009C0909"/>
    <w:rsid w:val="009C0EAE"/>
    <w:rsid w:val="009C19B0"/>
    <w:rsid w:val="009C253F"/>
    <w:rsid w:val="009C2ABB"/>
    <w:rsid w:val="009C2B5F"/>
    <w:rsid w:val="009C2DE7"/>
    <w:rsid w:val="009C2DEB"/>
    <w:rsid w:val="009C3776"/>
    <w:rsid w:val="009C3B02"/>
    <w:rsid w:val="009C43F0"/>
    <w:rsid w:val="009C49CC"/>
    <w:rsid w:val="009C4DA2"/>
    <w:rsid w:val="009C5E73"/>
    <w:rsid w:val="009C64E4"/>
    <w:rsid w:val="009C7032"/>
    <w:rsid w:val="009D016B"/>
    <w:rsid w:val="009D1191"/>
    <w:rsid w:val="009D1290"/>
    <w:rsid w:val="009D15CD"/>
    <w:rsid w:val="009D195B"/>
    <w:rsid w:val="009D1E20"/>
    <w:rsid w:val="009D1EA1"/>
    <w:rsid w:val="009D2AA0"/>
    <w:rsid w:val="009D2EA5"/>
    <w:rsid w:val="009D2FF5"/>
    <w:rsid w:val="009D33F3"/>
    <w:rsid w:val="009D394A"/>
    <w:rsid w:val="009D39EF"/>
    <w:rsid w:val="009D4366"/>
    <w:rsid w:val="009D6029"/>
    <w:rsid w:val="009D6151"/>
    <w:rsid w:val="009D62FF"/>
    <w:rsid w:val="009D64A1"/>
    <w:rsid w:val="009D6B24"/>
    <w:rsid w:val="009D701D"/>
    <w:rsid w:val="009D70B3"/>
    <w:rsid w:val="009D76F0"/>
    <w:rsid w:val="009D7FF4"/>
    <w:rsid w:val="009E1217"/>
    <w:rsid w:val="009E168E"/>
    <w:rsid w:val="009E1D4B"/>
    <w:rsid w:val="009E1F39"/>
    <w:rsid w:val="009E2A74"/>
    <w:rsid w:val="009E322A"/>
    <w:rsid w:val="009E3B6F"/>
    <w:rsid w:val="009E44FD"/>
    <w:rsid w:val="009E5777"/>
    <w:rsid w:val="009E59B7"/>
    <w:rsid w:val="009E5B66"/>
    <w:rsid w:val="009E6888"/>
    <w:rsid w:val="009E6DB3"/>
    <w:rsid w:val="009E6EC3"/>
    <w:rsid w:val="009E764A"/>
    <w:rsid w:val="009E7904"/>
    <w:rsid w:val="009E7B97"/>
    <w:rsid w:val="009E7C75"/>
    <w:rsid w:val="009F086E"/>
    <w:rsid w:val="009F0F3D"/>
    <w:rsid w:val="009F13FA"/>
    <w:rsid w:val="009F1B79"/>
    <w:rsid w:val="009F2658"/>
    <w:rsid w:val="009F265A"/>
    <w:rsid w:val="009F2709"/>
    <w:rsid w:val="009F2C1C"/>
    <w:rsid w:val="009F32E9"/>
    <w:rsid w:val="009F34FB"/>
    <w:rsid w:val="009F3F22"/>
    <w:rsid w:val="009F42FA"/>
    <w:rsid w:val="009F45DF"/>
    <w:rsid w:val="009F4885"/>
    <w:rsid w:val="009F4F89"/>
    <w:rsid w:val="009F55E4"/>
    <w:rsid w:val="009F5C82"/>
    <w:rsid w:val="009F5F34"/>
    <w:rsid w:val="009F694B"/>
    <w:rsid w:val="009F7083"/>
    <w:rsid w:val="009F70CA"/>
    <w:rsid w:val="009F744F"/>
    <w:rsid w:val="009F75FA"/>
    <w:rsid w:val="009F7F78"/>
    <w:rsid w:val="00A00559"/>
    <w:rsid w:val="00A005F2"/>
    <w:rsid w:val="00A00806"/>
    <w:rsid w:val="00A00E31"/>
    <w:rsid w:val="00A00E9E"/>
    <w:rsid w:val="00A01E2A"/>
    <w:rsid w:val="00A01ED1"/>
    <w:rsid w:val="00A02421"/>
    <w:rsid w:val="00A02652"/>
    <w:rsid w:val="00A0281A"/>
    <w:rsid w:val="00A02886"/>
    <w:rsid w:val="00A02B7A"/>
    <w:rsid w:val="00A02EC3"/>
    <w:rsid w:val="00A03366"/>
    <w:rsid w:val="00A0337B"/>
    <w:rsid w:val="00A03D9E"/>
    <w:rsid w:val="00A03E6F"/>
    <w:rsid w:val="00A04367"/>
    <w:rsid w:val="00A04440"/>
    <w:rsid w:val="00A04A67"/>
    <w:rsid w:val="00A04B8C"/>
    <w:rsid w:val="00A052A7"/>
    <w:rsid w:val="00A05973"/>
    <w:rsid w:val="00A06F11"/>
    <w:rsid w:val="00A06FF9"/>
    <w:rsid w:val="00A076A4"/>
    <w:rsid w:val="00A07DA1"/>
    <w:rsid w:val="00A102DD"/>
    <w:rsid w:val="00A117DC"/>
    <w:rsid w:val="00A11C2F"/>
    <w:rsid w:val="00A12403"/>
    <w:rsid w:val="00A12984"/>
    <w:rsid w:val="00A133F6"/>
    <w:rsid w:val="00A1372E"/>
    <w:rsid w:val="00A13751"/>
    <w:rsid w:val="00A13815"/>
    <w:rsid w:val="00A13B8B"/>
    <w:rsid w:val="00A13CA5"/>
    <w:rsid w:val="00A1410D"/>
    <w:rsid w:val="00A148AB"/>
    <w:rsid w:val="00A14B34"/>
    <w:rsid w:val="00A15880"/>
    <w:rsid w:val="00A15AA1"/>
    <w:rsid w:val="00A15EE1"/>
    <w:rsid w:val="00A15F0A"/>
    <w:rsid w:val="00A1658D"/>
    <w:rsid w:val="00A167E9"/>
    <w:rsid w:val="00A1704F"/>
    <w:rsid w:val="00A172E0"/>
    <w:rsid w:val="00A178D4"/>
    <w:rsid w:val="00A20028"/>
    <w:rsid w:val="00A204C9"/>
    <w:rsid w:val="00A204D6"/>
    <w:rsid w:val="00A21255"/>
    <w:rsid w:val="00A2136E"/>
    <w:rsid w:val="00A21D77"/>
    <w:rsid w:val="00A225EC"/>
    <w:rsid w:val="00A22E35"/>
    <w:rsid w:val="00A245B6"/>
    <w:rsid w:val="00A2483C"/>
    <w:rsid w:val="00A252C8"/>
    <w:rsid w:val="00A25AB1"/>
    <w:rsid w:val="00A25ABE"/>
    <w:rsid w:val="00A2604B"/>
    <w:rsid w:val="00A26C18"/>
    <w:rsid w:val="00A273F0"/>
    <w:rsid w:val="00A27D1C"/>
    <w:rsid w:val="00A30234"/>
    <w:rsid w:val="00A307E3"/>
    <w:rsid w:val="00A30942"/>
    <w:rsid w:val="00A30AE5"/>
    <w:rsid w:val="00A310FA"/>
    <w:rsid w:val="00A327B0"/>
    <w:rsid w:val="00A32938"/>
    <w:rsid w:val="00A33636"/>
    <w:rsid w:val="00A343CE"/>
    <w:rsid w:val="00A34563"/>
    <w:rsid w:val="00A3468F"/>
    <w:rsid w:val="00A34726"/>
    <w:rsid w:val="00A3498E"/>
    <w:rsid w:val="00A34C36"/>
    <w:rsid w:val="00A34EA5"/>
    <w:rsid w:val="00A3570B"/>
    <w:rsid w:val="00A35730"/>
    <w:rsid w:val="00A35A64"/>
    <w:rsid w:val="00A360E6"/>
    <w:rsid w:val="00A36109"/>
    <w:rsid w:val="00A377AD"/>
    <w:rsid w:val="00A37A6E"/>
    <w:rsid w:val="00A37D89"/>
    <w:rsid w:val="00A40167"/>
    <w:rsid w:val="00A403F2"/>
    <w:rsid w:val="00A40A05"/>
    <w:rsid w:val="00A40D64"/>
    <w:rsid w:val="00A41163"/>
    <w:rsid w:val="00A4136B"/>
    <w:rsid w:val="00A41383"/>
    <w:rsid w:val="00A41562"/>
    <w:rsid w:val="00A417CC"/>
    <w:rsid w:val="00A41B5C"/>
    <w:rsid w:val="00A41EB1"/>
    <w:rsid w:val="00A422D7"/>
    <w:rsid w:val="00A4240F"/>
    <w:rsid w:val="00A42413"/>
    <w:rsid w:val="00A43475"/>
    <w:rsid w:val="00A436A5"/>
    <w:rsid w:val="00A4370F"/>
    <w:rsid w:val="00A43CF3"/>
    <w:rsid w:val="00A44389"/>
    <w:rsid w:val="00A446AF"/>
    <w:rsid w:val="00A44900"/>
    <w:rsid w:val="00A449B3"/>
    <w:rsid w:val="00A44A05"/>
    <w:rsid w:val="00A44BC4"/>
    <w:rsid w:val="00A44FAB"/>
    <w:rsid w:val="00A45533"/>
    <w:rsid w:val="00A45B3F"/>
    <w:rsid w:val="00A4613F"/>
    <w:rsid w:val="00A4668F"/>
    <w:rsid w:val="00A469F1"/>
    <w:rsid w:val="00A46EFD"/>
    <w:rsid w:val="00A503E1"/>
    <w:rsid w:val="00A507AB"/>
    <w:rsid w:val="00A5097A"/>
    <w:rsid w:val="00A512A6"/>
    <w:rsid w:val="00A513A2"/>
    <w:rsid w:val="00A51600"/>
    <w:rsid w:val="00A526B2"/>
    <w:rsid w:val="00A52BE4"/>
    <w:rsid w:val="00A530C1"/>
    <w:rsid w:val="00A53415"/>
    <w:rsid w:val="00A5432B"/>
    <w:rsid w:val="00A55A44"/>
    <w:rsid w:val="00A565FC"/>
    <w:rsid w:val="00A566BA"/>
    <w:rsid w:val="00A56939"/>
    <w:rsid w:val="00A569CF"/>
    <w:rsid w:val="00A56C10"/>
    <w:rsid w:val="00A56FAB"/>
    <w:rsid w:val="00A571E7"/>
    <w:rsid w:val="00A578D4"/>
    <w:rsid w:val="00A5793A"/>
    <w:rsid w:val="00A6007F"/>
    <w:rsid w:val="00A60278"/>
    <w:rsid w:val="00A609C7"/>
    <w:rsid w:val="00A60CF8"/>
    <w:rsid w:val="00A61647"/>
    <w:rsid w:val="00A61914"/>
    <w:rsid w:val="00A61D8A"/>
    <w:rsid w:val="00A622B4"/>
    <w:rsid w:val="00A62E16"/>
    <w:rsid w:val="00A62E2F"/>
    <w:rsid w:val="00A637A0"/>
    <w:rsid w:val="00A637C9"/>
    <w:rsid w:val="00A63805"/>
    <w:rsid w:val="00A639D4"/>
    <w:rsid w:val="00A640A8"/>
    <w:rsid w:val="00A64175"/>
    <w:rsid w:val="00A6469F"/>
    <w:rsid w:val="00A64E8A"/>
    <w:rsid w:val="00A65456"/>
    <w:rsid w:val="00A65576"/>
    <w:rsid w:val="00A655F3"/>
    <w:rsid w:val="00A66677"/>
    <w:rsid w:val="00A66EBF"/>
    <w:rsid w:val="00A6722E"/>
    <w:rsid w:val="00A67A91"/>
    <w:rsid w:val="00A705F8"/>
    <w:rsid w:val="00A70B2A"/>
    <w:rsid w:val="00A70C8D"/>
    <w:rsid w:val="00A71D7A"/>
    <w:rsid w:val="00A72098"/>
    <w:rsid w:val="00A731A3"/>
    <w:rsid w:val="00A733F7"/>
    <w:rsid w:val="00A74243"/>
    <w:rsid w:val="00A742CB"/>
    <w:rsid w:val="00A74382"/>
    <w:rsid w:val="00A752E6"/>
    <w:rsid w:val="00A75669"/>
    <w:rsid w:val="00A756CC"/>
    <w:rsid w:val="00A75D36"/>
    <w:rsid w:val="00A75ED6"/>
    <w:rsid w:val="00A75F9D"/>
    <w:rsid w:val="00A762E0"/>
    <w:rsid w:val="00A76622"/>
    <w:rsid w:val="00A7665B"/>
    <w:rsid w:val="00A76CF2"/>
    <w:rsid w:val="00A77197"/>
    <w:rsid w:val="00A77232"/>
    <w:rsid w:val="00A77334"/>
    <w:rsid w:val="00A778C5"/>
    <w:rsid w:val="00A77A03"/>
    <w:rsid w:val="00A77D55"/>
    <w:rsid w:val="00A80680"/>
    <w:rsid w:val="00A807E9"/>
    <w:rsid w:val="00A80DBC"/>
    <w:rsid w:val="00A8109D"/>
    <w:rsid w:val="00A81739"/>
    <w:rsid w:val="00A81D15"/>
    <w:rsid w:val="00A81F06"/>
    <w:rsid w:val="00A82157"/>
    <w:rsid w:val="00A82B23"/>
    <w:rsid w:val="00A83561"/>
    <w:rsid w:val="00A835D1"/>
    <w:rsid w:val="00A838CA"/>
    <w:rsid w:val="00A83CC6"/>
    <w:rsid w:val="00A83EF6"/>
    <w:rsid w:val="00A84213"/>
    <w:rsid w:val="00A8427A"/>
    <w:rsid w:val="00A84364"/>
    <w:rsid w:val="00A849E1"/>
    <w:rsid w:val="00A84B4B"/>
    <w:rsid w:val="00A84B61"/>
    <w:rsid w:val="00A84BAD"/>
    <w:rsid w:val="00A84D08"/>
    <w:rsid w:val="00A85144"/>
    <w:rsid w:val="00A8583A"/>
    <w:rsid w:val="00A85CDE"/>
    <w:rsid w:val="00A86195"/>
    <w:rsid w:val="00A86282"/>
    <w:rsid w:val="00A86407"/>
    <w:rsid w:val="00A8644A"/>
    <w:rsid w:val="00A86748"/>
    <w:rsid w:val="00A867A8"/>
    <w:rsid w:val="00A867B5"/>
    <w:rsid w:val="00A867D3"/>
    <w:rsid w:val="00A86806"/>
    <w:rsid w:val="00A86E67"/>
    <w:rsid w:val="00A87E23"/>
    <w:rsid w:val="00A9097B"/>
    <w:rsid w:val="00A90DA4"/>
    <w:rsid w:val="00A91001"/>
    <w:rsid w:val="00A91244"/>
    <w:rsid w:val="00A9169F"/>
    <w:rsid w:val="00A91808"/>
    <w:rsid w:val="00A923C1"/>
    <w:rsid w:val="00A930F5"/>
    <w:rsid w:val="00A93477"/>
    <w:rsid w:val="00A936B8"/>
    <w:rsid w:val="00A94023"/>
    <w:rsid w:val="00A94047"/>
    <w:rsid w:val="00A94083"/>
    <w:rsid w:val="00A941A4"/>
    <w:rsid w:val="00A94504"/>
    <w:rsid w:val="00A94E6C"/>
    <w:rsid w:val="00A95035"/>
    <w:rsid w:val="00A9613B"/>
    <w:rsid w:val="00A96637"/>
    <w:rsid w:val="00A96690"/>
    <w:rsid w:val="00A9678A"/>
    <w:rsid w:val="00A97436"/>
    <w:rsid w:val="00AA047B"/>
    <w:rsid w:val="00AA08DA"/>
    <w:rsid w:val="00AA0EAF"/>
    <w:rsid w:val="00AA124F"/>
    <w:rsid w:val="00AA1CA0"/>
    <w:rsid w:val="00AA28D7"/>
    <w:rsid w:val="00AA291F"/>
    <w:rsid w:val="00AA2943"/>
    <w:rsid w:val="00AA2E7F"/>
    <w:rsid w:val="00AA3110"/>
    <w:rsid w:val="00AA3266"/>
    <w:rsid w:val="00AA33DA"/>
    <w:rsid w:val="00AA341B"/>
    <w:rsid w:val="00AA372A"/>
    <w:rsid w:val="00AA3998"/>
    <w:rsid w:val="00AA3F52"/>
    <w:rsid w:val="00AA4116"/>
    <w:rsid w:val="00AA4468"/>
    <w:rsid w:val="00AA55EF"/>
    <w:rsid w:val="00AA5BE4"/>
    <w:rsid w:val="00AA5E97"/>
    <w:rsid w:val="00AA6260"/>
    <w:rsid w:val="00AA637A"/>
    <w:rsid w:val="00AA66B7"/>
    <w:rsid w:val="00AA67F9"/>
    <w:rsid w:val="00AA7395"/>
    <w:rsid w:val="00AA74C3"/>
    <w:rsid w:val="00AA770D"/>
    <w:rsid w:val="00AA77A9"/>
    <w:rsid w:val="00AA7A6D"/>
    <w:rsid w:val="00AA7FF1"/>
    <w:rsid w:val="00AB0462"/>
    <w:rsid w:val="00AB08CE"/>
    <w:rsid w:val="00AB1230"/>
    <w:rsid w:val="00AB1B28"/>
    <w:rsid w:val="00AB1F7E"/>
    <w:rsid w:val="00AB2A39"/>
    <w:rsid w:val="00AB3614"/>
    <w:rsid w:val="00AB4324"/>
    <w:rsid w:val="00AB4728"/>
    <w:rsid w:val="00AB47D1"/>
    <w:rsid w:val="00AB4CEC"/>
    <w:rsid w:val="00AB5429"/>
    <w:rsid w:val="00AB5895"/>
    <w:rsid w:val="00AB69B2"/>
    <w:rsid w:val="00AB69BE"/>
    <w:rsid w:val="00AB7710"/>
    <w:rsid w:val="00AB77AA"/>
    <w:rsid w:val="00AB77FD"/>
    <w:rsid w:val="00AB789A"/>
    <w:rsid w:val="00AC004F"/>
    <w:rsid w:val="00AC0639"/>
    <w:rsid w:val="00AC0972"/>
    <w:rsid w:val="00AC09F1"/>
    <w:rsid w:val="00AC0A27"/>
    <w:rsid w:val="00AC0C30"/>
    <w:rsid w:val="00AC0F96"/>
    <w:rsid w:val="00AC182E"/>
    <w:rsid w:val="00AC1A2E"/>
    <w:rsid w:val="00AC1ACD"/>
    <w:rsid w:val="00AC1D7B"/>
    <w:rsid w:val="00AC1E6C"/>
    <w:rsid w:val="00AC2022"/>
    <w:rsid w:val="00AC230F"/>
    <w:rsid w:val="00AC28D8"/>
    <w:rsid w:val="00AC29F6"/>
    <w:rsid w:val="00AC2C3F"/>
    <w:rsid w:val="00AC2F58"/>
    <w:rsid w:val="00AC40CD"/>
    <w:rsid w:val="00AC44AA"/>
    <w:rsid w:val="00AC4568"/>
    <w:rsid w:val="00AC4CE5"/>
    <w:rsid w:val="00AC4D10"/>
    <w:rsid w:val="00AC4D56"/>
    <w:rsid w:val="00AC4F90"/>
    <w:rsid w:val="00AC510C"/>
    <w:rsid w:val="00AC5903"/>
    <w:rsid w:val="00AC5D9D"/>
    <w:rsid w:val="00AC6093"/>
    <w:rsid w:val="00AC6C75"/>
    <w:rsid w:val="00AC6CF6"/>
    <w:rsid w:val="00AC6D7B"/>
    <w:rsid w:val="00AC6F11"/>
    <w:rsid w:val="00AC7520"/>
    <w:rsid w:val="00AC777B"/>
    <w:rsid w:val="00AD066D"/>
    <w:rsid w:val="00AD100F"/>
    <w:rsid w:val="00AD1AEE"/>
    <w:rsid w:val="00AD2C5E"/>
    <w:rsid w:val="00AD3264"/>
    <w:rsid w:val="00AD33B0"/>
    <w:rsid w:val="00AD44D3"/>
    <w:rsid w:val="00AD460A"/>
    <w:rsid w:val="00AD4F7D"/>
    <w:rsid w:val="00AD5042"/>
    <w:rsid w:val="00AD553E"/>
    <w:rsid w:val="00AD55A9"/>
    <w:rsid w:val="00AD563F"/>
    <w:rsid w:val="00AD5AA1"/>
    <w:rsid w:val="00AD5E3B"/>
    <w:rsid w:val="00AD5E44"/>
    <w:rsid w:val="00AD61EE"/>
    <w:rsid w:val="00AD64A9"/>
    <w:rsid w:val="00AD66A5"/>
    <w:rsid w:val="00AD6A63"/>
    <w:rsid w:val="00AD6AC3"/>
    <w:rsid w:val="00AD6AE8"/>
    <w:rsid w:val="00AD70A1"/>
    <w:rsid w:val="00AD74FA"/>
    <w:rsid w:val="00AD7B65"/>
    <w:rsid w:val="00AE0612"/>
    <w:rsid w:val="00AE0AC4"/>
    <w:rsid w:val="00AE1090"/>
    <w:rsid w:val="00AE2337"/>
    <w:rsid w:val="00AE25E6"/>
    <w:rsid w:val="00AE3098"/>
    <w:rsid w:val="00AE3377"/>
    <w:rsid w:val="00AE37D3"/>
    <w:rsid w:val="00AE3D08"/>
    <w:rsid w:val="00AE3E81"/>
    <w:rsid w:val="00AE4040"/>
    <w:rsid w:val="00AE4238"/>
    <w:rsid w:val="00AE4398"/>
    <w:rsid w:val="00AE44EE"/>
    <w:rsid w:val="00AE4F1B"/>
    <w:rsid w:val="00AE5FFA"/>
    <w:rsid w:val="00AE60D4"/>
    <w:rsid w:val="00AE64FF"/>
    <w:rsid w:val="00AE6500"/>
    <w:rsid w:val="00AE6B31"/>
    <w:rsid w:val="00AE703C"/>
    <w:rsid w:val="00AE763E"/>
    <w:rsid w:val="00AE764B"/>
    <w:rsid w:val="00AE7711"/>
    <w:rsid w:val="00AE7838"/>
    <w:rsid w:val="00AE7851"/>
    <w:rsid w:val="00AE7A9D"/>
    <w:rsid w:val="00AE88FB"/>
    <w:rsid w:val="00AF06C6"/>
    <w:rsid w:val="00AF07A0"/>
    <w:rsid w:val="00AF0947"/>
    <w:rsid w:val="00AF0C6B"/>
    <w:rsid w:val="00AF0E98"/>
    <w:rsid w:val="00AF0EB6"/>
    <w:rsid w:val="00AF12E0"/>
    <w:rsid w:val="00AF1959"/>
    <w:rsid w:val="00AF1BEF"/>
    <w:rsid w:val="00AF1E53"/>
    <w:rsid w:val="00AF1EA7"/>
    <w:rsid w:val="00AF2317"/>
    <w:rsid w:val="00AF251C"/>
    <w:rsid w:val="00AF2582"/>
    <w:rsid w:val="00AF264B"/>
    <w:rsid w:val="00AF2B84"/>
    <w:rsid w:val="00AF2E24"/>
    <w:rsid w:val="00AF2F4D"/>
    <w:rsid w:val="00AF2F57"/>
    <w:rsid w:val="00AF2FB5"/>
    <w:rsid w:val="00AF32A5"/>
    <w:rsid w:val="00AF4244"/>
    <w:rsid w:val="00AF4C17"/>
    <w:rsid w:val="00AF57E7"/>
    <w:rsid w:val="00AF5C85"/>
    <w:rsid w:val="00AF5F54"/>
    <w:rsid w:val="00AF69C2"/>
    <w:rsid w:val="00AF6C6F"/>
    <w:rsid w:val="00AF70A2"/>
    <w:rsid w:val="00AF72B8"/>
    <w:rsid w:val="00AF7558"/>
    <w:rsid w:val="00AF795B"/>
    <w:rsid w:val="00AF7A9E"/>
    <w:rsid w:val="00B00130"/>
    <w:rsid w:val="00B01837"/>
    <w:rsid w:val="00B018B5"/>
    <w:rsid w:val="00B025C4"/>
    <w:rsid w:val="00B026BB"/>
    <w:rsid w:val="00B02935"/>
    <w:rsid w:val="00B02F56"/>
    <w:rsid w:val="00B0371B"/>
    <w:rsid w:val="00B03B7C"/>
    <w:rsid w:val="00B03F76"/>
    <w:rsid w:val="00B04400"/>
    <w:rsid w:val="00B046B2"/>
    <w:rsid w:val="00B04891"/>
    <w:rsid w:val="00B05615"/>
    <w:rsid w:val="00B0596A"/>
    <w:rsid w:val="00B06496"/>
    <w:rsid w:val="00B06CA4"/>
    <w:rsid w:val="00B06FA5"/>
    <w:rsid w:val="00B07490"/>
    <w:rsid w:val="00B07894"/>
    <w:rsid w:val="00B07B9B"/>
    <w:rsid w:val="00B10246"/>
    <w:rsid w:val="00B10368"/>
    <w:rsid w:val="00B103AB"/>
    <w:rsid w:val="00B10785"/>
    <w:rsid w:val="00B10C60"/>
    <w:rsid w:val="00B119F7"/>
    <w:rsid w:val="00B11A4D"/>
    <w:rsid w:val="00B11BE5"/>
    <w:rsid w:val="00B11D7B"/>
    <w:rsid w:val="00B12548"/>
    <w:rsid w:val="00B1265C"/>
    <w:rsid w:val="00B12B34"/>
    <w:rsid w:val="00B131E8"/>
    <w:rsid w:val="00B1366E"/>
    <w:rsid w:val="00B13FC3"/>
    <w:rsid w:val="00B1473D"/>
    <w:rsid w:val="00B14B06"/>
    <w:rsid w:val="00B15652"/>
    <w:rsid w:val="00B16383"/>
    <w:rsid w:val="00B16BA1"/>
    <w:rsid w:val="00B16D04"/>
    <w:rsid w:val="00B178E6"/>
    <w:rsid w:val="00B17ABE"/>
    <w:rsid w:val="00B17EB5"/>
    <w:rsid w:val="00B20922"/>
    <w:rsid w:val="00B20AE0"/>
    <w:rsid w:val="00B20C94"/>
    <w:rsid w:val="00B20D96"/>
    <w:rsid w:val="00B2105A"/>
    <w:rsid w:val="00B21094"/>
    <w:rsid w:val="00B21811"/>
    <w:rsid w:val="00B21981"/>
    <w:rsid w:val="00B21B66"/>
    <w:rsid w:val="00B21D39"/>
    <w:rsid w:val="00B21E70"/>
    <w:rsid w:val="00B2288D"/>
    <w:rsid w:val="00B228E3"/>
    <w:rsid w:val="00B22D26"/>
    <w:rsid w:val="00B2362E"/>
    <w:rsid w:val="00B23D1C"/>
    <w:rsid w:val="00B2411C"/>
    <w:rsid w:val="00B2416D"/>
    <w:rsid w:val="00B241EE"/>
    <w:rsid w:val="00B24323"/>
    <w:rsid w:val="00B244E1"/>
    <w:rsid w:val="00B24573"/>
    <w:rsid w:val="00B2490F"/>
    <w:rsid w:val="00B24A26"/>
    <w:rsid w:val="00B269D5"/>
    <w:rsid w:val="00B27793"/>
    <w:rsid w:val="00B27E4A"/>
    <w:rsid w:val="00B30674"/>
    <w:rsid w:val="00B30D87"/>
    <w:rsid w:val="00B31B67"/>
    <w:rsid w:val="00B31EC9"/>
    <w:rsid w:val="00B323E0"/>
    <w:rsid w:val="00B32695"/>
    <w:rsid w:val="00B326C8"/>
    <w:rsid w:val="00B33199"/>
    <w:rsid w:val="00B33286"/>
    <w:rsid w:val="00B33ACC"/>
    <w:rsid w:val="00B33ADE"/>
    <w:rsid w:val="00B346C6"/>
    <w:rsid w:val="00B346FF"/>
    <w:rsid w:val="00B348FB"/>
    <w:rsid w:val="00B34F42"/>
    <w:rsid w:val="00B35168"/>
    <w:rsid w:val="00B35B8B"/>
    <w:rsid w:val="00B36AB8"/>
    <w:rsid w:val="00B36B44"/>
    <w:rsid w:val="00B37265"/>
    <w:rsid w:val="00B376F5"/>
    <w:rsid w:val="00B37720"/>
    <w:rsid w:val="00B37E8B"/>
    <w:rsid w:val="00B40171"/>
    <w:rsid w:val="00B407A6"/>
    <w:rsid w:val="00B40C0F"/>
    <w:rsid w:val="00B4125D"/>
    <w:rsid w:val="00B4127F"/>
    <w:rsid w:val="00B41C28"/>
    <w:rsid w:val="00B41E61"/>
    <w:rsid w:val="00B42013"/>
    <w:rsid w:val="00B42C11"/>
    <w:rsid w:val="00B43047"/>
    <w:rsid w:val="00B431EC"/>
    <w:rsid w:val="00B4344B"/>
    <w:rsid w:val="00B438A4"/>
    <w:rsid w:val="00B43A86"/>
    <w:rsid w:val="00B43AFA"/>
    <w:rsid w:val="00B43C84"/>
    <w:rsid w:val="00B43CEF"/>
    <w:rsid w:val="00B450B3"/>
    <w:rsid w:val="00B45B88"/>
    <w:rsid w:val="00B460E2"/>
    <w:rsid w:val="00B46CC2"/>
    <w:rsid w:val="00B46D25"/>
    <w:rsid w:val="00B47067"/>
    <w:rsid w:val="00B474FA"/>
    <w:rsid w:val="00B4752A"/>
    <w:rsid w:val="00B476DE"/>
    <w:rsid w:val="00B50D51"/>
    <w:rsid w:val="00B513AA"/>
    <w:rsid w:val="00B514A5"/>
    <w:rsid w:val="00B51D3A"/>
    <w:rsid w:val="00B529AB"/>
    <w:rsid w:val="00B52C3E"/>
    <w:rsid w:val="00B52F5A"/>
    <w:rsid w:val="00B5454F"/>
    <w:rsid w:val="00B546A2"/>
    <w:rsid w:val="00B54801"/>
    <w:rsid w:val="00B54CA9"/>
    <w:rsid w:val="00B54E05"/>
    <w:rsid w:val="00B55289"/>
    <w:rsid w:val="00B55648"/>
    <w:rsid w:val="00B566D3"/>
    <w:rsid w:val="00B56813"/>
    <w:rsid w:val="00B569B9"/>
    <w:rsid w:val="00B5726A"/>
    <w:rsid w:val="00B576F4"/>
    <w:rsid w:val="00B57A07"/>
    <w:rsid w:val="00B57A73"/>
    <w:rsid w:val="00B57F74"/>
    <w:rsid w:val="00B6008B"/>
    <w:rsid w:val="00B600DE"/>
    <w:rsid w:val="00B61090"/>
    <w:rsid w:val="00B61246"/>
    <w:rsid w:val="00B617EA"/>
    <w:rsid w:val="00B6190B"/>
    <w:rsid w:val="00B6197A"/>
    <w:rsid w:val="00B625E2"/>
    <w:rsid w:val="00B62FCA"/>
    <w:rsid w:val="00B630AB"/>
    <w:rsid w:val="00B636EF"/>
    <w:rsid w:val="00B63A54"/>
    <w:rsid w:val="00B6403F"/>
    <w:rsid w:val="00B644EB"/>
    <w:rsid w:val="00B64F99"/>
    <w:rsid w:val="00B64FBF"/>
    <w:rsid w:val="00B658AF"/>
    <w:rsid w:val="00B65ADB"/>
    <w:rsid w:val="00B675CD"/>
    <w:rsid w:val="00B67774"/>
    <w:rsid w:val="00B7043C"/>
    <w:rsid w:val="00B705BA"/>
    <w:rsid w:val="00B70702"/>
    <w:rsid w:val="00B709C9"/>
    <w:rsid w:val="00B70E3A"/>
    <w:rsid w:val="00B70F89"/>
    <w:rsid w:val="00B70FBE"/>
    <w:rsid w:val="00B72140"/>
    <w:rsid w:val="00B7245D"/>
    <w:rsid w:val="00B72601"/>
    <w:rsid w:val="00B726BD"/>
    <w:rsid w:val="00B7292C"/>
    <w:rsid w:val="00B72C6C"/>
    <w:rsid w:val="00B73913"/>
    <w:rsid w:val="00B739A6"/>
    <w:rsid w:val="00B73C23"/>
    <w:rsid w:val="00B73C2E"/>
    <w:rsid w:val="00B74B2E"/>
    <w:rsid w:val="00B74CAF"/>
    <w:rsid w:val="00B7530F"/>
    <w:rsid w:val="00B754F1"/>
    <w:rsid w:val="00B756E2"/>
    <w:rsid w:val="00B7597F"/>
    <w:rsid w:val="00B75E2D"/>
    <w:rsid w:val="00B7713F"/>
    <w:rsid w:val="00B77CBB"/>
    <w:rsid w:val="00B77F88"/>
    <w:rsid w:val="00B8049F"/>
    <w:rsid w:val="00B80955"/>
    <w:rsid w:val="00B810F6"/>
    <w:rsid w:val="00B82026"/>
    <w:rsid w:val="00B825F8"/>
    <w:rsid w:val="00B8311C"/>
    <w:rsid w:val="00B83706"/>
    <w:rsid w:val="00B8398B"/>
    <w:rsid w:val="00B83A55"/>
    <w:rsid w:val="00B83E58"/>
    <w:rsid w:val="00B8403E"/>
    <w:rsid w:val="00B84627"/>
    <w:rsid w:val="00B846D6"/>
    <w:rsid w:val="00B8479D"/>
    <w:rsid w:val="00B84815"/>
    <w:rsid w:val="00B848DC"/>
    <w:rsid w:val="00B854CA"/>
    <w:rsid w:val="00B85C56"/>
    <w:rsid w:val="00B85DD1"/>
    <w:rsid w:val="00B862D2"/>
    <w:rsid w:val="00B864F0"/>
    <w:rsid w:val="00B868F6"/>
    <w:rsid w:val="00B86C2A"/>
    <w:rsid w:val="00B87435"/>
    <w:rsid w:val="00B8743C"/>
    <w:rsid w:val="00B911DA"/>
    <w:rsid w:val="00B91293"/>
    <w:rsid w:val="00B916A7"/>
    <w:rsid w:val="00B92215"/>
    <w:rsid w:val="00B925FA"/>
    <w:rsid w:val="00B9265B"/>
    <w:rsid w:val="00B92B02"/>
    <w:rsid w:val="00B9401B"/>
    <w:rsid w:val="00B94321"/>
    <w:rsid w:val="00B94712"/>
    <w:rsid w:val="00B94716"/>
    <w:rsid w:val="00B949C2"/>
    <w:rsid w:val="00B94CA8"/>
    <w:rsid w:val="00B953D6"/>
    <w:rsid w:val="00B95BBE"/>
    <w:rsid w:val="00B9620B"/>
    <w:rsid w:val="00B969F4"/>
    <w:rsid w:val="00B96CEF"/>
    <w:rsid w:val="00B97218"/>
    <w:rsid w:val="00B9733E"/>
    <w:rsid w:val="00B973F2"/>
    <w:rsid w:val="00B97F45"/>
    <w:rsid w:val="00BA0140"/>
    <w:rsid w:val="00BA028B"/>
    <w:rsid w:val="00BA0660"/>
    <w:rsid w:val="00BA06F7"/>
    <w:rsid w:val="00BA0785"/>
    <w:rsid w:val="00BA1A1A"/>
    <w:rsid w:val="00BA1A28"/>
    <w:rsid w:val="00BA1A92"/>
    <w:rsid w:val="00BA1E43"/>
    <w:rsid w:val="00BA27E0"/>
    <w:rsid w:val="00BA29E8"/>
    <w:rsid w:val="00BA369B"/>
    <w:rsid w:val="00BA4F44"/>
    <w:rsid w:val="00BA5650"/>
    <w:rsid w:val="00BA5B46"/>
    <w:rsid w:val="00BA5D2D"/>
    <w:rsid w:val="00BA64DE"/>
    <w:rsid w:val="00BA7230"/>
    <w:rsid w:val="00BA7339"/>
    <w:rsid w:val="00BA7EEE"/>
    <w:rsid w:val="00BB037D"/>
    <w:rsid w:val="00BB1102"/>
    <w:rsid w:val="00BB18D6"/>
    <w:rsid w:val="00BB1B8D"/>
    <w:rsid w:val="00BB2AB0"/>
    <w:rsid w:val="00BB2D2F"/>
    <w:rsid w:val="00BB3480"/>
    <w:rsid w:val="00BB36BF"/>
    <w:rsid w:val="00BB3FC9"/>
    <w:rsid w:val="00BB4764"/>
    <w:rsid w:val="00BB4ADF"/>
    <w:rsid w:val="00BB4D24"/>
    <w:rsid w:val="00BB56B7"/>
    <w:rsid w:val="00BB5880"/>
    <w:rsid w:val="00BB637E"/>
    <w:rsid w:val="00BB665D"/>
    <w:rsid w:val="00BB6B28"/>
    <w:rsid w:val="00BB6DB1"/>
    <w:rsid w:val="00BB76E5"/>
    <w:rsid w:val="00BB7738"/>
    <w:rsid w:val="00BB79CA"/>
    <w:rsid w:val="00BB7C25"/>
    <w:rsid w:val="00BC0D81"/>
    <w:rsid w:val="00BC1AC9"/>
    <w:rsid w:val="00BC20DE"/>
    <w:rsid w:val="00BC21FD"/>
    <w:rsid w:val="00BC222D"/>
    <w:rsid w:val="00BC230D"/>
    <w:rsid w:val="00BC28CC"/>
    <w:rsid w:val="00BC2DD6"/>
    <w:rsid w:val="00BC3727"/>
    <w:rsid w:val="00BC42E6"/>
    <w:rsid w:val="00BC46A4"/>
    <w:rsid w:val="00BC4EA2"/>
    <w:rsid w:val="00BC51BC"/>
    <w:rsid w:val="00BC5B01"/>
    <w:rsid w:val="00BC5C77"/>
    <w:rsid w:val="00BC6203"/>
    <w:rsid w:val="00BC6996"/>
    <w:rsid w:val="00BC6BEF"/>
    <w:rsid w:val="00BC70C2"/>
    <w:rsid w:val="00BC72AA"/>
    <w:rsid w:val="00BC757F"/>
    <w:rsid w:val="00BC76E0"/>
    <w:rsid w:val="00BC7C9F"/>
    <w:rsid w:val="00BC7EE5"/>
    <w:rsid w:val="00BC7EFA"/>
    <w:rsid w:val="00BD016A"/>
    <w:rsid w:val="00BD065F"/>
    <w:rsid w:val="00BD0F53"/>
    <w:rsid w:val="00BD2B2F"/>
    <w:rsid w:val="00BD3FD4"/>
    <w:rsid w:val="00BD4C67"/>
    <w:rsid w:val="00BD4D9C"/>
    <w:rsid w:val="00BD5155"/>
    <w:rsid w:val="00BD5C58"/>
    <w:rsid w:val="00BD5D4A"/>
    <w:rsid w:val="00BD5D5C"/>
    <w:rsid w:val="00BD65A2"/>
    <w:rsid w:val="00BD7045"/>
    <w:rsid w:val="00BD7199"/>
    <w:rsid w:val="00BD7D88"/>
    <w:rsid w:val="00BD7FFB"/>
    <w:rsid w:val="00BE02BD"/>
    <w:rsid w:val="00BE03C9"/>
    <w:rsid w:val="00BE0414"/>
    <w:rsid w:val="00BE04F9"/>
    <w:rsid w:val="00BE0524"/>
    <w:rsid w:val="00BE0688"/>
    <w:rsid w:val="00BE0B7A"/>
    <w:rsid w:val="00BE0C44"/>
    <w:rsid w:val="00BE1680"/>
    <w:rsid w:val="00BE1708"/>
    <w:rsid w:val="00BE1C64"/>
    <w:rsid w:val="00BE1CF8"/>
    <w:rsid w:val="00BE1F4F"/>
    <w:rsid w:val="00BE202F"/>
    <w:rsid w:val="00BE23A5"/>
    <w:rsid w:val="00BE24D3"/>
    <w:rsid w:val="00BE289A"/>
    <w:rsid w:val="00BE2B42"/>
    <w:rsid w:val="00BE3418"/>
    <w:rsid w:val="00BE377F"/>
    <w:rsid w:val="00BE3991"/>
    <w:rsid w:val="00BE40D1"/>
    <w:rsid w:val="00BE4AD8"/>
    <w:rsid w:val="00BE5256"/>
    <w:rsid w:val="00BE5491"/>
    <w:rsid w:val="00BE57B7"/>
    <w:rsid w:val="00BE5BA2"/>
    <w:rsid w:val="00BE5FE0"/>
    <w:rsid w:val="00BE60FE"/>
    <w:rsid w:val="00BE621C"/>
    <w:rsid w:val="00BE646A"/>
    <w:rsid w:val="00BE6BE5"/>
    <w:rsid w:val="00BE6DCF"/>
    <w:rsid w:val="00BE6DFB"/>
    <w:rsid w:val="00BE714D"/>
    <w:rsid w:val="00BE7450"/>
    <w:rsid w:val="00BE74B7"/>
    <w:rsid w:val="00BF01D7"/>
    <w:rsid w:val="00BF0637"/>
    <w:rsid w:val="00BF08AF"/>
    <w:rsid w:val="00BF0C54"/>
    <w:rsid w:val="00BF10BA"/>
    <w:rsid w:val="00BF187D"/>
    <w:rsid w:val="00BF2130"/>
    <w:rsid w:val="00BF26F9"/>
    <w:rsid w:val="00BF2A9E"/>
    <w:rsid w:val="00BF2B18"/>
    <w:rsid w:val="00BF2B9E"/>
    <w:rsid w:val="00BF3169"/>
    <w:rsid w:val="00BF3816"/>
    <w:rsid w:val="00BF3825"/>
    <w:rsid w:val="00BF387C"/>
    <w:rsid w:val="00BF3ECD"/>
    <w:rsid w:val="00BF3FEE"/>
    <w:rsid w:val="00BF4495"/>
    <w:rsid w:val="00BF44D5"/>
    <w:rsid w:val="00BF501F"/>
    <w:rsid w:val="00BF52EB"/>
    <w:rsid w:val="00BF67F8"/>
    <w:rsid w:val="00BF71E2"/>
    <w:rsid w:val="00BF7B00"/>
    <w:rsid w:val="00C00684"/>
    <w:rsid w:val="00C0092A"/>
    <w:rsid w:val="00C00F1C"/>
    <w:rsid w:val="00C01657"/>
    <w:rsid w:val="00C01838"/>
    <w:rsid w:val="00C0196C"/>
    <w:rsid w:val="00C01B70"/>
    <w:rsid w:val="00C01DB5"/>
    <w:rsid w:val="00C02BF6"/>
    <w:rsid w:val="00C02E0D"/>
    <w:rsid w:val="00C02E7D"/>
    <w:rsid w:val="00C03416"/>
    <w:rsid w:val="00C03C57"/>
    <w:rsid w:val="00C040E4"/>
    <w:rsid w:val="00C04265"/>
    <w:rsid w:val="00C04946"/>
    <w:rsid w:val="00C0498A"/>
    <w:rsid w:val="00C04AD1"/>
    <w:rsid w:val="00C04C54"/>
    <w:rsid w:val="00C04F71"/>
    <w:rsid w:val="00C053AD"/>
    <w:rsid w:val="00C05756"/>
    <w:rsid w:val="00C057ED"/>
    <w:rsid w:val="00C059B0"/>
    <w:rsid w:val="00C067F0"/>
    <w:rsid w:val="00C06998"/>
    <w:rsid w:val="00C06C20"/>
    <w:rsid w:val="00C06D2D"/>
    <w:rsid w:val="00C10843"/>
    <w:rsid w:val="00C10B9C"/>
    <w:rsid w:val="00C10CAF"/>
    <w:rsid w:val="00C11331"/>
    <w:rsid w:val="00C11BAC"/>
    <w:rsid w:val="00C1281D"/>
    <w:rsid w:val="00C1375C"/>
    <w:rsid w:val="00C137F4"/>
    <w:rsid w:val="00C13ABA"/>
    <w:rsid w:val="00C13CCE"/>
    <w:rsid w:val="00C1404F"/>
    <w:rsid w:val="00C143AE"/>
    <w:rsid w:val="00C1516F"/>
    <w:rsid w:val="00C15174"/>
    <w:rsid w:val="00C151AA"/>
    <w:rsid w:val="00C153A7"/>
    <w:rsid w:val="00C15484"/>
    <w:rsid w:val="00C15B47"/>
    <w:rsid w:val="00C17180"/>
    <w:rsid w:val="00C17A51"/>
    <w:rsid w:val="00C17BA5"/>
    <w:rsid w:val="00C17CC1"/>
    <w:rsid w:val="00C210A3"/>
    <w:rsid w:val="00C21BB2"/>
    <w:rsid w:val="00C21F42"/>
    <w:rsid w:val="00C22036"/>
    <w:rsid w:val="00C226DC"/>
    <w:rsid w:val="00C226F3"/>
    <w:rsid w:val="00C22ACB"/>
    <w:rsid w:val="00C22AF2"/>
    <w:rsid w:val="00C239AE"/>
    <w:rsid w:val="00C23E02"/>
    <w:rsid w:val="00C2426B"/>
    <w:rsid w:val="00C2437C"/>
    <w:rsid w:val="00C24B14"/>
    <w:rsid w:val="00C24B15"/>
    <w:rsid w:val="00C24C08"/>
    <w:rsid w:val="00C2506A"/>
    <w:rsid w:val="00C252F6"/>
    <w:rsid w:val="00C25A67"/>
    <w:rsid w:val="00C25B11"/>
    <w:rsid w:val="00C25F8E"/>
    <w:rsid w:val="00C25FBE"/>
    <w:rsid w:val="00C261CB"/>
    <w:rsid w:val="00C26CA7"/>
    <w:rsid w:val="00C27429"/>
    <w:rsid w:val="00C279D9"/>
    <w:rsid w:val="00C27BF9"/>
    <w:rsid w:val="00C30301"/>
    <w:rsid w:val="00C30FDD"/>
    <w:rsid w:val="00C310BB"/>
    <w:rsid w:val="00C31138"/>
    <w:rsid w:val="00C31144"/>
    <w:rsid w:val="00C3141D"/>
    <w:rsid w:val="00C31428"/>
    <w:rsid w:val="00C31928"/>
    <w:rsid w:val="00C31A15"/>
    <w:rsid w:val="00C3241B"/>
    <w:rsid w:val="00C326AB"/>
    <w:rsid w:val="00C33506"/>
    <w:rsid w:val="00C33C44"/>
    <w:rsid w:val="00C33CC4"/>
    <w:rsid w:val="00C3441C"/>
    <w:rsid w:val="00C34B2D"/>
    <w:rsid w:val="00C34FED"/>
    <w:rsid w:val="00C35F01"/>
    <w:rsid w:val="00C36429"/>
    <w:rsid w:val="00C36E3F"/>
    <w:rsid w:val="00C37127"/>
    <w:rsid w:val="00C371B9"/>
    <w:rsid w:val="00C371C1"/>
    <w:rsid w:val="00C3759E"/>
    <w:rsid w:val="00C37757"/>
    <w:rsid w:val="00C377B2"/>
    <w:rsid w:val="00C37807"/>
    <w:rsid w:val="00C4002D"/>
    <w:rsid w:val="00C407BF"/>
    <w:rsid w:val="00C4113A"/>
    <w:rsid w:val="00C412CC"/>
    <w:rsid w:val="00C414D4"/>
    <w:rsid w:val="00C422B7"/>
    <w:rsid w:val="00C42D55"/>
    <w:rsid w:val="00C43125"/>
    <w:rsid w:val="00C4397A"/>
    <w:rsid w:val="00C44002"/>
    <w:rsid w:val="00C44037"/>
    <w:rsid w:val="00C440D0"/>
    <w:rsid w:val="00C4429E"/>
    <w:rsid w:val="00C44389"/>
    <w:rsid w:val="00C44557"/>
    <w:rsid w:val="00C44AE4"/>
    <w:rsid w:val="00C44B2F"/>
    <w:rsid w:val="00C44C5F"/>
    <w:rsid w:val="00C44E3C"/>
    <w:rsid w:val="00C450B8"/>
    <w:rsid w:val="00C455DA"/>
    <w:rsid w:val="00C457C2"/>
    <w:rsid w:val="00C45B2A"/>
    <w:rsid w:val="00C45B4A"/>
    <w:rsid w:val="00C46997"/>
    <w:rsid w:val="00C47068"/>
    <w:rsid w:val="00C4768A"/>
    <w:rsid w:val="00C47902"/>
    <w:rsid w:val="00C47CDB"/>
    <w:rsid w:val="00C506F3"/>
    <w:rsid w:val="00C50B5A"/>
    <w:rsid w:val="00C50C8F"/>
    <w:rsid w:val="00C50E29"/>
    <w:rsid w:val="00C513A3"/>
    <w:rsid w:val="00C515AB"/>
    <w:rsid w:val="00C51954"/>
    <w:rsid w:val="00C519ED"/>
    <w:rsid w:val="00C51D0C"/>
    <w:rsid w:val="00C51D30"/>
    <w:rsid w:val="00C52491"/>
    <w:rsid w:val="00C5252F"/>
    <w:rsid w:val="00C52A29"/>
    <w:rsid w:val="00C52B1B"/>
    <w:rsid w:val="00C52B32"/>
    <w:rsid w:val="00C534F1"/>
    <w:rsid w:val="00C53571"/>
    <w:rsid w:val="00C546EB"/>
    <w:rsid w:val="00C54A62"/>
    <w:rsid w:val="00C54BA2"/>
    <w:rsid w:val="00C55A45"/>
    <w:rsid w:val="00C56ECB"/>
    <w:rsid w:val="00C5766E"/>
    <w:rsid w:val="00C60562"/>
    <w:rsid w:val="00C60859"/>
    <w:rsid w:val="00C60E1E"/>
    <w:rsid w:val="00C60E5D"/>
    <w:rsid w:val="00C61EDC"/>
    <w:rsid w:val="00C623BD"/>
    <w:rsid w:val="00C62B50"/>
    <w:rsid w:val="00C62C0A"/>
    <w:rsid w:val="00C62D51"/>
    <w:rsid w:val="00C6384C"/>
    <w:rsid w:val="00C6505E"/>
    <w:rsid w:val="00C6526E"/>
    <w:rsid w:val="00C652C6"/>
    <w:rsid w:val="00C65987"/>
    <w:rsid w:val="00C65B41"/>
    <w:rsid w:val="00C65E73"/>
    <w:rsid w:val="00C65F8C"/>
    <w:rsid w:val="00C6616F"/>
    <w:rsid w:val="00C661D4"/>
    <w:rsid w:val="00C6627D"/>
    <w:rsid w:val="00C67564"/>
    <w:rsid w:val="00C67962"/>
    <w:rsid w:val="00C67E51"/>
    <w:rsid w:val="00C67F67"/>
    <w:rsid w:val="00C70364"/>
    <w:rsid w:val="00C70805"/>
    <w:rsid w:val="00C70E45"/>
    <w:rsid w:val="00C7141F"/>
    <w:rsid w:val="00C714AF"/>
    <w:rsid w:val="00C71BF5"/>
    <w:rsid w:val="00C71BFF"/>
    <w:rsid w:val="00C73014"/>
    <w:rsid w:val="00C7305F"/>
    <w:rsid w:val="00C7420D"/>
    <w:rsid w:val="00C74C6E"/>
    <w:rsid w:val="00C756E6"/>
    <w:rsid w:val="00C756FD"/>
    <w:rsid w:val="00C75BF0"/>
    <w:rsid w:val="00C75E15"/>
    <w:rsid w:val="00C76489"/>
    <w:rsid w:val="00C76722"/>
    <w:rsid w:val="00C7684D"/>
    <w:rsid w:val="00C76A09"/>
    <w:rsid w:val="00C76C36"/>
    <w:rsid w:val="00C7722D"/>
    <w:rsid w:val="00C77738"/>
    <w:rsid w:val="00C77E17"/>
    <w:rsid w:val="00C809E3"/>
    <w:rsid w:val="00C8107E"/>
    <w:rsid w:val="00C8133D"/>
    <w:rsid w:val="00C825DF"/>
    <w:rsid w:val="00C8281B"/>
    <w:rsid w:val="00C82E8E"/>
    <w:rsid w:val="00C833AA"/>
    <w:rsid w:val="00C8377C"/>
    <w:rsid w:val="00C83EB0"/>
    <w:rsid w:val="00C84991"/>
    <w:rsid w:val="00C84B87"/>
    <w:rsid w:val="00C852FE"/>
    <w:rsid w:val="00C85738"/>
    <w:rsid w:val="00C862AF"/>
    <w:rsid w:val="00C866BD"/>
    <w:rsid w:val="00C866D4"/>
    <w:rsid w:val="00C86EB6"/>
    <w:rsid w:val="00C86F42"/>
    <w:rsid w:val="00C87058"/>
    <w:rsid w:val="00C8743D"/>
    <w:rsid w:val="00C87C1C"/>
    <w:rsid w:val="00C902DE"/>
    <w:rsid w:val="00C905DC"/>
    <w:rsid w:val="00C90B2A"/>
    <w:rsid w:val="00C90E3B"/>
    <w:rsid w:val="00C90EA9"/>
    <w:rsid w:val="00C90FC3"/>
    <w:rsid w:val="00C910DF"/>
    <w:rsid w:val="00C9152F"/>
    <w:rsid w:val="00C91668"/>
    <w:rsid w:val="00C927CF"/>
    <w:rsid w:val="00C92F37"/>
    <w:rsid w:val="00C93244"/>
    <w:rsid w:val="00C93474"/>
    <w:rsid w:val="00C93681"/>
    <w:rsid w:val="00C936AC"/>
    <w:rsid w:val="00C93D12"/>
    <w:rsid w:val="00C941AE"/>
    <w:rsid w:val="00C942CA"/>
    <w:rsid w:val="00C94342"/>
    <w:rsid w:val="00C9463E"/>
    <w:rsid w:val="00C94B8C"/>
    <w:rsid w:val="00C9584F"/>
    <w:rsid w:val="00C9632B"/>
    <w:rsid w:val="00C96A14"/>
    <w:rsid w:val="00C974B9"/>
    <w:rsid w:val="00C9764E"/>
    <w:rsid w:val="00CA0BAF"/>
    <w:rsid w:val="00CA0C90"/>
    <w:rsid w:val="00CA0DCB"/>
    <w:rsid w:val="00CA10A1"/>
    <w:rsid w:val="00CA1DA0"/>
    <w:rsid w:val="00CA1E55"/>
    <w:rsid w:val="00CA1EC4"/>
    <w:rsid w:val="00CA1F19"/>
    <w:rsid w:val="00CA1F85"/>
    <w:rsid w:val="00CA1F95"/>
    <w:rsid w:val="00CA2358"/>
    <w:rsid w:val="00CA262F"/>
    <w:rsid w:val="00CA2BC3"/>
    <w:rsid w:val="00CA2E39"/>
    <w:rsid w:val="00CA3494"/>
    <w:rsid w:val="00CA3F1F"/>
    <w:rsid w:val="00CA40FB"/>
    <w:rsid w:val="00CA41B7"/>
    <w:rsid w:val="00CA4442"/>
    <w:rsid w:val="00CA4775"/>
    <w:rsid w:val="00CA484E"/>
    <w:rsid w:val="00CA4A51"/>
    <w:rsid w:val="00CA51D0"/>
    <w:rsid w:val="00CA52D4"/>
    <w:rsid w:val="00CA53C5"/>
    <w:rsid w:val="00CA5443"/>
    <w:rsid w:val="00CA5B2F"/>
    <w:rsid w:val="00CA64F0"/>
    <w:rsid w:val="00CA664C"/>
    <w:rsid w:val="00CA6FA8"/>
    <w:rsid w:val="00CA7520"/>
    <w:rsid w:val="00CA7BD9"/>
    <w:rsid w:val="00CA7BF7"/>
    <w:rsid w:val="00CA7FEA"/>
    <w:rsid w:val="00CB0813"/>
    <w:rsid w:val="00CB0882"/>
    <w:rsid w:val="00CB0BD8"/>
    <w:rsid w:val="00CB1528"/>
    <w:rsid w:val="00CB15C4"/>
    <w:rsid w:val="00CB196B"/>
    <w:rsid w:val="00CB1A9A"/>
    <w:rsid w:val="00CB1AF9"/>
    <w:rsid w:val="00CB1E6D"/>
    <w:rsid w:val="00CB24AD"/>
    <w:rsid w:val="00CB2BA2"/>
    <w:rsid w:val="00CB2C04"/>
    <w:rsid w:val="00CB307B"/>
    <w:rsid w:val="00CB3B7A"/>
    <w:rsid w:val="00CB3E93"/>
    <w:rsid w:val="00CB3F2A"/>
    <w:rsid w:val="00CB42EE"/>
    <w:rsid w:val="00CB44AD"/>
    <w:rsid w:val="00CB5BE5"/>
    <w:rsid w:val="00CB5CBD"/>
    <w:rsid w:val="00CB61B0"/>
    <w:rsid w:val="00CB62CC"/>
    <w:rsid w:val="00CB6A39"/>
    <w:rsid w:val="00CB6F49"/>
    <w:rsid w:val="00CB71B3"/>
    <w:rsid w:val="00CB729E"/>
    <w:rsid w:val="00CB73D1"/>
    <w:rsid w:val="00CB7641"/>
    <w:rsid w:val="00CB79D1"/>
    <w:rsid w:val="00CB7FD3"/>
    <w:rsid w:val="00CB7FF0"/>
    <w:rsid w:val="00CC0332"/>
    <w:rsid w:val="00CC0AE7"/>
    <w:rsid w:val="00CC15E1"/>
    <w:rsid w:val="00CC1917"/>
    <w:rsid w:val="00CC1D91"/>
    <w:rsid w:val="00CC1E3B"/>
    <w:rsid w:val="00CC28FF"/>
    <w:rsid w:val="00CC2C47"/>
    <w:rsid w:val="00CC3E40"/>
    <w:rsid w:val="00CC459F"/>
    <w:rsid w:val="00CC49C7"/>
    <w:rsid w:val="00CC4CA3"/>
    <w:rsid w:val="00CC4FD3"/>
    <w:rsid w:val="00CC56F3"/>
    <w:rsid w:val="00CC62DC"/>
    <w:rsid w:val="00CC66FE"/>
    <w:rsid w:val="00CC716D"/>
    <w:rsid w:val="00CC7CE6"/>
    <w:rsid w:val="00CD0107"/>
    <w:rsid w:val="00CD03F3"/>
    <w:rsid w:val="00CD09C7"/>
    <w:rsid w:val="00CD0A61"/>
    <w:rsid w:val="00CD0CE5"/>
    <w:rsid w:val="00CD0F85"/>
    <w:rsid w:val="00CD1197"/>
    <w:rsid w:val="00CD1BE3"/>
    <w:rsid w:val="00CD1E9F"/>
    <w:rsid w:val="00CD2172"/>
    <w:rsid w:val="00CD21FA"/>
    <w:rsid w:val="00CD2A69"/>
    <w:rsid w:val="00CD2BF7"/>
    <w:rsid w:val="00CD31FA"/>
    <w:rsid w:val="00CD34E3"/>
    <w:rsid w:val="00CD48C5"/>
    <w:rsid w:val="00CD49B6"/>
    <w:rsid w:val="00CD4B6D"/>
    <w:rsid w:val="00CD4D93"/>
    <w:rsid w:val="00CD51DD"/>
    <w:rsid w:val="00CD548C"/>
    <w:rsid w:val="00CD6826"/>
    <w:rsid w:val="00CD6ADF"/>
    <w:rsid w:val="00CD6D83"/>
    <w:rsid w:val="00CD7161"/>
    <w:rsid w:val="00CD7DA2"/>
    <w:rsid w:val="00CD7F22"/>
    <w:rsid w:val="00CE0C44"/>
    <w:rsid w:val="00CE1491"/>
    <w:rsid w:val="00CE1522"/>
    <w:rsid w:val="00CE16CF"/>
    <w:rsid w:val="00CE1795"/>
    <w:rsid w:val="00CE1DF1"/>
    <w:rsid w:val="00CE2350"/>
    <w:rsid w:val="00CE26B9"/>
    <w:rsid w:val="00CE36C1"/>
    <w:rsid w:val="00CE3A58"/>
    <w:rsid w:val="00CE40B3"/>
    <w:rsid w:val="00CE4AE4"/>
    <w:rsid w:val="00CE5034"/>
    <w:rsid w:val="00CE5046"/>
    <w:rsid w:val="00CE5230"/>
    <w:rsid w:val="00CE54DF"/>
    <w:rsid w:val="00CE5523"/>
    <w:rsid w:val="00CE5967"/>
    <w:rsid w:val="00CE5A04"/>
    <w:rsid w:val="00CE5DDB"/>
    <w:rsid w:val="00CE5FC5"/>
    <w:rsid w:val="00CE617F"/>
    <w:rsid w:val="00CE75C2"/>
    <w:rsid w:val="00CF02BA"/>
    <w:rsid w:val="00CF0518"/>
    <w:rsid w:val="00CF05A9"/>
    <w:rsid w:val="00CF0CF3"/>
    <w:rsid w:val="00CF1226"/>
    <w:rsid w:val="00CF15E7"/>
    <w:rsid w:val="00CF1CD3"/>
    <w:rsid w:val="00CF291A"/>
    <w:rsid w:val="00CF2AE2"/>
    <w:rsid w:val="00CF2C98"/>
    <w:rsid w:val="00CF2E55"/>
    <w:rsid w:val="00CF42E9"/>
    <w:rsid w:val="00CF4AED"/>
    <w:rsid w:val="00CF4E00"/>
    <w:rsid w:val="00CF4F9D"/>
    <w:rsid w:val="00CF627B"/>
    <w:rsid w:val="00CF6537"/>
    <w:rsid w:val="00CF6C19"/>
    <w:rsid w:val="00CF6D80"/>
    <w:rsid w:val="00CF6EB3"/>
    <w:rsid w:val="00CF6FA5"/>
    <w:rsid w:val="00CF71DD"/>
    <w:rsid w:val="00CF743E"/>
    <w:rsid w:val="00CF763E"/>
    <w:rsid w:val="00CF76EA"/>
    <w:rsid w:val="00CF790E"/>
    <w:rsid w:val="00CF7AF0"/>
    <w:rsid w:val="00CF7B15"/>
    <w:rsid w:val="00CF7B3E"/>
    <w:rsid w:val="00CF7FDC"/>
    <w:rsid w:val="00D000E2"/>
    <w:rsid w:val="00D0089F"/>
    <w:rsid w:val="00D00CB7"/>
    <w:rsid w:val="00D0107C"/>
    <w:rsid w:val="00D012CF"/>
    <w:rsid w:val="00D01B75"/>
    <w:rsid w:val="00D01F1E"/>
    <w:rsid w:val="00D02160"/>
    <w:rsid w:val="00D02207"/>
    <w:rsid w:val="00D02E3F"/>
    <w:rsid w:val="00D03773"/>
    <w:rsid w:val="00D0388C"/>
    <w:rsid w:val="00D03FE9"/>
    <w:rsid w:val="00D0414D"/>
    <w:rsid w:val="00D0416E"/>
    <w:rsid w:val="00D04A4D"/>
    <w:rsid w:val="00D05625"/>
    <w:rsid w:val="00D057F8"/>
    <w:rsid w:val="00D058EA"/>
    <w:rsid w:val="00D05C3D"/>
    <w:rsid w:val="00D05FD0"/>
    <w:rsid w:val="00D06F95"/>
    <w:rsid w:val="00D070F7"/>
    <w:rsid w:val="00D07443"/>
    <w:rsid w:val="00D076EC"/>
    <w:rsid w:val="00D07882"/>
    <w:rsid w:val="00D10398"/>
    <w:rsid w:val="00D105CA"/>
    <w:rsid w:val="00D10622"/>
    <w:rsid w:val="00D108D8"/>
    <w:rsid w:val="00D10B45"/>
    <w:rsid w:val="00D10EDE"/>
    <w:rsid w:val="00D11077"/>
    <w:rsid w:val="00D1119F"/>
    <w:rsid w:val="00D111CD"/>
    <w:rsid w:val="00D11572"/>
    <w:rsid w:val="00D11C34"/>
    <w:rsid w:val="00D11D69"/>
    <w:rsid w:val="00D11E58"/>
    <w:rsid w:val="00D11EDE"/>
    <w:rsid w:val="00D12163"/>
    <w:rsid w:val="00D125B3"/>
    <w:rsid w:val="00D1304A"/>
    <w:rsid w:val="00D13660"/>
    <w:rsid w:val="00D13B43"/>
    <w:rsid w:val="00D14258"/>
    <w:rsid w:val="00D14654"/>
    <w:rsid w:val="00D146B7"/>
    <w:rsid w:val="00D14C5A"/>
    <w:rsid w:val="00D14FBC"/>
    <w:rsid w:val="00D1515B"/>
    <w:rsid w:val="00D1541F"/>
    <w:rsid w:val="00D15600"/>
    <w:rsid w:val="00D160EE"/>
    <w:rsid w:val="00D169F4"/>
    <w:rsid w:val="00D17177"/>
    <w:rsid w:val="00D17D30"/>
    <w:rsid w:val="00D17F32"/>
    <w:rsid w:val="00D17F6C"/>
    <w:rsid w:val="00D20D3F"/>
    <w:rsid w:val="00D20EFB"/>
    <w:rsid w:val="00D217BD"/>
    <w:rsid w:val="00D21A8F"/>
    <w:rsid w:val="00D226A6"/>
    <w:rsid w:val="00D22705"/>
    <w:rsid w:val="00D227DB"/>
    <w:rsid w:val="00D22826"/>
    <w:rsid w:val="00D22BB2"/>
    <w:rsid w:val="00D22C9D"/>
    <w:rsid w:val="00D23503"/>
    <w:rsid w:val="00D244EE"/>
    <w:rsid w:val="00D2475C"/>
    <w:rsid w:val="00D25D56"/>
    <w:rsid w:val="00D261AB"/>
    <w:rsid w:val="00D26203"/>
    <w:rsid w:val="00D26324"/>
    <w:rsid w:val="00D26482"/>
    <w:rsid w:val="00D266B8"/>
    <w:rsid w:val="00D26792"/>
    <w:rsid w:val="00D26E12"/>
    <w:rsid w:val="00D26E8B"/>
    <w:rsid w:val="00D27C5D"/>
    <w:rsid w:val="00D27DD8"/>
    <w:rsid w:val="00D30655"/>
    <w:rsid w:val="00D30927"/>
    <w:rsid w:val="00D30A54"/>
    <w:rsid w:val="00D30C08"/>
    <w:rsid w:val="00D30EED"/>
    <w:rsid w:val="00D30FDE"/>
    <w:rsid w:val="00D32409"/>
    <w:rsid w:val="00D326F0"/>
    <w:rsid w:val="00D3278F"/>
    <w:rsid w:val="00D32E95"/>
    <w:rsid w:val="00D330E4"/>
    <w:rsid w:val="00D33C95"/>
    <w:rsid w:val="00D341CC"/>
    <w:rsid w:val="00D345AE"/>
    <w:rsid w:val="00D3460C"/>
    <w:rsid w:val="00D3517B"/>
    <w:rsid w:val="00D35993"/>
    <w:rsid w:val="00D35BA2"/>
    <w:rsid w:val="00D35C9B"/>
    <w:rsid w:val="00D3631A"/>
    <w:rsid w:val="00D36918"/>
    <w:rsid w:val="00D3699C"/>
    <w:rsid w:val="00D379AE"/>
    <w:rsid w:val="00D40046"/>
    <w:rsid w:val="00D403DD"/>
    <w:rsid w:val="00D40A14"/>
    <w:rsid w:val="00D416FF"/>
    <w:rsid w:val="00D4194C"/>
    <w:rsid w:val="00D41B8B"/>
    <w:rsid w:val="00D42919"/>
    <w:rsid w:val="00D435B1"/>
    <w:rsid w:val="00D43B3E"/>
    <w:rsid w:val="00D44720"/>
    <w:rsid w:val="00D45362"/>
    <w:rsid w:val="00D457F8"/>
    <w:rsid w:val="00D45AD2"/>
    <w:rsid w:val="00D46081"/>
    <w:rsid w:val="00D461AB"/>
    <w:rsid w:val="00D465F4"/>
    <w:rsid w:val="00D46DA4"/>
    <w:rsid w:val="00D47574"/>
    <w:rsid w:val="00D47595"/>
    <w:rsid w:val="00D4761F"/>
    <w:rsid w:val="00D4769E"/>
    <w:rsid w:val="00D47D45"/>
    <w:rsid w:val="00D5018B"/>
    <w:rsid w:val="00D501AD"/>
    <w:rsid w:val="00D503D2"/>
    <w:rsid w:val="00D505F5"/>
    <w:rsid w:val="00D50E49"/>
    <w:rsid w:val="00D50EDF"/>
    <w:rsid w:val="00D51F01"/>
    <w:rsid w:val="00D524B3"/>
    <w:rsid w:val="00D52E85"/>
    <w:rsid w:val="00D53B43"/>
    <w:rsid w:val="00D546D7"/>
    <w:rsid w:val="00D551B6"/>
    <w:rsid w:val="00D557CC"/>
    <w:rsid w:val="00D55D98"/>
    <w:rsid w:val="00D561CF"/>
    <w:rsid w:val="00D56550"/>
    <w:rsid w:val="00D5683E"/>
    <w:rsid w:val="00D56CE4"/>
    <w:rsid w:val="00D56DA8"/>
    <w:rsid w:val="00D570DE"/>
    <w:rsid w:val="00D5712D"/>
    <w:rsid w:val="00D57591"/>
    <w:rsid w:val="00D600F6"/>
    <w:rsid w:val="00D60DB3"/>
    <w:rsid w:val="00D60ECE"/>
    <w:rsid w:val="00D6188B"/>
    <w:rsid w:val="00D6214E"/>
    <w:rsid w:val="00D62AF4"/>
    <w:rsid w:val="00D62C21"/>
    <w:rsid w:val="00D62CE2"/>
    <w:rsid w:val="00D63429"/>
    <w:rsid w:val="00D6345F"/>
    <w:rsid w:val="00D63640"/>
    <w:rsid w:val="00D6366C"/>
    <w:rsid w:val="00D64581"/>
    <w:rsid w:val="00D646F9"/>
    <w:rsid w:val="00D64710"/>
    <w:rsid w:val="00D64EA6"/>
    <w:rsid w:val="00D654DA"/>
    <w:rsid w:val="00D655C3"/>
    <w:rsid w:val="00D656BF"/>
    <w:rsid w:val="00D6589D"/>
    <w:rsid w:val="00D65B51"/>
    <w:rsid w:val="00D667ED"/>
    <w:rsid w:val="00D66892"/>
    <w:rsid w:val="00D668E6"/>
    <w:rsid w:val="00D66C81"/>
    <w:rsid w:val="00D66FA9"/>
    <w:rsid w:val="00D672CD"/>
    <w:rsid w:val="00D6768F"/>
    <w:rsid w:val="00D70055"/>
    <w:rsid w:val="00D700C0"/>
    <w:rsid w:val="00D706CA"/>
    <w:rsid w:val="00D70FEB"/>
    <w:rsid w:val="00D71198"/>
    <w:rsid w:val="00D71BBF"/>
    <w:rsid w:val="00D71E1B"/>
    <w:rsid w:val="00D7223B"/>
    <w:rsid w:val="00D723E1"/>
    <w:rsid w:val="00D72471"/>
    <w:rsid w:val="00D725FE"/>
    <w:rsid w:val="00D72735"/>
    <w:rsid w:val="00D72C2A"/>
    <w:rsid w:val="00D732E4"/>
    <w:rsid w:val="00D73646"/>
    <w:rsid w:val="00D7382D"/>
    <w:rsid w:val="00D73E3E"/>
    <w:rsid w:val="00D7407D"/>
    <w:rsid w:val="00D74460"/>
    <w:rsid w:val="00D749EA"/>
    <w:rsid w:val="00D7545A"/>
    <w:rsid w:val="00D75482"/>
    <w:rsid w:val="00D75C7C"/>
    <w:rsid w:val="00D76632"/>
    <w:rsid w:val="00D76765"/>
    <w:rsid w:val="00D76825"/>
    <w:rsid w:val="00D76AE4"/>
    <w:rsid w:val="00D76F41"/>
    <w:rsid w:val="00D76F4D"/>
    <w:rsid w:val="00D77AB3"/>
    <w:rsid w:val="00D77BBE"/>
    <w:rsid w:val="00D77E2B"/>
    <w:rsid w:val="00D80055"/>
    <w:rsid w:val="00D80132"/>
    <w:rsid w:val="00D8148A"/>
    <w:rsid w:val="00D82BB4"/>
    <w:rsid w:val="00D82E31"/>
    <w:rsid w:val="00D83142"/>
    <w:rsid w:val="00D83E72"/>
    <w:rsid w:val="00D849FB"/>
    <w:rsid w:val="00D855B9"/>
    <w:rsid w:val="00D86179"/>
    <w:rsid w:val="00D871C3"/>
    <w:rsid w:val="00D87246"/>
    <w:rsid w:val="00D874BD"/>
    <w:rsid w:val="00D900CB"/>
    <w:rsid w:val="00D90217"/>
    <w:rsid w:val="00D90E19"/>
    <w:rsid w:val="00D90E2F"/>
    <w:rsid w:val="00D91AA1"/>
    <w:rsid w:val="00D92987"/>
    <w:rsid w:val="00D92CCC"/>
    <w:rsid w:val="00D92DA6"/>
    <w:rsid w:val="00D92E13"/>
    <w:rsid w:val="00D930CD"/>
    <w:rsid w:val="00D93338"/>
    <w:rsid w:val="00D9345A"/>
    <w:rsid w:val="00D935EB"/>
    <w:rsid w:val="00D93830"/>
    <w:rsid w:val="00D94121"/>
    <w:rsid w:val="00D942D9"/>
    <w:rsid w:val="00D9488A"/>
    <w:rsid w:val="00D94EE9"/>
    <w:rsid w:val="00D95037"/>
    <w:rsid w:val="00D95493"/>
    <w:rsid w:val="00D95516"/>
    <w:rsid w:val="00D974AB"/>
    <w:rsid w:val="00D97CD6"/>
    <w:rsid w:val="00DA0142"/>
    <w:rsid w:val="00DA0539"/>
    <w:rsid w:val="00DA0623"/>
    <w:rsid w:val="00DA0715"/>
    <w:rsid w:val="00DA0778"/>
    <w:rsid w:val="00DA0EC4"/>
    <w:rsid w:val="00DA0EC8"/>
    <w:rsid w:val="00DA1E11"/>
    <w:rsid w:val="00DA1F40"/>
    <w:rsid w:val="00DA285C"/>
    <w:rsid w:val="00DA2DC6"/>
    <w:rsid w:val="00DA37DA"/>
    <w:rsid w:val="00DA3876"/>
    <w:rsid w:val="00DA39C3"/>
    <w:rsid w:val="00DA3B4E"/>
    <w:rsid w:val="00DA3BAB"/>
    <w:rsid w:val="00DA3E28"/>
    <w:rsid w:val="00DA3ECD"/>
    <w:rsid w:val="00DA435A"/>
    <w:rsid w:val="00DA4AEF"/>
    <w:rsid w:val="00DA5176"/>
    <w:rsid w:val="00DA5BB4"/>
    <w:rsid w:val="00DA600C"/>
    <w:rsid w:val="00DA626C"/>
    <w:rsid w:val="00DA64DA"/>
    <w:rsid w:val="00DA6862"/>
    <w:rsid w:val="00DA6B24"/>
    <w:rsid w:val="00DA6F3F"/>
    <w:rsid w:val="00DB04C3"/>
    <w:rsid w:val="00DB06B2"/>
    <w:rsid w:val="00DB10D0"/>
    <w:rsid w:val="00DB10D1"/>
    <w:rsid w:val="00DB12DE"/>
    <w:rsid w:val="00DB18C8"/>
    <w:rsid w:val="00DB21A7"/>
    <w:rsid w:val="00DB2265"/>
    <w:rsid w:val="00DB22F8"/>
    <w:rsid w:val="00DB2AC2"/>
    <w:rsid w:val="00DB2AD1"/>
    <w:rsid w:val="00DB2E27"/>
    <w:rsid w:val="00DB2F1C"/>
    <w:rsid w:val="00DB2FF6"/>
    <w:rsid w:val="00DB3B73"/>
    <w:rsid w:val="00DB3CD8"/>
    <w:rsid w:val="00DB3FE1"/>
    <w:rsid w:val="00DB40BA"/>
    <w:rsid w:val="00DB4168"/>
    <w:rsid w:val="00DB42F8"/>
    <w:rsid w:val="00DB5324"/>
    <w:rsid w:val="00DB5ABF"/>
    <w:rsid w:val="00DB68F9"/>
    <w:rsid w:val="00DB6ACC"/>
    <w:rsid w:val="00DB6AD6"/>
    <w:rsid w:val="00DB6EC6"/>
    <w:rsid w:val="00DB7233"/>
    <w:rsid w:val="00DB7A46"/>
    <w:rsid w:val="00DB7C07"/>
    <w:rsid w:val="00DC012A"/>
    <w:rsid w:val="00DC05E4"/>
    <w:rsid w:val="00DC083E"/>
    <w:rsid w:val="00DC21A3"/>
    <w:rsid w:val="00DC265D"/>
    <w:rsid w:val="00DC2989"/>
    <w:rsid w:val="00DC2B86"/>
    <w:rsid w:val="00DC31B6"/>
    <w:rsid w:val="00DC3268"/>
    <w:rsid w:val="00DC399C"/>
    <w:rsid w:val="00DC3FF3"/>
    <w:rsid w:val="00DC40C9"/>
    <w:rsid w:val="00DC44B5"/>
    <w:rsid w:val="00DC4507"/>
    <w:rsid w:val="00DC45DD"/>
    <w:rsid w:val="00DC4C9A"/>
    <w:rsid w:val="00DC52C7"/>
    <w:rsid w:val="00DC5A10"/>
    <w:rsid w:val="00DC5D3E"/>
    <w:rsid w:val="00DC671F"/>
    <w:rsid w:val="00DC6816"/>
    <w:rsid w:val="00DC68EF"/>
    <w:rsid w:val="00DC6B6B"/>
    <w:rsid w:val="00DC6D0F"/>
    <w:rsid w:val="00DC6F8E"/>
    <w:rsid w:val="00DC7129"/>
    <w:rsid w:val="00DC7408"/>
    <w:rsid w:val="00DC74A4"/>
    <w:rsid w:val="00DC799D"/>
    <w:rsid w:val="00DD003B"/>
    <w:rsid w:val="00DD0556"/>
    <w:rsid w:val="00DD0BD6"/>
    <w:rsid w:val="00DD0E50"/>
    <w:rsid w:val="00DD1964"/>
    <w:rsid w:val="00DD1C59"/>
    <w:rsid w:val="00DD223F"/>
    <w:rsid w:val="00DD273A"/>
    <w:rsid w:val="00DD2AA4"/>
    <w:rsid w:val="00DD2B1E"/>
    <w:rsid w:val="00DD3A01"/>
    <w:rsid w:val="00DD5016"/>
    <w:rsid w:val="00DD5893"/>
    <w:rsid w:val="00DD5DA9"/>
    <w:rsid w:val="00DD614E"/>
    <w:rsid w:val="00DD622E"/>
    <w:rsid w:val="00DD6401"/>
    <w:rsid w:val="00DD6757"/>
    <w:rsid w:val="00DD71D7"/>
    <w:rsid w:val="00DE173E"/>
    <w:rsid w:val="00DE1805"/>
    <w:rsid w:val="00DE1CC3"/>
    <w:rsid w:val="00DE1DB6"/>
    <w:rsid w:val="00DE1DF5"/>
    <w:rsid w:val="00DE2121"/>
    <w:rsid w:val="00DE2DD1"/>
    <w:rsid w:val="00DE2FB7"/>
    <w:rsid w:val="00DE31B4"/>
    <w:rsid w:val="00DE3533"/>
    <w:rsid w:val="00DE43CD"/>
    <w:rsid w:val="00DE4E9F"/>
    <w:rsid w:val="00DE52BF"/>
    <w:rsid w:val="00DE55EA"/>
    <w:rsid w:val="00DE5665"/>
    <w:rsid w:val="00DE5B0D"/>
    <w:rsid w:val="00DE5CCD"/>
    <w:rsid w:val="00DE667A"/>
    <w:rsid w:val="00DE69F2"/>
    <w:rsid w:val="00DE6AAD"/>
    <w:rsid w:val="00DE6ACC"/>
    <w:rsid w:val="00DE6BFA"/>
    <w:rsid w:val="00DE6CB1"/>
    <w:rsid w:val="00DE6CC5"/>
    <w:rsid w:val="00DE75BA"/>
    <w:rsid w:val="00DE79A7"/>
    <w:rsid w:val="00DF1087"/>
    <w:rsid w:val="00DF115D"/>
    <w:rsid w:val="00DF1445"/>
    <w:rsid w:val="00DF2606"/>
    <w:rsid w:val="00DF3D70"/>
    <w:rsid w:val="00DF45EF"/>
    <w:rsid w:val="00DF587C"/>
    <w:rsid w:val="00DF58BA"/>
    <w:rsid w:val="00DF5900"/>
    <w:rsid w:val="00DF5A50"/>
    <w:rsid w:val="00DF6385"/>
    <w:rsid w:val="00DF64A1"/>
    <w:rsid w:val="00DF6E72"/>
    <w:rsid w:val="00DF758E"/>
    <w:rsid w:val="00DF7BDC"/>
    <w:rsid w:val="00E002BE"/>
    <w:rsid w:val="00E00684"/>
    <w:rsid w:val="00E00C3B"/>
    <w:rsid w:val="00E01AE7"/>
    <w:rsid w:val="00E021C8"/>
    <w:rsid w:val="00E02B4C"/>
    <w:rsid w:val="00E0406C"/>
    <w:rsid w:val="00E04192"/>
    <w:rsid w:val="00E04F84"/>
    <w:rsid w:val="00E0563B"/>
    <w:rsid w:val="00E07423"/>
    <w:rsid w:val="00E07B8B"/>
    <w:rsid w:val="00E07DFA"/>
    <w:rsid w:val="00E10468"/>
    <w:rsid w:val="00E10E47"/>
    <w:rsid w:val="00E11D6B"/>
    <w:rsid w:val="00E12405"/>
    <w:rsid w:val="00E12957"/>
    <w:rsid w:val="00E12A3B"/>
    <w:rsid w:val="00E12D12"/>
    <w:rsid w:val="00E1300A"/>
    <w:rsid w:val="00E132A1"/>
    <w:rsid w:val="00E137A0"/>
    <w:rsid w:val="00E138A9"/>
    <w:rsid w:val="00E1450B"/>
    <w:rsid w:val="00E14909"/>
    <w:rsid w:val="00E14D7C"/>
    <w:rsid w:val="00E14E75"/>
    <w:rsid w:val="00E1581D"/>
    <w:rsid w:val="00E15936"/>
    <w:rsid w:val="00E169BA"/>
    <w:rsid w:val="00E17307"/>
    <w:rsid w:val="00E17E4B"/>
    <w:rsid w:val="00E20570"/>
    <w:rsid w:val="00E21F89"/>
    <w:rsid w:val="00E22145"/>
    <w:rsid w:val="00E22475"/>
    <w:rsid w:val="00E225D4"/>
    <w:rsid w:val="00E2356F"/>
    <w:rsid w:val="00E2386D"/>
    <w:rsid w:val="00E23C40"/>
    <w:rsid w:val="00E2407E"/>
    <w:rsid w:val="00E2431E"/>
    <w:rsid w:val="00E24C99"/>
    <w:rsid w:val="00E24D0B"/>
    <w:rsid w:val="00E24D12"/>
    <w:rsid w:val="00E24D14"/>
    <w:rsid w:val="00E24E67"/>
    <w:rsid w:val="00E2527E"/>
    <w:rsid w:val="00E257D9"/>
    <w:rsid w:val="00E25B37"/>
    <w:rsid w:val="00E25DCB"/>
    <w:rsid w:val="00E26422"/>
    <w:rsid w:val="00E27546"/>
    <w:rsid w:val="00E27C12"/>
    <w:rsid w:val="00E27EEA"/>
    <w:rsid w:val="00E300D6"/>
    <w:rsid w:val="00E30303"/>
    <w:rsid w:val="00E306F1"/>
    <w:rsid w:val="00E30865"/>
    <w:rsid w:val="00E31AF6"/>
    <w:rsid w:val="00E322CE"/>
    <w:rsid w:val="00E325EF"/>
    <w:rsid w:val="00E3266F"/>
    <w:rsid w:val="00E329C7"/>
    <w:rsid w:val="00E32D82"/>
    <w:rsid w:val="00E33278"/>
    <w:rsid w:val="00E33C89"/>
    <w:rsid w:val="00E33E1F"/>
    <w:rsid w:val="00E34453"/>
    <w:rsid w:val="00E34545"/>
    <w:rsid w:val="00E35677"/>
    <w:rsid w:val="00E35B5F"/>
    <w:rsid w:val="00E35F19"/>
    <w:rsid w:val="00E360FE"/>
    <w:rsid w:val="00E36479"/>
    <w:rsid w:val="00E36833"/>
    <w:rsid w:val="00E368B6"/>
    <w:rsid w:val="00E37718"/>
    <w:rsid w:val="00E37C94"/>
    <w:rsid w:val="00E37D26"/>
    <w:rsid w:val="00E4020E"/>
    <w:rsid w:val="00E4089B"/>
    <w:rsid w:val="00E409B3"/>
    <w:rsid w:val="00E4155F"/>
    <w:rsid w:val="00E41FC6"/>
    <w:rsid w:val="00E42796"/>
    <w:rsid w:val="00E42B0C"/>
    <w:rsid w:val="00E42B8E"/>
    <w:rsid w:val="00E42C0B"/>
    <w:rsid w:val="00E4315A"/>
    <w:rsid w:val="00E4316C"/>
    <w:rsid w:val="00E432A2"/>
    <w:rsid w:val="00E435A0"/>
    <w:rsid w:val="00E44247"/>
    <w:rsid w:val="00E45084"/>
    <w:rsid w:val="00E4512F"/>
    <w:rsid w:val="00E4533F"/>
    <w:rsid w:val="00E454FB"/>
    <w:rsid w:val="00E458F1"/>
    <w:rsid w:val="00E45B67"/>
    <w:rsid w:val="00E45D56"/>
    <w:rsid w:val="00E46140"/>
    <w:rsid w:val="00E46285"/>
    <w:rsid w:val="00E46316"/>
    <w:rsid w:val="00E4670F"/>
    <w:rsid w:val="00E46A51"/>
    <w:rsid w:val="00E46C66"/>
    <w:rsid w:val="00E47096"/>
    <w:rsid w:val="00E47BE1"/>
    <w:rsid w:val="00E47F14"/>
    <w:rsid w:val="00E500E6"/>
    <w:rsid w:val="00E50DD1"/>
    <w:rsid w:val="00E510F8"/>
    <w:rsid w:val="00E51153"/>
    <w:rsid w:val="00E51550"/>
    <w:rsid w:val="00E51661"/>
    <w:rsid w:val="00E5180D"/>
    <w:rsid w:val="00E52333"/>
    <w:rsid w:val="00E5279B"/>
    <w:rsid w:val="00E528AC"/>
    <w:rsid w:val="00E52EF0"/>
    <w:rsid w:val="00E533B0"/>
    <w:rsid w:val="00E54913"/>
    <w:rsid w:val="00E56026"/>
    <w:rsid w:val="00E56BAA"/>
    <w:rsid w:val="00E57356"/>
    <w:rsid w:val="00E5799E"/>
    <w:rsid w:val="00E606DB"/>
    <w:rsid w:val="00E60E6C"/>
    <w:rsid w:val="00E613D6"/>
    <w:rsid w:val="00E61986"/>
    <w:rsid w:val="00E620DC"/>
    <w:rsid w:val="00E625C3"/>
    <w:rsid w:val="00E62807"/>
    <w:rsid w:val="00E62F40"/>
    <w:rsid w:val="00E63255"/>
    <w:rsid w:val="00E63469"/>
    <w:rsid w:val="00E635CE"/>
    <w:rsid w:val="00E637EE"/>
    <w:rsid w:val="00E639E9"/>
    <w:rsid w:val="00E639EC"/>
    <w:rsid w:val="00E6423A"/>
    <w:rsid w:val="00E6425B"/>
    <w:rsid w:val="00E64B2F"/>
    <w:rsid w:val="00E6508D"/>
    <w:rsid w:val="00E65200"/>
    <w:rsid w:val="00E653D0"/>
    <w:rsid w:val="00E659C2"/>
    <w:rsid w:val="00E65CB9"/>
    <w:rsid w:val="00E65D26"/>
    <w:rsid w:val="00E660C7"/>
    <w:rsid w:val="00E66190"/>
    <w:rsid w:val="00E66708"/>
    <w:rsid w:val="00E668A1"/>
    <w:rsid w:val="00E66B4B"/>
    <w:rsid w:val="00E66D82"/>
    <w:rsid w:val="00E66DA8"/>
    <w:rsid w:val="00E6704D"/>
    <w:rsid w:val="00E7031A"/>
    <w:rsid w:val="00E70370"/>
    <w:rsid w:val="00E70469"/>
    <w:rsid w:val="00E7098D"/>
    <w:rsid w:val="00E70F3B"/>
    <w:rsid w:val="00E70FBC"/>
    <w:rsid w:val="00E715A9"/>
    <w:rsid w:val="00E71E99"/>
    <w:rsid w:val="00E72206"/>
    <w:rsid w:val="00E72659"/>
    <w:rsid w:val="00E72FC8"/>
    <w:rsid w:val="00E734D5"/>
    <w:rsid w:val="00E735DD"/>
    <w:rsid w:val="00E73775"/>
    <w:rsid w:val="00E74CB8"/>
    <w:rsid w:val="00E74E90"/>
    <w:rsid w:val="00E7520B"/>
    <w:rsid w:val="00E7553D"/>
    <w:rsid w:val="00E7580C"/>
    <w:rsid w:val="00E75883"/>
    <w:rsid w:val="00E758E9"/>
    <w:rsid w:val="00E75DE4"/>
    <w:rsid w:val="00E75F71"/>
    <w:rsid w:val="00E7673E"/>
    <w:rsid w:val="00E76E0C"/>
    <w:rsid w:val="00E77210"/>
    <w:rsid w:val="00E778C8"/>
    <w:rsid w:val="00E80715"/>
    <w:rsid w:val="00E80858"/>
    <w:rsid w:val="00E8088C"/>
    <w:rsid w:val="00E80B35"/>
    <w:rsid w:val="00E814F0"/>
    <w:rsid w:val="00E81520"/>
    <w:rsid w:val="00E8167C"/>
    <w:rsid w:val="00E82071"/>
    <w:rsid w:val="00E82328"/>
    <w:rsid w:val="00E82565"/>
    <w:rsid w:val="00E825C0"/>
    <w:rsid w:val="00E82691"/>
    <w:rsid w:val="00E83C94"/>
    <w:rsid w:val="00E84046"/>
    <w:rsid w:val="00E84BF2"/>
    <w:rsid w:val="00E86215"/>
    <w:rsid w:val="00E86733"/>
    <w:rsid w:val="00E8731F"/>
    <w:rsid w:val="00E873F6"/>
    <w:rsid w:val="00E87CCB"/>
    <w:rsid w:val="00E902C6"/>
    <w:rsid w:val="00E90B50"/>
    <w:rsid w:val="00E90E83"/>
    <w:rsid w:val="00E90F5D"/>
    <w:rsid w:val="00E9127E"/>
    <w:rsid w:val="00E915AB"/>
    <w:rsid w:val="00E915D1"/>
    <w:rsid w:val="00E91BF4"/>
    <w:rsid w:val="00E923D7"/>
    <w:rsid w:val="00E928AE"/>
    <w:rsid w:val="00E939F6"/>
    <w:rsid w:val="00E9433B"/>
    <w:rsid w:val="00E945D5"/>
    <w:rsid w:val="00E94900"/>
    <w:rsid w:val="00E9492B"/>
    <w:rsid w:val="00E94946"/>
    <w:rsid w:val="00E94BCA"/>
    <w:rsid w:val="00E94F53"/>
    <w:rsid w:val="00E95931"/>
    <w:rsid w:val="00E962ED"/>
    <w:rsid w:val="00E9631F"/>
    <w:rsid w:val="00E9695A"/>
    <w:rsid w:val="00E96ED8"/>
    <w:rsid w:val="00E96FB9"/>
    <w:rsid w:val="00EA0BE7"/>
    <w:rsid w:val="00EA161C"/>
    <w:rsid w:val="00EA16B9"/>
    <w:rsid w:val="00EA200B"/>
    <w:rsid w:val="00EA211B"/>
    <w:rsid w:val="00EA405D"/>
    <w:rsid w:val="00EA4240"/>
    <w:rsid w:val="00EA4355"/>
    <w:rsid w:val="00EA5CE2"/>
    <w:rsid w:val="00EA5E64"/>
    <w:rsid w:val="00EA69B1"/>
    <w:rsid w:val="00EA78A1"/>
    <w:rsid w:val="00EA78FF"/>
    <w:rsid w:val="00EA7A19"/>
    <w:rsid w:val="00EB0A77"/>
    <w:rsid w:val="00EB22AD"/>
    <w:rsid w:val="00EB2681"/>
    <w:rsid w:val="00EB284B"/>
    <w:rsid w:val="00EB29CF"/>
    <w:rsid w:val="00EB322B"/>
    <w:rsid w:val="00EB431F"/>
    <w:rsid w:val="00EB4992"/>
    <w:rsid w:val="00EB4998"/>
    <w:rsid w:val="00EB4F68"/>
    <w:rsid w:val="00EB5B0C"/>
    <w:rsid w:val="00EB62FF"/>
    <w:rsid w:val="00EB6362"/>
    <w:rsid w:val="00EB636F"/>
    <w:rsid w:val="00EB6504"/>
    <w:rsid w:val="00EB6646"/>
    <w:rsid w:val="00EB72D8"/>
    <w:rsid w:val="00EB7668"/>
    <w:rsid w:val="00EB7AA0"/>
    <w:rsid w:val="00EB7F2C"/>
    <w:rsid w:val="00EB7F64"/>
    <w:rsid w:val="00EC10B5"/>
    <w:rsid w:val="00EC1AF5"/>
    <w:rsid w:val="00EC1E3E"/>
    <w:rsid w:val="00EC1FC6"/>
    <w:rsid w:val="00EC285C"/>
    <w:rsid w:val="00EC2A67"/>
    <w:rsid w:val="00EC2F44"/>
    <w:rsid w:val="00EC306F"/>
    <w:rsid w:val="00EC3577"/>
    <w:rsid w:val="00EC3872"/>
    <w:rsid w:val="00EC4711"/>
    <w:rsid w:val="00EC4AED"/>
    <w:rsid w:val="00EC4B60"/>
    <w:rsid w:val="00EC4EC0"/>
    <w:rsid w:val="00EC4FA6"/>
    <w:rsid w:val="00EC5590"/>
    <w:rsid w:val="00EC55B6"/>
    <w:rsid w:val="00EC5DCD"/>
    <w:rsid w:val="00EC6222"/>
    <w:rsid w:val="00EC65A2"/>
    <w:rsid w:val="00EC6A9A"/>
    <w:rsid w:val="00EC6F00"/>
    <w:rsid w:val="00EC7237"/>
    <w:rsid w:val="00EC7261"/>
    <w:rsid w:val="00EC7AD0"/>
    <w:rsid w:val="00ED00FF"/>
    <w:rsid w:val="00ED0356"/>
    <w:rsid w:val="00ED04BE"/>
    <w:rsid w:val="00ED070C"/>
    <w:rsid w:val="00ED0746"/>
    <w:rsid w:val="00ED0D8A"/>
    <w:rsid w:val="00ED0FA6"/>
    <w:rsid w:val="00ED0FDB"/>
    <w:rsid w:val="00ED105C"/>
    <w:rsid w:val="00ED13AF"/>
    <w:rsid w:val="00ED142F"/>
    <w:rsid w:val="00ED177D"/>
    <w:rsid w:val="00ED1C70"/>
    <w:rsid w:val="00ED1CB1"/>
    <w:rsid w:val="00ED1E77"/>
    <w:rsid w:val="00ED20BC"/>
    <w:rsid w:val="00ED25A6"/>
    <w:rsid w:val="00ED268E"/>
    <w:rsid w:val="00ED2FEF"/>
    <w:rsid w:val="00ED31AD"/>
    <w:rsid w:val="00ED459A"/>
    <w:rsid w:val="00ED4B68"/>
    <w:rsid w:val="00ED5C62"/>
    <w:rsid w:val="00ED6131"/>
    <w:rsid w:val="00ED67F8"/>
    <w:rsid w:val="00ED69CA"/>
    <w:rsid w:val="00ED6CB7"/>
    <w:rsid w:val="00ED6D13"/>
    <w:rsid w:val="00ED6EF9"/>
    <w:rsid w:val="00ED7065"/>
    <w:rsid w:val="00ED71BF"/>
    <w:rsid w:val="00ED7C2A"/>
    <w:rsid w:val="00ED7CAC"/>
    <w:rsid w:val="00EE02B9"/>
    <w:rsid w:val="00EE02E9"/>
    <w:rsid w:val="00EE05BE"/>
    <w:rsid w:val="00EE05FC"/>
    <w:rsid w:val="00EE0FF2"/>
    <w:rsid w:val="00EE1147"/>
    <w:rsid w:val="00EE1229"/>
    <w:rsid w:val="00EE12BA"/>
    <w:rsid w:val="00EE1504"/>
    <w:rsid w:val="00EE1620"/>
    <w:rsid w:val="00EE17F0"/>
    <w:rsid w:val="00EE1EFB"/>
    <w:rsid w:val="00EE24CC"/>
    <w:rsid w:val="00EE25DE"/>
    <w:rsid w:val="00EE280F"/>
    <w:rsid w:val="00EE2B1C"/>
    <w:rsid w:val="00EE2C33"/>
    <w:rsid w:val="00EE300D"/>
    <w:rsid w:val="00EE31DB"/>
    <w:rsid w:val="00EE36B8"/>
    <w:rsid w:val="00EE3E30"/>
    <w:rsid w:val="00EE4027"/>
    <w:rsid w:val="00EE4350"/>
    <w:rsid w:val="00EE484E"/>
    <w:rsid w:val="00EE4CC3"/>
    <w:rsid w:val="00EE5040"/>
    <w:rsid w:val="00EE5284"/>
    <w:rsid w:val="00EE552A"/>
    <w:rsid w:val="00EE592C"/>
    <w:rsid w:val="00EE5C92"/>
    <w:rsid w:val="00EE5E4F"/>
    <w:rsid w:val="00EF0584"/>
    <w:rsid w:val="00EF06CF"/>
    <w:rsid w:val="00EF09B1"/>
    <w:rsid w:val="00EF0A13"/>
    <w:rsid w:val="00EF0D0C"/>
    <w:rsid w:val="00EF0E21"/>
    <w:rsid w:val="00EF12B7"/>
    <w:rsid w:val="00EF1361"/>
    <w:rsid w:val="00EF1369"/>
    <w:rsid w:val="00EF14F1"/>
    <w:rsid w:val="00EF1929"/>
    <w:rsid w:val="00EF1E13"/>
    <w:rsid w:val="00EF22DC"/>
    <w:rsid w:val="00EF2384"/>
    <w:rsid w:val="00EF263B"/>
    <w:rsid w:val="00EF3669"/>
    <w:rsid w:val="00EF37D3"/>
    <w:rsid w:val="00EF381F"/>
    <w:rsid w:val="00EF4E68"/>
    <w:rsid w:val="00EF6239"/>
    <w:rsid w:val="00EF6879"/>
    <w:rsid w:val="00EF6987"/>
    <w:rsid w:val="00EF74E6"/>
    <w:rsid w:val="00F00513"/>
    <w:rsid w:val="00F007D8"/>
    <w:rsid w:val="00F00CC1"/>
    <w:rsid w:val="00F00F90"/>
    <w:rsid w:val="00F018A6"/>
    <w:rsid w:val="00F02436"/>
    <w:rsid w:val="00F0321F"/>
    <w:rsid w:val="00F03328"/>
    <w:rsid w:val="00F03B25"/>
    <w:rsid w:val="00F03D30"/>
    <w:rsid w:val="00F0430B"/>
    <w:rsid w:val="00F0459F"/>
    <w:rsid w:val="00F04EB4"/>
    <w:rsid w:val="00F04EE6"/>
    <w:rsid w:val="00F04FFF"/>
    <w:rsid w:val="00F05813"/>
    <w:rsid w:val="00F06103"/>
    <w:rsid w:val="00F064D8"/>
    <w:rsid w:val="00F073C4"/>
    <w:rsid w:val="00F1008B"/>
    <w:rsid w:val="00F1039A"/>
    <w:rsid w:val="00F1048E"/>
    <w:rsid w:val="00F109E6"/>
    <w:rsid w:val="00F10C63"/>
    <w:rsid w:val="00F10C71"/>
    <w:rsid w:val="00F113B3"/>
    <w:rsid w:val="00F11512"/>
    <w:rsid w:val="00F11A85"/>
    <w:rsid w:val="00F121AA"/>
    <w:rsid w:val="00F12773"/>
    <w:rsid w:val="00F12984"/>
    <w:rsid w:val="00F1372C"/>
    <w:rsid w:val="00F139FF"/>
    <w:rsid w:val="00F13A08"/>
    <w:rsid w:val="00F13BF8"/>
    <w:rsid w:val="00F14495"/>
    <w:rsid w:val="00F14ACB"/>
    <w:rsid w:val="00F1515E"/>
    <w:rsid w:val="00F156D4"/>
    <w:rsid w:val="00F158D1"/>
    <w:rsid w:val="00F16056"/>
    <w:rsid w:val="00F1715D"/>
    <w:rsid w:val="00F1744B"/>
    <w:rsid w:val="00F17B10"/>
    <w:rsid w:val="00F2033F"/>
    <w:rsid w:val="00F209AE"/>
    <w:rsid w:val="00F20E13"/>
    <w:rsid w:val="00F20E1A"/>
    <w:rsid w:val="00F20E92"/>
    <w:rsid w:val="00F21110"/>
    <w:rsid w:val="00F21154"/>
    <w:rsid w:val="00F2167B"/>
    <w:rsid w:val="00F21A9C"/>
    <w:rsid w:val="00F22069"/>
    <w:rsid w:val="00F220EF"/>
    <w:rsid w:val="00F22573"/>
    <w:rsid w:val="00F229AF"/>
    <w:rsid w:val="00F22F6D"/>
    <w:rsid w:val="00F23947"/>
    <w:rsid w:val="00F239D4"/>
    <w:rsid w:val="00F23FEC"/>
    <w:rsid w:val="00F24147"/>
    <w:rsid w:val="00F2463A"/>
    <w:rsid w:val="00F24646"/>
    <w:rsid w:val="00F2466C"/>
    <w:rsid w:val="00F24ABE"/>
    <w:rsid w:val="00F24F63"/>
    <w:rsid w:val="00F25060"/>
    <w:rsid w:val="00F258BA"/>
    <w:rsid w:val="00F25E14"/>
    <w:rsid w:val="00F26226"/>
    <w:rsid w:val="00F26A5A"/>
    <w:rsid w:val="00F26B21"/>
    <w:rsid w:val="00F26BFC"/>
    <w:rsid w:val="00F277CA"/>
    <w:rsid w:val="00F30F02"/>
    <w:rsid w:val="00F3134A"/>
    <w:rsid w:val="00F3164E"/>
    <w:rsid w:val="00F3171A"/>
    <w:rsid w:val="00F3178A"/>
    <w:rsid w:val="00F31D6D"/>
    <w:rsid w:val="00F31F61"/>
    <w:rsid w:val="00F32415"/>
    <w:rsid w:val="00F3318D"/>
    <w:rsid w:val="00F34AE7"/>
    <w:rsid w:val="00F34C6C"/>
    <w:rsid w:val="00F35046"/>
    <w:rsid w:val="00F352BE"/>
    <w:rsid w:val="00F35EAB"/>
    <w:rsid w:val="00F36AF8"/>
    <w:rsid w:val="00F3719C"/>
    <w:rsid w:val="00F37DA7"/>
    <w:rsid w:val="00F37EB8"/>
    <w:rsid w:val="00F37FC1"/>
    <w:rsid w:val="00F404BF"/>
    <w:rsid w:val="00F40528"/>
    <w:rsid w:val="00F40D5F"/>
    <w:rsid w:val="00F412A6"/>
    <w:rsid w:val="00F41939"/>
    <w:rsid w:val="00F42118"/>
    <w:rsid w:val="00F428C2"/>
    <w:rsid w:val="00F42A76"/>
    <w:rsid w:val="00F42C90"/>
    <w:rsid w:val="00F42F35"/>
    <w:rsid w:val="00F433E5"/>
    <w:rsid w:val="00F43607"/>
    <w:rsid w:val="00F43B0C"/>
    <w:rsid w:val="00F43C18"/>
    <w:rsid w:val="00F43D3A"/>
    <w:rsid w:val="00F43D52"/>
    <w:rsid w:val="00F4407C"/>
    <w:rsid w:val="00F44277"/>
    <w:rsid w:val="00F44429"/>
    <w:rsid w:val="00F44CBE"/>
    <w:rsid w:val="00F451BD"/>
    <w:rsid w:val="00F4548D"/>
    <w:rsid w:val="00F45A2B"/>
    <w:rsid w:val="00F46AF5"/>
    <w:rsid w:val="00F46D3D"/>
    <w:rsid w:val="00F4740E"/>
    <w:rsid w:val="00F47D15"/>
    <w:rsid w:val="00F47DE1"/>
    <w:rsid w:val="00F50A4A"/>
    <w:rsid w:val="00F51072"/>
    <w:rsid w:val="00F512B4"/>
    <w:rsid w:val="00F51491"/>
    <w:rsid w:val="00F51E77"/>
    <w:rsid w:val="00F51F71"/>
    <w:rsid w:val="00F52461"/>
    <w:rsid w:val="00F5380A"/>
    <w:rsid w:val="00F53CAA"/>
    <w:rsid w:val="00F53EED"/>
    <w:rsid w:val="00F542AA"/>
    <w:rsid w:val="00F54638"/>
    <w:rsid w:val="00F5522A"/>
    <w:rsid w:val="00F552BE"/>
    <w:rsid w:val="00F55ADF"/>
    <w:rsid w:val="00F55AF0"/>
    <w:rsid w:val="00F56CE4"/>
    <w:rsid w:val="00F56F08"/>
    <w:rsid w:val="00F57B0F"/>
    <w:rsid w:val="00F57B79"/>
    <w:rsid w:val="00F57CF5"/>
    <w:rsid w:val="00F57F70"/>
    <w:rsid w:val="00F600B9"/>
    <w:rsid w:val="00F606E4"/>
    <w:rsid w:val="00F60AB1"/>
    <w:rsid w:val="00F60CBE"/>
    <w:rsid w:val="00F61937"/>
    <w:rsid w:val="00F61B87"/>
    <w:rsid w:val="00F622EF"/>
    <w:rsid w:val="00F63070"/>
    <w:rsid w:val="00F63324"/>
    <w:rsid w:val="00F637B9"/>
    <w:rsid w:val="00F63A9D"/>
    <w:rsid w:val="00F63F55"/>
    <w:rsid w:val="00F64CC7"/>
    <w:rsid w:val="00F64FA6"/>
    <w:rsid w:val="00F6507F"/>
    <w:rsid w:val="00F650AB"/>
    <w:rsid w:val="00F651E7"/>
    <w:rsid w:val="00F652F5"/>
    <w:rsid w:val="00F65637"/>
    <w:rsid w:val="00F65D3A"/>
    <w:rsid w:val="00F6630A"/>
    <w:rsid w:val="00F66655"/>
    <w:rsid w:val="00F67712"/>
    <w:rsid w:val="00F67B70"/>
    <w:rsid w:val="00F67B7F"/>
    <w:rsid w:val="00F70E24"/>
    <w:rsid w:val="00F71640"/>
    <w:rsid w:val="00F716D0"/>
    <w:rsid w:val="00F71F72"/>
    <w:rsid w:val="00F71FC7"/>
    <w:rsid w:val="00F7217C"/>
    <w:rsid w:val="00F728CD"/>
    <w:rsid w:val="00F73B60"/>
    <w:rsid w:val="00F73D20"/>
    <w:rsid w:val="00F74A58"/>
    <w:rsid w:val="00F74BC2"/>
    <w:rsid w:val="00F74F9E"/>
    <w:rsid w:val="00F75B32"/>
    <w:rsid w:val="00F76021"/>
    <w:rsid w:val="00F764D2"/>
    <w:rsid w:val="00F77350"/>
    <w:rsid w:val="00F777C3"/>
    <w:rsid w:val="00F77B48"/>
    <w:rsid w:val="00F808DF"/>
    <w:rsid w:val="00F80959"/>
    <w:rsid w:val="00F81204"/>
    <w:rsid w:val="00F82184"/>
    <w:rsid w:val="00F8284F"/>
    <w:rsid w:val="00F82C9F"/>
    <w:rsid w:val="00F853C8"/>
    <w:rsid w:val="00F85A20"/>
    <w:rsid w:val="00F85B51"/>
    <w:rsid w:val="00F85D22"/>
    <w:rsid w:val="00F862A5"/>
    <w:rsid w:val="00F86D65"/>
    <w:rsid w:val="00F86DDB"/>
    <w:rsid w:val="00F86F37"/>
    <w:rsid w:val="00F870B7"/>
    <w:rsid w:val="00F87283"/>
    <w:rsid w:val="00F8764D"/>
    <w:rsid w:val="00F907A6"/>
    <w:rsid w:val="00F90803"/>
    <w:rsid w:val="00F90981"/>
    <w:rsid w:val="00F9140B"/>
    <w:rsid w:val="00F917E3"/>
    <w:rsid w:val="00F91F2C"/>
    <w:rsid w:val="00F921EB"/>
    <w:rsid w:val="00F92BB5"/>
    <w:rsid w:val="00F92E29"/>
    <w:rsid w:val="00F93485"/>
    <w:rsid w:val="00F93AF2"/>
    <w:rsid w:val="00F94051"/>
    <w:rsid w:val="00F944F7"/>
    <w:rsid w:val="00F94D2B"/>
    <w:rsid w:val="00F951E3"/>
    <w:rsid w:val="00F95812"/>
    <w:rsid w:val="00F958F0"/>
    <w:rsid w:val="00F95CA6"/>
    <w:rsid w:val="00F97D41"/>
    <w:rsid w:val="00FA000B"/>
    <w:rsid w:val="00FA0408"/>
    <w:rsid w:val="00FA16C5"/>
    <w:rsid w:val="00FA2084"/>
    <w:rsid w:val="00FA2653"/>
    <w:rsid w:val="00FA2CE5"/>
    <w:rsid w:val="00FA31EA"/>
    <w:rsid w:val="00FA3926"/>
    <w:rsid w:val="00FA3A2F"/>
    <w:rsid w:val="00FA3D92"/>
    <w:rsid w:val="00FA49FE"/>
    <w:rsid w:val="00FA5019"/>
    <w:rsid w:val="00FA52C0"/>
    <w:rsid w:val="00FA5407"/>
    <w:rsid w:val="00FA604B"/>
    <w:rsid w:val="00FA657F"/>
    <w:rsid w:val="00FA6BD1"/>
    <w:rsid w:val="00FA7396"/>
    <w:rsid w:val="00FA73F8"/>
    <w:rsid w:val="00FA7D1F"/>
    <w:rsid w:val="00FA7DC8"/>
    <w:rsid w:val="00FB0DE3"/>
    <w:rsid w:val="00FB1571"/>
    <w:rsid w:val="00FB18D5"/>
    <w:rsid w:val="00FB1CD8"/>
    <w:rsid w:val="00FB22EA"/>
    <w:rsid w:val="00FB3A1F"/>
    <w:rsid w:val="00FB3B0C"/>
    <w:rsid w:val="00FB3F4C"/>
    <w:rsid w:val="00FB4777"/>
    <w:rsid w:val="00FB4B12"/>
    <w:rsid w:val="00FB52A3"/>
    <w:rsid w:val="00FB5D48"/>
    <w:rsid w:val="00FB606A"/>
    <w:rsid w:val="00FB64CB"/>
    <w:rsid w:val="00FB654A"/>
    <w:rsid w:val="00FB7A3E"/>
    <w:rsid w:val="00FB7B09"/>
    <w:rsid w:val="00FC0158"/>
    <w:rsid w:val="00FC0749"/>
    <w:rsid w:val="00FC0D98"/>
    <w:rsid w:val="00FC1104"/>
    <w:rsid w:val="00FC12F6"/>
    <w:rsid w:val="00FC1ABB"/>
    <w:rsid w:val="00FC1ED4"/>
    <w:rsid w:val="00FC1FA2"/>
    <w:rsid w:val="00FC248C"/>
    <w:rsid w:val="00FC2661"/>
    <w:rsid w:val="00FC347B"/>
    <w:rsid w:val="00FC3697"/>
    <w:rsid w:val="00FC36BB"/>
    <w:rsid w:val="00FC427B"/>
    <w:rsid w:val="00FC427C"/>
    <w:rsid w:val="00FC45BD"/>
    <w:rsid w:val="00FC45C5"/>
    <w:rsid w:val="00FC48E0"/>
    <w:rsid w:val="00FC4AED"/>
    <w:rsid w:val="00FC500B"/>
    <w:rsid w:val="00FC5EB2"/>
    <w:rsid w:val="00FC7783"/>
    <w:rsid w:val="00FC7D09"/>
    <w:rsid w:val="00FD0E7F"/>
    <w:rsid w:val="00FD12CA"/>
    <w:rsid w:val="00FD1661"/>
    <w:rsid w:val="00FD1B70"/>
    <w:rsid w:val="00FD2661"/>
    <w:rsid w:val="00FD2C9B"/>
    <w:rsid w:val="00FD326E"/>
    <w:rsid w:val="00FD3437"/>
    <w:rsid w:val="00FD3B4C"/>
    <w:rsid w:val="00FD3FE1"/>
    <w:rsid w:val="00FD46F7"/>
    <w:rsid w:val="00FD4963"/>
    <w:rsid w:val="00FD4BA8"/>
    <w:rsid w:val="00FD4ED1"/>
    <w:rsid w:val="00FD4EEE"/>
    <w:rsid w:val="00FD5642"/>
    <w:rsid w:val="00FD64C9"/>
    <w:rsid w:val="00FD65AA"/>
    <w:rsid w:val="00FD6708"/>
    <w:rsid w:val="00FD674B"/>
    <w:rsid w:val="00FD6A38"/>
    <w:rsid w:val="00FD6E31"/>
    <w:rsid w:val="00FD6F93"/>
    <w:rsid w:val="00FD74C5"/>
    <w:rsid w:val="00FD7815"/>
    <w:rsid w:val="00FE0815"/>
    <w:rsid w:val="00FE0822"/>
    <w:rsid w:val="00FE0856"/>
    <w:rsid w:val="00FE0912"/>
    <w:rsid w:val="00FE0EC3"/>
    <w:rsid w:val="00FE1171"/>
    <w:rsid w:val="00FE11BE"/>
    <w:rsid w:val="00FE1412"/>
    <w:rsid w:val="00FE15F2"/>
    <w:rsid w:val="00FE1706"/>
    <w:rsid w:val="00FE2389"/>
    <w:rsid w:val="00FE2EDB"/>
    <w:rsid w:val="00FE2F3B"/>
    <w:rsid w:val="00FE3026"/>
    <w:rsid w:val="00FE3339"/>
    <w:rsid w:val="00FE388A"/>
    <w:rsid w:val="00FE3E79"/>
    <w:rsid w:val="00FE47A4"/>
    <w:rsid w:val="00FE4889"/>
    <w:rsid w:val="00FE4E07"/>
    <w:rsid w:val="00FE5249"/>
    <w:rsid w:val="00FE5A0F"/>
    <w:rsid w:val="00FE61D4"/>
    <w:rsid w:val="00FE62E2"/>
    <w:rsid w:val="00FE6D7B"/>
    <w:rsid w:val="00FE6F41"/>
    <w:rsid w:val="00FE6FBA"/>
    <w:rsid w:val="00FE72E7"/>
    <w:rsid w:val="00FE74A5"/>
    <w:rsid w:val="00FE7BB6"/>
    <w:rsid w:val="00FE7C92"/>
    <w:rsid w:val="00FF0041"/>
    <w:rsid w:val="00FF0249"/>
    <w:rsid w:val="00FF0C51"/>
    <w:rsid w:val="00FF0CB6"/>
    <w:rsid w:val="00FF16BF"/>
    <w:rsid w:val="00FF1DDA"/>
    <w:rsid w:val="00FF228C"/>
    <w:rsid w:val="00FF2716"/>
    <w:rsid w:val="00FF27A5"/>
    <w:rsid w:val="00FF28B7"/>
    <w:rsid w:val="00FF2F5C"/>
    <w:rsid w:val="00FF3254"/>
    <w:rsid w:val="00FF35A2"/>
    <w:rsid w:val="00FF3610"/>
    <w:rsid w:val="00FF3B9B"/>
    <w:rsid w:val="00FF439B"/>
    <w:rsid w:val="00FF4689"/>
    <w:rsid w:val="00FF4925"/>
    <w:rsid w:val="00FF4BBB"/>
    <w:rsid w:val="00FF5F27"/>
    <w:rsid w:val="00FF61C1"/>
    <w:rsid w:val="00FF6F69"/>
    <w:rsid w:val="00FF752F"/>
    <w:rsid w:val="00FF759F"/>
    <w:rsid w:val="00FF7B58"/>
    <w:rsid w:val="01131C90"/>
    <w:rsid w:val="01BC896D"/>
    <w:rsid w:val="01C65533"/>
    <w:rsid w:val="01C9C9C8"/>
    <w:rsid w:val="01E93B1B"/>
    <w:rsid w:val="0204429D"/>
    <w:rsid w:val="0238FCF6"/>
    <w:rsid w:val="023A1BFD"/>
    <w:rsid w:val="02673ACD"/>
    <w:rsid w:val="026C1FD9"/>
    <w:rsid w:val="0282C387"/>
    <w:rsid w:val="02C42FC0"/>
    <w:rsid w:val="02D865D9"/>
    <w:rsid w:val="02F22868"/>
    <w:rsid w:val="03408028"/>
    <w:rsid w:val="0350FFC3"/>
    <w:rsid w:val="037CAEB7"/>
    <w:rsid w:val="03EF5135"/>
    <w:rsid w:val="042D0E52"/>
    <w:rsid w:val="04427BA9"/>
    <w:rsid w:val="04918C3C"/>
    <w:rsid w:val="04AAF6F0"/>
    <w:rsid w:val="04B8D7C8"/>
    <w:rsid w:val="04C2F26E"/>
    <w:rsid w:val="04CB4D8C"/>
    <w:rsid w:val="04D0516B"/>
    <w:rsid w:val="04DF9DC6"/>
    <w:rsid w:val="05034106"/>
    <w:rsid w:val="05266355"/>
    <w:rsid w:val="053AC35B"/>
    <w:rsid w:val="0579761B"/>
    <w:rsid w:val="05AF1FD9"/>
    <w:rsid w:val="05E88188"/>
    <w:rsid w:val="05E9C36E"/>
    <w:rsid w:val="05F6ED6E"/>
    <w:rsid w:val="0601D062"/>
    <w:rsid w:val="063E7849"/>
    <w:rsid w:val="0682D49B"/>
    <w:rsid w:val="06B4A9F3"/>
    <w:rsid w:val="072595E8"/>
    <w:rsid w:val="0731B152"/>
    <w:rsid w:val="07516D69"/>
    <w:rsid w:val="075190F2"/>
    <w:rsid w:val="075C41A6"/>
    <w:rsid w:val="07B015C1"/>
    <w:rsid w:val="07B0E027"/>
    <w:rsid w:val="07CB8BB1"/>
    <w:rsid w:val="07E58177"/>
    <w:rsid w:val="07F56968"/>
    <w:rsid w:val="088890C2"/>
    <w:rsid w:val="08A5FD50"/>
    <w:rsid w:val="08BA5019"/>
    <w:rsid w:val="08C7E030"/>
    <w:rsid w:val="08EC718A"/>
    <w:rsid w:val="08F844D8"/>
    <w:rsid w:val="09024921"/>
    <w:rsid w:val="092DB493"/>
    <w:rsid w:val="09CD63F6"/>
    <w:rsid w:val="09FDCCF6"/>
    <w:rsid w:val="0A31A075"/>
    <w:rsid w:val="0A3D3C0D"/>
    <w:rsid w:val="0A4AE146"/>
    <w:rsid w:val="0A724DEE"/>
    <w:rsid w:val="0AA82CA4"/>
    <w:rsid w:val="0AB71662"/>
    <w:rsid w:val="0ACB084F"/>
    <w:rsid w:val="0AE834D3"/>
    <w:rsid w:val="0AF32353"/>
    <w:rsid w:val="0B02DD9D"/>
    <w:rsid w:val="0B3B8453"/>
    <w:rsid w:val="0B4AC34E"/>
    <w:rsid w:val="0B717256"/>
    <w:rsid w:val="0B828569"/>
    <w:rsid w:val="0BCB032D"/>
    <w:rsid w:val="0BD026BA"/>
    <w:rsid w:val="0BDB9439"/>
    <w:rsid w:val="0BE984E6"/>
    <w:rsid w:val="0C02E1C5"/>
    <w:rsid w:val="0C226C2B"/>
    <w:rsid w:val="0C7B89D2"/>
    <w:rsid w:val="0CEEA000"/>
    <w:rsid w:val="0D144C06"/>
    <w:rsid w:val="0D1887DC"/>
    <w:rsid w:val="0D23C3CE"/>
    <w:rsid w:val="0D571A44"/>
    <w:rsid w:val="0D5BEB34"/>
    <w:rsid w:val="0D7EA426"/>
    <w:rsid w:val="0D838042"/>
    <w:rsid w:val="0D8C4EB2"/>
    <w:rsid w:val="0E74D4D4"/>
    <w:rsid w:val="0ED6BB5A"/>
    <w:rsid w:val="0EEA2D9A"/>
    <w:rsid w:val="0EFA40F6"/>
    <w:rsid w:val="0F16CCAC"/>
    <w:rsid w:val="0F264CAE"/>
    <w:rsid w:val="0F52B745"/>
    <w:rsid w:val="0F5916EA"/>
    <w:rsid w:val="0F66855D"/>
    <w:rsid w:val="0F785C8C"/>
    <w:rsid w:val="0F9E4C1D"/>
    <w:rsid w:val="0FC147E6"/>
    <w:rsid w:val="0FC1558C"/>
    <w:rsid w:val="0FC608EA"/>
    <w:rsid w:val="10446B6E"/>
    <w:rsid w:val="104FEB0E"/>
    <w:rsid w:val="105035F7"/>
    <w:rsid w:val="1090E3EC"/>
    <w:rsid w:val="10D5A43E"/>
    <w:rsid w:val="10E4ABB2"/>
    <w:rsid w:val="110E373B"/>
    <w:rsid w:val="113F95D9"/>
    <w:rsid w:val="1148AE90"/>
    <w:rsid w:val="11AC398F"/>
    <w:rsid w:val="11B5F119"/>
    <w:rsid w:val="11F1BE3B"/>
    <w:rsid w:val="1249863C"/>
    <w:rsid w:val="127DA192"/>
    <w:rsid w:val="12E6782A"/>
    <w:rsid w:val="1305ACB0"/>
    <w:rsid w:val="13071FE4"/>
    <w:rsid w:val="134BA752"/>
    <w:rsid w:val="13D23505"/>
    <w:rsid w:val="13DD2AC4"/>
    <w:rsid w:val="13E8230A"/>
    <w:rsid w:val="140ABB93"/>
    <w:rsid w:val="142E4337"/>
    <w:rsid w:val="14390CAB"/>
    <w:rsid w:val="145F96D7"/>
    <w:rsid w:val="146E6D47"/>
    <w:rsid w:val="14BA037A"/>
    <w:rsid w:val="14E4D402"/>
    <w:rsid w:val="1514EC90"/>
    <w:rsid w:val="1566E996"/>
    <w:rsid w:val="1567A362"/>
    <w:rsid w:val="159CB7C7"/>
    <w:rsid w:val="15B76305"/>
    <w:rsid w:val="15C5AD99"/>
    <w:rsid w:val="15CF871E"/>
    <w:rsid w:val="15E95D34"/>
    <w:rsid w:val="161D01EC"/>
    <w:rsid w:val="163C3C65"/>
    <w:rsid w:val="167F6B61"/>
    <w:rsid w:val="16BE65E0"/>
    <w:rsid w:val="1712E55E"/>
    <w:rsid w:val="1787E6A3"/>
    <w:rsid w:val="17985F26"/>
    <w:rsid w:val="17A95E02"/>
    <w:rsid w:val="17FCD8C0"/>
    <w:rsid w:val="182BD489"/>
    <w:rsid w:val="18815C88"/>
    <w:rsid w:val="189DFB6C"/>
    <w:rsid w:val="19828C5D"/>
    <w:rsid w:val="1A18405A"/>
    <w:rsid w:val="1A8A0203"/>
    <w:rsid w:val="1AD8DF68"/>
    <w:rsid w:val="1AE3D502"/>
    <w:rsid w:val="1B244CD0"/>
    <w:rsid w:val="1BF3FD67"/>
    <w:rsid w:val="1C1A6C89"/>
    <w:rsid w:val="1C5A9BC9"/>
    <w:rsid w:val="1D0839E9"/>
    <w:rsid w:val="1D173442"/>
    <w:rsid w:val="1D2DD4D2"/>
    <w:rsid w:val="1D4ED709"/>
    <w:rsid w:val="1D789C28"/>
    <w:rsid w:val="1E2395A9"/>
    <w:rsid w:val="1E3311EA"/>
    <w:rsid w:val="1E359D50"/>
    <w:rsid w:val="1E373D66"/>
    <w:rsid w:val="1E4555F4"/>
    <w:rsid w:val="1E90CD0E"/>
    <w:rsid w:val="1EAE9288"/>
    <w:rsid w:val="1ED1C682"/>
    <w:rsid w:val="1EE48EFB"/>
    <w:rsid w:val="1EE5809F"/>
    <w:rsid w:val="1F58D65F"/>
    <w:rsid w:val="1F91CE6E"/>
    <w:rsid w:val="2059BACE"/>
    <w:rsid w:val="20714F94"/>
    <w:rsid w:val="2075682D"/>
    <w:rsid w:val="20D873AA"/>
    <w:rsid w:val="20FA93CD"/>
    <w:rsid w:val="21187096"/>
    <w:rsid w:val="2166B6AB"/>
    <w:rsid w:val="218AA681"/>
    <w:rsid w:val="21B4954B"/>
    <w:rsid w:val="21C02E6B"/>
    <w:rsid w:val="21C895D8"/>
    <w:rsid w:val="21E9DFE0"/>
    <w:rsid w:val="2246A285"/>
    <w:rsid w:val="2286C754"/>
    <w:rsid w:val="229666B9"/>
    <w:rsid w:val="2296C451"/>
    <w:rsid w:val="22A0456E"/>
    <w:rsid w:val="22CEE382"/>
    <w:rsid w:val="23350EA7"/>
    <w:rsid w:val="238AEBEB"/>
    <w:rsid w:val="243C2BDB"/>
    <w:rsid w:val="246B43CE"/>
    <w:rsid w:val="24D4A41C"/>
    <w:rsid w:val="24FFB563"/>
    <w:rsid w:val="2542830B"/>
    <w:rsid w:val="2544293F"/>
    <w:rsid w:val="256A9AFC"/>
    <w:rsid w:val="256C8DB8"/>
    <w:rsid w:val="25C75B6C"/>
    <w:rsid w:val="25E0145C"/>
    <w:rsid w:val="25E0B0B3"/>
    <w:rsid w:val="261053AB"/>
    <w:rsid w:val="267329D6"/>
    <w:rsid w:val="26CF9FED"/>
    <w:rsid w:val="26DA2F34"/>
    <w:rsid w:val="26FD075B"/>
    <w:rsid w:val="2715EFFD"/>
    <w:rsid w:val="271C0DDA"/>
    <w:rsid w:val="27460534"/>
    <w:rsid w:val="2763A14F"/>
    <w:rsid w:val="276A455E"/>
    <w:rsid w:val="27BA6855"/>
    <w:rsid w:val="27E0749E"/>
    <w:rsid w:val="27ED1A5C"/>
    <w:rsid w:val="280347B2"/>
    <w:rsid w:val="2808DA2F"/>
    <w:rsid w:val="28156B0B"/>
    <w:rsid w:val="28553226"/>
    <w:rsid w:val="28B5E409"/>
    <w:rsid w:val="28CB8C22"/>
    <w:rsid w:val="28D2E61D"/>
    <w:rsid w:val="28EEA3E0"/>
    <w:rsid w:val="294785B3"/>
    <w:rsid w:val="29ACCE8C"/>
    <w:rsid w:val="2A9291FC"/>
    <w:rsid w:val="2A9CD3B3"/>
    <w:rsid w:val="2AAA3F14"/>
    <w:rsid w:val="2AC6668D"/>
    <w:rsid w:val="2AC81C72"/>
    <w:rsid w:val="2B24F87D"/>
    <w:rsid w:val="2B3CA004"/>
    <w:rsid w:val="2B634E29"/>
    <w:rsid w:val="2B83EF43"/>
    <w:rsid w:val="2B9FE394"/>
    <w:rsid w:val="2BA18A25"/>
    <w:rsid w:val="2BAF5B97"/>
    <w:rsid w:val="2BC9126F"/>
    <w:rsid w:val="2C03A1F5"/>
    <w:rsid w:val="2C943013"/>
    <w:rsid w:val="2CACA810"/>
    <w:rsid w:val="2CDED6B7"/>
    <w:rsid w:val="2CEED6B3"/>
    <w:rsid w:val="2D24E978"/>
    <w:rsid w:val="2D475C84"/>
    <w:rsid w:val="2D9C232B"/>
    <w:rsid w:val="2DB18BEC"/>
    <w:rsid w:val="2E135A98"/>
    <w:rsid w:val="2E27E5BA"/>
    <w:rsid w:val="2E31DDC4"/>
    <w:rsid w:val="2E408AEB"/>
    <w:rsid w:val="2E768D53"/>
    <w:rsid w:val="2EA6955D"/>
    <w:rsid w:val="2EDB9C51"/>
    <w:rsid w:val="2F16B726"/>
    <w:rsid w:val="2F21F9A7"/>
    <w:rsid w:val="2F41B37A"/>
    <w:rsid w:val="2F8A7085"/>
    <w:rsid w:val="2FDB9641"/>
    <w:rsid w:val="30653DA4"/>
    <w:rsid w:val="309ADC2D"/>
    <w:rsid w:val="30C9B02B"/>
    <w:rsid w:val="30D2A0CA"/>
    <w:rsid w:val="30E878D6"/>
    <w:rsid w:val="3199A10B"/>
    <w:rsid w:val="319EF57C"/>
    <w:rsid w:val="31A55C00"/>
    <w:rsid w:val="31AE0E17"/>
    <w:rsid w:val="31F1697A"/>
    <w:rsid w:val="324D9A87"/>
    <w:rsid w:val="324DD6FC"/>
    <w:rsid w:val="32505EC6"/>
    <w:rsid w:val="32A1A210"/>
    <w:rsid w:val="32B43E29"/>
    <w:rsid w:val="32FBAAA6"/>
    <w:rsid w:val="33037F83"/>
    <w:rsid w:val="3327456A"/>
    <w:rsid w:val="33611259"/>
    <w:rsid w:val="336E07A0"/>
    <w:rsid w:val="339E63DF"/>
    <w:rsid w:val="33BA113E"/>
    <w:rsid w:val="3400DD6B"/>
    <w:rsid w:val="34369E2C"/>
    <w:rsid w:val="34859751"/>
    <w:rsid w:val="3485B790"/>
    <w:rsid w:val="34A955F6"/>
    <w:rsid w:val="34D26678"/>
    <w:rsid w:val="3506F9EA"/>
    <w:rsid w:val="35115907"/>
    <w:rsid w:val="352812A5"/>
    <w:rsid w:val="3563256E"/>
    <w:rsid w:val="3574DF4A"/>
    <w:rsid w:val="3599C3E6"/>
    <w:rsid w:val="359C5590"/>
    <w:rsid w:val="35AF5B05"/>
    <w:rsid w:val="35B79758"/>
    <w:rsid w:val="35FC8F4A"/>
    <w:rsid w:val="36388E31"/>
    <w:rsid w:val="36875B57"/>
    <w:rsid w:val="36DBEBC6"/>
    <w:rsid w:val="36E7D23A"/>
    <w:rsid w:val="372EB067"/>
    <w:rsid w:val="373EA74B"/>
    <w:rsid w:val="377B9FDE"/>
    <w:rsid w:val="37C02629"/>
    <w:rsid w:val="38072153"/>
    <w:rsid w:val="3835E621"/>
    <w:rsid w:val="384A8824"/>
    <w:rsid w:val="3877DC20"/>
    <w:rsid w:val="3883A052"/>
    <w:rsid w:val="39487484"/>
    <w:rsid w:val="39A1C2C4"/>
    <w:rsid w:val="39D4794A"/>
    <w:rsid w:val="3A0D4569"/>
    <w:rsid w:val="3A320112"/>
    <w:rsid w:val="3A3F2120"/>
    <w:rsid w:val="3A4E75DE"/>
    <w:rsid w:val="3A517EEA"/>
    <w:rsid w:val="3A8968E7"/>
    <w:rsid w:val="3A9A010E"/>
    <w:rsid w:val="3ABF1D3D"/>
    <w:rsid w:val="3AEF85CB"/>
    <w:rsid w:val="3B731C5F"/>
    <w:rsid w:val="3BC5C5D6"/>
    <w:rsid w:val="3BCF6D8E"/>
    <w:rsid w:val="3BDEAEC2"/>
    <w:rsid w:val="3BE73A55"/>
    <w:rsid w:val="3C1F3A63"/>
    <w:rsid w:val="3C8BFABE"/>
    <w:rsid w:val="3CA69790"/>
    <w:rsid w:val="3CE476D5"/>
    <w:rsid w:val="3D0392E5"/>
    <w:rsid w:val="3D1747AF"/>
    <w:rsid w:val="3D2EA8A6"/>
    <w:rsid w:val="3D363FC3"/>
    <w:rsid w:val="3DEC8A45"/>
    <w:rsid w:val="3DF3ECCB"/>
    <w:rsid w:val="3E0D9CBE"/>
    <w:rsid w:val="3E538620"/>
    <w:rsid w:val="3E72B349"/>
    <w:rsid w:val="3EB1D28F"/>
    <w:rsid w:val="3EB9935E"/>
    <w:rsid w:val="3EC4E480"/>
    <w:rsid w:val="3EE3C023"/>
    <w:rsid w:val="3F323A68"/>
    <w:rsid w:val="3F600891"/>
    <w:rsid w:val="3FBA4F70"/>
    <w:rsid w:val="3FF502CF"/>
    <w:rsid w:val="40214816"/>
    <w:rsid w:val="4026A2C9"/>
    <w:rsid w:val="404EFB69"/>
    <w:rsid w:val="405CD04E"/>
    <w:rsid w:val="407F0742"/>
    <w:rsid w:val="40848AEB"/>
    <w:rsid w:val="409BF021"/>
    <w:rsid w:val="40CE3C40"/>
    <w:rsid w:val="40D738F4"/>
    <w:rsid w:val="4109C01F"/>
    <w:rsid w:val="411E2F1C"/>
    <w:rsid w:val="41401538"/>
    <w:rsid w:val="419F331B"/>
    <w:rsid w:val="41C52073"/>
    <w:rsid w:val="41CDA930"/>
    <w:rsid w:val="41CDAAC3"/>
    <w:rsid w:val="4237CDF5"/>
    <w:rsid w:val="4255D9CD"/>
    <w:rsid w:val="428AFE77"/>
    <w:rsid w:val="429E3ED6"/>
    <w:rsid w:val="43272B7B"/>
    <w:rsid w:val="43298788"/>
    <w:rsid w:val="433A8066"/>
    <w:rsid w:val="434085AE"/>
    <w:rsid w:val="43414EFC"/>
    <w:rsid w:val="43643083"/>
    <w:rsid w:val="4367A932"/>
    <w:rsid w:val="439A189E"/>
    <w:rsid w:val="439B921D"/>
    <w:rsid w:val="43EA6571"/>
    <w:rsid w:val="43F62E56"/>
    <w:rsid w:val="443496B3"/>
    <w:rsid w:val="4454A777"/>
    <w:rsid w:val="4464932A"/>
    <w:rsid w:val="446F5420"/>
    <w:rsid w:val="44B9CCD7"/>
    <w:rsid w:val="44DB8BC6"/>
    <w:rsid w:val="450B6D19"/>
    <w:rsid w:val="4515DA92"/>
    <w:rsid w:val="453B50EE"/>
    <w:rsid w:val="45943D8E"/>
    <w:rsid w:val="45957194"/>
    <w:rsid w:val="45995004"/>
    <w:rsid w:val="45B38534"/>
    <w:rsid w:val="45BB0AF0"/>
    <w:rsid w:val="45E0132E"/>
    <w:rsid w:val="45E7F684"/>
    <w:rsid w:val="45F0DE7B"/>
    <w:rsid w:val="46CF211A"/>
    <w:rsid w:val="47368DDF"/>
    <w:rsid w:val="474C6B3B"/>
    <w:rsid w:val="474D3160"/>
    <w:rsid w:val="477456D1"/>
    <w:rsid w:val="477B2BFC"/>
    <w:rsid w:val="479790A0"/>
    <w:rsid w:val="47AC0DFD"/>
    <w:rsid w:val="47AC369C"/>
    <w:rsid w:val="47AFDCD0"/>
    <w:rsid w:val="48083E4C"/>
    <w:rsid w:val="48416941"/>
    <w:rsid w:val="484C69EB"/>
    <w:rsid w:val="48681F44"/>
    <w:rsid w:val="487CF5A0"/>
    <w:rsid w:val="48BBE79C"/>
    <w:rsid w:val="492B14D5"/>
    <w:rsid w:val="4955F1E1"/>
    <w:rsid w:val="49F249AC"/>
    <w:rsid w:val="49F30A76"/>
    <w:rsid w:val="4A6D9701"/>
    <w:rsid w:val="4ABA2E87"/>
    <w:rsid w:val="4B1A4045"/>
    <w:rsid w:val="4B2CF45C"/>
    <w:rsid w:val="4B2E4F9C"/>
    <w:rsid w:val="4B45C4C8"/>
    <w:rsid w:val="4BCB81E3"/>
    <w:rsid w:val="4BFC43DB"/>
    <w:rsid w:val="4C04FB46"/>
    <w:rsid w:val="4C5DE6CD"/>
    <w:rsid w:val="4C5DF86B"/>
    <w:rsid w:val="4CBE8F3D"/>
    <w:rsid w:val="4D204E10"/>
    <w:rsid w:val="4DAC10A2"/>
    <w:rsid w:val="4DCC3660"/>
    <w:rsid w:val="4E06AF1A"/>
    <w:rsid w:val="4E18943B"/>
    <w:rsid w:val="4E1B0593"/>
    <w:rsid w:val="4E1B98E7"/>
    <w:rsid w:val="4E897AB4"/>
    <w:rsid w:val="4EAA8897"/>
    <w:rsid w:val="4EADB1ED"/>
    <w:rsid w:val="4EAFD55E"/>
    <w:rsid w:val="4EEF0B32"/>
    <w:rsid w:val="4FB83DDB"/>
    <w:rsid w:val="5020B3D5"/>
    <w:rsid w:val="50583CEF"/>
    <w:rsid w:val="5085C8C2"/>
    <w:rsid w:val="50EF5670"/>
    <w:rsid w:val="50F294A9"/>
    <w:rsid w:val="50FE2C3B"/>
    <w:rsid w:val="5118BD87"/>
    <w:rsid w:val="511F3B62"/>
    <w:rsid w:val="51577932"/>
    <w:rsid w:val="5160DCAE"/>
    <w:rsid w:val="51A7EF7E"/>
    <w:rsid w:val="5202691B"/>
    <w:rsid w:val="5220860C"/>
    <w:rsid w:val="522B0720"/>
    <w:rsid w:val="52419C02"/>
    <w:rsid w:val="528182E6"/>
    <w:rsid w:val="52AA60CB"/>
    <w:rsid w:val="533F5168"/>
    <w:rsid w:val="533F80E7"/>
    <w:rsid w:val="54BD26C7"/>
    <w:rsid w:val="54FDCAFB"/>
    <w:rsid w:val="5504402B"/>
    <w:rsid w:val="550784A1"/>
    <w:rsid w:val="5543F0DA"/>
    <w:rsid w:val="55549439"/>
    <w:rsid w:val="55640166"/>
    <w:rsid w:val="558E81F5"/>
    <w:rsid w:val="558FE779"/>
    <w:rsid w:val="55907312"/>
    <w:rsid w:val="55972E43"/>
    <w:rsid w:val="55D4E8EA"/>
    <w:rsid w:val="55F863EC"/>
    <w:rsid w:val="56164D36"/>
    <w:rsid w:val="56367534"/>
    <w:rsid w:val="5647A91F"/>
    <w:rsid w:val="5648C09C"/>
    <w:rsid w:val="564A558C"/>
    <w:rsid w:val="5664A14B"/>
    <w:rsid w:val="56C0B358"/>
    <w:rsid w:val="56C9D0E2"/>
    <w:rsid w:val="5703329E"/>
    <w:rsid w:val="574E8281"/>
    <w:rsid w:val="575A04B3"/>
    <w:rsid w:val="58114E06"/>
    <w:rsid w:val="5811B08A"/>
    <w:rsid w:val="582B51C5"/>
    <w:rsid w:val="58A0DE16"/>
    <w:rsid w:val="58CA9B45"/>
    <w:rsid w:val="58FD858C"/>
    <w:rsid w:val="59606008"/>
    <w:rsid w:val="5977D892"/>
    <w:rsid w:val="598991EE"/>
    <w:rsid w:val="59EFFBCC"/>
    <w:rsid w:val="5A0D0596"/>
    <w:rsid w:val="5A218E16"/>
    <w:rsid w:val="5A36E34E"/>
    <w:rsid w:val="5A48DBB9"/>
    <w:rsid w:val="5A5A2823"/>
    <w:rsid w:val="5ACA83AB"/>
    <w:rsid w:val="5AF35E54"/>
    <w:rsid w:val="5AF7FB35"/>
    <w:rsid w:val="5B2E30B1"/>
    <w:rsid w:val="5B5E4CE4"/>
    <w:rsid w:val="5BA341B8"/>
    <w:rsid w:val="5BB19EC7"/>
    <w:rsid w:val="5BD21249"/>
    <w:rsid w:val="5BDD56C4"/>
    <w:rsid w:val="5BE3AED9"/>
    <w:rsid w:val="5BF94C40"/>
    <w:rsid w:val="5BFDDE5F"/>
    <w:rsid w:val="5C1DED9E"/>
    <w:rsid w:val="5C4977A7"/>
    <w:rsid w:val="5C520DFF"/>
    <w:rsid w:val="5C7BA167"/>
    <w:rsid w:val="5C8BCF34"/>
    <w:rsid w:val="5CE4BF88"/>
    <w:rsid w:val="5D72331D"/>
    <w:rsid w:val="5D7364AE"/>
    <w:rsid w:val="5DF8468C"/>
    <w:rsid w:val="5E0E5C73"/>
    <w:rsid w:val="5E52084B"/>
    <w:rsid w:val="5E6EE2D9"/>
    <w:rsid w:val="5E83FB9D"/>
    <w:rsid w:val="5E8847E6"/>
    <w:rsid w:val="5E972513"/>
    <w:rsid w:val="5ECAED21"/>
    <w:rsid w:val="5ED532A8"/>
    <w:rsid w:val="5ED7A293"/>
    <w:rsid w:val="5EF562A4"/>
    <w:rsid w:val="5F1D217A"/>
    <w:rsid w:val="5F2A8286"/>
    <w:rsid w:val="5F4A794E"/>
    <w:rsid w:val="5F99AE2E"/>
    <w:rsid w:val="5FC36FF6"/>
    <w:rsid w:val="5FCC478D"/>
    <w:rsid w:val="6010B19C"/>
    <w:rsid w:val="60660F7C"/>
    <w:rsid w:val="608835B3"/>
    <w:rsid w:val="60C95F6E"/>
    <w:rsid w:val="60FC28AC"/>
    <w:rsid w:val="611A1769"/>
    <w:rsid w:val="61558EE0"/>
    <w:rsid w:val="62124ABA"/>
    <w:rsid w:val="624A7C86"/>
    <w:rsid w:val="62708A56"/>
    <w:rsid w:val="62C5F6FE"/>
    <w:rsid w:val="62D2A0E9"/>
    <w:rsid w:val="62FBC936"/>
    <w:rsid w:val="63799B66"/>
    <w:rsid w:val="6396CF51"/>
    <w:rsid w:val="639841A9"/>
    <w:rsid w:val="63BC0BC2"/>
    <w:rsid w:val="63C8B2D1"/>
    <w:rsid w:val="63DCFA0D"/>
    <w:rsid w:val="63FF1DBB"/>
    <w:rsid w:val="643C6FA3"/>
    <w:rsid w:val="6449EB91"/>
    <w:rsid w:val="6451DA11"/>
    <w:rsid w:val="6478883D"/>
    <w:rsid w:val="647AC466"/>
    <w:rsid w:val="6496C3F8"/>
    <w:rsid w:val="64E96F33"/>
    <w:rsid w:val="64F56A8E"/>
    <w:rsid w:val="64F90BAF"/>
    <w:rsid w:val="6537FC08"/>
    <w:rsid w:val="6592C040"/>
    <w:rsid w:val="65C566BB"/>
    <w:rsid w:val="667834C4"/>
    <w:rsid w:val="668BCE8F"/>
    <w:rsid w:val="66B77C99"/>
    <w:rsid w:val="66FB0407"/>
    <w:rsid w:val="6701B70A"/>
    <w:rsid w:val="6710D164"/>
    <w:rsid w:val="6720EA49"/>
    <w:rsid w:val="6721C125"/>
    <w:rsid w:val="676827A9"/>
    <w:rsid w:val="677A35AB"/>
    <w:rsid w:val="677B7149"/>
    <w:rsid w:val="677F5DF4"/>
    <w:rsid w:val="67BDBBE1"/>
    <w:rsid w:val="67C5C5F1"/>
    <w:rsid w:val="681E24EF"/>
    <w:rsid w:val="682B2297"/>
    <w:rsid w:val="683D8FFF"/>
    <w:rsid w:val="68B3398D"/>
    <w:rsid w:val="68BBB60A"/>
    <w:rsid w:val="68C21206"/>
    <w:rsid w:val="691316AD"/>
    <w:rsid w:val="69140A4B"/>
    <w:rsid w:val="691CCE71"/>
    <w:rsid w:val="69362B02"/>
    <w:rsid w:val="6941305F"/>
    <w:rsid w:val="69586BBA"/>
    <w:rsid w:val="6986C0FD"/>
    <w:rsid w:val="69CF5B79"/>
    <w:rsid w:val="69DE00D7"/>
    <w:rsid w:val="6A090469"/>
    <w:rsid w:val="6A0D6CFE"/>
    <w:rsid w:val="6A17FF86"/>
    <w:rsid w:val="6A2A2BC8"/>
    <w:rsid w:val="6A72F830"/>
    <w:rsid w:val="6AABEE4D"/>
    <w:rsid w:val="6B282610"/>
    <w:rsid w:val="6B36399F"/>
    <w:rsid w:val="6B4C434D"/>
    <w:rsid w:val="6B4DB554"/>
    <w:rsid w:val="6B4F1717"/>
    <w:rsid w:val="6B6D62DB"/>
    <w:rsid w:val="6B715DFA"/>
    <w:rsid w:val="6BDCB054"/>
    <w:rsid w:val="6BF1791B"/>
    <w:rsid w:val="6C131274"/>
    <w:rsid w:val="6C17F4D9"/>
    <w:rsid w:val="6C2FCCED"/>
    <w:rsid w:val="6C3C6B3B"/>
    <w:rsid w:val="6C61EF27"/>
    <w:rsid w:val="6CB52B95"/>
    <w:rsid w:val="6CC13F80"/>
    <w:rsid w:val="6CC71465"/>
    <w:rsid w:val="6CE0A796"/>
    <w:rsid w:val="6CE15FC9"/>
    <w:rsid w:val="6D176138"/>
    <w:rsid w:val="6D23BB05"/>
    <w:rsid w:val="6D344CE2"/>
    <w:rsid w:val="6D95EEE6"/>
    <w:rsid w:val="6DA75874"/>
    <w:rsid w:val="6DD944A4"/>
    <w:rsid w:val="6E14BBDB"/>
    <w:rsid w:val="6E38C285"/>
    <w:rsid w:val="6E66CB02"/>
    <w:rsid w:val="6E9D9705"/>
    <w:rsid w:val="6EAA171B"/>
    <w:rsid w:val="6F35F137"/>
    <w:rsid w:val="6F5EAF2F"/>
    <w:rsid w:val="6FA2D13D"/>
    <w:rsid w:val="6FA4D50E"/>
    <w:rsid w:val="6FE51E69"/>
    <w:rsid w:val="6FFC0248"/>
    <w:rsid w:val="700C0FD5"/>
    <w:rsid w:val="705FA6B5"/>
    <w:rsid w:val="706C3C62"/>
    <w:rsid w:val="70B8254F"/>
    <w:rsid w:val="70E1BE3A"/>
    <w:rsid w:val="70F873A7"/>
    <w:rsid w:val="710CDEBF"/>
    <w:rsid w:val="711E4C67"/>
    <w:rsid w:val="712C6010"/>
    <w:rsid w:val="716401A9"/>
    <w:rsid w:val="7168DC7D"/>
    <w:rsid w:val="71A21DBF"/>
    <w:rsid w:val="71BAF7DD"/>
    <w:rsid w:val="71EEEC2F"/>
    <w:rsid w:val="71F39C9A"/>
    <w:rsid w:val="720BF825"/>
    <w:rsid w:val="72603388"/>
    <w:rsid w:val="72ADB417"/>
    <w:rsid w:val="72AFE75D"/>
    <w:rsid w:val="72B632BA"/>
    <w:rsid w:val="72B78FC5"/>
    <w:rsid w:val="733CC559"/>
    <w:rsid w:val="73584046"/>
    <w:rsid w:val="737213B4"/>
    <w:rsid w:val="7373BC26"/>
    <w:rsid w:val="738E1058"/>
    <w:rsid w:val="7398302C"/>
    <w:rsid w:val="739CF8F9"/>
    <w:rsid w:val="73D9EEEE"/>
    <w:rsid w:val="741733ED"/>
    <w:rsid w:val="74278CEF"/>
    <w:rsid w:val="742D4741"/>
    <w:rsid w:val="7467D73C"/>
    <w:rsid w:val="7472B68B"/>
    <w:rsid w:val="747BDE03"/>
    <w:rsid w:val="7494C792"/>
    <w:rsid w:val="74E80F93"/>
    <w:rsid w:val="75008BC9"/>
    <w:rsid w:val="7522770B"/>
    <w:rsid w:val="75257853"/>
    <w:rsid w:val="752B8194"/>
    <w:rsid w:val="755F623E"/>
    <w:rsid w:val="7583A247"/>
    <w:rsid w:val="7589D71F"/>
    <w:rsid w:val="75A1B1E7"/>
    <w:rsid w:val="75DA6EA8"/>
    <w:rsid w:val="76006CA8"/>
    <w:rsid w:val="7645B588"/>
    <w:rsid w:val="766CC781"/>
    <w:rsid w:val="769BBA3E"/>
    <w:rsid w:val="76A4C105"/>
    <w:rsid w:val="76A562C5"/>
    <w:rsid w:val="76F8BE2A"/>
    <w:rsid w:val="7713C384"/>
    <w:rsid w:val="77230D59"/>
    <w:rsid w:val="775C8A1B"/>
    <w:rsid w:val="780D472C"/>
    <w:rsid w:val="781F625F"/>
    <w:rsid w:val="786FCB04"/>
    <w:rsid w:val="78E1BB6B"/>
    <w:rsid w:val="78F5858E"/>
    <w:rsid w:val="7927CAB5"/>
    <w:rsid w:val="793AE124"/>
    <w:rsid w:val="793CA516"/>
    <w:rsid w:val="7960A6AE"/>
    <w:rsid w:val="798BA7EB"/>
    <w:rsid w:val="7A213806"/>
    <w:rsid w:val="7A3A7091"/>
    <w:rsid w:val="7A4CC3A7"/>
    <w:rsid w:val="7A83D5D7"/>
    <w:rsid w:val="7A8F7C42"/>
    <w:rsid w:val="7A96C4B2"/>
    <w:rsid w:val="7B5C90EE"/>
    <w:rsid w:val="7BA1359C"/>
    <w:rsid w:val="7C08BC91"/>
    <w:rsid w:val="7C0A6F2C"/>
    <w:rsid w:val="7C2E6853"/>
    <w:rsid w:val="7C361A7B"/>
    <w:rsid w:val="7C61DFEC"/>
    <w:rsid w:val="7C79683D"/>
    <w:rsid w:val="7CC9EE99"/>
    <w:rsid w:val="7CD15FE8"/>
    <w:rsid w:val="7D322B26"/>
    <w:rsid w:val="7D7A30AF"/>
    <w:rsid w:val="7D7F0EE7"/>
    <w:rsid w:val="7D887AE3"/>
    <w:rsid w:val="7DBECB88"/>
    <w:rsid w:val="7DC2DB45"/>
    <w:rsid w:val="7DD2E872"/>
    <w:rsid w:val="7DEFF54E"/>
    <w:rsid w:val="7E25B806"/>
    <w:rsid w:val="7E53ECAB"/>
    <w:rsid w:val="7EB2B298"/>
    <w:rsid w:val="7EE3600E"/>
    <w:rsid w:val="7EF605CC"/>
    <w:rsid w:val="7F1077D5"/>
    <w:rsid w:val="7F268C5B"/>
    <w:rsid w:val="7F3CC595"/>
    <w:rsid w:val="7FB711D1"/>
    <w:rsid w:val="7FBA87A5"/>
    <w:rsid w:val="7FC11F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2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409"/>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qFormat/>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aliases w:val="Bullet point,Bulleted Para,CV text,Dot pt,F5 List Paragraph,FooterText,L,List Paragraph1,List Paragraph11,List Paragraph111,List Paragraph2,Main,Medium Grid 1 - Accent 21,NFP GP Bulleted List,Numbered Paragraph,Recommendation,Table text,列"/>
    <w:basedOn w:val="Normal"/>
    <w:link w:val="ListParagraphChar"/>
    <w:uiPriority w:val="34"/>
    <w:qFormat/>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qFormat/>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unhideWhenUsed/>
    <w:rsid w:val="00C279D9"/>
    <w:pPr>
      <w:spacing w:line="240" w:lineRule="auto"/>
    </w:pPr>
  </w:style>
  <w:style w:type="character" w:customStyle="1" w:styleId="CommentTextChar">
    <w:name w:val="Comment Text Char"/>
    <w:basedOn w:val="DefaultParagraphFont"/>
    <w:link w:val="CommentText"/>
    <w:uiPriority w:val="99"/>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BB637E"/>
    <w:pPr>
      <w:spacing w:after="0" w:line="240" w:lineRule="auto"/>
    </w:pPr>
    <w:rPr>
      <w:rFonts w:ascii="Verdana" w:hAnsi="Verdana"/>
      <w:color w:val="000000" w:themeColor="text1"/>
      <w:sz w:val="20"/>
      <w:szCs w:val="20"/>
    </w:rPr>
  </w:style>
  <w:style w:type="paragraph" w:customStyle="1" w:styleId="Default">
    <w:name w:val="Default"/>
    <w:rsid w:val="00BA0140"/>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BA0140"/>
    <w:pPr>
      <w:spacing w:line="141" w:lineRule="atLeast"/>
    </w:pPr>
    <w:rPr>
      <w:rFonts w:ascii="AU Sans BETA Text Medium" w:hAnsi="AU Sans BETA Text Medium" w:cstheme="minorBidi"/>
      <w:color w:val="auto"/>
    </w:rPr>
  </w:style>
  <w:style w:type="paragraph" w:styleId="Caption">
    <w:name w:val="caption"/>
    <w:basedOn w:val="Normal"/>
    <w:next w:val="Normal"/>
    <w:uiPriority w:val="35"/>
    <w:unhideWhenUsed/>
    <w:qFormat/>
    <w:rsid w:val="00BA0140"/>
    <w:pPr>
      <w:spacing w:before="0" w:line="240" w:lineRule="auto"/>
    </w:pPr>
    <w:rPr>
      <w:i/>
      <w:iCs/>
      <w:color w:val="2E1A47" w:themeColor="text2"/>
      <w:sz w:val="18"/>
      <w:szCs w:val="18"/>
    </w:rPr>
  </w:style>
  <w:style w:type="paragraph" w:styleId="ListBullet">
    <w:name w:val="List Bullet"/>
    <w:basedOn w:val="Normal"/>
    <w:uiPriority w:val="99"/>
    <w:unhideWhenUsed/>
    <w:qFormat/>
    <w:rsid w:val="00BA0140"/>
    <w:pPr>
      <w:numPr>
        <w:numId w:val="4"/>
      </w:numPr>
      <w:snapToGrid w:val="0"/>
      <w:spacing w:before="0" w:after="40" w:line="252" w:lineRule="auto"/>
    </w:pPr>
    <w:rPr>
      <w:rFonts w:asciiTheme="minorHAnsi" w:eastAsiaTheme="minorEastAsia" w:hAnsiTheme="minorHAnsi"/>
      <w:color w:val="auto"/>
      <w:lang w:eastAsia="zh-CN"/>
    </w:rPr>
  </w:style>
  <w:style w:type="paragraph" w:styleId="ListBullet2">
    <w:name w:val="List Bullet 2"/>
    <w:basedOn w:val="Normal"/>
    <w:uiPriority w:val="99"/>
    <w:semiHidden/>
    <w:unhideWhenUsed/>
    <w:qFormat/>
    <w:rsid w:val="00BA0140"/>
    <w:pPr>
      <w:numPr>
        <w:ilvl w:val="1"/>
        <w:numId w:val="4"/>
      </w:numPr>
      <w:snapToGrid w:val="0"/>
      <w:spacing w:before="0" w:after="40" w:line="252" w:lineRule="auto"/>
    </w:pPr>
    <w:rPr>
      <w:rFonts w:asciiTheme="minorHAnsi" w:eastAsiaTheme="minorEastAsia" w:hAnsiTheme="minorHAnsi"/>
      <w:color w:val="auto"/>
      <w:lang w:eastAsia="zh-CN"/>
    </w:rPr>
  </w:style>
  <w:style w:type="paragraph" w:styleId="ListBullet3">
    <w:name w:val="List Bullet 3"/>
    <w:basedOn w:val="Normal"/>
    <w:uiPriority w:val="99"/>
    <w:semiHidden/>
    <w:unhideWhenUsed/>
    <w:qFormat/>
    <w:rsid w:val="00BA0140"/>
    <w:pPr>
      <w:numPr>
        <w:ilvl w:val="2"/>
        <w:numId w:val="4"/>
      </w:numPr>
      <w:snapToGrid w:val="0"/>
      <w:spacing w:before="0" w:after="40" w:line="252" w:lineRule="auto"/>
    </w:pPr>
    <w:rPr>
      <w:rFonts w:asciiTheme="minorHAnsi" w:eastAsiaTheme="minorEastAsia" w:hAnsiTheme="minorHAnsi"/>
      <w:color w:val="auto"/>
      <w:lang w:eastAsia="zh-CN"/>
    </w:rPr>
  </w:style>
  <w:style w:type="character" w:customStyle="1" w:styleId="ListParagraphChar">
    <w:name w:val="List Paragraph Char"/>
    <w:aliases w:val="Bullet point Char,Bulleted Para Char,CV text Char,Dot pt Char,F5 List Paragraph Char,FooterText Char,L Char,List Paragraph1 Char,List Paragraph11 Char,List Paragraph111 Char,List Paragraph2 Char,Main Char,NFP GP Bulleted List Char"/>
    <w:basedOn w:val="DefaultParagraphFont"/>
    <w:link w:val="ListParagraph"/>
    <w:uiPriority w:val="34"/>
    <w:qFormat/>
    <w:locked/>
    <w:rsid w:val="00BA0140"/>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BA0140"/>
    <w:rPr>
      <w:vertAlign w:val="superscript"/>
    </w:rPr>
  </w:style>
  <w:style w:type="character" w:customStyle="1" w:styleId="normaltextrun">
    <w:name w:val="normaltextrun"/>
    <w:basedOn w:val="DefaultParagraphFont"/>
    <w:rsid w:val="00BA0140"/>
  </w:style>
  <w:style w:type="paragraph" w:styleId="NormalWeb">
    <w:name w:val="Normal (Web)"/>
    <w:basedOn w:val="Normal"/>
    <w:link w:val="NormalWebChar"/>
    <w:uiPriority w:val="99"/>
    <w:unhideWhenUsed/>
    <w:rsid w:val="00BA014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semiHidden/>
    <w:unhideWhenUsed/>
    <w:rsid w:val="00BA0140"/>
    <w:pPr>
      <w:spacing w:before="0" w:after="0" w:line="240" w:lineRule="auto"/>
    </w:pPr>
  </w:style>
  <w:style w:type="character" w:customStyle="1" w:styleId="FootnoteTextChar">
    <w:name w:val="Footnote Text Char"/>
    <w:basedOn w:val="DefaultParagraphFont"/>
    <w:link w:val="FootnoteText"/>
    <w:uiPriority w:val="99"/>
    <w:semiHidden/>
    <w:rsid w:val="00BA0140"/>
    <w:rPr>
      <w:rFonts w:ascii="Verdana" w:hAnsi="Verdana"/>
      <w:color w:val="000000" w:themeColor="text1"/>
      <w:sz w:val="20"/>
      <w:szCs w:val="20"/>
    </w:rPr>
  </w:style>
  <w:style w:type="paragraph" w:customStyle="1" w:styleId="pf0">
    <w:name w:val="pf0"/>
    <w:basedOn w:val="Normal"/>
    <w:rsid w:val="00BA014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BA0140"/>
    <w:rPr>
      <w:rFonts w:ascii="Segoe UI" w:hAnsi="Segoe UI" w:cs="Segoe UI" w:hint="default"/>
      <w:sz w:val="18"/>
      <w:szCs w:val="18"/>
    </w:rPr>
  </w:style>
  <w:style w:type="paragraph" w:styleId="TOCHeading">
    <w:name w:val="TOC Heading"/>
    <w:basedOn w:val="Heading1"/>
    <w:next w:val="Normal"/>
    <w:uiPriority w:val="39"/>
    <w:unhideWhenUsed/>
    <w:qFormat/>
    <w:rsid w:val="003D6F90"/>
    <w:pPr>
      <w:keepNext/>
      <w:keepLines/>
      <w:spacing w:before="240" w:after="0" w:line="259" w:lineRule="auto"/>
      <w:outlineLvl w:val="9"/>
    </w:pPr>
    <w:rPr>
      <w:rFonts w:asciiTheme="majorHAnsi" w:eastAsiaTheme="majorEastAsia" w:hAnsiTheme="majorHAnsi" w:cstheme="majorBidi"/>
      <w:bCs w:val="0"/>
      <w:color w:val="5B3161" w:themeColor="accent1" w:themeShade="BF"/>
      <w:sz w:val="32"/>
      <w:szCs w:val="32"/>
      <w:lang w:val="en-US" w:eastAsia="en-US"/>
    </w:rPr>
  </w:style>
  <w:style w:type="paragraph" w:styleId="TOC1">
    <w:name w:val="toc 1"/>
    <w:basedOn w:val="Normal"/>
    <w:next w:val="Normal"/>
    <w:autoRedefine/>
    <w:uiPriority w:val="39"/>
    <w:unhideWhenUsed/>
    <w:rsid w:val="000F0D67"/>
    <w:pPr>
      <w:tabs>
        <w:tab w:val="right" w:leader="dot" w:pos="9958"/>
      </w:tabs>
      <w:spacing w:after="100"/>
    </w:pPr>
  </w:style>
  <w:style w:type="paragraph" w:styleId="TOC3">
    <w:name w:val="toc 3"/>
    <w:basedOn w:val="Normal"/>
    <w:next w:val="Normal"/>
    <w:autoRedefine/>
    <w:uiPriority w:val="39"/>
    <w:unhideWhenUsed/>
    <w:rsid w:val="003D6F90"/>
    <w:pPr>
      <w:spacing w:after="100"/>
      <w:ind w:left="400"/>
    </w:pPr>
  </w:style>
  <w:style w:type="paragraph" w:styleId="TOC2">
    <w:name w:val="toc 2"/>
    <w:basedOn w:val="Normal"/>
    <w:next w:val="Normal"/>
    <w:autoRedefine/>
    <w:uiPriority w:val="39"/>
    <w:unhideWhenUsed/>
    <w:rsid w:val="0028011D"/>
    <w:pPr>
      <w:tabs>
        <w:tab w:val="right" w:leader="dot" w:pos="9958"/>
      </w:tabs>
      <w:spacing w:before="0" w:after="100"/>
      <w:ind w:left="198"/>
    </w:pPr>
    <w:rPr>
      <w:noProof/>
    </w:rPr>
  </w:style>
  <w:style w:type="paragraph" w:customStyle="1" w:styleId="paragraph">
    <w:name w:val="paragraph"/>
    <w:basedOn w:val="Normal"/>
    <w:rsid w:val="0081318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81318D"/>
  </w:style>
  <w:style w:type="character" w:customStyle="1" w:styleId="scxw29124678">
    <w:name w:val="scxw29124678"/>
    <w:basedOn w:val="DefaultParagraphFont"/>
    <w:rsid w:val="003C7CF8"/>
  </w:style>
  <w:style w:type="paragraph" w:customStyle="1" w:styleId="Bullet">
    <w:name w:val="Bullet"/>
    <w:basedOn w:val="Normal"/>
    <w:rsid w:val="006A5EBA"/>
    <w:pPr>
      <w:numPr>
        <w:numId w:val="25"/>
      </w:numPr>
      <w:spacing w:before="0" w:after="240" w:line="240" w:lineRule="auto"/>
    </w:pPr>
    <w:rPr>
      <w:rFonts w:ascii="Times New Roman" w:eastAsia="Times New Roman" w:hAnsi="Times New Roman" w:cs="Times New Roman"/>
      <w:color w:val="auto"/>
      <w:sz w:val="24"/>
      <w:szCs w:val="24"/>
    </w:rPr>
  </w:style>
  <w:style w:type="paragraph" w:customStyle="1" w:styleId="Dash">
    <w:name w:val="Dash"/>
    <w:basedOn w:val="Normal"/>
    <w:rsid w:val="006A5EBA"/>
    <w:pPr>
      <w:numPr>
        <w:ilvl w:val="1"/>
        <w:numId w:val="25"/>
      </w:numPr>
      <w:spacing w:before="0" w:after="240" w:line="240" w:lineRule="auto"/>
    </w:pPr>
    <w:rPr>
      <w:rFonts w:ascii="Times New Roman" w:eastAsia="Times New Roman" w:hAnsi="Times New Roman" w:cs="Times New Roman"/>
      <w:color w:val="auto"/>
      <w:sz w:val="24"/>
      <w:szCs w:val="24"/>
    </w:rPr>
  </w:style>
  <w:style w:type="paragraph" w:customStyle="1" w:styleId="DoubleDot">
    <w:name w:val="Double Dot"/>
    <w:basedOn w:val="Normal"/>
    <w:rsid w:val="006A5EBA"/>
    <w:pPr>
      <w:numPr>
        <w:ilvl w:val="2"/>
        <w:numId w:val="25"/>
      </w:numPr>
      <w:spacing w:before="0" w:after="240" w:line="240" w:lineRule="auto"/>
    </w:pPr>
    <w:rPr>
      <w:rFonts w:ascii="Times New Roman" w:eastAsia="Times New Roman" w:hAnsi="Times New Roman" w:cs="Times New Roman"/>
      <w:color w:val="auto"/>
      <w:sz w:val="24"/>
      <w:szCs w:val="24"/>
    </w:rPr>
  </w:style>
  <w:style w:type="table" w:styleId="GridTable1Light-Accent1">
    <w:name w:val="Grid Table 1 Light Accent 1"/>
    <w:basedOn w:val="TableNormal"/>
    <w:uiPriority w:val="46"/>
    <w:rsid w:val="00624118"/>
    <w:pPr>
      <w:spacing w:after="0" w:line="240" w:lineRule="auto"/>
    </w:pPr>
    <w:tblPr>
      <w:tblStyleRowBandSize w:val="1"/>
      <w:tblStyleColBandSize w:val="1"/>
      <w:tblInd w:w="0" w:type="nil"/>
      <w:tblBorders>
        <w:top w:val="single" w:sz="4" w:space="0" w:color="CFABD4" w:themeColor="accent1" w:themeTint="66"/>
        <w:left w:val="single" w:sz="4" w:space="0" w:color="CFABD4" w:themeColor="accent1" w:themeTint="66"/>
        <w:bottom w:val="single" w:sz="4" w:space="0" w:color="CFABD4" w:themeColor="accent1" w:themeTint="66"/>
        <w:right w:val="single" w:sz="4" w:space="0" w:color="CFABD4" w:themeColor="accent1" w:themeTint="66"/>
        <w:insideH w:val="single" w:sz="4" w:space="0" w:color="CFABD4" w:themeColor="accent1" w:themeTint="66"/>
        <w:insideV w:val="single" w:sz="4" w:space="0" w:color="CFABD4" w:themeColor="accent1" w:themeTint="66"/>
      </w:tblBorders>
    </w:tblPr>
    <w:tblStylePr w:type="firstRow">
      <w:rPr>
        <w:b/>
        <w:bCs/>
      </w:rPr>
      <w:tblPr/>
      <w:tcPr>
        <w:tcBorders>
          <w:bottom w:val="single" w:sz="12" w:space="0" w:color="B781BF" w:themeColor="accent1" w:themeTint="99"/>
        </w:tcBorders>
      </w:tcPr>
    </w:tblStylePr>
    <w:tblStylePr w:type="lastRow">
      <w:rPr>
        <w:b/>
        <w:bCs/>
      </w:rPr>
      <w:tblPr/>
      <w:tcPr>
        <w:tcBorders>
          <w:top w:val="double" w:sz="2" w:space="0" w:color="B781BF" w:themeColor="accen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7A611D"/>
    <w:rPr>
      <w:i/>
      <w:iCs/>
    </w:rPr>
  </w:style>
  <w:style w:type="character" w:styleId="UnresolvedMention">
    <w:name w:val="Unresolved Mention"/>
    <w:basedOn w:val="DefaultParagraphFont"/>
    <w:uiPriority w:val="99"/>
    <w:semiHidden/>
    <w:unhideWhenUsed/>
    <w:rsid w:val="00FE7BB6"/>
    <w:rPr>
      <w:color w:val="605E5C"/>
      <w:shd w:val="clear" w:color="auto" w:fill="E1DFDD"/>
    </w:rPr>
  </w:style>
  <w:style w:type="paragraph" w:customStyle="1" w:styleId="Bulletlist0">
    <w:name w:val="Bullet list"/>
    <w:basedOn w:val="ListBullet"/>
    <w:link w:val="BulletlistChar0"/>
    <w:qFormat/>
    <w:rsid w:val="00FD5642"/>
    <w:pPr>
      <w:tabs>
        <w:tab w:val="num" w:pos="360"/>
      </w:tabs>
      <w:spacing w:after="200" w:line="300" w:lineRule="atLeast"/>
      <w:ind w:left="360" w:hanging="360"/>
      <w:contextualSpacing/>
    </w:pPr>
  </w:style>
  <w:style w:type="character" w:customStyle="1" w:styleId="BulletlistChar0">
    <w:name w:val="Bullet list Char"/>
    <w:basedOn w:val="DefaultParagraphFont"/>
    <w:link w:val="Bulletlist0"/>
    <w:rsid w:val="00FD5642"/>
    <w:rPr>
      <w:rFonts w:eastAsiaTheme="minorEastAsia"/>
      <w:sz w:val="20"/>
      <w:szCs w:val="20"/>
      <w:lang w:eastAsia="zh-CN"/>
    </w:rPr>
  </w:style>
  <w:style w:type="paragraph" w:customStyle="1" w:styleId="pf1">
    <w:name w:val="pf1"/>
    <w:basedOn w:val="Normal"/>
    <w:rsid w:val="00744854"/>
    <w:pPr>
      <w:spacing w:before="100" w:beforeAutospacing="1" w:after="100" w:afterAutospacing="1" w:line="240" w:lineRule="auto"/>
      <w:ind w:left="300"/>
    </w:pPr>
    <w:rPr>
      <w:rFonts w:ascii="Times New Roman" w:eastAsia="Times New Roman" w:hAnsi="Times New Roman" w:cs="Times New Roman"/>
      <w:color w:val="auto"/>
      <w:sz w:val="24"/>
      <w:szCs w:val="24"/>
      <w:lang w:eastAsia="en-AU"/>
    </w:rPr>
  </w:style>
  <w:style w:type="character" w:customStyle="1" w:styleId="ui-provider">
    <w:name w:val="ui-provider"/>
    <w:basedOn w:val="DefaultParagraphFont"/>
    <w:rsid w:val="00DB6EC6"/>
  </w:style>
  <w:style w:type="character" w:customStyle="1" w:styleId="NormalWebChar">
    <w:name w:val="Normal (Web) Char"/>
    <w:basedOn w:val="DefaultParagraphFont"/>
    <w:link w:val="NormalWeb"/>
    <w:uiPriority w:val="99"/>
    <w:locked/>
    <w:rsid w:val="00DC68EF"/>
    <w:rPr>
      <w:rFonts w:ascii="Times New Roman" w:eastAsia="Times New Roman" w:hAnsi="Times New Roman" w:cs="Times New Roman"/>
      <w:sz w:val="24"/>
      <w:szCs w:val="24"/>
      <w:lang w:eastAsia="en-AU"/>
    </w:rPr>
  </w:style>
  <w:style w:type="paragraph" w:customStyle="1" w:styleId="xmsonormal">
    <w:name w:val="x_msonormal"/>
    <w:basedOn w:val="Normal"/>
    <w:rsid w:val="00E62807"/>
    <w:pPr>
      <w:spacing w:before="0" w:after="0" w:line="240" w:lineRule="auto"/>
    </w:pPr>
    <w:rPr>
      <w:rFonts w:ascii="Aptos" w:hAnsi="Aptos" w:cs="Calibri"/>
      <w:color w:val="auto"/>
      <w:sz w:val="24"/>
      <w:szCs w:val="24"/>
      <w:lang w:eastAsia="en-AU"/>
    </w:rPr>
  </w:style>
  <w:style w:type="character" w:customStyle="1" w:styleId="cf11">
    <w:name w:val="cf11"/>
    <w:basedOn w:val="DefaultParagraphFont"/>
    <w:rsid w:val="002556B6"/>
    <w:rPr>
      <w:rFonts w:ascii="Segoe UI" w:hAnsi="Segoe UI" w:cs="Segoe UI" w:hint="default"/>
      <w:sz w:val="18"/>
      <w:szCs w:val="18"/>
    </w:rPr>
  </w:style>
  <w:style w:type="character" w:customStyle="1" w:styleId="A3">
    <w:name w:val="A3"/>
    <w:uiPriority w:val="99"/>
    <w:rsid w:val="00C756E6"/>
    <w:rPr>
      <w:rFonts w:cs="AU Sans BETA Text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6514">
      <w:bodyDiv w:val="1"/>
      <w:marLeft w:val="0"/>
      <w:marRight w:val="0"/>
      <w:marTop w:val="0"/>
      <w:marBottom w:val="0"/>
      <w:divBdr>
        <w:top w:val="none" w:sz="0" w:space="0" w:color="auto"/>
        <w:left w:val="none" w:sz="0" w:space="0" w:color="auto"/>
        <w:bottom w:val="none" w:sz="0" w:space="0" w:color="auto"/>
        <w:right w:val="none" w:sz="0" w:space="0" w:color="auto"/>
      </w:divBdr>
    </w:div>
    <w:div w:id="185025799">
      <w:bodyDiv w:val="1"/>
      <w:marLeft w:val="0"/>
      <w:marRight w:val="0"/>
      <w:marTop w:val="0"/>
      <w:marBottom w:val="0"/>
      <w:divBdr>
        <w:top w:val="none" w:sz="0" w:space="0" w:color="auto"/>
        <w:left w:val="none" w:sz="0" w:space="0" w:color="auto"/>
        <w:bottom w:val="none" w:sz="0" w:space="0" w:color="auto"/>
        <w:right w:val="none" w:sz="0" w:space="0" w:color="auto"/>
      </w:divBdr>
    </w:div>
    <w:div w:id="290090874">
      <w:bodyDiv w:val="1"/>
      <w:marLeft w:val="0"/>
      <w:marRight w:val="0"/>
      <w:marTop w:val="0"/>
      <w:marBottom w:val="0"/>
      <w:divBdr>
        <w:top w:val="none" w:sz="0" w:space="0" w:color="auto"/>
        <w:left w:val="none" w:sz="0" w:space="0" w:color="auto"/>
        <w:bottom w:val="none" w:sz="0" w:space="0" w:color="auto"/>
        <w:right w:val="none" w:sz="0" w:space="0" w:color="auto"/>
      </w:divBdr>
    </w:div>
    <w:div w:id="335117616">
      <w:bodyDiv w:val="1"/>
      <w:marLeft w:val="0"/>
      <w:marRight w:val="0"/>
      <w:marTop w:val="0"/>
      <w:marBottom w:val="0"/>
      <w:divBdr>
        <w:top w:val="none" w:sz="0" w:space="0" w:color="auto"/>
        <w:left w:val="none" w:sz="0" w:space="0" w:color="auto"/>
        <w:bottom w:val="none" w:sz="0" w:space="0" w:color="auto"/>
        <w:right w:val="none" w:sz="0" w:space="0" w:color="auto"/>
      </w:divBdr>
    </w:div>
    <w:div w:id="378168970">
      <w:bodyDiv w:val="1"/>
      <w:marLeft w:val="0"/>
      <w:marRight w:val="0"/>
      <w:marTop w:val="0"/>
      <w:marBottom w:val="0"/>
      <w:divBdr>
        <w:top w:val="none" w:sz="0" w:space="0" w:color="auto"/>
        <w:left w:val="none" w:sz="0" w:space="0" w:color="auto"/>
        <w:bottom w:val="none" w:sz="0" w:space="0" w:color="auto"/>
        <w:right w:val="none" w:sz="0" w:space="0" w:color="auto"/>
      </w:divBdr>
    </w:div>
    <w:div w:id="398941499">
      <w:bodyDiv w:val="1"/>
      <w:marLeft w:val="0"/>
      <w:marRight w:val="0"/>
      <w:marTop w:val="0"/>
      <w:marBottom w:val="0"/>
      <w:divBdr>
        <w:top w:val="none" w:sz="0" w:space="0" w:color="auto"/>
        <w:left w:val="none" w:sz="0" w:space="0" w:color="auto"/>
        <w:bottom w:val="none" w:sz="0" w:space="0" w:color="auto"/>
        <w:right w:val="none" w:sz="0" w:space="0" w:color="auto"/>
      </w:divBdr>
    </w:div>
    <w:div w:id="436952806">
      <w:bodyDiv w:val="1"/>
      <w:marLeft w:val="0"/>
      <w:marRight w:val="0"/>
      <w:marTop w:val="0"/>
      <w:marBottom w:val="0"/>
      <w:divBdr>
        <w:top w:val="none" w:sz="0" w:space="0" w:color="auto"/>
        <w:left w:val="none" w:sz="0" w:space="0" w:color="auto"/>
        <w:bottom w:val="none" w:sz="0" w:space="0" w:color="auto"/>
        <w:right w:val="none" w:sz="0" w:space="0" w:color="auto"/>
      </w:divBdr>
    </w:div>
    <w:div w:id="461846452">
      <w:bodyDiv w:val="1"/>
      <w:marLeft w:val="0"/>
      <w:marRight w:val="0"/>
      <w:marTop w:val="0"/>
      <w:marBottom w:val="0"/>
      <w:divBdr>
        <w:top w:val="none" w:sz="0" w:space="0" w:color="auto"/>
        <w:left w:val="none" w:sz="0" w:space="0" w:color="auto"/>
        <w:bottom w:val="none" w:sz="0" w:space="0" w:color="auto"/>
        <w:right w:val="none" w:sz="0" w:space="0" w:color="auto"/>
      </w:divBdr>
    </w:div>
    <w:div w:id="479418641">
      <w:bodyDiv w:val="1"/>
      <w:marLeft w:val="0"/>
      <w:marRight w:val="0"/>
      <w:marTop w:val="0"/>
      <w:marBottom w:val="0"/>
      <w:divBdr>
        <w:top w:val="none" w:sz="0" w:space="0" w:color="auto"/>
        <w:left w:val="none" w:sz="0" w:space="0" w:color="auto"/>
        <w:bottom w:val="none" w:sz="0" w:space="0" w:color="auto"/>
        <w:right w:val="none" w:sz="0" w:space="0" w:color="auto"/>
      </w:divBdr>
    </w:div>
    <w:div w:id="480121532">
      <w:bodyDiv w:val="1"/>
      <w:marLeft w:val="0"/>
      <w:marRight w:val="0"/>
      <w:marTop w:val="0"/>
      <w:marBottom w:val="0"/>
      <w:divBdr>
        <w:top w:val="none" w:sz="0" w:space="0" w:color="auto"/>
        <w:left w:val="none" w:sz="0" w:space="0" w:color="auto"/>
        <w:bottom w:val="none" w:sz="0" w:space="0" w:color="auto"/>
        <w:right w:val="none" w:sz="0" w:space="0" w:color="auto"/>
      </w:divBdr>
    </w:div>
    <w:div w:id="548297891">
      <w:bodyDiv w:val="1"/>
      <w:marLeft w:val="0"/>
      <w:marRight w:val="0"/>
      <w:marTop w:val="0"/>
      <w:marBottom w:val="0"/>
      <w:divBdr>
        <w:top w:val="none" w:sz="0" w:space="0" w:color="auto"/>
        <w:left w:val="none" w:sz="0" w:space="0" w:color="auto"/>
        <w:bottom w:val="none" w:sz="0" w:space="0" w:color="auto"/>
        <w:right w:val="none" w:sz="0" w:space="0" w:color="auto"/>
      </w:divBdr>
    </w:div>
    <w:div w:id="595554601">
      <w:bodyDiv w:val="1"/>
      <w:marLeft w:val="0"/>
      <w:marRight w:val="0"/>
      <w:marTop w:val="0"/>
      <w:marBottom w:val="0"/>
      <w:divBdr>
        <w:top w:val="none" w:sz="0" w:space="0" w:color="auto"/>
        <w:left w:val="none" w:sz="0" w:space="0" w:color="auto"/>
        <w:bottom w:val="none" w:sz="0" w:space="0" w:color="auto"/>
        <w:right w:val="none" w:sz="0" w:space="0" w:color="auto"/>
      </w:divBdr>
    </w:div>
    <w:div w:id="633830483">
      <w:bodyDiv w:val="1"/>
      <w:marLeft w:val="0"/>
      <w:marRight w:val="0"/>
      <w:marTop w:val="0"/>
      <w:marBottom w:val="0"/>
      <w:divBdr>
        <w:top w:val="none" w:sz="0" w:space="0" w:color="auto"/>
        <w:left w:val="none" w:sz="0" w:space="0" w:color="auto"/>
        <w:bottom w:val="none" w:sz="0" w:space="0" w:color="auto"/>
        <w:right w:val="none" w:sz="0" w:space="0" w:color="auto"/>
      </w:divBdr>
    </w:div>
    <w:div w:id="675498337">
      <w:bodyDiv w:val="1"/>
      <w:marLeft w:val="0"/>
      <w:marRight w:val="0"/>
      <w:marTop w:val="0"/>
      <w:marBottom w:val="0"/>
      <w:divBdr>
        <w:top w:val="none" w:sz="0" w:space="0" w:color="auto"/>
        <w:left w:val="none" w:sz="0" w:space="0" w:color="auto"/>
        <w:bottom w:val="none" w:sz="0" w:space="0" w:color="auto"/>
        <w:right w:val="none" w:sz="0" w:space="0" w:color="auto"/>
      </w:divBdr>
    </w:div>
    <w:div w:id="748886068">
      <w:bodyDiv w:val="1"/>
      <w:marLeft w:val="0"/>
      <w:marRight w:val="0"/>
      <w:marTop w:val="0"/>
      <w:marBottom w:val="0"/>
      <w:divBdr>
        <w:top w:val="none" w:sz="0" w:space="0" w:color="auto"/>
        <w:left w:val="none" w:sz="0" w:space="0" w:color="auto"/>
        <w:bottom w:val="none" w:sz="0" w:space="0" w:color="auto"/>
        <w:right w:val="none" w:sz="0" w:space="0" w:color="auto"/>
      </w:divBdr>
    </w:div>
    <w:div w:id="753404402">
      <w:bodyDiv w:val="1"/>
      <w:marLeft w:val="0"/>
      <w:marRight w:val="0"/>
      <w:marTop w:val="0"/>
      <w:marBottom w:val="0"/>
      <w:divBdr>
        <w:top w:val="none" w:sz="0" w:space="0" w:color="auto"/>
        <w:left w:val="none" w:sz="0" w:space="0" w:color="auto"/>
        <w:bottom w:val="none" w:sz="0" w:space="0" w:color="auto"/>
        <w:right w:val="none" w:sz="0" w:space="0" w:color="auto"/>
      </w:divBdr>
    </w:div>
    <w:div w:id="768815768">
      <w:bodyDiv w:val="1"/>
      <w:marLeft w:val="0"/>
      <w:marRight w:val="0"/>
      <w:marTop w:val="0"/>
      <w:marBottom w:val="0"/>
      <w:divBdr>
        <w:top w:val="none" w:sz="0" w:space="0" w:color="auto"/>
        <w:left w:val="none" w:sz="0" w:space="0" w:color="auto"/>
        <w:bottom w:val="none" w:sz="0" w:space="0" w:color="auto"/>
        <w:right w:val="none" w:sz="0" w:space="0" w:color="auto"/>
      </w:divBdr>
    </w:div>
    <w:div w:id="817692732">
      <w:bodyDiv w:val="1"/>
      <w:marLeft w:val="0"/>
      <w:marRight w:val="0"/>
      <w:marTop w:val="0"/>
      <w:marBottom w:val="0"/>
      <w:divBdr>
        <w:top w:val="none" w:sz="0" w:space="0" w:color="auto"/>
        <w:left w:val="none" w:sz="0" w:space="0" w:color="auto"/>
        <w:bottom w:val="none" w:sz="0" w:space="0" w:color="auto"/>
        <w:right w:val="none" w:sz="0" w:space="0" w:color="auto"/>
      </w:divBdr>
    </w:div>
    <w:div w:id="881479533">
      <w:bodyDiv w:val="1"/>
      <w:marLeft w:val="0"/>
      <w:marRight w:val="0"/>
      <w:marTop w:val="0"/>
      <w:marBottom w:val="0"/>
      <w:divBdr>
        <w:top w:val="none" w:sz="0" w:space="0" w:color="auto"/>
        <w:left w:val="none" w:sz="0" w:space="0" w:color="auto"/>
        <w:bottom w:val="none" w:sz="0" w:space="0" w:color="auto"/>
        <w:right w:val="none" w:sz="0" w:space="0" w:color="auto"/>
      </w:divBdr>
    </w:div>
    <w:div w:id="905337000">
      <w:bodyDiv w:val="1"/>
      <w:marLeft w:val="0"/>
      <w:marRight w:val="0"/>
      <w:marTop w:val="0"/>
      <w:marBottom w:val="0"/>
      <w:divBdr>
        <w:top w:val="none" w:sz="0" w:space="0" w:color="auto"/>
        <w:left w:val="none" w:sz="0" w:space="0" w:color="auto"/>
        <w:bottom w:val="none" w:sz="0" w:space="0" w:color="auto"/>
        <w:right w:val="none" w:sz="0" w:space="0" w:color="auto"/>
      </w:divBdr>
    </w:div>
    <w:div w:id="917057785">
      <w:bodyDiv w:val="1"/>
      <w:marLeft w:val="0"/>
      <w:marRight w:val="0"/>
      <w:marTop w:val="0"/>
      <w:marBottom w:val="0"/>
      <w:divBdr>
        <w:top w:val="none" w:sz="0" w:space="0" w:color="auto"/>
        <w:left w:val="none" w:sz="0" w:space="0" w:color="auto"/>
        <w:bottom w:val="none" w:sz="0" w:space="0" w:color="auto"/>
        <w:right w:val="none" w:sz="0" w:space="0" w:color="auto"/>
      </w:divBdr>
    </w:div>
    <w:div w:id="942691746">
      <w:bodyDiv w:val="1"/>
      <w:marLeft w:val="0"/>
      <w:marRight w:val="0"/>
      <w:marTop w:val="0"/>
      <w:marBottom w:val="0"/>
      <w:divBdr>
        <w:top w:val="none" w:sz="0" w:space="0" w:color="auto"/>
        <w:left w:val="none" w:sz="0" w:space="0" w:color="auto"/>
        <w:bottom w:val="none" w:sz="0" w:space="0" w:color="auto"/>
        <w:right w:val="none" w:sz="0" w:space="0" w:color="auto"/>
      </w:divBdr>
    </w:div>
    <w:div w:id="975140630">
      <w:bodyDiv w:val="1"/>
      <w:marLeft w:val="0"/>
      <w:marRight w:val="0"/>
      <w:marTop w:val="0"/>
      <w:marBottom w:val="0"/>
      <w:divBdr>
        <w:top w:val="none" w:sz="0" w:space="0" w:color="auto"/>
        <w:left w:val="none" w:sz="0" w:space="0" w:color="auto"/>
        <w:bottom w:val="none" w:sz="0" w:space="0" w:color="auto"/>
        <w:right w:val="none" w:sz="0" w:space="0" w:color="auto"/>
      </w:divBdr>
    </w:div>
    <w:div w:id="1004212091">
      <w:bodyDiv w:val="1"/>
      <w:marLeft w:val="0"/>
      <w:marRight w:val="0"/>
      <w:marTop w:val="0"/>
      <w:marBottom w:val="0"/>
      <w:divBdr>
        <w:top w:val="none" w:sz="0" w:space="0" w:color="auto"/>
        <w:left w:val="none" w:sz="0" w:space="0" w:color="auto"/>
        <w:bottom w:val="none" w:sz="0" w:space="0" w:color="auto"/>
        <w:right w:val="none" w:sz="0" w:space="0" w:color="auto"/>
      </w:divBdr>
    </w:div>
    <w:div w:id="1164515961">
      <w:bodyDiv w:val="1"/>
      <w:marLeft w:val="0"/>
      <w:marRight w:val="0"/>
      <w:marTop w:val="0"/>
      <w:marBottom w:val="0"/>
      <w:divBdr>
        <w:top w:val="none" w:sz="0" w:space="0" w:color="auto"/>
        <w:left w:val="none" w:sz="0" w:space="0" w:color="auto"/>
        <w:bottom w:val="none" w:sz="0" w:space="0" w:color="auto"/>
        <w:right w:val="none" w:sz="0" w:space="0" w:color="auto"/>
      </w:divBdr>
    </w:div>
    <w:div w:id="1235973729">
      <w:bodyDiv w:val="1"/>
      <w:marLeft w:val="0"/>
      <w:marRight w:val="0"/>
      <w:marTop w:val="0"/>
      <w:marBottom w:val="0"/>
      <w:divBdr>
        <w:top w:val="none" w:sz="0" w:space="0" w:color="auto"/>
        <w:left w:val="none" w:sz="0" w:space="0" w:color="auto"/>
        <w:bottom w:val="none" w:sz="0" w:space="0" w:color="auto"/>
        <w:right w:val="none" w:sz="0" w:space="0" w:color="auto"/>
      </w:divBdr>
    </w:div>
    <w:div w:id="1244414083">
      <w:bodyDiv w:val="1"/>
      <w:marLeft w:val="0"/>
      <w:marRight w:val="0"/>
      <w:marTop w:val="0"/>
      <w:marBottom w:val="0"/>
      <w:divBdr>
        <w:top w:val="none" w:sz="0" w:space="0" w:color="auto"/>
        <w:left w:val="none" w:sz="0" w:space="0" w:color="auto"/>
        <w:bottom w:val="none" w:sz="0" w:space="0" w:color="auto"/>
        <w:right w:val="none" w:sz="0" w:space="0" w:color="auto"/>
      </w:divBdr>
    </w:div>
    <w:div w:id="1486818872">
      <w:bodyDiv w:val="1"/>
      <w:marLeft w:val="0"/>
      <w:marRight w:val="0"/>
      <w:marTop w:val="0"/>
      <w:marBottom w:val="0"/>
      <w:divBdr>
        <w:top w:val="none" w:sz="0" w:space="0" w:color="auto"/>
        <w:left w:val="none" w:sz="0" w:space="0" w:color="auto"/>
        <w:bottom w:val="none" w:sz="0" w:space="0" w:color="auto"/>
        <w:right w:val="none" w:sz="0" w:space="0" w:color="auto"/>
      </w:divBdr>
    </w:div>
    <w:div w:id="1504079986">
      <w:bodyDiv w:val="1"/>
      <w:marLeft w:val="0"/>
      <w:marRight w:val="0"/>
      <w:marTop w:val="0"/>
      <w:marBottom w:val="0"/>
      <w:divBdr>
        <w:top w:val="none" w:sz="0" w:space="0" w:color="auto"/>
        <w:left w:val="none" w:sz="0" w:space="0" w:color="auto"/>
        <w:bottom w:val="none" w:sz="0" w:space="0" w:color="auto"/>
        <w:right w:val="none" w:sz="0" w:space="0" w:color="auto"/>
      </w:divBdr>
    </w:div>
    <w:div w:id="1551065757">
      <w:bodyDiv w:val="1"/>
      <w:marLeft w:val="0"/>
      <w:marRight w:val="0"/>
      <w:marTop w:val="0"/>
      <w:marBottom w:val="0"/>
      <w:divBdr>
        <w:top w:val="none" w:sz="0" w:space="0" w:color="auto"/>
        <w:left w:val="none" w:sz="0" w:space="0" w:color="auto"/>
        <w:bottom w:val="none" w:sz="0" w:space="0" w:color="auto"/>
        <w:right w:val="none" w:sz="0" w:space="0" w:color="auto"/>
      </w:divBdr>
    </w:div>
    <w:div w:id="1572613535">
      <w:bodyDiv w:val="1"/>
      <w:marLeft w:val="0"/>
      <w:marRight w:val="0"/>
      <w:marTop w:val="0"/>
      <w:marBottom w:val="0"/>
      <w:divBdr>
        <w:top w:val="none" w:sz="0" w:space="0" w:color="auto"/>
        <w:left w:val="none" w:sz="0" w:space="0" w:color="auto"/>
        <w:bottom w:val="none" w:sz="0" w:space="0" w:color="auto"/>
        <w:right w:val="none" w:sz="0" w:space="0" w:color="auto"/>
      </w:divBdr>
    </w:div>
    <w:div w:id="1644457943">
      <w:bodyDiv w:val="1"/>
      <w:marLeft w:val="0"/>
      <w:marRight w:val="0"/>
      <w:marTop w:val="0"/>
      <w:marBottom w:val="0"/>
      <w:divBdr>
        <w:top w:val="none" w:sz="0" w:space="0" w:color="auto"/>
        <w:left w:val="none" w:sz="0" w:space="0" w:color="auto"/>
        <w:bottom w:val="none" w:sz="0" w:space="0" w:color="auto"/>
        <w:right w:val="none" w:sz="0" w:space="0" w:color="auto"/>
      </w:divBdr>
    </w:div>
    <w:div w:id="1708681059">
      <w:bodyDiv w:val="1"/>
      <w:marLeft w:val="0"/>
      <w:marRight w:val="0"/>
      <w:marTop w:val="0"/>
      <w:marBottom w:val="0"/>
      <w:divBdr>
        <w:top w:val="none" w:sz="0" w:space="0" w:color="auto"/>
        <w:left w:val="none" w:sz="0" w:space="0" w:color="auto"/>
        <w:bottom w:val="none" w:sz="0" w:space="0" w:color="auto"/>
        <w:right w:val="none" w:sz="0" w:space="0" w:color="auto"/>
      </w:divBdr>
    </w:div>
    <w:div w:id="1722094608">
      <w:bodyDiv w:val="1"/>
      <w:marLeft w:val="0"/>
      <w:marRight w:val="0"/>
      <w:marTop w:val="0"/>
      <w:marBottom w:val="0"/>
      <w:divBdr>
        <w:top w:val="none" w:sz="0" w:space="0" w:color="auto"/>
        <w:left w:val="none" w:sz="0" w:space="0" w:color="auto"/>
        <w:bottom w:val="none" w:sz="0" w:space="0" w:color="auto"/>
        <w:right w:val="none" w:sz="0" w:space="0" w:color="auto"/>
      </w:divBdr>
      <w:divsChild>
        <w:div w:id="404576355">
          <w:marLeft w:val="0"/>
          <w:marRight w:val="0"/>
          <w:marTop w:val="0"/>
          <w:marBottom w:val="0"/>
          <w:divBdr>
            <w:top w:val="none" w:sz="0" w:space="0" w:color="auto"/>
            <w:left w:val="none" w:sz="0" w:space="0" w:color="auto"/>
            <w:bottom w:val="none" w:sz="0" w:space="0" w:color="auto"/>
            <w:right w:val="none" w:sz="0" w:space="0" w:color="auto"/>
          </w:divBdr>
        </w:div>
        <w:div w:id="811563788">
          <w:marLeft w:val="0"/>
          <w:marRight w:val="0"/>
          <w:marTop w:val="0"/>
          <w:marBottom w:val="0"/>
          <w:divBdr>
            <w:top w:val="none" w:sz="0" w:space="0" w:color="auto"/>
            <w:left w:val="none" w:sz="0" w:space="0" w:color="auto"/>
            <w:bottom w:val="none" w:sz="0" w:space="0" w:color="auto"/>
            <w:right w:val="none" w:sz="0" w:space="0" w:color="auto"/>
          </w:divBdr>
        </w:div>
      </w:divsChild>
    </w:div>
    <w:div w:id="1788740166">
      <w:bodyDiv w:val="1"/>
      <w:marLeft w:val="0"/>
      <w:marRight w:val="0"/>
      <w:marTop w:val="0"/>
      <w:marBottom w:val="0"/>
      <w:divBdr>
        <w:top w:val="none" w:sz="0" w:space="0" w:color="auto"/>
        <w:left w:val="none" w:sz="0" w:space="0" w:color="auto"/>
        <w:bottom w:val="none" w:sz="0" w:space="0" w:color="auto"/>
        <w:right w:val="none" w:sz="0" w:space="0" w:color="auto"/>
      </w:divBdr>
    </w:div>
    <w:div w:id="1789813767">
      <w:bodyDiv w:val="1"/>
      <w:marLeft w:val="0"/>
      <w:marRight w:val="0"/>
      <w:marTop w:val="0"/>
      <w:marBottom w:val="0"/>
      <w:divBdr>
        <w:top w:val="none" w:sz="0" w:space="0" w:color="auto"/>
        <w:left w:val="none" w:sz="0" w:space="0" w:color="auto"/>
        <w:bottom w:val="none" w:sz="0" w:space="0" w:color="auto"/>
        <w:right w:val="none" w:sz="0" w:space="0" w:color="auto"/>
      </w:divBdr>
    </w:div>
    <w:div w:id="1866291350">
      <w:bodyDiv w:val="1"/>
      <w:marLeft w:val="0"/>
      <w:marRight w:val="0"/>
      <w:marTop w:val="0"/>
      <w:marBottom w:val="0"/>
      <w:divBdr>
        <w:top w:val="none" w:sz="0" w:space="0" w:color="auto"/>
        <w:left w:val="none" w:sz="0" w:space="0" w:color="auto"/>
        <w:bottom w:val="none" w:sz="0" w:space="0" w:color="auto"/>
        <w:right w:val="none" w:sz="0" w:space="0" w:color="auto"/>
      </w:divBdr>
    </w:div>
    <w:div w:id="1874461882">
      <w:bodyDiv w:val="1"/>
      <w:marLeft w:val="0"/>
      <w:marRight w:val="0"/>
      <w:marTop w:val="0"/>
      <w:marBottom w:val="0"/>
      <w:divBdr>
        <w:top w:val="none" w:sz="0" w:space="0" w:color="auto"/>
        <w:left w:val="none" w:sz="0" w:space="0" w:color="auto"/>
        <w:bottom w:val="none" w:sz="0" w:space="0" w:color="auto"/>
        <w:right w:val="none" w:sz="0" w:space="0" w:color="auto"/>
      </w:divBdr>
      <w:divsChild>
        <w:div w:id="214200916">
          <w:marLeft w:val="0"/>
          <w:marRight w:val="0"/>
          <w:marTop w:val="0"/>
          <w:marBottom w:val="0"/>
          <w:divBdr>
            <w:top w:val="none" w:sz="0" w:space="0" w:color="auto"/>
            <w:left w:val="none" w:sz="0" w:space="0" w:color="auto"/>
            <w:bottom w:val="none" w:sz="0" w:space="0" w:color="auto"/>
            <w:right w:val="none" w:sz="0" w:space="0" w:color="auto"/>
          </w:divBdr>
        </w:div>
        <w:div w:id="469323980">
          <w:marLeft w:val="0"/>
          <w:marRight w:val="0"/>
          <w:marTop w:val="0"/>
          <w:marBottom w:val="0"/>
          <w:divBdr>
            <w:top w:val="none" w:sz="0" w:space="0" w:color="auto"/>
            <w:left w:val="none" w:sz="0" w:space="0" w:color="auto"/>
            <w:bottom w:val="none" w:sz="0" w:space="0" w:color="auto"/>
            <w:right w:val="none" w:sz="0" w:space="0" w:color="auto"/>
          </w:divBdr>
        </w:div>
        <w:div w:id="1817213346">
          <w:marLeft w:val="0"/>
          <w:marRight w:val="0"/>
          <w:marTop w:val="0"/>
          <w:marBottom w:val="0"/>
          <w:divBdr>
            <w:top w:val="none" w:sz="0" w:space="0" w:color="auto"/>
            <w:left w:val="none" w:sz="0" w:space="0" w:color="auto"/>
            <w:bottom w:val="none" w:sz="0" w:space="0" w:color="auto"/>
            <w:right w:val="none" w:sz="0" w:space="0" w:color="auto"/>
          </w:divBdr>
        </w:div>
      </w:divsChild>
    </w:div>
    <w:div w:id="1931809118">
      <w:bodyDiv w:val="1"/>
      <w:marLeft w:val="0"/>
      <w:marRight w:val="0"/>
      <w:marTop w:val="0"/>
      <w:marBottom w:val="0"/>
      <w:divBdr>
        <w:top w:val="none" w:sz="0" w:space="0" w:color="auto"/>
        <w:left w:val="none" w:sz="0" w:space="0" w:color="auto"/>
        <w:bottom w:val="none" w:sz="0" w:space="0" w:color="auto"/>
        <w:right w:val="none" w:sz="0" w:space="0" w:color="auto"/>
      </w:divBdr>
    </w:div>
    <w:div w:id="1985506069">
      <w:bodyDiv w:val="1"/>
      <w:marLeft w:val="0"/>
      <w:marRight w:val="0"/>
      <w:marTop w:val="0"/>
      <w:marBottom w:val="0"/>
      <w:divBdr>
        <w:top w:val="none" w:sz="0" w:space="0" w:color="auto"/>
        <w:left w:val="none" w:sz="0" w:space="0" w:color="auto"/>
        <w:bottom w:val="none" w:sz="0" w:space="0" w:color="auto"/>
        <w:right w:val="none" w:sz="0" w:space="0" w:color="auto"/>
      </w:divBdr>
    </w:div>
    <w:div w:id="208877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s://www.austrade.gov.au/news/publications/thrive-2030-strategy" TargetMode="External"/><Relationship Id="rId42" Type="http://schemas.openxmlformats.org/officeDocument/2006/relationships/hyperlink" Target="https://tourism.vic.gov.au/grants-and-support/visitor-servicing-fund" TargetMode="External"/><Relationship Id="rId47" Type="http://schemas.openxmlformats.org/officeDocument/2006/relationships/image" Target="media/image23.emf"/><Relationship Id="rId63" Type="http://schemas.openxmlformats.org/officeDocument/2006/relationships/hyperlink" Target="https://www.tra.gov.au/en/economic-analysis/tourism-workforce-report" TargetMode="External"/><Relationship Id="rId68" Type="http://schemas.openxmlformats.org/officeDocument/2006/relationships/image" Target="media/image38.emf"/><Relationship Id="rId84" Type="http://schemas.openxmlformats.org/officeDocument/2006/relationships/hyperlink" Target="https://www.data.gov.au/dataset/ds-dga-602f74a0-a588-4dea-ae28-0fe123cbb182/details?q=working%20holiday%20visa%20statistics" TargetMode="External"/><Relationship Id="rId89" Type="http://schemas.openxmlformats.org/officeDocument/2006/relationships/hyperlink" Target="https://www.rba.gov.au/publications/smp/" TargetMode="External"/><Relationship Id="rId16" Type="http://schemas.openxmlformats.org/officeDocument/2006/relationships/hyperlink" Target="mailto:tourism.research@tra.gov.au" TargetMode="External"/><Relationship Id="rId11" Type="http://schemas.openxmlformats.org/officeDocument/2006/relationships/image" Target="media/image1.jpg"/><Relationship Id="rId32" Type="http://schemas.openxmlformats.org/officeDocument/2006/relationships/image" Target="media/image11.emf"/><Relationship Id="rId37" Type="http://schemas.openxmlformats.org/officeDocument/2006/relationships/image" Target="media/image15.emf"/><Relationship Id="rId53" Type="http://schemas.openxmlformats.org/officeDocument/2006/relationships/hyperlink" Target="https://business.gov.au/planning/industry-information/tourism-industry/sustainable-tourism" TargetMode="External"/><Relationship Id="rId58" Type="http://schemas.openxmlformats.org/officeDocument/2006/relationships/image" Target="media/image29.emf"/><Relationship Id="rId74" Type="http://schemas.openxmlformats.org/officeDocument/2006/relationships/image" Target="media/image42.emf"/><Relationship Id="rId79" Type="http://schemas.openxmlformats.org/officeDocument/2006/relationships/hyperlink" Target="https://education.austrade.gov.au/resources-industry-reports" TargetMode="External"/><Relationship Id="rId102" Type="http://schemas.openxmlformats.org/officeDocument/2006/relationships/footer" Target="footer4.xml"/><Relationship Id="rId5" Type="http://schemas.openxmlformats.org/officeDocument/2006/relationships/numbering" Target="numbering.xml"/><Relationship Id="rId90" Type="http://schemas.openxmlformats.org/officeDocument/2006/relationships/hyperlink" Target="https://www.tra.gov.au/en/economic-analysis/accessible-tourism-in-australia" TargetMode="External"/><Relationship Id="rId95" Type="http://schemas.openxmlformats.org/officeDocument/2006/relationships/hyperlink" Target="https://www.tra.gov.au/en/economic-analysis/quarterly-tourism-labour-force-statistics" TargetMode="External"/><Relationship Id="rId22" Type="http://schemas.openxmlformats.org/officeDocument/2006/relationships/footer" Target="footer1.xml"/><Relationship Id="rId27" Type="http://schemas.openxmlformats.org/officeDocument/2006/relationships/image" Target="media/image7.emf"/><Relationship Id="rId43" Type="http://schemas.openxmlformats.org/officeDocument/2006/relationships/image" Target="media/image20.emf"/><Relationship Id="rId48" Type="http://schemas.openxmlformats.org/officeDocument/2006/relationships/hyperlink" Target="https://www.tra.gov.au/en/domestic/domestic-mobility-data" TargetMode="External"/><Relationship Id="rId64" Type="http://schemas.openxmlformats.org/officeDocument/2006/relationships/image" Target="media/image34.emf"/><Relationship Id="rId69" Type="http://schemas.openxmlformats.org/officeDocument/2006/relationships/image" Target="media/image39.emf"/><Relationship Id="rId80" Type="http://schemas.openxmlformats.org/officeDocument/2006/relationships/hyperlink" Target="https://www.austrade.gov.au/en/news-and-analysis/publications-and-reports/national-sustainability-framework-for-the-visitor-economy" TargetMode="External"/><Relationship Id="rId85" Type="http://schemas.openxmlformats.org/officeDocument/2006/relationships/hyperlink" Target="https://www.bitre.gov.au/publications/ongoing/international_airline_activity-time_series" TargetMode="External"/><Relationship Id="rId12" Type="http://schemas.openxmlformats.org/officeDocument/2006/relationships/image" Target="media/image2.png"/><Relationship Id="rId17" Type="http://schemas.openxmlformats.org/officeDocument/2006/relationships/hyperlink" Target="mailto:advisory@austrade.gov.au" TargetMode="Externa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2.emf"/><Relationship Id="rId59" Type="http://schemas.openxmlformats.org/officeDocument/2006/relationships/image" Target="media/image30.emf"/><Relationship Id="rId67" Type="http://schemas.openxmlformats.org/officeDocument/2006/relationships/image" Target="media/image37.emf"/><Relationship Id="rId103"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9.emf"/><Relationship Id="rId54" Type="http://schemas.openxmlformats.org/officeDocument/2006/relationships/hyperlink" Target="https://www.austrade.gov.au/en/news-and-analysis/publications-and-reports/sustainable-tourism-toolkit" TargetMode="External"/><Relationship Id="rId62" Type="http://schemas.openxmlformats.org/officeDocument/2006/relationships/image" Target="media/image33.emf"/><Relationship Id="rId70" Type="http://schemas.openxmlformats.org/officeDocument/2006/relationships/image" Target="media/image40.emf"/><Relationship Id="rId75" Type="http://schemas.openxmlformats.org/officeDocument/2006/relationships/image" Target="media/image43.emf"/><Relationship Id="rId83" Type="http://schemas.openxmlformats.org/officeDocument/2006/relationships/hyperlink" Target="https://data.gov.au/data/dataset/temporary-entrants-visa-holders" TargetMode="External"/><Relationship Id="rId88" Type="http://schemas.openxmlformats.org/officeDocument/2006/relationships/hyperlink" Target="https://www.jobsandskills.gov.au/work/recruitment-experiences-and-outlook-survey" TargetMode="External"/><Relationship Id="rId91" Type="http://schemas.openxmlformats.org/officeDocument/2006/relationships/hyperlink" Target="https://www.tra.gov.au/en/economic-analysis/business-events-data" TargetMode="External"/><Relationship Id="rId96" Type="http://schemas.openxmlformats.org/officeDocument/2006/relationships/hyperlink" Target="https://www.tra.gov.au/en/economic-analysis/state-of-the-industr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ra.gov.au/economic-analysis/state-of-the-industry" TargetMode="External"/><Relationship Id="rId23" Type="http://schemas.openxmlformats.org/officeDocument/2006/relationships/footer" Target="footer2.xml"/><Relationship Id="rId28" Type="http://schemas.openxmlformats.org/officeDocument/2006/relationships/image" Target="media/image8.emf"/><Relationship Id="rId36" Type="http://schemas.openxmlformats.org/officeDocument/2006/relationships/hyperlink" Target="https://www.tra.gov.au/en/economic-analysis/state-of-the-industry" TargetMode="External"/><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s://www.tra.gov.au/en/economic-analysis/business-events-data" TargetMode="External"/><Relationship Id="rId52" Type="http://schemas.openxmlformats.org/officeDocument/2006/relationships/image" Target="media/image25.png"/><Relationship Id="rId60" Type="http://schemas.openxmlformats.org/officeDocument/2006/relationships/image" Target="media/image31.emf"/><Relationship Id="rId65" Type="http://schemas.openxmlformats.org/officeDocument/2006/relationships/image" Target="media/image35.emf"/><Relationship Id="rId73" Type="http://schemas.openxmlformats.org/officeDocument/2006/relationships/hyperlink" Target="https://www.tra.gov.au/en/economic-analysis/tourism-investment-monitor" TargetMode="External"/><Relationship Id="rId78" Type="http://schemas.openxmlformats.org/officeDocument/2006/relationships/hyperlink" Target="https://www.abs.gov.au/statistics/industry/tourism-and-transport/overseas-arrivals-and-departures-australia/feb-2024" TargetMode="External"/><Relationship Id="rId81" Type="http://schemas.openxmlformats.org/officeDocument/2006/relationships/hyperlink" Target="https://www.austrade.gov.au/news/publications/thrive-2030-strategy" TargetMode="External"/><Relationship Id="rId86" Type="http://schemas.openxmlformats.org/officeDocument/2006/relationships/hyperlink" Target="https://www.jobsandskills.gov.au/work/internet-vacancy-index" TargetMode="External"/><Relationship Id="rId94" Type="http://schemas.openxmlformats.org/officeDocument/2006/relationships/hyperlink" Target="https://www.tra.gov.au/en/domestic/domestic-tourism-results" TargetMode="External"/><Relationship Id="rId99" Type="http://schemas.openxmlformats.org/officeDocument/2006/relationships/hyperlink" Target="https://www.tra.gov.au/en/economic-analysis/tourism-forecasts" TargetMode="External"/><Relationship Id="rId101" Type="http://schemas.openxmlformats.org/officeDocument/2006/relationships/hyperlink" Target="https://www.tra.gov.au/en/economic-analysis/tourism-workforce-repor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ourism.research@tra.gov.au" TargetMode="External"/><Relationship Id="rId18" Type="http://schemas.openxmlformats.org/officeDocument/2006/relationships/hyperlink" Target="file:///C:/Users/corrine-rose/AppData/Local/Microsoft/Windows/INetCache/Content.Outlook/2Z3XW8LL/pmc.gov.au/%20government/commonwealth-coat-arms" TargetMode="External"/><Relationship Id="rId39" Type="http://schemas.openxmlformats.org/officeDocument/2006/relationships/image" Target="media/image17.emf"/><Relationship Id="rId34" Type="http://schemas.openxmlformats.org/officeDocument/2006/relationships/image" Target="media/image13.emf"/><Relationship Id="rId50" Type="http://schemas.openxmlformats.org/officeDocument/2006/relationships/hyperlink" Target="https://globalnews.booking.com/download/31767dc7-3d6a-4108-9900-ab5d11e0a808/booking.com-sustainable-travel-report2023.pdf" TargetMode="External"/><Relationship Id="rId55" Type="http://schemas.openxmlformats.org/officeDocument/2006/relationships/image" Target="media/image26.png"/><Relationship Id="rId76" Type="http://schemas.openxmlformats.org/officeDocument/2006/relationships/hyperlink" Target="https://www.abs.gov.au/statistics/economy/national-accounts/australian-national-accounts-tourism-satellite-account/2022-23" TargetMode="External"/><Relationship Id="rId97" Type="http://schemas.openxmlformats.org/officeDocument/2006/relationships/hyperlink" Target="https://www.tra.gov.au/en/economic-analysis/tourism-satellite-accounts/state-tourism-satellite-account"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tra.gov.au/en/economic-analysis/tourism-businesses" TargetMode="External"/><Relationship Id="rId92" Type="http://schemas.openxmlformats.org/officeDocument/2006/relationships/hyperlink" Target="https://www.tra.gov.au/en/domestic/domestic-mobility-data" TargetMode="External"/><Relationship Id="rId2" Type="http://schemas.openxmlformats.org/officeDocument/2006/relationships/customXml" Target="../customXml/item2.xml"/><Relationship Id="rId29" Type="http://schemas.openxmlformats.org/officeDocument/2006/relationships/hyperlink" Target="https://www.dfat.gov.au/countries-economies-and-regions/southeast-asia/invested-australias-southeast-asia-economic-strategy-2040/chapter-8-visitor-economy" TargetMode="External"/><Relationship Id="rId24" Type="http://schemas.openxmlformats.org/officeDocument/2006/relationships/footer" Target="footer3.xml"/><Relationship Id="rId40" Type="http://schemas.openxmlformats.org/officeDocument/2006/relationships/image" Target="media/image18.emf"/><Relationship Id="rId45" Type="http://schemas.openxmlformats.org/officeDocument/2006/relationships/image" Target="media/image21.emf"/><Relationship Id="rId66" Type="http://schemas.openxmlformats.org/officeDocument/2006/relationships/image" Target="media/image36.emf"/><Relationship Id="rId87" Type="http://schemas.openxmlformats.org/officeDocument/2006/relationships/hyperlink" Target="https://www.jobsandskills.gov.au/data/skills-shortages-analysis" TargetMode="External"/><Relationship Id="rId61" Type="http://schemas.openxmlformats.org/officeDocument/2006/relationships/image" Target="media/image32.jpg"/><Relationship Id="rId82" Type="http://schemas.openxmlformats.org/officeDocument/2006/relationships/hyperlink" Target="https://www.education.gov.au/international-education-data-and-research/international-student-monthly-summary-and-data-tables" TargetMode="External"/><Relationship Id="rId19" Type="http://schemas.openxmlformats.org/officeDocument/2006/relationships/image" Target="media/image3.emf"/><Relationship Id="rId14" Type="http://schemas.openxmlformats.org/officeDocument/2006/relationships/hyperlink" Target="http://www.tra.gov.au" TargetMode="External"/><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27.emf"/><Relationship Id="rId77" Type="http://schemas.openxmlformats.org/officeDocument/2006/relationships/hyperlink" Target="https://www.abs.gov.au/statistics/economy/international-trade/balance-payments-and-international-investment-position-australia/dec-2023" TargetMode="External"/><Relationship Id="rId100" Type="http://schemas.openxmlformats.org/officeDocument/2006/relationships/hyperlink" Target="https://www.tra.gov.au/en/economic-analysis/tourism-investment-monitor" TargetMode="External"/><Relationship Id="rId8" Type="http://schemas.openxmlformats.org/officeDocument/2006/relationships/webSettings" Target="webSettings.xml"/><Relationship Id="rId51" Type="http://schemas.openxmlformats.org/officeDocument/2006/relationships/hyperlink" Target="https://www.austrade.gov.au/en/news-and-analysis/publications-and-reports/national-sustainability-framework-for-the-visitor-economy" TargetMode="External"/><Relationship Id="rId72" Type="http://schemas.openxmlformats.org/officeDocument/2006/relationships/image" Target="media/image41.emf"/><Relationship Id="rId93" Type="http://schemas.openxmlformats.org/officeDocument/2006/relationships/hyperlink" Target="https://www.tra.gov.au/en/international/international-tourism-results" TargetMode="External"/><Relationship Id="rId98" Type="http://schemas.openxmlformats.org/officeDocument/2006/relationships/hyperlink" Target="https://www.tra.gov.au/en/economic-analysis/tourism-businesse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cruising.org.au/Tenant/C0000003/Reports/23214_LCC_CLIA_Cruises_Infographic_DD16_2.pdf" TargetMode="External"/><Relationship Id="rId13" Type="http://schemas.openxmlformats.org/officeDocument/2006/relationships/hyperlink" Target="https://www.unwto.org/tourism-statistics/measuring-sustainability-tourism" TargetMode="External"/><Relationship Id="rId3" Type="http://schemas.openxmlformats.org/officeDocument/2006/relationships/hyperlink" Target="https://www.rba.gov.au/publications/smp/2023/aug/domestic-economic-conditions.html" TargetMode="External"/><Relationship Id="rId7" Type="http://schemas.openxmlformats.org/officeDocument/2006/relationships/hyperlink" Target="https://www.rba.gov.au/publications/smp/2023/feb/box-b-insights-from-liaison.html" TargetMode="External"/><Relationship Id="rId12" Type="http://schemas.openxmlformats.org/officeDocument/2006/relationships/hyperlink" Target="https://www.austrade.gov.au/about/consultation/thrive-industry-data-and-expert-analysis-working-group" TargetMode="External"/><Relationship Id="rId2" Type="http://schemas.openxmlformats.org/officeDocument/2006/relationships/hyperlink" Target="https://statistics.jnto.go.jp/en/graph/" TargetMode="External"/><Relationship Id="rId1" Type="http://schemas.openxmlformats.org/officeDocument/2006/relationships/hyperlink" Target="https://www.euromonitor.com/press/press-releases/july-20232/womens-world-cup-2023-viewership-to-cross-2-billion-double-from-2019-euromonitor-international" TargetMode="External"/><Relationship Id="rId6" Type="http://schemas.openxmlformats.org/officeDocument/2006/relationships/hyperlink" Target="https://www.rba.gov.au/publications/smp/2023/feb/domestic-economic-conditions.html" TargetMode="External"/><Relationship Id="rId11" Type="http://schemas.openxmlformats.org/officeDocument/2006/relationships/hyperlink" Target="https://www.commbank.com.au/articles/newsroom/2023/11/cost-of-living-november23.html" TargetMode="External"/><Relationship Id="rId5" Type="http://schemas.openxmlformats.org/officeDocument/2006/relationships/hyperlink" Target="https://www.commbank.com.au/articles/newsroom/2023/11/cost-of-living-november23.html" TargetMode="External"/><Relationship Id="rId15" Type="http://schemas.openxmlformats.org/officeDocument/2006/relationships/hyperlink" Target="https://www.jobsandskills.gov.au/sites/default/files/2023-10/2023%20SPL%20Key%20Findings%20Report.docx" TargetMode="External"/><Relationship Id="rId10" Type="http://schemas.openxmlformats.org/officeDocument/2006/relationships/hyperlink" Target="https://www.tra.gov.au/en/domestic/domestic-tourism-results/domestic-tourism-results-september-2023" TargetMode="External"/><Relationship Id="rId4" Type="http://schemas.openxmlformats.org/officeDocument/2006/relationships/hyperlink" Target="https://www.abs.gov.au/statistics/economy/finance/monthly-household-spending-indicator/latest-release" TargetMode="External"/><Relationship Id="rId9" Type="http://schemas.openxmlformats.org/officeDocument/2006/relationships/hyperlink" Target="https://www.cruising.org.au/ccms.r?Pageid=6022&amp;tenid=CLIA&amp;DispMode=goto|10608" TargetMode="External"/><Relationship Id="rId14" Type="http://schemas.openxmlformats.org/officeDocument/2006/relationships/hyperlink" Target="https://www.jobsandskills.gov.au/data/recruitment-experiences-and-outlook-surv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Austrade%20Brand\TRA%20Website%20Publications.dotx" TargetMode="Externa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E59075CB8AAE4281923CD804FF4F41" ma:contentTypeVersion="17" ma:contentTypeDescription="Create a new document." ma:contentTypeScope="" ma:versionID="a57ac30bd413600084034bee7a7b07dd">
  <xsd:schema xmlns:xsd="http://www.w3.org/2001/XMLSchema" xmlns:xs="http://www.w3.org/2001/XMLSchema" xmlns:p="http://schemas.microsoft.com/office/2006/metadata/properties" xmlns:ns2="84193d32-96af-42bb-9a8d-e389b6b013dc" xmlns:ns3="932d29ee-28c9-41bc-b9e4-7f2eba331d28" targetNamespace="http://schemas.microsoft.com/office/2006/metadata/properties" ma:root="true" ma:fieldsID="f62584a38ae0c9d02fe630e0355a3865" ns2:_="" ns3:_="">
    <xsd:import namespace="84193d32-96af-42bb-9a8d-e389b6b013dc"/>
    <xsd:import namespace="932d29ee-28c9-41bc-b9e4-7f2eba331d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3d32-96af-42bb-9a8d-e389b6b01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2d29ee-28c9-41bc-b9e4-7f2eba331d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0bbb1a7-ebd1-464a-bd5b-b0b856b08cda}" ma:internalName="TaxCatchAll" ma:showField="CatchAllData" ma:web="932d29ee-28c9-41bc-b9e4-7f2eba331d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193d32-96af-42bb-9a8d-e389b6b013dc">
      <Terms xmlns="http://schemas.microsoft.com/office/infopath/2007/PartnerControls"/>
    </lcf76f155ced4ddcb4097134ff3c332f>
    <TaxCatchAll xmlns="932d29ee-28c9-41bc-b9e4-7f2eba331d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D637E4-6109-4CF8-AB8A-161718547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3d32-96af-42bb-9a8d-e389b6b013dc"/>
    <ds:schemaRef ds:uri="932d29ee-28c9-41bc-b9e4-7f2eba331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FE75B8-1135-4512-93FA-FCDD832F13E7}">
  <ds:schemaRef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purl.org/dc/elements/1.1/"/>
    <ds:schemaRef ds:uri="932d29ee-28c9-41bc-b9e4-7f2eba331d28"/>
    <ds:schemaRef ds:uri="http://schemas.openxmlformats.org/package/2006/metadata/core-properties"/>
    <ds:schemaRef ds:uri="84193d32-96af-42bb-9a8d-e389b6b013dc"/>
    <ds:schemaRef ds:uri="http://purl.org/dc/terms/"/>
  </ds:schemaRefs>
</ds:datastoreItem>
</file>

<file path=customXml/itemProps3.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4.xml><?xml version="1.0" encoding="utf-8"?>
<ds:datastoreItem xmlns:ds="http://schemas.openxmlformats.org/officeDocument/2006/customXml" ds:itemID="{1EFDA419-6733-483D-ABCC-A84EEDE370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 Website Publications.dotx</Template>
  <TotalTime>0</TotalTime>
  <Pages>73</Pages>
  <Words>21588</Words>
  <Characters>123053</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State of the Industry: Australia’s tourism sector in 2023</vt:lpstr>
    </vt:vector>
  </TitlesOfParts>
  <Company/>
  <LinksUpToDate>false</LinksUpToDate>
  <CharactersWithSpaces>144353</CharactersWithSpaces>
  <SharedDoc>false</SharedDoc>
  <HLinks>
    <vt:vector size="552" baseType="variant">
      <vt:variant>
        <vt:i4>5111878</vt:i4>
      </vt:variant>
      <vt:variant>
        <vt:i4>441</vt:i4>
      </vt:variant>
      <vt:variant>
        <vt:i4>0</vt:i4>
      </vt:variant>
      <vt:variant>
        <vt:i4>5</vt:i4>
      </vt:variant>
      <vt:variant>
        <vt:lpwstr>https://www.tra.gov.au/en/economic-analysis/tourism-workforce-report</vt:lpwstr>
      </vt:variant>
      <vt:variant>
        <vt:lpwstr/>
      </vt:variant>
      <vt:variant>
        <vt:i4>8257641</vt:i4>
      </vt:variant>
      <vt:variant>
        <vt:i4>438</vt:i4>
      </vt:variant>
      <vt:variant>
        <vt:i4>0</vt:i4>
      </vt:variant>
      <vt:variant>
        <vt:i4>5</vt:i4>
      </vt:variant>
      <vt:variant>
        <vt:lpwstr>https://www.tra.gov.au/en/economic-analysis/tourism-investment-monitor</vt:lpwstr>
      </vt:variant>
      <vt:variant>
        <vt:lpwstr/>
      </vt:variant>
      <vt:variant>
        <vt:i4>655430</vt:i4>
      </vt:variant>
      <vt:variant>
        <vt:i4>435</vt:i4>
      </vt:variant>
      <vt:variant>
        <vt:i4>0</vt:i4>
      </vt:variant>
      <vt:variant>
        <vt:i4>5</vt:i4>
      </vt:variant>
      <vt:variant>
        <vt:lpwstr>https://www.tra.gov.au/en/economic-analysis/tourism-forecasts</vt:lpwstr>
      </vt:variant>
      <vt:variant>
        <vt:lpwstr/>
      </vt:variant>
      <vt:variant>
        <vt:i4>7077931</vt:i4>
      </vt:variant>
      <vt:variant>
        <vt:i4>432</vt:i4>
      </vt:variant>
      <vt:variant>
        <vt:i4>0</vt:i4>
      </vt:variant>
      <vt:variant>
        <vt:i4>5</vt:i4>
      </vt:variant>
      <vt:variant>
        <vt:lpwstr>https://www.tra.gov.au/en/economic-analysis/tourism-businesses</vt:lpwstr>
      </vt:variant>
      <vt:variant>
        <vt:lpwstr/>
      </vt:variant>
      <vt:variant>
        <vt:i4>2293812</vt:i4>
      </vt:variant>
      <vt:variant>
        <vt:i4>429</vt:i4>
      </vt:variant>
      <vt:variant>
        <vt:i4>0</vt:i4>
      </vt:variant>
      <vt:variant>
        <vt:i4>5</vt:i4>
      </vt:variant>
      <vt:variant>
        <vt:lpwstr>https://www.tra.gov.au/en/economic-analysis/tourism-satellite-accounts/state-tourism-satellite-account</vt:lpwstr>
      </vt:variant>
      <vt:variant>
        <vt:lpwstr/>
      </vt:variant>
      <vt:variant>
        <vt:i4>88</vt:i4>
      </vt:variant>
      <vt:variant>
        <vt:i4>426</vt:i4>
      </vt:variant>
      <vt:variant>
        <vt:i4>0</vt:i4>
      </vt:variant>
      <vt:variant>
        <vt:i4>5</vt:i4>
      </vt:variant>
      <vt:variant>
        <vt:lpwstr>https://www.tra.gov.au/en/economic-analysis/state-of-the-industry</vt:lpwstr>
      </vt:variant>
      <vt:variant>
        <vt:lpwstr/>
      </vt:variant>
      <vt:variant>
        <vt:i4>5701696</vt:i4>
      </vt:variant>
      <vt:variant>
        <vt:i4>423</vt:i4>
      </vt:variant>
      <vt:variant>
        <vt:i4>0</vt:i4>
      </vt:variant>
      <vt:variant>
        <vt:i4>5</vt:i4>
      </vt:variant>
      <vt:variant>
        <vt:lpwstr>https://www.tra.gov.au/en/economic-analysis/quarterly-tourism-labour-force-statistics</vt:lpwstr>
      </vt:variant>
      <vt:variant>
        <vt:lpwstr/>
      </vt:variant>
      <vt:variant>
        <vt:i4>7209005</vt:i4>
      </vt:variant>
      <vt:variant>
        <vt:i4>420</vt:i4>
      </vt:variant>
      <vt:variant>
        <vt:i4>0</vt:i4>
      </vt:variant>
      <vt:variant>
        <vt:i4>5</vt:i4>
      </vt:variant>
      <vt:variant>
        <vt:lpwstr>https://www.tra.gov.au/en/domestic/domestic-tourism-results</vt:lpwstr>
      </vt:variant>
      <vt:variant>
        <vt:lpwstr/>
      </vt:variant>
      <vt:variant>
        <vt:i4>5177356</vt:i4>
      </vt:variant>
      <vt:variant>
        <vt:i4>417</vt:i4>
      </vt:variant>
      <vt:variant>
        <vt:i4>0</vt:i4>
      </vt:variant>
      <vt:variant>
        <vt:i4>5</vt:i4>
      </vt:variant>
      <vt:variant>
        <vt:lpwstr>https://www.tra.gov.au/en/international/international-tourism-results</vt:lpwstr>
      </vt:variant>
      <vt:variant>
        <vt:lpwstr/>
      </vt:variant>
      <vt:variant>
        <vt:i4>5177374</vt:i4>
      </vt:variant>
      <vt:variant>
        <vt:i4>414</vt:i4>
      </vt:variant>
      <vt:variant>
        <vt:i4>0</vt:i4>
      </vt:variant>
      <vt:variant>
        <vt:i4>5</vt:i4>
      </vt:variant>
      <vt:variant>
        <vt:lpwstr>https://www.tra.gov.au/en/domestic/domestic-mobility-data</vt:lpwstr>
      </vt:variant>
      <vt:variant>
        <vt:lpwstr/>
      </vt:variant>
      <vt:variant>
        <vt:i4>327709</vt:i4>
      </vt:variant>
      <vt:variant>
        <vt:i4>411</vt:i4>
      </vt:variant>
      <vt:variant>
        <vt:i4>0</vt:i4>
      </vt:variant>
      <vt:variant>
        <vt:i4>5</vt:i4>
      </vt:variant>
      <vt:variant>
        <vt:lpwstr>https://www.tra.gov.au/en/economic-analysis/business-events-data</vt:lpwstr>
      </vt:variant>
      <vt:variant>
        <vt:lpwstr/>
      </vt:variant>
      <vt:variant>
        <vt:i4>7077951</vt:i4>
      </vt:variant>
      <vt:variant>
        <vt:i4>408</vt:i4>
      </vt:variant>
      <vt:variant>
        <vt:i4>0</vt:i4>
      </vt:variant>
      <vt:variant>
        <vt:i4>5</vt:i4>
      </vt:variant>
      <vt:variant>
        <vt:lpwstr>https://www.tra.gov.au/en/economic-analysis/accessible-tourism-in-australia</vt:lpwstr>
      </vt:variant>
      <vt:variant>
        <vt:lpwstr/>
      </vt:variant>
      <vt:variant>
        <vt:i4>4194333</vt:i4>
      </vt:variant>
      <vt:variant>
        <vt:i4>405</vt:i4>
      </vt:variant>
      <vt:variant>
        <vt:i4>0</vt:i4>
      </vt:variant>
      <vt:variant>
        <vt:i4>5</vt:i4>
      </vt:variant>
      <vt:variant>
        <vt:lpwstr>https://www.rba.gov.au/publications/smp/</vt:lpwstr>
      </vt:variant>
      <vt:variant>
        <vt:lpwstr/>
      </vt:variant>
      <vt:variant>
        <vt:i4>1835023</vt:i4>
      </vt:variant>
      <vt:variant>
        <vt:i4>402</vt:i4>
      </vt:variant>
      <vt:variant>
        <vt:i4>0</vt:i4>
      </vt:variant>
      <vt:variant>
        <vt:i4>5</vt:i4>
      </vt:variant>
      <vt:variant>
        <vt:lpwstr>https://www.jobsandskills.gov.au/work/recruitment-experiences-and-outlook-survey</vt:lpwstr>
      </vt:variant>
      <vt:variant>
        <vt:lpwstr/>
      </vt:variant>
      <vt:variant>
        <vt:i4>7405695</vt:i4>
      </vt:variant>
      <vt:variant>
        <vt:i4>399</vt:i4>
      </vt:variant>
      <vt:variant>
        <vt:i4>0</vt:i4>
      </vt:variant>
      <vt:variant>
        <vt:i4>5</vt:i4>
      </vt:variant>
      <vt:variant>
        <vt:lpwstr>https://www.jobsandskills.gov.au/data/skills-shortages-analysis</vt:lpwstr>
      </vt:variant>
      <vt:variant>
        <vt:lpwstr/>
      </vt:variant>
      <vt:variant>
        <vt:i4>1703936</vt:i4>
      </vt:variant>
      <vt:variant>
        <vt:i4>396</vt:i4>
      </vt:variant>
      <vt:variant>
        <vt:i4>0</vt:i4>
      </vt:variant>
      <vt:variant>
        <vt:i4>5</vt:i4>
      </vt:variant>
      <vt:variant>
        <vt:lpwstr>https://www.jobsandskills.gov.au/work/internet-vacancy-index</vt:lpwstr>
      </vt:variant>
      <vt:variant>
        <vt:lpwstr/>
      </vt:variant>
      <vt:variant>
        <vt:i4>7077968</vt:i4>
      </vt:variant>
      <vt:variant>
        <vt:i4>393</vt:i4>
      </vt:variant>
      <vt:variant>
        <vt:i4>0</vt:i4>
      </vt:variant>
      <vt:variant>
        <vt:i4>5</vt:i4>
      </vt:variant>
      <vt:variant>
        <vt:lpwstr>https://www.bitre.gov.au/publications/ongoing/international_airline_activity-time_series</vt:lpwstr>
      </vt:variant>
      <vt:variant>
        <vt:lpwstr/>
      </vt:variant>
      <vt:variant>
        <vt:i4>3670117</vt:i4>
      </vt:variant>
      <vt:variant>
        <vt:i4>390</vt:i4>
      </vt:variant>
      <vt:variant>
        <vt:i4>0</vt:i4>
      </vt:variant>
      <vt:variant>
        <vt:i4>5</vt:i4>
      </vt:variant>
      <vt:variant>
        <vt:lpwstr>https://www.data.gov.au/dataset/ds-dga-602f74a0-a588-4dea-ae28-0fe123cbb182/details?q=working%20holiday%20visa%20statistics</vt:lpwstr>
      </vt:variant>
      <vt:variant>
        <vt:lpwstr/>
      </vt:variant>
      <vt:variant>
        <vt:i4>262231</vt:i4>
      </vt:variant>
      <vt:variant>
        <vt:i4>387</vt:i4>
      </vt:variant>
      <vt:variant>
        <vt:i4>0</vt:i4>
      </vt:variant>
      <vt:variant>
        <vt:i4>5</vt:i4>
      </vt:variant>
      <vt:variant>
        <vt:lpwstr>https://data.gov.au/data/dataset/temporary-entrants-visa-holders</vt:lpwstr>
      </vt:variant>
      <vt:variant>
        <vt:lpwstr/>
      </vt:variant>
      <vt:variant>
        <vt:i4>1638415</vt:i4>
      </vt:variant>
      <vt:variant>
        <vt:i4>384</vt:i4>
      </vt:variant>
      <vt:variant>
        <vt:i4>0</vt:i4>
      </vt:variant>
      <vt:variant>
        <vt:i4>5</vt:i4>
      </vt:variant>
      <vt:variant>
        <vt:lpwstr>https://www.education.gov.au/international-education-data-and-research/international-student-monthly-summary-and-data-tables</vt:lpwstr>
      </vt:variant>
      <vt:variant>
        <vt:lpwstr/>
      </vt:variant>
      <vt:variant>
        <vt:i4>7798837</vt:i4>
      </vt:variant>
      <vt:variant>
        <vt:i4>381</vt:i4>
      </vt:variant>
      <vt:variant>
        <vt:i4>0</vt:i4>
      </vt:variant>
      <vt:variant>
        <vt:i4>5</vt:i4>
      </vt:variant>
      <vt:variant>
        <vt:lpwstr>https://www.austrade.gov.au/news/publications/thrive-2030-strategy</vt:lpwstr>
      </vt:variant>
      <vt:variant>
        <vt:lpwstr/>
      </vt:variant>
      <vt:variant>
        <vt:i4>7012448</vt:i4>
      </vt:variant>
      <vt:variant>
        <vt:i4>378</vt:i4>
      </vt:variant>
      <vt:variant>
        <vt:i4>0</vt:i4>
      </vt:variant>
      <vt:variant>
        <vt:i4>5</vt:i4>
      </vt:variant>
      <vt:variant>
        <vt:lpwstr>https://www.austrade.gov.au/en/news-and-analysis/publications-and-reports/national-sustainability-framework-for-the-visitor-economy</vt:lpwstr>
      </vt:variant>
      <vt:variant>
        <vt:lpwstr/>
      </vt:variant>
      <vt:variant>
        <vt:i4>6029331</vt:i4>
      </vt:variant>
      <vt:variant>
        <vt:i4>375</vt:i4>
      </vt:variant>
      <vt:variant>
        <vt:i4>0</vt:i4>
      </vt:variant>
      <vt:variant>
        <vt:i4>5</vt:i4>
      </vt:variant>
      <vt:variant>
        <vt:lpwstr>https://education.austrade.gov.au/resources-industry-reports</vt:lpwstr>
      </vt:variant>
      <vt:variant>
        <vt:lpwstr/>
      </vt:variant>
      <vt:variant>
        <vt:i4>1245200</vt:i4>
      </vt:variant>
      <vt:variant>
        <vt:i4>372</vt:i4>
      </vt:variant>
      <vt:variant>
        <vt:i4>0</vt:i4>
      </vt:variant>
      <vt:variant>
        <vt:i4>5</vt:i4>
      </vt:variant>
      <vt:variant>
        <vt:lpwstr>https://www.abs.gov.au/statistics/economy/national-accounts/tourism-satellite-accounts-quarterly-tourism-labour-statistics-australia-experimental-estimates/dec-2023</vt:lpwstr>
      </vt:variant>
      <vt:variant>
        <vt:lpwstr/>
      </vt:variant>
      <vt:variant>
        <vt:i4>1048603</vt:i4>
      </vt:variant>
      <vt:variant>
        <vt:i4>369</vt:i4>
      </vt:variant>
      <vt:variant>
        <vt:i4>0</vt:i4>
      </vt:variant>
      <vt:variant>
        <vt:i4>5</vt:i4>
      </vt:variant>
      <vt:variant>
        <vt:lpwstr>https://www.abs.gov.au/statistics/industry/tourism-and-transport/overseas-arrivals-and-departures-australia/feb-2024</vt:lpwstr>
      </vt:variant>
      <vt:variant>
        <vt:lpwstr/>
      </vt:variant>
      <vt:variant>
        <vt:i4>2162729</vt:i4>
      </vt:variant>
      <vt:variant>
        <vt:i4>366</vt:i4>
      </vt:variant>
      <vt:variant>
        <vt:i4>0</vt:i4>
      </vt:variant>
      <vt:variant>
        <vt:i4>5</vt:i4>
      </vt:variant>
      <vt:variant>
        <vt:lpwstr>https://www.abs.gov.au/statistics/economy/international-trade/balance-payments-and-international-investment-position-australia/dec-2023</vt:lpwstr>
      </vt:variant>
      <vt:variant>
        <vt:lpwstr/>
      </vt:variant>
      <vt:variant>
        <vt:i4>2752571</vt:i4>
      </vt:variant>
      <vt:variant>
        <vt:i4>363</vt:i4>
      </vt:variant>
      <vt:variant>
        <vt:i4>0</vt:i4>
      </vt:variant>
      <vt:variant>
        <vt:i4>5</vt:i4>
      </vt:variant>
      <vt:variant>
        <vt:lpwstr>https://www.abs.gov.au/statistics/economy/national-accounts/australian-national-accounts-tourism-satellite-account/2022-23</vt:lpwstr>
      </vt:variant>
      <vt:variant>
        <vt:lpwstr/>
      </vt:variant>
      <vt:variant>
        <vt:i4>8257641</vt:i4>
      </vt:variant>
      <vt:variant>
        <vt:i4>360</vt:i4>
      </vt:variant>
      <vt:variant>
        <vt:i4>0</vt:i4>
      </vt:variant>
      <vt:variant>
        <vt:i4>5</vt:i4>
      </vt:variant>
      <vt:variant>
        <vt:lpwstr>https://www.tra.gov.au/en/economic-analysis/tourism-investment-monitor</vt:lpwstr>
      </vt:variant>
      <vt:variant>
        <vt:lpwstr/>
      </vt:variant>
      <vt:variant>
        <vt:i4>7077931</vt:i4>
      </vt:variant>
      <vt:variant>
        <vt:i4>357</vt:i4>
      </vt:variant>
      <vt:variant>
        <vt:i4>0</vt:i4>
      </vt:variant>
      <vt:variant>
        <vt:i4>5</vt:i4>
      </vt:variant>
      <vt:variant>
        <vt:lpwstr>https://www.tra.gov.au/en/economic-analysis/tourism-businesses</vt:lpwstr>
      </vt:variant>
      <vt:variant>
        <vt:lpwstr/>
      </vt:variant>
      <vt:variant>
        <vt:i4>5111878</vt:i4>
      </vt:variant>
      <vt:variant>
        <vt:i4>330</vt:i4>
      </vt:variant>
      <vt:variant>
        <vt:i4>0</vt:i4>
      </vt:variant>
      <vt:variant>
        <vt:i4>5</vt:i4>
      </vt:variant>
      <vt:variant>
        <vt:lpwstr>https://www.tra.gov.au/en/economic-analysis/tourism-workforce-report</vt:lpwstr>
      </vt:variant>
      <vt:variant>
        <vt:lpwstr/>
      </vt:variant>
      <vt:variant>
        <vt:i4>4849745</vt:i4>
      </vt:variant>
      <vt:variant>
        <vt:i4>306</vt:i4>
      </vt:variant>
      <vt:variant>
        <vt:i4>0</vt:i4>
      </vt:variant>
      <vt:variant>
        <vt:i4>5</vt:i4>
      </vt:variant>
      <vt:variant>
        <vt:lpwstr>https://www.austrade.gov.au/en/news-and-analysis/publications-and-reports/sustainable-tourism-toolkit</vt:lpwstr>
      </vt:variant>
      <vt:variant>
        <vt:lpwstr/>
      </vt:variant>
      <vt:variant>
        <vt:i4>6881381</vt:i4>
      </vt:variant>
      <vt:variant>
        <vt:i4>303</vt:i4>
      </vt:variant>
      <vt:variant>
        <vt:i4>0</vt:i4>
      </vt:variant>
      <vt:variant>
        <vt:i4>5</vt:i4>
      </vt:variant>
      <vt:variant>
        <vt:lpwstr>https://business.gov.au/planning/industry-information/tourism-industry/sustainable-tourism</vt:lpwstr>
      </vt:variant>
      <vt:variant>
        <vt:lpwstr/>
      </vt:variant>
      <vt:variant>
        <vt:i4>7012448</vt:i4>
      </vt:variant>
      <vt:variant>
        <vt:i4>300</vt:i4>
      </vt:variant>
      <vt:variant>
        <vt:i4>0</vt:i4>
      </vt:variant>
      <vt:variant>
        <vt:i4>5</vt:i4>
      </vt:variant>
      <vt:variant>
        <vt:lpwstr>https://www.austrade.gov.au/en/news-and-analysis/publications-and-reports/national-sustainability-framework-for-the-visitor-economy</vt:lpwstr>
      </vt:variant>
      <vt:variant>
        <vt:lpwstr/>
      </vt:variant>
      <vt:variant>
        <vt:i4>5177374</vt:i4>
      </vt:variant>
      <vt:variant>
        <vt:i4>294</vt:i4>
      </vt:variant>
      <vt:variant>
        <vt:i4>0</vt:i4>
      </vt:variant>
      <vt:variant>
        <vt:i4>5</vt:i4>
      </vt:variant>
      <vt:variant>
        <vt:lpwstr>https://www.tra.gov.au/en/domestic/domestic-mobility-data</vt:lpwstr>
      </vt:variant>
      <vt:variant>
        <vt:lpwstr/>
      </vt:variant>
      <vt:variant>
        <vt:i4>327709</vt:i4>
      </vt:variant>
      <vt:variant>
        <vt:i4>282</vt:i4>
      </vt:variant>
      <vt:variant>
        <vt:i4>0</vt:i4>
      </vt:variant>
      <vt:variant>
        <vt:i4>5</vt:i4>
      </vt:variant>
      <vt:variant>
        <vt:lpwstr>https://www.tra.gov.au/en/economic-analysis/business-events-data</vt:lpwstr>
      </vt:variant>
      <vt:variant>
        <vt:lpwstr/>
      </vt:variant>
      <vt:variant>
        <vt:i4>393232</vt:i4>
      </vt:variant>
      <vt:variant>
        <vt:i4>276</vt:i4>
      </vt:variant>
      <vt:variant>
        <vt:i4>0</vt:i4>
      </vt:variant>
      <vt:variant>
        <vt:i4>5</vt:i4>
      </vt:variant>
      <vt:variant>
        <vt:lpwstr>https://tourism.vic.gov.au/grants-and-support/visitor-servicing-fund</vt:lpwstr>
      </vt:variant>
      <vt:variant>
        <vt:lpwstr/>
      </vt:variant>
      <vt:variant>
        <vt:i4>88</vt:i4>
      </vt:variant>
      <vt:variant>
        <vt:i4>255</vt:i4>
      </vt:variant>
      <vt:variant>
        <vt:i4>0</vt:i4>
      </vt:variant>
      <vt:variant>
        <vt:i4>5</vt:i4>
      </vt:variant>
      <vt:variant>
        <vt:lpwstr>https://www.tra.gov.au/en/economic-analysis/state-of-the-industry</vt:lpwstr>
      </vt:variant>
      <vt:variant>
        <vt:lpwstr/>
      </vt:variant>
      <vt:variant>
        <vt:i4>3473471</vt:i4>
      </vt:variant>
      <vt:variant>
        <vt:i4>234</vt:i4>
      </vt:variant>
      <vt:variant>
        <vt:i4>0</vt:i4>
      </vt:variant>
      <vt:variant>
        <vt:i4>5</vt:i4>
      </vt:variant>
      <vt:variant>
        <vt:lpwstr>https://www.dfat.gov.au/countries-economies-and-regions/southeast-asia/invested-australias-southeast-asia-economic-strategy-2040/chapter-8-visitor-economy</vt:lpwstr>
      </vt:variant>
      <vt:variant>
        <vt:lpwstr/>
      </vt:variant>
      <vt:variant>
        <vt:i4>7798837</vt:i4>
      </vt:variant>
      <vt:variant>
        <vt:i4>219</vt:i4>
      </vt:variant>
      <vt:variant>
        <vt:i4>0</vt:i4>
      </vt:variant>
      <vt:variant>
        <vt:i4>5</vt:i4>
      </vt:variant>
      <vt:variant>
        <vt:lpwstr>https://www.austrade.gov.au/news/publications/thrive-2030-strategy</vt:lpwstr>
      </vt:variant>
      <vt:variant>
        <vt:lpwstr/>
      </vt:variant>
      <vt:variant>
        <vt:i4>1703999</vt:i4>
      </vt:variant>
      <vt:variant>
        <vt:i4>206</vt:i4>
      </vt:variant>
      <vt:variant>
        <vt:i4>0</vt:i4>
      </vt:variant>
      <vt:variant>
        <vt:i4>5</vt:i4>
      </vt:variant>
      <vt:variant>
        <vt:lpwstr/>
      </vt:variant>
      <vt:variant>
        <vt:lpwstr>_Toc167113898</vt:lpwstr>
      </vt:variant>
      <vt:variant>
        <vt:i4>1703999</vt:i4>
      </vt:variant>
      <vt:variant>
        <vt:i4>200</vt:i4>
      </vt:variant>
      <vt:variant>
        <vt:i4>0</vt:i4>
      </vt:variant>
      <vt:variant>
        <vt:i4>5</vt:i4>
      </vt:variant>
      <vt:variant>
        <vt:lpwstr/>
      </vt:variant>
      <vt:variant>
        <vt:lpwstr>_Toc167113897</vt:lpwstr>
      </vt:variant>
      <vt:variant>
        <vt:i4>1703999</vt:i4>
      </vt:variant>
      <vt:variant>
        <vt:i4>194</vt:i4>
      </vt:variant>
      <vt:variant>
        <vt:i4>0</vt:i4>
      </vt:variant>
      <vt:variant>
        <vt:i4>5</vt:i4>
      </vt:variant>
      <vt:variant>
        <vt:lpwstr/>
      </vt:variant>
      <vt:variant>
        <vt:lpwstr>_Toc167113896</vt:lpwstr>
      </vt:variant>
      <vt:variant>
        <vt:i4>1703999</vt:i4>
      </vt:variant>
      <vt:variant>
        <vt:i4>188</vt:i4>
      </vt:variant>
      <vt:variant>
        <vt:i4>0</vt:i4>
      </vt:variant>
      <vt:variant>
        <vt:i4>5</vt:i4>
      </vt:variant>
      <vt:variant>
        <vt:lpwstr/>
      </vt:variant>
      <vt:variant>
        <vt:lpwstr>_Toc167113895</vt:lpwstr>
      </vt:variant>
      <vt:variant>
        <vt:i4>1703999</vt:i4>
      </vt:variant>
      <vt:variant>
        <vt:i4>182</vt:i4>
      </vt:variant>
      <vt:variant>
        <vt:i4>0</vt:i4>
      </vt:variant>
      <vt:variant>
        <vt:i4>5</vt:i4>
      </vt:variant>
      <vt:variant>
        <vt:lpwstr/>
      </vt:variant>
      <vt:variant>
        <vt:lpwstr>_Toc167113894</vt:lpwstr>
      </vt:variant>
      <vt:variant>
        <vt:i4>1703999</vt:i4>
      </vt:variant>
      <vt:variant>
        <vt:i4>176</vt:i4>
      </vt:variant>
      <vt:variant>
        <vt:i4>0</vt:i4>
      </vt:variant>
      <vt:variant>
        <vt:i4>5</vt:i4>
      </vt:variant>
      <vt:variant>
        <vt:lpwstr/>
      </vt:variant>
      <vt:variant>
        <vt:lpwstr>_Toc167113893</vt:lpwstr>
      </vt:variant>
      <vt:variant>
        <vt:i4>1703999</vt:i4>
      </vt:variant>
      <vt:variant>
        <vt:i4>170</vt:i4>
      </vt:variant>
      <vt:variant>
        <vt:i4>0</vt:i4>
      </vt:variant>
      <vt:variant>
        <vt:i4>5</vt:i4>
      </vt:variant>
      <vt:variant>
        <vt:lpwstr/>
      </vt:variant>
      <vt:variant>
        <vt:lpwstr>_Toc167113892</vt:lpwstr>
      </vt:variant>
      <vt:variant>
        <vt:i4>1703999</vt:i4>
      </vt:variant>
      <vt:variant>
        <vt:i4>164</vt:i4>
      </vt:variant>
      <vt:variant>
        <vt:i4>0</vt:i4>
      </vt:variant>
      <vt:variant>
        <vt:i4>5</vt:i4>
      </vt:variant>
      <vt:variant>
        <vt:lpwstr/>
      </vt:variant>
      <vt:variant>
        <vt:lpwstr>_Toc167113891</vt:lpwstr>
      </vt:variant>
      <vt:variant>
        <vt:i4>1703999</vt:i4>
      </vt:variant>
      <vt:variant>
        <vt:i4>158</vt:i4>
      </vt:variant>
      <vt:variant>
        <vt:i4>0</vt:i4>
      </vt:variant>
      <vt:variant>
        <vt:i4>5</vt:i4>
      </vt:variant>
      <vt:variant>
        <vt:lpwstr/>
      </vt:variant>
      <vt:variant>
        <vt:lpwstr>_Toc167113890</vt:lpwstr>
      </vt:variant>
      <vt:variant>
        <vt:i4>1769535</vt:i4>
      </vt:variant>
      <vt:variant>
        <vt:i4>152</vt:i4>
      </vt:variant>
      <vt:variant>
        <vt:i4>0</vt:i4>
      </vt:variant>
      <vt:variant>
        <vt:i4>5</vt:i4>
      </vt:variant>
      <vt:variant>
        <vt:lpwstr/>
      </vt:variant>
      <vt:variant>
        <vt:lpwstr>_Toc167113889</vt:lpwstr>
      </vt:variant>
      <vt:variant>
        <vt:i4>1769535</vt:i4>
      </vt:variant>
      <vt:variant>
        <vt:i4>146</vt:i4>
      </vt:variant>
      <vt:variant>
        <vt:i4>0</vt:i4>
      </vt:variant>
      <vt:variant>
        <vt:i4>5</vt:i4>
      </vt:variant>
      <vt:variant>
        <vt:lpwstr/>
      </vt:variant>
      <vt:variant>
        <vt:lpwstr>_Toc167113888</vt:lpwstr>
      </vt:variant>
      <vt:variant>
        <vt:i4>1769535</vt:i4>
      </vt:variant>
      <vt:variant>
        <vt:i4>140</vt:i4>
      </vt:variant>
      <vt:variant>
        <vt:i4>0</vt:i4>
      </vt:variant>
      <vt:variant>
        <vt:i4>5</vt:i4>
      </vt:variant>
      <vt:variant>
        <vt:lpwstr/>
      </vt:variant>
      <vt:variant>
        <vt:lpwstr>_Toc167113887</vt:lpwstr>
      </vt:variant>
      <vt:variant>
        <vt:i4>1769535</vt:i4>
      </vt:variant>
      <vt:variant>
        <vt:i4>134</vt:i4>
      </vt:variant>
      <vt:variant>
        <vt:i4>0</vt:i4>
      </vt:variant>
      <vt:variant>
        <vt:i4>5</vt:i4>
      </vt:variant>
      <vt:variant>
        <vt:lpwstr/>
      </vt:variant>
      <vt:variant>
        <vt:lpwstr>_Toc167113886</vt:lpwstr>
      </vt:variant>
      <vt:variant>
        <vt:i4>1769535</vt:i4>
      </vt:variant>
      <vt:variant>
        <vt:i4>128</vt:i4>
      </vt:variant>
      <vt:variant>
        <vt:i4>0</vt:i4>
      </vt:variant>
      <vt:variant>
        <vt:i4>5</vt:i4>
      </vt:variant>
      <vt:variant>
        <vt:lpwstr/>
      </vt:variant>
      <vt:variant>
        <vt:lpwstr>_Toc167113885</vt:lpwstr>
      </vt:variant>
      <vt:variant>
        <vt:i4>1769535</vt:i4>
      </vt:variant>
      <vt:variant>
        <vt:i4>122</vt:i4>
      </vt:variant>
      <vt:variant>
        <vt:i4>0</vt:i4>
      </vt:variant>
      <vt:variant>
        <vt:i4>5</vt:i4>
      </vt:variant>
      <vt:variant>
        <vt:lpwstr/>
      </vt:variant>
      <vt:variant>
        <vt:lpwstr>_Toc167113884</vt:lpwstr>
      </vt:variant>
      <vt:variant>
        <vt:i4>1769535</vt:i4>
      </vt:variant>
      <vt:variant>
        <vt:i4>116</vt:i4>
      </vt:variant>
      <vt:variant>
        <vt:i4>0</vt:i4>
      </vt:variant>
      <vt:variant>
        <vt:i4>5</vt:i4>
      </vt:variant>
      <vt:variant>
        <vt:lpwstr/>
      </vt:variant>
      <vt:variant>
        <vt:lpwstr>_Toc167113883</vt:lpwstr>
      </vt:variant>
      <vt:variant>
        <vt:i4>1769535</vt:i4>
      </vt:variant>
      <vt:variant>
        <vt:i4>110</vt:i4>
      </vt:variant>
      <vt:variant>
        <vt:i4>0</vt:i4>
      </vt:variant>
      <vt:variant>
        <vt:i4>5</vt:i4>
      </vt:variant>
      <vt:variant>
        <vt:lpwstr/>
      </vt:variant>
      <vt:variant>
        <vt:lpwstr>_Toc167113882</vt:lpwstr>
      </vt:variant>
      <vt:variant>
        <vt:i4>1769535</vt:i4>
      </vt:variant>
      <vt:variant>
        <vt:i4>104</vt:i4>
      </vt:variant>
      <vt:variant>
        <vt:i4>0</vt:i4>
      </vt:variant>
      <vt:variant>
        <vt:i4>5</vt:i4>
      </vt:variant>
      <vt:variant>
        <vt:lpwstr/>
      </vt:variant>
      <vt:variant>
        <vt:lpwstr>_Toc167113881</vt:lpwstr>
      </vt:variant>
      <vt:variant>
        <vt:i4>1769535</vt:i4>
      </vt:variant>
      <vt:variant>
        <vt:i4>98</vt:i4>
      </vt:variant>
      <vt:variant>
        <vt:i4>0</vt:i4>
      </vt:variant>
      <vt:variant>
        <vt:i4>5</vt:i4>
      </vt:variant>
      <vt:variant>
        <vt:lpwstr/>
      </vt:variant>
      <vt:variant>
        <vt:lpwstr>_Toc167113880</vt:lpwstr>
      </vt:variant>
      <vt:variant>
        <vt:i4>1310783</vt:i4>
      </vt:variant>
      <vt:variant>
        <vt:i4>92</vt:i4>
      </vt:variant>
      <vt:variant>
        <vt:i4>0</vt:i4>
      </vt:variant>
      <vt:variant>
        <vt:i4>5</vt:i4>
      </vt:variant>
      <vt:variant>
        <vt:lpwstr/>
      </vt:variant>
      <vt:variant>
        <vt:lpwstr>_Toc167113879</vt:lpwstr>
      </vt:variant>
      <vt:variant>
        <vt:i4>1310783</vt:i4>
      </vt:variant>
      <vt:variant>
        <vt:i4>86</vt:i4>
      </vt:variant>
      <vt:variant>
        <vt:i4>0</vt:i4>
      </vt:variant>
      <vt:variant>
        <vt:i4>5</vt:i4>
      </vt:variant>
      <vt:variant>
        <vt:lpwstr/>
      </vt:variant>
      <vt:variant>
        <vt:lpwstr>_Toc167113878</vt:lpwstr>
      </vt:variant>
      <vt:variant>
        <vt:i4>1310783</vt:i4>
      </vt:variant>
      <vt:variant>
        <vt:i4>80</vt:i4>
      </vt:variant>
      <vt:variant>
        <vt:i4>0</vt:i4>
      </vt:variant>
      <vt:variant>
        <vt:i4>5</vt:i4>
      </vt:variant>
      <vt:variant>
        <vt:lpwstr/>
      </vt:variant>
      <vt:variant>
        <vt:lpwstr>_Toc167113877</vt:lpwstr>
      </vt:variant>
      <vt:variant>
        <vt:i4>1310783</vt:i4>
      </vt:variant>
      <vt:variant>
        <vt:i4>74</vt:i4>
      </vt:variant>
      <vt:variant>
        <vt:i4>0</vt:i4>
      </vt:variant>
      <vt:variant>
        <vt:i4>5</vt:i4>
      </vt:variant>
      <vt:variant>
        <vt:lpwstr/>
      </vt:variant>
      <vt:variant>
        <vt:lpwstr>_Toc167113876</vt:lpwstr>
      </vt:variant>
      <vt:variant>
        <vt:i4>1310783</vt:i4>
      </vt:variant>
      <vt:variant>
        <vt:i4>68</vt:i4>
      </vt:variant>
      <vt:variant>
        <vt:i4>0</vt:i4>
      </vt:variant>
      <vt:variant>
        <vt:i4>5</vt:i4>
      </vt:variant>
      <vt:variant>
        <vt:lpwstr/>
      </vt:variant>
      <vt:variant>
        <vt:lpwstr>_Toc167113875</vt:lpwstr>
      </vt:variant>
      <vt:variant>
        <vt:i4>1310783</vt:i4>
      </vt:variant>
      <vt:variant>
        <vt:i4>62</vt:i4>
      </vt:variant>
      <vt:variant>
        <vt:i4>0</vt:i4>
      </vt:variant>
      <vt:variant>
        <vt:i4>5</vt:i4>
      </vt:variant>
      <vt:variant>
        <vt:lpwstr/>
      </vt:variant>
      <vt:variant>
        <vt:lpwstr>_Toc167113874</vt:lpwstr>
      </vt:variant>
      <vt:variant>
        <vt:i4>1310783</vt:i4>
      </vt:variant>
      <vt:variant>
        <vt:i4>56</vt:i4>
      </vt:variant>
      <vt:variant>
        <vt:i4>0</vt:i4>
      </vt:variant>
      <vt:variant>
        <vt:i4>5</vt:i4>
      </vt:variant>
      <vt:variant>
        <vt:lpwstr/>
      </vt:variant>
      <vt:variant>
        <vt:lpwstr>_Toc167113873</vt:lpwstr>
      </vt:variant>
      <vt:variant>
        <vt:i4>1310783</vt:i4>
      </vt:variant>
      <vt:variant>
        <vt:i4>50</vt:i4>
      </vt:variant>
      <vt:variant>
        <vt:i4>0</vt:i4>
      </vt:variant>
      <vt:variant>
        <vt:i4>5</vt:i4>
      </vt:variant>
      <vt:variant>
        <vt:lpwstr/>
      </vt:variant>
      <vt:variant>
        <vt:lpwstr>_Toc167113872</vt:lpwstr>
      </vt:variant>
      <vt:variant>
        <vt:i4>1310783</vt:i4>
      </vt:variant>
      <vt:variant>
        <vt:i4>44</vt:i4>
      </vt:variant>
      <vt:variant>
        <vt:i4>0</vt:i4>
      </vt:variant>
      <vt:variant>
        <vt:i4>5</vt:i4>
      </vt:variant>
      <vt:variant>
        <vt:lpwstr/>
      </vt:variant>
      <vt:variant>
        <vt:lpwstr>_Toc167113871</vt:lpwstr>
      </vt:variant>
      <vt:variant>
        <vt:i4>1310783</vt:i4>
      </vt:variant>
      <vt:variant>
        <vt:i4>38</vt:i4>
      </vt:variant>
      <vt:variant>
        <vt:i4>0</vt:i4>
      </vt:variant>
      <vt:variant>
        <vt:i4>5</vt:i4>
      </vt:variant>
      <vt:variant>
        <vt:lpwstr/>
      </vt:variant>
      <vt:variant>
        <vt:lpwstr>_Toc167113870</vt:lpwstr>
      </vt:variant>
      <vt:variant>
        <vt:i4>1376319</vt:i4>
      </vt:variant>
      <vt:variant>
        <vt:i4>32</vt:i4>
      </vt:variant>
      <vt:variant>
        <vt:i4>0</vt:i4>
      </vt:variant>
      <vt:variant>
        <vt:i4>5</vt:i4>
      </vt:variant>
      <vt:variant>
        <vt:lpwstr/>
      </vt:variant>
      <vt:variant>
        <vt:lpwstr>_Toc167113869</vt:lpwstr>
      </vt:variant>
      <vt:variant>
        <vt:i4>1376319</vt:i4>
      </vt:variant>
      <vt:variant>
        <vt:i4>26</vt:i4>
      </vt:variant>
      <vt:variant>
        <vt:i4>0</vt:i4>
      </vt:variant>
      <vt:variant>
        <vt:i4>5</vt:i4>
      </vt:variant>
      <vt:variant>
        <vt:lpwstr/>
      </vt:variant>
      <vt:variant>
        <vt:lpwstr>_Toc167113868</vt:lpwstr>
      </vt:variant>
      <vt:variant>
        <vt:i4>1376319</vt:i4>
      </vt:variant>
      <vt:variant>
        <vt:i4>20</vt:i4>
      </vt:variant>
      <vt:variant>
        <vt:i4>0</vt:i4>
      </vt:variant>
      <vt:variant>
        <vt:i4>5</vt:i4>
      </vt:variant>
      <vt:variant>
        <vt:lpwstr/>
      </vt:variant>
      <vt:variant>
        <vt:lpwstr>_Toc167113867</vt:lpwstr>
      </vt:variant>
      <vt:variant>
        <vt:i4>4915212</vt:i4>
      </vt:variant>
      <vt:variant>
        <vt:i4>15</vt:i4>
      </vt:variant>
      <vt:variant>
        <vt:i4>0</vt:i4>
      </vt:variant>
      <vt:variant>
        <vt:i4>5</vt:i4>
      </vt:variant>
      <vt:variant>
        <vt:lpwstr>C:\Users\corrine-rose\AppData\Local\Microsoft\Windows\INetCache\Content.Outlook\2Z3XW8LL\pmc.gov.au\ government\commonwealth-coat-arms</vt:lpwstr>
      </vt:variant>
      <vt:variant>
        <vt:lpwstr/>
      </vt:variant>
      <vt:variant>
        <vt:i4>4259898</vt:i4>
      </vt:variant>
      <vt:variant>
        <vt:i4>12</vt:i4>
      </vt:variant>
      <vt:variant>
        <vt:i4>0</vt:i4>
      </vt:variant>
      <vt:variant>
        <vt:i4>5</vt:i4>
      </vt:variant>
      <vt:variant>
        <vt:lpwstr>mailto:advisory@austrade.gov.au</vt:lpwstr>
      </vt:variant>
      <vt:variant>
        <vt:lpwstr/>
      </vt:variant>
      <vt:variant>
        <vt:i4>4980853</vt:i4>
      </vt:variant>
      <vt:variant>
        <vt:i4>9</vt:i4>
      </vt:variant>
      <vt:variant>
        <vt:i4>0</vt:i4>
      </vt:variant>
      <vt:variant>
        <vt:i4>5</vt:i4>
      </vt:variant>
      <vt:variant>
        <vt:lpwstr>mailto:tourism.research@tra.gov.au</vt:lpwstr>
      </vt:variant>
      <vt:variant>
        <vt:lpwstr/>
      </vt:variant>
      <vt:variant>
        <vt:i4>6619232</vt:i4>
      </vt:variant>
      <vt:variant>
        <vt:i4>6</vt:i4>
      </vt:variant>
      <vt:variant>
        <vt:i4>0</vt:i4>
      </vt:variant>
      <vt:variant>
        <vt:i4>5</vt:i4>
      </vt:variant>
      <vt:variant>
        <vt:lpwstr>https://www.tra.gov.au/economic-analysis/state-of-the-industry</vt:lpwstr>
      </vt:variant>
      <vt:variant>
        <vt:lpwstr/>
      </vt:variant>
      <vt:variant>
        <vt:i4>6357048</vt:i4>
      </vt:variant>
      <vt:variant>
        <vt:i4>3</vt:i4>
      </vt:variant>
      <vt:variant>
        <vt:i4>0</vt:i4>
      </vt:variant>
      <vt:variant>
        <vt:i4>5</vt:i4>
      </vt:variant>
      <vt:variant>
        <vt:lpwstr>http://www.tra.gov.au/</vt:lpwstr>
      </vt:variant>
      <vt:variant>
        <vt:lpwstr/>
      </vt:variant>
      <vt:variant>
        <vt:i4>4980853</vt:i4>
      </vt:variant>
      <vt:variant>
        <vt:i4>0</vt:i4>
      </vt:variant>
      <vt:variant>
        <vt:i4>0</vt:i4>
      </vt:variant>
      <vt:variant>
        <vt:i4>5</vt:i4>
      </vt:variant>
      <vt:variant>
        <vt:lpwstr>mailto:tourism.research@tra.gov.au</vt:lpwstr>
      </vt:variant>
      <vt:variant>
        <vt:lpwstr/>
      </vt:variant>
      <vt:variant>
        <vt:i4>2687085</vt:i4>
      </vt:variant>
      <vt:variant>
        <vt:i4>42</vt:i4>
      </vt:variant>
      <vt:variant>
        <vt:i4>0</vt:i4>
      </vt:variant>
      <vt:variant>
        <vt:i4>5</vt:i4>
      </vt:variant>
      <vt:variant>
        <vt:lpwstr>https://www.jobsandskills.gov.au/sites/default/files/2023-10/2023 SPL Key Findings Report.docx</vt:lpwstr>
      </vt:variant>
      <vt:variant>
        <vt:lpwstr/>
      </vt:variant>
      <vt:variant>
        <vt:i4>589835</vt:i4>
      </vt:variant>
      <vt:variant>
        <vt:i4>39</vt:i4>
      </vt:variant>
      <vt:variant>
        <vt:i4>0</vt:i4>
      </vt:variant>
      <vt:variant>
        <vt:i4>5</vt:i4>
      </vt:variant>
      <vt:variant>
        <vt:lpwstr>https://www.jobsandskills.gov.au/data/recruitment-experiences-and-outlook-survey</vt:lpwstr>
      </vt:variant>
      <vt:variant>
        <vt:lpwstr/>
      </vt:variant>
      <vt:variant>
        <vt:i4>4849756</vt:i4>
      </vt:variant>
      <vt:variant>
        <vt:i4>36</vt:i4>
      </vt:variant>
      <vt:variant>
        <vt:i4>0</vt:i4>
      </vt:variant>
      <vt:variant>
        <vt:i4>5</vt:i4>
      </vt:variant>
      <vt:variant>
        <vt:lpwstr>https://www.unwto.org/tourism-statistics/measuring-sustainability-tourism</vt:lpwstr>
      </vt:variant>
      <vt:variant>
        <vt:lpwstr/>
      </vt:variant>
      <vt:variant>
        <vt:i4>3407933</vt:i4>
      </vt:variant>
      <vt:variant>
        <vt:i4>33</vt:i4>
      </vt:variant>
      <vt:variant>
        <vt:i4>0</vt:i4>
      </vt:variant>
      <vt:variant>
        <vt:i4>5</vt:i4>
      </vt:variant>
      <vt:variant>
        <vt:lpwstr>https://www.austrade.gov.au/about/consultation/thrive-industry-data-and-expert-analysis-working-group</vt:lpwstr>
      </vt:variant>
      <vt:variant>
        <vt:lpwstr>:~:text=The%20THRIVE%202030%20Industry%20Data,areas%20in%20Australia's%20visitor%20economy.&amp;text=build%20investor%20confidence.</vt:lpwstr>
      </vt:variant>
      <vt:variant>
        <vt:i4>1572928</vt:i4>
      </vt:variant>
      <vt:variant>
        <vt:i4>30</vt:i4>
      </vt:variant>
      <vt:variant>
        <vt:i4>0</vt:i4>
      </vt:variant>
      <vt:variant>
        <vt:i4>5</vt:i4>
      </vt:variant>
      <vt:variant>
        <vt:lpwstr>https://www.commbank.com.au/articles/newsroom/2023/11/cost-of-living-november23.html</vt:lpwstr>
      </vt:variant>
      <vt:variant>
        <vt:lpwstr/>
      </vt:variant>
      <vt:variant>
        <vt:i4>3211374</vt:i4>
      </vt:variant>
      <vt:variant>
        <vt:i4>27</vt:i4>
      </vt:variant>
      <vt:variant>
        <vt:i4>0</vt:i4>
      </vt:variant>
      <vt:variant>
        <vt:i4>5</vt:i4>
      </vt:variant>
      <vt:variant>
        <vt:lpwstr>https://www.tra.gov.au/en/domestic/domestic-tourism-results/domestic-tourism-results-september-2023</vt:lpwstr>
      </vt:variant>
      <vt:variant>
        <vt:lpwstr/>
      </vt:variant>
      <vt:variant>
        <vt:i4>1441801</vt:i4>
      </vt:variant>
      <vt:variant>
        <vt:i4>24</vt:i4>
      </vt:variant>
      <vt:variant>
        <vt:i4>0</vt:i4>
      </vt:variant>
      <vt:variant>
        <vt:i4>5</vt:i4>
      </vt:variant>
      <vt:variant>
        <vt:lpwstr>https://www.cruising.org.au/ccms.r?Pageid=6022&amp;tenid=CLIA&amp;DispMode=goto|10608</vt:lpwstr>
      </vt:variant>
      <vt:variant>
        <vt:lpwstr/>
      </vt:variant>
      <vt:variant>
        <vt:i4>8257661</vt:i4>
      </vt:variant>
      <vt:variant>
        <vt:i4>21</vt:i4>
      </vt:variant>
      <vt:variant>
        <vt:i4>0</vt:i4>
      </vt:variant>
      <vt:variant>
        <vt:i4>5</vt:i4>
      </vt:variant>
      <vt:variant>
        <vt:lpwstr>https://www.cruising.org.au/Tenant/C0000003/Reports/23214_LCC_CLIA_Cruises_Infographic_DD16_2.pdf</vt:lpwstr>
      </vt:variant>
      <vt:variant>
        <vt:lpwstr/>
      </vt:variant>
      <vt:variant>
        <vt:i4>1114138</vt:i4>
      </vt:variant>
      <vt:variant>
        <vt:i4>18</vt:i4>
      </vt:variant>
      <vt:variant>
        <vt:i4>0</vt:i4>
      </vt:variant>
      <vt:variant>
        <vt:i4>5</vt:i4>
      </vt:variant>
      <vt:variant>
        <vt:lpwstr>https://www.rba.gov.au/publications/smp/2023/feb/box-b-insights-from-liaison.html</vt:lpwstr>
      </vt:variant>
      <vt:variant>
        <vt:lpwstr/>
      </vt:variant>
      <vt:variant>
        <vt:i4>3080226</vt:i4>
      </vt:variant>
      <vt:variant>
        <vt:i4>15</vt:i4>
      </vt:variant>
      <vt:variant>
        <vt:i4>0</vt:i4>
      </vt:variant>
      <vt:variant>
        <vt:i4>5</vt:i4>
      </vt:variant>
      <vt:variant>
        <vt:lpwstr>https://www.rba.gov.au/publications/smp/2023/feb/domestic-economic-conditions.html</vt:lpwstr>
      </vt:variant>
      <vt:variant>
        <vt:lpwstr/>
      </vt:variant>
      <vt:variant>
        <vt:i4>1572928</vt:i4>
      </vt:variant>
      <vt:variant>
        <vt:i4>12</vt:i4>
      </vt:variant>
      <vt:variant>
        <vt:i4>0</vt:i4>
      </vt:variant>
      <vt:variant>
        <vt:i4>5</vt:i4>
      </vt:variant>
      <vt:variant>
        <vt:lpwstr>https://www.commbank.com.au/articles/newsroom/2023/11/cost-of-living-november23.html</vt:lpwstr>
      </vt:variant>
      <vt:variant>
        <vt:lpwstr/>
      </vt:variant>
      <vt:variant>
        <vt:i4>4915227</vt:i4>
      </vt:variant>
      <vt:variant>
        <vt:i4>9</vt:i4>
      </vt:variant>
      <vt:variant>
        <vt:i4>0</vt:i4>
      </vt:variant>
      <vt:variant>
        <vt:i4>5</vt:i4>
      </vt:variant>
      <vt:variant>
        <vt:lpwstr>https://www.abs.gov.au/statistics/economy/finance/monthly-household-spending-indicator/latest-release</vt:lpwstr>
      </vt:variant>
      <vt:variant>
        <vt:lpwstr>discretionary-and-non-discretionary-spending</vt:lpwstr>
      </vt:variant>
      <vt:variant>
        <vt:i4>2949170</vt:i4>
      </vt:variant>
      <vt:variant>
        <vt:i4>6</vt:i4>
      </vt:variant>
      <vt:variant>
        <vt:i4>0</vt:i4>
      </vt:variant>
      <vt:variant>
        <vt:i4>5</vt:i4>
      </vt:variant>
      <vt:variant>
        <vt:lpwstr>https://www.rba.gov.au/publications/smp/2023/aug/domestic-economic-conditions.html</vt:lpwstr>
      </vt:variant>
      <vt:variant>
        <vt:lpwstr/>
      </vt:variant>
      <vt:variant>
        <vt:i4>6422642</vt:i4>
      </vt:variant>
      <vt:variant>
        <vt:i4>3</vt:i4>
      </vt:variant>
      <vt:variant>
        <vt:i4>0</vt:i4>
      </vt:variant>
      <vt:variant>
        <vt:i4>5</vt:i4>
      </vt:variant>
      <vt:variant>
        <vt:lpwstr>https://statistics.jnto.go.jp/en/graph/</vt:lpwstr>
      </vt:variant>
      <vt:variant>
        <vt:lpwstr/>
      </vt:variant>
      <vt:variant>
        <vt:i4>131139</vt:i4>
      </vt:variant>
      <vt:variant>
        <vt:i4>0</vt:i4>
      </vt:variant>
      <vt:variant>
        <vt:i4>0</vt:i4>
      </vt:variant>
      <vt:variant>
        <vt:i4>5</vt:i4>
      </vt:variant>
      <vt:variant>
        <vt:lpwstr>https://www.euromonitor.com/press/press-releases/july-20232/womens-world-cup-2023-viewership-to-cross-2-billion-double-from-2019-euromonitor-international</vt:lpwstr>
      </vt:variant>
      <vt:variant>
        <vt:lpwstr>:~:text=2019%3A%20Euromonitor%20International-,Women%27s%20World%20Cup%202023%20viewership%20to%20cross%202,double%20from%202019%3A%20Euromonitor%20International&amp;text=Share%3A,already%20exceeding%20pre%2DCovid%20levels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the Industry: Australia’s tourism sector in 2023</dc:title>
  <dc:subject/>
  <dc:creator/>
  <cp:keywords/>
  <dc:description/>
  <cp:lastModifiedBy/>
  <cp:revision>1</cp:revision>
  <dcterms:created xsi:type="dcterms:W3CDTF">2024-07-11T03:49:00Z</dcterms:created>
  <dcterms:modified xsi:type="dcterms:W3CDTF">2024-07-11T03:49:00Z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0x010100BCE59075CB8AAE4281923CD804FF4F41</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