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1.xml" ContentType="application/vnd.openxmlformats-officedocument.drawingml.chartshap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12.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13.xml" ContentType="application/vnd.openxmlformats-officedocument.drawingml.chartshapes+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b/>
          <w:bCs/>
        </w:rPr>
        <w:id w:val="-1649280474"/>
        <w:docPartObj>
          <w:docPartGallery w:val="Cover Pages"/>
          <w:docPartUnique/>
        </w:docPartObj>
      </w:sdtPr>
      <w:sdtEndPr>
        <w:rPr>
          <w:b w:val="0"/>
          <w:bCs w:val="0"/>
        </w:rPr>
      </w:sdtEndPr>
      <w:sdtContent>
        <w:p w14:paraId="76E0A5C5" w14:textId="52B99628" w:rsidR="003A58AB" w:rsidRPr="00FC500B" w:rsidRDefault="00607DC2" w:rsidP="001E479D">
          <w:pPr>
            <w:ind w:left="720" w:hanging="720"/>
          </w:pPr>
          <w:r>
            <w:rPr>
              <w:noProof/>
              <w:lang w:eastAsia="en-AU"/>
            </w:rPr>
            <w:drawing>
              <wp:anchor distT="0" distB="0" distL="114300" distR="114300" simplePos="0" relativeHeight="251659264" behindDoc="1" locked="0" layoutInCell="1" allowOverlap="1" wp14:anchorId="34C26B93" wp14:editId="0CC01F6F">
                <wp:simplePos x="0" y="0"/>
                <wp:positionH relativeFrom="column">
                  <wp:posOffset>-344805</wp:posOffset>
                </wp:positionH>
                <wp:positionV relativeFrom="paragraph">
                  <wp:posOffset>-868680</wp:posOffset>
                </wp:positionV>
                <wp:extent cx="6983730" cy="1492250"/>
                <wp:effectExtent l="0" t="0" r="7620" b="0"/>
                <wp:wrapNone/>
                <wp:docPr id="5"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6">
                          <a:extLst>
                            <a:ext uri="{C183D7F6-B498-43B3-948B-1728B52AA6E4}">
                              <adec:decorative xmlns:adec="http://schemas.microsoft.com/office/drawing/2017/decorative" val="1"/>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b="33125"/>
                        <a:stretch/>
                      </pic:blipFill>
                      <pic:spPr>
                        <a:xfrm>
                          <a:off x="0" y="0"/>
                          <a:ext cx="6983730" cy="1492250"/>
                        </a:xfrm>
                        <a:prstGeom prst="rect">
                          <a:avLst/>
                        </a:prstGeom>
                      </pic:spPr>
                    </pic:pic>
                  </a:graphicData>
                </a:graphic>
              </wp:anchor>
            </w:drawing>
          </w:r>
          <w:r>
            <w:rPr>
              <w:noProof/>
              <w:lang w:eastAsia="en-AU"/>
            </w:rPr>
            <w:drawing>
              <wp:anchor distT="0" distB="0" distL="114300" distR="114300" simplePos="0" relativeHeight="251661312" behindDoc="1" locked="1" layoutInCell="1" allowOverlap="1" wp14:anchorId="1A4CBE34" wp14:editId="1AEB20C2">
                <wp:simplePos x="0" y="0"/>
                <wp:positionH relativeFrom="margin">
                  <wp:align>left</wp:align>
                </wp:positionH>
                <wp:positionV relativeFrom="margin">
                  <wp:posOffset>-859155</wp:posOffset>
                </wp:positionV>
                <wp:extent cx="3230245" cy="1068705"/>
                <wp:effectExtent l="0" t="0" r="0" b="0"/>
                <wp:wrapNone/>
                <wp:docPr id="1"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9">
                          <a:extLst>
                            <a:ext uri="{C183D7F6-B498-43B3-948B-1728B52AA6E4}">
                              <adec:decorative xmlns:adec="http://schemas.microsoft.com/office/drawing/2017/decorative" val="1"/>
                            </a:ext>
                          </a:extLst>
                        </pic:cNvPr>
                        <pic:cNvPicPr/>
                      </pic:nvPicPr>
                      <pic:blipFill>
                        <a:blip r:embed="rId12"/>
                        <a:stretch>
                          <a:fillRect/>
                        </a:stretch>
                      </pic:blipFill>
                      <pic:spPr>
                        <a:xfrm>
                          <a:off x="0" y="0"/>
                          <a:ext cx="3230245" cy="1068705"/>
                        </a:xfrm>
                        <a:prstGeom prst="rect">
                          <a:avLst/>
                        </a:prstGeom>
                      </pic:spPr>
                    </pic:pic>
                  </a:graphicData>
                </a:graphic>
                <wp14:sizeRelH relativeFrom="margin">
                  <wp14:pctWidth>0</wp14:pctWidth>
                </wp14:sizeRelH>
                <wp14:sizeRelV relativeFrom="margin">
                  <wp14:pctHeight>0</wp14:pctHeight>
                </wp14:sizeRelV>
              </wp:anchor>
            </w:drawing>
          </w:r>
        </w:p>
        <w:p w14:paraId="2F56813B" w14:textId="77777777" w:rsidR="00607DC2" w:rsidRDefault="00607DC2" w:rsidP="00607DC2"/>
        <w:p w14:paraId="24A875A0" w14:textId="77777777" w:rsidR="00607DC2" w:rsidRDefault="00607DC2" w:rsidP="00607DC2"/>
        <w:p w14:paraId="6DB52FA6" w14:textId="77777777" w:rsidR="00607DC2" w:rsidRDefault="00607DC2" w:rsidP="00607DC2"/>
        <w:p w14:paraId="5AF1D9CE" w14:textId="77777777" w:rsidR="00607DC2" w:rsidRDefault="00607DC2" w:rsidP="00607DC2"/>
        <w:p w14:paraId="0B3DA043" w14:textId="77777777" w:rsidR="00607DC2" w:rsidRPr="00C279D9" w:rsidRDefault="00607DC2" w:rsidP="00607DC2">
          <w:pPr>
            <w:pStyle w:val="Heading1"/>
            <w:rPr>
              <w:rStyle w:val="Heading1Char"/>
              <w:bCs/>
            </w:rPr>
          </w:pPr>
          <w:bookmarkStart w:id="0" w:name="_Toc99978060"/>
          <w:bookmarkStart w:id="1" w:name="_Toc101251171"/>
          <w:bookmarkStart w:id="2" w:name="_Toc101276122"/>
          <w:bookmarkStart w:id="3" w:name="_Toc101864169"/>
          <w:bookmarkStart w:id="4" w:name="_Toc103584618"/>
          <w:bookmarkStart w:id="5" w:name="_Toc103584699"/>
          <w:bookmarkStart w:id="6" w:name="_Toc104374224"/>
          <w:bookmarkStart w:id="7" w:name="_Toc106097661"/>
          <w:r>
            <w:t>State of the Industry</w:t>
          </w:r>
          <w:bookmarkEnd w:id="0"/>
          <w:bookmarkEnd w:id="1"/>
          <w:bookmarkEnd w:id="2"/>
          <w:bookmarkEnd w:id="3"/>
          <w:bookmarkEnd w:id="4"/>
          <w:bookmarkEnd w:id="5"/>
          <w:bookmarkEnd w:id="6"/>
          <w:bookmarkEnd w:id="7"/>
        </w:p>
        <w:p w14:paraId="5639D772" w14:textId="133F1BCF" w:rsidR="00607DC2" w:rsidRPr="00601CBB" w:rsidRDefault="00607DC2" w:rsidP="00601CBB">
          <w:pPr>
            <w:pStyle w:val="Heading2"/>
            <w:rPr>
              <w:b w:val="0"/>
              <w:bCs/>
              <w:color w:val="7A4282" w:themeColor="accent1"/>
              <w:sz w:val="40"/>
              <w:szCs w:val="40"/>
            </w:rPr>
          </w:pPr>
          <w:bookmarkStart w:id="8" w:name="_Toc95830542"/>
          <w:bookmarkStart w:id="9" w:name="_Toc95899246"/>
          <w:bookmarkStart w:id="10" w:name="_Toc95899328"/>
          <w:bookmarkStart w:id="11" w:name="_Toc99978061"/>
          <w:bookmarkStart w:id="12" w:name="_Toc101251172"/>
          <w:bookmarkStart w:id="13" w:name="_Toc101276123"/>
          <w:bookmarkStart w:id="14" w:name="_Toc101864170"/>
          <w:bookmarkStart w:id="15" w:name="_Toc103584619"/>
          <w:bookmarkStart w:id="16" w:name="_Toc103584700"/>
          <w:bookmarkStart w:id="17" w:name="_Toc104374225"/>
          <w:bookmarkStart w:id="18" w:name="_Toc106097662"/>
          <w:r w:rsidRPr="00601CBB">
            <w:rPr>
              <w:b w:val="0"/>
              <w:bCs/>
              <w:color w:val="7A4282" w:themeColor="accent1"/>
              <w:sz w:val="40"/>
              <w:szCs w:val="40"/>
            </w:rPr>
            <w:t>2021</w:t>
          </w:r>
          <w:bookmarkEnd w:id="8"/>
          <w:bookmarkEnd w:id="9"/>
          <w:bookmarkEnd w:id="10"/>
          <w:bookmarkEnd w:id="11"/>
          <w:bookmarkEnd w:id="12"/>
          <w:bookmarkEnd w:id="13"/>
          <w:bookmarkEnd w:id="14"/>
          <w:bookmarkEnd w:id="15"/>
          <w:bookmarkEnd w:id="16"/>
          <w:bookmarkEnd w:id="17"/>
          <w:bookmarkEnd w:id="18"/>
        </w:p>
        <w:p w14:paraId="040B1798" w14:textId="77777777" w:rsidR="00607DC2" w:rsidRDefault="00607DC2" w:rsidP="00607DC2">
          <w:pPr>
            <w:rPr>
              <w:lang w:eastAsia="zh-CN"/>
            </w:rPr>
          </w:pPr>
        </w:p>
        <w:p w14:paraId="3894DA44" w14:textId="77777777" w:rsidR="00607DC2" w:rsidRDefault="00607DC2" w:rsidP="00607DC2">
          <w:pPr>
            <w:rPr>
              <w:lang w:eastAsia="zh-CN"/>
            </w:rPr>
          </w:pPr>
        </w:p>
        <w:p w14:paraId="5259748B" w14:textId="77777777" w:rsidR="00EC50BE" w:rsidRDefault="00EC50BE" w:rsidP="00607DC2">
          <w:pPr>
            <w:rPr>
              <w:lang w:eastAsia="zh-CN"/>
            </w:rPr>
          </w:pPr>
        </w:p>
        <w:p w14:paraId="5509FAF6" w14:textId="77777777" w:rsidR="00607DC2" w:rsidRDefault="00607DC2" w:rsidP="00607DC2">
          <w:pPr>
            <w:rPr>
              <w:lang w:eastAsia="zh-CN"/>
            </w:rPr>
          </w:pPr>
        </w:p>
        <w:p w14:paraId="7AED9471" w14:textId="77777777" w:rsidR="00607DC2" w:rsidRPr="007D0EF9" w:rsidRDefault="00607DC2" w:rsidP="00607DC2">
          <w:pPr>
            <w:rPr>
              <w:lang w:eastAsia="zh-CN"/>
            </w:rPr>
          </w:pPr>
        </w:p>
        <w:p w14:paraId="0764B488" w14:textId="77777777" w:rsidR="00607DC2" w:rsidRDefault="00607DC2" w:rsidP="00607DC2">
          <w:r>
            <w:t xml:space="preserve">Tourism Research Australia </w:t>
          </w:r>
        </w:p>
        <w:p w14:paraId="3D6E7416" w14:textId="77777777" w:rsidR="00607DC2" w:rsidRDefault="00607DC2" w:rsidP="00607DC2">
          <w:r>
            <w:t xml:space="preserve">Australian Trade and Investment Commission (Austrade) </w:t>
          </w:r>
        </w:p>
        <w:p w14:paraId="5168500D" w14:textId="77777777" w:rsidR="00607DC2" w:rsidRDefault="00607DC2" w:rsidP="00607DC2">
          <w:r>
            <w:t xml:space="preserve">Email: </w:t>
          </w:r>
          <w:hyperlink r:id="rId13" w:history="1">
            <w:r w:rsidRPr="003E4536">
              <w:rPr>
                <w:rStyle w:val="Hyperlink"/>
              </w:rPr>
              <w:t>tourism.research@tra.gov.au</w:t>
            </w:r>
          </w:hyperlink>
          <w:r>
            <w:t xml:space="preserve"> </w:t>
          </w:r>
        </w:p>
        <w:p w14:paraId="29D3D752" w14:textId="77777777" w:rsidR="00607DC2" w:rsidRDefault="00607DC2" w:rsidP="00607DC2">
          <w:r>
            <w:t xml:space="preserve">Web: </w:t>
          </w:r>
          <w:hyperlink r:id="rId14" w:history="1">
            <w:r w:rsidRPr="003E4536">
              <w:rPr>
                <w:rStyle w:val="Hyperlink"/>
              </w:rPr>
              <w:t>www.tra.gov.au</w:t>
            </w:r>
          </w:hyperlink>
          <w:r>
            <w:t xml:space="preserve"> </w:t>
          </w:r>
        </w:p>
        <w:p w14:paraId="3EF81B0A" w14:textId="351FAC71" w:rsidR="00607DC2" w:rsidRDefault="00607DC2" w:rsidP="00607DC2">
          <w:r>
            <w:t xml:space="preserve">Publication date: </w:t>
          </w:r>
          <w:r w:rsidR="001A5F05">
            <w:t>June</w:t>
          </w:r>
          <w:r>
            <w:t xml:space="preserve"> 2022 </w:t>
          </w:r>
        </w:p>
        <w:p w14:paraId="4F321597" w14:textId="77777777" w:rsidR="00607DC2" w:rsidRDefault="00607DC2" w:rsidP="00607DC2">
          <w:pPr>
            <w:rPr>
              <w:lang w:eastAsia="zh-CN"/>
            </w:rPr>
          </w:pPr>
        </w:p>
        <w:p w14:paraId="4F731C38" w14:textId="1EDCB1F6" w:rsidR="00607DC2" w:rsidRDefault="00607DC2" w:rsidP="00607DC2">
          <w:pPr>
            <w:rPr>
              <w:lang w:eastAsia="zh-CN"/>
            </w:rPr>
          </w:pPr>
        </w:p>
        <w:p w14:paraId="13A3F885" w14:textId="77777777" w:rsidR="00EC50BE" w:rsidRPr="00C212D4" w:rsidRDefault="00EC50BE" w:rsidP="00607DC2">
          <w:pPr>
            <w:rPr>
              <w:lang w:eastAsia="zh-CN"/>
            </w:rPr>
          </w:pPr>
        </w:p>
        <w:p w14:paraId="0E0E6C6F" w14:textId="77777777" w:rsidR="00607DC2" w:rsidRDefault="00607DC2" w:rsidP="00607DC2"/>
        <w:p w14:paraId="5A629ADD" w14:textId="5F6889F7" w:rsidR="00607DC2" w:rsidRPr="00EB16F6" w:rsidRDefault="00607DC2" w:rsidP="00607DC2">
          <w:pPr>
            <w:spacing w:line="240" w:lineRule="auto"/>
            <w:rPr>
              <w:sz w:val="16"/>
              <w:szCs w:val="16"/>
            </w:rPr>
          </w:pPr>
          <w:r w:rsidRPr="00EB16F6">
            <w:rPr>
              <w:sz w:val="16"/>
              <w:szCs w:val="16"/>
            </w:rPr>
            <w:t xml:space="preserve">This work should be attributed as </w:t>
          </w:r>
          <w:r>
            <w:rPr>
              <w:i/>
              <w:iCs/>
              <w:sz w:val="16"/>
              <w:szCs w:val="16"/>
            </w:rPr>
            <w:t xml:space="preserve">State of the Industry </w:t>
          </w:r>
          <w:r w:rsidRPr="00EB16F6">
            <w:rPr>
              <w:i/>
              <w:iCs/>
              <w:sz w:val="16"/>
              <w:szCs w:val="16"/>
            </w:rPr>
            <w:t>202</w:t>
          </w:r>
          <w:r>
            <w:rPr>
              <w:i/>
              <w:iCs/>
              <w:sz w:val="16"/>
              <w:szCs w:val="16"/>
            </w:rPr>
            <w:t>1</w:t>
          </w:r>
          <w:r w:rsidRPr="00EB16F6">
            <w:rPr>
              <w:sz w:val="16"/>
              <w:szCs w:val="16"/>
            </w:rPr>
            <w:t xml:space="preserve">, Tourism Research Australia, Austrade, Canberra. </w:t>
          </w:r>
        </w:p>
        <w:p w14:paraId="13DC0780" w14:textId="77777777" w:rsidR="00607DC2" w:rsidRPr="00EB16F6" w:rsidRDefault="00607DC2" w:rsidP="00607DC2">
          <w:pPr>
            <w:pStyle w:val="Default"/>
            <w:rPr>
              <w:sz w:val="16"/>
              <w:szCs w:val="16"/>
            </w:rPr>
          </w:pPr>
          <w:r w:rsidRPr="00EB16F6">
            <w:rPr>
              <w:sz w:val="16"/>
              <w:szCs w:val="16"/>
            </w:rPr>
            <w:t>This report is available at</w:t>
          </w:r>
          <w:r>
            <w:rPr>
              <w:sz w:val="16"/>
              <w:szCs w:val="16"/>
            </w:rPr>
            <w:t xml:space="preserve"> </w:t>
          </w:r>
          <w:hyperlink r:id="rId15" w:history="1">
            <w:r w:rsidRPr="007D0EF9">
              <w:rPr>
                <w:rStyle w:val="Hyperlink"/>
                <w:sz w:val="16"/>
                <w:szCs w:val="16"/>
              </w:rPr>
              <w:t>https://www.tra.gov.au/economic-analysis/state-of-the-industry</w:t>
            </w:r>
          </w:hyperlink>
        </w:p>
        <w:p w14:paraId="7B186C99" w14:textId="77777777" w:rsidR="00607DC2" w:rsidRPr="00EB16F6" w:rsidRDefault="00607DC2" w:rsidP="00607DC2">
          <w:pPr>
            <w:spacing w:line="240" w:lineRule="auto"/>
            <w:rPr>
              <w:sz w:val="16"/>
              <w:szCs w:val="16"/>
            </w:rPr>
          </w:pPr>
          <w:r>
            <w:rPr>
              <w:sz w:val="16"/>
              <w:szCs w:val="16"/>
            </w:rPr>
            <w:t>Further e</w:t>
          </w:r>
          <w:r w:rsidRPr="00EB16F6">
            <w:rPr>
              <w:sz w:val="16"/>
              <w:szCs w:val="16"/>
            </w:rPr>
            <w:t xml:space="preserve">nquiries are welcome at </w:t>
          </w:r>
          <w:hyperlink r:id="rId16" w:history="1">
            <w:r w:rsidRPr="00EB16F6">
              <w:rPr>
                <w:rStyle w:val="Hyperlink"/>
                <w:sz w:val="16"/>
                <w:szCs w:val="16"/>
              </w:rPr>
              <w:t>tourism.research@tra.gov.au</w:t>
            </w:r>
          </w:hyperlink>
          <w:r w:rsidRPr="00EB16F6">
            <w:rPr>
              <w:sz w:val="16"/>
              <w:szCs w:val="16"/>
            </w:rPr>
            <w:t xml:space="preserve"> </w:t>
          </w:r>
        </w:p>
        <w:p w14:paraId="730B2523" w14:textId="77777777" w:rsidR="00607DC2" w:rsidRDefault="00607DC2" w:rsidP="00607DC2">
          <w:pPr>
            <w:spacing w:before="0" w:after="160" w:line="259" w:lineRule="auto"/>
          </w:pPr>
          <w:r>
            <w:rPr>
              <w:b/>
              <w:bCs/>
            </w:rPr>
            <w:br w:type="page"/>
          </w:r>
        </w:p>
        <w:p w14:paraId="3576D564" w14:textId="711353AF" w:rsidR="0054064E" w:rsidRDefault="0054064E"/>
        <w:p w14:paraId="68523316" w14:textId="7BDE6BDB" w:rsidR="00EC50BE" w:rsidRPr="00C823DB" w:rsidRDefault="00EC50BE" w:rsidP="00607DC2">
          <w:pPr>
            <w:pStyle w:val="Heading2"/>
            <w:rPr>
              <w:b w:val="0"/>
              <w:bCs/>
              <w:color w:val="7A4282" w:themeColor="accent1"/>
              <w:sz w:val="36"/>
              <w:szCs w:val="32"/>
            </w:rPr>
          </w:pPr>
          <w:bookmarkStart w:id="19" w:name="_Toc106097663"/>
          <w:r w:rsidRPr="00C823DB">
            <w:rPr>
              <w:b w:val="0"/>
              <w:bCs/>
              <w:color w:val="7A4282" w:themeColor="accent1"/>
              <w:sz w:val="36"/>
              <w:szCs w:val="32"/>
            </w:rPr>
            <w:t>Acknowledgement of Country</w:t>
          </w:r>
          <w:bookmarkEnd w:id="19"/>
        </w:p>
        <w:p w14:paraId="5A505277" w14:textId="2A5A6144" w:rsidR="00607DC2" w:rsidRDefault="00EC50BE" w:rsidP="00EC50BE">
          <w:r>
            <w:t>The Australian Government acknowledges the Traditional Owners and Custodians of Country throughout Australia and acknowledges their continuing connection to land, water and community. We pay our respects to them, their Elders past and present, and the continuation of cultural, spiritual and educational practices of Aboriginal and Torres Strait Islander peoples.</w:t>
          </w:r>
        </w:p>
        <w:p w14:paraId="62CD3675" w14:textId="75AF21D5" w:rsidR="001C60D8" w:rsidRDefault="001C60D8" w:rsidP="001C60D8">
          <w:pPr>
            <w:rPr>
              <w:lang w:eastAsia="zh-CN"/>
            </w:rPr>
          </w:pPr>
        </w:p>
        <w:p w14:paraId="5AB1E7D5" w14:textId="7617AF2A" w:rsidR="001C60D8" w:rsidRDefault="001C60D8" w:rsidP="001C60D8">
          <w:pPr>
            <w:rPr>
              <w:lang w:eastAsia="zh-CN"/>
            </w:rPr>
          </w:pPr>
        </w:p>
        <w:p w14:paraId="05A7E7D4" w14:textId="15757660" w:rsidR="001C60D8" w:rsidRDefault="001C60D8" w:rsidP="001C60D8">
          <w:pPr>
            <w:rPr>
              <w:lang w:eastAsia="zh-CN"/>
            </w:rPr>
          </w:pPr>
        </w:p>
        <w:p w14:paraId="564B09DB" w14:textId="17C5ED41" w:rsidR="001C60D8" w:rsidRDefault="001C60D8" w:rsidP="001C60D8">
          <w:pPr>
            <w:rPr>
              <w:lang w:eastAsia="zh-CN"/>
            </w:rPr>
          </w:pPr>
        </w:p>
        <w:p w14:paraId="1F2B9029" w14:textId="65463B8D" w:rsidR="001C60D8" w:rsidRDefault="001C60D8" w:rsidP="001C60D8">
          <w:pPr>
            <w:rPr>
              <w:lang w:eastAsia="zh-CN"/>
            </w:rPr>
          </w:pPr>
        </w:p>
        <w:p w14:paraId="52677513" w14:textId="66034679" w:rsidR="001C60D8" w:rsidRDefault="001C60D8" w:rsidP="001C60D8">
          <w:pPr>
            <w:rPr>
              <w:lang w:eastAsia="zh-CN"/>
            </w:rPr>
          </w:pPr>
        </w:p>
        <w:p w14:paraId="26B3715E" w14:textId="4D10DBB8" w:rsidR="001C60D8" w:rsidRDefault="001C60D8" w:rsidP="001C60D8">
          <w:pPr>
            <w:rPr>
              <w:lang w:eastAsia="zh-CN"/>
            </w:rPr>
          </w:pPr>
        </w:p>
        <w:p w14:paraId="1ACA0101" w14:textId="77777777" w:rsidR="001C60D8" w:rsidRPr="001C60D8" w:rsidRDefault="001C60D8" w:rsidP="001C60D8">
          <w:pPr>
            <w:rPr>
              <w:lang w:eastAsia="zh-CN"/>
            </w:rPr>
          </w:pPr>
        </w:p>
        <w:p w14:paraId="154E7732" w14:textId="77777777" w:rsidR="00607DC2" w:rsidRPr="00EB16F6" w:rsidRDefault="00607DC2" w:rsidP="00607DC2">
          <w:pPr>
            <w:pStyle w:val="Pa2"/>
            <w:spacing w:after="40"/>
            <w:rPr>
              <w:rFonts w:ascii="Verdana" w:hAnsi="Verdana" w:cs="Verdana"/>
              <w:color w:val="000000"/>
              <w:sz w:val="16"/>
              <w:szCs w:val="16"/>
            </w:rPr>
          </w:pPr>
          <w:r w:rsidRPr="00EB16F6">
            <w:rPr>
              <w:rFonts w:ascii="Verdana" w:hAnsi="Verdana" w:cs="Verdana"/>
              <w:color w:val="000000"/>
              <w:sz w:val="16"/>
              <w:szCs w:val="16"/>
            </w:rPr>
            <w:t>Copyright © Commonwealth of Australia 202</w:t>
          </w:r>
          <w:r>
            <w:rPr>
              <w:rFonts w:ascii="Verdana" w:hAnsi="Verdana" w:cs="Verdana"/>
              <w:color w:val="000000"/>
              <w:sz w:val="16"/>
              <w:szCs w:val="16"/>
            </w:rPr>
            <w:t>2</w:t>
          </w:r>
        </w:p>
        <w:p w14:paraId="7E3F8596" w14:textId="77777777" w:rsidR="00607DC2" w:rsidRPr="00EB16F6" w:rsidRDefault="00607DC2" w:rsidP="00607DC2">
          <w:pPr>
            <w:pStyle w:val="Pa2"/>
            <w:spacing w:after="40"/>
            <w:rPr>
              <w:rFonts w:ascii="Verdana" w:hAnsi="Verdana" w:cs="Verdana"/>
              <w:color w:val="000000"/>
              <w:sz w:val="16"/>
              <w:szCs w:val="16"/>
            </w:rPr>
          </w:pPr>
          <w:r w:rsidRPr="00EB16F6">
            <w:rPr>
              <w:rFonts w:ascii="Verdana" w:hAnsi="Verdana" w:cs="Verdana"/>
              <w:color w:val="000000"/>
              <w:sz w:val="16"/>
              <w:szCs w:val="16"/>
            </w:rPr>
            <w:t xml:space="preserve">The material in this document is licensed under a Creative Commons Attribution – 4.0 International licence, with the exception of: </w:t>
          </w:r>
        </w:p>
        <w:p w14:paraId="65F4D62F" w14:textId="77777777" w:rsidR="00607DC2" w:rsidRPr="00EB16F6" w:rsidRDefault="00607DC2" w:rsidP="00B51BCB">
          <w:pPr>
            <w:pStyle w:val="Default"/>
            <w:numPr>
              <w:ilvl w:val="0"/>
              <w:numId w:val="3"/>
            </w:numPr>
            <w:spacing w:after="5"/>
            <w:ind w:left="1080" w:hanging="360"/>
            <w:rPr>
              <w:sz w:val="16"/>
              <w:szCs w:val="16"/>
            </w:rPr>
          </w:pPr>
          <w:r w:rsidRPr="00EB16F6">
            <w:rPr>
              <w:sz w:val="16"/>
              <w:szCs w:val="16"/>
            </w:rPr>
            <w:t xml:space="preserve">the Commonwealth Coat of Arms </w:t>
          </w:r>
        </w:p>
        <w:p w14:paraId="7CC9AB4D" w14:textId="77777777" w:rsidR="00607DC2" w:rsidRPr="00EB16F6" w:rsidRDefault="00607DC2" w:rsidP="00B51BCB">
          <w:pPr>
            <w:pStyle w:val="Default"/>
            <w:numPr>
              <w:ilvl w:val="0"/>
              <w:numId w:val="3"/>
            </w:numPr>
            <w:spacing w:after="5"/>
            <w:ind w:left="1080" w:hanging="360"/>
            <w:rPr>
              <w:sz w:val="16"/>
              <w:szCs w:val="16"/>
            </w:rPr>
          </w:pPr>
          <w:r w:rsidRPr="00EB16F6">
            <w:rPr>
              <w:sz w:val="16"/>
              <w:szCs w:val="16"/>
            </w:rPr>
            <w:t xml:space="preserve">the Australian Trade and Investment Commission’s logo </w:t>
          </w:r>
        </w:p>
        <w:p w14:paraId="5FBDAE32" w14:textId="77777777" w:rsidR="00607DC2" w:rsidRPr="00EB16F6" w:rsidRDefault="00607DC2" w:rsidP="00B51BCB">
          <w:pPr>
            <w:pStyle w:val="Default"/>
            <w:numPr>
              <w:ilvl w:val="0"/>
              <w:numId w:val="3"/>
            </w:numPr>
            <w:spacing w:after="5"/>
            <w:ind w:left="1080" w:hanging="360"/>
            <w:rPr>
              <w:sz w:val="16"/>
              <w:szCs w:val="16"/>
            </w:rPr>
          </w:pPr>
          <w:r w:rsidRPr="00EB16F6">
            <w:rPr>
              <w:sz w:val="16"/>
              <w:szCs w:val="16"/>
            </w:rPr>
            <w:t xml:space="preserve">any third-party material </w:t>
          </w:r>
        </w:p>
        <w:p w14:paraId="0AD08C82" w14:textId="77777777" w:rsidR="00607DC2" w:rsidRPr="00EB16F6" w:rsidRDefault="00607DC2" w:rsidP="00B51BCB">
          <w:pPr>
            <w:pStyle w:val="Default"/>
            <w:numPr>
              <w:ilvl w:val="0"/>
              <w:numId w:val="3"/>
            </w:numPr>
            <w:spacing w:after="5"/>
            <w:ind w:left="1080" w:hanging="360"/>
            <w:rPr>
              <w:sz w:val="16"/>
              <w:szCs w:val="16"/>
            </w:rPr>
          </w:pPr>
          <w:r w:rsidRPr="00EB16F6">
            <w:rPr>
              <w:sz w:val="16"/>
              <w:szCs w:val="16"/>
            </w:rPr>
            <w:t xml:space="preserve">any material protected by a trademark </w:t>
          </w:r>
        </w:p>
        <w:p w14:paraId="7DAB109E" w14:textId="77777777" w:rsidR="00607DC2" w:rsidRPr="00EB16F6" w:rsidRDefault="00607DC2" w:rsidP="00B51BCB">
          <w:pPr>
            <w:pStyle w:val="Default"/>
            <w:numPr>
              <w:ilvl w:val="0"/>
              <w:numId w:val="3"/>
            </w:numPr>
            <w:ind w:left="1080" w:hanging="360"/>
            <w:rPr>
              <w:sz w:val="16"/>
              <w:szCs w:val="16"/>
            </w:rPr>
          </w:pPr>
          <w:r w:rsidRPr="00EB16F6">
            <w:rPr>
              <w:sz w:val="16"/>
              <w:szCs w:val="16"/>
            </w:rPr>
            <w:t>any images and photographs.</w:t>
          </w:r>
        </w:p>
        <w:p w14:paraId="26A982D9" w14:textId="77777777" w:rsidR="00607DC2" w:rsidRPr="00595005" w:rsidRDefault="00607DC2" w:rsidP="00607DC2">
          <w:pPr>
            <w:rPr>
              <w:rFonts w:cs="Verdana"/>
              <w:color w:val="000000"/>
              <w:sz w:val="16"/>
              <w:szCs w:val="16"/>
            </w:rPr>
          </w:pPr>
          <w:bookmarkStart w:id="20" w:name="_Toc89671613"/>
          <w:bookmarkStart w:id="21" w:name="_Toc95830543"/>
          <w:r w:rsidRPr="00595005">
            <w:rPr>
              <w:rFonts w:cs="Verdana"/>
              <w:color w:val="000000"/>
              <w:sz w:val="16"/>
              <w:szCs w:val="16"/>
            </w:rPr>
            <w:t>More information on this CC BY licence is set out at the creative commons website: https://creativecommons.org/licenses/by/4.0/legalcode.</w:t>
          </w:r>
          <w:bookmarkEnd w:id="20"/>
          <w:bookmarkEnd w:id="21"/>
        </w:p>
        <w:p w14:paraId="500D85A3" w14:textId="77777777" w:rsidR="00607DC2" w:rsidRPr="00EB16F6" w:rsidRDefault="00607DC2" w:rsidP="00607DC2">
          <w:pPr>
            <w:pStyle w:val="Default"/>
            <w:rPr>
              <w:b/>
              <w:bCs/>
              <w:sz w:val="16"/>
              <w:szCs w:val="16"/>
            </w:rPr>
          </w:pPr>
          <w:r w:rsidRPr="00EB16F6">
            <w:rPr>
              <w:b/>
              <w:bCs/>
              <w:sz w:val="16"/>
              <w:szCs w:val="16"/>
            </w:rPr>
            <w:t>Attribution</w:t>
          </w:r>
        </w:p>
        <w:p w14:paraId="31CCB102" w14:textId="77777777" w:rsidR="00607DC2" w:rsidRPr="00EB16F6" w:rsidRDefault="00607DC2" w:rsidP="00607DC2">
          <w:pPr>
            <w:pStyle w:val="Default"/>
            <w:rPr>
              <w:rFonts w:asciiTheme="minorHAnsi" w:hAnsiTheme="minorHAnsi" w:cs="AU Sans BETA Text Light"/>
              <w:sz w:val="16"/>
              <w:szCs w:val="16"/>
            </w:rPr>
          </w:pPr>
          <w:r w:rsidRPr="00EB16F6">
            <w:rPr>
              <w:sz w:val="16"/>
              <w:szCs w:val="16"/>
            </w:rPr>
            <w:t>Before reusing any part of this document, including reproduction, public display, public performance, distribution, dissemination, communication, or importation, you must comply with the Attribution requirements under the CC BY licence. Enquiries about this licence and any use of this document can be sent to</w:t>
          </w:r>
          <w:r w:rsidRPr="00EB16F6">
            <w:rPr>
              <w:rFonts w:asciiTheme="minorHAnsi" w:hAnsiTheme="minorHAnsi"/>
              <w:sz w:val="16"/>
              <w:szCs w:val="16"/>
            </w:rPr>
            <w:t>:</w:t>
          </w:r>
          <w:r w:rsidRPr="00EB16F6">
            <w:rPr>
              <w:rFonts w:asciiTheme="minorHAnsi" w:hAnsiTheme="minorHAnsi" w:cs="AU Sans BETA Text Light"/>
              <w:sz w:val="16"/>
              <w:szCs w:val="16"/>
            </w:rPr>
            <w:t xml:space="preserve"> </w:t>
          </w:r>
          <w:hyperlink r:id="rId17" w:history="1">
            <w:r w:rsidRPr="00EB16F6">
              <w:rPr>
                <w:rStyle w:val="Hyperlink"/>
                <w:rFonts w:asciiTheme="minorHAnsi" w:hAnsiTheme="minorHAnsi" w:cs="AU Sans BETA Text Light"/>
                <w:sz w:val="16"/>
                <w:szCs w:val="16"/>
              </w:rPr>
              <w:t>advisory@austrade.gov.au</w:t>
            </w:r>
          </w:hyperlink>
          <w:r w:rsidRPr="00EB16F6">
            <w:rPr>
              <w:rFonts w:asciiTheme="minorHAnsi" w:hAnsiTheme="minorHAnsi" w:cs="AU Sans BETA Text Light"/>
              <w:sz w:val="16"/>
              <w:szCs w:val="16"/>
            </w:rPr>
            <w:t>.</w:t>
          </w:r>
        </w:p>
        <w:p w14:paraId="14AF57B2" w14:textId="77777777" w:rsidR="00607DC2" w:rsidRPr="00EB16F6" w:rsidRDefault="00607DC2" w:rsidP="00607DC2">
          <w:pPr>
            <w:pStyle w:val="Default"/>
            <w:rPr>
              <w:rFonts w:asciiTheme="minorHAnsi" w:hAnsiTheme="minorHAnsi"/>
              <w:b/>
              <w:bCs/>
              <w:sz w:val="16"/>
              <w:szCs w:val="16"/>
            </w:rPr>
          </w:pPr>
        </w:p>
        <w:p w14:paraId="25C40375" w14:textId="2B1B53F6" w:rsidR="00607DC2" w:rsidRPr="00EB16F6" w:rsidRDefault="00607DC2" w:rsidP="00607DC2">
          <w:pPr>
            <w:pStyle w:val="Default"/>
            <w:rPr>
              <w:sz w:val="16"/>
              <w:szCs w:val="16"/>
            </w:rPr>
          </w:pPr>
          <w:r w:rsidRPr="00EB16F6">
            <w:rPr>
              <w:b/>
              <w:bCs/>
              <w:sz w:val="16"/>
              <w:szCs w:val="16"/>
            </w:rPr>
            <w:t xml:space="preserve">Use of the Coat of Arms </w:t>
          </w:r>
          <w:r w:rsidRPr="00EB16F6">
            <w:rPr>
              <w:sz w:val="16"/>
              <w:szCs w:val="16"/>
            </w:rPr>
            <w:t xml:space="preserve">The terms under which the Coat of Arms can be used are detailed on the </w:t>
          </w:r>
          <w:hyperlink r:id="rId18" w:history="1">
            <w:r w:rsidRPr="00AD42DC">
              <w:rPr>
                <w:rStyle w:val="Hyperlink"/>
                <w:sz w:val="16"/>
                <w:szCs w:val="16"/>
              </w:rPr>
              <w:t>Department of the Prime Minister and Cabinet</w:t>
            </w:r>
          </w:hyperlink>
          <w:r w:rsidRPr="00EB16F6">
            <w:rPr>
              <w:sz w:val="16"/>
              <w:szCs w:val="16"/>
            </w:rPr>
            <w:t xml:space="preserve"> website. </w:t>
          </w:r>
        </w:p>
        <w:p w14:paraId="6BC57764" w14:textId="5E602C70" w:rsidR="00607DC2" w:rsidRDefault="00607DC2" w:rsidP="00607DC2">
          <w:pPr>
            <w:pStyle w:val="Default"/>
            <w:rPr>
              <w:sz w:val="20"/>
              <w:szCs w:val="20"/>
            </w:rPr>
          </w:pPr>
        </w:p>
        <w:p w14:paraId="11823A02" w14:textId="77777777" w:rsidR="00607DC2" w:rsidRPr="00EB16F6" w:rsidRDefault="00607DC2" w:rsidP="00607DC2">
          <w:pPr>
            <w:pStyle w:val="Pa2"/>
            <w:spacing w:after="40"/>
            <w:rPr>
              <w:rFonts w:ascii="Verdana" w:hAnsi="Verdana" w:cs="Verdana"/>
              <w:b/>
              <w:bCs/>
              <w:color w:val="000000"/>
              <w:sz w:val="16"/>
              <w:szCs w:val="16"/>
            </w:rPr>
          </w:pPr>
          <w:r w:rsidRPr="00EB16F6">
            <w:rPr>
              <w:rFonts w:ascii="Verdana" w:hAnsi="Verdana" w:cs="Verdana"/>
              <w:b/>
              <w:bCs/>
              <w:color w:val="000000"/>
              <w:sz w:val="16"/>
              <w:szCs w:val="16"/>
            </w:rPr>
            <w:t>Disclaimer</w:t>
          </w:r>
        </w:p>
        <w:p w14:paraId="4BF809CF" w14:textId="77777777" w:rsidR="00607DC2" w:rsidRPr="00EB16F6" w:rsidRDefault="00607DC2" w:rsidP="00607DC2">
          <w:pPr>
            <w:pStyle w:val="Pa2"/>
            <w:spacing w:after="40"/>
            <w:rPr>
              <w:rFonts w:ascii="Verdana" w:hAnsi="Verdana" w:cs="Verdana"/>
              <w:color w:val="000000"/>
              <w:sz w:val="16"/>
              <w:szCs w:val="16"/>
            </w:rPr>
          </w:pPr>
          <w:r w:rsidRPr="00EB16F6">
            <w:rPr>
              <w:rFonts w:ascii="Verdana" w:hAnsi="Verdana" w:cs="Verdana"/>
              <w:color w:val="000000"/>
              <w:sz w:val="16"/>
              <w:szCs w:val="16"/>
            </w:rPr>
            <w:t>This report has been prepared by the Commonwealth of Australia represented by the Australian Trade and Investment Commission (Austrade). The report is a general overview and is not intended to provide exhaustive coverage of the topic. The information is made available on the understanding that the Commonwealth of Australia is not providing professional advice.</w:t>
          </w:r>
        </w:p>
        <w:p w14:paraId="059D350D" w14:textId="77777777" w:rsidR="00607DC2" w:rsidRPr="00EB16F6" w:rsidRDefault="00607DC2" w:rsidP="00607DC2">
          <w:pPr>
            <w:pStyle w:val="Pa2"/>
            <w:spacing w:after="40"/>
            <w:rPr>
              <w:rFonts w:ascii="Verdana" w:hAnsi="Verdana" w:cs="Verdana"/>
              <w:color w:val="000000"/>
              <w:sz w:val="16"/>
              <w:szCs w:val="16"/>
            </w:rPr>
          </w:pPr>
          <w:r w:rsidRPr="00EB16F6">
            <w:rPr>
              <w:rFonts w:ascii="Verdana" w:hAnsi="Verdana" w:cs="Verdana"/>
              <w:color w:val="000000"/>
              <w:sz w:val="16"/>
              <w:szCs w:val="16"/>
            </w:rPr>
            <w:t>While care has been taken to ensure the information in this report is accurate, the Commonwealth does not accept any liability for any loss arising from reliance on the information, or from any error or omission, in the report.</w:t>
          </w:r>
        </w:p>
        <w:p w14:paraId="7B08E7F2" w14:textId="77777777" w:rsidR="00607DC2" w:rsidRPr="00EB16F6" w:rsidRDefault="00607DC2" w:rsidP="00607DC2">
          <w:pPr>
            <w:pStyle w:val="Default"/>
            <w:rPr>
              <w:bCs/>
              <w:sz w:val="16"/>
              <w:szCs w:val="16"/>
            </w:rPr>
          </w:pPr>
          <w:r w:rsidRPr="00EB16F6">
            <w:rPr>
              <w:bCs/>
              <w:sz w:val="16"/>
              <w:szCs w:val="16"/>
            </w:rPr>
            <w:t>Any person relying on this information does so at their own risk. The Commonwealth recommends the person exercise their own skill and care, including obtaining professional advice, in relation to their use of the information for their purposes. The Commonwealth does not endorse any company or activity referred to in the report, and does not accept responsibility for any losses suffered in connection with any company or its activities.</w:t>
          </w:r>
        </w:p>
        <w:p w14:paraId="0BFCBA30" w14:textId="7094D8A2" w:rsidR="005B4842" w:rsidRDefault="00607DC2" w:rsidP="005B4842">
          <w:pPr>
            <w:pStyle w:val="Heading2"/>
            <w:rPr>
              <w:b w:val="0"/>
              <w:bCs/>
              <w:color w:val="7A4282" w:themeColor="accent1"/>
              <w:sz w:val="36"/>
              <w:szCs w:val="32"/>
            </w:rPr>
          </w:pPr>
          <w:r>
            <w:rPr>
              <w:b w:val="0"/>
              <w:bCs/>
            </w:rPr>
            <w:br w:type="page"/>
          </w:r>
          <w:bookmarkStart w:id="22" w:name="_Toc106097664"/>
          <w:r w:rsidR="005B4842">
            <w:rPr>
              <w:b w:val="0"/>
              <w:bCs/>
              <w:color w:val="7A4282" w:themeColor="accent1"/>
              <w:sz w:val="36"/>
              <w:szCs w:val="32"/>
            </w:rPr>
            <w:lastRenderedPageBreak/>
            <w:t>Foreword</w:t>
          </w:r>
          <w:bookmarkEnd w:id="22"/>
        </w:p>
        <w:p w14:paraId="1947BA90" w14:textId="4196F9E5" w:rsidR="005B4842" w:rsidRDefault="005B4842" w:rsidP="005B4842">
          <w:pPr>
            <w:rPr>
              <w:lang w:eastAsia="zh-CN"/>
            </w:rPr>
          </w:pPr>
        </w:p>
        <w:p w14:paraId="57FDABB8" w14:textId="0B02FEE3" w:rsidR="005B4842" w:rsidRDefault="005B4842" w:rsidP="005B4842">
          <w:pPr>
            <w:rPr>
              <w:lang w:eastAsia="zh-CN"/>
            </w:rPr>
          </w:pPr>
          <w:r>
            <w:rPr>
              <w:lang w:eastAsia="zh-CN"/>
            </w:rPr>
            <w:t xml:space="preserve">The State of the Industry 2021 report is a record of the personal and commercial disruption caused by </w:t>
          </w:r>
          <w:r w:rsidR="002A550E">
            <w:rPr>
              <w:lang w:eastAsia="zh-CN"/>
            </w:rPr>
            <w:t>COVID</w:t>
          </w:r>
          <w:r>
            <w:rPr>
              <w:lang w:eastAsia="zh-CN"/>
            </w:rPr>
            <w:t xml:space="preserve">-19. However, </w:t>
          </w:r>
          <w:r w:rsidR="000F2E56">
            <w:rPr>
              <w:lang w:eastAsia="zh-CN"/>
            </w:rPr>
            <w:t xml:space="preserve">this report </w:t>
          </w:r>
          <w:r>
            <w:rPr>
              <w:lang w:eastAsia="zh-CN"/>
            </w:rPr>
            <w:t xml:space="preserve">also demonstrates the resilience and persistence of the industry, </w:t>
          </w:r>
          <w:r w:rsidR="001C67B6">
            <w:rPr>
              <w:lang w:eastAsia="zh-CN"/>
            </w:rPr>
            <w:t xml:space="preserve">the </w:t>
          </w:r>
          <w:r>
            <w:rPr>
              <w:lang w:eastAsia="zh-CN"/>
            </w:rPr>
            <w:t xml:space="preserve">support offered by government programs, the rapid </w:t>
          </w:r>
          <w:r w:rsidR="001C67B6">
            <w:rPr>
              <w:lang w:eastAsia="zh-CN"/>
            </w:rPr>
            <w:t xml:space="preserve">return </w:t>
          </w:r>
          <w:r w:rsidR="005B16D0">
            <w:rPr>
              <w:lang w:eastAsia="zh-CN"/>
            </w:rPr>
            <w:t xml:space="preserve">of </w:t>
          </w:r>
          <w:r>
            <w:rPr>
              <w:lang w:eastAsia="zh-CN"/>
            </w:rPr>
            <w:t>domestic visitor</w:t>
          </w:r>
          <w:r w:rsidR="005B16D0">
            <w:rPr>
              <w:lang w:eastAsia="zh-CN"/>
            </w:rPr>
            <w:t>s</w:t>
          </w:r>
          <w:r>
            <w:rPr>
              <w:lang w:eastAsia="zh-CN"/>
            </w:rPr>
            <w:t xml:space="preserve"> </w:t>
          </w:r>
          <w:r w:rsidR="006B3B7E">
            <w:rPr>
              <w:lang w:eastAsia="zh-CN"/>
            </w:rPr>
            <w:t xml:space="preserve">following </w:t>
          </w:r>
          <w:r w:rsidR="005B16D0">
            <w:rPr>
              <w:lang w:eastAsia="zh-CN"/>
            </w:rPr>
            <w:t>lockdowns</w:t>
          </w:r>
          <w:r w:rsidR="003C5DCC">
            <w:rPr>
              <w:lang w:eastAsia="zh-CN"/>
            </w:rPr>
            <w:t>,</w:t>
          </w:r>
          <w:r w:rsidR="005B16D0">
            <w:rPr>
              <w:lang w:eastAsia="zh-CN"/>
            </w:rPr>
            <w:t xml:space="preserve"> </w:t>
          </w:r>
          <w:r>
            <w:rPr>
              <w:lang w:eastAsia="zh-CN"/>
            </w:rPr>
            <w:t xml:space="preserve">and </w:t>
          </w:r>
          <w:r w:rsidR="006B3B7E">
            <w:rPr>
              <w:lang w:eastAsia="zh-CN"/>
            </w:rPr>
            <w:t xml:space="preserve">the </w:t>
          </w:r>
          <w:r>
            <w:rPr>
              <w:lang w:eastAsia="zh-CN"/>
            </w:rPr>
            <w:t xml:space="preserve">positive international border announcements towards the end of the year, all of which point to a brighter future for the industry. </w:t>
          </w:r>
        </w:p>
        <w:p w14:paraId="31F4EA9C" w14:textId="2A807068" w:rsidR="005B4842" w:rsidRDefault="005B4842" w:rsidP="005B4842">
          <w:pPr>
            <w:rPr>
              <w:lang w:eastAsia="zh-CN"/>
            </w:rPr>
          </w:pPr>
          <w:r>
            <w:rPr>
              <w:lang w:eastAsia="zh-CN"/>
            </w:rPr>
            <w:t xml:space="preserve">This report is markedly different from previous versions. It contains similar statistics and data insights as </w:t>
          </w:r>
          <w:r w:rsidR="00E37F7E">
            <w:rPr>
              <w:lang w:eastAsia="zh-CN"/>
            </w:rPr>
            <w:t>reports</w:t>
          </w:r>
          <w:r w:rsidR="00BD3BFA">
            <w:rPr>
              <w:lang w:eastAsia="zh-CN"/>
            </w:rPr>
            <w:t xml:space="preserve"> of </w:t>
          </w:r>
          <w:r>
            <w:rPr>
              <w:lang w:eastAsia="zh-CN"/>
            </w:rPr>
            <w:t>past years, but the format and approach have changed. These changes echo the state of the visitor economy. The composition of the industry has changed, the size of the industry has changed, and the prospects and aspirations of the in</w:t>
          </w:r>
          <w:r w:rsidR="008901F4">
            <w:rPr>
              <w:lang w:eastAsia="zh-CN"/>
            </w:rPr>
            <w:t xml:space="preserve">dustry were, at their lowest point, distinctly </w:t>
          </w:r>
          <w:r w:rsidR="00C25BC9">
            <w:rPr>
              <w:lang w:eastAsia="zh-CN"/>
            </w:rPr>
            <w:t xml:space="preserve">different </w:t>
          </w:r>
          <w:r w:rsidR="008901F4">
            <w:rPr>
              <w:lang w:eastAsia="zh-CN"/>
            </w:rPr>
            <w:t xml:space="preserve">from </w:t>
          </w:r>
          <w:r w:rsidR="00C25BC9">
            <w:rPr>
              <w:lang w:eastAsia="zh-CN"/>
            </w:rPr>
            <w:t xml:space="preserve">those of </w:t>
          </w:r>
          <w:r w:rsidR="008901F4">
            <w:rPr>
              <w:lang w:eastAsia="zh-CN"/>
            </w:rPr>
            <w:t xml:space="preserve">just a couple of years ago. </w:t>
          </w:r>
        </w:p>
        <w:p w14:paraId="61E64EB4" w14:textId="1C65095E" w:rsidR="008901F4" w:rsidRDefault="008901F4" w:rsidP="005B4842">
          <w:pPr>
            <w:rPr>
              <w:lang w:eastAsia="zh-CN"/>
            </w:rPr>
          </w:pPr>
          <w:r>
            <w:rPr>
              <w:lang w:eastAsia="zh-CN"/>
            </w:rPr>
            <w:t xml:space="preserve">Most of the industry change in 2021 was negative. International tourism was down </w:t>
          </w:r>
          <w:r w:rsidR="002160D4">
            <w:rPr>
              <w:lang w:eastAsia="zh-CN"/>
            </w:rPr>
            <w:t xml:space="preserve">by </w:t>
          </w:r>
          <w:r>
            <w:rPr>
              <w:lang w:eastAsia="zh-CN"/>
            </w:rPr>
            <w:t xml:space="preserve">over 95% compared with more normal years, the economic impact of tourism was down </w:t>
          </w:r>
          <w:r w:rsidR="00F226FB">
            <w:rPr>
              <w:lang w:eastAsia="zh-CN"/>
            </w:rPr>
            <w:t xml:space="preserve">by </w:t>
          </w:r>
          <w:r>
            <w:rPr>
              <w:lang w:eastAsia="zh-CN"/>
            </w:rPr>
            <w:t xml:space="preserve">around 50% and jobs were down </w:t>
          </w:r>
          <w:r w:rsidR="00F226FB">
            <w:rPr>
              <w:lang w:eastAsia="zh-CN"/>
            </w:rPr>
            <w:t xml:space="preserve">by </w:t>
          </w:r>
          <w:r>
            <w:rPr>
              <w:lang w:eastAsia="zh-CN"/>
            </w:rPr>
            <w:t xml:space="preserve">around 25%. These represent real impacts on real people. </w:t>
          </w:r>
        </w:p>
        <w:p w14:paraId="5C8469FE" w14:textId="469FF774" w:rsidR="008901F4" w:rsidRDefault="008901F4" w:rsidP="005B4842">
          <w:pPr>
            <w:rPr>
              <w:lang w:eastAsia="zh-CN"/>
            </w:rPr>
          </w:pPr>
          <w:r>
            <w:rPr>
              <w:lang w:eastAsia="zh-CN"/>
            </w:rPr>
            <w:t>The light on the horizon was the way Australians rediscovered domestic travel and, in particular, travel to regional areas. By the end of 2021, regional travel accounted for 6</w:t>
          </w:r>
          <w:r w:rsidR="00B60A2A">
            <w:rPr>
              <w:lang w:eastAsia="zh-CN"/>
            </w:rPr>
            <w:t>3</w:t>
          </w:r>
          <w:r>
            <w:rPr>
              <w:lang w:eastAsia="zh-CN"/>
            </w:rPr>
            <w:t>% of tourism expenditure, up from 44% in 2019.</w:t>
          </w:r>
        </w:p>
        <w:p w14:paraId="66FADE24" w14:textId="1250CECF" w:rsidR="008901F4" w:rsidRPr="005B4842" w:rsidRDefault="008901F4" w:rsidP="005B4842">
          <w:pPr>
            <w:rPr>
              <w:lang w:eastAsia="zh-CN"/>
            </w:rPr>
          </w:pPr>
          <w:r>
            <w:rPr>
              <w:lang w:eastAsia="zh-CN"/>
            </w:rPr>
            <w:t xml:space="preserve">Many tourism businesses had to rapidly pivot from servicing international to domestic visitors, while other businesses hibernated and some closed. </w:t>
          </w:r>
          <w:r w:rsidR="00FF4525" w:rsidRPr="00FF4525">
            <w:rPr>
              <w:lang w:eastAsia="zh-CN"/>
            </w:rPr>
            <w:t>Many employees left the industry for other sectors.</w:t>
          </w:r>
          <w:r w:rsidR="00FF4525">
            <w:rPr>
              <w:lang w:eastAsia="zh-CN"/>
            </w:rPr>
            <w:t xml:space="preserve"> </w:t>
          </w:r>
          <w:r>
            <w:rPr>
              <w:lang w:eastAsia="zh-CN"/>
            </w:rPr>
            <w:t xml:space="preserve">Government programs also had to rapidly adapt to the pandemic realities. This report highlights a number of these industry and government </w:t>
          </w:r>
          <w:r w:rsidR="007A0A48">
            <w:rPr>
              <w:lang w:eastAsia="zh-CN"/>
            </w:rPr>
            <w:t>respo</w:t>
          </w:r>
          <w:r>
            <w:rPr>
              <w:lang w:eastAsia="zh-CN"/>
            </w:rPr>
            <w:t>ns</w:t>
          </w:r>
          <w:r w:rsidR="007A0A48">
            <w:rPr>
              <w:lang w:eastAsia="zh-CN"/>
            </w:rPr>
            <w:t>es</w:t>
          </w:r>
          <w:r>
            <w:rPr>
              <w:lang w:eastAsia="zh-CN"/>
            </w:rPr>
            <w:t>.</w:t>
          </w:r>
        </w:p>
        <w:p w14:paraId="602A31FE" w14:textId="77777777" w:rsidR="005B4842" w:rsidRDefault="005B4842">
          <w:pPr>
            <w:spacing w:before="0" w:after="160" w:line="259" w:lineRule="auto"/>
            <w:rPr>
              <w:b/>
              <w:bCs/>
            </w:rPr>
          </w:pPr>
        </w:p>
        <w:p w14:paraId="14408DE7" w14:textId="77777777" w:rsidR="00FF4525" w:rsidRDefault="00FF4525">
          <w:pPr>
            <w:spacing w:before="0" w:after="160" w:line="259" w:lineRule="auto"/>
            <w:rPr>
              <w:b/>
              <w:bCs/>
            </w:rPr>
          </w:pPr>
        </w:p>
        <w:p w14:paraId="1FB71FE9" w14:textId="48AF9DAB" w:rsidR="005B4842" w:rsidRDefault="00FF4525">
          <w:pPr>
            <w:spacing w:before="0" w:after="160" w:line="259" w:lineRule="auto"/>
            <w:rPr>
              <w:b/>
              <w:bCs/>
            </w:rPr>
          </w:pPr>
          <w:r>
            <w:rPr>
              <w:b/>
              <w:bCs/>
            </w:rPr>
            <w:t>Samantha Palmer</w:t>
          </w:r>
        </w:p>
        <w:p w14:paraId="280B0876" w14:textId="6CC47B00" w:rsidR="00FF4525" w:rsidRPr="00FF4525" w:rsidRDefault="00FF4525">
          <w:pPr>
            <w:spacing w:before="0" w:after="160" w:line="259" w:lineRule="auto"/>
          </w:pPr>
          <w:r w:rsidRPr="00FF4525">
            <w:t>GM, Visitor Economy and Client Programs</w:t>
          </w:r>
        </w:p>
        <w:p w14:paraId="1F02E4A6" w14:textId="0D7839E7" w:rsidR="00A722B0" w:rsidRDefault="00A722B0">
          <w:pPr>
            <w:spacing w:before="0" w:after="160" w:line="259" w:lineRule="auto"/>
            <w:rPr>
              <w:b/>
              <w:bCs/>
            </w:rPr>
          </w:pPr>
          <w:r>
            <w:rPr>
              <w:b/>
              <w:bCs/>
            </w:rPr>
            <w:br w:type="page"/>
          </w:r>
        </w:p>
        <w:p w14:paraId="5851F862" w14:textId="77777777" w:rsidR="00607DC2" w:rsidRDefault="00607DC2" w:rsidP="00607DC2">
          <w:pPr>
            <w:spacing w:before="0" w:after="160" w:line="259" w:lineRule="auto"/>
            <w:rPr>
              <w:b/>
              <w:bCs/>
            </w:rPr>
          </w:pPr>
        </w:p>
        <w:sdt>
          <w:sdtPr>
            <w:rPr>
              <w:rFonts w:ascii="Verdana" w:eastAsiaTheme="minorHAnsi" w:hAnsi="Verdana" w:cstheme="minorBidi"/>
              <w:color w:val="000000" w:themeColor="text1"/>
              <w:sz w:val="20"/>
              <w:szCs w:val="20"/>
              <w:lang w:val="en-AU"/>
            </w:rPr>
            <w:id w:val="1862631079"/>
            <w:docPartObj>
              <w:docPartGallery w:val="Table of Contents"/>
              <w:docPartUnique/>
            </w:docPartObj>
          </w:sdtPr>
          <w:sdtEndPr>
            <w:rPr>
              <w:b/>
              <w:bCs/>
              <w:noProof/>
            </w:rPr>
          </w:sdtEndPr>
          <w:sdtContent>
            <w:p w14:paraId="0D7E5398" w14:textId="77777777" w:rsidR="001C60D8" w:rsidRPr="000C6036" w:rsidRDefault="001C60D8" w:rsidP="001C60D8">
              <w:pPr>
                <w:pStyle w:val="TOCHeading"/>
                <w:rPr>
                  <w:sz w:val="36"/>
                  <w:szCs w:val="36"/>
                </w:rPr>
              </w:pPr>
              <w:r w:rsidRPr="000C6036">
                <w:rPr>
                  <w:sz w:val="36"/>
                  <w:szCs w:val="36"/>
                </w:rPr>
                <w:t>Contents</w:t>
              </w:r>
            </w:p>
            <w:p w14:paraId="691C7C43" w14:textId="77777777" w:rsidR="000C6036" w:rsidRDefault="001C60D8" w:rsidP="00007111">
              <w:pPr>
                <w:pStyle w:val="TOC1"/>
                <w:tabs>
                  <w:tab w:val="right" w:leader="dot" w:pos="9958"/>
                </w:tabs>
                <w:rPr>
                  <w:noProof/>
                </w:rPr>
              </w:pPr>
              <w:r>
                <w:t xml:space="preserve">  </w:t>
              </w:r>
              <w:r w:rsidR="00090629">
                <w:t xml:space="preserve"> </w:t>
              </w:r>
              <w:r>
                <w:fldChar w:fldCharType="begin"/>
              </w:r>
              <w:r>
                <w:instrText xml:space="preserve"> TOC \o "1-3" \h \z \u </w:instrText>
              </w:r>
              <w:r>
                <w:fldChar w:fldCharType="separate"/>
              </w:r>
            </w:p>
            <w:p w14:paraId="45462297" w14:textId="1E62FFC8"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63" w:history="1">
                <w:r w:rsidR="000C6036" w:rsidRPr="003E6721">
                  <w:rPr>
                    <w:rStyle w:val="Hyperlink"/>
                    <w:bCs/>
                    <w:noProof/>
                  </w:rPr>
                  <w:t>Acknowledgement of Country</w:t>
                </w:r>
                <w:r w:rsidR="000C6036">
                  <w:rPr>
                    <w:noProof/>
                    <w:webHidden/>
                  </w:rPr>
                  <w:tab/>
                </w:r>
                <w:r w:rsidR="000C6036">
                  <w:rPr>
                    <w:noProof/>
                    <w:webHidden/>
                  </w:rPr>
                  <w:fldChar w:fldCharType="begin"/>
                </w:r>
                <w:r w:rsidR="000C6036">
                  <w:rPr>
                    <w:noProof/>
                    <w:webHidden/>
                  </w:rPr>
                  <w:instrText xml:space="preserve"> PAGEREF _Toc106097663 \h </w:instrText>
                </w:r>
                <w:r w:rsidR="000C6036">
                  <w:rPr>
                    <w:noProof/>
                    <w:webHidden/>
                  </w:rPr>
                </w:r>
                <w:r w:rsidR="000C6036">
                  <w:rPr>
                    <w:noProof/>
                    <w:webHidden/>
                  </w:rPr>
                  <w:fldChar w:fldCharType="separate"/>
                </w:r>
                <w:r w:rsidR="000C6036">
                  <w:rPr>
                    <w:noProof/>
                    <w:webHidden/>
                  </w:rPr>
                  <w:t>1</w:t>
                </w:r>
                <w:r w:rsidR="000C6036">
                  <w:rPr>
                    <w:noProof/>
                    <w:webHidden/>
                  </w:rPr>
                  <w:fldChar w:fldCharType="end"/>
                </w:r>
              </w:hyperlink>
            </w:p>
            <w:p w14:paraId="2EA9DAFD" w14:textId="1D1E38CE"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64" w:history="1">
                <w:r w:rsidR="000C6036" w:rsidRPr="003E6721">
                  <w:rPr>
                    <w:rStyle w:val="Hyperlink"/>
                    <w:bCs/>
                    <w:noProof/>
                  </w:rPr>
                  <w:t>Foreword</w:t>
                </w:r>
                <w:r w:rsidR="000C6036">
                  <w:rPr>
                    <w:noProof/>
                    <w:webHidden/>
                  </w:rPr>
                  <w:tab/>
                </w:r>
                <w:r w:rsidR="000C6036">
                  <w:rPr>
                    <w:noProof/>
                    <w:webHidden/>
                  </w:rPr>
                  <w:fldChar w:fldCharType="begin"/>
                </w:r>
                <w:r w:rsidR="000C6036">
                  <w:rPr>
                    <w:noProof/>
                    <w:webHidden/>
                  </w:rPr>
                  <w:instrText xml:space="preserve"> PAGEREF _Toc106097664 \h </w:instrText>
                </w:r>
                <w:r w:rsidR="000C6036">
                  <w:rPr>
                    <w:noProof/>
                    <w:webHidden/>
                  </w:rPr>
                </w:r>
                <w:r w:rsidR="000C6036">
                  <w:rPr>
                    <w:noProof/>
                    <w:webHidden/>
                  </w:rPr>
                  <w:fldChar w:fldCharType="separate"/>
                </w:r>
                <w:r w:rsidR="000C6036">
                  <w:rPr>
                    <w:noProof/>
                    <w:webHidden/>
                  </w:rPr>
                  <w:t>2</w:t>
                </w:r>
                <w:r w:rsidR="000C6036">
                  <w:rPr>
                    <w:noProof/>
                    <w:webHidden/>
                  </w:rPr>
                  <w:fldChar w:fldCharType="end"/>
                </w:r>
              </w:hyperlink>
            </w:p>
            <w:p w14:paraId="4542F779" w14:textId="17C2EEE7"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65" w:history="1">
                <w:r w:rsidR="000C6036" w:rsidRPr="003E6721">
                  <w:rPr>
                    <w:rStyle w:val="Hyperlink"/>
                    <w:bCs/>
                    <w:noProof/>
                  </w:rPr>
                  <w:t>Overview</w:t>
                </w:r>
                <w:r w:rsidR="000C6036">
                  <w:rPr>
                    <w:noProof/>
                    <w:webHidden/>
                  </w:rPr>
                  <w:tab/>
                </w:r>
                <w:r w:rsidR="000C6036">
                  <w:rPr>
                    <w:noProof/>
                    <w:webHidden/>
                  </w:rPr>
                  <w:fldChar w:fldCharType="begin"/>
                </w:r>
                <w:r w:rsidR="000C6036">
                  <w:rPr>
                    <w:noProof/>
                    <w:webHidden/>
                  </w:rPr>
                  <w:instrText xml:space="preserve"> PAGEREF _Toc106097665 \h </w:instrText>
                </w:r>
                <w:r w:rsidR="000C6036">
                  <w:rPr>
                    <w:noProof/>
                    <w:webHidden/>
                  </w:rPr>
                </w:r>
                <w:r w:rsidR="000C6036">
                  <w:rPr>
                    <w:noProof/>
                    <w:webHidden/>
                  </w:rPr>
                  <w:fldChar w:fldCharType="separate"/>
                </w:r>
                <w:r w:rsidR="000C6036">
                  <w:rPr>
                    <w:noProof/>
                    <w:webHidden/>
                  </w:rPr>
                  <w:t>5</w:t>
                </w:r>
                <w:r w:rsidR="000C6036">
                  <w:rPr>
                    <w:noProof/>
                    <w:webHidden/>
                  </w:rPr>
                  <w:fldChar w:fldCharType="end"/>
                </w:r>
              </w:hyperlink>
            </w:p>
            <w:p w14:paraId="351CB573" w14:textId="5FCCF03F"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66" w:history="1">
                <w:r w:rsidR="000C6036" w:rsidRPr="003E6721">
                  <w:rPr>
                    <w:rStyle w:val="Hyperlink"/>
                    <w:noProof/>
                  </w:rPr>
                  <w:t>About this report</w:t>
                </w:r>
                <w:r w:rsidR="000C6036">
                  <w:rPr>
                    <w:noProof/>
                    <w:webHidden/>
                  </w:rPr>
                  <w:tab/>
                </w:r>
                <w:r w:rsidR="000C6036">
                  <w:rPr>
                    <w:noProof/>
                    <w:webHidden/>
                  </w:rPr>
                  <w:fldChar w:fldCharType="begin"/>
                </w:r>
                <w:r w:rsidR="000C6036">
                  <w:rPr>
                    <w:noProof/>
                    <w:webHidden/>
                  </w:rPr>
                  <w:instrText xml:space="preserve"> PAGEREF _Toc106097666 \h </w:instrText>
                </w:r>
                <w:r w:rsidR="000C6036">
                  <w:rPr>
                    <w:noProof/>
                    <w:webHidden/>
                  </w:rPr>
                </w:r>
                <w:r w:rsidR="000C6036">
                  <w:rPr>
                    <w:noProof/>
                    <w:webHidden/>
                  </w:rPr>
                  <w:fldChar w:fldCharType="separate"/>
                </w:r>
                <w:r w:rsidR="000C6036">
                  <w:rPr>
                    <w:noProof/>
                    <w:webHidden/>
                  </w:rPr>
                  <w:t>5</w:t>
                </w:r>
                <w:r w:rsidR="000C6036">
                  <w:rPr>
                    <w:noProof/>
                    <w:webHidden/>
                  </w:rPr>
                  <w:fldChar w:fldCharType="end"/>
                </w:r>
              </w:hyperlink>
            </w:p>
            <w:p w14:paraId="2969C41C" w14:textId="31E3F952"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67" w:history="1">
                <w:r w:rsidR="000C6036" w:rsidRPr="003E6721">
                  <w:rPr>
                    <w:rStyle w:val="Hyperlink"/>
                    <w:noProof/>
                  </w:rPr>
                  <w:t>Two difficult years</w:t>
                </w:r>
                <w:r w:rsidR="000C6036">
                  <w:rPr>
                    <w:noProof/>
                    <w:webHidden/>
                  </w:rPr>
                  <w:tab/>
                </w:r>
                <w:r w:rsidR="000C6036">
                  <w:rPr>
                    <w:noProof/>
                    <w:webHidden/>
                  </w:rPr>
                  <w:fldChar w:fldCharType="begin"/>
                </w:r>
                <w:r w:rsidR="000C6036">
                  <w:rPr>
                    <w:noProof/>
                    <w:webHidden/>
                  </w:rPr>
                  <w:instrText xml:space="preserve"> PAGEREF _Toc106097667 \h </w:instrText>
                </w:r>
                <w:r w:rsidR="000C6036">
                  <w:rPr>
                    <w:noProof/>
                    <w:webHidden/>
                  </w:rPr>
                </w:r>
                <w:r w:rsidR="000C6036">
                  <w:rPr>
                    <w:noProof/>
                    <w:webHidden/>
                  </w:rPr>
                  <w:fldChar w:fldCharType="separate"/>
                </w:r>
                <w:r w:rsidR="000C6036">
                  <w:rPr>
                    <w:noProof/>
                    <w:webHidden/>
                  </w:rPr>
                  <w:t>5</w:t>
                </w:r>
                <w:r w:rsidR="000C6036">
                  <w:rPr>
                    <w:noProof/>
                    <w:webHidden/>
                  </w:rPr>
                  <w:fldChar w:fldCharType="end"/>
                </w:r>
              </w:hyperlink>
            </w:p>
            <w:p w14:paraId="59953D03" w14:textId="6666B16B"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68" w:history="1">
                <w:r w:rsidR="000C6036" w:rsidRPr="003E6721">
                  <w:rPr>
                    <w:rStyle w:val="Hyperlink"/>
                    <w:noProof/>
                  </w:rPr>
                  <w:t>Emerging from the pandemic</w:t>
                </w:r>
                <w:r w:rsidR="000C6036">
                  <w:rPr>
                    <w:noProof/>
                    <w:webHidden/>
                  </w:rPr>
                  <w:tab/>
                </w:r>
                <w:r w:rsidR="000C6036">
                  <w:rPr>
                    <w:noProof/>
                    <w:webHidden/>
                  </w:rPr>
                  <w:fldChar w:fldCharType="begin"/>
                </w:r>
                <w:r w:rsidR="000C6036">
                  <w:rPr>
                    <w:noProof/>
                    <w:webHidden/>
                  </w:rPr>
                  <w:instrText xml:space="preserve"> PAGEREF _Toc106097668 \h </w:instrText>
                </w:r>
                <w:r w:rsidR="000C6036">
                  <w:rPr>
                    <w:noProof/>
                    <w:webHidden/>
                  </w:rPr>
                </w:r>
                <w:r w:rsidR="000C6036">
                  <w:rPr>
                    <w:noProof/>
                    <w:webHidden/>
                  </w:rPr>
                  <w:fldChar w:fldCharType="separate"/>
                </w:r>
                <w:r w:rsidR="000C6036">
                  <w:rPr>
                    <w:noProof/>
                    <w:webHidden/>
                  </w:rPr>
                  <w:t>7</w:t>
                </w:r>
                <w:r w:rsidR="000C6036">
                  <w:rPr>
                    <w:noProof/>
                    <w:webHidden/>
                  </w:rPr>
                  <w:fldChar w:fldCharType="end"/>
                </w:r>
              </w:hyperlink>
            </w:p>
            <w:p w14:paraId="4D5289EF" w14:textId="6DB7B55D"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69" w:history="1">
                <w:r w:rsidR="000C6036" w:rsidRPr="003E6721">
                  <w:rPr>
                    <w:rStyle w:val="Hyperlink"/>
                    <w:noProof/>
                  </w:rPr>
                  <w:t>Building back better</w:t>
                </w:r>
                <w:r w:rsidR="000C6036">
                  <w:rPr>
                    <w:noProof/>
                    <w:webHidden/>
                  </w:rPr>
                  <w:tab/>
                </w:r>
                <w:r w:rsidR="000C6036">
                  <w:rPr>
                    <w:noProof/>
                    <w:webHidden/>
                  </w:rPr>
                  <w:fldChar w:fldCharType="begin"/>
                </w:r>
                <w:r w:rsidR="000C6036">
                  <w:rPr>
                    <w:noProof/>
                    <w:webHidden/>
                  </w:rPr>
                  <w:instrText xml:space="preserve"> PAGEREF _Toc106097669 \h </w:instrText>
                </w:r>
                <w:r w:rsidR="000C6036">
                  <w:rPr>
                    <w:noProof/>
                    <w:webHidden/>
                  </w:rPr>
                </w:r>
                <w:r w:rsidR="000C6036">
                  <w:rPr>
                    <w:noProof/>
                    <w:webHidden/>
                  </w:rPr>
                  <w:fldChar w:fldCharType="separate"/>
                </w:r>
                <w:r w:rsidR="000C6036">
                  <w:rPr>
                    <w:noProof/>
                    <w:webHidden/>
                  </w:rPr>
                  <w:t>7</w:t>
                </w:r>
                <w:r w:rsidR="000C6036">
                  <w:rPr>
                    <w:noProof/>
                    <w:webHidden/>
                  </w:rPr>
                  <w:fldChar w:fldCharType="end"/>
                </w:r>
              </w:hyperlink>
            </w:p>
            <w:p w14:paraId="72827A9A" w14:textId="50A7241D"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0" w:history="1">
                <w:r w:rsidR="000C6036" w:rsidRPr="003E6721">
                  <w:rPr>
                    <w:rStyle w:val="Hyperlink"/>
                    <w:noProof/>
                  </w:rPr>
                  <w:t>THRIVE 2030</w:t>
                </w:r>
                <w:r w:rsidR="000C6036">
                  <w:rPr>
                    <w:noProof/>
                    <w:webHidden/>
                  </w:rPr>
                  <w:tab/>
                </w:r>
                <w:r w:rsidR="000C6036">
                  <w:rPr>
                    <w:noProof/>
                    <w:webHidden/>
                  </w:rPr>
                  <w:fldChar w:fldCharType="begin"/>
                </w:r>
                <w:r w:rsidR="000C6036">
                  <w:rPr>
                    <w:noProof/>
                    <w:webHidden/>
                  </w:rPr>
                  <w:instrText xml:space="preserve"> PAGEREF _Toc106097670 \h </w:instrText>
                </w:r>
                <w:r w:rsidR="000C6036">
                  <w:rPr>
                    <w:noProof/>
                    <w:webHidden/>
                  </w:rPr>
                </w:r>
                <w:r w:rsidR="000C6036">
                  <w:rPr>
                    <w:noProof/>
                    <w:webHidden/>
                  </w:rPr>
                  <w:fldChar w:fldCharType="separate"/>
                </w:r>
                <w:r w:rsidR="000C6036">
                  <w:rPr>
                    <w:noProof/>
                    <w:webHidden/>
                  </w:rPr>
                  <w:t>10</w:t>
                </w:r>
                <w:r w:rsidR="000C6036">
                  <w:rPr>
                    <w:noProof/>
                    <w:webHidden/>
                  </w:rPr>
                  <w:fldChar w:fldCharType="end"/>
                </w:r>
              </w:hyperlink>
            </w:p>
            <w:p w14:paraId="12A64B8D" w14:textId="06842B7A"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71" w:history="1">
                <w:r w:rsidR="000C6036" w:rsidRPr="003E6721">
                  <w:rPr>
                    <w:rStyle w:val="Hyperlink"/>
                    <w:bCs/>
                    <w:noProof/>
                  </w:rPr>
                  <w:t>Demand trends</w:t>
                </w:r>
                <w:r w:rsidR="000C6036">
                  <w:rPr>
                    <w:noProof/>
                    <w:webHidden/>
                  </w:rPr>
                  <w:tab/>
                </w:r>
                <w:r w:rsidR="000C6036">
                  <w:rPr>
                    <w:noProof/>
                    <w:webHidden/>
                  </w:rPr>
                  <w:fldChar w:fldCharType="begin"/>
                </w:r>
                <w:r w:rsidR="000C6036">
                  <w:rPr>
                    <w:noProof/>
                    <w:webHidden/>
                  </w:rPr>
                  <w:instrText xml:space="preserve"> PAGEREF _Toc106097671 \h </w:instrText>
                </w:r>
                <w:r w:rsidR="000C6036">
                  <w:rPr>
                    <w:noProof/>
                    <w:webHidden/>
                  </w:rPr>
                </w:r>
                <w:r w:rsidR="000C6036">
                  <w:rPr>
                    <w:noProof/>
                    <w:webHidden/>
                  </w:rPr>
                  <w:fldChar w:fldCharType="separate"/>
                </w:r>
                <w:r w:rsidR="000C6036">
                  <w:rPr>
                    <w:noProof/>
                    <w:webHidden/>
                  </w:rPr>
                  <w:t>13</w:t>
                </w:r>
                <w:r w:rsidR="000C6036">
                  <w:rPr>
                    <w:noProof/>
                    <w:webHidden/>
                  </w:rPr>
                  <w:fldChar w:fldCharType="end"/>
                </w:r>
              </w:hyperlink>
            </w:p>
            <w:p w14:paraId="10AD1F64" w14:textId="1EC079F7"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2" w:history="1">
                <w:r w:rsidR="000C6036" w:rsidRPr="003E6721">
                  <w:rPr>
                    <w:rStyle w:val="Hyperlink"/>
                    <w:noProof/>
                    <w:lang w:eastAsia="en-AU"/>
                  </w:rPr>
                  <w:t>International travel</w:t>
                </w:r>
                <w:r w:rsidR="000C6036">
                  <w:rPr>
                    <w:noProof/>
                    <w:webHidden/>
                  </w:rPr>
                  <w:tab/>
                </w:r>
                <w:r w:rsidR="000C6036">
                  <w:rPr>
                    <w:noProof/>
                    <w:webHidden/>
                  </w:rPr>
                  <w:fldChar w:fldCharType="begin"/>
                </w:r>
                <w:r w:rsidR="000C6036">
                  <w:rPr>
                    <w:noProof/>
                    <w:webHidden/>
                  </w:rPr>
                  <w:instrText xml:space="preserve"> PAGEREF _Toc106097672 \h </w:instrText>
                </w:r>
                <w:r w:rsidR="000C6036">
                  <w:rPr>
                    <w:noProof/>
                    <w:webHidden/>
                  </w:rPr>
                </w:r>
                <w:r w:rsidR="000C6036">
                  <w:rPr>
                    <w:noProof/>
                    <w:webHidden/>
                  </w:rPr>
                  <w:fldChar w:fldCharType="separate"/>
                </w:r>
                <w:r w:rsidR="000C6036">
                  <w:rPr>
                    <w:noProof/>
                    <w:webHidden/>
                  </w:rPr>
                  <w:t>13</w:t>
                </w:r>
                <w:r w:rsidR="000C6036">
                  <w:rPr>
                    <w:noProof/>
                    <w:webHidden/>
                  </w:rPr>
                  <w:fldChar w:fldCharType="end"/>
                </w:r>
              </w:hyperlink>
            </w:p>
            <w:p w14:paraId="5C99F786" w14:textId="06A2492D"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3" w:history="1">
                <w:r w:rsidR="000C6036" w:rsidRPr="003E6721">
                  <w:rPr>
                    <w:rStyle w:val="Hyperlink"/>
                    <w:noProof/>
                  </w:rPr>
                  <w:t>Domestic travel</w:t>
                </w:r>
                <w:r w:rsidR="000C6036">
                  <w:rPr>
                    <w:noProof/>
                    <w:webHidden/>
                  </w:rPr>
                  <w:tab/>
                </w:r>
                <w:r w:rsidR="000C6036">
                  <w:rPr>
                    <w:noProof/>
                    <w:webHidden/>
                  </w:rPr>
                  <w:fldChar w:fldCharType="begin"/>
                </w:r>
                <w:r w:rsidR="000C6036">
                  <w:rPr>
                    <w:noProof/>
                    <w:webHidden/>
                  </w:rPr>
                  <w:instrText xml:space="preserve"> PAGEREF _Toc106097673 \h </w:instrText>
                </w:r>
                <w:r w:rsidR="000C6036">
                  <w:rPr>
                    <w:noProof/>
                    <w:webHidden/>
                  </w:rPr>
                </w:r>
                <w:r w:rsidR="000C6036">
                  <w:rPr>
                    <w:noProof/>
                    <w:webHidden/>
                  </w:rPr>
                  <w:fldChar w:fldCharType="separate"/>
                </w:r>
                <w:r w:rsidR="000C6036">
                  <w:rPr>
                    <w:noProof/>
                    <w:webHidden/>
                  </w:rPr>
                  <w:t>17</w:t>
                </w:r>
                <w:r w:rsidR="000C6036">
                  <w:rPr>
                    <w:noProof/>
                    <w:webHidden/>
                  </w:rPr>
                  <w:fldChar w:fldCharType="end"/>
                </w:r>
              </w:hyperlink>
            </w:p>
            <w:p w14:paraId="19B9B25D" w14:textId="63D68060"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74" w:history="1">
                <w:r w:rsidR="000C6036" w:rsidRPr="003E6721">
                  <w:rPr>
                    <w:rStyle w:val="Hyperlink"/>
                    <w:bCs/>
                    <w:noProof/>
                  </w:rPr>
                  <w:t>Supply-side performance</w:t>
                </w:r>
                <w:r w:rsidR="000C6036">
                  <w:rPr>
                    <w:noProof/>
                    <w:webHidden/>
                  </w:rPr>
                  <w:tab/>
                </w:r>
                <w:r w:rsidR="000C6036">
                  <w:rPr>
                    <w:noProof/>
                    <w:webHidden/>
                  </w:rPr>
                  <w:fldChar w:fldCharType="begin"/>
                </w:r>
                <w:r w:rsidR="000C6036">
                  <w:rPr>
                    <w:noProof/>
                    <w:webHidden/>
                  </w:rPr>
                  <w:instrText xml:space="preserve"> PAGEREF _Toc106097674 \h </w:instrText>
                </w:r>
                <w:r w:rsidR="000C6036">
                  <w:rPr>
                    <w:noProof/>
                    <w:webHidden/>
                  </w:rPr>
                </w:r>
                <w:r w:rsidR="000C6036">
                  <w:rPr>
                    <w:noProof/>
                    <w:webHidden/>
                  </w:rPr>
                  <w:fldChar w:fldCharType="separate"/>
                </w:r>
                <w:r w:rsidR="000C6036">
                  <w:rPr>
                    <w:noProof/>
                    <w:webHidden/>
                  </w:rPr>
                  <w:t>26</w:t>
                </w:r>
                <w:r w:rsidR="000C6036">
                  <w:rPr>
                    <w:noProof/>
                    <w:webHidden/>
                  </w:rPr>
                  <w:fldChar w:fldCharType="end"/>
                </w:r>
              </w:hyperlink>
            </w:p>
            <w:p w14:paraId="03FC55BB" w14:textId="11AF73C2"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5" w:history="1">
                <w:r w:rsidR="000C6036" w:rsidRPr="003E6721">
                  <w:rPr>
                    <w:rStyle w:val="Hyperlink"/>
                    <w:noProof/>
                    <w:lang w:eastAsia="zh-CN"/>
                  </w:rPr>
                  <w:t>Accommodation</w:t>
                </w:r>
                <w:r w:rsidR="000C6036">
                  <w:rPr>
                    <w:noProof/>
                    <w:webHidden/>
                  </w:rPr>
                  <w:tab/>
                </w:r>
                <w:r w:rsidR="000C6036">
                  <w:rPr>
                    <w:noProof/>
                    <w:webHidden/>
                  </w:rPr>
                  <w:fldChar w:fldCharType="begin"/>
                </w:r>
                <w:r w:rsidR="000C6036">
                  <w:rPr>
                    <w:noProof/>
                    <w:webHidden/>
                  </w:rPr>
                  <w:instrText xml:space="preserve"> PAGEREF _Toc106097675 \h </w:instrText>
                </w:r>
                <w:r w:rsidR="000C6036">
                  <w:rPr>
                    <w:noProof/>
                    <w:webHidden/>
                  </w:rPr>
                </w:r>
                <w:r w:rsidR="000C6036">
                  <w:rPr>
                    <w:noProof/>
                    <w:webHidden/>
                  </w:rPr>
                  <w:fldChar w:fldCharType="separate"/>
                </w:r>
                <w:r w:rsidR="000C6036">
                  <w:rPr>
                    <w:noProof/>
                    <w:webHidden/>
                  </w:rPr>
                  <w:t>26</w:t>
                </w:r>
                <w:r w:rsidR="000C6036">
                  <w:rPr>
                    <w:noProof/>
                    <w:webHidden/>
                  </w:rPr>
                  <w:fldChar w:fldCharType="end"/>
                </w:r>
              </w:hyperlink>
            </w:p>
            <w:p w14:paraId="0271A667" w14:textId="7002E3E4"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6" w:history="1">
                <w:r w:rsidR="000C6036" w:rsidRPr="003E6721">
                  <w:rPr>
                    <w:rStyle w:val="Hyperlink"/>
                    <w:noProof/>
                  </w:rPr>
                  <w:t>Aviation</w:t>
                </w:r>
                <w:r w:rsidR="000C6036">
                  <w:rPr>
                    <w:noProof/>
                    <w:webHidden/>
                  </w:rPr>
                  <w:tab/>
                </w:r>
                <w:r w:rsidR="000C6036">
                  <w:rPr>
                    <w:noProof/>
                    <w:webHidden/>
                  </w:rPr>
                  <w:fldChar w:fldCharType="begin"/>
                </w:r>
                <w:r w:rsidR="000C6036">
                  <w:rPr>
                    <w:noProof/>
                    <w:webHidden/>
                  </w:rPr>
                  <w:instrText xml:space="preserve"> PAGEREF _Toc106097676 \h </w:instrText>
                </w:r>
                <w:r w:rsidR="000C6036">
                  <w:rPr>
                    <w:noProof/>
                    <w:webHidden/>
                  </w:rPr>
                </w:r>
                <w:r w:rsidR="000C6036">
                  <w:rPr>
                    <w:noProof/>
                    <w:webHidden/>
                  </w:rPr>
                  <w:fldChar w:fldCharType="separate"/>
                </w:r>
                <w:r w:rsidR="000C6036">
                  <w:rPr>
                    <w:noProof/>
                    <w:webHidden/>
                  </w:rPr>
                  <w:t>28</w:t>
                </w:r>
                <w:r w:rsidR="000C6036">
                  <w:rPr>
                    <w:noProof/>
                    <w:webHidden/>
                  </w:rPr>
                  <w:fldChar w:fldCharType="end"/>
                </w:r>
              </w:hyperlink>
            </w:p>
            <w:p w14:paraId="5D096B1F" w14:textId="2D7ED82B"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7" w:history="1">
                <w:r w:rsidR="000C6036" w:rsidRPr="003E6721">
                  <w:rPr>
                    <w:rStyle w:val="Hyperlink"/>
                    <w:noProof/>
                  </w:rPr>
                  <w:t>Employment</w:t>
                </w:r>
                <w:r w:rsidR="000C6036">
                  <w:rPr>
                    <w:noProof/>
                    <w:webHidden/>
                  </w:rPr>
                  <w:tab/>
                </w:r>
                <w:r w:rsidR="000C6036">
                  <w:rPr>
                    <w:noProof/>
                    <w:webHidden/>
                  </w:rPr>
                  <w:fldChar w:fldCharType="begin"/>
                </w:r>
                <w:r w:rsidR="000C6036">
                  <w:rPr>
                    <w:noProof/>
                    <w:webHidden/>
                  </w:rPr>
                  <w:instrText xml:space="preserve"> PAGEREF _Toc106097677 \h </w:instrText>
                </w:r>
                <w:r w:rsidR="000C6036">
                  <w:rPr>
                    <w:noProof/>
                    <w:webHidden/>
                  </w:rPr>
                </w:r>
                <w:r w:rsidR="000C6036">
                  <w:rPr>
                    <w:noProof/>
                    <w:webHidden/>
                  </w:rPr>
                  <w:fldChar w:fldCharType="separate"/>
                </w:r>
                <w:r w:rsidR="000C6036">
                  <w:rPr>
                    <w:noProof/>
                    <w:webHidden/>
                  </w:rPr>
                  <w:t>30</w:t>
                </w:r>
                <w:r w:rsidR="000C6036">
                  <w:rPr>
                    <w:noProof/>
                    <w:webHidden/>
                  </w:rPr>
                  <w:fldChar w:fldCharType="end"/>
                </w:r>
              </w:hyperlink>
            </w:p>
            <w:p w14:paraId="4D5F7CD3" w14:textId="1A957B75"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8" w:history="1">
                <w:r w:rsidR="000C6036" w:rsidRPr="003E6721">
                  <w:rPr>
                    <w:rStyle w:val="Hyperlink"/>
                    <w:noProof/>
                    <w:lang w:eastAsia="en-AU"/>
                  </w:rPr>
                  <w:t>Businesses</w:t>
                </w:r>
                <w:r w:rsidR="000C6036">
                  <w:rPr>
                    <w:noProof/>
                    <w:webHidden/>
                  </w:rPr>
                  <w:tab/>
                </w:r>
                <w:r w:rsidR="000C6036">
                  <w:rPr>
                    <w:noProof/>
                    <w:webHidden/>
                  </w:rPr>
                  <w:fldChar w:fldCharType="begin"/>
                </w:r>
                <w:r w:rsidR="000C6036">
                  <w:rPr>
                    <w:noProof/>
                    <w:webHidden/>
                  </w:rPr>
                  <w:instrText xml:space="preserve"> PAGEREF _Toc106097678 \h </w:instrText>
                </w:r>
                <w:r w:rsidR="000C6036">
                  <w:rPr>
                    <w:noProof/>
                    <w:webHidden/>
                  </w:rPr>
                </w:r>
                <w:r w:rsidR="000C6036">
                  <w:rPr>
                    <w:noProof/>
                    <w:webHidden/>
                  </w:rPr>
                  <w:fldChar w:fldCharType="separate"/>
                </w:r>
                <w:r w:rsidR="000C6036">
                  <w:rPr>
                    <w:noProof/>
                    <w:webHidden/>
                  </w:rPr>
                  <w:t>35</w:t>
                </w:r>
                <w:r w:rsidR="000C6036">
                  <w:rPr>
                    <w:noProof/>
                    <w:webHidden/>
                  </w:rPr>
                  <w:fldChar w:fldCharType="end"/>
                </w:r>
              </w:hyperlink>
            </w:p>
            <w:p w14:paraId="63447F18" w14:textId="459212E4"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79" w:history="1">
                <w:r w:rsidR="000C6036" w:rsidRPr="003E6721">
                  <w:rPr>
                    <w:rStyle w:val="Hyperlink"/>
                    <w:noProof/>
                  </w:rPr>
                  <w:t>Investment</w:t>
                </w:r>
                <w:r w:rsidR="000C6036">
                  <w:rPr>
                    <w:noProof/>
                    <w:webHidden/>
                  </w:rPr>
                  <w:tab/>
                </w:r>
                <w:r w:rsidR="000C6036">
                  <w:rPr>
                    <w:noProof/>
                    <w:webHidden/>
                  </w:rPr>
                  <w:fldChar w:fldCharType="begin"/>
                </w:r>
                <w:r w:rsidR="000C6036">
                  <w:rPr>
                    <w:noProof/>
                    <w:webHidden/>
                  </w:rPr>
                  <w:instrText xml:space="preserve"> PAGEREF _Toc106097679 \h </w:instrText>
                </w:r>
                <w:r w:rsidR="000C6036">
                  <w:rPr>
                    <w:noProof/>
                    <w:webHidden/>
                  </w:rPr>
                </w:r>
                <w:r w:rsidR="000C6036">
                  <w:rPr>
                    <w:noProof/>
                    <w:webHidden/>
                  </w:rPr>
                  <w:fldChar w:fldCharType="separate"/>
                </w:r>
                <w:r w:rsidR="000C6036">
                  <w:rPr>
                    <w:noProof/>
                    <w:webHidden/>
                  </w:rPr>
                  <w:t>37</w:t>
                </w:r>
                <w:r w:rsidR="000C6036">
                  <w:rPr>
                    <w:noProof/>
                    <w:webHidden/>
                  </w:rPr>
                  <w:fldChar w:fldCharType="end"/>
                </w:r>
              </w:hyperlink>
            </w:p>
            <w:p w14:paraId="55CCB0C1" w14:textId="32FD2761"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80" w:history="1">
                <w:r w:rsidR="000C6036" w:rsidRPr="003E6721">
                  <w:rPr>
                    <w:rStyle w:val="Hyperlink"/>
                    <w:noProof/>
                  </w:rPr>
                  <w:t>Support measures</w:t>
                </w:r>
                <w:r w:rsidR="000C6036">
                  <w:rPr>
                    <w:noProof/>
                    <w:webHidden/>
                  </w:rPr>
                  <w:tab/>
                </w:r>
                <w:r w:rsidR="000C6036">
                  <w:rPr>
                    <w:noProof/>
                    <w:webHidden/>
                  </w:rPr>
                  <w:fldChar w:fldCharType="begin"/>
                </w:r>
                <w:r w:rsidR="000C6036">
                  <w:rPr>
                    <w:noProof/>
                    <w:webHidden/>
                  </w:rPr>
                  <w:instrText xml:space="preserve"> PAGEREF _Toc106097680 \h </w:instrText>
                </w:r>
                <w:r w:rsidR="000C6036">
                  <w:rPr>
                    <w:noProof/>
                    <w:webHidden/>
                  </w:rPr>
                </w:r>
                <w:r w:rsidR="000C6036">
                  <w:rPr>
                    <w:noProof/>
                    <w:webHidden/>
                  </w:rPr>
                  <w:fldChar w:fldCharType="separate"/>
                </w:r>
                <w:r w:rsidR="000C6036">
                  <w:rPr>
                    <w:noProof/>
                    <w:webHidden/>
                  </w:rPr>
                  <w:t>38</w:t>
                </w:r>
                <w:r w:rsidR="000C6036">
                  <w:rPr>
                    <w:noProof/>
                    <w:webHidden/>
                  </w:rPr>
                  <w:fldChar w:fldCharType="end"/>
                </w:r>
              </w:hyperlink>
            </w:p>
            <w:p w14:paraId="28A5D1AD" w14:textId="7514647F"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81" w:history="1">
                <w:r w:rsidR="000C6036" w:rsidRPr="003E6721">
                  <w:rPr>
                    <w:rStyle w:val="Hyperlink"/>
                    <w:noProof/>
                  </w:rPr>
                  <w:t>Support for the visitor economy</w:t>
                </w:r>
                <w:r w:rsidR="000C6036">
                  <w:rPr>
                    <w:noProof/>
                    <w:webHidden/>
                  </w:rPr>
                  <w:tab/>
                </w:r>
                <w:r w:rsidR="000C6036">
                  <w:rPr>
                    <w:noProof/>
                    <w:webHidden/>
                  </w:rPr>
                  <w:fldChar w:fldCharType="begin"/>
                </w:r>
                <w:r w:rsidR="000C6036">
                  <w:rPr>
                    <w:noProof/>
                    <w:webHidden/>
                  </w:rPr>
                  <w:instrText xml:space="preserve"> PAGEREF _Toc106097681 \h </w:instrText>
                </w:r>
                <w:r w:rsidR="000C6036">
                  <w:rPr>
                    <w:noProof/>
                    <w:webHidden/>
                  </w:rPr>
                </w:r>
                <w:r w:rsidR="000C6036">
                  <w:rPr>
                    <w:noProof/>
                    <w:webHidden/>
                  </w:rPr>
                  <w:fldChar w:fldCharType="separate"/>
                </w:r>
                <w:r w:rsidR="000C6036">
                  <w:rPr>
                    <w:noProof/>
                    <w:webHidden/>
                  </w:rPr>
                  <w:t>38</w:t>
                </w:r>
                <w:r w:rsidR="000C6036">
                  <w:rPr>
                    <w:noProof/>
                    <w:webHidden/>
                  </w:rPr>
                  <w:fldChar w:fldCharType="end"/>
                </w:r>
              </w:hyperlink>
            </w:p>
            <w:p w14:paraId="7C69B375" w14:textId="7134B9A4" w:rsidR="000C6036" w:rsidRDefault="00DF02C2">
              <w:pPr>
                <w:pStyle w:val="TOC2"/>
                <w:tabs>
                  <w:tab w:val="right" w:leader="dot" w:pos="9958"/>
                </w:tabs>
                <w:rPr>
                  <w:rFonts w:asciiTheme="minorHAnsi" w:eastAsiaTheme="minorEastAsia" w:hAnsiTheme="minorHAnsi"/>
                  <w:noProof/>
                  <w:color w:val="auto"/>
                  <w:sz w:val="22"/>
                  <w:szCs w:val="22"/>
                  <w:lang w:eastAsia="en-AU"/>
                </w:rPr>
              </w:pPr>
              <w:hyperlink w:anchor="_Toc106097682" w:history="1">
                <w:r w:rsidR="000C6036" w:rsidRPr="003E6721">
                  <w:rPr>
                    <w:rStyle w:val="Hyperlink"/>
                    <w:noProof/>
                  </w:rPr>
                  <w:t>Looking forward</w:t>
                </w:r>
                <w:r w:rsidR="000C6036">
                  <w:rPr>
                    <w:noProof/>
                    <w:webHidden/>
                  </w:rPr>
                  <w:tab/>
                </w:r>
                <w:r w:rsidR="000C6036">
                  <w:rPr>
                    <w:noProof/>
                    <w:webHidden/>
                  </w:rPr>
                  <w:fldChar w:fldCharType="begin"/>
                </w:r>
                <w:r w:rsidR="000C6036">
                  <w:rPr>
                    <w:noProof/>
                    <w:webHidden/>
                  </w:rPr>
                  <w:instrText xml:space="preserve"> PAGEREF _Toc106097682 \h </w:instrText>
                </w:r>
                <w:r w:rsidR="000C6036">
                  <w:rPr>
                    <w:noProof/>
                    <w:webHidden/>
                  </w:rPr>
                </w:r>
                <w:r w:rsidR="000C6036">
                  <w:rPr>
                    <w:noProof/>
                    <w:webHidden/>
                  </w:rPr>
                  <w:fldChar w:fldCharType="separate"/>
                </w:r>
                <w:r w:rsidR="000C6036">
                  <w:rPr>
                    <w:noProof/>
                    <w:webHidden/>
                  </w:rPr>
                  <w:t>43</w:t>
                </w:r>
                <w:r w:rsidR="000C6036">
                  <w:rPr>
                    <w:noProof/>
                    <w:webHidden/>
                  </w:rPr>
                  <w:fldChar w:fldCharType="end"/>
                </w:r>
              </w:hyperlink>
            </w:p>
            <w:p w14:paraId="7E1698FE" w14:textId="3EBC880B"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83" w:history="1">
                <w:r w:rsidR="000C6036" w:rsidRPr="003E6721">
                  <w:rPr>
                    <w:rStyle w:val="Hyperlink"/>
                    <w:noProof/>
                  </w:rPr>
                  <w:t>Domestic outlook</w:t>
                </w:r>
                <w:r w:rsidR="000C6036">
                  <w:rPr>
                    <w:noProof/>
                    <w:webHidden/>
                  </w:rPr>
                  <w:tab/>
                </w:r>
                <w:r w:rsidR="000C6036">
                  <w:rPr>
                    <w:noProof/>
                    <w:webHidden/>
                  </w:rPr>
                  <w:fldChar w:fldCharType="begin"/>
                </w:r>
                <w:r w:rsidR="000C6036">
                  <w:rPr>
                    <w:noProof/>
                    <w:webHidden/>
                  </w:rPr>
                  <w:instrText xml:space="preserve"> PAGEREF _Toc106097683 \h </w:instrText>
                </w:r>
                <w:r w:rsidR="000C6036">
                  <w:rPr>
                    <w:noProof/>
                    <w:webHidden/>
                  </w:rPr>
                </w:r>
                <w:r w:rsidR="000C6036">
                  <w:rPr>
                    <w:noProof/>
                    <w:webHidden/>
                  </w:rPr>
                  <w:fldChar w:fldCharType="separate"/>
                </w:r>
                <w:r w:rsidR="000C6036">
                  <w:rPr>
                    <w:noProof/>
                    <w:webHidden/>
                  </w:rPr>
                  <w:t>43</w:t>
                </w:r>
                <w:r w:rsidR="000C6036">
                  <w:rPr>
                    <w:noProof/>
                    <w:webHidden/>
                  </w:rPr>
                  <w:fldChar w:fldCharType="end"/>
                </w:r>
              </w:hyperlink>
            </w:p>
            <w:p w14:paraId="43F85477" w14:textId="79E4F78C" w:rsidR="000C6036" w:rsidRDefault="00DF02C2">
              <w:pPr>
                <w:pStyle w:val="TOC3"/>
                <w:tabs>
                  <w:tab w:val="right" w:leader="dot" w:pos="9958"/>
                </w:tabs>
                <w:rPr>
                  <w:rFonts w:asciiTheme="minorHAnsi" w:eastAsiaTheme="minorEastAsia" w:hAnsiTheme="minorHAnsi"/>
                  <w:noProof/>
                  <w:color w:val="auto"/>
                  <w:sz w:val="22"/>
                  <w:szCs w:val="22"/>
                  <w:lang w:eastAsia="en-AU"/>
                </w:rPr>
              </w:pPr>
              <w:hyperlink w:anchor="_Toc106097684" w:history="1">
                <w:r w:rsidR="000C6036" w:rsidRPr="003E6721">
                  <w:rPr>
                    <w:rStyle w:val="Hyperlink"/>
                    <w:noProof/>
                  </w:rPr>
                  <w:t>International outlook</w:t>
                </w:r>
                <w:r w:rsidR="000C6036">
                  <w:rPr>
                    <w:noProof/>
                    <w:webHidden/>
                  </w:rPr>
                  <w:tab/>
                </w:r>
                <w:r w:rsidR="000C6036">
                  <w:rPr>
                    <w:noProof/>
                    <w:webHidden/>
                  </w:rPr>
                  <w:fldChar w:fldCharType="begin"/>
                </w:r>
                <w:r w:rsidR="000C6036">
                  <w:rPr>
                    <w:noProof/>
                    <w:webHidden/>
                  </w:rPr>
                  <w:instrText xml:space="preserve"> PAGEREF _Toc106097684 \h </w:instrText>
                </w:r>
                <w:r w:rsidR="000C6036">
                  <w:rPr>
                    <w:noProof/>
                    <w:webHidden/>
                  </w:rPr>
                </w:r>
                <w:r w:rsidR="000C6036">
                  <w:rPr>
                    <w:noProof/>
                    <w:webHidden/>
                  </w:rPr>
                  <w:fldChar w:fldCharType="separate"/>
                </w:r>
                <w:r w:rsidR="000C6036">
                  <w:rPr>
                    <w:noProof/>
                    <w:webHidden/>
                  </w:rPr>
                  <w:t>49</w:t>
                </w:r>
                <w:r w:rsidR="000C6036">
                  <w:rPr>
                    <w:noProof/>
                    <w:webHidden/>
                  </w:rPr>
                  <w:fldChar w:fldCharType="end"/>
                </w:r>
              </w:hyperlink>
            </w:p>
            <w:p w14:paraId="2AF71CCB" w14:textId="37D95360" w:rsidR="001C60D8" w:rsidRPr="000C6036" w:rsidRDefault="00DF02C2" w:rsidP="000C6036">
              <w:pPr>
                <w:pStyle w:val="TOC2"/>
                <w:tabs>
                  <w:tab w:val="right" w:leader="dot" w:pos="9958"/>
                </w:tabs>
                <w:rPr>
                  <w:rFonts w:asciiTheme="minorHAnsi" w:eastAsiaTheme="minorEastAsia" w:hAnsiTheme="minorHAnsi"/>
                  <w:noProof/>
                  <w:color w:val="auto"/>
                  <w:sz w:val="22"/>
                  <w:szCs w:val="22"/>
                  <w:lang w:eastAsia="en-AU"/>
                </w:rPr>
              </w:pPr>
              <w:hyperlink w:anchor="_Toc106097685" w:history="1">
                <w:r w:rsidR="000C6036" w:rsidRPr="003E6721">
                  <w:rPr>
                    <w:rStyle w:val="Hyperlink"/>
                    <w:noProof/>
                  </w:rPr>
                  <w:t>Data sources and references</w:t>
                </w:r>
                <w:r w:rsidR="000C6036">
                  <w:rPr>
                    <w:noProof/>
                    <w:webHidden/>
                  </w:rPr>
                  <w:tab/>
                </w:r>
                <w:r w:rsidR="000C6036">
                  <w:rPr>
                    <w:noProof/>
                    <w:webHidden/>
                  </w:rPr>
                  <w:fldChar w:fldCharType="begin"/>
                </w:r>
                <w:r w:rsidR="000C6036">
                  <w:rPr>
                    <w:noProof/>
                    <w:webHidden/>
                  </w:rPr>
                  <w:instrText xml:space="preserve"> PAGEREF _Toc106097685 \h </w:instrText>
                </w:r>
                <w:r w:rsidR="000C6036">
                  <w:rPr>
                    <w:noProof/>
                    <w:webHidden/>
                  </w:rPr>
                </w:r>
                <w:r w:rsidR="000C6036">
                  <w:rPr>
                    <w:noProof/>
                    <w:webHidden/>
                  </w:rPr>
                  <w:fldChar w:fldCharType="separate"/>
                </w:r>
                <w:r w:rsidR="000C6036">
                  <w:rPr>
                    <w:noProof/>
                    <w:webHidden/>
                  </w:rPr>
                  <w:t>51</w:t>
                </w:r>
                <w:r w:rsidR="000C6036">
                  <w:rPr>
                    <w:noProof/>
                    <w:webHidden/>
                  </w:rPr>
                  <w:fldChar w:fldCharType="end"/>
                </w:r>
              </w:hyperlink>
              <w:r w:rsidR="001C60D8">
                <w:rPr>
                  <w:b/>
                  <w:bCs/>
                  <w:noProof/>
                </w:rPr>
                <w:fldChar w:fldCharType="end"/>
              </w:r>
            </w:p>
          </w:sdtContent>
        </w:sdt>
        <w:p w14:paraId="7DC64998" w14:textId="77777777" w:rsidR="001C60D8" w:rsidRDefault="001C60D8">
          <w:pPr>
            <w:spacing w:before="0" w:after="160" w:line="259" w:lineRule="auto"/>
            <w:rPr>
              <w:rFonts w:eastAsia="SimSun" w:cs="Times New Roman"/>
              <w:bCs/>
              <w:color w:val="7A4282" w:themeColor="accent1"/>
              <w:sz w:val="28"/>
              <w:szCs w:val="26"/>
              <w:lang w:eastAsia="zh-CN"/>
            </w:rPr>
          </w:pPr>
          <w:r>
            <w:rPr>
              <w:b/>
              <w:bCs/>
              <w:color w:val="7A4282" w:themeColor="accent1"/>
            </w:rPr>
            <w:br w:type="page"/>
          </w:r>
        </w:p>
        <w:p w14:paraId="75A85F8E" w14:textId="77777777" w:rsidR="001E479D" w:rsidRDefault="001E479D" w:rsidP="00A56C13">
          <w:pPr>
            <w:pStyle w:val="Heading2"/>
            <w:rPr>
              <w:b w:val="0"/>
              <w:bCs/>
              <w:color w:val="7A4282" w:themeColor="accent1"/>
              <w:sz w:val="36"/>
              <w:szCs w:val="32"/>
            </w:rPr>
          </w:pPr>
          <w:bookmarkStart w:id="23" w:name="_Toc106097665"/>
          <w:r>
            <w:rPr>
              <w:b w:val="0"/>
              <w:bCs/>
              <w:color w:val="7A4282" w:themeColor="accent1"/>
              <w:sz w:val="36"/>
              <w:szCs w:val="32"/>
            </w:rPr>
            <w:t>Overview</w:t>
          </w:r>
          <w:bookmarkEnd w:id="23"/>
        </w:p>
        <w:p w14:paraId="1D01E974" w14:textId="5647E850" w:rsidR="00B146B2" w:rsidRDefault="00B146B2" w:rsidP="00B146B2">
          <w:pPr>
            <w:pStyle w:val="Heading3"/>
          </w:pPr>
          <w:bookmarkStart w:id="24" w:name="_Toc106097666"/>
          <w:r>
            <w:t>About this report</w:t>
          </w:r>
          <w:bookmarkEnd w:id="24"/>
        </w:p>
        <w:p w14:paraId="4F50B6AF" w14:textId="63F73039" w:rsidR="00D87C7E" w:rsidRDefault="00991ED7" w:rsidP="00991ED7">
          <w:r>
            <w:t>Th</w:t>
          </w:r>
          <w:r w:rsidR="00D87C7E">
            <w:t xml:space="preserve">is </w:t>
          </w:r>
          <w:r w:rsidR="005E21F1">
            <w:t xml:space="preserve">State of the Industry </w:t>
          </w:r>
          <w:r w:rsidR="00D87C7E">
            <w:t>report</w:t>
          </w:r>
          <w:r>
            <w:t xml:space="preserve"> </w:t>
          </w:r>
          <w:r w:rsidR="00010DED">
            <w:t>provid</w:t>
          </w:r>
          <w:r w:rsidR="0066365D">
            <w:t xml:space="preserve">es </w:t>
          </w:r>
          <w:r w:rsidR="00010DED">
            <w:t xml:space="preserve">evidence and insights on </w:t>
          </w:r>
          <w:r w:rsidR="007A350A">
            <w:t>how Australia’s visitor economy has emerged from the p</w:t>
          </w:r>
          <w:r w:rsidR="00E703BD">
            <w:t>a</w:t>
          </w:r>
          <w:r w:rsidR="007A350A">
            <w:t>ndemic</w:t>
          </w:r>
          <w:r w:rsidR="00E703BD">
            <w:t xml:space="preserve">, and the challenges and opportunities </w:t>
          </w:r>
          <w:r w:rsidR="00F42328">
            <w:t xml:space="preserve">that lie ahead. </w:t>
          </w:r>
          <w:r w:rsidR="00D22906">
            <w:t>In providing a comprehensive description of the i</w:t>
          </w:r>
          <w:r w:rsidR="00617E26">
            <w:t xml:space="preserve">ssues, </w:t>
          </w:r>
          <w:r w:rsidR="00F95F97">
            <w:t xml:space="preserve">the </w:t>
          </w:r>
          <w:r w:rsidR="00CC4E05">
            <w:t xml:space="preserve">report </w:t>
          </w:r>
          <w:r w:rsidR="001D1737">
            <w:t>canvasses</w:t>
          </w:r>
          <w:r>
            <w:t xml:space="preserve"> data from a variety of sources</w:t>
          </w:r>
          <w:r w:rsidR="00D87C7E">
            <w:t xml:space="preserve"> and </w:t>
          </w:r>
          <w:r w:rsidRPr="00A56C13">
            <w:t>describe</w:t>
          </w:r>
          <w:r w:rsidR="001D1737">
            <w:t>s</w:t>
          </w:r>
          <w:r w:rsidRPr="00A56C13">
            <w:t xml:space="preserve"> how industry and gov</w:t>
          </w:r>
          <w:r>
            <w:t>ernments</w:t>
          </w:r>
          <w:r w:rsidRPr="00A56C13">
            <w:t xml:space="preserve"> have </w:t>
          </w:r>
          <w:r>
            <w:t>responded</w:t>
          </w:r>
          <w:r w:rsidRPr="00A56C13">
            <w:t xml:space="preserve"> to </w:t>
          </w:r>
          <w:r w:rsidR="008D33F2">
            <w:t xml:space="preserve">an extraordinary set of </w:t>
          </w:r>
          <w:r w:rsidRPr="00A56C13">
            <w:t>challenges</w:t>
          </w:r>
          <w:r>
            <w:t xml:space="preserve">. </w:t>
          </w:r>
        </w:p>
        <w:p w14:paraId="15C916D4" w14:textId="04008058" w:rsidR="00311AF5" w:rsidRDefault="00D87C7E" w:rsidP="00311AF5">
          <w:r>
            <w:t xml:space="preserve">The last two years have </w:t>
          </w:r>
          <w:r w:rsidR="008D33F2">
            <w:t xml:space="preserve">had a </w:t>
          </w:r>
          <w:r w:rsidR="00311AF5">
            <w:t>debilitating impact</w:t>
          </w:r>
          <w:r w:rsidR="008D33F2">
            <w:t xml:space="preserve"> on Australia’s </w:t>
          </w:r>
          <w:r>
            <w:t xml:space="preserve">visitor economy. </w:t>
          </w:r>
          <w:r w:rsidR="00311AF5">
            <w:t xml:space="preserve">Statistics can </w:t>
          </w:r>
          <w:r w:rsidR="00311AF5" w:rsidRPr="00311AF5">
            <w:rPr>
              <w:i/>
              <w:iCs/>
            </w:rPr>
            <w:t>measure</w:t>
          </w:r>
          <w:r w:rsidR="00311AF5">
            <w:t xml:space="preserve"> this impact but are not able to </w:t>
          </w:r>
          <w:r w:rsidR="00311AF5" w:rsidRPr="00311AF5">
            <w:t xml:space="preserve">fully </w:t>
          </w:r>
          <w:r w:rsidR="00311AF5" w:rsidRPr="00311AF5">
            <w:rPr>
              <w:i/>
              <w:iCs/>
            </w:rPr>
            <w:t>describe</w:t>
          </w:r>
          <w:r w:rsidR="00311AF5">
            <w:t xml:space="preserve"> it. Statistics alone are also inadequate when it comes to understanding how businesses and governments responded to limit further harm from the </w:t>
          </w:r>
          <w:r w:rsidR="001B21D0">
            <w:t>COVID</w:t>
          </w:r>
          <w:r w:rsidR="00311AF5">
            <w:t>-19 pandemic. As a result, this report breaks with tradition: it shifts away from a purely statisti</w:t>
          </w:r>
          <w:r w:rsidR="007A0A48">
            <w:t>cal</w:t>
          </w:r>
          <w:r w:rsidR="00311AF5">
            <w:t xml:space="preserve"> approach towards a more descriptive </w:t>
          </w:r>
          <w:r w:rsidR="00C8319A">
            <w:t>account</w:t>
          </w:r>
          <w:r w:rsidR="00311AF5">
            <w:t xml:space="preserve"> of calendar year 2021. </w:t>
          </w:r>
        </w:p>
        <w:p w14:paraId="5BE79839" w14:textId="53302C85" w:rsidR="00311AF5" w:rsidRDefault="00311AF5" w:rsidP="00311AF5">
          <w:r>
            <w:t xml:space="preserve">The report </w:t>
          </w:r>
          <w:r w:rsidR="00F9254B">
            <w:t>focuses</w:t>
          </w:r>
          <w:r>
            <w:t xml:space="preserve"> on how the sector performed in 2021, often comparing it with 2020 and the pre-pandemic performance of 2019. Some additional information covering the early months of 2022 and the future outlook has been included to give the reader a sense of trajectory. </w:t>
          </w:r>
        </w:p>
        <w:p w14:paraId="3006ACFF" w14:textId="1FA81B62" w:rsidR="00D87C7E" w:rsidRDefault="00502BAC">
          <w:r>
            <w:t xml:space="preserve">This </w:t>
          </w:r>
          <w:r w:rsidR="00D87C7E">
            <w:t xml:space="preserve">report </w:t>
          </w:r>
          <w:r>
            <w:t xml:space="preserve">also </w:t>
          </w:r>
          <w:r w:rsidR="00010DED">
            <w:t xml:space="preserve">gives </w:t>
          </w:r>
          <w:r w:rsidR="00D87C7E">
            <w:t xml:space="preserve">more attention </w:t>
          </w:r>
          <w:r w:rsidR="00643A37">
            <w:t xml:space="preserve">than in previous years </w:t>
          </w:r>
          <w:r w:rsidR="00D87C7E">
            <w:t xml:space="preserve">to the significant </w:t>
          </w:r>
          <w:r w:rsidR="00097DC3">
            <w:t xml:space="preserve">and growing </w:t>
          </w:r>
          <w:r w:rsidR="00D87C7E">
            <w:t>contribution of the international education sector, which is often omitted from tourism</w:t>
          </w:r>
          <w:r w:rsidR="00BE1073">
            <w:t xml:space="preserve"> </w:t>
          </w:r>
          <w:r w:rsidR="00D87C7E">
            <w:t>analysis</w:t>
          </w:r>
          <w:r w:rsidR="00097DC3">
            <w:t>. This ensure</w:t>
          </w:r>
          <w:r w:rsidR="00010DED">
            <w:t>s</w:t>
          </w:r>
          <w:r w:rsidR="00097DC3">
            <w:t xml:space="preserve"> that </w:t>
          </w:r>
          <w:r w:rsidR="00BC2C7D">
            <w:t xml:space="preserve">the </w:t>
          </w:r>
          <w:r w:rsidR="00097DC3">
            <w:t>report</w:t>
          </w:r>
          <w:r w:rsidR="00010DED">
            <w:t xml:space="preserve"> is </w:t>
          </w:r>
          <w:r w:rsidR="00097DC3">
            <w:t>aligned with the objectives and vision of T</w:t>
          </w:r>
          <w:r w:rsidR="00010DED">
            <w:t xml:space="preserve">HRIVE </w:t>
          </w:r>
          <w:r w:rsidR="00097DC3">
            <w:t>2030</w:t>
          </w:r>
          <w:r w:rsidR="00010DED">
            <w:t xml:space="preserve">, </w:t>
          </w:r>
          <w:r w:rsidR="00324AA6">
            <w:t xml:space="preserve">the </w:t>
          </w:r>
          <w:r w:rsidR="00010DED">
            <w:t>industry</w:t>
          </w:r>
          <w:r w:rsidR="00C8319A">
            <w:t xml:space="preserve">-led, government-enabled </w:t>
          </w:r>
          <w:r w:rsidR="00010DED">
            <w:t xml:space="preserve">long-term </w:t>
          </w:r>
          <w:r w:rsidR="00A41EF7">
            <w:t xml:space="preserve">Strategy </w:t>
          </w:r>
          <w:r w:rsidR="00010DED">
            <w:t>to h</w:t>
          </w:r>
          <w:r w:rsidR="00097DC3">
            <w:t>elp the industry recover and sustainably grow through to 2030 and beyond.</w:t>
          </w:r>
          <w:r w:rsidR="00C8319A">
            <w:rPr>
              <w:rStyle w:val="FootnoteReference"/>
            </w:rPr>
            <w:footnoteReference w:id="1"/>
          </w:r>
        </w:p>
        <w:p w14:paraId="0F2F3BAC" w14:textId="1292BDFC" w:rsidR="00B146B2" w:rsidRPr="00CC4E05" w:rsidRDefault="00B146B2" w:rsidP="00B146B2">
          <w:pPr>
            <w:pStyle w:val="Heading3"/>
          </w:pPr>
          <w:bookmarkStart w:id="25" w:name="_Toc106097667"/>
          <w:r>
            <w:t>Two difficult years</w:t>
          </w:r>
          <w:bookmarkEnd w:id="25"/>
        </w:p>
        <w:p w14:paraId="22C5ACA2" w14:textId="75A2819E" w:rsidR="004027B0" w:rsidRDefault="004027B0" w:rsidP="006611ED">
          <w:pPr>
            <w:rPr>
              <w:lang w:eastAsia="zh-CN"/>
            </w:rPr>
          </w:pPr>
          <w:r>
            <w:rPr>
              <w:lang w:eastAsia="zh-CN"/>
            </w:rPr>
            <w:t>The prolonged p</w:t>
          </w:r>
          <w:r w:rsidR="00FF2AB9">
            <w:rPr>
              <w:lang w:eastAsia="zh-CN"/>
            </w:rPr>
            <w:t xml:space="preserve">andemic and border closures have had a </w:t>
          </w:r>
          <w:r w:rsidR="00010DED">
            <w:rPr>
              <w:lang w:eastAsia="zh-CN"/>
            </w:rPr>
            <w:t>major i</w:t>
          </w:r>
          <w:r w:rsidR="00FF2AB9">
            <w:rPr>
              <w:lang w:eastAsia="zh-CN"/>
            </w:rPr>
            <w:t>mpact</w:t>
          </w:r>
          <w:r w:rsidR="004F426F">
            <w:rPr>
              <w:lang w:eastAsia="zh-CN"/>
            </w:rPr>
            <w:t xml:space="preserve"> on the Australian </w:t>
          </w:r>
          <w:r>
            <w:rPr>
              <w:lang w:eastAsia="zh-CN"/>
            </w:rPr>
            <w:t>visitor economy</w:t>
          </w:r>
          <w:r w:rsidR="00FF2AB9">
            <w:rPr>
              <w:lang w:eastAsia="zh-CN"/>
            </w:rPr>
            <w:t xml:space="preserve">. </w:t>
          </w:r>
          <w:r w:rsidR="00010DED">
            <w:rPr>
              <w:lang w:eastAsia="zh-CN"/>
            </w:rPr>
            <w:t>R</w:t>
          </w:r>
          <w:r>
            <w:rPr>
              <w:lang w:eastAsia="zh-CN"/>
            </w:rPr>
            <w:t>estrictions on domestic travel</w:t>
          </w:r>
          <w:r w:rsidR="00010DED">
            <w:rPr>
              <w:lang w:eastAsia="zh-CN"/>
            </w:rPr>
            <w:t xml:space="preserve">, metropolitan and regional lockdowns, </w:t>
          </w:r>
          <w:r w:rsidR="001E479D">
            <w:rPr>
              <w:lang w:eastAsia="zh-CN"/>
            </w:rPr>
            <w:t>heightened</w:t>
          </w:r>
          <w:r w:rsidR="00010DED">
            <w:rPr>
              <w:lang w:eastAsia="zh-CN"/>
            </w:rPr>
            <w:t xml:space="preserve"> traveller hesitancy and a closed </w:t>
          </w:r>
          <w:r>
            <w:rPr>
              <w:lang w:eastAsia="zh-CN"/>
            </w:rPr>
            <w:t xml:space="preserve">international border </w:t>
          </w:r>
          <w:r w:rsidR="00010DED">
            <w:rPr>
              <w:lang w:eastAsia="zh-CN"/>
            </w:rPr>
            <w:t xml:space="preserve">all </w:t>
          </w:r>
          <w:r w:rsidR="00FF25AF">
            <w:rPr>
              <w:lang w:eastAsia="zh-CN"/>
            </w:rPr>
            <w:t>contributed to a difficult 2021.</w:t>
          </w:r>
          <w:r>
            <w:rPr>
              <w:lang w:eastAsia="zh-CN"/>
            </w:rPr>
            <w:t xml:space="preserve"> However, </w:t>
          </w:r>
          <w:r w:rsidR="00FF25AF">
            <w:rPr>
              <w:lang w:eastAsia="zh-CN"/>
            </w:rPr>
            <w:t xml:space="preserve">unlike </w:t>
          </w:r>
          <w:r w:rsidR="00FB2F2C">
            <w:rPr>
              <w:lang w:eastAsia="zh-CN"/>
            </w:rPr>
            <w:t xml:space="preserve">in </w:t>
          </w:r>
          <w:r w:rsidR="00FF25AF">
            <w:rPr>
              <w:lang w:eastAsia="zh-CN"/>
            </w:rPr>
            <w:t>2020</w:t>
          </w:r>
          <w:r w:rsidR="00643A37">
            <w:rPr>
              <w:lang w:eastAsia="zh-CN"/>
            </w:rPr>
            <w:t>,</w:t>
          </w:r>
          <w:r w:rsidR="00FF25AF">
            <w:rPr>
              <w:lang w:eastAsia="zh-CN"/>
            </w:rPr>
            <w:t xml:space="preserve"> </w:t>
          </w:r>
          <w:r>
            <w:rPr>
              <w:lang w:eastAsia="zh-CN"/>
            </w:rPr>
            <w:t xml:space="preserve">there were periods of optimism </w:t>
          </w:r>
          <w:r w:rsidR="00FF25AF">
            <w:rPr>
              <w:lang w:eastAsia="zh-CN"/>
            </w:rPr>
            <w:t xml:space="preserve">as vaccination rates </w:t>
          </w:r>
          <w:r w:rsidR="007A0A48">
            <w:rPr>
              <w:lang w:eastAsia="zh-CN"/>
            </w:rPr>
            <w:t xml:space="preserve">surged and </w:t>
          </w:r>
          <w:r>
            <w:rPr>
              <w:lang w:eastAsia="zh-CN"/>
            </w:rPr>
            <w:t xml:space="preserve">signs that a recovery was </w:t>
          </w:r>
          <w:r w:rsidR="00FF25AF">
            <w:rPr>
              <w:lang w:eastAsia="zh-CN"/>
            </w:rPr>
            <w:t>underway</w:t>
          </w:r>
          <w:r w:rsidR="007A0A48">
            <w:rPr>
              <w:lang w:eastAsia="zh-CN"/>
            </w:rPr>
            <w:t xml:space="preserve"> became clearer</w:t>
          </w:r>
          <w:r>
            <w:rPr>
              <w:lang w:eastAsia="zh-CN"/>
            </w:rPr>
            <w:t xml:space="preserve">. </w:t>
          </w:r>
        </w:p>
        <w:p w14:paraId="5E8F210A" w14:textId="46FAA5ED" w:rsidR="00324AA6" w:rsidRDefault="0031034C" w:rsidP="006611ED">
          <w:pPr>
            <w:rPr>
              <w:lang w:eastAsia="zh-CN"/>
            </w:rPr>
          </w:pPr>
          <w:r>
            <w:rPr>
              <w:lang w:eastAsia="zh-CN"/>
            </w:rPr>
            <w:t>Nevertheless, by</w:t>
          </w:r>
          <w:r w:rsidR="004027B0">
            <w:rPr>
              <w:lang w:eastAsia="zh-CN"/>
            </w:rPr>
            <w:t xml:space="preserve"> the end of December 2021, cumulative losses for the visitor economy </w:t>
          </w:r>
          <w:r w:rsidR="008231EC">
            <w:rPr>
              <w:lang w:eastAsia="zh-CN"/>
            </w:rPr>
            <w:t xml:space="preserve">since March 2020 </w:t>
          </w:r>
          <w:r w:rsidR="00A57355">
            <w:rPr>
              <w:lang w:eastAsia="zh-CN"/>
            </w:rPr>
            <w:t xml:space="preserve">had </w:t>
          </w:r>
          <w:r w:rsidR="004027B0">
            <w:rPr>
              <w:lang w:eastAsia="zh-CN"/>
            </w:rPr>
            <w:t xml:space="preserve">reached </w:t>
          </w:r>
          <w:r w:rsidR="00741FE2">
            <w:rPr>
              <w:lang w:eastAsia="zh-CN"/>
            </w:rPr>
            <w:t>$146.5</w:t>
          </w:r>
          <w:r w:rsidR="006A1546">
            <w:rPr>
              <w:lang w:eastAsia="zh-CN"/>
            </w:rPr>
            <w:t> </w:t>
          </w:r>
          <w:r w:rsidR="00741FE2">
            <w:rPr>
              <w:lang w:eastAsia="zh-CN"/>
            </w:rPr>
            <w:t>billion</w:t>
          </w:r>
          <w:r w:rsidR="00FF25AF">
            <w:rPr>
              <w:lang w:eastAsia="zh-CN"/>
            </w:rPr>
            <w:t>, with $</w:t>
          </w:r>
          <w:r w:rsidR="00BA3814">
            <w:rPr>
              <w:lang w:eastAsia="zh-CN"/>
            </w:rPr>
            <w:t>69.2</w:t>
          </w:r>
          <w:r w:rsidR="006A1546">
            <w:rPr>
              <w:lang w:eastAsia="zh-CN"/>
            </w:rPr>
            <w:t> </w:t>
          </w:r>
          <w:r w:rsidR="00FF25AF">
            <w:rPr>
              <w:lang w:eastAsia="zh-CN"/>
            </w:rPr>
            <w:t>billion of this loss occurring in 2021</w:t>
          </w:r>
          <w:r w:rsidR="00741FE2">
            <w:rPr>
              <w:lang w:eastAsia="zh-CN"/>
            </w:rPr>
            <w:t xml:space="preserve"> (</w:t>
          </w:r>
          <w:r w:rsidR="00324AA6">
            <w:rPr>
              <w:lang w:eastAsia="zh-CN"/>
            </w:rPr>
            <w:t>Figure 1</w:t>
          </w:r>
          <w:r w:rsidR="00741FE2">
            <w:rPr>
              <w:lang w:eastAsia="zh-CN"/>
            </w:rPr>
            <w:t>).</w:t>
          </w:r>
        </w:p>
        <w:p w14:paraId="3D0B8050" w14:textId="77777777" w:rsidR="00643A37" w:rsidRDefault="00643A37" w:rsidP="00643A37">
          <w:r>
            <w:t xml:space="preserve">International tourism accounted for around half of these losses, reflecting the absence of all but essential overseas travel over most of this period. </w:t>
          </w:r>
        </w:p>
        <w:p w14:paraId="7F4BF8E3" w14:textId="27CDCFCE" w:rsidR="00741FE2" w:rsidRDefault="00E60522" w:rsidP="006611ED">
          <w:pPr>
            <w:rPr>
              <w:lang w:eastAsia="zh-CN"/>
            </w:rPr>
          </w:pPr>
          <w:r>
            <w:rPr>
              <w:noProof/>
            </w:rPr>
            <w:drawing>
              <wp:anchor distT="0" distB="0" distL="114300" distR="114300" simplePos="0" relativeHeight="251728896" behindDoc="0" locked="0" layoutInCell="1" allowOverlap="1" wp14:anchorId="239E2313" wp14:editId="5FD13D8E">
                <wp:simplePos x="0" y="0"/>
                <wp:positionH relativeFrom="margin">
                  <wp:align>left</wp:align>
                </wp:positionH>
                <wp:positionV relativeFrom="paragraph">
                  <wp:posOffset>27686</wp:posOffset>
                </wp:positionV>
                <wp:extent cx="6172200" cy="3163189"/>
                <wp:effectExtent l="0" t="0" r="0" b="18415"/>
                <wp:wrapNone/>
                <wp:docPr id="42" name="Chart 42" descr="This chart shows three stacked area lines summing the cumulative loss to domestic day, domestic overnight and international tourism from March 2020 to December 2021.">
                  <a:extLst xmlns:a="http://schemas.openxmlformats.org/drawingml/2006/main">
                    <a:ext uri="{FF2B5EF4-FFF2-40B4-BE49-F238E27FC236}">
                      <a16:creationId xmlns:a16="http://schemas.microsoft.com/office/drawing/2014/main" id="{DD3C4490-2F2F-4C48-A462-E2B8712229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324AA6">
            <w:rPr>
              <w:noProof/>
            </w:rPr>
            <mc:AlternateContent>
              <mc:Choice Requires="wps">
                <w:drawing>
                  <wp:anchor distT="0" distB="0" distL="114300" distR="114300" simplePos="0" relativeHeight="251763712" behindDoc="0" locked="0" layoutInCell="1" allowOverlap="1" wp14:anchorId="2AA6A81B" wp14:editId="402F36CA">
                    <wp:simplePos x="0" y="0"/>
                    <wp:positionH relativeFrom="margin">
                      <wp:align>center</wp:align>
                    </wp:positionH>
                    <wp:positionV relativeFrom="paragraph">
                      <wp:posOffset>8509</wp:posOffset>
                    </wp:positionV>
                    <wp:extent cx="6172200" cy="201168"/>
                    <wp:effectExtent l="0" t="0" r="0" b="8890"/>
                    <wp:wrapNone/>
                    <wp:docPr id="16" name="Text Box 16"/>
                    <wp:cNvGraphicFramePr/>
                    <a:graphic xmlns:a="http://schemas.openxmlformats.org/drawingml/2006/main">
                      <a:graphicData uri="http://schemas.microsoft.com/office/word/2010/wordprocessingShape">
                        <wps:wsp>
                          <wps:cNvSpPr txBox="1"/>
                          <wps:spPr>
                            <a:xfrm>
                              <a:off x="0" y="0"/>
                              <a:ext cx="6172200" cy="201168"/>
                            </a:xfrm>
                            <a:prstGeom prst="rect">
                              <a:avLst/>
                            </a:prstGeom>
                            <a:solidFill>
                              <a:prstClr val="white"/>
                            </a:solidFill>
                            <a:ln>
                              <a:noFill/>
                            </a:ln>
                          </wps:spPr>
                          <wps:txbx>
                            <w:txbxContent>
                              <w:p w14:paraId="56DE686B" w14:textId="1C411FFF" w:rsidR="00B146B2" w:rsidRPr="00E60522" w:rsidRDefault="00B146B2" w:rsidP="00324AA6">
                                <w:pPr>
                                  <w:pStyle w:val="Caption"/>
                                  <w:spacing w:after="0"/>
                                  <w:rPr>
                                    <w:i w:val="0"/>
                                    <w:iCs w:val="0"/>
                                    <w:noProof/>
                                    <w:color w:val="000000" w:themeColor="text1"/>
                                    <w:sz w:val="24"/>
                                    <w:szCs w:val="24"/>
                                  </w:rPr>
                                </w:pPr>
                                <w:r w:rsidRPr="00E60522">
                                  <w:rPr>
                                    <w:i w:val="0"/>
                                    <w:iCs w:val="0"/>
                                    <w:sz w:val="22"/>
                                    <w:szCs w:val="22"/>
                                  </w:rPr>
                                  <w:t xml:space="preserve">Figure </w:t>
                                </w:r>
                                <w:r w:rsidRPr="00E60522">
                                  <w:rPr>
                                    <w:i w:val="0"/>
                                    <w:iCs w:val="0"/>
                                    <w:sz w:val="22"/>
                                    <w:szCs w:val="22"/>
                                  </w:rPr>
                                  <w:fldChar w:fldCharType="begin"/>
                                </w:r>
                                <w:r w:rsidRPr="00E60522">
                                  <w:rPr>
                                    <w:i w:val="0"/>
                                    <w:iCs w:val="0"/>
                                    <w:sz w:val="22"/>
                                    <w:szCs w:val="22"/>
                                  </w:rPr>
                                  <w:instrText xml:space="preserve"> SEQ Figure \* ARABIC </w:instrText>
                                </w:r>
                                <w:r w:rsidRPr="00E60522">
                                  <w:rPr>
                                    <w:i w:val="0"/>
                                    <w:iCs w:val="0"/>
                                    <w:sz w:val="22"/>
                                    <w:szCs w:val="22"/>
                                  </w:rPr>
                                  <w:fldChar w:fldCharType="separate"/>
                                </w:r>
                                <w:r>
                                  <w:rPr>
                                    <w:i w:val="0"/>
                                    <w:iCs w:val="0"/>
                                    <w:noProof/>
                                    <w:sz w:val="22"/>
                                    <w:szCs w:val="22"/>
                                  </w:rPr>
                                  <w:t>1</w:t>
                                </w:r>
                                <w:r w:rsidRPr="00E60522">
                                  <w:rPr>
                                    <w:i w:val="0"/>
                                    <w:iCs w:val="0"/>
                                    <w:sz w:val="22"/>
                                    <w:szCs w:val="22"/>
                                  </w:rPr>
                                  <w:fldChar w:fldCharType="end"/>
                                </w:r>
                                <w:r w:rsidRPr="00E60522">
                                  <w:rPr>
                                    <w:i w:val="0"/>
                                    <w:iCs w:val="0"/>
                                    <w:sz w:val="22"/>
                                    <w:szCs w:val="22"/>
                                  </w:rPr>
                                  <w:t>. Cumulative losses in travel, March 2020 to December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A6A81B" id="_x0000_t202" coordsize="21600,21600" o:spt="202" path="m,l,21600r21600,l21600,xe">
                    <v:stroke joinstyle="miter"/>
                    <v:path gradientshapeok="t" o:connecttype="rect"/>
                  </v:shapetype>
                  <v:shape id="Text Box 16" o:spid="_x0000_s1026" type="#_x0000_t202" style="position:absolute;margin-left:0;margin-top:.65pt;width:486pt;height:15.85pt;z-index:251763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" stroked="f">
                    <v:textbox inset="0,0,0,0">
                      <w:txbxContent>
                        <w:p w14:paraId="56DE686B" w14:textId="1C411FFF" w:rsidR="00B146B2" w:rsidRPr="00E60522" w:rsidRDefault="00B146B2" w:rsidP="00324AA6">
                          <w:pPr>
                            <w:pStyle w:val="Caption"/>
                            <w:spacing w:after="0"/>
                            <w:rPr>
                              <w:i w:val="0"/>
                              <w:iCs w:val="0"/>
                              <w:noProof/>
                              <w:color w:val="000000" w:themeColor="text1"/>
                              <w:sz w:val="24"/>
                              <w:szCs w:val="24"/>
                            </w:rPr>
                          </w:pPr>
                          <w:r w:rsidRPr="00E60522">
                            <w:rPr>
                              <w:i w:val="0"/>
                              <w:iCs w:val="0"/>
                              <w:sz w:val="22"/>
                              <w:szCs w:val="22"/>
                            </w:rPr>
                            <w:t xml:space="preserve">Figure </w:t>
                          </w:r>
                          <w:r w:rsidRPr="00E60522">
                            <w:rPr>
                              <w:i w:val="0"/>
                              <w:iCs w:val="0"/>
                              <w:sz w:val="22"/>
                              <w:szCs w:val="22"/>
                            </w:rPr>
                            <w:fldChar w:fldCharType="begin"/>
                          </w:r>
                          <w:r w:rsidRPr="00E60522">
                            <w:rPr>
                              <w:i w:val="0"/>
                              <w:iCs w:val="0"/>
                              <w:sz w:val="22"/>
                              <w:szCs w:val="22"/>
                            </w:rPr>
                            <w:instrText xml:space="preserve"> SEQ Figure \* ARABIC </w:instrText>
                          </w:r>
                          <w:r w:rsidRPr="00E60522">
                            <w:rPr>
                              <w:i w:val="0"/>
                              <w:iCs w:val="0"/>
                              <w:sz w:val="22"/>
                              <w:szCs w:val="22"/>
                            </w:rPr>
                            <w:fldChar w:fldCharType="separate"/>
                          </w:r>
                          <w:r>
                            <w:rPr>
                              <w:i w:val="0"/>
                              <w:iCs w:val="0"/>
                              <w:noProof/>
                              <w:sz w:val="22"/>
                              <w:szCs w:val="22"/>
                            </w:rPr>
                            <w:t>1</w:t>
                          </w:r>
                          <w:r w:rsidRPr="00E60522">
                            <w:rPr>
                              <w:i w:val="0"/>
                              <w:iCs w:val="0"/>
                              <w:sz w:val="22"/>
                              <w:szCs w:val="22"/>
                            </w:rPr>
                            <w:fldChar w:fldCharType="end"/>
                          </w:r>
                          <w:r w:rsidRPr="00E60522">
                            <w:rPr>
                              <w:i w:val="0"/>
                              <w:iCs w:val="0"/>
                              <w:sz w:val="22"/>
                              <w:szCs w:val="22"/>
                            </w:rPr>
                            <w:t>. Cumulative losses in travel, March 2020 to December 2021*</w:t>
                          </w:r>
                        </w:p>
                      </w:txbxContent>
                    </v:textbox>
                    <w10:wrap anchorx="margin"/>
                  </v:shape>
                </w:pict>
              </mc:Fallback>
            </mc:AlternateContent>
          </w:r>
          <w:r w:rsidR="00061408">
            <w:rPr>
              <w:lang w:eastAsia="zh-CN"/>
            </w:rPr>
            <w:t xml:space="preserve"> </w:t>
          </w:r>
        </w:p>
        <w:p w14:paraId="55DF962D" w14:textId="68DD74F9" w:rsidR="00741FE2" w:rsidRDefault="00741FE2" w:rsidP="006611ED"/>
        <w:p w14:paraId="0640217E" w14:textId="65519911" w:rsidR="00741FE2" w:rsidRDefault="00741FE2" w:rsidP="006611ED"/>
        <w:p w14:paraId="066A0728" w14:textId="383EC65D" w:rsidR="00741FE2" w:rsidRDefault="00741FE2" w:rsidP="006611ED"/>
        <w:p w14:paraId="5B4CB78C" w14:textId="77777777" w:rsidR="00643A37" w:rsidRDefault="00643A37" w:rsidP="006611ED"/>
        <w:p w14:paraId="41E7994D" w14:textId="6CF10386" w:rsidR="00741FE2" w:rsidRDefault="00741FE2" w:rsidP="006611ED"/>
        <w:p w14:paraId="752122BD" w14:textId="5D2F9DC2" w:rsidR="00741FE2" w:rsidRDefault="00741FE2" w:rsidP="006611ED"/>
        <w:p w14:paraId="06C3F5EB" w14:textId="1A2DA43F" w:rsidR="00643A37" w:rsidRDefault="00643A37" w:rsidP="006611ED"/>
        <w:p w14:paraId="6402CE64" w14:textId="77777777" w:rsidR="00643A37" w:rsidRDefault="00643A37" w:rsidP="006611ED"/>
        <w:p w14:paraId="6458449A" w14:textId="63B58185" w:rsidR="00741FE2" w:rsidRDefault="00741FE2" w:rsidP="006611ED"/>
        <w:p w14:paraId="4536C0F4" w14:textId="77777777" w:rsidR="00643A37" w:rsidRDefault="00643A37" w:rsidP="006611ED"/>
        <w:p w14:paraId="2688675F" w14:textId="0BB718A8" w:rsidR="00643A37" w:rsidRDefault="00643A37" w:rsidP="00643A37">
          <w:pPr>
            <w:rPr>
              <w:lang w:eastAsia="zh-CN"/>
            </w:rPr>
          </w:pPr>
          <w:r>
            <w:t>In sharp contrast, overall measures of d</w:t>
          </w:r>
          <w:r>
            <w:rPr>
              <w:lang w:eastAsia="zh-CN"/>
            </w:rPr>
            <w:t>omestic tourism performance improved substantially in 2021 compared with 2020. The recovery has, however, been unevenly paced and unevenly spread</w:t>
          </w:r>
          <w:r w:rsidR="008C10C9">
            <w:rPr>
              <w:lang w:eastAsia="zh-CN"/>
            </w:rPr>
            <w:t>.</w:t>
          </w:r>
          <w:r>
            <w:rPr>
              <w:lang w:eastAsia="zh-CN"/>
            </w:rPr>
            <w:t xml:space="preserve"> </w:t>
          </w:r>
        </w:p>
        <w:p w14:paraId="6765F9C7" w14:textId="18BC5289" w:rsidR="00005806" w:rsidRPr="00B06AE0" w:rsidRDefault="001B7FA3" w:rsidP="00B06AE0">
          <w:pPr>
            <w:pStyle w:val="BulletList"/>
          </w:pPr>
          <w:r w:rsidRPr="00B06AE0">
            <w:t xml:space="preserve">From the middle of the year, the </w:t>
          </w:r>
          <w:r w:rsidR="00342801" w:rsidRPr="00B06AE0">
            <w:t xml:space="preserve">return of prolonged lockdowns across several eastern states </w:t>
          </w:r>
          <w:r w:rsidRPr="00B06AE0">
            <w:t>i</w:t>
          </w:r>
          <w:r w:rsidR="00342801" w:rsidRPr="00B06AE0">
            <w:t xml:space="preserve">mpeded </w:t>
          </w:r>
          <w:r w:rsidR="008231EC" w:rsidRPr="00B06AE0">
            <w:t xml:space="preserve">interstate </w:t>
          </w:r>
          <w:r w:rsidR="008E0B29" w:rsidRPr="00B06AE0">
            <w:t xml:space="preserve">and intrastate </w:t>
          </w:r>
          <w:r w:rsidR="008231EC" w:rsidRPr="00B06AE0">
            <w:t xml:space="preserve">travel </w:t>
          </w:r>
          <w:r w:rsidR="008E0B29" w:rsidRPr="00B06AE0">
            <w:t>demand. In contrast, W</w:t>
          </w:r>
          <w:r w:rsidR="00120B2E">
            <w:t xml:space="preserve">estern </w:t>
          </w:r>
          <w:r w:rsidR="008E0B29" w:rsidRPr="00B06AE0">
            <w:t>A</w:t>
          </w:r>
          <w:r w:rsidR="00120B2E">
            <w:t>ustralia</w:t>
          </w:r>
          <w:r w:rsidR="008E0B29" w:rsidRPr="00B06AE0">
            <w:t>, which had maintained low COVID caseloads, but was still closed to the rest of the country</w:t>
          </w:r>
          <w:r w:rsidRPr="00B06AE0">
            <w:t>,</w:t>
          </w:r>
          <w:r w:rsidR="008E0B29" w:rsidRPr="00B06AE0">
            <w:t xml:space="preserve"> experienced </w:t>
          </w:r>
          <w:r w:rsidR="00120B2E">
            <w:t>strong</w:t>
          </w:r>
          <w:r w:rsidR="008E0B29" w:rsidRPr="00B06AE0">
            <w:t xml:space="preserve"> intrastate tourism. </w:t>
          </w:r>
        </w:p>
        <w:p w14:paraId="6002EA46" w14:textId="47D8068A" w:rsidR="00FC3DC8" w:rsidRPr="00B06AE0" w:rsidRDefault="00342801" w:rsidP="00B06AE0">
          <w:pPr>
            <w:pStyle w:val="BulletList"/>
          </w:pPr>
          <w:r w:rsidRPr="00B06AE0">
            <w:t xml:space="preserve">As lockdowns </w:t>
          </w:r>
          <w:r w:rsidR="00005806" w:rsidRPr="00B06AE0">
            <w:t xml:space="preserve">from the Delta variant </w:t>
          </w:r>
          <w:r w:rsidRPr="00B06AE0">
            <w:t>ended</w:t>
          </w:r>
          <w:r w:rsidR="001B7FA3" w:rsidRPr="00B06AE0">
            <w:t xml:space="preserve"> in the last few months of 2021</w:t>
          </w:r>
          <w:r w:rsidRPr="00B06AE0">
            <w:t xml:space="preserve">, there were once again positive signs that a recovery was materialising. </w:t>
          </w:r>
        </w:p>
        <w:p w14:paraId="7AE4364C" w14:textId="04EBC59A" w:rsidR="00342801" w:rsidRPr="00B06AE0" w:rsidRDefault="007E7299" w:rsidP="00B06AE0">
          <w:pPr>
            <w:pStyle w:val="BulletList"/>
          </w:pPr>
          <w:r w:rsidRPr="00B06AE0">
            <w:t>The visitor economy then face</w:t>
          </w:r>
          <w:r w:rsidR="003A733A" w:rsidRPr="00B06AE0">
            <w:t>d</w:t>
          </w:r>
          <w:r w:rsidRPr="00B06AE0">
            <w:t xml:space="preserve"> another setback a</w:t>
          </w:r>
          <w:r w:rsidR="00633936" w:rsidRPr="00B06AE0">
            <w:t>t the end of 2021 and into 2022</w:t>
          </w:r>
          <w:r w:rsidRPr="00B06AE0">
            <w:t xml:space="preserve"> with the </w:t>
          </w:r>
          <w:r w:rsidR="00297187" w:rsidRPr="00B06AE0">
            <w:t>s</w:t>
          </w:r>
          <w:r w:rsidR="00A77A4C" w:rsidRPr="00B06AE0">
            <w:t xml:space="preserve">harp </w:t>
          </w:r>
          <w:r w:rsidR="00643A37">
            <w:t>rise</w:t>
          </w:r>
          <w:r w:rsidRPr="00B06AE0">
            <w:t xml:space="preserve"> in </w:t>
          </w:r>
          <w:r w:rsidR="00342801" w:rsidRPr="00B06AE0">
            <w:t>Omicron</w:t>
          </w:r>
          <w:r w:rsidRPr="00B06AE0">
            <w:t xml:space="preserve"> ca</w:t>
          </w:r>
          <w:r w:rsidR="0075636A" w:rsidRPr="00B06AE0">
            <w:t>s</w:t>
          </w:r>
          <w:r w:rsidRPr="00B06AE0">
            <w:t>es</w:t>
          </w:r>
          <w:r w:rsidR="00D410E2" w:rsidRPr="00B06AE0">
            <w:t xml:space="preserve">. </w:t>
          </w:r>
          <w:r w:rsidR="00342801" w:rsidRPr="00B06AE0">
            <w:t xml:space="preserve">This </w:t>
          </w:r>
          <w:r w:rsidR="003A733A" w:rsidRPr="00B06AE0">
            <w:t xml:space="preserve">inhibited </w:t>
          </w:r>
          <w:r w:rsidR="008E0B29" w:rsidRPr="00B06AE0">
            <w:t>many Australians from travelling</w:t>
          </w:r>
          <w:r w:rsidR="00A2599F" w:rsidRPr="00B06AE0">
            <w:t xml:space="preserve"> and </w:t>
          </w:r>
          <w:r w:rsidR="001E7390" w:rsidRPr="00B06AE0">
            <w:t xml:space="preserve">saw </w:t>
          </w:r>
          <w:r w:rsidR="00B65ED2" w:rsidRPr="00B06AE0">
            <w:t xml:space="preserve">increased </w:t>
          </w:r>
          <w:r w:rsidR="0021201F" w:rsidRPr="00B06AE0">
            <w:t xml:space="preserve">holiday </w:t>
          </w:r>
          <w:r w:rsidR="00FB14E6" w:rsidRPr="00B06AE0">
            <w:t>cancellations</w:t>
          </w:r>
          <w:r w:rsidR="00A2599F" w:rsidRPr="00B06AE0">
            <w:t xml:space="preserve">. </w:t>
          </w:r>
          <w:r w:rsidR="004F36E2" w:rsidRPr="00B06AE0">
            <w:t xml:space="preserve">Higher </w:t>
          </w:r>
          <w:r w:rsidR="00A2599F" w:rsidRPr="00B06AE0">
            <w:t xml:space="preserve">absenteeism also made it difficult for operators </w:t>
          </w:r>
          <w:r w:rsidR="00342801" w:rsidRPr="00B06AE0">
            <w:t xml:space="preserve">to </w:t>
          </w:r>
          <w:r w:rsidR="00A2599F" w:rsidRPr="00B06AE0">
            <w:t>adequately staff their businesses.</w:t>
          </w:r>
        </w:p>
        <w:p w14:paraId="7C1F04B4" w14:textId="0A399211" w:rsidR="006027B0" w:rsidRDefault="00CF0E04" w:rsidP="006611ED">
          <w:r>
            <w:t xml:space="preserve">This </w:t>
          </w:r>
          <w:r w:rsidR="00120B2E">
            <w:t>latest</w:t>
          </w:r>
          <w:r>
            <w:t xml:space="preserve"> setb</w:t>
          </w:r>
          <w:r w:rsidR="00A77A4C">
            <w:t>a</w:t>
          </w:r>
          <w:r>
            <w:t>ck proved to be short</w:t>
          </w:r>
          <w:r w:rsidR="001F02E1">
            <w:t>-</w:t>
          </w:r>
          <w:r>
            <w:t>lived</w:t>
          </w:r>
          <w:r w:rsidR="00643A37">
            <w:t xml:space="preserve">, however, </w:t>
          </w:r>
          <w:r>
            <w:t xml:space="preserve">as </w:t>
          </w:r>
          <w:r w:rsidR="00A77A4C">
            <w:t>Australians learned to live with the virus</w:t>
          </w:r>
          <w:r w:rsidR="00964662">
            <w:t xml:space="preserve"> and self-isolati</w:t>
          </w:r>
          <w:r w:rsidR="003D45F8">
            <w:t>on replaced lockdowns</w:t>
          </w:r>
          <w:r w:rsidR="00FA1C89">
            <w:t>. As a result</w:t>
          </w:r>
          <w:r w:rsidR="00B94670">
            <w:t>,</w:t>
          </w:r>
          <w:r w:rsidR="00FA1C89">
            <w:t xml:space="preserve"> </w:t>
          </w:r>
          <w:r w:rsidR="00342801">
            <w:t xml:space="preserve">visitation </w:t>
          </w:r>
          <w:r w:rsidR="00643A37">
            <w:t xml:space="preserve">and visitor spend </w:t>
          </w:r>
          <w:r w:rsidR="00342801">
            <w:t>ha</w:t>
          </w:r>
          <w:r w:rsidR="00643A37">
            <w:t>ve</w:t>
          </w:r>
          <w:r w:rsidR="00342801">
            <w:t xml:space="preserve"> picked up markedly since Delt</w:t>
          </w:r>
          <w:r w:rsidR="0021201F">
            <w:t>a</w:t>
          </w:r>
          <w:r w:rsidR="00342801">
            <w:t xml:space="preserve"> lockdowns eased from October 2021. </w:t>
          </w:r>
        </w:p>
        <w:p w14:paraId="5CEE9A03" w14:textId="228F2E43" w:rsidR="007A0A48" w:rsidRDefault="007A0A48" w:rsidP="007A0A48">
          <w:pPr>
            <w:pStyle w:val="CommentText"/>
            <w:spacing w:line="300" w:lineRule="exact"/>
          </w:pPr>
          <w:r>
            <w:t xml:space="preserve">Also, from late last year, a staged reopening of the international border began. </w:t>
          </w:r>
          <w:r w:rsidR="00120B2E">
            <w:t>While</w:t>
          </w:r>
          <w:r w:rsidR="0021201F">
            <w:t xml:space="preserve"> the return of international tourism is </w:t>
          </w:r>
          <w:r>
            <w:t xml:space="preserve">very </w:t>
          </w:r>
          <w:r w:rsidR="00342801">
            <w:t>positive for the visitor economy</w:t>
          </w:r>
          <w:r w:rsidR="0021201F">
            <w:t xml:space="preserve">, it </w:t>
          </w:r>
          <w:r w:rsidR="00737EC6">
            <w:t>will</w:t>
          </w:r>
          <w:r w:rsidR="0021201F">
            <w:t xml:space="preserve"> </w:t>
          </w:r>
          <w:r>
            <w:t xml:space="preserve">likely </w:t>
          </w:r>
          <w:r w:rsidR="0021201F">
            <w:t xml:space="preserve">take </w:t>
          </w:r>
          <w:r w:rsidR="00120B2E">
            <w:t>some</w:t>
          </w:r>
          <w:r w:rsidR="0021201F">
            <w:t xml:space="preserve"> years</w:t>
          </w:r>
          <w:r w:rsidR="003A733A">
            <w:t xml:space="preserve"> for international travel</w:t>
          </w:r>
          <w:r w:rsidR="0021201F">
            <w:t xml:space="preserve"> to return to pre-pandemi</w:t>
          </w:r>
          <w:r w:rsidR="00A2599F">
            <w:t xml:space="preserve">c </w:t>
          </w:r>
          <w:r w:rsidR="00A2599F" w:rsidRPr="007A0A48">
            <w:t>levels</w:t>
          </w:r>
          <w:r w:rsidR="00342801" w:rsidRPr="007A0A48">
            <w:t xml:space="preserve">. </w:t>
          </w:r>
          <w:r w:rsidRPr="007A0A48">
            <w:t>The border opening does</w:t>
          </w:r>
          <w:r>
            <w:t>,</w:t>
          </w:r>
          <w:r w:rsidRPr="007A0A48">
            <w:t xml:space="preserve"> however</w:t>
          </w:r>
          <w:r>
            <w:t>,</w:t>
          </w:r>
          <w:r w:rsidRPr="007A0A48">
            <w:t xml:space="preserve"> mark the return of international students and working holiday makers (WHMs) to Australia. These travellers have traditionally been an important part of the visitor economy workforce, and will provide some relief to businesses facing severe worker shortages.</w:t>
          </w:r>
        </w:p>
        <w:p w14:paraId="69EE7F47" w14:textId="715D5A0A" w:rsidR="00B146B2" w:rsidRDefault="00B146B2" w:rsidP="00B146B2">
          <w:pPr>
            <w:pStyle w:val="Heading3"/>
          </w:pPr>
          <w:bookmarkStart w:id="26" w:name="_Toc106097668"/>
          <w:r>
            <w:t>Emerging from the pandemic</w:t>
          </w:r>
          <w:bookmarkEnd w:id="26"/>
        </w:p>
        <w:p w14:paraId="0A414060" w14:textId="13211812" w:rsidR="001D03BF" w:rsidRDefault="00120B2E" w:rsidP="00BF6C25">
          <w:r>
            <w:t>In 2022</w:t>
          </w:r>
          <w:r w:rsidR="00BF6C25">
            <w:t>, w</w:t>
          </w:r>
          <w:r w:rsidR="006611ED">
            <w:t>ith borders open</w:t>
          </w:r>
          <w:r w:rsidR="00F13954">
            <w:t xml:space="preserve"> and </w:t>
          </w:r>
          <w:r w:rsidR="006611ED">
            <w:t xml:space="preserve">lockdowns </w:t>
          </w:r>
          <w:r w:rsidR="00BF6C25">
            <w:t>likely</w:t>
          </w:r>
          <w:r w:rsidR="006611ED">
            <w:t xml:space="preserve"> </w:t>
          </w:r>
          <w:r w:rsidR="00F13954">
            <w:t xml:space="preserve">a thing of the past, </w:t>
          </w:r>
          <w:r w:rsidR="006611ED">
            <w:t xml:space="preserve">the </w:t>
          </w:r>
          <w:r w:rsidR="00F13954">
            <w:t xml:space="preserve">tourism </w:t>
          </w:r>
          <w:r w:rsidR="006611ED">
            <w:t xml:space="preserve">outlook </w:t>
          </w:r>
          <w:r w:rsidR="00BF6C25">
            <w:t>is</w:t>
          </w:r>
          <w:r w:rsidR="006611ED">
            <w:t xml:space="preserve"> </w:t>
          </w:r>
          <w:r w:rsidR="00BF6C25">
            <w:t>substantially</w:t>
          </w:r>
          <w:r w:rsidR="006611ED">
            <w:t xml:space="preserve"> better</w:t>
          </w:r>
          <w:r w:rsidR="00FA4175">
            <w:t xml:space="preserve"> than it </w:t>
          </w:r>
          <w:r w:rsidR="00BF6C25">
            <w:t>h</w:t>
          </w:r>
          <w:r w:rsidR="00FA4175">
            <w:t xml:space="preserve">as </w:t>
          </w:r>
          <w:r w:rsidR="00BF6C25">
            <w:t xml:space="preserve">been at any time over the past </w:t>
          </w:r>
          <w:r w:rsidR="00717F75">
            <w:t>2 </w:t>
          </w:r>
          <w:r w:rsidR="00FA4175">
            <w:t>year</w:t>
          </w:r>
          <w:r w:rsidR="00BF6C25">
            <w:t>s</w:t>
          </w:r>
          <w:r w:rsidR="006611ED">
            <w:t xml:space="preserve">. </w:t>
          </w:r>
          <w:r w:rsidR="001062C4">
            <w:t xml:space="preserve">From a domestic </w:t>
          </w:r>
          <w:r w:rsidR="0009385A">
            <w:t xml:space="preserve">perspective, </w:t>
          </w:r>
          <w:r w:rsidR="003523A1">
            <w:t xml:space="preserve">this </w:t>
          </w:r>
          <w:r w:rsidR="00996148">
            <w:t xml:space="preserve">positive outlook </w:t>
          </w:r>
          <w:r w:rsidR="003523A1">
            <w:t xml:space="preserve">is supported by high levels of </w:t>
          </w:r>
          <w:r w:rsidR="00D16CF3">
            <w:t>pent-up demand</w:t>
          </w:r>
          <w:r w:rsidR="00BF6C25">
            <w:t xml:space="preserve"> and </w:t>
          </w:r>
          <w:r w:rsidR="003A733A">
            <w:t>eagerness</w:t>
          </w:r>
          <w:r w:rsidR="00BF6C25">
            <w:t xml:space="preserve"> to travel domestically</w:t>
          </w:r>
          <w:r w:rsidR="00D16CF3">
            <w:t>, high savings</w:t>
          </w:r>
          <w:r w:rsidR="00BF6C25">
            <w:t xml:space="preserve"> and accrued leave balances</w:t>
          </w:r>
          <w:r w:rsidR="00921DCD">
            <w:t>,</w:t>
          </w:r>
          <w:r w:rsidR="004B39F0">
            <w:t xml:space="preserve"> fewer constraints </w:t>
          </w:r>
          <w:r w:rsidR="00C5531F">
            <w:t>at venues</w:t>
          </w:r>
          <w:r w:rsidR="00921DCD">
            <w:t xml:space="preserve"> and greater traveller confidence.</w:t>
          </w:r>
        </w:p>
        <w:p w14:paraId="323B6B2D" w14:textId="1463724B" w:rsidR="00D16CF3" w:rsidRDefault="00C82CC0" w:rsidP="00BF6C25">
          <w:r>
            <w:t>F</w:t>
          </w:r>
          <w:r w:rsidR="00BF6C25">
            <w:t xml:space="preserve">actors supporting a positive outlook for international tourism include the desire </w:t>
          </w:r>
          <w:r w:rsidR="00D16CF3">
            <w:t>to reconnect with family and friends, marketing Australia</w:t>
          </w:r>
          <w:r w:rsidR="00EB34A7">
            <w:t xml:space="preserve"> as a destination</w:t>
          </w:r>
          <w:r w:rsidR="00D16CF3">
            <w:t xml:space="preserve">, </w:t>
          </w:r>
          <w:r w:rsidR="00BF6C25">
            <w:t xml:space="preserve">and Australia’s </w:t>
          </w:r>
          <w:r w:rsidR="00D16CF3">
            <w:t>p</w:t>
          </w:r>
          <w:r w:rsidR="00495F38">
            <w:t xml:space="preserve">erceived </w:t>
          </w:r>
          <w:r w:rsidR="00D16CF3">
            <w:t>safe holiday destination status</w:t>
          </w:r>
          <w:r w:rsidR="00BF6C25">
            <w:t>.</w:t>
          </w:r>
        </w:p>
        <w:p w14:paraId="554C0B87" w14:textId="72BC246C" w:rsidR="00D16CF3" w:rsidRDefault="006611ED" w:rsidP="00D16CF3">
          <w:r>
            <w:t xml:space="preserve">But </w:t>
          </w:r>
          <w:r w:rsidR="00FA4175">
            <w:t xml:space="preserve">conditions are </w:t>
          </w:r>
          <w:r>
            <w:t>still challenging</w:t>
          </w:r>
          <w:r w:rsidR="00643A37">
            <w:t>.</w:t>
          </w:r>
          <w:r w:rsidR="003A733A">
            <w:t xml:space="preserve"> </w:t>
          </w:r>
          <w:r w:rsidR="00643A37">
            <w:t>T</w:t>
          </w:r>
          <w:r w:rsidR="00BF6C25">
            <w:t>he recovery will take time</w:t>
          </w:r>
          <w:r w:rsidR="00643A37">
            <w:t>, p</w:t>
          </w:r>
          <w:r w:rsidR="00BF6C25">
            <w:t xml:space="preserve">articularly for </w:t>
          </w:r>
          <w:r>
            <w:t>a few specific subsectors</w:t>
          </w:r>
          <w:r w:rsidR="00A661CE">
            <w:t>,</w:t>
          </w:r>
          <w:r w:rsidR="00D16CF3">
            <w:t xml:space="preserve"> </w:t>
          </w:r>
          <w:r w:rsidR="00BF6C25">
            <w:t xml:space="preserve">such as business </w:t>
          </w:r>
          <w:r w:rsidR="0032180F">
            <w:t>events</w:t>
          </w:r>
          <w:r w:rsidR="00A661CE">
            <w:t xml:space="preserve"> and</w:t>
          </w:r>
          <w:r w:rsidR="00BF6C25">
            <w:t xml:space="preserve"> </w:t>
          </w:r>
          <w:r w:rsidR="00D16CF3">
            <w:t>cruis</w:t>
          </w:r>
          <w:r w:rsidR="00120B2E">
            <w:t>ing</w:t>
          </w:r>
          <w:r w:rsidR="00A661CE">
            <w:t>,</w:t>
          </w:r>
          <w:r w:rsidR="00BF6C25">
            <w:t xml:space="preserve"> and </w:t>
          </w:r>
          <w:r w:rsidR="00BC0857">
            <w:t>for</w:t>
          </w:r>
          <w:r w:rsidR="0032180F">
            <w:t xml:space="preserve"> businesses </w:t>
          </w:r>
          <w:r w:rsidR="004A4485">
            <w:t xml:space="preserve">and regions </w:t>
          </w:r>
          <w:r w:rsidR="0032180F">
            <w:t xml:space="preserve">that are </w:t>
          </w:r>
          <w:r w:rsidR="00BF6C25">
            <w:t xml:space="preserve">highly reliant on </w:t>
          </w:r>
          <w:r w:rsidR="004A4485">
            <w:t xml:space="preserve">international tourists. </w:t>
          </w:r>
          <w:r w:rsidR="00BF6C25">
            <w:t>In addition, the i</w:t>
          </w:r>
          <w:r w:rsidR="00D16CF3">
            <w:t xml:space="preserve">ndustry </w:t>
          </w:r>
          <w:r w:rsidR="00D336CF">
            <w:t>must now face an environme</w:t>
          </w:r>
          <w:r w:rsidR="009E11A0">
            <w:t xml:space="preserve">nt of increased international competition </w:t>
          </w:r>
          <w:r w:rsidR="007403B8">
            <w:t>alongside emerging labour shortages</w:t>
          </w:r>
          <w:r w:rsidR="007103DE">
            <w:t xml:space="preserve"> and cost of living pressures</w:t>
          </w:r>
          <w:r w:rsidR="00D16CF3">
            <w:t>.</w:t>
          </w:r>
        </w:p>
        <w:p w14:paraId="2C5D8756" w14:textId="2E738E1C" w:rsidR="00D16CF3" w:rsidRDefault="006611ED" w:rsidP="00D16CF3">
          <w:r>
            <w:t xml:space="preserve">2022 is a critical year for </w:t>
          </w:r>
          <w:r w:rsidR="00120B2E">
            <w:t xml:space="preserve">the </w:t>
          </w:r>
          <w:r>
            <w:t>industry</w:t>
          </w:r>
          <w:r w:rsidR="00FA4175">
            <w:t xml:space="preserve"> as the recovery </w:t>
          </w:r>
          <w:r w:rsidR="00BF6C25">
            <w:t>takes hold</w:t>
          </w:r>
          <w:r>
            <w:t xml:space="preserve">. </w:t>
          </w:r>
          <w:r w:rsidR="00BF6C25">
            <w:t xml:space="preserve">The </w:t>
          </w:r>
          <w:r w:rsidR="00F17944">
            <w:t>THRIVE</w:t>
          </w:r>
          <w:r w:rsidR="00695F8A">
            <w:t> </w:t>
          </w:r>
          <w:r w:rsidR="00F17944">
            <w:t xml:space="preserve">2030 </w:t>
          </w:r>
          <w:r w:rsidR="0055395A">
            <w:t>S</w:t>
          </w:r>
          <w:r w:rsidR="00BF6C25">
            <w:t xml:space="preserve">trategy </w:t>
          </w:r>
          <w:r w:rsidR="00807D54" w:rsidRPr="001A4516">
            <w:t xml:space="preserve">for the Australian visitor economy </w:t>
          </w:r>
          <w:r w:rsidR="00BF6C25">
            <w:t>has been designed collaboratively to support the industry during</w:t>
          </w:r>
          <w:r w:rsidR="00F17944">
            <w:t xml:space="preserve"> the recovery and suggests way to ‘build back better’.</w:t>
          </w:r>
          <w:r w:rsidR="003118CF">
            <w:t xml:space="preserve"> The </w:t>
          </w:r>
          <w:r w:rsidR="0055395A">
            <w:t>S</w:t>
          </w:r>
          <w:r w:rsidR="003118CF">
            <w:t>trategy aspires to see the industry recover to pre-pandemic levels by 2024 and then continue grow</w:t>
          </w:r>
          <w:r w:rsidR="00B2342A">
            <w:t xml:space="preserve">ing </w:t>
          </w:r>
          <w:r w:rsidR="003118CF">
            <w:t>so that expenditure in the visitor economy reaches $230</w:t>
          </w:r>
          <w:r w:rsidR="0055395A">
            <w:t> </w:t>
          </w:r>
          <w:r w:rsidR="003118CF">
            <w:t xml:space="preserve">billion </w:t>
          </w:r>
          <w:r w:rsidR="003F2073">
            <w:t>by</w:t>
          </w:r>
          <w:r w:rsidR="003118CF">
            <w:t xml:space="preserve"> the year 2030.</w:t>
          </w:r>
        </w:p>
        <w:p w14:paraId="221FA2EA" w14:textId="09054743" w:rsidR="00B146B2" w:rsidRDefault="00B146B2" w:rsidP="00B146B2">
          <w:pPr>
            <w:pStyle w:val="Heading3"/>
          </w:pPr>
          <w:bookmarkStart w:id="27" w:name="_Toc106097669"/>
          <w:r>
            <w:t>Building back better</w:t>
          </w:r>
          <w:bookmarkEnd w:id="27"/>
        </w:p>
        <w:p w14:paraId="4DD4B091" w14:textId="4824C2C5" w:rsidR="001A4516" w:rsidRPr="001A4516" w:rsidRDefault="001A4516" w:rsidP="001A4516">
          <w:r w:rsidRPr="001A4516">
            <w:t>As the Australian and global tourism industries recover from the pandemic, the United Nations World Tourism Organization (UNWTO) encourages industry participants to focus on building back better. The UNWTO has developed the ‘One Planet Vision’ along with a ‘repository of inspiring initiatives, tools and strategic thinking’ to transform the vision into action.</w:t>
          </w:r>
          <w:r w:rsidRPr="001A4516">
            <w:rPr>
              <w:rStyle w:val="FootnoteReference"/>
            </w:rPr>
            <w:footnoteReference w:id="2"/>
          </w:r>
          <w:r w:rsidRPr="001A4516">
            <w:t xml:space="preserve"> </w:t>
          </w:r>
        </w:p>
        <w:p w14:paraId="73869991" w14:textId="3F3AC98A" w:rsidR="001A4516" w:rsidRDefault="001A4516" w:rsidP="001A4516">
          <w:r w:rsidRPr="001A4516">
            <w:t>The focus is to support tourism industries to be more sustainable, more respectful</w:t>
          </w:r>
          <w:r w:rsidR="00565E20">
            <w:t xml:space="preserve"> and inclusive</w:t>
          </w:r>
          <w:r w:rsidRPr="001A4516">
            <w:t xml:space="preserve"> of local communities and cultures and more able to contribute to the economic, social and environmental wellbeing of communities. These objectives also form part of the THRIVE 2030 </w:t>
          </w:r>
          <w:r w:rsidR="00196D9F">
            <w:t>S</w:t>
          </w:r>
          <w:r w:rsidR="00196D9F" w:rsidRPr="001A4516">
            <w:t xml:space="preserve">trategy </w:t>
          </w:r>
          <w:r w:rsidRPr="001A4516">
            <w:t>and are already being targeted by participants in the Australian tourism industry.</w:t>
          </w:r>
        </w:p>
        <w:p w14:paraId="78FE0A4A" w14:textId="58AB3DF5" w:rsidR="00413AE6" w:rsidRDefault="00565E20" w:rsidP="00413AE6">
          <w:r>
            <w:t xml:space="preserve">The UNWTO vision and the THRIVE 2030 Strategy objectives also align with </w:t>
          </w:r>
          <w:r w:rsidR="001A4516" w:rsidRPr="001A4516">
            <w:t>travellers</w:t>
          </w:r>
          <w:r>
            <w:t>’ desire t</w:t>
          </w:r>
          <w:r w:rsidR="001A4516" w:rsidRPr="001A4516">
            <w:t xml:space="preserve">o </w:t>
          </w:r>
          <w:r>
            <w:t>c</w:t>
          </w:r>
          <w:r w:rsidR="001A4516" w:rsidRPr="001A4516">
            <w:t>onnect more deeply with communities, their natural history and the environment</w:t>
          </w:r>
          <w:r>
            <w:t>. Therefore,</w:t>
          </w:r>
          <w:r w:rsidR="00413AE6" w:rsidRPr="00413AE6">
            <w:t xml:space="preserve"> </w:t>
          </w:r>
          <w:r w:rsidR="00413AE6">
            <w:t>p</w:t>
          </w:r>
          <w:r w:rsidR="00413AE6" w:rsidRPr="001A4516">
            <w:t xml:space="preserve">otential growth segments </w:t>
          </w:r>
          <w:r w:rsidR="00413AE6">
            <w:t xml:space="preserve">for the Australian tourism industry </w:t>
          </w:r>
          <w:r>
            <w:t xml:space="preserve">as it </w:t>
          </w:r>
          <w:r w:rsidR="003A0832">
            <w:t>‘</w:t>
          </w:r>
          <w:r>
            <w:t>builds back better</w:t>
          </w:r>
          <w:r w:rsidR="003A0832">
            <w:t>’</w:t>
          </w:r>
          <w:r>
            <w:t xml:space="preserve"> </w:t>
          </w:r>
          <w:r w:rsidR="00413AE6">
            <w:t xml:space="preserve">include ecotourism, low-impact tourism, and </w:t>
          </w:r>
          <w:r w:rsidR="00643A37">
            <w:t>I</w:t>
          </w:r>
          <w:r w:rsidR="00413AE6">
            <w:t xml:space="preserve">ndigenous tourism.  </w:t>
          </w:r>
        </w:p>
        <w:p w14:paraId="33D2BF46" w14:textId="62534B15" w:rsidR="00565E20" w:rsidRDefault="00565E20" w:rsidP="00565E20">
          <w:pPr>
            <w:pStyle w:val="FootnoteText"/>
            <w:spacing w:before="200" w:after="200" w:line="300" w:lineRule="exact"/>
          </w:pPr>
          <w:r w:rsidRPr="00565E20">
            <w:t xml:space="preserve">Embedding Indigenous tourism components </w:t>
          </w:r>
          <w:r>
            <w:t xml:space="preserve">(see </w:t>
          </w:r>
          <w:r w:rsidR="00E15874">
            <w:t>case study</w:t>
          </w:r>
          <w:r>
            <w:t xml:space="preserve">: The Jina Plan) </w:t>
          </w:r>
          <w:r w:rsidRPr="00565E20">
            <w:t xml:space="preserve">and improving accessibility </w:t>
          </w:r>
          <w:r>
            <w:t xml:space="preserve">(see box: Accessible tourism pilot project) </w:t>
          </w:r>
          <w:r w:rsidRPr="00565E20">
            <w:t>have been raised as avenues to ‘build back better’ in Australia. Improving the reach and contribution of the tourism industry to those with accessibility needs and promoting the sustainability and community principles of the world’s oldest living cultures may also provide greater yields for operators.</w:t>
          </w:r>
        </w:p>
        <w:p w14:paraId="4A720815" w14:textId="64459435" w:rsidR="00896825" w:rsidRDefault="00413AE6" w:rsidP="00BE66AE">
          <w:r>
            <w:t xml:space="preserve">Moreover, as the world emerges from the </w:t>
          </w:r>
          <w:r w:rsidR="00AC4849">
            <w:t>COVID-19</w:t>
          </w:r>
          <w:r>
            <w:t xml:space="preserve"> pandemic that caused so many changes to the way people live, work and play, possible growth segments include</w:t>
          </w:r>
          <w:r w:rsidR="00BE66AE">
            <w:t xml:space="preserve"> </w:t>
          </w:r>
          <w:r>
            <w:t>w</w:t>
          </w:r>
          <w:r w:rsidR="001A4516" w:rsidRPr="001A4516">
            <w:t>ellness tourism</w:t>
          </w:r>
          <w:r w:rsidR="00BE66AE">
            <w:t xml:space="preserve"> and </w:t>
          </w:r>
          <w:r w:rsidR="00AC4849">
            <w:t>‘</w:t>
          </w:r>
          <w:r w:rsidR="00BE66AE">
            <w:t>w</w:t>
          </w:r>
          <w:r w:rsidR="00BE66AE" w:rsidRPr="001A4516">
            <w:t>ork</w:t>
          </w:r>
          <w:r w:rsidR="00BE66AE">
            <w:t>-</w:t>
          </w:r>
          <w:r w:rsidR="00BE66AE" w:rsidRPr="001A4516">
            <w:t>cations</w:t>
          </w:r>
          <w:r w:rsidR="00AC4849">
            <w:t>’</w:t>
          </w:r>
          <w:r w:rsidR="00BE66AE">
            <w:t>/</w:t>
          </w:r>
          <w:r w:rsidR="001A4516" w:rsidRPr="001A4516">
            <w:t>work-from-anywhere</w:t>
          </w:r>
          <w:r>
            <w:t xml:space="preserve"> travel</w:t>
          </w:r>
          <w:r w:rsidR="00BE66AE">
            <w:t>.</w:t>
          </w:r>
        </w:p>
        <w:p w14:paraId="16B4C21B" w14:textId="7991AA77" w:rsidR="00896825" w:rsidRPr="00BA3814" w:rsidRDefault="00896825" w:rsidP="00B146B2">
          <w:pPr>
            <w:pStyle w:val="Heading4"/>
            <w:ind w:left="1134"/>
            <w:rPr>
              <w:shd w:val="clear" w:color="auto" w:fill="FFFFFF"/>
              <w:lang w:eastAsia="zh-CN"/>
            </w:rPr>
          </w:pPr>
          <w:r>
            <w:rPr>
              <w:shd w:val="clear" w:color="auto" w:fill="FFFFFF"/>
              <w:lang w:eastAsia="zh-CN"/>
            </w:rPr>
            <w:t xml:space="preserve">Box: </w:t>
          </w:r>
          <w:r w:rsidRPr="00BA3814">
            <w:rPr>
              <w:shd w:val="clear" w:color="auto" w:fill="FFFFFF"/>
              <w:lang w:eastAsia="zh-CN"/>
            </w:rPr>
            <w:t xml:space="preserve">Accessible tourism pilot project </w:t>
          </w:r>
        </w:p>
        <w:p w14:paraId="2F875529" w14:textId="77777777" w:rsidR="00896825" w:rsidRPr="00643A37" w:rsidRDefault="00896825" w:rsidP="00896825">
          <w:pPr>
            <w:spacing w:before="120" w:after="120" w:line="280" w:lineRule="exact"/>
            <w:ind w:left="1134" w:right="1134"/>
            <w:rPr>
              <w:color w:val="auto"/>
              <w:sz w:val="18"/>
              <w:szCs w:val="18"/>
            </w:rPr>
          </w:pPr>
          <w:r w:rsidRPr="00643A37">
            <w:rPr>
              <w:color w:val="auto"/>
              <w:sz w:val="18"/>
              <w:szCs w:val="18"/>
            </w:rPr>
            <w:t xml:space="preserve">A 2017 study by Tourism Research Australia revealed three </w:t>
          </w:r>
          <w:r>
            <w:rPr>
              <w:color w:val="auto"/>
              <w:sz w:val="18"/>
              <w:szCs w:val="18"/>
            </w:rPr>
            <w:t xml:space="preserve">quarters of </w:t>
          </w:r>
          <w:r w:rsidRPr="00643A37">
            <w:rPr>
              <w:color w:val="auto"/>
              <w:sz w:val="18"/>
              <w:szCs w:val="18"/>
            </w:rPr>
            <w:t>people living with disability regularly travel, spending about $3.2 billion each year.</w:t>
          </w:r>
          <w:r>
            <w:rPr>
              <w:color w:val="auto"/>
              <w:sz w:val="18"/>
              <w:szCs w:val="18"/>
            </w:rPr>
            <w:t>*</w:t>
          </w:r>
          <w:r w:rsidRPr="00643A37">
            <w:rPr>
              <w:color w:val="auto"/>
              <w:sz w:val="18"/>
              <w:szCs w:val="18"/>
            </w:rPr>
            <w:t xml:space="preserve"> But it also showed </w:t>
          </w:r>
          <w:r>
            <w:rPr>
              <w:color w:val="auto"/>
              <w:sz w:val="18"/>
              <w:szCs w:val="18"/>
            </w:rPr>
            <w:t>that many others</w:t>
          </w:r>
          <w:r w:rsidRPr="00643A37">
            <w:rPr>
              <w:color w:val="auto"/>
              <w:sz w:val="18"/>
              <w:szCs w:val="18"/>
            </w:rPr>
            <w:t xml:space="preserve"> would travel if products or technologies were available to support them.</w:t>
          </w:r>
        </w:p>
        <w:p w14:paraId="75DAC714" w14:textId="77777777" w:rsidR="00896825" w:rsidRPr="00643A37" w:rsidRDefault="00896825" w:rsidP="00896825">
          <w:pPr>
            <w:spacing w:before="120" w:after="120" w:line="280" w:lineRule="exact"/>
            <w:ind w:left="1134" w:right="1134"/>
            <w:rPr>
              <w:color w:val="auto"/>
              <w:sz w:val="18"/>
              <w:szCs w:val="18"/>
            </w:rPr>
          </w:pPr>
          <w:r w:rsidRPr="00643A37">
            <w:rPr>
              <w:color w:val="auto"/>
              <w:sz w:val="18"/>
              <w:szCs w:val="18"/>
            </w:rPr>
            <w:t xml:space="preserve">Austrade has appointed </w:t>
          </w:r>
          <w:r w:rsidRPr="00BA3814">
            <w:rPr>
              <w:rStyle w:val="Strong"/>
              <w:sz w:val="22"/>
              <w:szCs w:val="22"/>
            </w:rPr>
            <w:t>Push Adventures</w:t>
          </w:r>
          <w:r w:rsidRPr="00BA3814">
            <w:rPr>
              <w:color w:val="1E988A" w:themeColor="background2"/>
              <w:sz w:val="18"/>
              <w:szCs w:val="18"/>
            </w:rPr>
            <w:t xml:space="preserve"> </w:t>
          </w:r>
          <w:r w:rsidRPr="00643A37">
            <w:rPr>
              <w:color w:val="auto"/>
              <w:sz w:val="18"/>
              <w:szCs w:val="18"/>
            </w:rPr>
            <w:t>to deliver the National Accessible Tourism Mentoring Pilot Program, which will encourage tourism operators to explore</w:t>
          </w:r>
          <w:r w:rsidRPr="00643A37">
            <w:rPr>
              <w:rStyle w:val="Strong"/>
              <w:color w:val="auto"/>
              <w:sz w:val="22"/>
              <w:szCs w:val="22"/>
            </w:rPr>
            <w:t xml:space="preserve"> </w:t>
          </w:r>
          <w:r w:rsidRPr="00BA3814">
            <w:rPr>
              <w:rStyle w:val="Strong"/>
              <w:sz w:val="22"/>
              <w:szCs w:val="22"/>
            </w:rPr>
            <w:t>practical ways to improve the accessibility and inclusiveness of their product or service</w:t>
          </w:r>
          <w:r w:rsidRPr="00643A37">
            <w:rPr>
              <w:color w:val="auto"/>
              <w:sz w:val="18"/>
              <w:szCs w:val="18"/>
            </w:rPr>
            <w:t xml:space="preserve">. The program aims to develop an approach that can be widely adopted, as well as identify </w:t>
          </w:r>
          <w:r>
            <w:rPr>
              <w:color w:val="auto"/>
              <w:sz w:val="18"/>
              <w:szCs w:val="18"/>
            </w:rPr>
            <w:t>‘</w:t>
          </w:r>
          <w:r w:rsidRPr="00643A37">
            <w:rPr>
              <w:color w:val="auto"/>
              <w:sz w:val="18"/>
              <w:szCs w:val="18"/>
            </w:rPr>
            <w:t>champions</w:t>
          </w:r>
          <w:r>
            <w:rPr>
              <w:color w:val="auto"/>
              <w:sz w:val="18"/>
              <w:szCs w:val="18"/>
            </w:rPr>
            <w:t>’</w:t>
          </w:r>
          <w:r w:rsidRPr="00643A37">
            <w:rPr>
              <w:color w:val="auto"/>
              <w:sz w:val="18"/>
              <w:szCs w:val="18"/>
            </w:rPr>
            <w:t xml:space="preserve"> of accessible tourism. The program will be developed in partnership with state and territory tourism organisations</w:t>
          </w:r>
          <w:r>
            <w:rPr>
              <w:color w:val="auto"/>
              <w:sz w:val="18"/>
              <w:szCs w:val="18"/>
            </w:rPr>
            <w:t xml:space="preserve"> (STOs)</w:t>
          </w:r>
          <w:r w:rsidRPr="00643A37">
            <w:rPr>
              <w:color w:val="auto"/>
              <w:sz w:val="18"/>
              <w:szCs w:val="18"/>
            </w:rPr>
            <w:t>.</w:t>
          </w:r>
        </w:p>
        <w:p w14:paraId="65144B84" w14:textId="77777777" w:rsidR="00896825" w:rsidRDefault="00896825" w:rsidP="00896825">
          <w:pPr>
            <w:spacing w:before="120" w:after="120" w:line="280" w:lineRule="exact"/>
            <w:ind w:left="1134" w:right="1134"/>
            <w:rPr>
              <w:color w:val="auto"/>
              <w:sz w:val="18"/>
              <w:szCs w:val="18"/>
            </w:rPr>
          </w:pPr>
          <w:r w:rsidRPr="00643A37">
            <w:rPr>
              <w:color w:val="auto"/>
              <w:sz w:val="18"/>
              <w:szCs w:val="18"/>
            </w:rPr>
            <w:t xml:space="preserve">Push Adventures will provide a report to Austrade </w:t>
          </w:r>
          <w:r>
            <w:rPr>
              <w:color w:val="auto"/>
              <w:sz w:val="18"/>
              <w:szCs w:val="18"/>
            </w:rPr>
            <w:t xml:space="preserve">and the STOs </w:t>
          </w:r>
          <w:r w:rsidRPr="00643A37">
            <w:rPr>
              <w:color w:val="auto"/>
              <w:sz w:val="18"/>
              <w:szCs w:val="18"/>
            </w:rPr>
            <w:t>by the end of August 2022.</w:t>
          </w:r>
        </w:p>
        <w:p w14:paraId="56A1ED87" w14:textId="77777777" w:rsidR="00896825" w:rsidRDefault="00896825" w:rsidP="00896825">
          <w:pPr>
            <w:spacing w:before="120" w:after="120" w:line="280" w:lineRule="exact"/>
            <w:ind w:left="1134" w:right="1134"/>
            <w:rPr>
              <w:color w:val="auto"/>
              <w:sz w:val="18"/>
              <w:szCs w:val="18"/>
            </w:rPr>
          </w:pPr>
        </w:p>
        <w:p w14:paraId="1D22476F" w14:textId="77777777" w:rsidR="00896825" w:rsidRPr="00071948" w:rsidRDefault="00896825" w:rsidP="00896825">
          <w:pPr>
            <w:spacing w:before="120" w:after="120" w:line="280" w:lineRule="exact"/>
            <w:ind w:left="1134" w:right="1134"/>
            <w:rPr>
              <w:color w:val="auto"/>
              <w:sz w:val="16"/>
              <w:szCs w:val="16"/>
            </w:rPr>
          </w:pPr>
          <w:r>
            <w:rPr>
              <w:sz w:val="16"/>
              <w:szCs w:val="16"/>
            </w:rPr>
            <w:t>*</w:t>
          </w:r>
          <w:r w:rsidRPr="001A250B">
            <w:rPr>
              <w:sz w:val="16"/>
              <w:szCs w:val="16"/>
            </w:rPr>
            <w:t xml:space="preserve"> </w:t>
          </w:r>
          <w:r w:rsidRPr="00071948">
            <w:rPr>
              <w:sz w:val="16"/>
              <w:szCs w:val="16"/>
            </w:rPr>
            <w:t xml:space="preserve">See </w:t>
          </w:r>
          <w:hyperlink r:id="rId20" w:history="1">
            <w:r w:rsidRPr="00071948">
              <w:rPr>
                <w:rStyle w:val="Hyperlink"/>
                <w:sz w:val="16"/>
                <w:szCs w:val="16"/>
              </w:rPr>
              <w:t>Accessible Tourism in Victoria and Queensland | Tourism Research Australia</w:t>
            </w:r>
          </w:hyperlink>
        </w:p>
        <w:p w14:paraId="012DD054" w14:textId="61365D4F" w:rsidR="00120B2E" w:rsidRPr="00120B2E" w:rsidRDefault="001A4516" w:rsidP="00896825">
          <w:pPr>
            <w:spacing w:before="500" w:after="120"/>
          </w:pPr>
          <w:r w:rsidRPr="001A4516">
            <w:t xml:space="preserve">To help the sector going forward, </w:t>
          </w:r>
          <w:r w:rsidR="00643A37">
            <w:t>Tourism Research Australia (</w:t>
          </w:r>
          <w:r w:rsidRPr="001A4516">
            <w:t>TRA</w:t>
          </w:r>
          <w:r w:rsidR="00643A37">
            <w:t>)</w:t>
          </w:r>
          <w:r w:rsidR="00120B2E">
            <w:t xml:space="preserve"> is investing in </w:t>
          </w:r>
          <w:r w:rsidRPr="001A4516">
            <w:t>enhanced data offerings and complementary data sources</w:t>
          </w:r>
          <w:r w:rsidR="00120B2E">
            <w:t xml:space="preserve"> which will complement the existing surveys data. </w:t>
          </w:r>
          <w:r w:rsidR="00A332F6">
            <w:t xml:space="preserve">While ensuring we adhere to the strictest privacy protocols through the use of statistical methods and use of sample limitations for publishing, </w:t>
          </w:r>
          <w:r w:rsidR="00120B2E">
            <w:t>TRA is investigating the use of data that has:</w:t>
          </w:r>
        </w:p>
        <w:p w14:paraId="208A9BF0" w14:textId="41BDB3B9" w:rsidR="00120B2E" w:rsidRDefault="00A332F6" w:rsidP="00A332F6">
          <w:pPr>
            <w:pStyle w:val="BulletList"/>
          </w:pPr>
          <w:r>
            <w:t>m</w:t>
          </w:r>
          <w:r w:rsidR="00120B2E">
            <w:t>ore frequent reporting ability</w:t>
          </w:r>
        </w:p>
        <w:p w14:paraId="008CFA0B" w14:textId="5A9FCE2C" w:rsidR="00120B2E" w:rsidRDefault="00A332F6" w:rsidP="00A332F6">
          <w:pPr>
            <w:pStyle w:val="BulletList"/>
          </w:pPr>
          <w:r>
            <w:t>m</w:t>
          </w:r>
          <w:r w:rsidR="00120B2E">
            <w:t>ore granular level of detail (geographic)</w:t>
          </w:r>
        </w:p>
        <w:p w14:paraId="3B611FC9" w14:textId="0ECA9FAB" w:rsidR="00120B2E" w:rsidRDefault="00A332F6" w:rsidP="00A332F6">
          <w:pPr>
            <w:pStyle w:val="BulletList"/>
          </w:pPr>
          <w:r>
            <w:t>o</w:t>
          </w:r>
          <w:r w:rsidR="00120B2E">
            <w:t>pportunities for new insights and modelling</w:t>
          </w:r>
          <w:r w:rsidR="00AC4849">
            <w:t>.</w:t>
          </w:r>
        </w:p>
        <w:p w14:paraId="1BE7BEE6" w14:textId="45CA0C31" w:rsidR="00787F07" w:rsidRDefault="00787F07" w:rsidP="00787F07">
          <w:r>
            <w:t xml:space="preserve">The most useful sources are likely to be </w:t>
          </w:r>
          <w:r w:rsidR="007103DE">
            <w:t xml:space="preserve">related to </w:t>
          </w:r>
          <w:r>
            <w:t>telecommunications data and bookings data, as they are able to closely replicate key tourism definitions.</w:t>
          </w:r>
        </w:p>
        <w:p w14:paraId="5B978EDA" w14:textId="77777777" w:rsidR="00E72A8B" w:rsidRDefault="00E72A8B">
          <w:pPr>
            <w:spacing w:before="0" w:after="160" w:line="259" w:lineRule="auto"/>
            <w:rPr>
              <w:rFonts w:asciiTheme="minorHAnsi" w:eastAsiaTheme="minorEastAsia" w:hAnsiTheme="minorHAnsi"/>
              <w:color w:val="2E1A47" w:themeColor="text2"/>
              <w:sz w:val="24"/>
              <w:szCs w:val="24"/>
              <w:lang w:eastAsia="zh-CN"/>
            </w:rPr>
          </w:pPr>
          <w:r>
            <w:br w:type="page"/>
          </w:r>
        </w:p>
        <w:p w14:paraId="3048ECE3" w14:textId="7E7EA547" w:rsidR="00E72A8B" w:rsidRPr="00180F7D" w:rsidRDefault="00E72A8B" w:rsidP="00B146B2">
          <w:pPr>
            <w:pStyle w:val="Heading4"/>
            <w:ind w:left="567"/>
          </w:pPr>
          <w:r>
            <w:t xml:space="preserve">Case study: </w:t>
          </w:r>
          <w:r w:rsidRPr="00180F7D">
            <w:t>The Jina Plan</w:t>
          </w:r>
        </w:p>
        <w:p w14:paraId="78B48EC3" w14:textId="77777777" w:rsidR="00E72A8B" w:rsidRPr="00180F7D" w:rsidRDefault="00E72A8B" w:rsidP="00E72A8B">
          <w:pPr>
            <w:spacing w:before="120" w:after="120" w:line="280" w:lineRule="exact"/>
            <w:ind w:left="567" w:right="567"/>
            <w:rPr>
              <w:rFonts w:ascii="Calibri" w:hAnsi="Calibri"/>
              <w:sz w:val="18"/>
              <w:szCs w:val="18"/>
            </w:rPr>
          </w:pPr>
          <w:r w:rsidRPr="00180F7D">
            <w:rPr>
              <w:sz w:val="18"/>
              <w:szCs w:val="18"/>
            </w:rPr>
            <w:t>In May 2021, the WA Government launched Jina: Aboriginal Tourism Action Plan 2021</w:t>
          </w:r>
          <w:r>
            <w:rPr>
              <w:sz w:val="18"/>
              <w:szCs w:val="18"/>
            </w:rPr>
            <w:t>–</w:t>
          </w:r>
          <w:r w:rsidRPr="00180F7D">
            <w:rPr>
              <w:sz w:val="18"/>
              <w:szCs w:val="18"/>
            </w:rPr>
            <w:t xml:space="preserve">25. The Jina Plan is a whole-of-government approach to </w:t>
          </w:r>
          <w:r w:rsidRPr="00B83A77">
            <w:rPr>
              <w:rStyle w:val="Strong"/>
              <w:sz w:val="22"/>
              <w:szCs w:val="22"/>
            </w:rPr>
            <w:t>grow economic, job and social outcomes for Aboriginal people</w:t>
          </w:r>
          <w:r>
            <w:rPr>
              <w:rStyle w:val="Strong"/>
              <w:sz w:val="22"/>
              <w:szCs w:val="22"/>
            </w:rPr>
            <w:t>s</w:t>
          </w:r>
          <w:r w:rsidRPr="00B83A77">
            <w:rPr>
              <w:rStyle w:val="Strong"/>
              <w:sz w:val="22"/>
              <w:szCs w:val="22"/>
            </w:rPr>
            <w:t xml:space="preserve"> and communities through tourism</w:t>
          </w:r>
          <w:r w:rsidRPr="00B83A77">
            <w:rPr>
              <w:sz w:val="22"/>
              <w:szCs w:val="22"/>
            </w:rPr>
            <w:t>.</w:t>
          </w:r>
          <w:r w:rsidRPr="00180F7D">
            <w:rPr>
              <w:sz w:val="18"/>
              <w:szCs w:val="18"/>
            </w:rPr>
            <w:t xml:space="preserve"> It was developed through a cross-government initiative led by Tourism Western Australia, in consultation with the Western Australian Indigenous Tourism Operators Council.</w:t>
          </w:r>
        </w:p>
        <w:p w14:paraId="41D5C7ED" w14:textId="77777777" w:rsidR="00E72A8B" w:rsidRPr="00180F7D" w:rsidRDefault="00E72A8B" w:rsidP="00E72A8B">
          <w:pPr>
            <w:spacing w:before="120" w:after="120" w:line="280" w:lineRule="exact"/>
            <w:ind w:left="567" w:right="567"/>
            <w:rPr>
              <w:rFonts w:asciiTheme="majorHAnsi" w:hAnsiTheme="majorHAnsi" w:cs="Calibri"/>
              <w:sz w:val="18"/>
              <w:szCs w:val="18"/>
            </w:rPr>
          </w:pPr>
          <w:r w:rsidRPr="00180F7D">
            <w:rPr>
              <w:sz w:val="18"/>
              <w:szCs w:val="18"/>
            </w:rPr>
            <w:t>The Jina Plan incorporates three main focus areas: positioning W</w:t>
          </w:r>
          <w:r>
            <w:rPr>
              <w:sz w:val="18"/>
              <w:szCs w:val="18"/>
            </w:rPr>
            <w:t xml:space="preserve">estern </w:t>
          </w:r>
          <w:r w:rsidRPr="00180F7D">
            <w:rPr>
              <w:sz w:val="18"/>
              <w:szCs w:val="18"/>
            </w:rPr>
            <w:t>A</w:t>
          </w:r>
          <w:r>
            <w:rPr>
              <w:sz w:val="18"/>
              <w:szCs w:val="18"/>
            </w:rPr>
            <w:t>ustralia</w:t>
          </w:r>
          <w:r w:rsidRPr="00180F7D">
            <w:rPr>
              <w:sz w:val="18"/>
              <w:szCs w:val="18"/>
            </w:rPr>
            <w:t xml:space="preserve"> as the premier Aboriginal tourism destination in Australia; building capacity for Aboriginal people to enter the tourism sector; and facilitating the development of Aboriginal cultural experiences. Some of the key</w:t>
          </w:r>
          <w:r w:rsidRPr="00180F7D">
            <w:rPr>
              <w:rFonts w:asciiTheme="majorHAnsi" w:hAnsiTheme="majorHAnsi" w:cs="Calibri"/>
              <w:sz w:val="18"/>
              <w:szCs w:val="18"/>
            </w:rPr>
            <w:t xml:space="preserve"> achievements over the past year include:</w:t>
          </w:r>
        </w:p>
        <w:p w14:paraId="416396F4" w14:textId="77777777" w:rsidR="00E72A8B" w:rsidRPr="00180F7D" w:rsidRDefault="00E72A8B" w:rsidP="00E72A8B">
          <w:pPr>
            <w:pStyle w:val="BulletList"/>
            <w:spacing w:before="60" w:after="60" w:line="280" w:lineRule="exact"/>
            <w:ind w:left="851" w:right="567" w:hanging="284"/>
            <w:contextualSpacing w:val="0"/>
            <w:rPr>
              <w:rFonts w:asciiTheme="majorHAnsi" w:hAnsiTheme="majorHAnsi"/>
              <w:sz w:val="18"/>
              <w:szCs w:val="18"/>
            </w:rPr>
          </w:pPr>
          <w:r w:rsidRPr="00180F7D">
            <w:rPr>
              <w:rFonts w:asciiTheme="majorHAnsi" w:hAnsiTheme="majorHAnsi"/>
              <w:sz w:val="18"/>
              <w:szCs w:val="18"/>
            </w:rPr>
            <w:t>A celebration of Noongar culture through weekly smoking ceremon</w:t>
          </w:r>
          <w:r>
            <w:rPr>
              <w:rFonts w:asciiTheme="majorHAnsi" w:hAnsiTheme="majorHAnsi"/>
              <w:sz w:val="18"/>
              <w:szCs w:val="18"/>
            </w:rPr>
            <w:t>ies</w:t>
          </w:r>
          <w:r w:rsidRPr="00180F7D">
            <w:rPr>
              <w:rFonts w:asciiTheme="majorHAnsi" w:hAnsiTheme="majorHAnsi"/>
              <w:sz w:val="18"/>
              <w:szCs w:val="18"/>
            </w:rPr>
            <w:t xml:space="preserve"> and dance performances at </w:t>
          </w:r>
          <w:r>
            <w:rPr>
              <w:rFonts w:asciiTheme="majorHAnsi" w:hAnsiTheme="majorHAnsi"/>
              <w:sz w:val="18"/>
              <w:szCs w:val="18"/>
            </w:rPr>
            <w:t xml:space="preserve">the </w:t>
          </w:r>
          <w:r w:rsidRPr="00180F7D">
            <w:rPr>
              <w:rFonts w:asciiTheme="majorHAnsi" w:hAnsiTheme="majorHAnsi"/>
              <w:sz w:val="18"/>
              <w:szCs w:val="18"/>
            </w:rPr>
            <w:t>WA Museum, Boola Bardip</w:t>
          </w:r>
        </w:p>
        <w:p w14:paraId="24A2EFE6" w14:textId="77777777" w:rsidR="00E72A8B" w:rsidRPr="00180F7D" w:rsidRDefault="00E72A8B" w:rsidP="00E72A8B">
          <w:pPr>
            <w:pStyle w:val="BulletList"/>
            <w:spacing w:before="60" w:after="60" w:line="280" w:lineRule="exact"/>
            <w:ind w:left="851" w:right="567" w:hanging="284"/>
            <w:contextualSpacing w:val="0"/>
            <w:rPr>
              <w:rFonts w:asciiTheme="majorHAnsi" w:hAnsiTheme="majorHAnsi"/>
              <w:sz w:val="18"/>
              <w:szCs w:val="18"/>
            </w:rPr>
          </w:pPr>
          <w:r w:rsidRPr="00180F7D">
            <w:rPr>
              <w:rFonts w:asciiTheme="majorHAnsi" w:hAnsiTheme="majorHAnsi"/>
              <w:sz w:val="18"/>
              <w:szCs w:val="18"/>
            </w:rPr>
            <w:t xml:space="preserve">Jobs and skills training programs delivering Aboriginal hospitality employment outcomes </w:t>
          </w:r>
        </w:p>
        <w:p w14:paraId="19DA1B8E" w14:textId="77777777" w:rsidR="00E72A8B" w:rsidRPr="00180F7D" w:rsidRDefault="00E72A8B" w:rsidP="00E72A8B">
          <w:pPr>
            <w:pStyle w:val="BulletList"/>
            <w:spacing w:before="120" w:after="120" w:line="280" w:lineRule="exact"/>
            <w:ind w:left="851" w:right="567" w:hanging="284"/>
            <w:rPr>
              <w:rFonts w:asciiTheme="majorHAnsi" w:hAnsiTheme="majorHAnsi"/>
              <w:sz w:val="18"/>
              <w:szCs w:val="18"/>
            </w:rPr>
          </w:pPr>
          <w:r w:rsidRPr="00180F7D">
            <w:rPr>
              <w:rFonts w:asciiTheme="majorHAnsi" w:hAnsiTheme="majorHAnsi"/>
              <w:sz w:val="18"/>
              <w:szCs w:val="18"/>
            </w:rPr>
            <w:t>The use of local Aboriginal language and traditional place names in marketing and promotional activities</w:t>
          </w:r>
        </w:p>
        <w:p w14:paraId="5F5FD79F" w14:textId="77777777" w:rsidR="00E72A8B" w:rsidRPr="00A40C7F" w:rsidRDefault="00E72A8B" w:rsidP="00E72A8B">
          <w:pPr>
            <w:pStyle w:val="BulletList"/>
            <w:ind w:left="851" w:right="567" w:hanging="284"/>
            <w:rPr>
              <w:sz w:val="18"/>
              <w:szCs w:val="18"/>
            </w:rPr>
          </w:pPr>
          <w:r w:rsidRPr="00A40C7F">
            <w:rPr>
              <w:sz w:val="18"/>
              <w:szCs w:val="18"/>
            </w:rPr>
            <w:t xml:space="preserve">The opening of </w:t>
          </w:r>
          <w:r>
            <w:rPr>
              <w:sz w:val="18"/>
              <w:szCs w:val="18"/>
            </w:rPr>
            <w:t>WA’s</w:t>
          </w:r>
          <w:r w:rsidRPr="00A40C7F">
            <w:rPr>
              <w:sz w:val="18"/>
              <w:szCs w:val="18"/>
            </w:rPr>
            <w:t xml:space="preserve"> sixth Camping with Custodians campground, and commencement of construction </w:t>
          </w:r>
          <w:r>
            <w:rPr>
              <w:sz w:val="18"/>
              <w:szCs w:val="18"/>
            </w:rPr>
            <w:t>of</w:t>
          </w:r>
          <w:r w:rsidRPr="00A40C7F">
            <w:rPr>
              <w:sz w:val="18"/>
              <w:szCs w:val="18"/>
            </w:rPr>
            <w:t xml:space="preserve"> the seventh</w:t>
          </w:r>
        </w:p>
        <w:p w14:paraId="7ADFE213" w14:textId="77777777" w:rsidR="00E72A8B" w:rsidRPr="00BF4800" w:rsidRDefault="00E72A8B" w:rsidP="00E72A8B">
          <w:pPr>
            <w:pStyle w:val="BulletList"/>
            <w:numPr>
              <w:ilvl w:val="0"/>
              <w:numId w:val="21"/>
            </w:numPr>
            <w:spacing w:before="120" w:after="120" w:line="280" w:lineRule="exact"/>
            <w:ind w:left="851" w:right="567" w:hanging="284"/>
            <w:contextualSpacing w:val="0"/>
            <w:rPr>
              <w:rFonts w:asciiTheme="majorHAnsi" w:hAnsiTheme="majorHAnsi"/>
              <w:sz w:val="18"/>
              <w:szCs w:val="18"/>
            </w:rPr>
          </w:pPr>
          <w:r w:rsidRPr="002C71D0">
            <w:rPr>
              <w:rFonts w:asciiTheme="majorHAnsi" w:hAnsiTheme="majorHAnsi"/>
              <w:sz w:val="18"/>
              <w:szCs w:val="18"/>
            </w:rPr>
            <w:t xml:space="preserve">An expression of interest process </w:t>
          </w:r>
          <w:r>
            <w:rPr>
              <w:rFonts w:asciiTheme="majorHAnsi" w:hAnsiTheme="majorHAnsi"/>
              <w:sz w:val="18"/>
              <w:szCs w:val="18"/>
            </w:rPr>
            <w:t xml:space="preserve">to </w:t>
          </w:r>
          <w:r w:rsidRPr="002C71D0">
            <w:rPr>
              <w:rFonts w:asciiTheme="majorHAnsi" w:hAnsiTheme="majorHAnsi"/>
              <w:sz w:val="18"/>
              <w:szCs w:val="18"/>
            </w:rPr>
            <w:t>identify additional</w:t>
          </w:r>
          <w:r>
            <w:rPr>
              <w:rFonts w:asciiTheme="majorHAnsi" w:hAnsiTheme="majorHAnsi"/>
              <w:sz w:val="18"/>
              <w:szCs w:val="18"/>
            </w:rPr>
            <w:t xml:space="preserve"> </w:t>
          </w:r>
          <w:r w:rsidRPr="00180F7D">
            <w:rPr>
              <w:rFonts w:asciiTheme="majorHAnsi" w:hAnsiTheme="majorHAnsi"/>
              <w:sz w:val="18"/>
              <w:szCs w:val="18"/>
            </w:rPr>
            <w:t xml:space="preserve">Camping </w:t>
          </w:r>
          <w:r>
            <w:rPr>
              <w:rFonts w:asciiTheme="majorHAnsi" w:hAnsiTheme="majorHAnsi"/>
              <w:sz w:val="18"/>
              <w:szCs w:val="18"/>
            </w:rPr>
            <w:t xml:space="preserve">with Custodians </w:t>
          </w:r>
          <w:r w:rsidRPr="00180F7D">
            <w:rPr>
              <w:rFonts w:asciiTheme="majorHAnsi" w:hAnsiTheme="majorHAnsi"/>
              <w:sz w:val="18"/>
              <w:szCs w:val="18"/>
            </w:rPr>
            <w:t xml:space="preserve">campground </w:t>
          </w:r>
          <w:r>
            <w:rPr>
              <w:rFonts w:asciiTheme="majorHAnsi" w:hAnsiTheme="majorHAnsi"/>
              <w:sz w:val="18"/>
              <w:szCs w:val="18"/>
            </w:rPr>
            <w:t>opportunities around Western Australia</w:t>
          </w:r>
        </w:p>
        <w:p w14:paraId="79F0E1A5" w14:textId="34665DB8" w:rsidR="00E72A8B" w:rsidRDefault="00E72A8B" w:rsidP="00E72A8B">
          <w:pPr>
            <w:pStyle w:val="BulletList"/>
            <w:spacing w:before="120" w:after="120" w:line="280" w:lineRule="exact"/>
            <w:ind w:left="851" w:right="567" w:hanging="284"/>
            <w:rPr>
              <w:rFonts w:asciiTheme="majorHAnsi" w:hAnsiTheme="majorHAnsi"/>
              <w:sz w:val="18"/>
              <w:szCs w:val="18"/>
            </w:rPr>
          </w:pPr>
          <w:r>
            <w:rPr>
              <w:noProof/>
            </w:rPr>
            <w:drawing>
              <wp:anchor distT="0" distB="0" distL="114300" distR="114300" simplePos="0" relativeHeight="251834368" behindDoc="0" locked="0" layoutInCell="1" allowOverlap="1" wp14:anchorId="0A72A47B" wp14:editId="0A9743BF">
                <wp:simplePos x="0" y="0"/>
                <wp:positionH relativeFrom="column">
                  <wp:posOffset>2331720</wp:posOffset>
                </wp:positionH>
                <wp:positionV relativeFrom="paragraph">
                  <wp:posOffset>57785</wp:posOffset>
                </wp:positionV>
                <wp:extent cx="3867053" cy="2804160"/>
                <wp:effectExtent l="0" t="0" r="635" b="0"/>
                <wp:wrapNone/>
                <wp:docPr id="46" name="Picture 46" descr="Image of family engaging in an indigenous experience involving digeridoos around a campfire in WA.&#10;Image title: Campfire with Wulu Gurua Nyinda Eco Adventures.&#10;Courtesy of Tourism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of family engaging in an indigenous experience involving digeridoos around a campfire in WA.&#10;Image title: Campfire with Wulu Gurua Nyinda Eco Adventures.&#10;Courtesy of Tourism Western Australia."/>
                        <pic:cNvPicPr>
                          <a:picLocks noChangeAspect="1" noChangeArrowheads="1"/>
                        </pic:cNvPicPr>
                      </pic:nvPicPr>
                      <pic:blipFill rotWithShape="1">
                        <a:blip r:embed="rId21">
                          <a:extLst>
                            <a:ext uri="{28A0092B-C50C-407E-A947-70E740481C1C}">
                              <a14:useLocalDpi xmlns:a14="http://schemas.microsoft.com/office/drawing/2010/main" val="0"/>
                            </a:ext>
                          </a:extLst>
                        </a:blip>
                        <a:srcRect l="4263" t="1997" r="5668"/>
                        <a:stretch/>
                      </pic:blipFill>
                      <pic:spPr bwMode="auto">
                        <a:xfrm>
                          <a:off x="0" y="0"/>
                          <a:ext cx="3867053" cy="2804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0F7D">
            <w:rPr>
              <w:rFonts w:asciiTheme="majorHAnsi" w:hAnsiTheme="majorHAnsi"/>
              <w:sz w:val="18"/>
              <w:szCs w:val="18"/>
            </w:rPr>
            <w:t xml:space="preserve">An infrastructure and </w:t>
          </w:r>
          <w:r>
            <w:rPr>
              <w:rFonts w:asciiTheme="majorHAnsi" w:hAnsiTheme="majorHAnsi"/>
              <w:sz w:val="18"/>
              <w:szCs w:val="18"/>
            </w:rPr>
            <w:t>capacity</w:t>
          </w:r>
        </w:p>
        <w:p w14:paraId="3D4B53A1" w14:textId="77777777"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sidRPr="00180F7D">
            <w:rPr>
              <w:rFonts w:asciiTheme="majorHAnsi" w:hAnsiTheme="majorHAnsi"/>
              <w:sz w:val="18"/>
              <w:szCs w:val="18"/>
            </w:rPr>
            <w:t xml:space="preserve">building support </w:t>
          </w:r>
          <w:r>
            <w:rPr>
              <w:rFonts w:asciiTheme="majorHAnsi" w:hAnsiTheme="majorHAnsi"/>
              <w:sz w:val="18"/>
              <w:szCs w:val="18"/>
            </w:rPr>
            <w:t xml:space="preserve">program </w:t>
          </w:r>
        </w:p>
        <w:p w14:paraId="634A9CF3" w14:textId="57B0EF4E"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Pr>
              <w:rFonts w:asciiTheme="majorHAnsi" w:hAnsiTheme="majorHAnsi"/>
              <w:sz w:val="18"/>
              <w:szCs w:val="18"/>
            </w:rPr>
            <w:t xml:space="preserve">targeted </w:t>
          </w:r>
          <w:r w:rsidRPr="00180F7D">
            <w:rPr>
              <w:rFonts w:asciiTheme="majorHAnsi" w:hAnsiTheme="majorHAnsi"/>
              <w:sz w:val="18"/>
              <w:szCs w:val="18"/>
            </w:rPr>
            <w:t xml:space="preserve">at </w:t>
          </w:r>
          <w:r>
            <w:rPr>
              <w:rFonts w:asciiTheme="majorHAnsi" w:hAnsiTheme="majorHAnsi"/>
              <w:sz w:val="18"/>
              <w:szCs w:val="18"/>
            </w:rPr>
            <w:t xml:space="preserve">enhancing and </w:t>
          </w:r>
        </w:p>
        <w:p w14:paraId="4731E85F" w14:textId="77777777"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Pr>
              <w:rFonts w:asciiTheme="majorHAnsi" w:hAnsiTheme="majorHAnsi"/>
              <w:sz w:val="18"/>
              <w:szCs w:val="18"/>
            </w:rPr>
            <w:t xml:space="preserve">expanding Aboriginal tourism </w:t>
          </w:r>
        </w:p>
        <w:p w14:paraId="090F062F" w14:textId="77777777"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Pr>
              <w:rFonts w:asciiTheme="majorHAnsi" w:hAnsiTheme="majorHAnsi"/>
              <w:sz w:val="18"/>
              <w:szCs w:val="18"/>
            </w:rPr>
            <w:t xml:space="preserve">businesses on </w:t>
          </w:r>
          <w:r w:rsidRPr="00180F7D">
            <w:rPr>
              <w:rFonts w:asciiTheme="majorHAnsi" w:hAnsiTheme="majorHAnsi"/>
              <w:sz w:val="18"/>
              <w:szCs w:val="18"/>
            </w:rPr>
            <w:t>the Dampier</w:t>
          </w:r>
          <w:r>
            <w:rPr>
              <w:rFonts w:asciiTheme="majorHAnsi" w:hAnsiTheme="majorHAnsi"/>
              <w:sz w:val="18"/>
              <w:szCs w:val="18"/>
            </w:rPr>
            <w:t xml:space="preserve"> </w:t>
          </w:r>
        </w:p>
        <w:p w14:paraId="0535AA11" w14:textId="261830A6"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Pr>
              <w:rFonts w:asciiTheme="majorHAnsi" w:hAnsiTheme="majorHAnsi"/>
              <w:sz w:val="18"/>
              <w:szCs w:val="18"/>
            </w:rPr>
            <w:t>Peninsula</w:t>
          </w:r>
        </w:p>
        <w:p w14:paraId="0B6E6969" w14:textId="77777777" w:rsidR="00E72A8B" w:rsidRDefault="00E72A8B" w:rsidP="00E72A8B">
          <w:pPr>
            <w:pStyle w:val="BulletList"/>
            <w:spacing w:before="120" w:after="120" w:line="280" w:lineRule="exact"/>
            <w:ind w:left="851" w:right="567" w:hanging="284"/>
            <w:rPr>
              <w:rFonts w:asciiTheme="majorHAnsi" w:hAnsiTheme="majorHAnsi"/>
              <w:sz w:val="18"/>
              <w:szCs w:val="18"/>
            </w:rPr>
          </w:pPr>
          <w:r w:rsidRPr="00180F7D">
            <w:rPr>
              <w:rFonts w:asciiTheme="majorHAnsi" w:hAnsiTheme="majorHAnsi"/>
              <w:sz w:val="18"/>
              <w:szCs w:val="18"/>
            </w:rPr>
            <w:t>S</w:t>
          </w:r>
          <w:r>
            <w:rPr>
              <w:rFonts w:asciiTheme="majorHAnsi" w:hAnsiTheme="majorHAnsi"/>
              <w:sz w:val="18"/>
              <w:szCs w:val="18"/>
            </w:rPr>
            <w:t xml:space="preserve">upporting operators’ </w:t>
          </w:r>
        </w:p>
        <w:p w14:paraId="7ADCEBB8" w14:textId="77777777"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Pr>
              <w:rFonts w:asciiTheme="majorHAnsi" w:hAnsiTheme="majorHAnsi"/>
              <w:sz w:val="18"/>
              <w:szCs w:val="18"/>
            </w:rPr>
            <w:t xml:space="preserve">attendance at the 2022 </w:t>
          </w:r>
        </w:p>
        <w:p w14:paraId="26FD6AB3" w14:textId="77777777" w:rsidR="00E72A8B" w:rsidRDefault="00E72A8B" w:rsidP="00E72A8B">
          <w:pPr>
            <w:pStyle w:val="BulletList"/>
            <w:numPr>
              <w:ilvl w:val="0"/>
              <w:numId w:val="0"/>
            </w:numPr>
            <w:spacing w:before="120" w:after="120" w:line="280" w:lineRule="exact"/>
            <w:ind w:left="851" w:right="567"/>
            <w:rPr>
              <w:rFonts w:asciiTheme="majorHAnsi" w:hAnsiTheme="majorHAnsi"/>
              <w:noProof/>
              <w:sz w:val="18"/>
              <w:szCs w:val="18"/>
            </w:rPr>
          </w:pPr>
          <w:r>
            <w:rPr>
              <w:rFonts w:asciiTheme="majorHAnsi" w:hAnsiTheme="majorHAnsi"/>
              <w:sz w:val="18"/>
              <w:szCs w:val="18"/>
            </w:rPr>
            <w:t>Australian</w:t>
          </w:r>
          <w:r w:rsidRPr="00A40C7F">
            <w:rPr>
              <w:rFonts w:asciiTheme="majorHAnsi" w:hAnsiTheme="majorHAnsi"/>
              <w:sz w:val="18"/>
              <w:szCs w:val="18"/>
            </w:rPr>
            <w:t xml:space="preserve"> </w:t>
          </w:r>
          <w:r w:rsidRPr="00180F7D">
            <w:rPr>
              <w:rFonts w:asciiTheme="majorHAnsi" w:hAnsiTheme="majorHAnsi"/>
              <w:sz w:val="18"/>
              <w:szCs w:val="18"/>
            </w:rPr>
            <w:t>Tourism Exchange</w:t>
          </w:r>
          <w:r w:rsidRPr="00180F7D">
            <w:rPr>
              <w:rFonts w:asciiTheme="majorHAnsi" w:hAnsiTheme="majorHAnsi"/>
              <w:noProof/>
              <w:sz w:val="18"/>
              <w:szCs w:val="18"/>
            </w:rPr>
            <w:t xml:space="preserve"> </w:t>
          </w:r>
        </w:p>
        <w:p w14:paraId="4826F0F5" w14:textId="618ADAEC" w:rsidR="00E72A8B" w:rsidRDefault="00E72A8B" w:rsidP="00E72A8B">
          <w:pPr>
            <w:pStyle w:val="BulletList"/>
            <w:numPr>
              <w:ilvl w:val="0"/>
              <w:numId w:val="0"/>
            </w:numPr>
            <w:spacing w:before="120" w:after="120" w:line="280" w:lineRule="exact"/>
            <w:ind w:left="851" w:right="567"/>
            <w:rPr>
              <w:rFonts w:asciiTheme="majorHAnsi" w:hAnsiTheme="majorHAnsi"/>
              <w:noProof/>
              <w:sz w:val="18"/>
              <w:szCs w:val="18"/>
            </w:rPr>
          </w:pPr>
          <w:r>
            <w:rPr>
              <w:rFonts w:asciiTheme="majorHAnsi" w:hAnsiTheme="majorHAnsi"/>
              <w:noProof/>
              <w:sz w:val="18"/>
              <w:szCs w:val="18"/>
            </w:rPr>
            <w:t>and Australian Indigenous</w:t>
          </w:r>
        </w:p>
        <w:p w14:paraId="18F6B2AF" w14:textId="77777777" w:rsidR="00E72A8B" w:rsidRDefault="00E72A8B" w:rsidP="00E72A8B">
          <w:pPr>
            <w:pStyle w:val="BulletList"/>
            <w:numPr>
              <w:ilvl w:val="0"/>
              <w:numId w:val="0"/>
            </w:numPr>
            <w:spacing w:before="120" w:after="120" w:line="280" w:lineRule="exact"/>
            <w:ind w:left="851" w:right="567"/>
            <w:rPr>
              <w:rFonts w:asciiTheme="majorHAnsi" w:hAnsiTheme="majorHAnsi"/>
              <w:sz w:val="18"/>
              <w:szCs w:val="18"/>
            </w:rPr>
          </w:pPr>
          <w:r>
            <w:rPr>
              <w:rFonts w:asciiTheme="majorHAnsi" w:hAnsiTheme="majorHAnsi"/>
              <w:noProof/>
              <w:sz w:val="18"/>
              <w:szCs w:val="18"/>
            </w:rPr>
            <w:t>Tourism Conference.</w:t>
          </w:r>
        </w:p>
        <w:p w14:paraId="4B31A895" w14:textId="77777777" w:rsidR="00E72A8B" w:rsidRDefault="00E72A8B" w:rsidP="00E72A8B">
          <w:pPr>
            <w:pStyle w:val="BulletList"/>
            <w:numPr>
              <w:ilvl w:val="0"/>
              <w:numId w:val="0"/>
            </w:numPr>
            <w:spacing w:after="0" w:line="240" w:lineRule="exact"/>
            <w:ind w:left="567" w:right="567"/>
            <w:rPr>
              <w:b/>
              <w:bCs/>
              <w:sz w:val="16"/>
              <w:szCs w:val="16"/>
            </w:rPr>
          </w:pPr>
        </w:p>
        <w:p w14:paraId="4B1D4122" w14:textId="77777777" w:rsidR="00E72A8B" w:rsidRDefault="00E72A8B" w:rsidP="00E72A8B">
          <w:pPr>
            <w:pStyle w:val="BulletList"/>
            <w:numPr>
              <w:ilvl w:val="0"/>
              <w:numId w:val="0"/>
            </w:numPr>
            <w:spacing w:after="0" w:line="240" w:lineRule="exact"/>
            <w:ind w:left="567" w:right="567"/>
            <w:rPr>
              <w:b/>
              <w:bCs/>
              <w:sz w:val="16"/>
              <w:szCs w:val="16"/>
            </w:rPr>
          </w:pPr>
        </w:p>
        <w:p w14:paraId="238B2CA7" w14:textId="77777777" w:rsidR="00E72A8B" w:rsidRDefault="00E72A8B" w:rsidP="00E72A8B">
          <w:pPr>
            <w:pStyle w:val="BulletList"/>
            <w:numPr>
              <w:ilvl w:val="0"/>
              <w:numId w:val="0"/>
            </w:numPr>
            <w:spacing w:after="0" w:line="240" w:lineRule="exact"/>
            <w:ind w:left="567" w:right="567"/>
            <w:rPr>
              <w:b/>
              <w:bCs/>
              <w:sz w:val="16"/>
              <w:szCs w:val="16"/>
            </w:rPr>
          </w:pPr>
          <w:r w:rsidRPr="00E753FB">
            <w:rPr>
              <w:b/>
              <w:bCs/>
              <w:sz w:val="16"/>
              <w:szCs w:val="16"/>
            </w:rPr>
            <w:t xml:space="preserve">Courtesy of Tourism </w:t>
          </w:r>
          <w:r>
            <w:rPr>
              <w:b/>
              <w:bCs/>
              <w:sz w:val="16"/>
              <w:szCs w:val="16"/>
            </w:rPr>
            <w:t>Western</w:t>
          </w:r>
          <w:r w:rsidRPr="00E753FB">
            <w:rPr>
              <w:b/>
              <w:bCs/>
              <w:sz w:val="16"/>
              <w:szCs w:val="16"/>
            </w:rPr>
            <w:t xml:space="preserve"> </w:t>
          </w:r>
        </w:p>
        <w:p w14:paraId="3C58897F" w14:textId="62F31C22" w:rsidR="00E72A8B" w:rsidRDefault="00E72A8B" w:rsidP="00E72A8B">
          <w:pPr>
            <w:pStyle w:val="BulletList"/>
            <w:numPr>
              <w:ilvl w:val="0"/>
              <w:numId w:val="0"/>
            </w:numPr>
            <w:spacing w:after="0" w:line="240" w:lineRule="exact"/>
            <w:ind w:left="567" w:right="567"/>
            <w:rPr>
              <w:b/>
              <w:bCs/>
              <w:sz w:val="16"/>
              <w:szCs w:val="16"/>
            </w:rPr>
          </w:pPr>
          <w:r w:rsidRPr="00E753FB">
            <w:rPr>
              <w:b/>
              <w:bCs/>
              <w:sz w:val="16"/>
              <w:szCs w:val="16"/>
            </w:rPr>
            <w:t>Australia</w:t>
          </w:r>
          <w:r>
            <w:rPr>
              <w:b/>
              <w:bCs/>
              <w:sz w:val="16"/>
              <w:szCs w:val="16"/>
            </w:rPr>
            <w:t>.</w:t>
          </w:r>
        </w:p>
        <w:p w14:paraId="11FE433F" w14:textId="77777777" w:rsidR="00E72A8B" w:rsidRDefault="00E72A8B" w:rsidP="00E72A8B">
          <w:pPr>
            <w:pStyle w:val="BulletList"/>
            <w:numPr>
              <w:ilvl w:val="0"/>
              <w:numId w:val="0"/>
            </w:numPr>
            <w:spacing w:after="0" w:line="240" w:lineRule="exact"/>
            <w:ind w:left="567" w:right="567"/>
            <w:rPr>
              <w:b/>
              <w:bCs/>
              <w:i/>
              <w:iCs/>
              <w:sz w:val="16"/>
              <w:szCs w:val="16"/>
            </w:rPr>
          </w:pPr>
          <w:r>
            <w:rPr>
              <w:b/>
              <w:bCs/>
              <w:sz w:val="16"/>
              <w:szCs w:val="16"/>
            </w:rPr>
            <w:t xml:space="preserve">Image: </w:t>
          </w:r>
          <w:r w:rsidRPr="0095562C">
            <w:rPr>
              <w:b/>
              <w:bCs/>
              <w:i/>
              <w:iCs/>
              <w:sz w:val="16"/>
              <w:szCs w:val="16"/>
            </w:rPr>
            <w:t xml:space="preserve">Campfire with Wulu </w:t>
          </w:r>
        </w:p>
        <w:p w14:paraId="26BBB7A8" w14:textId="13F009EC" w:rsidR="00E72A8B" w:rsidRDefault="00E72A8B" w:rsidP="00E72A8B">
          <w:pPr>
            <w:pStyle w:val="BulletList"/>
            <w:numPr>
              <w:ilvl w:val="0"/>
              <w:numId w:val="0"/>
            </w:numPr>
            <w:spacing w:after="0" w:line="240" w:lineRule="exact"/>
            <w:ind w:left="567" w:right="567"/>
            <w:rPr>
              <w:b/>
              <w:bCs/>
              <w:i/>
              <w:iCs/>
              <w:sz w:val="16"/>
              <w:szCs w:val="16"/>
            </w:rPr>
          </w:pPr>
          <w:r w:rsidRPr="0095562C">
            <w:rPr>
              <w:b/>
              <w:bCs/>
              <w:i/>
              <w:iCs/>
              <w:sz w:val="16"/>
              <w:szCs w:val="16"/>
            </w:rPr>
            <w:t>Gurua</w:t>
          </w:r>
          <w:bookmarkStart w:id="28" w:name="_Hlk100754339"/>
          <w:r>
            <w:rPr>
              <w:b/>
              <w:bCs/>
              <w:i/>
              <w:iCs/>
              <w:sz w:val="16"/>
              <w:szCs w:val="16"/>
            </w:rPr>
            <w:t xml:space="preserve"> </w:t>
          </w:r>
          <w:r w:rsidRPr="0095562C">
            <w:rPr>
              <w:b/>
              <w:bCs/>
              <w:i/>
              <w:iCs/>
              <w:sz w:val="16"/>
              <w:szCs w:val="16"/>
            </w:rPr>
            <w:t>Nyinda Eco Adventures</w:t>
          </w:r>
          <w:r>
            <w:rPr>
              <w:b/>
              <w:bCs/>
              <w:i/>
              <w:iCs/>
              <w:sz w:val="16"/>
              <w:szCs w:val="16"/>
            </w:rPr>
            <w:t>.</w:t>
          </w:r>
          <w:bookmarkEnd w:id="28"/>
        </w:p>
        <w:p w14:paraId="0A818027" w14:textId="77777777" w:rsidR="00E72A8B" w:rsidRPr="002C71D0" w:rsidRDefault="00E72A8B" w:rsidP="00E72A8B">
          <w:pPr>
            <w:spacing w:before="0" w:after="0" w:line="240" w:lineRule="exact"/>
            <w:ind w:left="567" w:right="567"/>
            <w:rPr>
              <w:b/>
              <w:bCs/>
              <w:i/>
              <w:iCs/>
              <w:sz w:val="16"/>
              <w:szCs w:val="16"/>
            </w:rPr>
          </w:pPr>
        </w:p>
        <w:p w14:paraId="54F168E3" w14:textId="77777777" w:rsidR="00C12131" w:rsidRDefault="00C12131">
          <w:pPr>
            <w:spacing w:before="0" w:after="160" w:line="259" w:lineRule="auto"/>
            <w:rPr>
              <w:rStyle w:val="Heading4Char"/>
              <w:color w:val="2E1A47" w:themeColor="text2"/>
              <w:sz w:val="32"/>
              <w:szCs w:val="32"/>
            </w:rPr>
          </w:pPr>
          <w:r>
            <w:rPr>
              <w:rStyle w:val="Heading4Char"/>
              <w:bCs w:val="0"/>
              <w:color w:val="2E1A47" w:themeColor="text2"/>
              <w:sz w:val="32"/>
              <w:szCs w:val="32"/>
            </w:rPr>
            <w:br w:type="page"/>
          </w:r>
        </w:p>
        <w:p w14:paraId="41D4179A" w14:textId="342349EB" w:rsidR="00B146B2" w:rsidRDefault="00B146B2" w:rsidP="00B146B2">
          <w:pPr>
            <w:pStyle w:val="Heading3"/>
          </w:pPr>
          <w:bookmarkStart w:id="29" w:name="_Toc106097670"/>
          <w:r>
            <w:t>THRIVE 2030</w:t>
          </w:r>
          <w:bookmarkEnd w:id="29"/>
        </w:p>
        <w:p w14:paraId="667B6178" w14:textId="76B2BB9B" w:rsidR="008C1EDB" w:rsidRPr="00B51BCB" w:rsidRDefault="008C1EDB" w:rsidP="008C1EDB">
          <w:pPr>
            <w:rPr>
              <w:color w:val="auto"/>
            </w:rPr>
          </w:pPr>
          <w:r w:rsidRPr="00B51BCB">
            <w:rPr>
              <w:color w:val="auto"/>
            </w:rPr>
            <w:t>On 25 March 2022, the Australian Government released the national long-term visitor economy</w:t>
          </w:r>
          <w:r w:rsidRPr="008C1EDB">
            <w:rPr>
              <w:color w:val="auto"/>
            </w:rPr>
            <w:t xml:space="preserve"> </w:t>
          </w:r>
          <w:r w:rsidRPr="00B51BCB">
            <w:rPr>
              <w:color w:val="auto"/>
            </w:rPr>
            <w:t xml:space="preserve">strategy, </w:t>
          </w:r>
          <w:hyperlink r:id="rId22" w:history="1">
            <w:r w:rsidR="003F512C">
              <w:rPr>
                <w:rStyle w:val="Hyperlink"/>
              </w:rPr>
              <w:t>THRIVE 2030 (THe Re-Imagined Visitor Economy)</w:t>
            </w:r>
          </w:hyperlink>
          <w:r w:rsidRPr="00B51BCB">
            <w:rPr>
              <w:color w:val="auto"/>
            </w:rPr>
            <w:t xml:space="preserve"> to rebuild and grow the visitor</w:t>
          </w:r>
          <w:r w:rsidRPr="008C1EDB">
            <w:rPr>
              <w:color w:val="auto"/>
            </w:rPr>
            <w:t xml:space="preserve"> </w:t>
          </w:r>
          <w:r w:rsidRPr="00B51BCB">
            <w:rPr>
              <w:color w:val="auto"/>
            </w:rPr>
            <w:t xml:space="preserve">economy. THRIVE 2030 is </w:t>
          </w:r>
          <w:r w:rsidR="00E15874">
            <w:rPr>
              <w:color w:val="auto"/>
            </w:rPr>
            <w:t>the national industry-led, government-enabled</w:t>
          </w:r>
          <w:r w:rsidRPr="00B51BCB">
            <w:rPr>
              <w:color w:val="auto"/>
            </w:rPr>
            <w:t xml:space="preserve"> long-term strategy for visitor economy recovery</w:t>
          </w:r>
          <w:r w:rsidRPr="008C1EDB">
            <w:rPr>
              <w:color w:val="auto"/>
            </w:rPr>
            <w:t xml:space="preserve"> </w:t>
          </w:r>
          <w:r w:rsidRPr="00B51BCB">
            <w:rPr>
              <w:color w:val="auto"/>
            </w:rPr>
            <w:t xml:space="preserve">and return to sustainable growth, spanning across 2022-2030. The </w:t>
          </w:r>
          <w:r>
            <w:rPr>
              <w:color w:val="auto"/>
            </w:rPr>
            <w:t>S</w:t>
          </w:r>
          <w:r w:rsidRPr="00B51BCB">
            <w:rPr>
              <w:color w:val="auto"/>
            </w:rPr>
            <w:t>trategy has three key</w:t>
          </w:r>
          <w:r w:rsidRPr="008C1EDB">
            <w:rPr>
              <w:color w:val="auto"/>
            </w:rPr>
            <w:t xml:space="preserve"> </w:t>
          </w:r>
          <w:r w:rsidRPr="00B51BCB">
            <w:rPr>
              <w:color w:val="auto"/>
            </w:rPr>
            <w:t xml:space="preserve">themes: Collaborate, Modernise, and Diversify. </w:t>
          </w:r>
        </w:p>
        <w:p w14:paraId="2A8D7A47" w14:textId="179D1B38" w:rsidR="00E15874" w:rsidRPr="00E15874" w:rsidRDefault="008C1EDB" w:rsidP="00E15874">
          <w:pPr>
            <w:autoSpaceDE w:val="0"/>
            <w:autoSpaceDN w:val="0"/>
            <w:adjustRightInd w:val="0"/>
            <w:spacing w:before="0" w:after="0"/>
          </w:pPr>
          <w:r w:rsidRPr="00B22060">
            <w:t xml:space="preserve">The Strategy’s first phase, to 2024, is focused on recovery. It contains a comprehensive action plan including 66 actions for the Commonwealth, states, territories and industry to address the short-term challenges created by COVID-19, as well as pre-existing structural trends, challenges and issues. Twenty-one Commonwealth agencies will be involved in implementation. </w:t>
          </w:r>
          <w:r w:rsidR="00E15874" w:rsidRPr="00E15874">
            <w:t>In the first year of the Strategy, long-term indicators will be established to enable the measurement of progress against the Strategy action plan.</w:t>
          </w:r>
        </w:p>
        <w:p w14:paraId="3A7059C1" w14:textId="3581B262" w:rsidR="008C1EDB" w:rsidRPr="00B22060" w:rsidRDefault="008C1EDB" w:rsidP="008C1EDB">
          <w:r w:rsidRPr="00B22060">
            <w:t>The Recovery phase is followed by the Consolidation phase (from 2025 to 2027), and the Acceleration phase (from 2028 to 2030). This phased approach enables prioritisation of recovery activities to rebuild the industry and to provide the foundation for sustainable and accelerated growth in the second and third phases.</w:t>
          </w:r>
        </w:p>
        <w:p w14:paraId="03301A95" w14:textId="32C94438" w:rsidR="008C1EDB" w:rsidRPr="00B51BCB" w:rsidRDefault="008C1EDB" w:rsidP="008C1EDB">
          <w:pPr>
            <w:rPr>
              <w:color w:val="auto"/>
            </w:rPr>
          </w:pPr>
          <w:r w:rsidRPr="00B51BCB">
            <w:rPr>
              <w:color w:val="auto"/>
            </w:rPr>
            <w:t>THRIVE 2030 sets a long-term target of $230</w:t>
          </w:r>
          <w:r>
            <w:rPr>
              <w:color w:val="auto"/>
            </w:rPr>
            <w:t> </w:t>
          </w:r>
          <w:r w:rsidRPr="00B51BCB">
            <w:rPr>
              <w:color w:val="auto"/>
            </w:rPr>
            <w:t>billion total visitor spend by 2030, of which $100 billion is in regional spend. An interim target of $166</w:t>
          </w:r>
          <w:r>
            <w:rPr>
              <w:color w:val="auto"/>
            </w:rPr>
            <w:t> </w:t>
          </w:r>
          <w:r w:rsidRPr="00B51BCB">
            <w:rPr>
              <w:color w:val="auto"/>
            </w:rPr>
            <w:t>billion has been set for 2024 (reflecting a return to pre-pandemic spend in 2019), with a $70</w:t>
          </w:r>
          <w:r>
            <w:rPr>
              <w:color w:val="auto"/>
            </w:rPr>
            <w:t> </w:t>
          </w:r>
          <w:r w:rsidRPr="00B51BCB">
            <w:rPr>
              <w:color w:val="auto"/>
            </w:rPr>
            <w:t>billion target for total regional visitor expenditure.</w:t>
          </w:r>
        </w:p>
        <w:p w14:paraId="677874F5" w14:textId="2AE2A16E" w:rsidR="008C1EDB" w:rsidRPr="00B51BCB" w:rsidRDefault="008C1EDB" w:rsidP="008C1EDB">
          <w:pPr>
            <w:rPr>
              <w:color w:val="auto"/>
            </w:rPr>
          </w:pPr>
          <w:r w:rsidRPr="00B51BCB">
            <w:rPr>
              <w:color w:val="auto"/>
            </w:rPr>
            <w:t xml:space="preserve">There are seven priorities underpinning the THRIVE 2030 </w:t>
          </w:r>
          <w:r>
            <w:rPr>
              <w:color w:val="auto"/>
            </w:rPr>
            <w:t>S</w:t>
          </w:r>
          <w:r w:rsidRPr="00B51BCB">
            <w:rPr>
              <w:color w:val="auto"/>
            </w:rPr>
            <w:t>trategy:</w:t>
          </w:r>
        </w:p>
        <w:p w14:paraId="132BC901" w14:textId="77777777" w:rsidR="008C1EDB" w:rsidRPr="00B51BCB" w:rsidRDefault="008C1EDB" w:rsidP="008C1EDB">
          <w:pPr>
            <w:pStyle w:val="NumberedList"/>
            <w:rPr>
              <w:color w:val="auto"/>
            </w:rPr>
          </w:pPr>
          <w:r w:rsidRPr="00B51BCB">
            <w:rPr>
              <w:color w:val="auto"/>
            </w:rPr>
            <w:t>Deliver success through comprehensive collaboration</w:t>
          </w:r>
        </w:p>
        <w:p w14:paraId="11CAE85C" w14:textId="77777777" w:rsidR="008C1EDB" w:rsidRPr="00B51BCB" w:rsidRDefault="008C1EDB" w:rsidP="008C1EDB">
          <w:pPr>
            <w:pStyle w:val="NumberedList"/>
            <w:rPr>
              <w:color w:val="auto"/>
            </w:rPr>
          </w:pPr>
          <w:r w:rsidRPr="00B51BCB">
            <w:rPr>
              <w:color w:val="auto"/>
            </w:rPr>
            <w:t>Improve data and insights</w:t>
          </w:r>
        </w:p>
        <w:p w14:paraId="3040BF5B" w14:textId="77777777" w:rsidR="008C1EDB" w:rsidRPr="00B51BCB" w:rsidRDefault="008C1EDB" w:rsidP="008C1EDB">
          <w:pPr>
            <w:pStyle w:val="NumberedList"/>
            <w:rPr>
              <w:color w:val="auto"/>
            </w:rPr>
          </w:pPr>
          <w:r w:rsidRPr="00B51BCB">
            <w:rPr>
              <w:color w:val="auto"/>
            </w:rPr>
            <w:t>Grow a secure and resilient workforce</w:t>
          </w:r>
        </w:p>
        <w:p w14:paraId="3EF9C6CC" w14:textId="77777777" w:rsidR="008C1EDB" w:rsidRPr="00B51BCB" w:rsidRDefault="008C1EDB" w:rsidP="008C1EDB">
          <w:pPr>
            <w:pStyle w:val="NumberedList"/>
            <w:rPr>
              <w:color w:val="auto"/>
            </w:rPr>
          </w:pPr>
          <w:r w:rsidRPr="00B51BCB">
            <w:rPr>
              <w:color w:val="auto"/>
            </w:rPr>
            <w:t>Embrace leading-edge business practices</w:t>
          </w:r>
        </w:p>
        <w:p w14:paraId="0F4C578E" w14:textId="77777777" w:rsidR="008C1EDB" w:rsidRPr="00B51BCB" w:rsidRDefault="008C1EDB" w:rsidP="008C1EDB">
          <w:pPr>
            <w:pStyle w:val="NumberedList"/>
            <w:rPr>
              <w:color w:val="auto"/>
            </w:rPr>
          </w:pPr>
          <w:r w:rsidRPr="00B51BCB">
            <w:rPr>
              <w:color w:val="auto"/>
            </w:rPr>
            <w:t>Enhance visitor infrastructure</w:t>
          </w:r>
        </w:p>
        <w:p w14:paraId="7EC79516" w14:textId="77777777" w:rsidR="008C1EDB" w:rsidRPr="00B51BCB" w:rsidRDefault="008C1EDB" w:rsidP="008C1EDB">
          <w:pPr>
            <w:pStyle w:val="NumberedList"/>
            <w:rPr>
              <w:color w:val="auto"/>
            </w:rPr>
          </w:pPr>
          <w:r w:rsidRPr="00B51BCB">
            <w:rPr>
              <w:color w:val="auto"/>
            </w:rPr>
            <w:t>Build markets and attract visitors</w:t>
          </w:r>
        </w:p>
        <w:p w14:paraId="49AF572A" w14:textId="77777777" w:rsidR="008C1EDB" w:rsidRPr="00B51BCB" w:rsidRDefault="008C1EDB" w:rsidP="008C1EDB">
          <w:pPr>
            <w:pStyle w:val="NumberedList"/>
            <w:rPr>
              <w:color w:val="auto"/>
            </w:rPr>
          </w:pPr>
          <w:r w:rsidRPr="00B51BCB">
            <w:rPr>
              <w:color w:val="auto"/>
            </w:rPr>
            <w:t>Grow unique and high-quality products, including Aboriginal and Torres Strait Islander experiences</w:t>
          </w:r>
        </w:p>
        <w:p w14:paraId="66AFCEEE" w14:textId="77777777" w:rsidR="008C1EDB" w:rsidRDefault="008C1EDB" w:rsidP="008C1EDB">
          <w:pPr>
            <w:rPr>
              <w:color w:val="auto"/>
            </w:rPr>
          </w:pPr>
          <w:r w:rsidRPr="00B51BCB">
            <w:rPr>
              <w:color w:val="auto"/>
            </w:rPr>
            <w:t xml:space="preserve">The priorities align with the </w:t>
          </w:r>
          <w:r>
            <w:rPr>
              <w:color w:val="auto"/>
            </w:rPr>
            <w:t>S</w:t>
          </w:r>
          <w:r w:rsidRPr="00B51BCB">
            <w:rPr>
              <w:color w:val="auto"/>
            </w:rPr>
            <w:t>trategy’s vision elements of collaborate, modernise and diversify.</w:t>
          </w:r>
        </w:p>
        <w:p w14:paraId="5D90115A" w14:textId="21D1DE1E" w:rsidR="001866D7" w:rsidRDefault="008C1EDB" w:rsidP="008C1EDB">
          <w:r>
            <w:t xml:space="preserve">Two examples of tourism operators fulfilling some of the objectives of the Strategy are provided in </w:t>
          </w:r>
          <w:r w:rsidR="00C872FE">
            <w:t>Case study</w:t>
          </w:r>
          <w:r>
            <w:t xml:space="preserve">: Adelaide Oval (diversification) and </w:t>
          </w:r>
          <w:r w:rsidR="00C872FE">
            <w:t>Case study</w:t>
          </w:r>
          <w:r>
            <w:t>: National Arboretum Canberra (embedding Indigenous culture).</w:t>
          </w:r>
        </w:p>
        <w:p w14:paraId="6AFB99B7" w14:textId="77777777" w:rsidR="00C12131" w:rsidRDefault="00C12131">
          <w:pPr>
            <w:spacing w:before="0" w:after="160" w:line="259" w:lineRule="auto"/>
            <w:rPr>
              <w:rFonts w:asciiTheme="minorHAnsi" w:eastAsiaTheme="minorEastAsia" w:hAnsiTheme="minorHAnsi"/>
              <w:color w:val="2E1A47" w:themeColor="text2"/>
              <w:sz w:val="24"/>
              <w:szCs w:val="24"/>
              <w:lang w:eastAsia="zh-CN"/>
            </w:rPr>
          </w:pPr>
          <w:r>
            <w:br w:type="page"/>
          </w:r>
        </w:p>
        <w:p w14:paraId="33AD5D81" w14:textId="43D37638" w:rsidR="001866D7" w:rsidRDefault="00C872FE" w:rsidP="00B146B2">
          <w:pPr>
            <w:pStyle w:val="Heading4"/>
            <w:ind w:left="567"/>
          </w:pPr>
          <w:r>
            <w:t>Case study</w:t>
          </w:r>
          <w:r w:rsidR="001866D7">
            <w:t xml:space="preserve">: </w:t>
          </w:r>
          <w:r w:rsidR="001866D7" w:rsidRPr="00275E40">
            <w:t>Adelaide Oval</w:t>
          </w:r>
          <w:r>
            <w:t xml:space="preserve"> –</w:t>
          </w:r>
          <w:r w:rsidR="001866D7">
            <w:t xml:space="preserve"> </w:t>
          </w:r>
          <w:r w:rsidR="001866D7" w:rsidRPr="00275E40">
            <w:t>providing diverse experiences for visitors to Adelaide</w:t>
          </w:r>
          <w:r w:rsidR="001866D7">
            <w:t xml:space="preserve"> </w:t>
          </w:r>
        </w:p>
        <w:p w14:paraId="1CE8E8F2" w14:textId="77777777" w:rsidR="001866D7" w:rsidRPr="00B63054" w:rsidRDefault="001866D7" w:rsidP="001866D7">
          <w:pPr>
            <w:ind w:left="567" w:right="567"/>
            <w:rPr>
              <w:sz w:val="18"/>
              <w:szCs w:val="18"/>
            </w:rPr>
          </w:pPr>
          <w:r w:rsidRPr="00B63054">
            <w:rPr>
              <w:sz w:val="18"/>
              <w:szCs w:val="18"/>
            </w:rPr>
            <w:t>Adelaide Oval is nestled in the</w:t>
          </w:r>
          <w:r w:rsidRPr="00B63054">
            <w:rPr>
              <w:rFonts w:cs="Arial"/>
              <w:color w:val="202122"/>
              <w:shd w:val="clear" w:color="auto" w:fill="FFFFFF"/>
            </w:rPr>
            <w:t xml:space="preserve"> </w:t>
          </w:r>
          <w:r w:rsidRPr="00B63054">
            <w:rPr>
              <w:sz w:val="18"/>
              <w:szCs w:val="18"/>
            </w:rPr>
            <w:t>parklands between the city centre and North Adelaide along the River Torrens. The venue has a history of being used predominantly for cricket and Australian rules football, with the likes of Sir</w:t>
          </w:r>
          <w:r>
            <w:rPr>
              <w:sz w:val="18"/>
              <w:szCs w:val="18"/>
            </w:rPr>
            <w:t> </w:t>
          </w:r>
          <w:r w:rsidRPr="00B63054">
            <w:rPr>
              <w:sz w:val="18"/>
              <w:szCs w:val="18"/>
            </w:rPr>
            <w:t xml:space="preserve">Donald Bradman having played major games at the Adelaide Oval. </w:t>
          </w:r>
        </w:p>
        <w:p w14:paraId="2E3D3F8B" w14:textId="77777777" w:rsidR="001866D7" w:rsidRPr="00B63054" w:rsidRDefault="001866D7" w:rsidP="001866D7">
          <w:pPr>
            <w:ind w:left="567" w:right="567"/>
            <w:rPr>
              <w:sz w:val="18"/>
              <w:szCs w:val="18"/>
            </w:rPr>
          </w:pPr>
          <w:r w:rsidRPr="00B63054">
            <w:rPr>
              <w:sz w:val="18"/>
              <w:szCs w:val="18"/>
            </w:rPr>
            <w:t xml:space="preserve">In more recent times Adelaide Oval is also the place to go to see rugby league, rugby union, soccer and the tennis as well as global concert tours and major events, such as Stadium Stomp, Adele and </w:t>
          </w:r>
          <w:r>
            <w:rPr>
              <w:sz w:val="18"/>
              <w:szCs w:val="18"/>
            </w:rPr>
            <w:t>t</w:t>
          </w:r>
          <w:r w:rsidRPr="00B63054">
            <w:rPr>
              <w:sz w:val="18"/>
              <w:szCs w:val="18"/>
            </w:rPr>
            <w:t>he Rolling Stones.</w:t>
          </w:r>
        </w:p>
        <w:p w14:paraId="7EBB70BD" w14:textId="77777777" w:rsidR="001866D7" w:rsidRPr="00B63054" w:rsidRDefault="001866D7" w:rsidP="001866D7">
          <w:pPr>
            <w:ind w:left="567" w:right="567"/>
            <w:rPr>
              <w:sz w:val="22"/>
              <w:szCs w:val="22"/>
            </w:rPr>
          </w:pPr>
          <w:r w:rsidRPr="00B63054">
            <w:rPr>
              <w:sz w:val="18"/>
              <w:szCs w:val="18"/>
            </w:rPr>
            <w:t xml:space="preserve">Built in 1871 to accommodate the South Australian Cricket Association, </w:t>
          </w:r>
          <w:r w:rsidRPr="00B63054">
            <w:rPr>
              <w:rStyle w:val="Strong"/>
              <w:sz w:val="22"/>
              <w:szCs w:val="22"/>
            </w:rPr>
            <w:t>the historic Adelaide Oval has become a modern and iconic tourist destination. This has been achieved by developing a diverse range of technology advancements, services and experiences for visitors that has progressed Adelaide Oval beyond the traditional stadium spectator offering</w:t>
          </w:r>
          <w:r w:rsidRPr="00B63054">
            <w:rPr>
              <w:sz w:val="22"/>
              <w:szCs w:val="22"/>
            </w:rPr>
            <w:t xml:space="preserve">. </w:t>
          </w:r>
        </w:p>
        <w:p w14:paraId="77E0FA2B" w14:textId="77777777" w:rsidR="001866D7" w:rsidRPr="00B63054" w:rsidRDefault="001866D7" w:rsidP="001866D7">
          <w:pPr>
            <w:ind w:left="567" w:right="567"/>
            <w:rPr>
              <w:sz w:val="18"/>
              <w:szCs w:val="18"/>
            </w:rPr>
          </w:pPr>
          <w:r w:rsidRPr="00B63054">
            <w:rPr>
              <w:sz w:val="18"/>
              <w:szCs w:val="18"/>
            </w:rPr>
            <w:t>Visitors to the Adelaide Oval can enjoy fully curated experiences</w:t>
          </w:r>
          <w:r>
            <w:rPr>
              <w:sz w:val="18"/>
              <w:szCs w:val="18"/>
            </w:rPr>
            <w:t>,</w:t>
          </w:r>
          <w:r w:rsidRPr="00B63054">
            <w:rPr>
              <w:sz w:val="18"/>
              <w:szCs w:val="18"/>
            </w:rPr>
            <w:t xml:space="preserve"> including:</w:t>
          </w:r>
        </w:p>
        <w:p w14:paraId="0CEA390A" w14:textId="77777777" w:rsidR="001866D7" w:rsidRPr="00B63054" w:rsidRDefault="001866D7" w:rsidP="001866D7">
          <w:pPr>
            <w:pStyle w:val="ListParagraph"/>
            <w:numPr>
              <w:ilvl w:val="0"/>
              <w:numId w:val="17"/>
            </w:numPr>
            <w:spacing w:before="160" w:after="160" w:line="280" w:lineRule="exact"/>
            <w:ind w:left="993" w:right="567"/>
            <w:rPr>
              <w:sz w:val="18"/>
              <w:szCs w:val="18"/>
            </w:rPr>
          </w:pPr>
          <w:r>
            <w:rPr>
              <w:noProof/>
            </w:rPr>
            <w:drawing>
              <wp:anchor distT="0" distB="0" distL="114300" distR="114300" simplePos="0" relativeHeight="251837440" behindDoc="0" locked="0" layoutInCell="1" allowOverlap="1" wp14:anchorId="30CE681E" wp14:editId="1D5EC714">
                <wp:simplePos x="0" y="0"/>
                <wp:positionH relativeFrom="column">
                  <wp:posOffset>2836545</wp:posOffset>
                </wp:positionH>
                <wp:positionV relativeFrom="paragraph">
                  <wp:posOffset>224790</wp:posOffset>
                </wp:positionV>
                <wp:extent cx="3296285" cy="2397548"/>
                <wp:effectExtent l="0" t="0" r="0" b="3175"/>
                <wp:wrapNone/>
                <wp:docPr id="129" name="Picture 129" descr="Image of the RoofClimb experience. Participants are watching an AFL match from the roof of the stadium while the stadium is filled with a crow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Image of the RoofClimb experience. Participants are watching an AFL match from the roof of the stadium while the stadium is filled with a crowd. "/>
                        <pic:cNvPicPr>
                          <a:picLocks noChangeAspect="1" noChangeArrowheads="1"/>
                        </pic:cNvPicPr>
                      </pic:nvPicPr>
                      <pic:blipFill>
                        <a:blip r:embed="rId23"/>
                        <a:stretch>
                          <a:fillRect/>
                        </a:stretch>
                      </pic:blipFill>
                      <pic:spPr bwMode="auto">
                        <a:xfrm>
                          <a:off x="0" y="0"/>
                          <a:ext cx="3296285" cy="2397548"/>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c</w:t>
          </w:r>
          <w:r w:rsidRPr="00B63054">
            <w:rPr>
              <w:sz w:val="18"/>
              <w:szCs w:val="18"/>
            </w:rPr>
            <w:t>ultural experiences such as historical tours of the grounds, heritage scoreboard and the Bradman Collection*</w:t>
          </w:r>
        </w:p>
        <w:p w14:paraId="109ADA06" w14:textId="77777777" w:rsidR="001866D7" w:rsidRDefault="001866D7" w:rsidP="001866D7">
          <w:pPr>
            <w:pStyle w:val="ListParagraph"/>
            <w:numPr>
              <w:ilvl w:val="0"/>
              <w:numId w:val="17"/>
            </w:numPr>
            <w:spacing w:before="160" w:after="160" w:line="280" w:lineRule="exact"/>
            <w:ind w:left="993" w:right="567"/>
            <w:rPr>
              <w:sz w:val="18"/>
              <w:szCs w:val="18"/>
            </w:rPr>
          </w:pPr>
          <w:r>
            <w:rPr>
              <w:sz w:val="18"/>
              <w:szCs w:val="18"/>
            </w:rPr>
            <w:t>t</w:t>
          </w:r>
          <w:r w:rsidRPr="00B63054">
            <w:rPr>
              <w:sz w:val="18"/>
              <w:szCs w:val="18"/>
            </w:rPr>
            <w:t xml:space="preserve">hrill seeker experiences such as </w:t>
          </w:r>
        </w:p>
        <w:p w14:paraId="1FAAE429"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RoofClimb – the first of its kind </w:t>
          </w:r>
        </w:p>
        <w:p w14:paraId="79FFB369"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in Australia, with the world’s first </w:t>
          </w:r>
        </w:p>
        <w:p w14:paraId="6192BE06" w14:textId="77777777" w:rsidR="001866D7" w:rsidRPr="00B63054" w:rsidRDefault="001866D7" w:rsidP="001866D7">
          <w:pPr>
            <w:pStyle w:val="ListParagraph"/>
            <w:spacing w:before="160" w:after="160" w:line="280" w:lineRule="exact"/>
            <w:ind w:left="993" w:right="567"/>
            <w:rPr>
              <w:sz w:val="18"/>
              <w:szCs w:val="18"/>
            </w:rPr>
          </w:pPr>
          <w:r w:rsidRPr="00B63054">
            <w:rPr>
              <w:sz w:val="18"/>
              <w:szCs w:val="18"/>
            </w:rPr>
            <w:t>roof-top seats</w:t>
          </w:r>
        </w:p>
        <w:p w14:paraId="5590E82F" w14:textId="77777777" w:rsidR="001866D7" w:rsidRDefault="001866D7" w:rsidP="001866D7">
          <w:pPr>
            <w:pStyle w:val="ListParagraph"/>
            <w:numPr>
              <w:ilvl w:val="0"/>
              <w:numId w:val="17"/>
            </w:numPr>
            <w:spacing w:before="160" w:after="160" w:line="280" w:lineRule="exact"/>
            <w:ind w:left="993" w:right="567"/>
            <w:rPr>
              <w:sz w:val="18"/>
              <w:szCs w:val="18"/>
            </w:rPr>
          </w:pPr>
          <w:r>
            <w:rPr>
              <w:sz w:val="18"/>
              <w:szCs w:val="18"/>
            </w:rPr>
            <w:t>g</w:t>
          </w:r>
          <w:r w:rsidRPr="00B63054">
            <w:rPr>
              <w:sz w:val="18"/>
              <w:szCs w:val="18"/>
            </w:rPr>
            <w:t xml:space="preserve">astronomic delights at Five Regions </w:t>
          </w:r>
        </w:p>
        <w:p w14:paraId="33284484" w14:textId="77777777" w:rsidR="001866D7" w:rsidRDefault="001866D7" w:rsidP="001866D7">
          <w:pPr>
            <w:pStyle w:val="ListParagraph"/>
            <w:spacing w:before="160" w:after="160" w:line="280" w:lineRule="exact"/>
            <w:ind w:left="993" w:right="567"/>
            <w:rPr>
              <w:sz w:val="18"/>
              <w:szCs w:val="18"/>
            </w:rPr>
          </w:pPr>
          <w:r w:rsidRPr="00B63054">
            <w:rPr>
              <w:sz w:val="18"/>
              <w:szCs w:val="18"/>
            </w:rPr>
            <w:t>Restaurant.</w:t>
          </w:r>
          <w:r>
            <w:rPr>
              <w:sz w:val="18"/>
              <w:szCs w:val="18"/>
            </w:rPr>
            <w:t xml:space="preserve"> </w:t>
          </w:r>
          <w:r w:rsidRPr="00B63054">
            <w:rPr>
              <w:sz w:val="18"/>
              <w:szCs w:val="18"/>
            </w:rPr>
            <w:t xml:space="preserve">A fine dining experience </w:t>
          </w:r>
        </w:p>
        <w:p w14:paraId="2AD955F2"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featuring the </w:t>
          </w:r>
          <w:r>
            <w:rPr>
              <w:sz w:val="18"/>
              <w:szCs w:val="18"/>
            </w:rPr>
            <w:t xml:space="preserve">5 </w:t>
          </w:r>
          <w:r w:rsidRPr="00B63054">
            <w:rPr>
              <w:sz w:val="18"/>
              <w:szCs w:val="18"/>
            </w:rPr>
            <w:t xml:space="preserve">internationally </w:t>
          </w:r>
        </w:p>
        <w:p w14:paraId="6EC2DE28"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celebrated wine regions </w:t>
          </w:r>
          <w:r>
            <w:rPr>
              <w:sz w:val="18"/>
              <w:szCs w:val="18"/>
            </w:rPr>
            <w:t xml:space="preserve">of </w:t>
          </w:r>
          <w:r w:rsidRPr="00B63054">
            <w:rPr>
              <w:sz w:val="18"/>
              <w:szCs w:val="18"/>
            </w:rPr>
            <w:t xml:space="preserve">South </w:t>
          </w:r>
        </w:p>
        <w:p w14:paraId="44D19C0B"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Australia in one central, city location. </w:t>
          </w:r>
        </w:p>
        <w:p w14:paraId="385C210C"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Or more casual dining at Bespoke </w:t>
          </w:r>
        </w:p>
        <w:p w14:paraId="416C950A" w14:textId="77777777" w:rsidR="001866D7" w:rsidRDefault="001866D7" w:rsidP="001866D7">
          <w:pPr>
            <w:pStyle w:val="ListParagraph"/>
            <w:spacing w:before="160" w:after="160" w:line="280" w:lineRule="exact"/>
            <w:ind w:left="993" w:right="567"/>
            <w:rPr>
              <w:sz w:val="18"/>
              <w:szCs w:val="18"/>
            </w:rPr>
          </w:pPr>
          <w:r w:rsidRPr="00B63054">
            <w:rPr>
              <w:sz w:val="18"/>
              <w:szCs w:val="18"/>
            </w:rPr>
            <w:t xml:space="preserve">Wine Bar &amp; Kitchen, Koffee Ink café </w:t>
          </w:r>
        </w:p>
        <w:p w14:paraId="7D9E65A3" w14:textId="77777777" w:rsidR="001866D7" w:rsidRPr="00B63054" w:rsidRDefault="001866D7" w:rsidP="001866D7">
          <w:pPr>
            <w:pStyle w:val="ListParagraph"/>
            <w:spacing w:before="160" w:after="160" w:line="280" w:lineRule="exact"/>
            <w:ind w:left="993" w:right="567"/>
            <w:rPr>
              <w:sz w:val="18"/>
              <w:szCs w:val="18"/>
            </w:rPr>
          </w:pPr>
          <w:r w:rsidRPr="00B63054">
            <w:rPr>
              <w:sz w:val="18"/>
              <w:szCs w:val="18"/>
            </w:rPr>
            <w:t>or Malt Shovel Taphouse</w:t>
          </w:r>
        </w:p>
        <w:p w14:paraId="40AE2995" w14:textId="77777777" w:rsidR="001866D7" w:rsidRDefault="001866D7" w:rsidP="001866D7">
          <w:pPr>
            <w:pStyle w:val="ListParagraph"/>
            <w:numPr>
              <w:ilvl w:val="0"/>
              <w:numId w:val="17"/>
            </w:numPr>
            <w:spacing w:before="160" w:after="160" w:line="280" w:lineRule="exact"/>
            <w:ind w:left="993" w:right="567"/>
            <w:rPr>
              <w:sz w:val="18"/>
              <w:szCs w:val="18"/>
            </w:rPr>
          </w:pPr>
          <w:r>
            <w:rPr>
              <w:sz w:val="18"/>
              <w:szCs w:val="18"/>
            </w:rPr>
            <w:t>o</w:t>
          </w:r>
          <w:r w:rsidRPr="00B63054">
            <w:rPr>
              <w:sz w:val="18"/>
              <w:szCs w:val="18"/>
            </w:rPr>
            <w:t xml:space="preserve">n-site accommodation at Australia’s </w:t>
          </w:r>
        </w:p>
        <w:p w14:paraId="747E0D45" w14:textId="6F0CFBB7" w:rsidR="001866D7" w:rsidRDefault="001866D7" w:rsidP="001866D7">
          <w:pPr>
            <w:pStyle w:val="ListParagraph"/>
            <w:spacing w:before="160" w:after="0" w:line="280" w:lineRule="exact"/>
            <w:ind w:left="992" w:right="567"/>
            <w:rPr>
              <w:sz w:val="18"/>
              <w:szCs w:val="18"/>
            </w:rPr>
          </w:pPr>
          <w:r w:rsidRPr="00B63054">
            <w:rPr>
              <w:sz w:val="18"/>
              <w:szCs w:val="18"/>
            </w:rPr>
            <w:t>first</w:t>
          </w:r>
          <w:r>
            <w:rPr>
              <w:sz w:val="18"/>
              <w:szCs w:val="18"/>
            </w:rPr>
            <w:t xml:space="preserve"> </w:t>
          </w:r>
          <w:r w:rsidRPr="00B63054">
            <w:rPr>
              <w:sz w:val="18"/>
              <w:szCs w:val="18"/>
            </w:rPr>
            <w:t>stadium-integrated hotel, Oval Hotel.</w:t>
          </w:r>
        </w:p>
        <w:p w14:paraId="6BAD1251" w14:textId="77777777" w:rsidR="001866D7" w:rsidRPr="009A1EDE" w:rsidRDefault="001866D7" w:rsidP="001866D7">
          <w:pPr>
            <w:pStyle w:val="Note"/>
            <w:spacing w:line="240" w:lineRule="auto"/>
            <w:ind w:left="567" w:right="567"/>
            <w:jc w:val="right"/>
            <w:rPr>
              <w:b/>
              <w:bCs/>
            </w:rPr>
          </w:pPr>
          <w:r w:rsidRPr="009A1EDE">
            <w:rPr>
              <w:b/>
              <w:bCs/>
            </w:rPr>
            <w:t xml:space="preserve">Image credit: </w:t>
          </w:r>
          <w:sdt>
            <w:sdtPr>
              <w:rPr>
                <w:b/>
                <w:bCs/>
              </w:rPr>
              <w:id w:val="-1813783370"/>
            </w:sdtPr>
            <w:sdtEndPr/>
            <w:sdtContent>
              <w:r w:rsidRPr="009A1EDE">
                <w:rPr>
                  <w:b/>
                  <w:bCs/>
                </w:rPr>
                <w:t>Game On! RoofClimb experience at Adelaide Oval</w:t>
              </w:r>
            </w:sdtContent>
          </w:sdt>
        </w:p>
        <w:p w14:paraId="3F39A1AE" w14:textId="77777777" w:rsidR="001866D7" w:rsidRPr="009A1EDE" w:rsidRDefault="001866D7" w:rsidP="001866D7">
          <w:pPr>
            <w:spacing w:before="0" w:after="0"/>
            <w:ind w:left="567" w:right="567"/>
            <w:rPr>
              <w:b/>
              <w:bCs/>
              <w:sz w:val="16"/>
              <w:szCs w:val="16"/>
            </w:rPr>
          </w:pPr>
          <w:r w:rsidRPr="009A1EDE">
            <w:rPr>
              <w:sz w:val="16"/>
              <w:szCs w:val="16"/>
            </w:rPr>
            <w:t xml:space="preserve">* </w:t>
          </w:r>
          <w:r>
            <w:rPr>
              <w:sz w:val="16"/>
              <w:szCs w:val="16"/>
            </w:rPr>
            <w:t xml:space="preserve">The </w:t>
          </w:r>
          <w:r w:rsidRPr="009A1EDE">
            <w:rPr>
              <w:sz w:val="16"/>
              <w:szCs w:val="16"/>
            </w:rPr>
            <w:t xml:space="preserve">Bradman Collection is on loan from the </w:t>
          </w:r>
          <w:r>
            <w:rPr>
              <w:sz w:val="16"/>
              <w:szCs w:val="16"/>
            </w:rPr>
            <w:t xml:space="preserve">State </w:t>
          </w:r>
          <w:r w:rsidRPr="009A1EDE">
            <w:rPr>
              <w:sz w:val="16"/>
              <w:szCs w:val="16"/>
            </w:rPr>
            <w:t xml:space="preserve">Library of South Australia. </w:t>
          </w:r>
        </w:p>
        <w:p w14:paraId="74B076E7" w14:textId="28A935C8" w:rsidR="001866D7" w:rsidRDefault="001866D7" w:rsidP="001866D7">
          <w:pPr>
            <w:spacing w:before="0" w:after="0"/>
            <w:ind w:left="567" w:right="567"/>
            <w:rPr>
              <w:b/>
              <w:bCs/>
              <w:sz w:val="16"/>
              <w:szCs w:val="16"/>
            </w:rPr>
          </w:pPr>
          <w:r w:rsidRPr="009A1EDE">
            <w:rPr>
              <w:b/>
              <w:bCs/>
              <w:sz w:val="16"/>
              <w:szCs w:val="16"/>
            </w:rPr>
            <w:t>Courtesy of Adelaide Oval</w:t>
          </w:r>
        </w:p>
        <w:p w14:paraId="7E80F8AB" w14:textId="77777777" w:rsidR="001866D7" w:rsidRPr="009A1EDE" w:rsidRDefault="001866D7" w:rsidP="001866D7">
          <w:pPr>
            <w:spacing w:before="0" w:after="0"/>
            <w:ind w:left="567" w:right="567"/>
            <w:rPr>
              <w:b/>
              <w:bCs/>
              <w:sz w:val="16"/>
              <w:szCs w:val="16"/>
            </w:rPr>
          </w:pPr>
        </w:p>
        <w:p w14:paraId="5E199702" w14:textId="77777777" w:rsidR="00C12131" w:rsidRDefault="00C12131">
          <w:pPr>
            <w:spacing w:before="0" w:after="160" w:line="259" w:lineRule="auto"/>
            <w:rPr>
              <w:rFonts w:asciiTheme="minorHAnsi" w:eastAsiaTheme="minorEastAsia" w:hAnsiTheme="minorHAnsi"/>
              <w:color w:val="2E1A47" w:themeColor="text2"/>
              <w:sz w:val="24"/>
              <w:szCs w:val="24"/>
              <w:lang w:eastAsia="zh-CN"/>
            </w:rPr>
          </w:pPr>
          <w:r>
            <w:br w:type="page"/>
          </w:r>
        </w:p>
        <w:p w14:paraId="0FE8CA01" w14:textId="4451B99A" w:rsidR="001866D7" w:rsidRPr="00275E40" w:rsidRDefault="00C872FE" w:rsidP="00B146B2">
          <w:pPr>
            <w:pStyle w:val="Heading4"/>
            <w:ind w:left="567"/>
          </w:pPr>
          <w:r>
            <w:t>Case study</w:t>
          </w:r>
          <w:r w:rsidR="001866D7">
            <w:t xml:space="preserve">: </w:t>
          </w:r>
          <w:r w:rsidR="001866D7" w:rsidRPr="00275E40">
            <w:t xml:space="preserve">National Arboretum Canberra </w:t>
          </w:r>
          <w:r w:rsidR="001866D7">
            <w:t>–</w:t>
          </w:r>
          <w:r w:rsidR="001866D7" w:rsidRPr="00275E40">
            <w:t xml:space="preserve"> embedding </w:t>
          </w:r>
          <w:r w:rsidR="001866D7">
            <w:t>I</w:t>
          </w:r>
          <w:r w:rsidR="001866D7" w:rsidRPr="00275E40">
            <w:t>ndigenous tourism experiences in cities</w:t>
          </w:r>
        </w:p>
        <w:p w14:paraId="6E304A3E" w14:textId="77777777" w:rsidR="00C12131" w:rsidRDefault="00C12131" w:rsidP="00C12131">
          <w:pPr>
            <w:spacing w:after="0"/>
            <w:ind w:left="567" w:right="567"/>
            <w:rPr>
              <w:rStyle w:val="Strong"/>
              <w:sz w:val="24"/>
              <w:szCs w:val="24"/>
            </w:rPr>
          </w:pPr>
          <w:r>
            <w:rPr>
              <w:noProof/>
            </w:rPr>
            <w:drawing>
              <wp:anchor distT="0" distB="0" distL="114300" distR="114300" simplePos="0" relativeHeight="251835392" behindDoc="0" locked="0" layoutInCell="1" allowOverlap="1" wp14:anchorId="0288AD7C" wp14:editId="60B662B9">
                <wp:simplePos x="0" y="0"/>
                <wp:positionH relativeFrom="column">
                  <wp:posOffset>2960370</wp:posOffset>
                </wp:positionH>
                <wp:positionV relativeFrom="paragraph">
                  <wp:posOffset>383539</wp:posOffset>
                </wp:positionV>
                <wp:extent cx="3162935" cy="2428875"/>
                <wp:effectExtent l="0" t="0" r="0" b="9525"/>
                <wp:wrapNone/>
                <wp:docPr id="56" name="Picture 1" descr="Image of a man crouching in the long gr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 descr="Image of a man crouching in the long grass. "/>
                        <pic:cNvPicPr>
                          <a:picLocks noChangeAspect="1" noChangeArrowheads="1"/>
                        </pic:cNvPicPr>
                      </pic:nvPicPr>
                      <pic:blipFill rotWithShape="1">
                        <a:blip r:embed="rId24"/>
                        <a:srcRect l="14626" r="9745"/>
                        <a:stretch/>
                      </pic:blipFill>
                      <pic:spPr bwMode="auto">
                        <a:xfrm>
                          <a:off x="0" y="0"/>
                          <a:ext cx="3163212" cy="24290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66D7" w:rsidRPr="009A1EDE">
            <w:rPr>
              <w:sz w:val="18"/>
              <w:szCs w:val="18"/>
            </w:rPr>
            <w:t xml:space="preserve">Located in the Australian Capital Territory, </w:t>
          </w:r>
          <w:r w:rsidR="001866D7" w:rsidRPr="00275E40">
            <w:rPr>
              <w:rStyle w:val="Strong"/>
              <w:sz w:val="24"/>
              <w:szCs w:val="24"/>
            </w:rPr>
            <w:t xml:space="preserve">the National Arboretum Canberra has created the Bush Tucker Garden, made up of plants that have been used as food and medicine by the </w:t>
          </w:r>
        </w:p>
        <w:p w14:paraId="1D6B7FB4" w14:textId="77777777" w:rsidR="00C12131" w:rsidRDefault="001866D7" w:rsidP="00C12131">
          <w:pPr>
            <w:spacing w:before="0" w:after="0"/>
            <w:ind w:left="567" w:right="567"/>
            <w:rPr>
              <w:rStyle w:val="Strong"/>
              <w:sz w:val="24"/>
              <w:szCs w:val="24"/>
            </w:rPr>
          </w:pPr>
          <w:r w:rsidRPr="00275E40">
            <w:rPr>
              <w:rStyle w:val="Strong"/>
              <w:sz w:val="24"/>
              <w:szCs w:val="24"/>
            </w:rPr>
            <w:t xml:space="preserve">Ngunnawal and Wiradjuri people </w:t>
          </w:r>
        </w:p>
        <w:p w14:paraId="709A4BF2" w14:textId="4D9D0F94" w:rsidR="001866D7" w:rsidRDefault="001866D7" w:rsidP="00C12131">
          <w:pPr>
            <w:spacing w:before="0"/>
            <w:ind w:left="567" w:right="567"/>
          </w:pPr>
          <w:r w:rsidRPr="00275E40">
            <w:rPr>
              <w:rStyle w:val="Strong"/>
              <w:sz w:val="24"/>
              <w:szCs w:val="24"/>
            </w:rPr>
            <w:t>for thousands of years</w:t>
          </w:r>
          <w:r w:rsidRPr="00CA79C7">
            <w:t xml:space="preserve">. </w:t>
          </w:r>
        </w:p>
        <w:p w14:paraId="5680C138" w14:textId="650385DA" w:rsidR="00C12131" w:rsidRDefault="001866D7" w:rsidP="001866D7">
          <w:pPr>
            <w:spacing w:before="0" w:after="0"/>
            <w:ind w:left="567" w:right="567"/>
            <w:rPr>
              <w:sz w:val="18"/>
              <w:szCs w:val="18"/>
            </w:rPr>
          </w:pPr>
          <w:r w:rsidRPr="009A1EDE">
            <w:rPr>
              <w:sz w:val="18"/>
              <w:szCs w:val="18"/>
            </w:rPr>
            <w:t xml:space="preserve">Developed in consultation with local </w:t>
          </w:r>
        </w:p>
        <w:p w14:paraId="11A52AF9" w14:textId="77777777" w:rsidR="00C12131" w:rsidRDefault="001866D7" w:rsidP="001866D7">
          <w:pPr>
            <w:spacing w:before="0" w:after="0"/>
            <w:ind w:left="567" w:right="567"/>
            <w:rPr>
              <w:sz w:val="18"/>
              <w:szCs w:val="18"/>
            </w:rPr>
          </w:pPr>
          <w:r w:rsidRPr="009A1EDE">
            <w:rPr>
              <w:sz w:val="18"/>
              <w:szCs w:val="18"/>
            </w:rPr>
            <w:t xml:space="preserve">Indigenous Elders, the garden aims to </w:t>
          </w:r>
        </w:p>
        <w:p w14:paraId="0B779CBD" w14:textId="3441B2A7" w:rsidR="00C12131" w:rsidRDefault="001866D7" w:rsidP="001866D7">
          <w:pPr>
            <w:spacing w:before="0" w:after="0"/>
            <w:ind w:left="567" w:right="567"/>
            <w:rPr>
              <w:sz w:val="18"/>
              <w:szCs w:val="18"/>
            </w:rPr>
          </w:pPr>
          <w:r w:rsidRPr="009A1EDE">
            <w:rPr>
              <w:sz w:val="18"/>
              <w:szCs w:val="18"/>
            </w:rPr>
            <w:t xml:space="preserve">educate visitors about Indigenous </w:t>
          </w:r>
        </w:p>
        <w:p w14:paraId="436B74F5" w14:textId="77777777" w:rsidR="00C12131" w:rsidRDefault="001866D7" w:rsidP="001866D7">
          <w:pPr>
            <w:spacing w:before="0" w:after="0"/>
            <w:ind w:left="567" w:right="567"/>
            <w:rPr>
              <w:sz w:val="18"/>
              <w:szCs w:val="18"/>
            </w:rPr>
          </w:pPr>
          <w:r w:rsidRPr="009A1EDE">
            <w:rPr>
              <w:sz w:val="18"/>
              <w:szCs w:val="18"/>
            </w:rPr>
            <w:t xml:space="preserve">culture and the uses of plants native to </w:t>
          </w:r>
        </w:p>
        <w:p w14:paraId="6A607CF8" w14:textId="070BA0B9" w:rsidR="001866D7" w:rsidRPr="009A1EDE" w:rsidRDefault="001866D7" w:rsidP="001866D7">
          <w:pPr>
            <w:spacing w:before="0" w:after="0"/>
            <w:ind w:left="567" w:right="567"/>
            <w:rPr>
              <w:sz w:val="18"/>
              <w:szCs w:val="18"/>
            </w:rPr>
          </w:pPr>
          <w:r w:rsidRPr="009A1EDE">
            <w:rPr>
              <w:sz w:val="18"/>
              <w:szCs w:val="18"/>
            </w:rPr>
            <w:t>the Southern Tablelands.</w:t>
          </w:r>
        </w:p>
        <w:p w14:paraId="45BD379F" w14:textId="1736AEC4" w:rsidR="001866D7" w:rsidRDefault="001866D7" w:rsidP="001866D7">
          <w:pPr>
            <w:spacing w:before="0" w:after="0"/>
            <w:ind w:left="567" w:right="567"/>
            <w:rPr>
              <w:sz w:val="18"/>
              <w:szCs w:val="18"/>
            </w:rPr>
          </w:pPr>
          <w:r w:rsidRPr="009A1EDE">
            <w:rPr>
              <w:sz w:val="18"/>
              <w:szCs w:val="18"/>
            </w:rPr>
            <w:t xml:space="preserve">The National Arboretum Canberra has </w:t>
          </w:r>
        </w:p>
        <w:p w14:paraId="65B768F6" w14:textId="0CE9D3A9" w:rsidR="001866D7" w:rsidRDefault="001866D7" w:rsidP="001866D7">
          <w:pPr>
            <w:spacing w:before="0" w:after="0"/>
            <w:ind w:left="567" w:right="567"/>
            <w:rPr>
              <w:sz w:val="18"/>
              <w:szCs w:val="18"/>
            </w:rPr>
          </w:pPr>
          <w:r w:rsidRPr="009A1EDE">
            <w:rPr>
              <w:sz w:val="18"/>
              <w:szCs w:val="18"/>
            </w:rPr>
            <w:t xml:space="preserve">diversified its tourism offering, which </w:t>
          </w:r>
        </w:p>
        <w:p w14:paraId="3AC91DE8" w14:textId="4C8CE6D4" w:rsidR="001866D7" w:rsidRDefault="001866D7" w:rsidP="001866D7">
          <w:pPr>
            <w:spacing w:before="0" w:after="0"/>
            <w:ind w:left="567" w:right="567"/>
            <w:rPr>
              <w:sz w:val="18"/>
              <w:szCs w:val="18"/>
            </w:rPr>
          </w:pPr>
          <w:r w:rsidRPr="009A1EDE">
            <w:rPr>
              <w:sz w:val="18"/>
              <w:szCs w:val="18"/>
            </w:rPr>
            <w:t xml:space="preserve">now includes cultural tours, workshops </w:t>
          </w:r>
        </w:p>
        <w:p w14:paraId="738B2E53" w14:textId="77777777" w:rsidR="00C12131" w:rsidRDefault="001866D7" w:rsidP="001866D7">
          <w:pPr>
            <w:spacing w:before="0" w:after="0"/>
            <w:ind w:left="567" w:right="567"/>
            <w:rPr>
              <w:sz w:val="18"/>
              <w:szCs w:val="18"/>
            </w:rPr>
          </w:pPr>
          <w:r w:rsidRPr="009A1EDE">
            <w:rPr>
              <w:sz w:val="18"/>
              <w:szCs w:val="18"/>
            </w:rPr>
            <w:t xml:space="preserve">and educational programs conducted for </w:t>
          </w:r>
        </w:p>
        <w:p w14:paraId="12A73241" w14:textId="4C51A747" w:rsidR="001866D7" w:rsidRDefault="001866D7" w:rsidP="001866D7">
          <w:pPr>
            <w:spacing w:before="0" w:after="0"/>
            <w:ind w:left="567" w:right="567"/>
          </w:pPr>
          <w:r w:rsidRPr="009A1EDE">
            <w:rPr>
              <w:sz w:val="18"/>
              <w:szCs w:val="18"/>
            </w:rPr>
            <w:t xml:space="preserve">schools, domestic and international visitors, and Canberra locals. </w:t>
          </w:r>
        </w:p>
        <w:p w14:paraId="692DBDBD" w14:textId="3CF54B69" w:rsidR="001866D7" w:rsidRDefault="00C12131" w:rsidP="001866D7">
          <w:pPr>
            <w:pStyle w:val="BulletList"/>
            <w:numPr>
              <w:ilvl w:val="0"/>
              <w:numId w:val="0"/>
            </w:numPr>
            <w:spacing w:after="0" w:line="240" w:lineRule="exact"/>
            <w:ind w:left="567" w:right="567"/>
            <w:rPr>
              <w:b/>
              <w:bCs/>
              <w:sz w:val="16"/>
              <w:szCs w:val="16"/>
            </w:rPr>
          </w:pPr>
          <w:r>
            <w:rPr>
              <w:b/>
              <w:bCs/>
              <w:sz w:val="16"/>
              <w:szCs w:val="16"/>
            </w:rPr>
            <w:t xml:space="preserve">Image: </w:t>
          </w:r>
          <w:r w:rsidR="001866D7" w:rsidRPr="001866D7">
            <w:rPr>
              <w:b/>
              <w:bCs/>
              <w:sz w:val="16"/>
              <w:szCs w:val="16"/>
            </w:rPr>
            <w:t>Arboretum director Scott Saddler AM kneels among the smooth flax lily, at the Arboretum Bush Tucker Garden. Image credit: Dion</w:t>
          </w:r>
          <w:r w:rsidR="001866D7">
            <w:rPr>
              <w:b/>
              <w:bCs/>
              <w:sz w:val="16"/>
              <w:szCs w:val="16"/>
            </w:rPr>
            <w:t xml:space="preserve"> </w:t>
          </w:r>
          <w:r w:rsidR="001866D7" w:rsidRPr="001866D7">
            <w:rPr>
              <w:b/>
              <w:bCs/>
              <w:sz w:val="16"/>
              <w:szCs w:val="16"/>
            </w:rPr>
            <w:t>Georgopoulo</w:t>
          </w:r>
        </w:p>
        <w:p w14:paraId="295AD788" w14:textId="3591677E" w:rsidR="00C12131" w:rsidRPr="001866D7" w:rsidRDefault="00C12131" w:rsidP="001866D7">
          <w:pPr>
            <w:pStyle w:val="BulletList"/>
            <w:numPr>
              <w:ilvl w:val="0"/>
              <w:numId w:val="0"/>
            </w:numPr>
            <w:spacing w:after="0" w:line="240" w:lineRule="exact"/>
            <w:ind w:left="567" w:right="567"/>
            <w:rPr>
              <w:b/>
              <w:bCs/>
              <w:sz w:val="16"/>
              <w:szCs w:val="16"/>
            </w:rPr>
          </w:pPr>
          <w:r>
            <w:rPr>
              <w:b/>
              <w:bCs/>
              <w:sz w:val="16"/>
              <w:szCs w:val="16"/>
            </w:rPr>
            <w:t>Courtesy of National Arboretum Canberra</w:t>
          </w:r>
        </w:p>
        <w:p w14:paraId="2A0DF474" w14:textId="77777777" w:rsidR="001866D7" w:rsidRDefault="001866D7" w:rsidP="001866D7">
          <w:pPr>
            <w:ind w:left="567" w:right="567"/>
            <w:jc w:val="right"/>
          </w:pPr>
        </w:p>
        <w:p w14:paraId="33508C3D" w14:textId="1BECF7DC" w:rsidR="008C1EDB" w:rsidRDefault="008C1EDB" w:rsidP="008C1EDB">
          <w:pPr>
            <w:spacing w:before="0" w:after="160" w:line="259" w:lineRule="auto"/>
          </w:pPr>
          <w:r>
            <w:br w:type="page"/>
          </w:r>
        </w:p>
        <w:p w14:paraId="1BC8205C" w14:textId="37659EC1" w:rsidR="00EA4A61" w:rsidRPr="00A35F50" w:rsidRDefault="00EA4A61" w:rsidP="00A722B0">
          <w:pPr>
            <w:pStyle w:val="Heading2"/>
            <w:rPr>
              <w:b w:val="0"/>
              <w:bCs/>
              <w:color w:val="7A4282" w:themeColor="accent1"/>
              <w:sz w:val="36"/>
              <w:szCs w:val="32"/>
            </w:rPr>
          </w:pPr>
          <w:bookmarkStart w:id="30" w:name="_Toc106097671"/>
          <w:r w:rsidRPr="00A722B0">
            <w:rPr>
              <w:b w:val="0"/>
              <w:bCs/>
              <w:color w:val="7A4282" w:themeColor="accent1"/>
              <w:sz w:val="36"/>
              <w:szCs w:val="32"/>
            </w:rPr>
            <w:t>Demand</w:t>
          </w:r>
          <w:r w:rsidR="00B01F36" w:rsidRPr="00A722B0">
            <w:rPr>
              <w:b w:val="0"/>
              <w:bCs/>
              <w:color w:val="7A4282" w:themeColor="accent1"/>
              <w:sz w:val="36"/>
              <w:szCs w:val="32"/>
            </w:rPr>
            <w:t xml:space="preserve"> trends</w:t>
          </w:r>
          <w:bookmarkEnd w:id="30"/>
        </w:p>
        <w:p w14:paraId="65AD9856" w14:textId="5D1E0A94" w:rsidR="00B146B2" w:rsidRDefault="00B146B2" w:rsidP="00B146B2">
          <w:pPr>
            <w:pStyle w:val="Heading3"/>
            <w:rPr>
              <w:lang w:eastAsia="en-AU"/>
            </w:rPr>
          </w:pPr>
          <w:bookmarkStart w:id="31" w:name="_Toc106097672"/>
          <w:bookmarkStart w:id="32" w:name="_Hlk100049942"/>
          <w:r>
            <w:rPr>
              <w:lang w:eastAsia="en-AU"/>
            </w:rPr>
            <w:t>International travel</w:t>
          </w:r>
          <w:bookmarkEnd w:id="31"/>
        </w:p>
        <w:p w14:paraId="11D355BB" w14:textId="67D4B195" w:rsidR="00101BFD" w:rsidRPr="00492527" w:rsidRDefault="00101BFD" w:rsidP="00492527">
          <w:pPr>
            <w:shd w:val="clear" w:color="auto" w:fill="FFFFFF"/>
            <w:rPr>
              <w:rFonts w:eastAsia="Times New Roman" w:cs="Times New Roman"/>
              <w:color w:val="000000"/>
              <w:lang w:eastAsia="en-AU"/>
            </w:rPr>
          </w:pPr>
          <w:r w:rsidRPr="00492527">
            <w:rPr>
              <w:rFonts w:eastAsia="Times New Roman" w:cs="Times New Roman"/>
              <w:color w:val="000000"/>
              <w:lang w:eastAsia="en-AU"/>
            </w:rPr>
            <w:t xml:space="preserve">Australia’s international border was closed </w:t>
          </w:r>
          <w:r w:rsidR="00742A48">
            <w:rPr>
              <w:rFonts w:eastAsia="Times New Roman" w:cs="Times New Roman"/>
              <w:color w:val="000000"/>
              <w:lang w:eastAsia="en-AU"/>
            </w:rPr>
            <w:t xml:space="preserve">for all but essential travel </w:t>
          </w:r>
          <w:r w:rsidR="00492527" w:rsidRPr="00492527">
            <w:rPr>
              <w:rFonts w:eastAsia="Times New Roman" w:cs="Times New Roman"/>
              <w:color w:val="000000"/>
              <w:lang w:eastAsia="en-AU"/>
            </w:rPr>
            <w:t xml:space="preserve">in March 2020 and </w:t>
          </w:r>
          <w:r w:rsidR="004E33B4">
            <w:rPr>
              <w:rFonts w:eastAsia="Times New Roman" w:cs="Times New Roman"/>
              <w:color w:val="000000"/>
              <w:lang w:eastAsia="en-AU"/>
            </w:rPr>
            <w:t xml:space="preserve">did not fully </w:t>
          </w:r>
          <w:r w:rsidR="008C3938">
            <w:rPr>
              <w:rFonts w:eastAsia="Times New Roman" w:cs="Times New Roman"/>
              <w:color w:val="000000"/>
              <w:lang w:eastAsia="en-AU"/>
            </w:rPr>
            <w:t>re</w:t>
          </w:r>
          <w:r w:rsidR="004E33B4">
            <w:rPr>
              <w:rFonts w:eastAsia="Times New Roman" w:cs="Times New Roman"/>
              <w:color w:val="000000"/>
              <w:lang w:eastAsia="en-AU"/>
            </w:rPr>
            <w:t xml:space="preserve">open to visitors </w:t>
          </w:r>
          <w:r w:rsidR="00E60CA1">
            <w:rPr>
              <w:rFonts w:eastAsia="Times New Roman" w:cs="Times New Roman"/>
              <w:color w:val="000000"/>
              <w:lang w:eastAsia="en-AU"/>
            </w:rPr>
            <w:t>until February 2022.</w:t>
          </w:r>
          <w:r w:rsidR="00492527" w:rsidRPr="00492527">
            <w:rPr>
              <w:rFonts w:eastAsia="Times New Roman" w:cs="Times New Roman"/>
              <w:color w:val="000000"/>
              <w:lang w:eastAsia="en-AU"/>
            </w:rPr>
            <w:t xml:space="preserve"> </w:t>
          </w:r>
          <w:r w:rsidR="00C93A84">
            <w:rPr>
              <w:rFonts w:eastAsia="Times New Roman" w:cs="Times New Roman"/>
              <w:color w:val="000000"/>
              <w:lang w:eastAsia="en-AU"/>
            </w:rPr>
            <w:t xml:space="preserve">This </w:t>
          </w:r>
          <w:r w:rsidR="00532CB6">
            <w:rPr>
              <w:rFonts w:eastAsia="Times New Roman" w:cs="Times New Roman"/>
              <w:color w:val="000000"/>
              <w:lang w:eastAsia="en-AU"/>
            </w:rPr>
            <w:t xml:space="preserve">closure </w:t>
          </w:r>
          <w:r w:rsidR="00C93A84">
            <w:rPr>
              <w:rFonts w:eastAsia="Times New Roman" w:cs="Times New Roman"/>
              <w:color w:val="000000"/>
              <w:lang w:eastAsia="en-AU"/>
            </w:rPr>
            <w:t xml:space="preserve">impeded the arrival of international visitors in Australia as well as the departure of Australian residents abroad. </w:t>
          </w:r>
          <w:r w:rsidR="00BE0E50">
            <w:rPr>
              <w:rFonts w:eastAsia="Times New Roman" w:cs="Times New Roman"/>
              <w:color w:val="000000"/>
              <w:lang w:eastAsia="en-AU"/>
            </w:rPr>
            <w:t>Compar</w:t>
          </w:r>
          <w:r w:rsidR="00F2246C">
            <w:rPr>
              <w:rFonts w:eastAsia="Times New Roman" w:cs="Times New Roman"/>
              <w:color w:val="000000"/>
              <w:lang w:eastAsia="en-AU"/>
            </w:rPr>
            <w:t xml:space="preserve">ed </w:t>
          </w:r>
          <w:r w:rsidR="00BE0E50">
            <w:rPr>
              <w:rFonts w:eastAsia="Times New Roman" w:cs="Times New Roman"/>
              <w:color w:val="000000"/>
              <w:lang w:eastAsia="en-AU"/>
            </w:rPr>
            <w:t>with pre-pandemic levels of 2019</w:t>
          </w:r>
          <w:r w:rsidR="00F2246C">
            <w:rPr>
              <w:rFonts w:eastAsia="Times New Roman" w:cs="Times New Roman"/>
              <w:color w:val="000000"/>
              <w:lang w:eastAsia="en-AU"/>
            </w:rPr>
            <w:t>, in 2021</w:t>
          </w:r>
          <w:r w:rsidR="00BE0E50">
            <w:rPr>
              <w:rFonts w:eastAsia="Times New Roman" w:cs="Times New Roman"/>
              <w:color w:val="000000"/>
              <w:lang w:eastAsia="en-AU"/>
            </w:rPr>
            <w:t>:</w:t>
          </w:r>
          <w:r w:rsidRPr="00492527">
            <w:rPr>
              <w:rFonts w:eastAsia="Times New Roman" w:cs="Times New Roman"/>
              <w:color w:val="000000"/>
              <w:lang w:eastAsia="en-AU"/>
            </w:rPr>
            <w:t xml:space="preserve"> </w:t>
          </w:r>
        </w:p>
        <w:p w14:paraId="6BFCB7F4" w14:textId="04BD4A39" w:rsidR="00101BFD" w:rsidRPr="00101BFD" w:rsidRDefault="00F2246C" w:rsidP="00B51BCB">
          <w:pPr>
            <w:numPr>
              <w:ilvl w:val="0"/>
              <w:numId w:val="8"/>
            </w:numPr>
            <w:shd w:val="clear" w:color="auto" w:fill="FFFFFF"/>
            <w:ind w:left="714" w:hanging="357"/>
            <w:contextualSpacing/>
            <w:rPr>
              <w:rFonts w:eastAsia="Times New Roman" w:cs="Times New Roman"/>
              <w:color w:val="000000"/>
              <w:lang w:eastAsia="en-AU"/>
            </w:rPr>
          </w:pPr>
          <w:r>
            <w:rPr>
              <w:rFonts w:eastAsia="Times New Roman" w:cs="Times New Roman"/>
              <w:color w:val="000000"/>
              <w:lang w:eastAsia="en-AU"/>
            </w:rPr>
            <w:t>i</w:t>
          </w:r>
          <w:r w:rsidR="00101BFD" w:rsidRPr="00101BFD">
            <w:rPr>
              <w:rFonts w:eastAsia="Times New Roman" w:cs="Times New Roman"/>
              <w:color w:val="000000"/>
              <w:lang w:eastAsia="en-AU"/>
            </w:rPr>
            <w:t xml:space="preserve">nternational visitor numbers </w:t>
          </w:r>
          <w:r w:rsidR="00A74EBF">
            <w:rPr>
              <w:rFonts w:eastAsia="Times New Roman" w:cs="Times New Roman"/>
              <w:color w:val="000000"/>
              <w:lang w:eastAsia="en-AU"/>
            </w:rPr>
            <w:t xml:space="preserve">were down </w:t>
          </w:r>
          <w:bookmarkStart w:id="33" w:name="_Hlk102747733"/>
          <w:r w:rsidR="00532CB6">
            <w:rPr>
              <w:rFonts w:eastAsia="Times New Roman" w:cs="Times New Roman"/>
              <w:color w:val="000000"/>
              <w:lang w:eastAsia="en-AU"/>
            </w:rPr>
            <w:t xml:space="preserve">by </w:t>
          </w:r>
          <w:bookmarkEnd w:id="33"/>
          <w:r w:rsidR="00101BFD" w:rsidRPr="00101BFD">
            <w:rPr>
              <w:rFonts w:eastAsia="Times New Roman" w:cs="Times New Roman"/>
              <w:color w:val="000000"/>
              <w:lang w:eastAsia="en-AU"/>
            </w:rPr>
            <w:t>97% to 223,</w:t>
          </w:r>
          <w:r w:rsidR="00E44215">
            <w:rPr>
              <w:rFonts w:eastAsia="Times New Roman" w:cs="Times New Roman"/>
              <w:color w:val="000000"/>
              <w:lang w:eastAsia="en-AU"/>
            </w:rPr>
            <w:t>7</w:t>
          </w:r>
          <w:r w:rsidR="00FA3031">
            <w:rPr>
              <w:rFonts w:eastAsia="Times New Roman" w:cs="Times New Roman"/>
              <w:color w:val="000000"/>
              <w:lang w:eastAsia="en-AU"/>
            </w:rPr>
            <w:t>00</w:t>
          </w:r>
          <w:r w:rsidR="008A1BBF">
            <w:rPr>
              <w:rFonts w:eastAsia="Times New Roman" w:cs="Times New Roman"/>
              <w:color w:val="000000"/>
              <w:lang w:eastAsia="en-AU"/>
            </w:rPr>
            <w:t> </w:t>
          </w:r>
          <w:r>
            <w:rPr>
              <w:rFonts w:eastAsia="Times New Roman" w:cs="Times New Roman"/>
              <w:color w:val="000000"/>
              <w:lang w:eastAsia="en-AU"/>
            </w:rPr>
            <w:t>visitors</w:t>
          </w:r>
        </w:p>
        <w:p w14:paraId="5929F896" w14:textId="3CF927D7" w:rsidR="00101BFD" w:rsidRPr="00101BFD" w:rsidRDefault="00F2246C" w:rsidP="00B51BCB">
          <w:pPr>
            <w:numPr>
              <w:ilvl w:val="0"/>
              <w:numId w:val="8"/>
            </w:numPr>
            <w:shd w:val="clear" w:color="auto" w:fill="FFFFFF"/>
            <w:ind w:left="714" w:hanging="357"/>
            <w:contextualSpacing/>
            <w:rPr>
              <w:rFonts w:eastAsia="Times New Roman" w:cs="Times New Roman"/>
              <w:color w:val="000000"/>
              <w:lang w:eastAsia="en-AU"/>
            </w:rPr>
          </w:pPr>
          <w:r>
            <w:rPr>
              <w:rFonts w:eastAsia="Times New Roman" w:cs="Times New Roman"/>
              <w:color w:val="000000"/>
              <w:lang w:eastAsia="en-AU"/>
            </w:rPr>
            <w:t>i</w:t>
          </w:r>
          <w:r w:rsidR="00101BFD" w:rsidRPr="00101BFD">
            <w:rPr>
              <w:rFonts w:eastAsia="Times New Roman" w:cs="Times New Roman"/>
              <w:color w:val="000000"/>
              <w:lang w:eastAsia="en-AU"/>
            </w:rPr>
            <w:t xml:space="preserve">nternational visitor spend was down </w:t>
          </w:r>
          <w:r w:rsidR="00532CB6" w:rsidRPr="00532CB6">
            <w:rPr>
              <w:rFonts w:eastAsia="Times New Roman" w:cs="Times New Roman"/>
              <w:color w:val="000000"/>
              <w:lang w:eastAsia="en-AU"/>
            </w:rPr>
            <w:t xml:space="preserve">by </w:t>
          </w:r>
          <w:r w:rsidR="00101BFD" w:rsidRPr="00101BFD">
            <w:rPr>
              <w:rFonts w:eastAsia="Times New Roman" w:cs="Times New Roman"/>
              <w:color w:val="000000"/>
              <w:lang w:eastAsia="en-AU"/>
            </w:rPr>
            <w:t>9</w:t>
          </w:r>
          <w:r w:rsidR="00BD6A26">
            <w:rPr>
              <w:rFonts w:eastAsia="Times New Roman" w:cs="Times New Roman"/>
              <w:color w:val="000000"/>
              <w:lang w:eastAsia="en-AU"/>
            </w:rPr>
            <w:t>5</w:t>
          </w:r>
          <w:r w:rsidR="00101BFD" w:rsidRPr="00101BFD">
            <w:rPr>
              <w:rFonts w:eastAsia="Times New Roman" w:cs="Times New Roman"/>
              <w:color w:val="000000"/>
              <w:lang w:eastAsia="en-AU"/>
            </w:rPr>
            <w:t>% to $2.4</w:t>
          </w:r>
          <w:r w:rsidR="008A1BBF">
            <w:rPr>
              <w:rFonts w:eastAsia="Times New Roman" w:cs="Times New Roman"/>
              <w:color w:val="000000"/>
              <w:lang w:eastAsia="en-AU"/>
            </w:rPr>
            <w:t> </w:t>
          </w:r>
          <w:r w:rsidR="00101BFD" w:rsidRPr="00101BFD">
            <w:rPr>
              <w:rFonts w:eastAsia="Times New Roman" w:cs="Times New Roman"/>
              <w:color w:val="000000"/>
              <w:lang w:eastAsia="en-AU"/>
            </w:rPr>
            <w:t>billion</w:t>
          </w:r>
        </w:p>
        <w:p w14:paraId="3A327087" w14:textId="140B3267" w:rsidR="00101BFD" w:rsidRDefault="00F2246C" w:rsidP="00B51BCB">
          <w:pPr>
            <w:numPr>
              <w:ilvl w:val="0"/>
              <w:numId w:val="8"/>
            </w:numPr>
            <w:shd w:val="clear" w:color="auto" w:fill="FFFFFF"/>
            <w:ind w:left="714" w:hanging="357"/>
            <w:contextualSpacing/>
            <w:rPr>
              <w:rFonts w:eastAsia="Times New Roman" w:cs="Times New Roman"/>
              <w:color w:val="000000"/>
              <w:lang w:eastAsia="en-AU"/>
            </w:rPr>
          </w:pPr>
          <w:r>
            <w:rPr>
              <w:rFonts w:eastAsia="Times New Roman" w:cs="Times New Roman"/>
              <w:color w:val="000000"/>
              <w:lang w:eastAsia="en-AU"/>
            </w:rPr>
            <w:t>i</w:t>
          </w:r>
          <w:r w:rsidR="00492527" w:rsidRPr="00492527">
            <w:rPr>
              <w:rFonts w:eastAsia="Times New Roman" w:cs="Times New Roman"/>
              <w:color w:val="000000"/>
              <w:lang w:eastAsia="en-AU"/>
            </w:rPr>
            <w:t>nternational v</w:t>
          </w:r>
          <w:r w:rsidR="00101BFD" w:rsidRPr="00101BFD">
            <w:rPr>
              <w:rFonts w:eastAsia="Times New Roman" w:cs="Times New Roman"/>
              <w:color w:val="000000"/>
              <w:lang w:eastAsia="en-AU"/>
            </w:rPr>
            <w:t xml:space="preserve">isitor nights were down </w:t>
          </w:r>
          <w:r w:rsidR="00532CB6">
            <w:rPr>
              <w:rFonts w:eastAsia="Times New Roman" w:cs="Times New Roman"/>
              <w:color w:val="000000"/>
              <w:lang w:eastAsia="en-AU"/>
            </w:rPr>
            <w:t xml:space="preserve">by </w:t>
          </w:r>
          <w:r w:rsidR="00101BFD" w:rsidRPr="00101BFD">
            <w:rPr>
              <w:rFonts w:eastAsia="Times New Roman" w:cs="Times New Roman"/>
              <w:color w:val="000000"/>
              <w:lang w:eastAsia="en-AU"/>
            </w:rPr>
            <w:t>94% to 16.5</w:t>
          </w:r>
          <w:r w:rsidR="008A1BBF">
            <w:rPr>
              <w:rFonts w:eastAsia="Times New Roman" w:cs="Times New Roman"/>
              <w:color w:val="000000"/>
              <w:lang w:eastAsia="en-AU"/>
            </w:rPr>
            <w:t> </w:t>
          </w:r>
          <w:r w:rsidR="00101BFD" w:rsidRPr="00101BFD">
            <w:rPr>
              <w:rFonts w:eastAsia="Times New Roman" w:cs="Times New Roman"/>
              <w:color w:val="000000"/>
              <w:lang w:eastAsia="en-AU"/>
            </w:rPr>
            <w:t>million</w:t>
          </w:r>
          <w:r>
            <w:rPr>
              <w:rFonts w:eastAsia="Times New Roman" w:cs="Times New Roman"/>
              <w:color w:val="000000"/>
              <w:lang w:eastAsia="en-AU"/>
            </w:rPr>
            <w:t xml:space="preserve"> nights</w:t>
          </w:r>
        </w:p>
        <w:p w14:paraId="380C4277" w14:textId="67F35375" w:rsidR="009212D9" w:rsidRDefault="009212D9" w:rsidP="00B51BCB">
          <w:pPr>
            <w:numPr>
              <w:ilvl w:val="0"/>
              <w:numId w:val="8"/>
            </w:numPr>
            <w:shd w:val="clear" w:color="auto" w:fill="FFFFFF"/>
            <w:ind w:left="714" w:hanging="357"/>
            <w:contextualSpacing/>
            <w:rPr>
              <w:rFonts w:eastAsia="Times New Roman" w:cs="Times New Roman"/>
              <w:color w:val="000000"/>
              <w:lang w:eastAsia="en-AU"/>
            </w:rPr>
          </w:pPr>
          <w:r>
            <w:rPr>
              <w:rFonts w:eastAsia="Times New Roman" w:cs="Times New Roman"/>
              <w:color w:val="000000"/>
              <w:lang w:eastAsia="en-AU"/>
            </w:rPr>
            <w:t>Australian outbound travellers declined by 95% to 527,300</w:t>
          </w:r>
          <w:r w:rsidR="000002F8" w:rsidRPr="000002F8">
            <w:rPr>
              <w:rFonts w:eastAsia="Times New Roman" w:cs="Times New Roman"/>
              <w:color w:val="000000"/>
              <w:lang w:eastAsia="en-AU"/>
            </w:rPr>
            <w:t> </w:t>
          </w:r>
          <w:r>
            <w:rPr>
              <w:rFonts w:eastAsia="Times New Roman" w:cs="Times New Roman"/>
              <w:color w:val="000000"/>
              <w:lang w:eastAsia="en-AU"/>
            </w:rPr>
            <w:t>departures</w:t>
          </w:r>
          <w:r w:rsidR="00B200F4">
            <w:rPr>
              <w:rFonts w:eastAsia="Times New Roman" w:cs="Times New Roman"/>
              <w:color w:val="000000"/>
              <w:lang w:eastAsia="en-AU"/>
            </w:rPr>
            <w:t>.</w:t>
          </w:r>
          <w:r w:rsidR="000002F8">
            <w:rPr>
              <w:rFonts w:eastAsia="Times New Roman" w:cs="Times New Roman"/>
              <w:color w:val="000000"/>
              <w:lang w:eastAsia="en-AU"/>
            </w:rPr>
            <w:t xml:space="preserve"> </w:t>
          </w:r>
        </w:p>
        <w:p w14:paraId="0E42F3CC" w14:textId="33ECE896" w:rsidR="007F21E4" w:rsidRDefault="007F21E4" w:rsidP="00492527">
          <w:pPr>
            <w:shd w:val="clear" w:color="auto" w:fill="FFFFFF"/>
            <w:spacing w:before="300"/>
            <w:rPr>
              <w:rFonts w:eastAsia="Times New Roman" w:cs="Times New Roman"/>
              <w:color w:val="000000"/>
              <w:lang w:eastAsia="en-AU"/>
            </w:rPr>
          </w:pPr>
          <w:r w:rsidRPr="00B22060">
            <w:t>Total international tourism losses from the start of the pandemic (March 2020) to the end of December 2021 reached $72.8 billion.</w:t>
          </w:r>
          <w:r w:rsidR="00C93A84" w:rsidRPr="00B22060">
            <w:t xml:space="preserve"> Se</w:t>
          </w:r>
          <w:r w:rsidR="00643A37" w:rsidRPr="00B22060">
            <w:t>gment</w:t>
          </w:r>
          <w:r w:rsidR="00C93A84" w:rsidRPr="00B22060">
            <w:t>s that were particularly exposed to the halt in international travel include</w:t>
          </w:r>
          <w:r w:rsidR="00643A37" w:rsidRPr="00B22060">
            <w:t>d</w:t>
          </w:r>
          <w:r w:rsidR="00C93A84" w:rsidRPr="00B22060">
            <w:t xml:space="preserve"> </w:t>
          </w:r>
          <w:r w:rsidR="00B206D6" w:rsidRPr="00B22060">
            <w:t>CBD</w:t>
          </w:r>
          <w:r w:rsidR="00E654FF" w:rsidRPr="00B22060">
            <w:t> </w:t>
          </w:r>
          <w:r w:rsidR="00C93A84" w:rsidRPr="00B22060">
            <w:t>accommodation, international aviation, travel agents and tour operators.</w:t>
          </w:r>
          <w:r w:rsidR="00253086" w:rsidRPr="00B22060">
            <w:t xml:space="preserve"> </w:t>
          </w:r>
          <w:r w:rsidR="00575CE7" w:rsidRPr="00B22060">
            <w:t>B</w:t>
          </w:r>
          <w:r w:rsidR="008D6968" w:rsidRPr="00B22060">
            <w:t xml:space="preserve">usinesses in regions with high </w:t>
          </w:r>
          <w:r w:rsidR="004C05AE" w:rsidRPr="00B22060">
            <w:t xml:space="preserve">economic </w:t>
          </w:r>
          <w:r w:rsidR="00C55BEF" w:rsidRPr="00B22060">
            <w:t>reliance on international tourists</w:t>
          </w:r>
          <w:r w:rsidR="00F21D1C" w:rsidRPr="00B22060">
            <w:t xml:space="preserve"> were also severely affected</w:t>
          </w:r>
          <w:r w:rsidR="00C55BEF" w:rsidRPr="00B22060">
            <w:t xml:space="preserve">. </w:t>
          </w:r>
          <w:r w:rsidR="00385DF9" w:rsidRPr="00B22060">
            <w:t xml:space="preserve">Examples of these regions are </w:t>
          </w:r>
          <w:r w:rsidR="00C55BEF" w:rsidRPr="00B22060">
            <w:t>Tropical North Queensland, the Whitsundays</w:t>
          </w:r>
          <w:r w:rsidR="004C05AE" w:rsidRPr="00B22060">
            <w:t>, Kangaroo Is</w:t>
          </w:r>
          <w:r w:rsidR="00CC5A2C" w:rsidRPr="00B22060">
            <w:t>l</w:t>
          </w:r>
          <w:r w:rsidR="004C05AE" w:rsidRPr="00B22060">
            <w:t>and and Lasseter</w:t>
          </w:r>
          <w:r w:rsidR="000E52E2" w:rsidRPr="00B22060">
            <w:t xml:space="preserve"> -</w:t>
          </w:r>
          <w:r w:rsidR="00055028" w:rsidRPr="00B22060">
            <w:t xml:space="preserve"> the region </w:t>
          </w:r>
          <w:r w:rsidR="00030923" w:rsidRPr="00B22060">
            <w:t>centred around</w:t>
          </w:r>
          <w:r w:rsidR="00055028" w:rsidRPr="00B22060">
            <w:t xml:space="preserve"> Uluru</w:t>
          </w:r>
          <w:r w:rsidR="009212D9">
            <w:rPr>
              <w:rFonts w:eastAsia="Times New Roman" w:cs="Times New Roman"/>
              <w:color w:val="000000"/>
              <w:lang w:eastAsia="en-AU"/>
            </w:rPr>
            <w:t xml:space="preserve"> </w:t>
          </w:r>
          <w:r w:rsidR="00DB31D8">
            <w:rPr>
              <w:rFonts w:eastAsia="Times New Roman" w:cs="Times New Roman"/>
              <w:color w:val="000000"/>
              <w:lang w:eastAsia="en-AU"/>
            </w:rPr>
            <w:t>(</w:t>
          </w:r>
          <w:r w:rsidR="009212D9">
            <w:rPr>
              <w:rFonts w:eastAsia="Times New Roman" w:cs="Times New Roman"/>
              <w:color w:val="000000"/>
              <w:lang w:eastAsia="en-AU"/>
            </w:rPr>
            <w:t>Table 1</w:t>
          </w:r>
          <w:r w:rsidR="00055028">
            <w:rPr>
              <w:rFonts w:eastAsia="Times New Roman" w:cs="Times New Roman"/>
              <w:color w:val="000000"/>
              <w:lang w:eastAsia="en-AU"/>
            </w:rPr>
            <w:t>)</w:t>
          </w:r>
          <w:r w:rsidR="00CC5A2C">
            <w:rPr>
              <w:rFonts w:eastAsia="Times New Roman" w:cs="Times New Roman"/>
              <w:color w:val="000000"/>
              <w:lang w:eastAsia="en-AU"/>
            </w:rPr>
            <w:t>.</w:t>
          </w:r>
        </w:p>
        <w:p w14:paraId="14215E06" w14:textId="33D11503" w:rsidR="009212D9" w:rsidRPr="009212D9" w:rsidRDefault="009212D9" w:rsidP="009212D9">
          <w:pPr>
            <w:shd w:val="clear" w:color="auto" w:fill="FFFFFF"/>
            <w:spacing w:before="300"/>
            <w:rPr>
              <w:color w:val="2E1A47" w:themeColor="text2"/>
            </w:rPr>
          </w:pPr>
          <w:r w:rsidRPr="009212D9">
            <w:rPr>
              <w:color w:val="2E1A47" w:themeColor="text2"/>
            </w:rPr>
            <w:t>Table</w:t>
          </w:r>
          <w:r>
            <w:rPr>
              <w:color w:val="2E1A47" w:themeColor="text2"/>
            </w:rPr>
            <w:t xml:space="preserve"> 1</w:t>
          </w:r>
          <w:r w:rsidRPr="009212D9">
            <w:rPr>
              <w:color w:val="2E1A47" w:themeColor="text2"/>
            </w:rPr>
            <w:t xml:space="preserve">: </w:t>
          </w:r>
          <w:r w:rsidR="00883F86">
            <w:rPr>
              <w:color w:val="2E1A47" w:themeColor="text2"/>
            </w:rPr>
            <w:t>R</w:t>
          </w:r>
          <w:r w:rsidRPr="009212D9">
            <w:rPr>
              <w:color w:val="2E1A47" w:themeColor="text2"/>
            </w:rPr>
            <w:t>eliance on international tourism</w:t>
          </w:r>
          <w:r w:rsidR="00BE0605">
            <w:rPr>
              <w:color w:val="2E1A47" w:themeColor="text2"/>
            </w:rPr>
            <w:t xml:space="preserve"> </w:t>
          </w:r>
          <w:r w:rsidR="006F7F93">
            <w:rPr>
              <w:color w:val="2E1A47" w:themeColor="text2"/>
            </w:rPr>
            <w:t>by t</w:t>
          </w:r>
          <w:r w:rsidR="006F7F93" w:rsidRPr="009212D9">
            <w:rPr>
              <w:color w:val="2E1A47" w:themeColor="text2"/>
            </w:rPr>
            <w:t>ourism region</w:t>
          </w:r>
          <w:r w:rsidR="000E52E2">
            <w:rPr>
              <w:color w:val="2E1A47" w:themeColor="text2"/>
            </w:rPr>
            <w:t xml:space="preserve"> in </w:t>
          </w:r>
          <w:r w:rsidR="00065A39">
            <w:rPr>
              <w:color w:val="2E1A47" w:themeColor="text2"/>
            </w:rPr>
            <w:t>2019</w:t>
          </w:r>
          <w:r w:rsidR="000E52E2">
            <w:rPr>
              <w:color w:val="2E1A47" w:themeColor="text2"/>
            </w:rPr>
            <w:t xml:space="preserve"> calendar year</w:t>
          </w:r>
        </w:p>
        <w:tbl>
          <w:tblPr>
            <w:tblStyle w:val="TableGrid"/>
            <w:tblW w:w="0" w:type="auto"/>
            <w:tblLook w:val="04A0" w:firstRow="1" w:lastRow="0" w:firstColumn="1" w:lastColumn="0" w:noHBand="0" w:noVBand="1"/>
          </w:tblPr>
          <w:tblGrid>
            <w:gridCol w:w="3964"/>
            <w:gridCol w:w="2877"/>
            <w:gridCol w:w="3117"/>
          </w:tblGrid>
          <w:tr w:rsidR="009212D9" w:rsidRPr="00CB65C6" w14:paraId="4CAFA8BC" w14:textId="77777777" w:rsidTr="004A446E">
            <w:tc>
              <w:tcPr>
                <w:tcW w:w="3964" w:type="dxa"/>
                <w:tcBorders>
                  <w:top w:val="nil"/>
                  <w:left w:val="nil"/>
                  <w:bottom w:val="nil"/>
                  <w:right w:val="nil"/>
                </w:tcBorders>
                <w:shd w:val="clear" w:color="auto" w:fill="2E1A47" w:themeFill="accent2"/>
              </w:tcPr>
              <w:p w14:paraId="5F20D11D" w14:textId="77777777" w:rsidR="009212D9" w:rsidRPr="00CB65C6" w:rsidRDefault="009212D9" w:rsidP="004A446E">
                <w:pPr>
                  <w:spacing w:before="0" w:after="0"/>
                  <w:rPr>
                    <w:rFonts w:eastAsia="Times New Roman" w:cs="Times New Roman"/>
                    <w:b/>
                    <w:bCs/>
                    <w:color w:val="FFFFFF" w:themeColor="background1"/>
                    <w:sz w:val="18"/>
                    <w:szCs w:val="18"/>
                    <w:lang w:eastAsia="en-AU"/>
                  </w:rPr>
                </w:pPr>
                <w:r w:rsidRPr="00CB65C6">
                  <w:rPr>
                    <w:rFonts w:eastAsia="Times New Roman" w:cs="Times New Roman"/>
                    <w:b/>
                    <w:bCs/>
                    <w:color w:val="FFFFFF" w:themeColor="background1"/>
                    <w:sz w:val="18"/>
                    <w:szCs w:val="18"/>
                    <w:lang w:eastAsia="en-AU"/>
                  </w:rPr>
                  <w:t>Tourism region name</w:t>
                </w:r>
              </w:p>
            </w:tc>
            <w:tc>
              <w:tcPr>
                <w:tcW w:w="2877" w:type="dxa"/>
                <w:tcBorders>
                  <w:top w:val="nil"/>
                  <w:left w:val="nil"/>
                  <w:bottom w:val="nil"/>
                  <w:right w:val="nil"/>
                </w:tcBorders>
                <w:shd w:val="clear" w:color="auto" w:fill="2E1A47" w:themeFill="accent2"/>
              </w:tcPr>
              <w:p w14:paraId="09032393" w14:textId="77777777" w:rsidR="009212D9" w:rsidRPr="00CB65C6" w:rsidRDefault="009212D9" w:rsidP="004A446E">
                <w:pPr>
                  <w:spacing w:before="0" w:after="0"/>
                  <w:jc w:val="center"/>
                  <w:rPr>
                    <w:rFonts w:eastAsia="Times New Roman" w:cs="Times New Roman"/>
                    <w:b/>
                    <w:bCs/>
                    <w:color w:val="FFFFFF" w:themeColor="background1"/>
                    <w:sz w:val="18"/>
                    <w:szCs w:val="18"/>
                    <w:lang w:eastAsia="en-AU"/>
                  </w:rPr>
                </w:pPr>
                <w:r w:rsidRPr="00CB65C6">
                  <w:rPr>
                    <w:rFonts w:eastAsia="Times New Roman" w:cs="Times New Roman"/>
                    <w:b/>
                    <w:bCs/>
                    <w:color w:val="FFFFFF" w:themeColor="background1"/>
                    <w:sz w:val="18"/>
                    <w:szCs w:val="18"/>
                    <w:lang w:eastAsia="en-AU"/>
                  </w:rPr>
                  <w:t>Total spend in 2019</w:t>
                </w:r>
              </w:p>
              <w:p w14:paraId="5878704E" w14:textId="300E0C51" w:rsidR="009212D9" w:rsidRPr="00CB65C6" w:rsidRDefault="009212D9" w:rsidP="004A446E">
                <w:pPr>
                  <w:spacing w:before="0" w:after="0"/>
                  <w:jc w:val="center"/>
                  <w:rPr>
                    <w:rFonts w:eastAsia="Times New Roman" w:cs="Times New Roman"/>
                    <w:b/>
                    <w:bCs/>
                    <w:color w:val="FFFFFF" w:themeColor="background1"/>
                    <w:sz w:val="18"/>
                    <w:szCs w:val="18"/>
                    <w:lang w:eastAsia="en-AU"/>
                  </w:rPr>
                </w:pPr>
                <w:r w:rsidRPr="00CB65C6">
                  <w:rPr>
                    <w:rFonts w:eastAsia="Times New Roman" w:cs="Times New Roman"/>
                    <w:b/>
                    <w:bCs/>
                    <w:color w:val="FFFFFF" w:themeColor="background1"/>
                    <w:sz w:val="18"/>
                    <w:szCs w:val="18"/>
                    <w:lang w:eastAsia="en-AU"/>
                  </w:rPr>
                  <w:t>(</w:t>
                </w:r>
                <w:r w:rsidR="00643A37">
                  <w:rPr>
                    <w:rFonts w:eastAsia="Times New Roman" w:cs="Times New Roman"/>
                    <w:b/>
                    <w:bCs/>
                    <w:color w:val="FFFFFF" w:themeColor="background1"/>
                    <w:sz w:val="18"/>
                    <w:szCs w:val="18"/>
                    <w:lang w:eastAsia="en-AU"/>
                  </w:rPr>
                  <w:t xml:space="preserve">$ </w:t>
                </w:r>
                <w:r w:rsidRPr="00CB65C6">
                  <w:rPr>
                    <w:rFonts w:eastAsia="Times New Roman" w:cs="Times New Roman"/>
                    <w:b/>
                    <w:bCs/>
                    <w:color w:val="FFFFFF" w:themeColor="background1"/>
                    <w:sz w:val="18"/>
                    <w:szCs w:val="18"/>
                    <w:lang w:eastAsia="en-AU"/>
                  </w:rPr>
                  <w:t>million)</w:t>
                </w:r>
              </w:p>
            </w:tc>
            <w:tc>
              <w:tcPr>
                <w:tcW w:w="3117" w:type="dxa"/>
                <w:tcBorders>
                  <w:top w:val="nil"/>
                  <w:left w:val="nil"/>
                  <w:bottom w:val="nil"/>
                  <w:right w:val="nil"/>
                </w:tcBorders>
                <w:shd w:val="clear" w:color="auto" w:fill="2E1A47" w:themeFill="accent2"/>
              </w:tcPr>
              <w:p w14:paraId="1F793921" w14:textId="77777777" w:rsidR="009212D9" w:rsidRPr="00CB65C6" w:rsidRDefault="009212D9" w:rsidP="004A446E">
                <w:pPr>
                  <w:spacing w:before="0" w:after="0"/>
                  <w:jc w:val="center"/>
                  <w:rPr>
                    <w:rFonts w:eastAsia="Times New Roman" w:cs="Times New Roman"/>
                    <w:b/>
                    <w:bCs/>
                    <w:color w:val="FFFFFF" w:themeColor="background1"/>
                    <w:sz w:val="18"/>
                    <w:szCs w:val="18"/>
                    <w:lang w:eastAsia="en-AU"/>
                  </w:rPr>
                </w:pPr>
                <w:r w:rsidRPr="00CB65C6">
                  <w:rPr>
                    <w:rFonts w:eastAsia="Times New Roman" w:cs="Times New Roman"/>
                    <w:b/>
                    <w:bCs/>
                    <w:color w:val="FFFFFF" w:themeColor="background1"/>
                    <w:sz w:val="18"/>
                    <w:szCs w:val="18"/>
                    <w:lang w:eastAsia="en-AU"/>
                  </w:rPr>
                  <w:t>International share of spend</w:t>
                </w:r>
              </w:p>
              <w:p w14:paraId="089163D5" w14:textId="77777777" w:rsidR="009212D9" w:rsidRPr="00CB65C6" w:rsidRDefault="009212D9" w:rsidP="004A446E">
                <w:pPr>
                  <w:spacing w:before="0" w:after="0"/>
                  <w:jc w:val="center"/>
                  <w:rPr>
                    <w:rFonts w:eastAsia="Times New Roman" w:cs="Times New Roman"/>
                    <w:b/>
                    <w:bCs/>
                    <w:color w:val="FFFFFF" w:themeColor="background1"/>
                    <w:sz w:val="18"/>
                    <w:szCs w:val="18"/>
                    <w:lang w:eastAsia="en-AU"/>
                  </w:rPr>
                </w:pPr>
                <w:r w:rsidRPr="00CB65C6">
                  <w:rPr>
                    <w:rFonts w:eastAsia="Times New Roman" w:cs="Times New Roman"/>
                    <w:b/>
                    <w:bCs/>
                    <w:color w:val="FFFFFF" w:themeColor="background1"/>
                    <w:sz w:val="18"/>
                    <w:szCs w:val="18"/>
                    <w:lang w:eastAsia="en-AU"/>
                  </w:rPr>
                  <w:t>(%)</w:t>
                </w:r>
              </w:p>
            </w:tc>
          </w:tr>
          <w:tr w:rsidR="009212D9" w14:paraId="182CC47B" w14:textId="77777777" w:rsidTr="00324F58">
            <w:trPr>
              <w:trHeight w:hRule="exact" w:val="312"/>
            </w:trPr>
            <w:tc>
              <w:tcPr>
                <w:tcW w:w="3964" w:type="dxa"/>
                <w:tcBorders>
                  <w:top w:val="nil"/>
                  <w:left w:val="nil"/>
                  <w:bottom w:val="nil"/>
                  <w:right w:val="nil"/>
                </w:tcBorders>
              </w:tcPr>
              <w:p w14:paraId="09E923A5"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Sydney (NSW)</w:t>
                </w:r>
              </w:p>
            </w:tc>
            <w:tc>
              <w:tcPr>
                <w:tcW w:w="2877" w:type="dxa"/>
                <w:tcBorders>
                  <w:top w:val="nil"/>
                  <w:left w:val="nil"/>
                  <w:bottom w:val="nil"/>
                  <w:right w:val="nil"/>
                </w:tcBorders>
              </w:tcPr>
              <w:p w14:paraId="50092145"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$22,814</w:t>
                </w:r>
              </w:p>
            </w:tc>
            <w:tc>
              <w:tcPr>
                <w:tcW w:w="3117" w:type="dxa"/>
                <w:tcBorders>
                  <w:top w:val="nil"/>
                  <w:left w:val="nil"/>
                  <w:bottom w:val="nil"/>
                  <w:right w:val="nil"/>
                </w:tcBorders>
              </w:tcPr>
              <w:p w14:paraId="094E33FA"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45</w:t>
                </w:r>
              </w:p>
            </w:tc>
          </w:tr>
          <w:tr w:rsidR="009212D9" w14:paraId="687E0035" w14:textId="77777777" w:rsidTr="00324F58">
            <w:trPr>
              <w:trHeight w:hRule="exact" w:val="312"/>
            </w:trPr>
            <w:tc>
              <w:tcPr>
                <w:tcW w:w="3964" w:type="dxa"/>
                <w:tcBorders>
                  <w:top w:val="nil"/>
                  <w:left w:val="nil"/>
                  <w:bottom w:val="nil"/>
                  <w:right w:val="nil"/>
                </w:tcBorders>
              </w:tcPr>
              <w:p w14:paraId="087A612D"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Melbourne (Vic)</w:t>
                </w:r>
              </w:p>
            </w:tc>
            <w:tc>
              <w:tcPr>
                <w:tcW w:w="2877" w:type="dxa"/>
                <w:tcBorders>
                  <w:top w:val="nil"/>
                  <w:left w:val="nil"/>
                  <w:bottom w:val="nil"/>
                  <w:right w:val="nil"/>
                </w:tcBorders>
              </w:tcPr>
              <w:p w14:paraId="59EEC18E"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$20,336</w:t>
                </w:r>
              </w:p>
            </w:tc>
            <w:tc>
              <w:tcPr>
                <w:tcW w:w="3117" w:type="dxa"/>
                <w:tcBorders>
                  <w:top w:val="nil"/>
                  <w:left w:val="nil"/>
                  <w:bottom w:val="nil"/>
                  <w:right w:val="nil"/>
                </w:tcBorders>
              </w:tcPr>
              <w:p w14:paraId="378445FE"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40</w:t>
                </w:r>
              </w:p>
            </w:tc>
          </w:tr>
          <w:tr w:rsidR="009212D9" w14:paraId="0C103178" w14:textId="77777777" w:rsidTr="00324F58">
            <w:trPr>
              <w:trHeight w:hRule="exact" w:val="312"/>
            </w:trPr>
            <w:tc>
              <w:tcPr>
                <w:tcW w:w="3964" w:type="dxa"/>
                <w:tcBorders>
                  <w:top w:val="nil"/>
                  <w:left w:val="nil"/>
                  <w:bottom w:val="nil"/>
                  <w:right w:val="nil"/>
                </w:tcBorders>
              </w:tcPr>
              <w:p w14:paraId="44DAD06A"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Lasseter (NT)</w:t>
                </w:r>
              </w:p>
            </w:tc>
            <w:tc>
              <w:tcPr>
                <w:tcW w:w="2877" w:type="dxa"/>
                <w:tcBorders>
                  <w:top w:val="nil"/>
                  <w:left w:val="nil"/>
                  <w:bottom w:val="nil"/>
                  <w:right w:val="nil"/>
                </w:tcBorders>
              </w:tcPr>
              <w:p w14:paraId="197A4036"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$539</w:t>
                </w:r>
              </w:p>
            </w:tc>
            <w:tc>
              <w:tcPr>
                <w:tcW w:w="3117" w:type="dxa"/>
                <w:tcBorders>
                  <w:top w:val="nil"/>
                  <w:left w:val="nil"/>
                  <w:bottom w:val="nil"/>
                  <w:right w:val="nil"/>
                </w:tcBorders>
              </w:tcPr>
              <w:p w14:paraId="01FE18F5"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34</w:t>
                </w:r>
              </w:p>
            </w:tc>
          </w:tr>
          <w:tr w:rsidR="009212D9" w14:paraId="6A8F4F3C" w14:textId="77777777" w:rsidTr="00324F58">
            <w:trPr>
              <w:trHeight w:hRule="exact" w:val="312"/>
            </w:trPr>
            <w:tc>
              <w:tcPr>
                <w:tcW w:w="3964" w:type="dxa"/>
                <w:tcBorders>
                  <w:top w:val="nil"/>
                  <w:left w:val="nil"/>
                  <w:bottom w:val="nil"/>
                  <w:right w:val="nil"/>
                </w:tcBorders>
              </w:tcPr>
              <w:p w14:paraId="6446807E"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Brisbane (Qld)</w:t>
                </w:r>
              </w:p>
            </w:tc>
            <w:tc>
              <w:tcPr>
                <w:tcW w:w="2877" w:type="dxa"/>
                <w:tcBorders>
                  <w:top w:val="nil"/>
                  <w:left w:val="nil"/>
                  <w:bottom w:val="nil"/>
                  <w:right w:val="nil"/>
                </w:tcBorders>
              </w:tcPr>
              <w:p w14:paraId="7FBC3F92" w14:textId="06322048" w:rsidR="009212D9" w:rsidRPr="00324F58" w:rsidRDefault="00643A37"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w:t>
                </w:r>
                <w:r w:rsidR="009212D9" w:rsidRPr="00324F58">
                  <w:rPr>
                    <w:rFonts w:eastAsia="Times New Roman" w:cs="Times New Roman"/>
                    <w:color w:val="000000"/>
                    <w:sz w:val="18"/>
                    <w:szCs w:val="18"/>
                    <w:lang w:eastAsia="en-AU"/>
                  </w:rPr>
                  <w:t>10,397</w:t>
                </w:r>
              </w:p>
            </w:tc>
            <w:tc>
              <w:tcPr>
                <w:tcW w:w="3117" w:type="dxa"/>
                <w:tcBorders>
                  <w:top w:val="nil"/>
                  <w:left w:val="nil"/>
                  <w:bottom w:val="nil"/>
                  <w:right w:val="nil"/>
                </w:tcBorders>
              </w:tcPr>
              <w:p w14:paraId="73DFC4D7"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28</w:t>
                </w:r>
              </w:p>
            </w:tc>
          </w:tr>
          <w:tr w:rsidR="009212D9" w14:paraId="64E56939" w14:textId="77777777" w:rsidTr="00324F58">
            <w:trPr>
              <w:trHeight w:hRule="exact" w:val="312"/>
            </w:trPr>
            <w:tc>
              <w:tcPr>
                <w:tcW w:w="3964" w:type="dxa"/>
                <w:tcBorders>
                  <w:top w:val="nil"/>
                  <w:left w:val="nil"/>
                  <w:bottom w:val="nil"/>
                  <w:right w:val="nil"/>
                </w:tcBorders>
              </w:tcPr>
              <w:p w14:paraId="16DF96A1"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Kangaroo Island (SA)</w:t>
                </w:r>
              </w:p>
            </w:tc>
            <w:tc>
              <w:tcPr>
                <w:tcW w:w="2877" w:type="dxa"/>
                <w:tcBorders>
                  <w:top w:val="nil"/>
                  <w:left w:val="nil"/>
                  <w:bottom w:val="nil"/>
                  <w:right w:val="nil"/>
                </w:tcBorders>
              </w:tcPr>
              <w:p w14:paraId="1AA24C32"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$191</w:t>
                </w:r>
              </w:p>
            </w:tc>
            <w:tc>
              <w:tcPr>
                <w:tcW w:w="3117" w:type="dxa"/>
                <w:tcBorders>
                  <w:top w:val="nil"/>
                  <w:left w:val="nil"/>
                  <w:bottom w:val="nil"/>
                  <w:right w:val="nil"/>
                </w:tcBorders>
              </w:tcPr>
              <w:p w14:paraId="5F51EC5C"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28</w:t>
                </w:r>
              </w:p>
            </w:tc>
          </w:tr>
          <w:tr w:rsidR="009212D9" w14:paraId="0C5AED7A" w14:textId="77777777" w:rsidTr="00324F58">
            <w:trPr>
              <w:trHeight w:hRule="exact" w:val="312"/>
            </w:trPr>
            <w:tc>
              <w:tcPr>
                <w:tcW w:w="3964" w:type="dxa"/>
                <w:tcBorders>
                  <w:top w:val="nil"/>
                  <w:left w:val="nil"/>
                  <w:bottom w:val="nil"/>
                  <w:right w:val="nil"/>
                </w:tcBorders>
              </w:tcPr>
              <w:p w14:paraId="5002ADD0"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Tropical North Queensland (Qld)</w:t>
                </w:r>
              </w:p>
            </w:tc>
            <w:tc>
              <w:tcPr>
                <w:tcW w:w="2877" w:type="dxa"/>
                <w:tcBorders>
                  <w:top w:val="nil"/>
                  <w:left w:val="nil"/>
                  <w:bottom w:val="nil"/>
                  <w:right w:val="nil"/>
                </w:tcBorders>
              </w:tcPr>
              <w:p w14:paraId="11D2D2F1"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$3,964</w:t>
                </w:r>
              </w:p>
            </w:tc>
            <w:tc>
              <w:tcPr>
                <w:tcW w:w="3117" w:type="dxa"/>
                <w:tcBorders>
                  <w:top w:val="nil"/>
                  <w:left w:val="nil"/>
                  <w:bottom w:val="nil"/>
                  <w:right w:val="nil"/>
                </w:tcBorders>
              </w:tcPr>
              <w:p w14:paraId="5FF31AE0"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26</w:t>
                </w:r>
              </w:p>
            </w:tc>
          </w:tr>
          <w:tr w:rsidR="009212D9" w14:paraId="4E3A98AC" w14:textId="77777777" w:rsidTr="00324F58">
            <w:trPr>
              <w:trHeight w:hRule="exact" w:val="312"/>
            </w:trPr>
            <w:tc>
              <w:tcPr>
                <w:tcW w:w="3964" w:type="dxa"/>
                <w:tcBorders>
                  <w:top w:val="nil"/>
                  <w:left w:val="nil"/>
                  <w:bottom w:val="nil"/>
                  <w:right w:val="nil"/>
                </w:tcBorders>
              </w:tcPr>
              <w:p w14:paraId="17551C97"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Destination Perth (WA)</w:t>
                </w:r>
              </w:p>
            </w:tc>
            <w:tc>
              <w:tcPr>
                <w:tcW w:w="2877" w:type="dxa"/>
                <w:tcBorders>
                  <w:top w:val="nil"/>
                  <w:left w:val="nil"/>
                  <w:bottom w:val="nil"/>
                  <w:right w:val="nil"/>
                </w:tcBorders>
              </w:tcPr>
              <w:p w14:paraId="37369A55"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$7,435</w:t>
                </w:r>
              </w:p>
            </w:tc>
            <w:tc>
              <w:tcPr>
                <w:tcW w:w="3117" w:type="dxa"/>
                <w:tcBorders>
                  <w:top w:val="nil"/>
                  <w:left w:val="nil"/>
                  <w:bottom w:val="nil"/>
                  <w:right w:val="nil"/>
                </w:tcBorders>
              </w:tcPr>
              <w:p w14:paraId="44CB81AD"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26</w:t>
                </w:r>
              </w:p>
            </w:tc>
          </w:tr>
          <w:tr w:rsidR="009212D9" w14:paraId="15B41625" w14:textId="77777777" w:rsidTr="00324F58">
            <w:trPr>
              <w:trHeight w:hRule="exact" w:val="312"/>
            </w:trPr>
            <w:tc>
              <w:tcPr>
                <w:tcW w:w="3964" w:type="dxa"/>
                <w:tcBorders>
                  <w:top w:val="nil"/>
                  <w:left w:val="nil"/>
                  <w:bottom w:val="nil"/>
                  <w:right w:val="nil"/>
                </w:tcBorders>
              </w:tcPr>
              <w:p w14:paraId="38FFDB9F"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Gold Coast (Qld)</w:t>
                </w:r>
              </w:p>
            </w:tc>
            <w:tc>
              <w:tcPr>
                <w:tcW w:w="2877" w:type="dxa"/>
                <w:tcBorders>
                  <w:top w:val="nil"/>
                  <w:left w:val="nil"/>
                  <w:bottom w:val="nil"/>
                  <w:right w:val="nil"/>
                </w:tcBorders>
              </w:tcPr>
              <w:p w14:paraId="4A993422"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$5,937</w:t>
                </w:r>
              </w:p>
            </w:tc>
            <w:tc>
              <w:tcPr>
                <w:tcW w:w="3117" w:type="dxa"/>
                <w:tcBorders>
                  <w:top w:val="nil"/>
                  <w:left w:val="nil"/>
                  <w:bottom w:val="nil"/>
                  <w:right w:val="nil"/>
                </w:tcBorders>
              </w:tcPr>
              <w:p w14:paraId="7271E03A"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23</w:t>
                </w:r>
              </w:p>
            </w:tc>
          </w:tr>
          <w:tr w:rsidR="009212D9" w14:paraId="55E041D4" w14:textId="77777777" w:rsidTr="00324F58">
            <w:trPr>
              <w:trHeight w:hRule="exact" w:val="312"/>
            </w:trPr>
            <w:tc>
              <w:tcPr>
                <w:tcW w:w="3964" w:type="dxa"/>
                <w:tcBorders>
                  <w:top w:val="nil"/>
                  <w:left w:val="nil"/>
                  <w:bottom w:val="nil"/>
                  <w:right w:val="nil"/>
                </w:tcBorders>
              </w:tcPr>
              <w:p w14:paraId="38C253B2"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Adelaide (SA)</w:t>
                </w:r>
              </w:p>
            </w:tc>
            <w:tc>
              <w:tcPr>
                <w:tcW w:w="2877" w:type="dxa"/>
                <w:tcBorders>
                  <w:top w:val="nil"/>
                  <w:left w:val="nil"/>
                  <w:bottom w:val="nil"/>
                  <w:right w:val="nil"/>
                </w:tcBorders>
              </w:tcPr>
              <w:p w14:paraId="1211ADBB"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$4,515</w:t>
                </w:r>
              </w:p>
            </w:tc>
            <w:tc>
              <w:tcPr>
                <w:tcW w:w="3117" w:type="dxa"/>
                <w:tcBorders>
                  <w:top w:val="nil"/>
                  <w:left w:val="nil"/>
                  <w:bottom w:val="nil"/>
                  <w:right w:val="nil"/>
                </w:tcBorders>
              </w:tcPr>
              <w:p w14:paraId="4B429F26"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23</w:t>
                </w:r>
              </w:p>
            </w:tc>
          </w:tr>
          <w:tr w:rsidR="009212D9" w14:paraId="2DC90A4F" w14:textId="77777777" w:rsidTr="00324F58">
            <w:trPr>
              <w:trHeight w:hRule="exact" w:val="312"/>
            </w:trPr>
            <w:tc>
              <w:tcPr>
                <w:tcW w:w="3964" w:type="dxa"/>
                <w:tcBorders>
                  <w:top w:val="nil"/>
                  <w:left w:val="nil"/>
                  <w:bottom w:val="nil"/>
                  <w:right w:val="nil"/>
                </w:tcBorders>
              </w:tcPr>
              <w:p w14:paraId="174A57BB"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Whitsundays (Qld)</w:t>
                </w:r>
              </w:p>
            </w:tc>
            <w:tc>
              <w:tcPr>
                <w:tcW w:w="2877" w:type="dxa"/>
                <w:tcBorders>
                  <w:top w:val="nil"/>
                  <w:left w:val="nil"/>
                  <w:bottom w:val="nil"/>
                  <w:right w:val="nil"/>
                </w:tcBorders>
              </w:tcPr>
              <w:p w14:paraId="1A146220"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$808</w:t>
                </w:r>
              </w:p>
            </w:tc>
            <w:tc>
              <w:tcPr>
                <w:tcW w:w="3117" w:type="dxa"/>
                <w:tcBorders>
                  <w:top w:val="nil"/>
                  <w:left w:val="nil"/>
                  <w:bottom w:val="nil"/>
                  <w:right w:val="nil"/>
                </w:tcBorders>
              </w:tcPr>
              <w:p w14:paraId="1B051A27"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19</w:t>
                </w:r>
              </w:p>
            </w:tc>
          </w:tr>
          <w:tr w:rsidR="009212D9" w14:paraId="3EC6F2D7" w14:textId="77777777" w:rsidTr="00324F58">
            <w:trPr>
              <w:trHeight w:hRule="exact" w:val="312"/>
            </w:trPr>
            <w:tc>
              <w:tcPr>
                <w:tcW w:w="3964" w:type="dxa"/>
                <w:tcBorders>
                  <w:top w:val="nil"/>
                  <w:left w:val="nil"/>
                  <w:bottom w:val="nil"/>
                  <w:right w:val="nil"/>
                </w:tcBorders>
              </w:tcPr>
              <w:p w14:paraId="149D3EC3"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Hobart and the South (Tas)</w:t>
                </w:r>
              </w:p>
            </w:tc>
            <w:tc>
              <w:tcPr>
                <w:tcW w:w="2877" w:type="dxa"/>
                <w:tcBorders>
                  <w:top w:val="nil"/>
                  <w:left w:val="nil"/>
                  <w:bottom w:val="nil"/>
                  <w:right w:val="nil"/>
                </w:tcBorders>
              </w:tcPr>
              <w:p w14:paraId="6F7D6BF2"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$2,193</w:t>
                </w:r>
              </w:p>
            </w:tc>
            <w:tc>
              <w:tcPr>
                <w:tcW w:w="3117" w:type="dxa"/>
                <w:tcBorders>
                  <w:top w:val="nil"/>
                  <w:left w:val="nil"/>
                  <w:bottom w:val="nil"/>
                  <w:right w:val="nil"/>
                </w:tcBorders>
              </w:tcPr>
              <w:p w14:paraId="39A30A17"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17</w:t>
                </w:r>
              </w:p>
            </w:tc>
          </w:tr>
          <w:tr w:rsidR="009212D9" w14:paraId="14C9EC45" w14:textId="77777777" w:rsidTr="00324F58">
            <w:trPr>
              <w:trHeight w:hRule="exact" w:val="312"/>
            </w:trPr>
            <w:tc>
              <w:tcPr>
                <w:tcW w:w="3964" w:type="dxa"/>
                <w:tcBorders>
                  <w:top w:val="nil"/>
                  <w:left w:val="nil"/>
                  <w:bottom w:val="nil"/>
                  <w:right w:val="nil"/>
                </w:tcBorders>
              </w:tcPr>
              <w:p w14:paraId="715EFDD1"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Alice Springs (NT)</w:t>
                </w:r>
              </w:p>
            </w:tc>
            <w:tc>
              <w:tcPr>
                <w:tcW w:w="2877" w:type="dxa"/>
                <w:tcBorders>
                  <w:top w:val="nil"/>
                  <w:left w:val="nil"/>
                  <w:bottom w:val="nil"/>
                  <w:right w:val="nil"/>
                </w:tcBorders>
              </w:tcPr>
              <w:p w14:paraId="643C215A"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$433</w:t>
                </w:r>
              </w:p>
            </w:tc>
            <w:tc>
              <w:tcPr>
                <w:tcW w:w="3117" w:type="dxa"/>
                <w:tcBorders>
                  <w:top w:val="nil"/>
                  <w:left w:val="nil"/>
                  <w:bottom w:val="nil"/>
                  <w:right w:val="nil"/>
                </w:tcBorders>
              </w:tcPr>
              <w:p w14:paraId="71D85F38"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15</w:t>
                </w:r>
              </w:p>
            </w:tc>
          </w:tr>
          <w:tr w:rsidR="009212D9" w14:paraId="55014CA5" w14:textId="77777777" w:rsidTr="00324F58">
            <w:trPr>
              <w:trHeight w:hRule="exact" w:val="312"/>
            </w:trPr>
            <w:tc>
              <w:tcPr>
                <w:tcW w:w="3964" w:type="dxa"/>
                <w:tcBorders>
                  <w:top w:val="nil"/>
                  <w:left w:val="nil"/>
                  <w:bottom w:val="nil"/>
                  <w:right w:val="nil"/>
                </w:tcBorders>
              </w:tcPr>
              <w:p w14:paraId="2179CF89"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Australia’s Coral Coast (WA)</w:t>
                </w:r>
              </w:p>
            </w:tc>
            <w:tc>
              <w:tcPr>
                <w:tcW w:w="2877" w:type="dxa"/>
                <w:tcBorders>
                  <w:top w:val="nil"/>
                  <w:left w:val="nil"/>
                  <w:bottom w:val="nil"/>
                  <w:right w:val="nil"/>
                </w:tcBorders>
              </w:tcPr>
              <w:p w14:paraId="591B84A6"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$936</w:t>
                </w:r>
              </w:p>
            </w:tc>
            <w:tc>
              <w:tcPr>
                <w:tcW w:w="3117" w:type="dxa"/>
                <w:tcBorders>
                  <w:top w:val="nil"/>
                  <w:left w:val="nil"/>
                  <w:bottom w:val="nil"/>
                  <w:right w:val="nil"/>
                </w:tcBorders>
              </w:tcPr>
              <w:p w14:paraId="0FBCB1E5"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14</w:t>
                </w:r>
              </w:p>
            </w:tc>
          </w:tr>
          <w:tr w:rsidR="009212D9" w14:paraId="650B6AA7" w14:textId="77777777" w:rsidTr="00324F58">
            <w:trPr>
              <w:trHeight w:hRule="exact" w:val="312"/>
            </w:trPr>
            <w:tc>
              <w:tcPr>
                <w:tcW w:w="3964" w:type="dxa"/>
                <w:tcBorders>
                  <w:top w:val="nil"/>
                  <w:left w:val="nil"/>
                  <w:bottom w:val="nil"/>
                  <w:right w:val="nil"/>
                </w:tcBorders>
              </w:tcPr>
              <w:p w14:paraId="2DE64776"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Launceston and the North (Tas)</w:t>
                </w:r>
              </w:p>
            </w:tc>
            <w:tc>
              <w:tcPr>
                <w:tcW w:w="2877" w:type="dxa"/>
                <w:tcBorders>
                  <w:top w:val="nil"/>
                  <w:left w:val="nil"/>
                  <w:bottom w:val="nil"/>
                  <w:right w:val="nil"/>
                </w:tcBorders>
              </w:tcPr>
              <w:p w14:paraId="76503475"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$1,017</w:t>
                </w:r>
              </w:p>
            </w:tc>
            <w:tc>
              <w:tcPr>
                <w:tcW w:w="3117" w:type="dxa"/>
                <w:tcBorders>
                  <w:top w:val="nil"/>
                  <w:left w:val="nil"/>
                  <w:bottom w:val="nil"/>
                  <w:right w:val="nil"/>
                </w:tcBorders>
              </w:tcPr>
              <w:p w14:paraId="7DF96E5A"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12</w:t>
                </w:r>
              </w:p>
            </w:tc>
          </w:tr>
          <w:tr w:rsidR="009212D9" w14:paraId="43D78316" w14:textId="77777777" w:rsidTr="00324F58">
            <w:trPr>
              <w:trHeight w:hRule="exact" w:val="312"/>
            </w:trPr>
            <w:tc>
              <w:tcPr>
                <w:tcW w:w="3964" w:type="dxa"/>
                <w:tcBorders>
                  <w:top w:val="nil"/>
                  <w:left w:val="nil"/>
                  <w:bottom w:val="nil"/>
                  <w:right w:val="nil"/>
                </w:tcBorders>
              </w:tcPr>
              <w:p w14:paraId="02078188"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Darwin (NT)</w:t>
                </w:r>
              </w:p>
            </w:tc>
            <w:tc>
              <w:tcPr>
                <w:tcW w:w="2877" w:type="dxa"/>
                <w:tcBorders>
                  <w:top w:val="nil"/>
                  <w:left w:val="nil"/>
                  <w:bottom w:val="nil"/>
                  <w:right w:val="nil"/>
                </w:tcBorders>
              </w:tcPr>
              <w:p w14:paraId="7500F15B"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$1,176</w:t>
                </w:r>
              </w:p>
            </w:tc>
            <w:tc>
              <w:tcPr>
                <w:tcW w:w="3117" w:type="dxa"/>
                <w:tcBorders>
                  <w:top w:val="nil"/>
                  <w:left w:val="nil"/>
                  <w:bottom w:val="nil"/>
                  <w:right w:val="nil"/>
                </w:tcBorders>
              </w:tcPr>
              <w:p w14:paraId="40381DAE"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12</w:t>
                </w:r>
              </w:p>
            </w:tc>
          </w:tr>
          <w:tr w:rsidR="009212D9" w14:paraId="352D4CAB" w14:textId="77777777" w:rsidTr="00324F58">
            <w:trPr>
              <w:trHeight w:hRule="exact" w:val="312"/>
            </w:trPr>
            <w:tc>
              <w:tcPr>
                <w:tcW w:w="3964" w:type="dxa"/>
                <w:tcBorders>
                  <w:top w:val="nil"/>
                  <w:left w:val="nil"/>
                  <w:bottom w:val="nil"/>
                  <w:right w:val="nil"/>
                </w:tcBorders>
              </w:tcPr>
              <w:p w14:paraId="3DCCCBE4"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Litchfield Kakadu Arnhem (NT)</w:t>
                </w:r>
              </w:p>
            </w:tc>
            <w:tc>
              <w:tcPr>
                <w:tcW w:w="2877" w:type="dxa"/>
                <w:tcBorders>
                  <w:top w:val="nil"/>
                  <w:left w:val="nil"/>
                  <w:bottom w:val="nil"/>
                  <w:right w:val="nil"/>
                </w:tcBorders>
              </w:tcPr>
              <w:p w14:paraId="74B6CF0E"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$267</w:t>
                </w:r>
              </w:p>
            </w:tc>
            <w:tc>
              <w:tcPr>
                <w:tcW w:w="3117" w:type="dxa"/>
                <w:tcBorders>
                  <w:top w:val="nil"/>
                  <w:left w:val="nil"/>
                  <w:bottom w:val="nil"/>
                  <w:right w:val="nil"/>
                </w:tcBorders>
              </w:tcPr>
              <w:p w14:paraId="24323523"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12</w:t>
                </w:r>
              </w:p>
            </w:tc>
          </w:tr>
          <w:tr w:rsidR="009212D9" w14:paraId="1E11DA2A" w14:textId="77777777" w:rsidTr="00324F58">
            <w:trPr>
              <w:trHeight w:hRule="exact" w:val="312"/>
            </w:trPr>
            <w:tc>
              <w:tcPr>
                <w:tcW w:w="3964" w:type="dxa"/>
                <w:tcBorders>
                  <w:top w:val="nil"/>
                  <w:left w:val="nil"/>
                  <w:bottom w:val="single" w:sz="8" w:space="0" w:color="2E1A47" w:themeColor="accent2"/>
                  <w:right w:val="nil"/>
                </w:tcBorders>
              </w:tcPr>
              <w:p w14:paraId="25E30481" w14:textId="77777777" w:rsidR="009212D9" w:rsidRPr="00324F58" w:rsidRDefault="009212D9" w:rsidP="004A446E">
                <w:pPr>
                  <w:spacing w:before="0" w:after="0"/>
                  <w:rPr>
                    <w:rFonts w:eastAsia="Times New Roman" w:cs="Times New Roman"/>
                    <w:color w:val="000000"/>
                    <w:sz w:val="18"/>
                    <w:szCs w:val="18"/>
                    <w:lang w:eastAsia="en-AU"/>
                  </w:rPr>
                </w:pPr>
                <w:r w:rsidRPr="00324F58">
                  <w:rPr>
                    <w:rFonts w:eastAsia="Times New Roman" w:cs="Times New Roman"/>
                    <w:color w:val="000000"/>
                    <w:sz w:val="18"/>
                    <w:szCs w:val="18"/>
                    <w:lang w:eastAsia="en-AU"/>
                  </w:rPr>
                  <w:t>MacDonnell (NT)</w:t>
                </w:r>
              </w:p>
            </w:tc>
            <w:tc>
              <w:tcPr>
                <w:tcW w:w="2877" w:type="dxa"/>
                <w:tcBorders>
                  <w:top w:val="nil"/>
                  <w:left w:val="nil"/>
                  <w:bottom w:val="single" w:sz="8" w:space="0" w:color="2E1A47" w:themeColor="accent2"/>
                  <w:right w:val="nil"/>
                </w:tcBorders>
              </w:tcPr>
              <w:p w14:paraId="11308E2D"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$75</w:t>
                </w:r>
              </w:p>
            </w:tc>
            <w:tc>
              <w:tcPr>
                <w:tcW w:w="3117" w:type="dxa"/>
                <w:tcBorders>
                  <w:top w:val="nil"/>
                  <w:left w:val="nil"/>
                  <w:bottom w:val="single" w:sz="8" w:space="0" w:color="2E1A47" w:themeColor="accent2"/>
                  <w:right w:val="nil"/>
                </w:tcBorders>
              </w:tcPr>
              <w:p w14:paraId="0ECB0880" w14:textId="77777777" w:rsidR="009212D9" w:rsidRPr="00324F58" w:rsidRDefault="009212D9" w:rsidP="004A446E">
                <w:pPr>
                  <w:spacing w:before="0" w:after="0"/>
                  <w:jc w:val="center"/>
                  <w:rPr>
                    <w:rFonts w:eastAsia="Times New Roman" w:cs="Times New Roman"/>
                    <w:color w:val="000000"/>
                    <w:sz w:val="18"/>
                    <w:szCs w:val="18"/>
                    <w:lang w:eastAsia="en-AU"/>
                  </w:rPr>
                </w:pPr>
                <w:r w:rsidRPr="00324F58">
                  <w:rPr>
                    <w:rFonts w:eastAsia="Times New Roman" w:cs="Times New Roman"/>
                    <w:color w:val="000000"/>
                    <w:sz w:val="18"/>
                    <w:szCs w:val="18"/>
                    <w:lang w:eastAsia="en-AU"/>
                  </w:rPr>
                  <w:t>10</w:t>
                </w:r>
              </w:p>
            </w:tc>
          </w:tr>
          <w:tr w:rsidR="00BF4800" w14:paraId="63BAF218" w14:textId="77777777" w:rsidTr="00BF4800">
            <w:trPr>
              <w:trHeight w:hRule="exact" w:val="375"/>
            </w:trPr>
            <w:tc>
              <w:tcPr>
                <w:tcW w:w="3964" w:type="dxa"/>
                <w:tcBorders>
                  <w:top w:val="single" w:sz="8" w:space="0" w:color="2E1A47" w:themeColor="accent2"/>
                  <w:left w:val="nil"/>
                  <w:bottom w:val="nil"/>
                  <w:right w:val="nil"/>
                </w:tcBorders>
                <w:vAlign w:val="bottom"/>
              </w:tcPr>
              <w:p w14:paraId="7AD5EA12" w14:textId="04249EBE" w:rsidR="00BF4800" w:rsidRPr="00E60522" w:rsidRDefault="00BF4800" w:rsidP="00BF4800">
                <w:pPr>
                  <w:spacing w:before="0" w:after="0"/>
                  <w:rPr>
                    <w:rFonts w:eastAsia="Times New Roman" w:cs="Times New Roman"/>
                    <w:color w:val="000000"/>
                    <w:sz w:val="18"/>
                    <w:szCs w:val="18"/>
                    <w:lang w:eastAsia="en-AU"/>
                  </w:rPr>
                </w:pPr>
                <w:r w:rsidRPr="00BF4800">
                  <w:rPr>
                    <w:rFonts w:eastAsia="Times New Roman" w:cs="Times New Roman"/>
                    <w:color w:val="000000"/>
                    <w:sz w:val="16"/>
                    <w:szCs w:val="16"/>
                    <w:lang w:eastAsia="en-AU"/>
                  </w:rPr>
                  <w:t>Source: Tourism Research Australia</w:t>
                </w:r>
              </w:p>
            </w:tc>
            <w:tc>
              <w:tcPr>
                <w:tcW w:w="2877" w:type="dxa"/>
                <w:tcBorders>
                  <w:top w:val="single" w:sz="8" w:space="0" w:color="2E1A47" w:themeColor="accent2"/>
                  <w:left w:val="nil"/>
                  <w:bottom w:val="nil"/>
                  <w:right w:val="nil"/>
                </w:tcBorders>
              </w:tcPr>
              <w:p w14:paraId="7B81B8C9" w14:textId="77777777" w:rsidR="00BF4800" w:rsidRPr="00E60522" w:rsidRDefault="00BF4800" w:rsidP="004A446E">
                <w:pPr>
                  <w:spacing w:before="0" w:after="0"/>
                  <w:jc w:val="center"/>
                  <w:rPr>
                    <w:rFonts w:eastAsia="Times New Roman" w:cs="Times New Roman"/>
                    <w:color w:val="000000"/>
                    <w:sz w:val="18"/>
                    <w:szCs w:val="18"/>
                    <w:lang w:eastAsia="en-AU"/>
                  </w:rPr>
                </w:pPr>
              </w:p>
            </w:tc>
            <w:tc>
              <w:tcPr>
                <w:tcW w:w="3117" w:type="dxa"/>
                <w:tcBorders>
                  <w:top w:val="single" w:sz="8" w:space="0" w:color="2E1A47" w:themeColor="accent2"/>
                  <w:left w:val="nil"/>
                  <w:bottom w:val="nil"/>
                  <w:right w:val="nil"/>
                </w:tcBorders>
              </w:tcPr>
              <w:p w14:paraId="3A9AE7CA" w14:textId="77777777" w:rsidR="00BF4800" w:rsidRPr="00E60522" w:rsidRDefault="00BF4800" w:rsidP="004A446E">
                <w:pPr>
                  <w:spacing w:before="0" w:after="0"/>
                  <w:jc w:val="center"/>
                  <w:rPr>
                    <w:rFonts w:eastAsia="Times New Roman" w:cs="Times New Roman"/>
                    <w:color w:val="000000"/>
                    <w:sz w:val="18"/>
                    <w:szCs w:val="18"/>
                    <w:lang w:eastAsia="en-AU"/>
                  </w:rPr>
                </w:pPr>
              </w:p>
            </w:tc>
          </w:tr>
        </w:tbl>
        <w:p w14:paraId="70854A85" w14:textId="7CA13D74" w:rsidR="009212D9" w:rsidRDefault="00E60522" w:rsidP="00492527">
          <w:pPr>
            <w:shd w:val="clear" w:color="auto" w:fill="FFFFFF"/>
            <w:spacing w:before="300"/>
            <w:rPr>
              <w:rFonts w:eastAsia="Times New Roman" w:cs="Times New Roman"/>
              <w:color w:val="000000"/>
              <w:lang w:eastAsia="en-AU"/>
            </w:rPr>
          </w:pPr>
          <w:r w:rsidRPr="00B22060">
            <w:t xml:space="preserve">From November 2021, the international border was reopened in stages to fully vaccinated travellers (see </w:t>
          </w:r>
          <w:r w:rsidR="00963BBA" w:rsidRPr="00B22060">
            <w:t>b</w:t>
          </w:r>
          <w:r w:rsidRPr="00B22060">
            <w:t>ox: The stage</w:t>
          </w:r>
          <w:r w:rsidR="00A221CA" w:rsidRPr="00B22060">
            <w:t>d</w:t>
          </w:r>
          <w:r w:rsidRPr="00B22060">
            <w:t xml:space="preserve"> reopening of the Australian border). </w:t>
          </w:r>
          <w:r w:rsidR="006534CF" w:rsidRPr="00B22060">
            <w:t xml:space="preserve">The period between November 2021 and </w:t>
          </w:r>
          <w:r w:rsidR="004A223D" w:rsidRPr="00B22060">
            <w:t>March</w:t>
          </w:r>
          <w:r w:rsidR="006534CF" w:rsidRPr="00B22060">
            <w:t xml:space="preserve"> 2022 </w:t>
          </w:r>
          <w:r w:rsidRPr="00B22060">
            <w:t xml:space="preserve">saw visitor arrivals increase sharply: there were </w:t>
          </w:r>
          <w:r w:rsidR="004A223D" w:rsidRPr="00B22060">
            <w:t>over</w:t>
          </w:r>
          <w:r w:rsidRPr="00B22060">
            <w:t xml:space="preserve"> </w:t>
          </w:r>
          <w:r w:rsidR="004A223D" w:rsidRPr="00B22060">
            <w:t>3</w:t>
          </w:r>
          <w:r w:rsidRPr="00B22060">
            <w:t>9</w:t>
          </w:r>
          <w:r w:rsidR="004A223D" w:rsidRPr="00B22060">
            <w:t>0</w:t>
          </w:r>
          <w:r w:rsidRPr="00B22060">
            <w:t xml:space="preserve">,000 visitor arrivals </w:t>
          </w:r>
          <w:r w:rsidR="004A223D" w:rsidRPr="00B22060">
            <w:t xml:space="preserve">in these 5 months </w:t>
          </w:r>
          <w:r w:rsidR="007A3C9D" w:rsidRPr="00B22060">
            <w:t>–</w:t>
          </w:r>
          <w:r w:rsidRPr="00B22060">
            <w:t xml:space="preserve"> </w:t>
          </w:r>
          <w:r w:rsidR="004A223D" w:rsidRPr="00B22060">
            <w:t>nearly double the total number of arrivals during</w:t>
          </w:r>
          <w:r w:rsidRPr="00B22060">
            <w:t xml:space="preserve"> the previous </w:t>
          </w:r>
          <w:r w:rsidR="006534CF" w:rsidRPr="00B22060">
            <w:t>1</w:t>
          </w:r>
          <w:r w:rsidR="004A223D" w:rsidRPr="00B22060">
            <w:t>9</w:t>
          </w:r>
          <w:r w:rsidR="006534CF" w:rsidRPr="00B22060">
            <w:t> </w:t>
          </w:r>
          <w:r w:rsidRPr="00B22060">
            <w:t>months</w:t>
          </w:r>
          <w:r w:rsidR="004A223D" w:rsidRPr="00B22060">
            <w:t xml:space="preserve"> (since the international border closed </w:t>
          </w:r>
          <w:r w:rsidR="00FA3031">
            <w:t>at the end of</w:t>
          </w:r>
          <w:r w:rsidR="004A223D" w:rsidRPr="00B22060">
            <w:t xml:space="preserve"> March 2020), which is an increase of almost 200,000 arrivals</w:t>
          </w:r>
          <w:r w:rsidRPr="00B22060">
            <w:t>. Almost two-thirds of these recent arrivals travelled to Australia to visit friends and relatives (VFR</w:t>
          </w:r>
          <w:r w:rsidR="004A223D" w:rsidRPr="00B22060">
            <w:t>; Figure</w:t>
          </w:r>
          <w:r w:rsidR="004A223D">
            <w:rPr>
              <w:rFonts w:eastAsia="Times New Roman" w:cs="Times New Roman"/>
              <w:color w:val="000000"/>
              <w:lang w:eastAsia="en-AU"/>
            </w:rPr>
            <w:t xml:space="preserve"> 2</w:t>
          </w:r>
          <w:r>
            <w:rPr>
              <w:rFonts w:eastAsia="Times New Roman" w:cs="Times New Roman"/>
              <w:color w:val="000000"/>
              <w:lang w:eastAsia="en-AU"/>
            </w:rPr>
            <w:t>).</w:t>
          </w:r>
        </w:p>
        <w:bookmarkEnd w:id="32"/>
        <w:p w14:paraId="1B51590A" w14:textId="5996B3B0" w:rsidR="008C1EDB" w:rsidRDefault="00324F58">
          <w:pPr>
            <w:spacing w:before="0" w:after="160" w:line="259" w:lineRule="auto"/>
            <w:rPr>
              <w:rFonts w:eastAsia="Times New Roman" w:cs="Times New Roman"/>
              <w:color w:val="000000"/>
              <w:lang w:eastAsia="en-AU"/>
            </w:rPr>
          </w:pPr>
          <w:r>
            <w:rPr>
              <w:noProof/>
            </w:rPr>
            <mc:AlternateContent>
              <mc:Choice Requires="wps">
                <w:drawing>
                  <wp:anchor distT="0" distB="0" distL="114300" distR="114300" simplePos="0" relativeHeight="251767808" behindDoc="0" locked="0" layoutInCell="1" allowOverlap="1" wp14:anchorId="7176DABE" wp14:editId="1255CCAA">
                    <wp:simplePos x="0" y="0"/>
                    <wp:positionH relativeFrom="page">
                      <wp:align>center</wp:align>
                    </wp:positionH>
                    <wp:positionV relativeFrom="paragraph">
                      <wp:posOffset>151765</wp:posOffset>
                    </wp:positionV>
                    <wp:extent cx="6329680" cy="246888"/>
                    <wp:effectExtent l="0" t="0" r="0" b="1270"/>
                    <wp:wrapNone/>
                    <wp:docPr id="28" name="Text Box 28"/>
                    <wp:cNvGraphicFramePr/>
                    <a:graphic xmlns:a="http://schemas.openxmlformats.org/drawingml/2006/main">
                      <a:graphicData uri="http://schemas.microsoft.com/office/word/2010/wordprocessingShape">
                        <wps:wsp>
                          <wps:cNvSpPr txBox="1"/>
                          <wps:spPr>
                            <a:xfrm>
                              <a:off x="0" y="0"/>
                              <a:ext cx="6329680" cy="246888"/>
                            </a:xfrm>
                            <a:prstGeom prst="rect">
                              <a:avLst/>
                            </a:prstGeom>
                            <a:solidFill>
                              <a:prstClr val="white"/>
                            </a:solidFill>
                            <a:ln>
                              <a:noFill/>
                            </a:ln>
                          </wps:spPr>
                          <wps:txbx>
                            <w:txbxContent>
                              <w:p w14:paraId="4BD58D38" w14:textId="09CBD88F" w:rsidR="00B146B2" w:rsidRPr="00E60522" w:rsidRDefault="00B146B2" w:rsidP="009212D9">
                                <w:pPr>
                                  <w:pStyle w:val="Caption"/>
                                  <w:spacing w:after="0"/>
                                  <w:rPr>
                                    <w:i w:val="0"/>
                                    <w:iCs w:val="0"/>
                                    <w:noProof/>
                                    <w:color w:val="000000" w:themeColor="text1"/>
                                    <w:sz w:val="24"/>
                                    <w:szCs w:val="24"/>
                                  </w:rPr>
                                </w:pPr>
                                <w:r w:rsidRPr="00E60522">
                                  <w:rPr>
                                    <w:i w:val="0"/>
                                    <w:iCs w:val="0"/>
                                    <w:sz w:val="22"/>
                                    <w:szCs w:val="22"/>
                                  </w:rPr>
                                  <w:t xml:space="preserve">Figure </w:t>
                                </w:r>
                                <w:r w:rsidRPr="00E60522">
                                  <w:rPr>
                                    <w:i w:val="0"/>
                                    <w:iCs w:val="0"/>
                                    <w:sz w:val="22"/>
                                    <w:szCs w:val="22"/>
                                  </w:rPr>
                                  <w:fldChar w:fldCharType="begin"/>
                                </w:r>
                                <w:r w:rsidRPr="00E60522">
                                  <w:rPr>
                                    <w:i w:val="0"/>
                                    <w:iCs w:val="0"/>
                                    <w:sz w:val="22"/>
                                    <w:szCs w:val="22"/>
                                  </w:rPr>
                                  <w:instrText xml:space="preserve"> SEQ Figure \* ARABIC </w:instrText>
                                </w:r>
                                <w:r w:rsidRPr="00E60522">
                                  <w:rPr>
                                    <w:i w:val="0"/>
                                    <w:iCs w:val="0"/>
                                    <w:sz w:val="22"/>
                                    <w:szCs w:val="22"/>
                                  </w:rPr>
                                  <w:fldChar w:fldCharType="separate"/>
                                </w:r>
                                <w:r>
                                  <w:rPr>
                                    <w:i w:val="0"/>
                                    <w:iCs w:val="0"/>
                                    <w:noProof/>
                                    <w:sz w:val="22"/>
                                    <w:szCs w:val="22"/>
                                  </w:rPr>
                                  <w:t>2</w:t>
                                </w:r>
                                <w:r w:rsidRPr="00E60522">
                                  <w:rPr>
                                    <w:i w:val="0"/>
                                    <w:iCs w:val="0"/>
                                    <w:sz w:val="22"/>
                                    <w:szCs w:val="22"/>
                                  </w:rPr>
                                  <w:fldChar w:fldCharType="end"/>
                                </w:r>
                                <w:r w:rsidRPr="00E60522">
                                  <w:rPr>
                                    <w:i w:val="0"/>
                                    <w:iCs w:val="0"/>
                                    <w:sz w:val="22"/>
                                    <w:szCs w:val="22"/>
                                  </w:rPr>
                                  <w:t>: Monthly international arrivals by main reason</w:t>
                                </w:r>
                                <w:r>
                                  <w:rPr>
                                    <w:i w:val="0"/>
                                    <w:iCs w:val="0"/>
                                    <w:sz w:val="22"/>
                                    <w:szCs w:val="22"/>
                                  </w:rPr>
                                  <w:t>, April 2020 to March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76DABE" id="Text Box 28" o:spid="_x0000_s1027" type="#_x0000_t202" style="position:absolute;margin-left:0;margin-top:11.95pt;width:498.4pt;height:19.45pt;z-index:25176780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" stroked="f">
                    <v:textbox inset="0,0,0,0">
                      <w:txbxContent>
                        <w:p w14:paraId="4BD58D38" w14:textId="09CBD88F" w:rsidR="00B146B2" w:rsidRPr="00E60522" w:rsidRDefault="00B146B2" w:rsidP="009212D9">
                          <w:pPr>
                            <w:pStyle w:val="Caption"/>
                            <w:spacing w:after="0"/>
                            <w:rPr>
                              <w:i w:val="0"/>
                              <w:iCs w:val="0"/>
                              <w:noProof/>
                              <w:color w:val="000000" w:themeColor="text1"/>
                              <w:sz w:val="24"/>
                              <w:szCs w:val="24"/>
                            </w:rPr>
                          </w:pPr>
                          <w:r w:rsidRPr="00E60522">
                            <w:rPr>
                              <w:i w:val="0"/>
                              <w:iCs w:val="0"/>
                              <w:sz w:val="22"/>
                              <w:szCs w:val="22"/>
                            </w:rPr>
                            <w:t xml:space="preserve">Figure </w:t>
                          </w:r>
                          <w:r w:rsidRPr="00E60522">
                            <w:rPr>
                              <w:i w:val="0"/>
                              <w:iCs w:val="0"/>
                              <w:sz w:val="22"/>
                              <w:szCs w:val="22"/>
                            </w:rPr>
                            <w:fldChar w:fldCharType="begin"/>
                          </w:r>
                          <w:r w:rsidRPr="00E60522">
                            <w:rPr>
                              <w:i w:val="0"/>
                              <w:iCs w:val="0"/>
                              <w:sz w:val="22"/>
                              <w:szCs w:val="22"/>
                            </w:rPr>
                            <w:instrText xml:space="preserve"> SEQ Figure \* ARABIC </w:instrText>
                          </w:r>
                          <w:r w:rsidRPr="00E60522">
                            <w:rPr>
                              <w:i w:val="0"/>
                              <w:iCs w:val="0"/>
                              <w:sz w:val="22"/>
                              <w:szCs w:val="22"/>
                            </w:rPr>
                            <w:fldChar w:fldCharType="separate"/>
                          </w:r>
                          <w:r>
                            <w:rPr>
                              <w:i w:val="0"/>
                              <w:iCs w:val="0"/>
                              <w:noProof/>
                              <w:sz w:val="22"/>
                              <w:szCs w:val="22"/>
                            </w:rPr>
                            <w:t>2</w:t>
                          </w:r>
                          <w:r w:rsidRPr="00E60522">
                            <w:rPr>
                              <w:i w:val="0"/>
                              <w:iCs w:val="0"/>
                              <w:sz w:val="22"/>
                              <w:szCs w:val="22"/>
                            </w:rPr>
                            <w:fldChar w:fldCharType="end"/>
                          </w:r>
                          <w:r w:rsidRPr="00E60522">
                            <w:rPr>
                              <w:i w:val="0"/>
                              <w:iCs w:val="0"/>
                              <w:sz w:val="22"/>
                              <w:szCs w:val="22"/>
                            </w:rPr>
                            <w:t>: Monthly international arrivals by main reason</w:t>
                          </w:r>
                          <w:r>
                            <w:rPr>
                              <w:i w:val="0"/>
                              <w:iCs w:val="0"/>
                              <w:sz w:val="22"/>
                              <w:szCs w:val="22"/>
                            </w:rPr>
                            <w:t>, April 2020 to March 2022</w:t>
                          </w:r>
                        </w:p>
                      </w:txbxContent>
                    </v:textbox>
                    <w10:wrap anchorx="page"/>
                  </v:shape>
                </w:pict>
              </mc:Fallback>
            </mc:AlternateContent>
          </w:r>
        </w:p>
        <w:p w14:paraId="34290143" w14:textId="24224082" w:rsidR="00C12131" w:rsidRDefault="00C12131">
          <w:pPr>
            <w:spacing w:before="0" w:after="160" w:line="259" w:lineRule="auto"/>
            <w:rPr>
              <w:rFonts w:eastAsia="Times New Roman" w:cs="Times New Roman"/>
              <w:color w:val="000000"/>
              <w:lang w:eastAsia="en-AU"/>
            </w:rPr>
          </w:pPr>
        </w:p>
        <w:p w14:paraId="5111748C" w14:textId="057854F0" w:rsidR="00C12131" w:rsidRDefault="00B146B2">
          <w:pPr>
            <w:spacing w:before="0" w:after="160" w:line="259" w:lineRule="auto"/>
            <w:rPr>
              <w:rFonts w:eastAsia="Times New Roman" w:cs="Times New Roman"/>
              <w:color w:val="000000"/>
              <w:lang w:eastAsia="en-AU"/>
            </w:rPr>
          </w:pPr>
          <w:r>
            <w:rPr>
              <w:noProof/>
            </w:rPr>
            <w:drawing>
              <wp:anchor distT="0" distB="0" distL="114300" distR="114300" simplePos="0" relativeHeight="251815936" behindDoc="0" locked="0" layoutInCell="1" allowOverlap="1" wp14:anchorId="1ACF6197" wp14:editId="745F212C">
                <wp:simplePos x="0" y="0"/>
                <wp:positionH relativeFrom="margin">
                  <wp:align>left</wp:align>
                </wp:positionH>
                <wp:positionV relativeFrom="paragraph">
                  <wp:posOffset>13969</wp:posOffset>
                </wp:positionV>
                <wp:extent cx="6105525" cy="3438525"/>
                <wp:effectExtent l="0" t="0" r="0" b="9525"/>
                <wp:wrapNone/>
                <wp:docPr id="48" name="Chart 48" descr="This chart shows stacked bars for each month from April 2020 to March 2022 showing short term visitor arrivals for the purpose of holiday, VFR, education and a combined business, conference/conventions and employment category. &#10;&#10;Arrivals for the purpose of education stepped up sharply in December 2021 and again in February 2022.&#10;">
                  <a:extLst xmlns:a="http://schemas.openxmlformats.org/drawingml/2006/main">
                    <a:ext uri="{FF2B5EF4-FFF2-40B4-BE49-F238E27FC236}">
                      <a16:creationId xmlns:a16="http://schemas.microsoft.com/office/drawing/2014/main" id="{55DCBC2E-0D7C-442B-A681-46A38FBD7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10FF9FAD" w14:textId="399D74EF" w:rsidR="00C12131" w:rsidRDefault="00C12131">
          <w:pPr>
            <w:spacing w:before="0" w:after="160" w:line="259" w:lineRule="auto"/>
            <w:rPr>
              <w:rFonts w:eastAsia="Times New Roman" w:cs="Times New Roman"/>
              <w:color w:val="000000"/>
              <w:lang w:eastAsia="en-AU"/>
            </w:rPr>
          </w:pPr>
        </w:p>
        <w:p w14:paraId="689BBA6E" w14:textId="394C0459" w:rsidR="00C12131" w:rsidRDefault="00C12131">
          <w:pPr>
            <w:spacing w:before="0" w:after="160" w:line="259" w:lineRule="auto"/>
            <w:rPr>
              <w:rFonts w:eastAsia="Times New Roman" w:cs="Times New Roman"/>
              <w:color w:val="000000"/>
              <w:lang w:eastAsia="en-AU"/>
            </w:rPr>
          </w:pPr>
        </w:p>
        <w:p w14:paraId="344FA3DF" w14:textId="6E4E7E2C" w:rsidR="00C12131" w:rsidRDefault="00C12131">
          <w:pPr>
            <w:spacing w:before="0" w:after="160" w:line="259" w:lineRule="auto"/>
            <w:rPr>
              <w:rFonts w:eastAsia="Times New Roman" w:cs="Times New Roman"/>
              <w:color w:val="000000"/>
              <w:lang w:eastAsia="en-AU"/>
            </w:rPr>
          </w:pPr>
        </w:p>
        <w:p w14:paraId="544B47DB" w14:textId="67108FB9" w:rsidR="00C12131" w:rsidRDefault="00C12131">
          <w:pPr>
            <w:spacing w:before="0" w:after="160" w:line="259" w:lineRule="auto"/>
            <w:rPr>
              <w:rFonts w:eastAsia="Times New Roman" w:cs="Times New Roman"/>
              <w:color w:val="000000"/>
              <w:lang w:eastAsia="en-AU"/>
            </w:rPr>
          </w:pPr>
        </w:p>
        <w:p w14:paraId="01668D05" w14:textId="563CA001" w:rsidR="00C12131" w:rsidRDefault="00C12131">
          <w:pPr>
            <w:spacing w:before="0" w:after="160" w:line="259" w:lineRule="auto"/>
            <w:rPr>
              <w:rFonts w:eastAsia="Times New Roman" w:cs="Times New Roman"/>
              <w:color w:val="000000"/>
              <w:lang w:eastAsia="en-AU"/>
            </w:rPr>
          </w:pPr>
        </w:p>
        <w:p w14:paraId="6ED32020" w14:textId="34846828" w:rsidR="00C12131" w:rsidRDefault="00C12131">
          <w:pPr>
            <w:spacing w:before="0" w:after="160" w:line="259" w:lineRule="auto"/>
            <w:rPr>
              <w:rFonts w:eastAsia="Times New Roman" w:cs="Times New Roman"/>
              <w:color w:val="000000"/>
              <w:lang w:eastAsia="en-AU"/>
            </w:rPr>
          </w:pPr>
        </w:p>
        <w:p w14:paraId="569C9C2C" w14:textId="5120356D" w:rsidR="00C12131" w:rsidRDefault="00C12131">
          <w:pPr>
            <w:spacing w:before="0" w:after="160" w:line="259" w:lineRule="auto"/>
            <w:rPr>
              <w:rFonts w:eastAsia="Times New Roman" w:cs="Times New Roman"/>
              <w:color w:val="000000"/>
              <w:lang w:eastAsia="en-AU"/>
            </w:rPr>
          </w:pPr>
        </w:p>
        <w:p w14:paraId="5BAE7096" w14:textId="4E220A1A" w:rsidR="00C12131" w:rsidRDefault="00C12131">
          <w:pPr>
            <w:spacing w:before="0" w:after="160" w:line="259" w:lineRule="auto"/>
            <w:rPr>
              <w:rFonts w:eastAsia="Times New Roman" w:cs="Times New Roman"/>
              <w:color w:val="000000"/>
              <w:lang w:eastAsia="en-AU"/>
            </w:rPr>
          </w:pPr>
        </w:p>
        <w:p w14:paraId="0AEA5899" w14:textId="5B558E31" w:rsidR="00C12131" w:rsidRDefault="00C12131">
          <w:pPr>
            <w:spacing w:before="0" w:after="160" w:line="259" w:lineRule="auto"/>
            <w:rPr>
              <w:rFonts w:eastAsia="Times New Roman" w:cs="Times New Roman"/>
              <w:color w:val="000000"/>
              <w:lang w:eastAsia="en-AU"/>
            </w:rPr>
          </w:pPr>
        </w:p>
        <w:p w14:paraId="7C3CD8DF" w14:textId="4558D281" w:rsidR="00C12131" w:rsidRDefault="00C12131">
          <w:pPr>
            <w:spacing w:before="0" w:after="160" w:line="259" w:lineRule="auto"/>
            <w:rPr>
              <w:rFonts w:eastAsia="Times New Roman" w:cs="Times New Roman"/>
              <w:color w:val="000000"/>
              <w:lang w:eastAsia="en-AU"/>
            </w:rPr>
          </w:pPr>
        </w:p>
        <w:p w14:paraId="7B90837D" w14:textId="3B853E5A" w:rsidR="00C12131" w:rsidRDefault="00C12131">
          <w:pPr>
            <w:spacing w:before="0" w:after="160" w:line="259" w:lineRule="auto"/>
            <w:rPr>
              <w:rFonts w:eastAsia="Times New Roman" w:cs="Times New Roman"/>
              <w:color w:val="000000"/>
              <w:lang w:eastAsia="en-AU"/>
            </w:rPr>
          </w:pPr>
        </w:p>
        <w:p w14:paraId="01B5D1C9" w14:textId="77777777" w:rsidR="00B146B2" w:rsidRDefault="00B146B2">
          <w:pPr>
            <w:spacing w:before="0" w:after="160" w:line="259" w:lineRule="auto"/>
            <w:rPr>
              <w:rFonts w:eastAsia="Times New Roman" w:cs="Times New Roman"/>
              <w:color w:val="000000"/>
              <w:lang w:eastAsia="en-AU"/>
            </w:rPr>
          </w:pPr>
        </w:p>
        <w:p w14:paraId="09601E71" w14:textId="77777777" w:rsidR="00C12131" w:rsidRDefault="00C12131">
          <w:pPr>
            <w:spacing w:before="0" w:after="160" w:line="259" w:lineRule="auto"/>
            <w:rPr>
              <w:rFonts w:eastAsia="Times New Roman" w:cs="Times New Roman"/>
              <w:color w:val="000000"/>
              <w:lang w:eastAsia="en-AU"/>
            </w:rPr>
          </w:pPr>
        </w:p>
        <w:p w14:paraId="1969DA8B" w14:textId="5CF4AFE5" w:rsidR="00C12131" w:rsidRDefault="00C12131" w:rsidP="00B146B2">
          <w:pPr>
            <w:pStyle w:val="Heading4"/>
            <w:spacing w:before="480"/>
            <w:ind w:left="794"/>
          </w:pPr>
          <w:r>
            <w:t xml:space="preserve">Box: The staged reopening of the Australian border </w:t>
          </w:r>
        </w:p>
        <w:p w14:paraId="0CF1BFAB" w14:textId="77777777" w:rsidR="00C12131" w:rsidRPr="00B83A77" w:rsidRDefault="00C12131" w:rsidP="00B146B2">
          <w:pPr>
            <w:spacing w:before="120" w:after="120" w:line="280" w:lineRule="exact"/>
            <w:ind w:left="794" w:right="737"/>
            <w:rPr>
              <w:rFonts w:eastAsia="Times New Roman" w:cs="Times New Roman"/>
              <w:color w:val="000000"/>
              <w:sz w:val="18"/>
              <w:szCs w:val="18"/>
              <w:lang w:eastAsia="en-AU"/>
            </w:rPr>
          </w:pPr>
          <w:r w:rsidRPr="00B83A77">
            <w:rPr>
              <w:sz w:val="18"/>
              <w:szCs w:val="18"/>
            </w:rPr>
            <w:t xml:space="preserve">A temporary </w:t>
          </w:r>
          <w:r w:rsidRPr="00B83A77">
            <w:rPr>
              <w:rFonts w:eastAsia="Times New Roman" w:cs="Times New Roman"/>
              <w:color w:val="000000"/>
              <w:sz w:val="18"/>
              <w:szCs w:val="18"/>
              <w:lang w:eastAsia="en-AU"/>
            </w:rPr>
            <w:t xml:space="preserve">travel bubble between Australia and New Zealand operated for </w:t>
          </w:r>
          <w:r>
            <w:rPr>
              <w:rFonts w:eastAsia="Times New Roman" w:cs="Times New Roman"/>
              <w:color w:val="000000"/>
              <w:sz w:val="18"/>
              <w:szCs w:val="18"/>
              <w:lang w:eastAsia="en-AU"/>
            </w:rPr>
            <w:t>three</w:t>
          </w:r>
          <w:r w:rsidRPr="00B83A77">
            <w:rPr>
              <w:rFonts w:eastAsia="Times New Roman" w:cs="Times New Roman"/>
              <w:color w:val="000000"/>
              <w:sz w:val="18"/>
              <w:szCs w:val="18"/>
              <w:lang w:eastAsia="en-AU"/>
            </w:rPr>
            <w:t xml:space="preserve"> months in the first half of </w:t>
          </w:r>
          <w:r>
            <w:rPr>
              <w:rFonts w:eastAsia="Times New Roman" w:cs="Times New Roman"/>
              <w:color w:val="000000"/>
              <w:sz w:val="18"/>
              <w:szCs w:val="18"/>
              <w:lang w:eastAsia="en-AU"/>
            </w:rPr>
            <w:t>2021</w:t>
          </w:r>
          <w:r w:rsidRPr="00B83A77">
            <w:rPr>
              <w:rFonts w:eastAsia="Times New Roman" w:cs="Times New Roman"/>
              <w:color w:val="000000"/>
              <w:sz w:val="18"/>
              <w:szCs w:val="18"/>
              <w:lang w:eastAsia="en-AU"/>
            </w:rPr>
            <w:t xml:space="preserve">, until the Delta strain outbreaks. From 1 November 2021, quarantine-free arrivals from New Zealand were </w:t>
          </w:r>
          <w:r>
            <w:rPr>
              <w:rFonts w:eastAsia="Times New Roman" w:cs="Times New Roman"/>
              <w:color w:val="000000"/>
              <w:sz w:val="18"/>
              <w:szCs w:val="18"/>
              <w:lang w:eastAsia="en-AU"/>
            </w:rPr>
            <w:t xml:space="preserve">again </w:t>
          </w:r>
          <w:r w:rsidRPr="00B83A77">
            <w:rPr>
              <w:rFonts w:eastAsia="Times New Roman" w:cs="Times New Roman"/>
              <w:color w:val="000000"/>
              <w:sz w:val="18"/>
              <w:szCs w:val="18"/>
              <w:lang w:eastAsia="en-AU"/>
            </w:rPr>
            <w:t>permitted into New South Wales.</w:t>
          </w:r>
          <w:r>
            <w:rPr>
              <w:rFonts w:eastAsia="Times New Roman" w:cs="Times New Roman"/>
              <w:color w:val="000000"/>
              <w:sz w:val="18"/>
              <w:szCs w:val="18"/>
              <w:lang w:eastAsia="en-AU"/>
            </w:rPr>
            <w:t xml:space="preserve"> </w:t>
          </w:r>
          <w:r w:rsidRPr="00B83A77">
            <w:rPr>
              <w:rFonts w:eastAsia="Times New Roman" w:cs="Times New Roman"/>
              <w:color w:val="000000"/>
              <w:sz w:val="18"/>
              <w:szCs w:val="18"/>
              <w:lang w:eastAsia="en-AU"/>
            </w:rPr>
            <w:t xml:space="preserve">Arrivals from Singapore (from 21 November 2021), then also from Japan and Hong Kong were similarly welcomed to Australia </w:t>
          </w:r>
          <w:r>
            <w:rPr>
              <w:rFonts w:eastAsia="Times New Roman" w:cs="Times New Roman"/>
              <w:color w:val="000000"/>
              <w:sz w:val="18"/>
              <w:szCs w:val="18"/>
              <w:lang w:eastAsia="en-AU"/>
            </w:rPr>
            <w:t>towards</w:t>
          </w:r>
          <w:r w:rsidRPr="00B83A77">
            <w:rPr>
              <w:rFonts w:eastAsia="Times New Roman" w:cs="Times New Roman"/>
              <w:color w:val="000000"/>
              <w:sz w:val="18"/>
              <w:szCs w:val="18"/>
              <w:lang w:eastAsia="en-AU"/>
            </w:rPr>
            <w:t xml:space="preserve"> the end of 2021.</w:t>
          </w:r>
        </w:p>
        <w:p w14:paraId="3152CD4D" w14:textId="77777777" w:rsidR="00C12131" w:rsidRPr="00B83A77" w:rsidRDefault="00C12131" w:rsidP="00B146B2">
          <w:pPr>
            <w:shd w:val="clear" w:color="auto" w:fill="FFFFFF"/>
            <w:spacing w:before="120" w:after="120" w:line="280" w:lineRule="exact"/>
            <w:ind w:left="794" w:right="737"/>
            <w:rPr>
              <w:rFonts w:eastAsia="Times New Roman" w:cs="Times New Roman"/>
              <w:color w:val="000000"/>
              <w:sz w:val="18"/>
              <w:szCs w:val="18"/>
              <w:lang w:eastAsia="en-AU"/>
            </w:rPr>
          </w:pPr>
          <w:r w:rsidRPr="00B83A77">
            <w:rPr>
              <w:rFonts w:eastAsia="Times New Roman" w:cs="Times New Roman"/>
              <w:color w:val="000000"/>
              <w:sz w:val="18"/>
              <w:szCs w:val="18"/>
              <w:lang w:eastAsia="en-AU"/>
            </w:rPr>
            <w:t>From 15 December 2021,</w:t>
          </w:r>
          <w:r>
            <w:rPr>
              <w:rFonts w:eastAsia="Times New Roman" w:cs="Times New Roman"/>
              <w:color w:val="000000"/>
              <w:sz w:val="18"/>
              <w:szCs w:val="18"/>
              <w:lang w:eastAsia="en-AU"/>
            </w:rPr>
            <w:t xml:space="preserve"> fully-vaccinated</w:t>
          </w:r>
          <w:r w:rsidRPr="00B83A77">
            <w:rPr>
              <w:rFonts w:eastAsia="Times New Roman" w:cs="Times New Roman"/>
              <w:color w:val="000000"/>
              <w:sz w:val="18"/>
              <w:szCs w:val="18"/>
              <w:lang w:eastAsia="en-AU"/>
            </w:rPr>
            <w:t xml:space="preserve"> international students were permitted to enter</w:t>
          </w:r>
          <w:r>
            <w:rPr>
              <w:rFonts w:eastAsia="Times New Roman" w:cs="Times New Roman"/>
              <w:color w:val="000000"/>
              <w:sz w:val="18"/>
              <w:szCs w:val="18"/>
              <w:lang w:eastAsia="en-AU"/>
            </w:rPr>
            <w:t xml:space="preserve"> without exemptions</w:t>
          </w:r>
          <w:r w:rsidRPr="00B83A77">
            <w:rPr>
              <w:rFonts w:eastAsia="Times New Roman" w:cs="Times New Roman"/>
              <w:color w:val="000000"/>
              <w:sz w:val="18"/>
              <w:szCs w:val="18"/>
              <w:lang w:eastAsia="en-AU"/>
            </w:rPr>
            <w:t xml:space="preserve">, as were those on a working holiday maker visa or a skilled worker visa. </w:t>
          </w:r>
        </w:p>
        <w:p w14:paraId="509AD611" w14:textId="77777777" w:rsidR="00C12131" w:rsidRPr="00B83A77" w:rsidRDefault="00C12131" w:rsidP="00B146B2">
          <w:pPr>
            <w:shd w:val="clear" w:color="auto" w:fill="FFFFFF"/>
            <w:spacing w:before="120" w:after="120" w:line="280" w:lineRule="exact"/>
            <w:ind w:left="794" w:right="737"/>
            <w:rPr>
              <w:sz w:val="18"/>
              <w:szCs w:val="18"/>
            </w:rPr>
          </w:pPr>
          <w:r w:rsidRPr="00B83A77">
            <w:rPr>
              <w:rFonts w:eastAsia="Times New Roman" w:cs="Times New Roman"/>
              <w:color w:val="000000"/>
              <w:sz w:val="18"/>
              <w:szCs w:val="18"/>
              <w:lang w:eastAsia="en-AU"/>
            </w:rPr>
            <w:t>The international border fully reopened to all vaccinated travellers on 21 February 2022.</w:t>
          </w:r>
        </w:p>
        <w:p w14:paraId="582D0E32" w14:textId="77777777" w:rsidR="00B146B2" w:rsidRDefault="00B146B2">
          <w:pPr>
            <w:spacing w:before="0" w:after="160" w:line="259" w:lineRule="auto"/>
          </w:pPr>
          <w:r>
            <w:br w:type="page"/>
          </w:r>
        </w:p>
        <w:p w14:paraId="1C34D866" w14:textId="373DC7F7" w:rsidR="00324F58" w:rsidRPr="00B22060" w:rsidRDefault="00324F58" w:rsidP="00324F58">
          <w:pPr>
            <w:spacing w:before="480"/>
          </w:pPr>
          <w:r w:rsidRPr="00B22060">
            <w:t xml:space="preserve">International student arrivals have also increased strongly from November 2021. </w:t>
          </w:r>
          <w:r>
            <w:t xml:space="preserve">Around 122,000 international students arrived between late November 2021 and mid-March 2022. </w:t>
          </w:r>
          <w:r w:rsidRPr="00B22060">
            <w:t xml:space="preserve">There has also been a gradual increase in the share of international students studying onshore, compared with those enrolled offshore. While both onshore and offshore students contribute to Australia’s visitor economy through the fees they pay, onshore students make additional contributions by their spending on day-to-day expenses in Australia and by many taking on part-time work to support their studies. In addition, onshore students </w:t>
          </w:r>
          <w:r>
            <w:t>are a</w:t>
          </w:r>
          <w:r w:rsidRPr="00B22060">
            <w:t xml:space="preserve"> motivat</w:t>
          </w:r>
          <w:r>
            <w:t>ion for</w:t>
          </w:r>
          <w:r w:rsidRPr="00B22060">
            <w:t xml:space="preserve"> their family and friends to visit Australia and they </w:t>
          </w:r>
          <w:r>
            <w:t>tend to</w:t>
          </w:r>
          <w:r w:rsidRPr="00B22060">
            <w:t xml:space="preserve"> act as ambassadors for Australia after their return. </w:t>
          </w:r>
        </w:p>
        <w:p w14:paraId="1364C70C" w14:textId="4A1A0204" w:rsidR="00324F58" w:rsidRDefault="00324F58" w:rsidP="00324F58">
          <w:pPr>
            <w:rPr>
              <w:rFonts w:eastAsia="Times New Roman" w:cs="Times New Roman"/>
              <w:color w:val="000000"/>
              <w:lang w:eastAsia="en-AU"/>
            </w:rPr>
          </w:pPr>
          <w:r w:rsidRPr="00B22060">
            <w:t>Although international student and leisure travel has increased markedly since the border reopening, international visitation remains well below pre-pandemic levels. For example, the number of visitors (390,000) arriving between November 2021 and March 2022 was still only around 10% of the number of arrivals in the months leading up to the closing of Australia’s border (November 2019 to March 2020). However, the expectation is that international visitor numbers will continue to grow through 2022. This growth will be driven largely by VFR</w:t>
          </w:r>
          <w:r>
            <w:t xml:space="preserve"> travel</w:t>
          </w:r>
          <w:r w:rsidRPr="00B22060">
            <w:t>, but with an increasing contribution from holiday travel. As a result, the outlook for international tourism in 2022 is more positive compared with recent years – see</w:t>
          </w:r>
          <w:r>
            <w:rPr>
              <w:rFonts w:eastAsia="Times New Roman" w:cs="Times New Roman"/>
              <w:color w:val="000000"/>
              <w:lang w:eastAsia="en-AU"/>
            </w:rPr>
            <w:t xml:space="preserve"> the </w:t>
          </w:r>
          <w:r w:rsidRPr="00F80A4B">
            <w:rPr>
              <w:rFonts w:eastAsia="Times New Roman" w:cs="Times New Roman"/>
              <w:color w:val="0000FF"/>
              <w:u w:val="single"/>
              <w:lang w:eastAsia="en-AU"/>
            </w:rPr>
            <w:fldChar w:fldCharType="begin"/>
          </w:r>
          <w:r w:rsidRPr="00F80A4B">
            <w:rPr>
              <w:rFonts w:eastAsia="Times New Roman" w:cs="Times New Roman"/>
              <w:color w:val="0000FF"/>
              <w:u w:val="single"/>
              <w:lang w:eastAsia="en-AU"/>
            </w:rPr>
            <w:instrText xml:space="preserve"> REF _Ref99978287 \h  \* MERGEFORMAT </w:instrText>
          </w:r>
          <w:r w:rsidRPr="00F80A4B">
            <w:rPr>
              <w:rFonts w:eastAsia="Times New Roman" w:cs="Times New Roman"/>
              <w:color w:val="0000FF"/>
              <w:u w:val="single"/>
              <w:lang w:eastAsia="en-AU"/>
            </w:rPr>
          </w:r>
          <w:r w:rsidRPr="00F80A4B">
            <w:rPr>
              <w:rFonts w:eastAsia="Times New Roman" w:cs="Times New Roman"/>
              <w:color w:val="0000FF"/>
              <w:u w:val="single"/>
              <w:lang w:eastAsia="en-AU"/>
            </w:rPr>
            <w:fldChar w:fldCharType="separate"/>
          </w:r>
          <w:r w:rsidRPr="00D87C7E">
            <w:rPr>
              <w:color w:val="0000FF"/>
              <w:u w:val="single"/>
            </w:rPr>
            <w:t>Looking forward</w:t>
          </w:r>
          <w:r w:rsidRPr="00F80A4B">
            <w:rPr>
              <w:rFonts w:eastAsia="Times New Roman" w:cs="Times New Roman"/>
              <w:color w:val="0000FF"/>
              <w:u w:val="single"/>
              <w:lang w:eastAsia="en-AU"/>
            </w:rPr>
            <w:fldChar w:fldCharType="end"/>
          </w:r>
          <w:r>
            <w:rPr>
              <w:rFonts w:eastAsia="Times New Roman" w:cs="Times New Roman"/>
              <w:color w:val="000000"/>
              <w:lang w:eastAsia="en-AU"/>
            </w:rPr>
            <w:t xml:space="preserve"> </w:t>
          </w:r>
          <w:r w:rsidRPr="00F80A4B">
            <w:rPr>
              <w:rFonts w:eastAsia="Times New Roman" w:cs="Times New Roman"/>
              <w:color w:val="000000"/>
              <w:lang w:eastAsia="en-AU"/>
            </w:rPr>
            <w:t>section</w:t>
          </w:r>
          <w:r>
            <w:rPr>
              <w:rFonts w:eastAsia="Times New Roman" w:cs="Times New Roman"/>
              <w:color w:val="000000"/>
              <w:lang w:eastAsia="en-AU"/>
            </w:rPr>
            <w:t xml:space="preserve"> of this report.</w:t>
          </w:r>
        </w:p>
        <w:p w14:paraId="5F26C860" w14:textId="35CE5690" w:rsidR="004E4BC5" w:rsidRDefault="004E4BC5" w:rsidP="004E4BC5">
          <w:pPr>
            <w:pStyle w:val="Heading4"/>
            <w:rPr>
              <w:lang w:eastAsia="en-AU"/>
            </w:rPr>
          </w:pPr>
          <w:bookmarkStart w:id="34" w:name="_Hlk100049992"/>
          <w:r>
            <w:rPr>
              <w:lang w:eastAsia="en-AU"/>
            </w:rPr>
            <w:t>International students during the pandemic</w:t>
          </w:r>
        </w:p>
        <w:bookmarkEnd w:id="34"/>
        <w:p w14:paraId="6E91B932" w14:textId="561D91D7" w:rsidR="007737CA" w:rsidRPr="00B22060" w:rsidRDefault="007737CA" w:rsidP="00B22060">
          <w:r>
            <w:t xml:space="preserve">Prior to </w:t>
          </w:r>
          <w:r w:rsidR="00AC4849">
            <w:t>COVID-19</w:t>
          </w:r>
          <w:r>
            <w:t>, there was strong growth in demand from international students. Between December 2002 and December 2019, the number of international student enrolments more than tripled</w:t>
          </w:r>
          <w:r w:rsidR="00F82BEF">
            <w:t>,</w:t>
          </w:r>
          <w:r>
            <w:t xml:space="preserve"> to over 950,000. In terms of exports, the value of international education increased six-fold over the same period</w:t>
          </w:r>
          <w:r w:rsidR="00D95C77">
            <w:t>,</w:t>
          </w:r>
          <w:r>
            <w:t xml:space="preserve"> to $40.3 billion. This equate</w:t>
          </w:r>
          <w:r w:rsidR="003726D5">
            <w:t>d</w:t>
          </w:r>
          <w:r>
            <w:t xml:space="preserve"> to almost one-quarter of the </w:t>
          </w:r>
          <w:r w:rsidRPr="00B22060">
            <w:t>total visitor economy.</w:t>
          </w:r>
        </w:p>
        <w:p w14:paraId="2F8B9914" w14:textId="3D89A06D" w:rsidR="00D65ECD" w:rsidRDefault="00D65ECD" w:rsidP="00D65ECD">
          <w:r>
            <w:t>International students are a valued part of the Australian community and the visitor economy specifically. They live, study and work in Australian communities and contribute to the economy both economically and socially. Because they stay</w:t>
          </w:r>
          <w:r w:rsidR="003D467F">
            <w:t xml:space="preserve"> for a</w:t>
          </w:r>
          <w:r>
            <w:t xml:space="preserve"> long</w:t>
          </w:r>
          <w:r w:rsidR="003D467F">
            <w:t xml:space="preserve"> time </w:t>
          </w:r>
          <w:r>
            <w:t xml:space="preserve">in Australia, international students spend more on average than other </w:t>
          </w:r>
          <w:r w:rsidR="003D467F">
            <w:t xml:space="preserve">types of </w:t>
          </w:r>
          <w:r>
            <w:t>international visitors. In addition to travelling during their time in Australia, many students work during their stay – during</w:t>
          </w:r>
          <w:r w:rsidR="003D467F">
            <w:t>,</w:t>
          </w:r>
          <w:r>
            <w:t xml:space="preserve"> and</w:t>
          </w:r>
          <w:r w:rsidR="003D467F">
            <w:t xml:space="preserve"> possibly also</w:t>
          </w:r>
          <w:r>
            <w:t xml:space="preserve"> after</w:t>
          </w:r>
          <w:r w:rsidR="003D467F">
            <w:t>,</w:t>
          </w:r>
          <w:r>
            <w:t xml:space="preserve"> their studies – often in visitor economy businesses. Just as importantly, international students contribute to the cultural richness of our communities and social vibrancy of society in general. </w:t>
          </w:r>
        </w:p>
        <w:p w14:paraId="624B4908" w14:textId="68386D67" w:rsidR="000C6FBB" w:rsidRPr="00D65ECD" w:rsidRDefault="00D65ECD" w:rsidP="00D65ECD">
          <w:r>
            <w:t>W</w:t>
          </w:r>
          <w:r w:rsidR="007737CA">
            <w:rPr>
              <w:rFonts w:eastAsia="Times New Roman" w:cs="Times New Roman"/>
              <w:color w:val="000000"/>
              <w:lang w:eastAsia="en-AU"/>
            </w:rPr>
            <w:t xml:space="preserve">hen Australia closed its borders in early 2020, the initial impact on international student demand was more muted than for other international visitors. This was because </w:t>
          </w:r>
          <w:r w:rsidR="007737CA">
            <w:t>most international students (81</w:t>
          </w:r>
          <w:r w:rsidR="00BD18C8">
            <w:t>%</w:t>
          </w:r>
          <w:r w:rsidR="007737CA">
            <w:t xml:space="preserve">) had </w:t>
          </w:r>
          <w:r w:rsidR="007737CA">
            <w:rPr>
              <w:rFonts w:eastAsia="Times New Roman" w:cs="Times New Roman"/>
              <w:color w:val="000000"/>
              <w:lang w:eastAsia="en-AU"/>
            </w:rPr>
            <w:t>arrived in Australia for the start of the academic year before the restrictions were imposed. The one major exception was China</w:t>
          </w:r>
          <w:r w:rsidR="008D01F9">
            <w:rPr>
              <w:rFonts w:eastAsia="Times New Roman" w:cs="Times New Roman"/>
              <w:color w:val="000000"/>
              <w:lang w:eastAsia="en-AU"/>
            </w:rPr>
            <w:t>,</w:t>
          </w:r>
          <w:r w:rsidR="007737CA">
            <w:rPr>
              <w:rFonts w:eastAsia="Times New Roman" w:cs="Times New Roman"/>
              <w:color w:val="000000"/>
              <w:lang w:eastAsia="en-AU"/>
            </w:rPr>
            <w:t xml:space="preserve"> which had</w:t>
          </w:r>
          <w:r w:rsidR="008D01F9">
            <w:rPr>
              <w:rFonts w:eastAsia="Times New Roman" w:cs="Times New Roman"/>
              <w:color w:val="000000"/>
              <w:lang w:eastAsia="en-AU"/>
            </w:rPr>
            <w:t xml:space="preserve"> had</w:t>
          </w:r>
          <w:r w:rsidR="007737CA">
            <w:rPr>
              <w:rFonts w:eastAsia="Times New Roman" w:cs="Times New Roman"/>
              <w:color w:val="000000"/>
              <w:lang w:eastAsia="en-AU"/>
            </w:rPr>
            <w:t xml:space="preserve"> the earliest outbreaks and was closed to Australia one month before other markets. </w:t>
          </w:r>
          <w:bookmarkStart w:id="35" w:name="_Hlk103589435"/>
          <w:r w:rsidR="007737CA" w:rsidRPr="00F514AD">
            <w:rPr>
              <w:rFonts w:eastAsia="Times New Roman" w:cs="Times New Roman"/>
              <w:color w:val="000000"/>
              <w:lang w:eastAsia="en-AU"/>
            </w:rPr>
            <w:t>As at 1</w:t>
          </w:r>
          <w:r w:rsidR="008D01F9">
            <w:rPr>
              <w:rFonts w:eastAsia="Times New Roman" w:cs="Times New Roman"/>
              <w:color w:val="000000"/>
              <w:lang w:eastAsia="en-AU"/>
            </w:rPr>
            <w:t> </w:t>
          </w:r>
          <w:r w:rsidR="007737CA" w:rsidRPr="00F514AD">
            <w:rPr>
              <w:rFonts w:eastAsia="Times New Roman" w:cs="Times New Roman"/>
              <w:color w:val="000000"/>
              <w:lang w:eastAsia="en-AU"/>
            </w:rPr>
            <w:t>February 2020, 56</w:t>
          </w:r>
          <w:r w:rsidR="0010342B">
            <w:rPr>
              <w:rFonts w:eastAsia="Times New Roman" w:cs="Times New Roman"/>
              <w:color w:val="000000"/>
              <w:lang w:eastAsia="en-AU"/>
            </w:rPr>
            <w:t>%</w:t>
          </w:r>
          <w:r w:rsidR="000C6FBB">
            <w:rPr>
              <w:rFonts w:eastAsia="Times New Roman" w:cs="Times New Roman"/>
              <w:color w:val="000000"/>
              <w:lang w:eastAsia="en-AU"/>
            </w:rPr>
            <w:t xml:space="preserve"> </w:t>
          </w:r>
          <w:r w:rsidR="007737CA" w:rsidRPr="00F514AD">
            <w:rPr>
              <w:rFonts w:eastAsia="Times New Roman" w:cs="Times New Roman"/>
              <w:color w:val="000000"/>
              <w:lang w:eastAsia="en-AU"/>
            </w:rPr>
            <w:t>of international students from China were located offshore.</w:t>
          </w:r>
          <w:r w:rsidR="00323EA9">
            <w:rPr>
              <w:rFonts w:eastAsia="Times New Roman" w:cs="Times New Roman"/>
              <w:color w:val="000000"/>
              <w:lang w:eastAsia="en-AU"/>
            </w:rPr>
            <w:t xml:space="preserve"> </w:t>
          </w:r>
          <w:r w:rsidR="00323EA9">
            <w:rPr>
              <w:color w:val="000000"/>
              <w:lang w:eastAsia="en-AU"/>
            </w:rPr>
            <w:t xml:space="preserve">In contrast with most other markets, this figure remained high </w:t>
          </w:r>
          <w:r w:rsidR="00A55197">
            <w:rPr>
              <w:color w:val="000000"/>
              <w:lang w:eastAsia="en-AU"/>
            </w:rPr>
            <w:t xml:space="preserve">even </w:t>
          </w:r>
          <w:r w:rsidR="00323EA9">
            <w:rPr>
              <w:color w:val="000000"/>
              <w:lang w:eastAsia="en-AU"/>
            </w:rPr>
            <w:t>in early 2022:</w:t>
          </w:r>
          <w:r w:rsidR="000C6FBB">
            <w:rPr>
              <w:rFonts w:eastAsia="Times New Roman" w:cs="Times New Roman"/>
              <w:color w:val="000000"/>
              <w:lang w:eastAsia="en-AU"/>
            </w:rPr>
            <w:t xml:space="preserve"> in </w:t>
          </w:r>
          <w:r w:rsidR="008F70A7">
            <w:rPr>
              <w:rFonts w:eastAsia="Times New Roman" w:cs="Times New Roman"/>
              <w:color w:val="000000"/>
              <w:lang w:eastAsia="en-AU"/>
            </w:rPr>
            <w:t>March</w:t>
          </w:r>
          <w:r w:rsidR="000C6FBB">
            <w:rPr>
              <w:rFonts w:eastAsia="Times New Roman" w:cs="Times New Roman"/>
              <w:color w:val="000000"/>
              <w:lang w:eastAsia="en-AU"/>
            </w:rPr>
            <w:t xml:space="preserve"> 2022, the share of students from China located offshore was still high at 5</w:t>
          </w:r>
          <w:r w:rsidR="008F70A7">
            <w:rPr>
              <w:rFonts w:eastAsia="Times New Roman" w:cs="Times New Roman"/>
              <w:color w:val="000000"/>
              <w:lang w:eastAsia="en-AU"/>
            </w:rPr>
            <w:t>4</w:t>
          </w:r>
          <w:r w:rsidR="000C6FBB">
            <w:rPr>
              <w:rFonts w:eastAsia="Times New Roman" w:cs="Times New Roman"/>
              <w:color w:val="000000"/>
              <w:lang w:eastAsia="en-AU"/>
            </w:rPr>
            <w:t>%.</w:t>
          </w:r>
          <w:bookmarkEnd w:id="35"/>
        </w:p>
        <w:p w14:paraId="659F7897" w14:textId="4083B841" w:rsidR="007737CA" w:rsidRDefault="007737CA" w:rsidP="007737CA">
          <w:pPr>
            <w:shd w:val="clear" w:color="auto" w:fill="FFFFFF"/>
            <w:spacing w:before="300"/>
          </w:pPr>
          <w:r>
            <w:rPr>
              <w:rFonts w:eastAsia="Times New Roman" w:cs="Times New Roman"/>
              <w:color w:val="000000"/>
              <w:lang w:eastAsia="en-AU"/>
            </w:rPr>
            <w:t>Through</w:t>
          </w:r>
          <w:r w:rsidR="0010342B">
            <w:rPr>
              <w:rFonts w:eastAsia="Times New Roman" w:cs="Times New Roman"/>
              <w:color w:val="000000"/>
              <w:lang w:eastAsia="en-AU"/>
            </w:rPr>
            <w:t>out</w:t>
          </w:r>
          <w:r>
            <w:rPr>
              <w:rFonts w:eastAsia="Times New Roman" w:cs="Times New Roman"/>
              <w:color w:val="000000"/>
              <w:lang w:eastAsia="en-AU"/>
            </w:rPr>
            <w:t xml:space="preserve"> 2020 and 2021, as each semester ended, some students returned overseas while others moved onto temporary work visas. At the same time, newly enrolled students were unable to arrive in Australia. In response to this challenge, i</w:t>
          </w:r>
          <w:r>
            <w:t>nstitutions developed online courses that could be undertaken overseas. While many students participated in these courses, others decided to defer their studies to a later date. As a result, there was:</w:t>
          </w:r>
        </w:p>
        <w:p w14:paraId="31E22CFF" w14:textId="3484E3E1" w:rsidR="007737CA" w:rsidRPr="004D7A1A" w:rsidRDefault="007737CA" w:rsidP="007737CA">
          <w:pPr>
            <w:pStyle w:val="BulletList"/>
          </w:pPr>
          <w:r w:rsidRPr="004D7A1A">
            <w:t>a gradual decline in student numbers. In March 2022 there were 427,200</w:t>
          </w:r>
          <w:r w:rsidR="0024015A">
            <w:t> </w:t>
          </w:r>
          <w:r w:rsidRPr="004D7A1A">
            <w:t xml:space="preserve">holders of Australian student visas. This was 38% </w:t>
          </w:r>
          <w:r w:rsidR="008F2091">
            <w:t>fewer</w:t>
          </w:r>
          <w:r w:rsidR="008F2091" w:rsidRPr="004D7A1A">
            <w:t xml:space="preserve"> </w:t>
          </w:r>
          <w:r w:rsidRPr="004D7A1A">
            <w:t xml:space="preserve">than </w:t>
          </w:r>
          <w:r w:rsidR="006F5CAD">
            <w:t>in</w:t>
          </w:r>
          <w:r w:rsidR="006F5CAD" w:rsidRPr="004D7A1A">
            <w:t xml:space="preserve"> </w:t>
          </w:r>
          <w:r w:rsidRPr="004D7A1A">
            <w:t>March 2020 (</w:t>
          </w:r>
          <w:r>
            <w:t>Figure 3</w:t>
          </w:r>
          <w:r w:rsidRPr="004D7A1A">
            <w:t>).</w:t>
          </w:r>
        </w:p>
        <w:p w14:paraId="4CE4FAF1" w14:textId="27D986E7" w:rsidR="007737CA" w:rsidRPr="004D7A1A" w:rsidRDefault="004741AE" w:rsidP="007737CA">
          <w:pPr>
            <w:pStyle w:val="BulletList"/>
          </w:pPr>
          <w:r>
            <w:t>a</w:t>
          </w:r>
          <w:r w:rsidR="007737CA" w:rsidRPr="004D7A1A">
            <w:t xml:space="preserve"> sharper decline in onshore </w:t>
          </w:r>
          <w:r w:rsidR="007737CA">
            <w:t xml:space="preserve">student </w:t>
          </w:r>
          <w:r w:rsidR="007737CA" w:rsidRPr="004D7A1A">
            <w:t>numbers. There were 328,700</w:t>
          </w:r>
          <w:r w:rsidR="00C9408F">
            <w:t> </w:t>
          </w:r>
          <w:r w:rsidR="007737CA" w:rsidRPr="004D7A1A">
            <w:t xml:space="preserve">student visa holders in Australia in </w:t>
          </w:r>
          <w:r w:rsidR="00A20890">
            <w:t>March</w:t>
          </w:r>
          <w:r w:rsidR="007737CA" w:rsidRPr="004D7A1A">
            <w:t xml:space="preserve"> 2022 </w:t>
          </w:r>
          <w:r w:rsidR="007737CA">
            <w:t xml:space="preserve">– </w:t>
          </w:r>
          <w:r w:rsidR="007737CA" w:rsidRPr="004D7A1A">
            <w:t xml:space="preserve">42% fewer than </w:t>
          </w:r>
          <w:r w:rsidR="00C9408F">
            <w:t>in</w:t>
          </w:r>
          <w:r w:rsidR="00C9408F" w:rsidRPr="004D7A1A">
            <w:t xml:space="preserve"> </w:t>
          </w:r>
          <w:r w:rsidR="007737CA" w:rsidRPr="004D7A1A">
            <w:t xml:space="preserve">March 2020. </w:t>
          </w:r>
          <w:r w:rsidR="007737CA">
            <w:t>T</w:t>
          </w:r>
          <w:r w:rsidR="007737CA" w:rsidRPr="004D7A1A">
            <w:t>he number of offshore visa holders</w:t>
          </w:r>
          <w:r w:rsidR="007737CA">
            <w:t xml:space="preserve"> also</w:t>
          </w:r>
          <w:r w:rsidR="007737CA" w:rsidRPr="004D7A1A">
            <w:t xml:space="preserve"> declined</w:t>
          </w:r>
          <w:r w:rsidR="004A7FA8">
            <w:t>,</w:t>
          </w:r>
          <w:r w:rsidR="007737CA">
            <w:t xml:space="preserve"> but by a lower rate</w:t>
          </w:r>
          <w:r w:rsidR="004A7FA8">
            <w:t xml:space="preserve"> –</w:t>
          </w:r>
          <w:r w:rsidR="00160221">
            <w:t xml:space="preserve"> </w:t>
          </w:r>
          <w:r w:rsidR="007737CA">
            <w:t>down</w:t>
          </w:r>
          <w:r w:rsidR="007737CA" w:rsidRPr="004D7A1A">
            <w:t xml:space="preserve"> by 21% over the same period</w:t>
          </w:r>
          <w:r w:rsidR="00160221">
            <w:t>,</w:t>
          </w:r>
          <w:r w:rsidR="007737CA" w:rsidRPr="004D7A1A">
            <w:t xml:space="preserve"> from 124,600 to 98,500. </w:t>
          </w:r>
        </w:p>
        <w:p w14:paraId="077BD442" w14:textId="79C476A0" w:rsidR="007737CA" w:rsidRDefault="004741AE" w:rsidP="007737CA">
          <w:pPr>
            <w:pStyle w:val="BulletList"/>
          </w:pPr>
          <w:r>
            <w:t>a</w:t>
          </w:r>
          <w:r w:rsidR="007737CA">
            <w:t>n increase</w:t>
          </w:r>
          <w:r w:rsidR="007737CA" w:rsidRPr="004D7A1A">
            <w:t xml:space="preserve"> in deferrals. There were 105,000 enrolment deferrals in 2020, a threefold increase on the 35,800 reported in 2019. While falling to 72,700 in 2021, deferrals remained </w:t>
          </w:r>
          <w:r w:rsidR="0010664B">
            <w:t xml:space="preserve">at </w:t>
          </w:r>
          <w:r w:rsidR="007737CA" w:rsidRPr="004D7A1A">
            <w:t xml:space="preserve">double pre-pandemic levels. </w:t>
          </w:r>
        </w:p>
        <w:p w14:paraId="01870685" w14:textId="737DF048" w:rsidR="00240145" w:rsidRDefault="00323EA9" w:rsidP="008C1EDB">
          <w:pPr>
            <w:spacing w:before="360"/>
          </w:pPr>
          <w:r>
            <w:rPr>
              <w:noProof/>
            </w:rPr>
            <w:drawing>
              <wp:anchor distT="0" distB="0" distL="114300" distR="114300" simplePos="0" relativeHeight="251816960" behindDoc="0" locked="0" layoutInCell="1" allowOverlap="1" wp14:anchorId="737942ED" wp14:editId="3B6F698D">
                <wp:simplePos x="0" y="0"/>
                <wp:positionH relativeFrom="margin">
                  <wp:align>left</wp:align>
                </wp:positionH>
                <wp:positionV relativeFrom="paragraph">
                  <wp:posOffset>414020</wp:posOffset>
                </wp:positionV>
                <wp:extent cx="6048375" cy="3314700"/>
                <wp:effectExtent l="0" t="0" r="0" b="0"/>
                <wp:wrapNone/>
                <wp:docPr id="51" name="Chart 51" descr="Figure 3 shows a time series, line chart with 3 series: onshore, offshore, and total international student enrolments between March 2020 and March 2022.&#10;Onshore enrolments declined by more than total enrolments during 2020 and 2021 as offshore enrolments increased. From December 2021, the number of onshore enrolments increased sharply and the number of offshore enrolments declined back to a level that is lower than at the start of the pandemic. ">
                  <a:extLst xmlns:a="http://schemas.openxmlformats.org/drawingml/2006/main">
                    <a:ext uri="{FF2B5EF4-FFF2-40B4-BE49-F238E27FC236}">
                      <a16:creationId xmlns:a16="http://schemas.microsoft.com/office/drawing/2014/main" id="{5092F960-F5C0-4D82-874C-D9DFF5441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8C1EDB">
            <w:rPr>
              <w:noProof/>
            </w:rPr>
            <mc:AlternateContent>
              <mc:Choice Requires="wps">
                <w:drawing>
                  <wp:anchor distT="0" distB="0" distL="114300" distR="114300" simplePos="0" relativeHeight="251769856" behindDoc="0" locked="0" layoutInCell="1" allowOverlap="1" wp14:anchorId="54718B42" wp14:editId="71026971">
                    <wp:simplePos x="0" y="0"/>
                    <wp:positionH relativeFrom="margin">
                      <wp:align>right</wp:align>
                    </wp:positionH>
                    <wp:positionV relativeFrom="paragraph">
                      <wp:posOffset>114300</wp:posOffset>
                    </wp:positionV>
                    <wp:extent cx="6329680" cy="25590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329680" cy="255905"/>
                            </a:xfrm>
                            <a:prstGeom prst="rect">
                              <a:avLst/>
                            </a:prstGeom>
                            <a:solidFill>
                              <a:prstClr val="white"/>
                            </a:solidFill>
                            <a:ln>
                              <a:noFill/>
                            </a:ln>
                          </wps:spPr>
                          <wps:txbx>
                            <w:txbxContent>
                              <w:p w14:paraId="497DAA65" w14:textId="5DF4DA5B" w:rsidR="00B146B2" w:rsidRPr="00C45177" w:rsidRDefault="00B146B2" w:rsidP="00C45177">
                                <w:pPr>
                                  <w:pStyle w:val="Caption"/>
                                  <w:rPr>
                                    <w:i w:val="0"/>
                                    <w:iCs w:val="0"/>
                                    <w:noProof/>
                                    <w:color w:val="000000" w:themeColor="text1"/>
                                    <w:sz w:val="24"/>
                                    <w:szCs w:val="24"/>
                                  </w:rPr>
                                </w:pPr>
                                <w:r w:rsidRPr="00C45177">
                                  <w:rPr>
                                    <w:i w:val="0"/>
                                    <w:iCs w:val="0"/>
                                    <w:sz w:val="22"/>
                                    <w:szCs w:val="22"/>
                                  </w:rPr>
                                  <w:t xml:space="preserve">Figure </w:t>
                                </w:r>
                                <w:r w:rsidRPr="00C45177">
                                  <w:rPr>
                                    <w:i w:val="0"/>
                                    <w:iCs w:val="0"/>
                                    <w:sz w:val="22"/>
                                    <w:szCs w:val="22"/>
                                  </w:rPr>
                                  <w:fldChar w:fldCharType="begin"/>
                                </w:r>
                                <w:r w:rsidRPr="00C45177">
                                  <w:rPr>
                                    <w:i w:val="0"/>
                                    <w:iCs w:val="0"/>
                                    <w:sz w:val="22"/>
                                    <w:szCs w:val="22"/>
                                  </w:rPr>
                                  <w:instrText xml:space="preserve"> SEQ Figure \* ARABIC </w:instrText>
                                </w:r>
                                <w:r w:rsidRPr="00C45177">
                                  <w:rPr>
                                    <w:i w:val="0"/>
                                    <w:iCs w:val="0"/>
                                    <w:sz w:val="22"/>
                                    <w:szCs w:val="22"/>
                                  </w:rPr>
                                  <w:fldChar w:fldCharType="separate"/>
                                </w:r>
                                <w:r>
                                  <w:rPr>
                                    <w:i w:val="0"/>
                                    <w:iCs w:val="0"/>
                                    <w:noProof/>
                                    <w:sz w:val="22"/>
                                    <w:szCs w:val="22"/>
                                  </w:rPr>
                                  <w:t>3</w:t>
                                </w:r>
                                <w:r w:rsidRPr="00C45177">
                                  <w:rPr>
                                    <w:i w:val="0"/>
                                    <w:iCs w:val="0"/>
                                    <w:sz w:val="22"/>
                                    <w:szCs w:val="22"/>
                                  </w:rPr>
                                  <w:fldChar w:fldCharType="end"/>
                                </w:r>
                                <w:r>
                                  <w:rPr>
                                    <w:i w:val="0"/>
                                    <w:iCs w:val="0"/>
                                    <w:sz w:val="22"/>
                                    <w:szCs w:val="22"/>
                                  </w:rPr>
                                  <w:t>. Student visa holders, March 2020 to March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18B42" id="Text Box 33" o:spid="_x0000_s1028" type="#_x0000_t202" style="position:absolute;margin-left:447.2pt;margin-top:9pt;width:498.4pt;height:20.15pt;z-index:2517698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" stroked="f">
                    <v:textbox inset="0,0,0,0">
                      <w:txbxContent>
                        <w:p w14:paraId="497DAA65" w14:textId="5DF4DA5B" w:rsidR="00B146B2" w:rsidRPr="00C45177" w:rsidRDefault="00B146B2" w:rsidP="00C45177">
                          <w:pPr>
                            <w:pStyle w:val="Caption"/>
                            <w:rPr>
                              <w:i w:val="0"/>
                              <w:iCs w:val="0"/>
                              <w:noProof/>
                              <w:color w:val="000000" w:themeColor="text1"/>
                              <w:sz w:val="24"/>
                              <w:szCs w:val="24"/>
                            </w:rPr>
                          </w:pPr>
                          <w:r w:rsidRPr="00C45177">
                            <w:rPr>
                              <w:i w:val="0"/>
                              <w:iCs w:val="0"/>
                              <w:sz w:val="22"/>
                              <w:szCs w:val="22"/>
                            </w:rPr>
                            <w:t xml:space="preserve">Figure </w:t>
                          </w:r>
                          <w:r w:rsidRPr="00C45177">
                            <w:rPr>
                              <w:i w:val="0"/>
                              <w:iCs w:val="0"/>
                              <w:sz w:val="22"/>
                              <w:szCs w:val="22"/>
                            </w:rPr>
                            <w:fldChar w:fldCharType="begin"/>
                          </w:r>
                          <w:r w:rsidRPr="00C45177">
                            <w:rPr>
                              <w:i w:val="0"/>
                              <w:iCs w:val="0"/>
                              <w:sz w:val="22"/>
                              <w:szCs w:val="22"/>
                            </w:rPr>
                            <w:instrText xml:space="preserve"> SEQ Figure \* ARABIC </w:instrText>
                          </w:r>
                          <w:r w:rsidRPr="00C45177">
                            <w:rPr>
                              <w:i w:val="0"/>
                              <w:iCs w:val="0"/>
                              <w:sz w:val="22"/>
                              <w:szCs w:val="22"/>
                            </w:rPr>
                            <w:fldChar w:fldCharType="separate"/>
                          </w:r>
                          <w:r>
                            <w:rPr>
                              <w:i w:val="0"/>
                              <w:iCs w:val="0"/>
                              <w:noProof/>
                              <w:sz w:val="22"/>
                              <w:szCs w:val="22"/>
                            </w:rPr>
                            <w:t>3</w:t>
                          </w:r>
                          <w:r w:rsidRPr="00C45177">
                            <w:rPr>
                              <w:i w:val="0"/>
                              <w:iCs w:val="0"/>
                              <w:sz w:val="22"/>
                              <w:szCs w:val="22"/>
                            </w:rPr>
                            <w:fldChar w:fldCharType="end"/>
                          </w:r>
                          <w:r>
                            <w:rPr>
                              <w:i w:val="0"/>
                              <w:iCs w:val="0"/>
                              <w:sz w:val="22"/>
                              <w:szCs w:val="22"/>
                            </w:rPr>
                            <w:t>. Student visa holders, March 2020 to March 2022</w:t>
                          </w:r>
                        </w:p>
                      </w:txbxContent>
                    </v:textbox>
                    <w10:wrap anchorx="margin"/>
                  </v:shape>
                </w:pict>
              </mc:Fallback>
            </mc:AlternateContent>
          </w:r>
        </w:p>
        <w:p w14:paraId="18F747FD" w14:textId="436CA2EF" w:rsidR="00240145" w:rsidRDefault="00240145" w:rsidP="00F002EC"/>
        <w:p w14:paraId="0AEBC324" w14:textId="19F65157" w:rsidR="00240145" w:rsidRDefault="00240145" w:rsidP="00F002EC"/>
        <w:p w14:paraId="199B3579" w14:textId="2A92DCCD" w:rsidR="00240145" w:rsidRDefault="00240145" w:rsidP="00F002EC"/>
        <w:p w14:paraId="5F2D7A1D" w14:textId="211E6138" w:rsidR="00240145" w:rsidRDefault="00240145" w:rsidP="00F002EC"/>
        <w:p w14:paraId="25846C33" w14:textId="46C48745" w:rsidR="00240145" w:rsidRDefault="00240145" w:rsidP="00F002EC"/>
        <w:p w14:paraId="7C863E3A" w14:textId="38C60D6F" w:rsidR="00240145" w:rsidRDefault="00240145" w:rsidP="00F002EC"/>
        <w:p w14:paraId="20FE3517" w14:textId="74AB5E83" w:rsidR="00240145" w:rsidRDefault="00240145" w:rsidP="00F002EC"/>
        <w:p w14:paraId="6D55C0BF" w14:textId="77777777" w:rsidR="008F3E6A" w:rsidRDefault="008F3E6A" w:rsidP="00F002EC"/>
        <w:p w14:paraId="1BE6A1DB" w14:textId="674610C2" w:rsidR="00240145" w:rsidRDefault="00240145" w:rsidP="00F002EC"/>
        <w:p w14:paraId="05FDE0BC" w14:textId="3C312049" w:rsidR="00240145" w:rsidRDefault="00240145" w:rsidP="00F002EC"/>
        <w:p w14:paraId="43B07719" w14:textId="77777777" w:rsidR="00B146B2" w:rsidRDefault="00B146B2" w:rsidP="00F002EC"/>
        <w:p w14:paraId="46448A33" w14:textId="77777777" w:rsidR="000E5E06" w:rsidRDefault="000E5E06" w:rsidP="000E5E06"/>
        <w:p w14:paraId="5D06B1EF" w14:textId="12D1B179" w:rsidR="000E5E06" w:rsidRDefault="000E5E06" w:rsidP="000E5E06">
          <w:r>
            <w:t xml:space="preserve">The </w:t>
          </w:r>
          <w:hyperlink r:id="rId27" w:history="1">
            <w:r w:rsidRPr="003D467F">
              <w:rPr>
                <w:rStyle w:val="Hyperlink"/>
              </w:rPr>
              <w:t>Australian Strategy for International Education 2021-2030</w:t>
            </w:r>
          </w:hyperlink>
          <w:r>
            <w:t>, released in November 2021, charts a path to sustainable growth for Australia’s international education sector. The Strategy focuses on diversification, meeting national skills needs, placing students at the centre and growing Australia’s global competitiveness. Implementation of the Strategy will be supported by changes to visa settings to ensure students whose studies have been impacted by COVID</w:t>
          </w:r>
          <w:r w:rsidR="00C872FE">
            <w:t>-19</w:t>
          </w:r>
          <w:r>
            <w:t xml:space="preserve"> are not disadvantaged and to extend measures to protect and/or lengthen the post-study work rights of international students.</w:t>
          </w:r>
        </w:p>
        <w:p w14:paraId="1B444C86" w14:textId="77777777" w:rsidR="00B146B2" w:rsidRDefault="00B146B2">
          <w:pPr>
            <w:spacing w:before="0" w:after="160" w:line="259" w:lineRule="auto"/>
          </w:pPr>
          <w:r>
            <w:br w:type="page"/>
          </w:r>
        </w:p>
        <w:p w14:paraId="64E50380" w14:textId="63D5C71B" w:rsidR="000E5E06" w:rsidRDefault="000E5E06" w:rsidP="000E5E06">
          <w:r>
            <w:t xml:space="preserve">The Australian Government (through Austrade) is encouraging diversification and supporting the return of students, including through the Study Australia website and digital tools. For example, under the Australia-India Comprehensive Strategic Partnership, the first country-specific digital education hub was established in 2021. To date the Hub has driven: </w:t>
          </w:r>
        </w:p>
        <w:p w14:paraId="40C431FF" w14:textId="77777777" w:rsidR="000E5E06" w:rsidRDefault="000E5E06" w:rsidP="000E5E06">
          <w:pPr>
            <w:pStyle w:val="BulletList"/>
          </w:pPr>
          <w:r>
            <w:t xml:space="preserve">a 314% increase in the number of new visitors to the Study Australia website </w:t>
          </w:r>
        </w:p>
        <w:p w14:paraId="41BEDE13" w14:textId="77777777" w:rsidR="000E5E06" w:rsidRDefault="000E5E06" w:rsidP="000E5E06">
          <w:pPr>
            <w:pStyle w:val="BulletList"/>
          </w:pPr>
          <w:r>
            <w:t xml:space="preserve">72% increase in enquiries generated for Australian providers </w:t>
          </w:r>
        </w:p>
        <w:p w14:paraId="525A61F5" w14:textId="77777777" w:rsidR="000E5E06" w:rsidRDefault="000E5E06" w:rsidP="000E5E06">
          <w:pPr>
            <w:pStyle w:val="BulletList"/>
          </w:pPr>
          <w:r>
            <w:t xml:space="preserve">19% increase in social media followers. </w:t>
          </w:r>
        </w:p>
        <w:p w14:paraId="02668B65" w14:textId="00397769" w:rsidR="000E5E06" w:rsidRDefault="000E5E06" w:rsidP="00B146B2">
          <w:pPr>
            <w:pStyle w:val="Heading4"/>
            <w:spacing w:before="800"/>
            <w:ind w:left="794"/>
          </w:pPr>
          <w:r>
            <w:t>Box: Long-term students in the visitor economy</w:t>
          </w:r>
        </w:p>
        <w:p w14:paraId="32FE5C70" w14:textId="77777777" w:rsidR="000E5E06" w:rsidRPr="00E60522" w:rsidRDefault="000E5E06" w:rsidP="00B146B2">
          <w:pPr>
            <w:spacing w:before="120" w:after="120" w:line="280" w:lineRule="exact"/>
            <w:ind w:left="794" w:right="737"/>
            <w:rPr>
              <w:sz w:val="18"/>
              <w:szCs w:val="18"/>
            </w:rPr>
          </w:pPr>
          <w:r w:rsidRPr="00E60522">
            <w:rPr>
              <w:sz w:val="18"/>
              <w:szCs w:val="18"/>
            </w:rPr>
            <w:t>International students are counted as tourists if their stay in Australia on any given visit is less than 12 months.</w:t>
          </w:r>
          <w:r>
            <w:rPr>
              <w:sz w:val="18"/>
              <w:szCs w:val="18"/>
            </w:rPr>
            <w:t xml:space="preserve">* </w:t>
          </w:r>
          <w:r w:rsidRPr="00E60522">
            <w:rPr>
              <w:sz w:val="18"/>
              <w:szCs w:val="18"/>
            </w:rPr>
            <w:t>Therefore, official measures of tourism include students taking short courses in Australia as well as those doing longer courses but leaving Australia during academic breaks.</w:t>
          </w:r>
        </w:p>
        <w:p w14:paraId="632CF7C0" w14:textId="77777777" w:rsidR="000E5E06" w:rsidRPr="00E60522" w:rsidRDefault="000E5E06" w:rsidP="00B146B2">
          <w:pPr>
            <w:spacing w:before="120" w:after="120" w:line="280" w:lineRule="exact"/>
            <w:ind w:left="794" w:right="737"/>
            <w:rPr>
              <w:sz w:val="18"/>
              <w:szCs w:val="18"/>
            </w:rPr>
          </w:pPr>
          <w:r w:rsidRPr="00E60522">
            <w:rPr>
              <w:sz w:val="18"/>
              <w:szCs w:val="18"/>
            </w:rPr>
            <w:t>The THRIVE 2030 strategy, extends this definition to include students staying in Australia for one year or more. This is because</w:t>
          </w:r>
          <w:r>
            <w:rPr>
              <w:sz w:val="18"/>
              <w:szCs w:val="18"/>
            </w:rPr>
            <w:t>, in general,</w:t>
          </w:r>
          <w:r w:rsidRPr="00E60522">
            <w:rPr>
              <w:sz w:val="18"/>
              <w:szCs w:val="18"/>
            </w:rPr>
            <w:t xml:space="preserve"> students come to Australia with similar motivations and expectations, and in terms of everyday life in Australia, behave much the same.</w:t>
          </w:r>
        </w:p>
        <w:p w14:paraId="4F296108" w14:textId="77777777" w:rsidR="000E5E06" w:rsidRPr="00E60522" w:rsidRDefault="000E5E06" w:rsidP="00B146B2">
          <w:pPr>
            <w:spacing w:before="120" w:after="120" w:line="280" w:lineRule="exact"/>
            <w:ind w:left="794" w:right="737"/>
            <w:rPr>
              <w:sz w:val="18"/>
              <w:szCs w:val="18"/>
            </w:rPr>
          </w:pPr>
          <w:r w:rsidRPr="00E60522">
            <w:rPr>
              <w:sz w:val="18"/>
              <w:szCs w:val="18"/>
            </w:rPr>
            <w:t>Extending the definition therefore enables a more consistent and coherent policy response to this important and rapidly growing sector. Also, based on 2019 data, it increases the international component of Australia’s visitor economy from $31 billion to $59 billion.</w:t>
          </w:r>
        </w:p>
        <w:p w14:paraId="3C1D396D" w14:textId="7CA7A5FF" w:rsidR="00B146B2" w:rsidRPr="001A250B" w:rsidRDefault="000E5E06" w:rsidP="00B146B2">
          <w:pPr>
            <w:spacing w:before="500"/>
            <w:ind w:left="794" w:right="737"/>
            <w:rPr>
              <w:sz w:val="16"/>
              <w:szCs w:val="16"/>
            </w:rPr>
          </w:pPr>
          <w:r>
            <w:rPr>
              <w:sz w:val="16"/>
              <w:szCs w:val="16"/>
            </w:rPr>
            <w:t>*</w:t>
          </w:r>
          <w:r w:rsidRPr="001A250B">
            <w:rPr>
              <w:sz w:val="16"/>
              <w:szCs w:val="16"/>
            </w:rPr>
            <w:t xml:space="preserve"> This is the approach taken in the TRA International Visitor Survey</w:t>
          </w:r>
          <w:r>
            <w:rPr>
              <w:sz w:val="16"/>
              <w:szCs w:val="16"/>
            </w:rPr>
            <w:t xml:space="preserve"> and is</w:t>
          </w:r>
          <w:r w:rsidRPr="001A250B">
            <w:rPr>
              <w:sz w:val="16"/>
              <w:szCs w:val="16"/>
            </w:rPr>
            <w:t xml:space="preserve"> consistent with international definitions</w:t>
          </w:r>
          <w:r>
            <w:rPr>
              <w:sz w:val="16"/>
              <w:szCs w:val="16"/>
            </w:rPr>
            <w:t>.</w:t>
          </w:r>
        </w:p>
        <w:p w14:paraId="66CA853E" w14:textId="35BEE653" w:rsidR="000E5E06" w:rsidRDefault="00B146B2" w:rsidP="00B146B2">
          <w:pPr>
            <w:pStyle w:val="Heading3"/>
          </w:pPr>
          <w:bookmarkStart w:id="36" w:name="_Toc106097673"/>
          <w:r>
            <w:t>Domestic travel</w:t>
          </w:r>
          <w:bookmarkEnd w:id="36"/>
        </w:p>
        <w:p w14:paraId="1047752E" w14:textId="6B4D35EC" w:rsidR="00123B3C" w:rsidRPr="00492527" w:rsidRDefault="003330B1" w:rsidP="00123B3C">
          <w:pPr>
            <w:shd w:val="clear" w:color="auto" w:fill="FFFFFF"/>
            <w:spacing w:before="300"/>
            <w:rPr>
              <w:rFonts w:eastAsia="Times New Roman" w:cs="Times New Roman"/>
              <w:color w:val="000000"/>
              <w:lang w:eastAsia="en-AU"/>
            </w:rPr>
          </w:pPr>
          <w:bookmarkStart w:id="37" w:name="_Hlk100050029"/>
          <w:r>
            <w:t xml:space="preserve">Over the course of the pandemic, Australia’s visitor economy </w:t>
          </w:r>
          <w:r w:rsidR="00E934BC">
            <w:t xml:space="preserve">has been </w:t>
          </w:r>
          <w:r w:rsidR="008D1BD1">
            <w:t xml:space="preserve">almost entirely reliant on </w:t>
          </w:r>
          <w:r w:rsidR="00F640FF">
            <w:t xml:space="preserve">the </w:t>
          </w:r>
          <w:r w:rsidR="00464D8D">
            <w:t>domestic travel sector.</w:t>
          </w:r>
          <w:r w:rsidR="008B002C">
            <w:t xml:space="preserve"> </w:t>
          </w:r>
          <w:r w:rsidR="004C2DED">
            <w:t xml:space="preserve">However, </w:t>
          </w:r>
          <w:r w:rsidR="008529DD">
            <w:t xml:space="preserve">this sector </w:t>
          </w:r>
          <w:r w:rsidR="00123B3C">
            <w:t xml:space="preserve">was also severely </w:t>
          </w:r>
          <w:r w:rsidR="003B151A">
            <w:t xml:space="preserve">affected </w:t>
          </w:r>
          <w:r w:rsidR="00123B3C">
            <w:t>by travel restrictions and inter</w:t>
          </w:r>
          <w:r w:rsidR="008529DD">
            <w:t xml:space="preserve">state </w:t>
          </w:r>
          <w:r w:rsidR="00123B3C">
            <w:t>border closures</w:t>
          </w:r>
          <w:r w:rsidR="008529DD">
            <w:t xml:space="preserve">. </w:t>
          </w:r>
          <w:r w:rsidR="00123B3C" w:rsidRPr="00101BFD">
            <w:rPr>
              <w:rFonts w:eastAsia="Times New Roman" w:cs="Times New Roman"/>
              <w:color w:val="000000"/>
              <w:lang w:eastAsia="en-AU"/>
            </w:rPr>
            <w:t>Total domestic tourism losses since the start of the pandemic (March 2020) reached $7</w:t>
          </w:r>
          <w:r w:rsidR="00123B3C">
            <w:rPr>
              <w:rFonts w:eastAsia="Times New Roman" w:cs="Times New Roman"/>
              <w:color w:val="000000"/>
              <w:lang w:eastAsia="en-AU"/>
            </w:rPr>
            <w:t>3</w:t>
          </w:r>
          <w:r w:rsidR="00123B3C" w:rsidRPr="00101BFD">
            <w:rPr>
              <w:rFonts w:eastAsia="Times New Roman" w:cs="Times New Roman"/>
              <w:color w:val="000000"/>
              <w:lang w:eastAsia="en-AU"/>
            </w:rPr>
            <w:t>.8</w:t>
          </w:r>
          <w:r w:rsidR="00EC0AA8">
            <w:rPr>
              <w:rFonts w:eastAsia="Times New Roman" w:cs="Times New Roman"/>
              <w:color w:val="000000"/>
              <w:lang w:eastAsia="en-AU"/>
            </w:rPr>
            <w:t> </w:t>
          </w:r>
          <w:r w:rsidR="00123B3C" w:rsidRPr="00101BFD">
            <w:rPr>
              <w:rFonts w:eastAsia="Times New Roman" w:cs="Times New Roman"/>
              <w:color w:val="000000"/>
              <w:lang w:eastAsia="en-AU"/>
            </w:rPr>
            <w:t>billion</w:t>
          </w:r>
          <w:r w:rsidR="00123B3C">
            <w:rPr>
              <w:rFonts w:eastAsia="Times New Roman" w:cs="Times New Roman"/>
              <w:color w:val="000000"/>
              <w:lang w:eastAsia="en-AU"/>
            </w:rPr>
            <w:t xml:space="preserve"> at the end of December 2021</w:t>
          </w:r>
          <w:r w:rsidR="008B002C">
            <w:rPr>
              <w:rFonts w:eastAsia="Times New Roman" w:cs="Times New Roman"/>
              <w:color w:val="000000"/>
              <w:lang w:eastAsia="en-AU"/>
            </w:rPr>
            <w:t xml:space="preserve"> (</w:t>
          </w:r>
          <w:r w:rsidR="00C32A28">
            <w:rPr>
              <w:rFonts w:eastAsia="Times New Roman" w:cs="Times New Roman"/>
              <w:color w:val="000000"/>
              <w:lang w:eastAsia="en-AU"/>
            </w:rPr>
            <w:t xml:space="preserve">see </w:t>
          </w:r>
          <w:r w:rsidR="008B002C">
            <w:rPr>
              <w:rFonts w:eastAsia="Times New Roman" w:cs="Times New Roman"/>
              <w:color w:val="000000"/>
              <w:lang w:eastAsia="en-AU"/>
            </w:rPr>
            <w:t>Figure 1)</w:t>
          </w:r>
          <w:r w:rsidR="00123B3C" w:rsidRPr="00101BFD">
            <w:rPr>
              <w:rFonts w:eastAsia="Times New Roman" w:cs="Times New Roman"/>
              <w:color w:val="000000"/>
              <w:lang w:eastAsia="en-AU"/>
            </w:rPr>
            <w:t>.</w:t>
          </w:r>
          <w:r w:rsidR="00123B3C" w:rsidRPr="00492527">
            <w:rPr>
              <w:rFonts w:eastAsia="Times New Roman" w:cs="Times New Roman"/>
              <w:color w:val="000000"/>
              <w:lang w:eastAsia="en-AU"/>
            </w:rPr>
            <w:t xml:space="preserve"> This </w:t>
          </w:r>
          <w:r w:rsidR="00C32A28">
            <w:rPr>
              <w:rFonts w:eastAsia="Times New Roman" w:cs="Times New Roman"/>
              <w:color w:val="000000"/>
              <w:lang w:eastAsia="en-AU"/>
            </w:rPr>
            <w:t>amount</w:t>
          </w:r>
          <w:r w:rsidR="001D6313">
            <w:rPr>
              <w:rFonts w:eastAsia="Times New Roman" w:cs="Times New Roman"/>
              <w:color w:val="000000"/>
              <w:lang w:eastAsia="en-AU"/>
            </w:rPr>
            <w:t xml:space="preserve"> </w:t>
          </w:r>
          <w:r w:rsidR="00123B3C" w:rsidRPr="00492527">
            <w:rPr>
              <w:rFonts w:eastAsia="Times New Roman" w:cs="Times New Roman"/>
              <w:color w:val="000000"/>
              <w:lang w:eastAsia="en-AU"/>
            </w:rPr>
            <w:t>comprised:</w:t>
          </w:r>
        </w:p>
        <w:p w14:paraId="20672D7F" w14:textId="31CE1691" w:rsidR="00123B3C" w:rsidRPr="00101BFD" w:rsidRDefault="00123B3C" w:rsidP="00B51BCB">
          <w:pPr>
            <w:numPr>
              <w:ilvl w:val="0"/>
              <w:numId w:val="8"/>
            </w:numPr>
            <w:shd w:val="clear" w:color="auto" w:fill="FFFFFF"/>
            <w:ind w:left="714" w:hanging="357"/>
            <w:contextualSpacing/>
            <w:rPr>
              <w:rFonts w:eastAsia="Times New Roman" w:cs="Times New Roman"/>
              <w:color w:val="000000"/>
              <w:lang w:eastAsia="en-AU"/>
            </w:rPr>
          </w:pPr>
          <w:r w:rsidRPr="00101BFD">
            <w:rPr>
              <w:rFonts w:eastAsia="Times New Roman" w:cs="Times New Roman"/>
              <w:color w:val="000000"/>
              <w:lang w:eastAsia="en-AU"/>
            </w:rPr>
            <w:t>$56.2 billion from domestic overnight travel</w:t>
          </w:r>
        </w:p>
        <w:p w14:paraId="31491510" w14:textId="04B9797A" w:rsidR="00123B3C" w:rsidRDefault="00123B3C" w:rsidP="00B51BCB">
          <w:pPr>
            <w:numPr>
              <w:ilvl w:val="0"/>
              <w:numId w:val="8"/>
            </w:numPr>
            <w:shd w:val="clear" w:color="auto" w:fill="FFFFFF"/>
            <w:ind w:left="714" w:hanging="357"/>
            <w:contextualSpacing/>
            <w:rPr>
              <w:rFonts w:eastAsia="Times New Roman" w:cs="Times New Roman"/>
              <w:color w:val="000000"/>
              <w:lang w:eastAsia="en-AU"/>
            </w:rPr>
          </w:pPr>
          <w:r w:rsidRPr="00101BFD">
            <w:rPr>
              <w:rFonts w:eastAsia="Times New Roman" w:cs="Times New Roman"/>
              <w:color w:val="000000"/>
              <w:lang w:eastAsia="en-AU"/>
            </w:rPr>
            <w:t>$17.6 billion from domestic day travel.</w:t>
          </w:r>
        </w:p>
        <w:p w14:paraId="1B2A2681" w14:textId="77777777" w:rsidR="00B146B2" w:rsidRDefault="00B146B2">
          <w:pPr>
            <w:spacing w:before="0" w:after="160" w:line="259" w:lineRule="auto"/>
          </w:pPr>
          <w:r>
            <w:br w:type="page"/>
          </w:r>
        </w:p>
        <w:p w14:paraId="788FA032" w14:textId="37177D2E" w:rsidR="00404312" w:rsidRDefault="00404312" w:rsidP="00404312">
          <w:pPr>
            <w:spacing w:before="360"/>
            <w:rPr>
              <w:rFonts w:asciiTheme="minorHAnsi" w:hAnsiTheme="minorHAnsi"/>
              <w:color w:val="auto"/>
            </w:rPr>
          </w:pPr>
          <w:r>
            <w:t>A closer look at losses in domestic overnight travel shows three distinct phases of the pandemic:</w:t>
          </w:r>
        </w:p>
        <w:p w14:paraId="3901838B" w14:textId="39C4EFD7" w:rsidR="00404312" w:rsidRDefault="00104054" w:rsidP="00B51BCB">
          <w:pPr>
            <w:pStyle w:val="BulletList"/>
            <w:numPr>
              <w:ilvl w:val="0"/>
              <w:numId w:val="8"/>
            </w:numPr>
          </w:pPr>
          <w:r>
            <w:t>B</w:t>
          </w:r>
          <w:r w:rsidR="00455CF9">
            <w:t xml:space="preserve">etween </w:t>
          </w:r>
          <w:r w:rsidR="00404312">
            <w:t xml:space="preserve">March 2020 </w:t>
          </w:r>
          <w:r w:rsidR="00455CF9">
            <w:t xml:space="preserve">and </w:t>
          </w:r>
          <w:r w:rsidR="00404312">
            <w:t>November 2020, the first wave of COVID-19 produced loses of $34.6 billion (62% of the total losses)</w:t>
          </w:r>
          <w:r>
            <w:t>.</w:t>
          </w:r>
        </w:p>
        <w:p w14:paraId="0A203C33" w14:textId="1AC8CE10" w:rsidR="00404312" w:rsidRDefault="00104054" w:rsidP="00B51BCB">
          <w:pPr>
            <w:pStyle w:val="BulletList"/>
            <w:numPr>
              <w:ilvl w:val="0"/>
              <w:numId w:val="8"/>
            </w:numPr>
          </w:pPr>
          <w:r>
            <w:t>B</w:t>
          </w:r>
          <w:r w:rsidR="00455CF9">
            <w:t xml:space="preserve">etween </w:t>
          </w:r>
          <w:r w:rsidR="00404312">
            <w:t xml:space="preserve">December 2020 </w:t>
          </w:r>
          <w:r w:rsidR="005709BD">
            <w:t xml:space="preserve">and </w:t>
          </w:r>
          <w:r w:rsidR="00404312">
            <w:t>June 2021, a rebound in demand after the initial COVID-19 outbreak saw losses of $3.7</w:t>
          </w:r>
          <w:r w:rsidR="005709BD">
            <w:t> </w:t>
          </w:r>
          <w:r w:rsidR="00404312">
            <w:t>billion (just 7% of the total losses)</w:t>
          </w:r>
          <w:r>
            <w:t>.</w:t>
          </w:r>
        </w:p>
        <w:p w14:paraId="5A75E99A" w14:textId="28572C8E" w:rsidR="00404312" w:rsidRDefault="004614D5" w:rsidP="00B51BCB">
          <w:pPr>
            <w:pStyle w:val="BulletList"/>
            <w:numPr>
              <w:ilvl w:val="0"/>
              <w:numId w:val="8"/>
            </w:numPr>
          </w:pPr>
          <w:r>
            <w:t>B</w:t>
          </w:r>
          <w:r w:rsidR="005709BD">
            <w:t xml:space="preserve">etween </w:t>
          </w:r>
          <w:r w:rsidR="00404312">
            <w:t xml:space="preserve">July 2021 </w:t>
          </w:r>
          <w:r w:rsidR="005709BD">
            <w:t xml:space="preserve">and </w:t>
          </w:r>
          <w:r w:rsidR="00404312">
            <w:t>December 2021, the Delta and Omicron waves produced losses of $17.9 billion (32% of total losses).</w:t>
          </w:r>
        </w:p>
        <w:p w14:paraId="4E0A1689" w14:textId="15BEC5C4" w:rsidR="00404312" w:rsidRDefault="00404312" w:rsidP="00404312">
          <w:pPr>
            <w:spacing w:after="0"/>
          </w:pPr>
          <w:r>
            <w:t xml:space="preserve">Despite the significant cumulative losses, there are signs that the worst impacts of the pandemic have receded. </w:t>
          </w:r>
          <w:r w:rsidRPr="00404312">
            <w:rPr>
              <w:rFonts w:asciiTheme="minorHAnsi" w:hAnsiTheme="minorHAnsi"/>
              <w:lang w:eastAsia="zh-CN"/>
            </w:rPr>
            <w:t xml:space="preserve">The number of </w:t>
          </w:r>
          <w:r w:rsidR="007737CA">
            <w:rPr>
              <w:rFonts w:asciiTheme="minorHAnsi" w:hAnsiTheme="minorHAnsi"/>
              <w:lang w:eastAsia="zh-CN"/>
            </w:rPr>
            <w:t xml:space="preserve">domestic </w:t>
          </w:r>
          <w:r w:rsidRPr="00404312">
            <w:rPr>
              <w:rFonts w:asciiTheme="minorHAnsi" w:hAnsiTheme="minorHAnsi"/>
              <w:lang w:eastAsia="zh-CN"/>
            </w:rPr>
            <w:t xml:space="preserve">overnight trips in 2021 was up </w:t>
          </w:r>
          <w:r w:rsidR="003D5952">
            <w:rPr>
              <w:rFonts w:asciiTheme="minorHAnsi" w:hAnsiTheme="minorHAnsi"/>
              <w:lang w:eastAsia="zh-CN"/>
            </w:rPr>
            <w:t xml:space="preserve">by </w:t>
          </w:r>
          <w:r w:rsidRPr="00404312">
            <w:rPr>
              <w:rFonts w:asciiTheme="minorHAnsi" w:hAnsiTheme="minorHAnsi"/>
              <w:lang w:eastAsia="zh-CN"/>
            </w:rPr>
            <w:t xml:space="preserve">13% on 2020, while spend </w:t>
          </w:r>
          <w:r>
            <w:t>increased by 33%. The average duration of an overnight trip also increased</w:t>
          </w:r>
          <w:r w:rsidR="005E10A5">
            <w:t>,</w:t>
          </w:r>
          <w:r>
            <w:t xml:space="preserve"> as did the average spend per trip. The pick-up so far has been led by holiday travel, while business travel continued to decline in 2021 – see </w:t>
          </w:r>
          <w:r w:rsidRPr="00404312">
            <w:rPr>
              <w:color w:val="0000FF"/>
              <w:u w:val="single"/>
            </w:rPr>
            <w:fldChar w:fldCharType="begin"/>
          </w:r>
          <w:r w:rsidRPr="00404312">
            <w:rPr>
              <w:color w:val="0000FF"/>
              <w:u w:val="single"/>
            </w:rPr>
            <w:instrText xml:space="preserve"> REF _Ref101858300 \h  \* MERGEFORMAT </w:instrText>
          </w:r>
          <w:r w:rsidRPr="00404312">
            <w:rPr>
              <w:color w:val="0000FF"/>
              <w:u w:val="single"/>
            </w:rPr>
          </w:r>
          <w:r w:rsidRPr="00404312">
            <w:rPr>
              <w:color w:val="0000FF"/>
              <w:u w:val="single"/>
            </w:rPr>
            <w:fldChar w:fldCharType="separate"/>
          </w:r>
          <w:r w:rsidRPr="00404312">
            <w:rPr>
              <w:color w:val="0000FF"/>
              <w:u w:val="single"/>
            </w:rPr>
            <w:t>Reason for travel</w:t>
          </w:r>
          <w:r w:rsidRPr="00404312">
            <w:rPr>
              <w:color w:val="0000FF"/>
              <w:u w:val="single"/>
            </w:rPr>
            <w:fldChar w:fldCharType="end"/>
          </w:r>
          <w:r>
            <w:t xml:space="preserve"> section below. </w:t>
          </w:r>
          <w:r w:rsidRPr="00404312">
            <w:rPr>
              <w:rFonts w:asciiTheme="minorHAnsi" w:hAnsiTheme="minorHAnsi"/>
              <w:lang w:eastAsia="zh-CN"/>
            </w:rPr>
            <w:t xml:space="preserve">Even with these improvements, demand is still </w:t>
          </w:r>
          <w:r>
            <w:rPr>
              <w:rFonts w:asciiTheme="minorHAnsi" w:hAnsiTheme="minorHAnsi"/>
              <w:lang w:eastAsia="zh-CN"/>
            </w:rPr>
            <w:t xml:space="preserve">well </w:t>
          </w:r>
          <w:r w:rsidRPr="00404312">
            <w:rPr>
              <w:rFonts w:asciiTheme="minorHAnsi" w:hAnsiTheme="minorHAnsi"/>
              <w:lang w:eastAsia="zh-CN"/>
            </w:rPr>
            <w:t xml:space="preserve">below pre-pandemic levels. The number of overnight trips in 2021 was 30% lower than 2019 levels and spend was </w:t>
          </w:r>
          <w:r>
            <w:t>25% lower (nearly $20</w:t>
          </w:r>
          <w:r w:rsidR="005E10A5">
            <w:t> </w:t>
          </w:r>
          <w:r>
            <w:t>billion less; Figure</w:t>
          </w:r>
          <w:r w:rsidR="007A3D0A">
            <w:t> </w:t>
          </w:r>
          <w:r>
            <w:t>4).</w:t>
          </w:r>
        </w:p>
        <w:p w14:paraId="1F8E4247" w14:textId="77777777" w:rsidR="00C74D6B" w:rsidRDefault="00C74D6B" w:rsidP="00C74D6B">
          <w:pPr>
            <w:spacing w:after="0"/>
            <w:rPr>
              <w:rFonts w:asciiTheme="minorHAnsi" w:hAnsiTheme="minorHAnsi"/>
              <w:lang w:eastAsia="zh-CN"/>
            </w:rPr>
          </w:pPr>
          <w:r>
            <w:rPr>
              <w:rFonts w:asciiTheme="minorHAnsi" w:hAnsiTheme="minorHAnsi"/>
              <w:lang w:eastAsia="zh-CN"/>
            </w:rPr>
            <w:t xml:space="preserve">In comparison, day-trip travel suffered a milder downturn than overnight travel in 2020 and a mixed recovery in 2021. For example, in 2021, the number of day trips was slightly lower than in 2020 (down by 2%) while spend </w:t>
          </w:r>
          <w:r>
            <w:t>increased by 5%.</w:t>
          </w:r>
          <w:r w:rsidRPr="0077525B">
            <w:t xml:space="preserve"> </w:t>
          </w:r>
          <w:r>
            <w:t xml:space="preserve">Relative to 2019, day-trip numbers were down by </w:t>
          </w:r>
          <w:r>
            <w:rPr>
              <w:rFonts w:asciiTheme="minorHAnsi" w:hAnsiTheme="minorHAnsi"/>
              <w:lang w:eastAsia="zh-CN"/>
            </w:rPr>
            <w:t xml:space="preserve">35% while spend </w:t>
          </w:r>
          <w:r>
            <w:t xml:space="preserve">was down by 31%. </w:t>
          </w:r>
        </w:p>
        <w:p w14:paraId="1F0043B0" w14:textId="63758A7B" w:rsidR="00123B3C" w:rsidRDefault="00D65ECD" w:rsidP="00A16220">
          <w:pPr>
            <w:spacing w:after="0"/>
          </w:pPr>
          <w:r>
            <w:rPr>
              <w:noProof/>
            </w:rPr>
            <mc:AlternateContent>
              <mc:Choice Requires="wps">
                <w:drawing>
                  <wp:anchor distT="0" distB="0" distL="114300" distR="114300" simplePos="0" relativeHeight="251772928" behindDoc="0" locked="0" layoutInCell="1" allowOverlap="1" wp14:anchorId="5A1EC45D" wp14:editId="36F23074">
                    <wp:simplePos x="0" y="0"/>
                    <wp:positionH relativeFrom="margin">
                      <wp:align>left</wp:align>
                    </wp:positionH>
                    <wp:positionV relativeFrom="paragraph">
                      <wp:posOffset>258445</wp:posOffset>
                    </wp:positionV>
                    <wp:extent cx="6803136" cy="219710"/>
                    <wp:effectExtent l="0" t="0" r="0" b="8890"/>
                    <wp:wrapNone/>
                    <wp:docPr id="35" name="Text Box 35"/>
                    <wp:cNvGraphicFramePr/>
                    <a:graphic xmlns:a="http://schemas.openxmlformats.org/drawingml/2006/main">
                      <a:graphicData uri="http://schemas.microsoft.com/office/word/2010/wordprocessingShape">
                        <wps:wsp>
                          <wps:cNvSpPr txBox="1"/>
                          <wps:spPr>
                            <a:xfrm>
                              <a:off x="0" y="0"/>
                              <a:ext cx="6803136" cy="219710"/>
                            </a:xfrm>
                            <a:prstGeom prst="rect">
                              <a:avLst/>
                            </a:prstGeom>
                            <a:solidFill>
                              <a:prstClr val="white"/>
                            </a:solidFill>
                            <a:ln>
                              <a:noFill/>
                            </a:ln>
                          </wps:spPr>
                          <wps:txbx>
                            <w:txbxContent>
                              <w:p w14:paraId="13A7A898" w14:textId="53F51598" w:rsidR="00B146B2" w:rsidRPr="00012536" w:rsidRDefault="00B146B2" w:rsidP="00012536">
                                <w:pPr>
                                  <w:pStyle w:val="Caption"/>
                                  <w:rPr>
                                    <w:i w:val="0"/>
                                    <w:iCs w:val="0"/>
                                    <w:noProof/>
                                    <w:color w:val="000000" w:themeColor="text1"/>
                                    <w:sz w:val="24"/>
                                    <w:szCs w:val="24"/>
                                  </w:rPr>
                                </w:pPr>
                                <w:r w:rsidRPr="00012536">
                                  <w:rPr>
                                    <w:i w:val="0"/>
                                    <w:iCs w:val="0"/>
                                    <w:sz w:val="22"/>
                                    <w:szCs w:val="22"/>
                                  </w:rPr>
                                  <w:t xml:space="preserve">Figure </w:t>
                                </w:r>
                                <w:r w:rsidRPr="00012536">
                                  <w:rPr>
                                    <w:i w:val="0"/>
                                    <w:iCs w:val="0"/>
                                    <w:sz w:val="22"/>
                                    <w:szCs w:val="22"/>
                                  </w:rPr>
                                  <w:fldChar w:fldCharType="begin"/>
                                </w:r>
                                <w:r w:rsidRPr="00012536">
                                  <w:rPr>
                                    <w:i w:val="0"/>
                                    <w:iCs w:val="0"/>
                                    <w:sz w:val="22"/>
                                    <w:szCs w:val="22"/>
                                  </w:rPr>
                                  <w:instrText xml:space="preserve"> SEQ Figure \* ARABIC </w:instrText>
                                </w:r>
                                <w:r w:rsidRPr="00012536">
                                  <w:rPr>
                                    <w:i w:val="0"/>
                                    <w:iCs w:val="0"/>
                                    <w:sz w:val="22"/>
                                    <w:szCs w:val="22"/>
                                  </w:rPr>
                                  <w:fldChar w:fldCharType="separate"/>
                                </w:r>
                                <w:r>
                                  <w:rPr>
                                    <w:i w:val="0"/>
                                    <w:iCs w:val="0"/>
                                    <w:noProof/>
                                    <w:sz w:val="22"/>
                                    <w:szCs w:val="22"/>
                                  </w:rPr>
                                  <w:t>4</w:t>
                                </w:r>
                                <w:r w:rsidRPr="00012536">
                                  <w:rPr>
                                    <w:i w:val="0"/>
                                    <w:iCs w:val="0"/>
                                    <w:sz w:val="22"/>
                                    <w:szCs w:val="22"/>
                                  </w:rPr>
                                  <w:fldChar w:fldCharType="end"/>
                                </w:r>
                                <w:r>
                                  <w:rPr>
                                    <w:i w:val="0"/>
                                    <w:iCs w:val="0"/>
                                    <w:sz w:val="22"/>
                                    <w:szCs w:val="22"/>
                                  </w:rPr>
                                  <w:t>. Domestic visitor spend, year ending March quarter 2016 to December quarter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EC45D" id="Text Box 35" o:spid="_x0000_s1029" type="#_x0000_t202" style="position:absolute;margin-left:0;margin-top:20.35pt;width:535.7pt;height:17.3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" stroked="f">
                    <v:textbox inset="0,0,0,0">
                      <w:txbxContent>
                        <w:p w14:paraId="13A7A898" w14:textId="53F51598" w:rsidR="00B146B2" w:rsidRPr="00012536" w:rsidRDefault="00B146B2" w:rsidP="00012536">
                          <w:pPr>
                            <w:pStyle w:val="Caption"/>
                            <w:rPr>
                              <w:i w:val="0"/>
                              <w:iCs w:val="0"/>
                              <w:noProof/>
                              <w:color w:val="000000" w:themeColor="text1"/>
                              <w:sz w:val="24"/>
                              <w:szCs w:val="24"/>
                            </w:rPr>
                          </w:pPr>
                          <w:r w:rsidRPr="00012536">
                            <w:rPr>
                              <w:i w:val="0"/>
                              <w:iCs w:val="0"/>
                              <w:sz w:val="22"/>
                              <w:szCs w:val="22"/>
                            </w:rPr>
                            <w:t xml:space="preserve">Figure </w:t>
                          </w:r>
                          <w:r w:rsidRPr="00012536">
                            <w:rPr>
                              <w:i w:val="0"/>
                              <w:iCs w:val="0"/>
                              <w:sz w:val="22"/>
                              <w:szCs w:val="22"/>
                            </w:rPr>
                            <w:fldChar w:fldCharType="begin"/>
                          </w:r>
                          <w:r w:rsidRPr="00012536">
                            <w:rPr>
                              <w:i w:val="0"/>
                              <w:iCs w:val="0"/>
                              <w:sz w:val="22"/>
                              <w:szCs w:val="22"/>
                            </w:rPr>
                            <w:instrText xml:space="preserve"> SEQ Figure \* ARABIC </w:instrText>
                          </w:r>
                          <w:r w:rsidRPr="00012536">
                            <w:rPr>
                              <w:i w:val="0"/>
                              <w:iCs w:val="0"/>
                              <w:sz w:val="22"/>
                              <w:szCs w:val="22"/>
                            </w:rPr>
                            <w:fldChar w:fldCharType="separate"/>
                          </w:r>
                          <w:r>
                            <w:rPr>
                              <w:i w:val="0"/>
                              <w:iCs w:val="0"/>
                              <w:noProof/>
                              <w:sz w:val="22"/>
                              <w:szCs w:val="22"/>
                            </w:rPr>
                            <w:t>4</w:t>
                          </w:r>
                          <w:r w:rsidRPr="00012536">
                            <w:rPr>
                              <w:i w:val="0"/>
                              <w:iCs w:val="0"/>
                              <w:sz w:val="22"/>
                              <w:szCs w:val="22"/>
                            </w:rPr>
                            <w:fldChar w:fldCharType="end"/>
                          </w:r>
                          <w:r>
                            <w:rPr>
                              <w:i w:val="0"/>
                              <w:iCs w:val="0"/>
                              <w:sz w:val="22"/>
                              <w:szCs w:val="22"/>
                            </w:rPr>
                            <w:t>. Domestic visitor spend, year ending March quarter 2016 to December quarter 2021</w:t>
                          </w:r>
                        </w:p>
                      </w:txbxContent>
                    </v:textbox>
                    <w10:wrap anchorx="margin"/>
                  </v:shape>
                </w:pict>
              </mc:Fallback>
            </mc:AlternateContent>
          </w:r>
        </w:p>
        <w:p w14:paraId="02430495" w14:textId="364F49C4" w:rsidR="00123B3C" w:rsidRDefault="00A55197" w:rsidP="00A16220">
          <w:pPr>
            <w:spacing w:after="0"/>
          </w:pPr>
          <w:r>
            <w:rPr>
              <w:noProof/>
            </w:rPr>
            <w:drawing>
              <wp:anchor distT="0" distB="0" distL="114300" distR="114300" simplePos="0" relativeHeight="251833344" behindDoc="0" locked="0" layoutInCell="1" allowOverlap="1" wp14:anchorId="5BDBC8B5" wp14:editId="122AB15D">
                <wp:simplePos x="0" y="0"/>
                <wp:positionH relativeFrom="margin">
                  <wp:align>left</wp:align>
                </wp:positionH>
                <wp:positionV relativeFrom="paragraph">
                  <wp:posOffset>293370</wp:posOffset>
                </wp:positionV>
                <wp:extent cx="6076950" cy="3933825"/>
                <wp:effectExtent l="0" t="0" r="0" b="9525"/>
                <wp:wrapNone/>
                <wp:docPr id="44" name="Chart 44" descr="Figure 4 shows a time series line chart for domestic overnight visitor spend and domestic day trip visitor spend. &#10;Overnight visitor spend is much greater than day trip spend, and declined by more during the pandemic period. It has also recovered by more in 2021 than day trip spend.">
                  <a:extLst xmlns:a="http://schemas.openxmlformats.org/drawingml/2006/main">
                    <a:ext uri="{FF2B5EF4-FFF2-40B4-BE49-F238E27FC236}">
                      <a16:creationId xmlns:a16="http://schemas.microsoft.com/office/drawing/2014/main" id="{C987C017-F7BF-42C5-836C-C550A8B39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4ECD5785" w14:textId="0868C4B7" w:rsidR="00B35FBD" w:rsidRDefault="00B35FBD" w:rsidP="00A16220">
          <w:pPr>
            <w:spacing w:after="0"/>
          </w:pPr>
        </w:p>
        <w:p w14:paraId="35D1FF30" w14:textId="77777777" w:rsidR="00B35FBD" w:rsidRDefault="00B35FBD" w:rsidP="00A16220">
          <w:pPr>
            <w:spacing w:after="0"/>
          </w:pPr>
        </w:p>
        <w:p w14:paraId="5D24E5E6" w14:textId="3F9FD0C2" w:rsidR="00123B3C" w:rsidRDefault="00123B3C" w:rsidP="00A16220">
          <w:pPr>
            <w:spacing w:after="0"/>
          </w:pPr>
        </w:p>
        <w:p w14:paraId="3F6E9F6B" w14:textId="77777777" w:rsidR="00123B3C" w:rsidRDefault="00123B3C" w:rsidP="00A16220">
          <w:pPr>
            <w:spacing w:after="0"/>
          </w:pPr>
        </w:p>
        <w:p w14:paraId="586A490C" w14:textId="77777777" w:rsidR="00123B3C" w:rsidRDefault="00123B3C" w:rsidP="00A16220">
          <w:pPr>
            <w:spacing w:after="0"/>
          </w:pPr>
        </w:p>
        <w:p w14:paraId="778E07BF" w14:textId="77777777" w:rsidR="00123B3C" w:rsidRDefault="00123B3C" w:rsidP="00A16220">
          <w:pPr>
            <w:spacing w:after="0"/>
          </w:pPr>
        </w:p>
        <w:p w14:paraId="187C8C4D" w14:textId="57745361" w:rsidR="00123B3C" w:rsidRDefault="00123B3C" w:rsidP="00A16220">
          <w:pPr>
            <w:spacing w:after="0"/>
          </w:pPr>
        </w:p>
        <w:p w14:paraId="24AF8462" w14:textId="0A857FF2" w:rsidR="00123B3C" w:rsidRDefault="00123B3C" w:rsidP="00A16220">
          <w:pPr>
            <w:spacing w:after="0"/>
          </w:pPr>
        </w:p>
        <w:p w14:paraId="3E8A0A81" w14:textId="77777777" w:rsidR="00C74D6B" w:rsidRDefault="00C74D6B" w:rsidP="00A16220">
          <w:pPr>
            <w:spacing w:after="0"/>
          </w:pPr>
        </w:p>
        <w:p w14:paraId="1AC80686" w14:textId="06AF08AB" w:rsidR="00123B3C" w:rsidRDefault="00123B3C" w:rsidP="00A16220">
          <w:pPr>
            <w:spacing w:after="0"/>
          </w:pPr>
        </w:p>
        <w:p w14:paraId="03EC2E43" w14:textId="7678F8E8" w:rsidR="00123B3C" w:rsidRDefault="00123B3C" w:rsidP="00A16220">
          <w:pPr>
            <w:spacing w:after="0"/>
          </w:pPr>
        </w:p>
        <w:p w14:paraId="7B8EBA82" w14:textId="465D2087" w:rsidR="00C02339" w:rsidRDefault="00C02339">
          <w:pPr>
            <w:spacing w:before="0" w:after="160" w:line="259" w:lineRule="auto"/>
            <w:rPr>
              <w:bCs/>
              <w:sz w:val="26"/>
              <w:szCs w:val="24"/>
            </w:rPr>
          </w:pPr>
          <w:r>
            <w:br w:type="page"/>
          </w:r>
        </w:p>
        <w:p w14:paraId="33D39BD6" w14:textId="7725ADF0" w:rsidR="005640B8" w:rsidRDefault="00F405D3" w:rsidP="00D65ECD">
          <w:pPr>
            <w:pStyle w:val="Heading4"/>
            <w:spacing w:before="360"/>
          </w:pPr>
          <w:r>
            <w:t xml:space="preserve">Characteristics </w:t>
          </w:r>
          <w:bookmarkStart w:id="38" w:name="_Hlk100050053"/>
          <w:bookmarkEnd w:id="37"/>
          <w:r w:rsidR="005640B8">
            <w:t>of the domestic</w:t>
          </w:r>
          <w:r w:rsidR="005160BF">
            <w:t>-</w:t>
          </w:r>
          <w:r w:rsidR="005640B8">
            <w:t>led recovery</w:t>
          </w:r>
        </w:p>
        <w:p w14:paraId="51A82AC5" w14:textId="07BA8C00" w:rsidR="001A7529" w:rsidRDefault="001A7529" w:rsidP="001A7529">
          <w:r>
            <w:t>With domestic travel accounting for the vast majority of revenue through</w:t>
          </w:r>
          <w:r w:rsidR="005160BF">
            <w:t>out</w:t>
          </w:r>
          <w:r>
            <w:t xml:space="preserve"> the pandemic, businesses have had to adapt to a changing visitor mix and vastly different travel behaviours. </w:t>
          </w:r>
          <w:r w:rsidR="00A60F99">
            <w:t>Notably</w:t>
          </w:r>
          <w:r>
            <w:t>, domestic trips:</w:t>
          </w:r>
        </w:p>
        <w:p w14:paraId="3B7DB3EA" w14:textId="1A998DE8" w:rsidR="001A7529" w:rsidRDefault="001A7529" w:rsidP="001A7529">
          <w:pPr>
            <w:pStyle w:val="BulletList"/>
          </w:pPr>
          <w:r>
            <w:t>tend to be shorter and have a lower average spend than international trips</w:t>
          </w:r>
          <w:r w:rsidR="00A60F99">
            <w:t>;</w:t>
          </w:r>
          <w:r w:rsidR="00812EEE">
            <w:t xml:space="preserve"> travellers also </w:t>
          </w:r>
          <w:r>
            <w:t>tend to visit only one destination per trip</w:t>
          </w:r>
        </w:p>
        <w:p w14:paraId="606BE482" w14:textId="078FC4BB" w:rsidR="001A7529" w:rsidRDefault="001A7529" w:rsidP="001A7529">
          <w:pPr>
            <w:pStyle w:val="BulletList"/>
          </w:pPr>
          <w:r>
            <w:t>are concentrated on weekends, with spikes in demand over long weekends and school holiday periods, while demand from international visitors is spread more evenly</w:t>
          </w:r>
          <w:r w:rsidR="00F92369">
            <w:t>, which</w:t>
          </w:r>
          <w:r>
            <w:t xml:space="preserve"> </w:t>
          </w:r>
          <w:r w:rsidR="00320FB8">
            <w:t>help</w:t>
          </w:r>
          <w:r w:rsidR="00F92369">
            <w:t>s</w:t>
          </w:r>
          <w:r w:rsidR="00320FB8">
            <w:t xml:space="preserve"> </w:t>
          </w:r>
          <w:r>
            <w:t>suppor</w:t>
          </w:r>
          <w:r w:rsidR="00320FB8">
            <w:t>t</w:t>
          </w:r>
          <w:r>
            <w:t xml:space="preserve"> businesses during non-peak periods</w:t>
          </w:r>
          <w:r w:rsidR="00404312">
            <w:t xml:space="preserve"> (Figure 5)</w:t>
          </w:r>
        </w:p>
        <w:p w14:paraId="262A3A87" w14:textId="4C4A420E" w:rsidR="001A7529" w:rsidRDefault="001A7529" w:rsidP="001A7529">
          <w:pPr>
            <w:pStyle w:val="BulletList"/>
          </w:pPr>
          <w:r>
            <w:t xml:space="preserve">are more likely to </w:t>
          </w:r>
          <w:r w:rsidR="00683B10">
            <w:t xml:space="preserve">be in </w:t>
          </w:r>
          <w:r>
            <w:t>regional areas</w:t>
          </w:r>
          <w:r w:rsidR="0007723D">
            <w:t xml:space="preserve">, in contrast to </w:t>
          </w:r>
          <w:r>
            <w:t>city-centred international trips</w:t>
          </w:r>
        </w:p>
        <w:p w14:paraId="3D1404B7" w14:textId="5173D4B3" w:rsidR="001A7529" w:rsidRDefault="001A7529" w:rsidP="001A7529">
          <w:pPr>
            <w:pStyle w:val="BulletList"/>
          </w:pPr>
          <w:r>
            <w:t>are less reliant on commercial travel options and aviation</w:t>
          </w:r>
          <w:r w:rsidR="000C16D1">
            <w:t>, since</w:t>
          </w:r>
          <w:r>
            <w:t xml:space="preserve"> m</w:t>
          </w:r>
          <w:r w:rsidR="00683B10">
            <w:t xml:space="preserve">ost </w:t>
          </w:r>
          <w:r>
            <w:t>domestic travellers use their own car to get around.</w:t>
          </w:r>
        </w:p>
        <w:p w14:paraId="63B3B583" w14:textId="00473E4E" w:rsidR="00D65ECD" w:rsidRDefault="00D65ECD" w:rsidP="00D65ECD">
          <w:pPr>
            <w:pStyle w:val="BulletList"/>
            <w:numPr>
              <w:ilvl w:val="0"/>
              <w:numId w:val="0"/>
            </w:numPr>
            <w:ind w:left="1080" w:hanging="360"/>
          </w:pPr>
        </w:p>
        <w:p w14:paraId="482DF666" w14:textId="77777777" w:rsidR="00D65ECD" w:rsidRDefault="00D65ECD" w:rsidP="00D65ECD">
          <w:pPr>
            <w:pStyle w:val="BulletList"/>
            <w:numPr>
              <w:ilvl w:val="0"/>
              <w:numId w:val="0"/>
            </w:numPr>
            <w:ind w:left="1080" w:hanging="360"/>
          </w:pPr>
        </w:p>
        <w:p w14:paraId="4A0D408F" w14:textId="25D651C4" w:rsidR="00F405D3" w:rsidRDefault="00404312" w:rsidP="00404312">
          <w:pPr>
            <w:pStyle w:val="BulletList"/>
            <w:numPr>
              <w:ilvl w:val="0"/>
              <w:numId w:val="0"/>
            </w:numPr>
            <w:ind w:left="1080" w:hanging="360"/>
          </w:pPr>
          <w:r>
            <w:rPr>
              <w:noProof/>
            </w:rPr>
            <mc:AlternateContent>
              <mc:Choice Requires="wps">
                <w:drawing>
                  <wp:anchor distT="0" distB="0" distL="114300" distR="114300" simplePos="0" relativeHeight="251774976" behindDoc="0" locked="0" layoutInCell="1" allowOverlap="1" wp14:anchorId="17CBEA15" wp14:editId="1E3F1538">
                    <wp:simplePos x="0" y="0"/>
                    <wp:positionH relativeFrom="margin">
                      <wp:posOffset>-635</wp:posOffset>
                    </wp:positionH>
                    <wp:positionV relativeFrom="paragraph">
                      <wp:posOffset>12065</wp:posOffset>
                    </wp:positionV>
                    <wp:extent cx="5949950" cy="264795"/>
                    <wp:effectExtent l="0" t="0" r="0" b="1905"/>
                    <wp:wrapNone/>
                    <wp:docPr id="37" name="Text Box 37"/>
                    <wp:cNvGraphicFramePr/>
                    <a:graphic xmlns:a="http://schemas.openxmlformats.org/drawingml/2006/main">
                      <a:graphicData uri="http://schemas.microsoft.com/office/word/2010/wordprocessingShape">
                        <wps:wsp>
                          <wps:cNvSpPr txBox="1"/>
                          <wps:spPr>
                            <a:xfrm>
                              <a:off x="0" y="0"/>
                              <a:ext cx="5949950" cy="264795"/>
                            </a:xfrm>
                            <a:prstGeom prst="rect">
                              <a:avLst/>
                            </a:prstGeom>
                            <a:solidFill>
                              <a:prstClr val="white"/>
                            </a:solidFill>
                            <a:ln>
                              <a:noFill/>
                            </a:ln>
                          </wps:spPr>
                          <wps:txbx>
                            <w:txbxContent>
                              <w:p w14:paraId="0062D068" w14:textId="120AE20E" w:rsidR="00B146B2" w:rsidRDefault="00B146B2" w:rsidP="00404312">
                                <w:pPr>
                                  <w:pStyle w:val="Caption"/>
                                  <w:rPr>
                                    <w:i w:val="0"/>
                                    <w:iCs w:val="0"/>
                                    <w:sz w:val="22"/>
                                    <w:szCs w:val="22"/>
                                  </w:rPr>
                                </w:pPr>
                                <w:r w:rsidRPr="00404312">
                                  <w:rPr>
                                    <w:i w:val="0"/>
                                    <w:iCs w:val="0"/>
                                    <w:sz w:val="22"/>
                                    <w:szCs w:val="22"/>
                                  </w:rPr>
                                  <w:t xml:space="preserve">Figure </w:t>
                                </w:r>
                                <w:r w:rsidRPr="00404312">
                                  <w:rPr>
                                    <w:i w:val="0"/>
                                    <w:iCs w:val="0"/>
                                    <w:sz w:val="22"/>
                                    <w:szCs w:val="22"/>
                                  </w:rPr>
                                  <w:fldChar w:fldCharType="begin"/>
                                </w:r>
                                <w:r w:rsidRPr="00404312">
                                  <w:rPr>
                                    <w:i w:val="0"/>
                                    <w:iCs w:val="0"/>
                                    <w:sz w:val="22"/>
                                    <w:szCs w:val="22"/>
                                  </w:rPr>
                                  <w:instrText xml:space="preserve"> SEQ Figure \* ARABIC </w:instrText>
                                </w:r>
                                <w:r w:rsidRPr="00404312">
                                  <w:rPr>
                                    <w:i w:val="0"/>
                                    <w:iCs w:val="0"/>
                                    <w:sz w:val="22"/>
                                    <w:szCs w:val="22"/>
                                  </w:rPr>
                                  <w:fldChar w:fldCharType="separate"/>
                                </w:r>
                                <w:r>
                                  <w:rPr>
                                    <w:i w:val="0"/>
                                    <w:iCs w:val="0"/>
                                    <w:noProof/>
                                    <w:sz w:val="22"/>
                                    <w:szCs w:val="22"/>
                                  </w:rPr>
                                  <w:t>5</w:t>
                                </w:r>
                                <w:r w:rsidRPr="00404312">
                                  <w:rPr>
                                    <w:i w:val="0"/>
                                    <w:iCs w:val="0"/>
                                    <w:sz w:val="22"/>
                                    <w:szCs w:val="22"/>
                                  </w:rPr>
                                  <w:fldChar w:fldCharType="end"/>
                                </w:r>
                                <w:r w:rsidRPr="00404312">
                                  <w:rPr>
                                    <w:i w:val="0"/>
                                    <w:iCs w:val="0"/>
                                    <w:sz w:val="22"/>
                                    <w:szCs w:val="22"/>
                                  </w:rPr>
                                  <w:t>.</w:t>
                                </w:r>
                                <w:r>
                                  <w:rPr>
                                    <w:i w:val="0"/>
                                    <w:iCs w:val="0"/>
                                    <w:sz w:val="22"/>
                                    <w:szCs w:val="22"/>
                                  </w:rPr>
                                  <w:t xml:space="preserve"> Leisure trips by domestic overnight and international travellers, 2019</w:t>
                                </w:r>
                              </w:p>
                              <w:p w14:paraId="69148AA5" w14:textId="77777777" w:rsidR="00B146B2" w:rsidRPr="00404312" w:rsidRDefault="00B146B2" w:rsidP="0040431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BEA15" id="Text Box 37" o:spid="_x0000_s1030" type="#_x0000_t202" style="position:absolute;left:0;text-align:left;margin-left:-.05pt;margin-top:.95pt;width:468.5pt;height:20.85pt;z-index:251774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" stroked="f">
                    <v:textbox inset="0,0,0,0">
                      <w:txbxContent>
                        <w:p w14:paraId="0062D068" w14:textId="120AE20E" w:rsidR="00B146B2" w:rsidRDefault="00B146B2" w:rsidP="00404312">
                          <w:pPr>
                            <w:pStyle w:val="Caption"/>
                            <w:rPr>
                              <w:i w:val="0"/>
                              <w:iCs w:val="0"/>
                              <w:sz w:val="22"/>
                              <w:szCs w:val="22"/>
                            </w:rPr>
                          </w:pPr>
                          <w:r w:rsidRPr="00404312">
                            <w:rPr>
                              <w:i w:val="0"/>
                              <w:iCs w:val="0"/>
                              <w:sz w:val="22"/>
                              <w:szCs w:val="22"/>
                            </w:rPr>
                            <w:t xml:space="preserve">Figure </w:t>
                          </w:r>
                          <w:r w:rsidRPr="00404312">
                            <w:rPr>
                              <w:i w:val="0"/>
                              <w:iCs w:val="0"/>
                              <w:sz w:val="22"/>
                              <w:szCs w:val="22"/>
                            </w:rPr>
                            <w:fldChar w:fldCharType="begin"/>
                          </w:r>
                          <w:r w:rsidRPr="00404312">
                            <w:rPr>
                              <w:i w:val="0"/>
                              <w:iCs w:val="0"/>
                              <w:sz w:val="22"/>
                              <w:szCs w:val="22"/>
                            </w:rPr>
                            <w:instrText xml:space="preserve"> SEQ Figure \* ARABIC </w:instrText>
                          </w:r>
                          <w:r w:rsidRPr="00404312">
                            <w:rPr>
                              <w:i w:val="0"/>
                              <w:iCs w:val="0"/>
                              <w:sz w:val="22"/>
                              <w:szCs w:val="22"/>
                            </w:rPr>
                            <w:fldChar w:fldCharType="separate"/>
                          </w:r>
                          <w:r>
                            <w:rPr>
                              <w:i w:val="0"/>
                              <w:iCs w:val="0"/>
                              <w:noProof/>
                              <w:sz w:val="22"/>
                              <w:szCs w:val="22"/>
                            </w:rPr>
                            <w:t>5</w:t>
                          </w:r>
                          <w:r w:rsidRPr="00404312">
                            <w:rPr>
                              <w:i w:val="0"/>
                              <w:iCs w:val="0"/>
                              <w:sz w:val="22"/>
                              <w:szCs w:val="22"/>
                            </w:rPr>
                            <w:fldChar w:fldCharType="end"/>
                          </w:r>
                          <w:r w:rsidRPr="00404312">
                            <w:rPr>
                              <w:i w:val="0"/>
                              <w:iCs w:val="0"/>
                              <w:sz w:val="22"/>
                              <w:szCs w:val="22"/>
                            </w:rPr>
                            <w:t>.</w:t>
                          </w:r>
                          <w:r>
                            <w:rPr>
                              <w:i w:val="0"/>
                              <w:iCs w:val="0"/>
                              <w:sz w:val="22"/>
                              <w:szCs w:val="22"/>
                            </w:rPr>
                            <w:t xml:space="preserve"> Leisure trips by domestic overnight and international travellers, 2019</w:t>
                          </w:r>
                        </w:p>
                        <w:p w14:paraId="69148AA5" w14:textId="77777777" w:rsidR="00B146B2" w:rsidRPr="00404312" w:rsidRDefault="00B146B2" w:rsidP="00404312"/>
                      </w:txbxContent>
                    </v:textbox>
                    <w10:wrap anchorx="margin"/>
                  </v:shape>
                </w:pict>
              </mc:Fallback>
            </mc:AlternateContent>
          </w:r>
        </w:p>
        <w:p w14:paraId="2DED3C96" w14:textId="55ABE3BD" w:rsidR="00404312" w:rsidRDefault="00B77A0E" w:rsidP="00F405D3">
          <w:pPr>
            <w:pStyle w:val="BulletList"/>
            <w:numPr>
              <w:ilvl w:val="0"/>
              <w:numId w:val="0"/>
            </w:numPr>
            <w:ind w:left="1080" w:hanging="360"/>
          </w:pPr>
          <w:r w:rsidRPr="00C74D6B">
            <w:rPr>
              <w:noProof/>
            </w:rPr>
            <w:drawing>
              <wp:anchor distT="0" distB="0" distL="114300" distR="114300" simplePos="0" relativeHeight="251817984" behindDoc="0" locked="0" layoutInCell="1" allowOverlap="1" wp14:anchorId="7E9957E6" wp14:editId="23A2FDA7">
                <wp:simplePos x="0" y="0"/>
                <wp:positionH relativeFrom="margin">
                  <wp:align>right</wp:align>
                </wp:positionH>
                <wp:positionV relativeFrom="paragraph">
                  <wp:posOffset>96520</wp:posOffset>
                </wp:positionV>
                <wp:extent cx="6329680" cy="3549650"/>
                <wp:effectExtent l="0" t="0" r="0" b="0"/>
                <wp:wrapNone/>
                <wp:docPr id="52" name="Picture 52" descr="Figure 5 shows the number of domestic and international leisure trips taken each month in calendar year 2019. &#10;There are significantly fewer international trips each month, but they are more consistently spread across the year. Domestic leisure trips have peak months with much more travel occurring than other months. The peak periods coincide with Christmas, Easter and school holiday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5 shows the number of domestic and international leisure trips taken each month in calendar year 2019. &#10;There are significantly fewer international trips each month, but they are more consistently spread across the year. Domestic leisure trips have peak months with much more travel occurring than other months. The peak periods coincide with Christmas, Easter and school holiday periods."/>
                        <pic:cNvPicPr>
                          <a:picLocks noChangeAspect="1" noChangeArrowheads="1"/>
                        </pic:cNvPicPr>
                      </pic:nvPicPr>
                      <pic:blipFill rotWithShape="1">
                        <a:blip r:embed="rId29">
                          <a:extLst>
                            <a:ext uri="{28A0092B-C50C-407E-A947-70E740481C1C}">
                              <a14:useLocalDpi xmlns:a14="http://schemas.microsoft.com/office/drawing/2010/main" val="0"/>
                            </a:ext>
                          </a:extLst>
                        </a:blip>
                        <a:srcRect t="9474"/>
                        <a:stretch/>
                      </pic:blipFill>
                      <pic:spPr bwMode="auto">
                        <a:xfrm>
                          <a:off x="0" y="0"/>
                          <a:ext cx="6329680" cy="354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AD7566" w14:textId="24BDC92F" w:rsidR="00F405D3" w:rsidRDefault="00F405D3" w:rsidP="00F405D3">
          <w:pPr>
            <w:pStyle w:val="BulletList"/>
            <w:numPr>
              <w:ilvl w:val="0"/>
              <w:numId w:val="0"/>
            </w:numPr>
            <w:ind w:left="1080" w:hanging="360"/>
          </w:pPr>
        </w:p>
        <w:p w14:paraId="1FDBE006" w14:textId="7AFE0ED5" w:rsidR="00F405D3" w:rsidRDefault="00F405D3" w:rsidP="00F405D3">
          <w:pPr>
            <w:pStyle w:val="BulletList"/>
            <w:numPr>
              <w:ilvl w:val="0"/>
              <w:numId w:val="0"/>
            </w:numPr>
            <w:ind w:left="1080" w:hanging="360"/>
          </w:pPr>
        </w:p>
        <w:p w14:paraId="7F8BF511" w14:textId="507482E4" w:rsidR="00F405D3" w:rsidRDefault="00F405D3" w:rsidP="00F405D3">
          <w:pPr>
            <w:pStyle w:val="BulletList"/>
            <w:numPr>
              <w:ilvl w:val="0"/>
              <w:numId w:val="0"/>
            </w:numPr>
            <w:ind w:left="1080" w:hanging="360"/>
          </w:pPr>
        </w:p>
        <w:p w14:paraId="20CE335B" w14:textId="77777777" w:rsidR="00404312" w:rsidRDefault="00404312" w:rsidP="00F405D3">
          <w:pPr>
            <w:pStyle w:val="BulletList"/>
            <w:numPr>
              <w:ilvl w:val="0"/>
              <w:numId w:val="0"/>
            </w:numPr>
            <w:ind w:left="1080" w:hanging="360"/>
          </w:pPr>
        </w:p>
        <w:p w14:paraId="3D0D7C80" w14:textId="77A1DCEA" w:rsidR="00F405D3" w:rsidRDefault="00F405D3" w:rsidP="00F405D3">
          <w:pPr>
            <w:pStyle w:val="BulletList"/>
            <w:numPr>
              <w:ilvl w:val="0"/>
              <w:numId w:val="0"/>
            </w:numPr>
            <w:ind w:left="1080" w:hanging="360"/>
          </w:pPr>
        </w:p>
        <w:p w14:paraId="17A4F605" w14:textId="3DB3B146" w:rsidR="00F405D3" w:rsidRDefault="00F405D3" w:rsidP="00F405D3">
          <w:pPr>
            <w:pStyle w:val="BulletList"/>
            <w:numPr>
              <w:ilvl w:val="0"/>
              <w:numId w:val="0"/>
            </w:numPr>
            <w:ind w:left="1080" w:hanging="360"/>
          </w:pPr>
        </w:p>
        <w:p w14:paraId="31A4A65E" w14:textId="1B00C9CC" w:rsidR="00F405D3" w:rsidRDefault="00F405D3" w:rsidP="00F405D3">
          <w:pPr>
            <w:pStyle w:val="BulletList"/>
            <w:numPr>
              <w:ilvl w:val="0"/>
              <w:numId w:val="0"/>
            </w:numPr>
            <w:ind w:left="1080" w:hanging="360"/>
          </w:pPr>
        </w:p>
        <w:p w14:paraId="084A4CB0" w14:textId="45A624B1" w:rsidR="00F405D3" w:rsidRDefault="00F405D3" w:rsidP="00F405D3">
          <w:pPr>
            <w:pStyle w:val="BulletList"/>
            <w:numPr>
              <w:ilvl w:val="0"/>
              <w:numId w:val="0"/>
            </w:numPr>
            <w:ind w:left="1080" w:hanging="360"/>
          </w:pPr>
        </w:p>
        <w:p w14:paraId="11DA7471" w14:textId="3CF1840D" w:rsidR="00F405D3" w:rsidRDefault="00F405D3" w:rsidP="00F405D3">
          <w:pPr>
            <w:pStyle w:val="BulletList"/>
            <w:numPr>
              <w:ilvl w:val="0"/>
              <w:numId w:val="0"/>
            </w:numPr>
            <w:ind w:left="1080" w:hanging="360"/>
          </w:pPr>
        </w:p>
        <w:p w14:paraId="1863C642" w14:textId="5224B477" w:rsidR="00F405D3" w:rsidRDefault="00F405D3" w:rsidP="00F405D3">
          <w:pPr>
            <w:pStyle w:val="BulletList"/>
            <w:numPr>
              <w:ilvl w:val="0"/>
              <w:numId w:val="0"/>
            </w:numPr>
            <w:ind w:left="1080" w:hanging="360"/>
          </w:pPr>
        </w:p>
        <w:p w14:paraId="652C1A7C" w14:textId="0DD2B93C" w:rsidR="00F405D3" w:rsidRDefault="00F405D3" w:rsidP="00F405D3">
          <w:pPr>
            <w:pStyle w:val="BulletList"/>
            <w:numPr>
              <w:ilvl w:val="0"/>
              <w:numId w:val="0"/>
            </w:numPr>
            <w:ind w:left="1080" w:hanging="360"/>
          </w:pPr>
        </w:p>
        <w:p w14:paraId="6818EDC3" w14:textId="1F66502C" w:rsidR="00C74D6B" w:rsidRDefault="00C74D6B" w:rsidP="00F405D3">
          <w:pPr>
            <w:pStyle w:val="BulletList"/>
            <w:numPr>
              <w:ilvl w:val="0"/>
              <w:numId w:val="0"/>
            </w:numPr>
            <w:ind w:left="1080" w:hanging="360"/>
          </w:pPr>
        </w:p>
        <w:p w14:paraId="331E64E7" w14:textId="77777777" w:rsidR="00C74D6B" w:rsidRDefault="00C74D6B" w:rsidP="00F405D3">
          <w:pPr>
            <w:pStyle w:val="BulletList"/>
            <w:numPr>
              <w:ilvl w:val="0"/>
              <w:numId w:val="0"/>
            </w:numPr>
            <w:ind w:left="1080" w:hanging="360"/>
          </w:pPr>
        </w:p>
        <w:p w14:paraId="02165550" w14:textId="2F507093" w:rsidR="00F405D3" w:rsidRDefault="00F405D3" w:rsidP="00F405D3">
          <w:pPr>
            <w:pStyle w:val="BulletList"/>
            <w:numPr>
              <w:ilvl w:val="0"/>
              <w:numId w:val="0"/>
            </w:numPr>
            <w:ind w:left="1080" w:hanging="360"/>
          </w:pPr>
        </w:p>
        <w:p w14:paraId="3BFB90F1" w14:textId="0DA6371D" w:rsidR="00F405D3" w:rsidRDefault="00F405D3" w:rsidP="00F405D3">
          <w:pPr>
            <w:pStyle w:val="BulletList"/>
            <w:numPr>
              <w:ilvl w:val="0"/>
              <w:numId w:val="0"/>
            </w:numPr>
            <w:ind w:left="1080" w:hanging="360"/>
          </w:pPr>
        </w:p>
        <w:p w14:paraId="3C9D1938" w14:textId="417CDBD8" w:rsidR="0003267F" w:rsidRDefault="0003267F" w:rsidP="00F405D3">
          <w:pPr>
            <w:pStyle w:val="BulletList"/>
            <w:numPr>
              <w:ilvl w:val="0"/>
              <w:numId w:val="0"/>
            </w:numPr>
            <w:ind w:left="1080" w:hanging="360"/>
          </w:pPr>
        </w:p>
        <w:p w14:paraId="6E0AD0E5" w14:textId="77777777" w:rsidR="008C1EDB" w:rsidRDefault="008C1EDB" w:rsidP="00F405D3">
          <w:pPr>
            <w:pStyle w:val="BulletList"/>
            <w:numPr>
              <w:ilvl w:val="0"/>
              <w:numId w:val="0"/>
            </w:numPr>
            <w:ind w:left="1080" w:hanging="360"/>
          </w:pPr>
        </w:p>
        <w:p w14:paraId="16ABA16F" w14:textId="068111D0" w:rsidR="0003267F" w:rsidRDefault="0003267F" w:rsidP="00F405D3">
          <w:pPr>
            <w:pStyle w:val="BulletList"/>
            <w:numPr>
              <w:ilvl w:val="0"/>
              <w:numId w:val="0"/>
            </w:numPr>
            <w:ind w:left="1080" w:hanging="360"/>
          </w:pPr>
        </w:p>
        <w:p w14:paraId="209516C1" w14:textId="23AA41D2" w:rsidR="0003267F" w:rsidRDefault="0003267F" w:rsidP="00290678">
          <w:pPr>
            <w:pStyle w:val="BulletList"/>
            <w:numPr>
              <w:ilvl w:val="0"/>
              <w:numId w:val="0"/>
            </w:numPr>
            <w:ind w:left="1080" w:hanging="360"/>
          </w:pPr>
        </w:p>
        <w:p w14:paraId="32AD17AF" w14:textId="77777777" w:rsidR="00324F58" w:rsidRDefault="00324F58">
          <w:pPr>
            <w:spacing w:before="0" w:after="160" w:line="259" w:lineRule="auto"/>
            <w:rPr>
              <w:bCs/>
              <w:sz w:val="26"/>
              <w:szCs w:val="24"/>
            </w:rPr>
          </w:pPr>
          <w:r>
            <w:br w:type="page"/>
          </w:r>
        </w:p>
        <w:p w14:paraId="5A4D5E6D" w14:textId="0439A64A" w:rsidR="000A6327" w:rsidRDefault="00A16220" w:rsidP="00A16220">
          <w:pPr>
            <w:pStyle w:val="Heading4"/>
          </w:pPr>
          <w:r>
            <w:t>Interstate versus intrastate travel</w:t>
          </w:r>
        </w:p>
        <w:p w14:paraId="3FD344C6" w14:textId="693763D2" w:rsidR="00B13F32" w:rsidRDefault="00A16220" w:rsidP="00C5799F">
          <w:r>
            <w:t xml:space="preserve">As a result of </w:t>
          </w:r>
          <w:r w:rsidR="00EE3044">
            <w:t>bo</w:t>
          </w:r>
          <w:r>
            <w:t>rder closures, i</w:t>
          </w:r>
          <w:r w:rsidR="000D5115">
            <w:t xml:space="preserve">nterstate travel has </w:t>
          </w:r>
          <w:r>
            <w:t xml:space="preserve">seen larger declines than intrastate travel </w:t>
          </w:r>
          <w:r w:rsidR="003048F8">
            <w:t>over the course of the pandemic</w:t>
          </w:r>
          <w:r>
            <w:t xml:space="preserve">. </w:t>
          </w:r>
        </w:p>
        <w:p w14:paraId="701E3CB1" w14:textId="5DCE7F62" w:rsidR="00B13F32" w:rsidRDefault="0052429A" w:rsidP="00B06AE0">
          <w:pPr>
            <w:pStyle w:val="BulletList"/>
            <w:rPr>
              <w:lang w:eastAsia="zh-CN"/>
            </w:rPr>
          </w:pPr>
          <w:r>
            <w:rPr>
              <w:lang w:eastAsia="zh-CN"/>
            </w:rPr>
            <w:t xml:space="preserve">Following a </w:t>
          </w:r>
          <w:r w:rsidR="00404312">
            <w:rPr>
              <w:lang w:eastAsia="zh-CN"/>
            </w:rPr>
            <w:t>66</w:t>
          </w:r>
          <w:r>
            <w:rPr>
              <w:lang w:eastAsia="zh-CN"/>
            </w:rPr>
            <w:t>% decline in 2020, s</w:t>
          </w:r>
          <w:r w:rsidR="00B13F32">
            <w:rPr>
              <w:lang w:eastAsia="zh-CN"/>
            </w:rPr>
            <w:t xml:space="preserve">pend on interstate trips increased </w:t>
          </w:r>
          <w:r w:rsidR="00E11AD3">
            <w:rPr>
              <w:lang w:eastAsia="zh-CN"/>
            </w:rPr>
            <w:t>by 49% i</w:t>
          </w:r>
          <w:r w:rsidR="00B13F32">
            <w:rPr>
              <w:lang w:eastAsia="zh-CN"/>
            </w:rPr>
            <w:t>n 2021</w:t>
          </w:r>
          <w:r w:rsidR="00E11AD3">
            <w:rPr>
              <w:lang w:eastAsia="zh-CN"/>
            </w:rPr>
            <w:t xml:space="preserve"> to </w:t>
          </w:r>
          <w:r w:rsidR="00B13F32">
            <w:rPr>
              <w:lang w:eastAsia="zh-CN"/>
            </w:rPr>
            <w:t>$22.7</w:t>
          </w:r>
          <w:r w:rsidR="00256C15">
            <w:rPr>
              <w:lang w:eastAsia="zh-CN"/>
            </w:rPr>
            <w:t> </w:t>
          </w:r>
          <w:r w:rsidR="00B13F32">
            <w:rPr>
              <w:lang w:eastAsia="zh-CN"/>
            </w:rPr>
            <w:t xml:space="preserve">billion. However, this </w:t>
          </w:r>
          <w:r w:rsidR="00337E8C">
            <w:rPr>
              <w:lang w:eastAsia="zh-CN"/>
            </w:rPr>
            <w:t>was</w:t>
          </w:r>
          <w:r w:rsidR="00B13F32">
            <w:rPr>
              <w:lang w:eastAsia="zh-CN"/>
            </w:rPr>
            <w:t xml:space="preserve"> only around half of the pre-pandemic level of $45.0</w:t>
          </w:r>
          <w:r w:rsidR="00256C15">
            <w:rPr>
              <w:lang w:eastAsia="zh-CN"/>
            </w:rPr>
            <w:t> </w:t>
          </w:r>
          <w:r w:rsidR="00B13F32">
            <w:rPr>
              <w:lang w:eastAsia="zh-CN"/>
            </w:rPr>
            <w:t xml:space="preserve">billion. </w:t>
          </w:r>
        </w:p>
        <w:p w14:paraId="45504BC9" w14:textId="74B3CEE3" w:rsidR="0075639E" w:rsidRDefault="0075639E" w:rsidP="00B06AE0">
          <w:pPr>
            <w:pStyle w:val="BulletList"/>
            <w:rPr>
              <w:lang w:eastAsia="zh-CN"/>
            </w:rPr>
          </w:pPr>
          <w:r w:rsidRPr="0075639E">
            <w:rPr>
              <w:rFonts w:eastAsiaTheme="minorEastAsia"/>
              <w:bCs/>
            </w:rPr>
            <w:t xml:space="preserve">Spend on </w:t>
          </w:r>
          <w:r w:rsidRPr="00C94086">
            <w:rPr>
              <w:lang w:eastAsia="zh-CN"/>
            </w:rPr>
            <w:t xml:space="preserve">intrastate trips </w:t>
          </w:r>
          <w:r>
            <w:rPr>
              <w:lang w:eastAsia="zh-CN"/>
            </w:rPr>
            <w:t xml:space="preserve">experienced a modest </w:t>
          </w:r>
          <w:r w:rsidR="002876BD">
            <w:rPr>
              <w:lang w:eastAsia="zh-CN"/>
            </w:rPr>
            <w:t>15</w:t>
          </w:r>
          <w:r>
            <w:rPr>
              <w:lang w:eastAsia="zh-CN"/>
            </w:rPr>
            <w:t>% decline in 2020</w:t>
          </w:r>
          <w:r w:rsidR="009851E0">
            <w:rPr>
              <w:lang w:eastAsia="zh-CN"/>
            </w:rPr>
            <w:t xml:space="preserve">. Spend then increased by </w:t>
          </w:r>
          <w:r>
            <w:rPr>
              <w:lang w:eastAsia="zh-CN"/>
            </w:rPr>
            <w:t>25</w:t>
          </w:r>
          <w:r w:rsidRPr="00C94086">
            <w:rPr>
              <w:lang w:eastAsia="zh-CN"/>
            </w:rPr>
            <w:t>% to $</w:t>
          </w:r>
          <w:r>
            <w:rPr>
              <w:lang w:eastAsia="zh-CN"/>
            </w:rPr>
            <w:t>38.0</w:t>
          </w:r>
          <w:r w:rsidR="00273D12">
            <w:rPr>
              <w:lang w:eastAsia="zh-CN"/>
            </w:rPr>
            <w:t> </w:t>
          </w:r>
          <w:r w:rsidRPr="00C94086">
            <w:rPr>
              <w:lang w:eastAsia="zh-CN"/>
            </w:rPr>
            <w:t>billion</w:t>
          </w:r>
          <w:r>
            <w:rPr>
              <w:lang w:eastAsia="zh-CN"/>
            </w:rPr>
            <w:t xml:space="preserve"> </w:t>
          </w:r>
          <w:r w:rsidR="00B82543">
            <w:rPr>
              <w:lang w:eastAsia="zh-CN"/>
            </w:rPr>
            <w:t xml:space="preserve">in 2021. </w:t>
          </w:r>
          <w:r w:rsidR="00B67A46">
            <w:rPr>
              <w:lang w:eastAsia="zh-CN"/>
            </w:rPr>
            <w:t>As a result</w:t>
          </w:r>
          <w:r w:rsidR="00290678">
            <w:rPr>
              <w:lang w:eastAsia="zh-CN"/>
            </w:rPr>
            <w:t>,</w:t>
          </w:r>
          <w:r w:rsidR="00B67A46">
            <w:rPr>
              <w:lang w:eastAsia="zh-CN"/>
            </w:rPr>
            <w:t xml:space="preserve"> intrastate spend in 2021 </w:t>
          </w:r>
          <w:r w:rsidR="00B82543">
            <w:rPr>
              <w:lang w:eastAsia="zh-CN"/>
            </w:rPr>
            <w:t>was</w:t>
          </w:r>
          <w:r>
            <w:rPr>
              <w:lang w:eastAsia="zh-CN"/>
            </w:rPr>
            <w:t xml:space="preserve"> </w:t>
          </w:r>
          <w:r w:rsidR="003C2703">
            <w:rPr>
              <w:lang w:eastAsia="zh-CN"/>
            </w:rPr>
            <w:t>7</w:t>
          </w:r>
          <w:r>
            <w:rPr>
              <w:lang w:eastAsia="zh-CN"/>
            </w:rPr>
            <w:t xml:space="preserve">% higher than the pre-pandemic level in 2019. </w:t>
          </w:r>
        </w:p>
        <w:p w14:paraId="42D9EC9B" w14:textId="6B21C5A1" w:rsidR="000D5115" w:rsidRDefault="000B672D" w:rsidP="00C5799F">
          <w:r>
            <w:rPr>
              <w:lang w:eastAsia="zh-CN"/>
            </w:rPr>
            <w:t xml:space="preserve">The overall effect of this is that </w:t>
          </w:r>
          <w:r>
            <w:t>i</w:t>
          </w:r>
          <w:r w:rsidR="00A16220">
            <w:t xml:space="preserve">nterstate travel </w:t>
          </w:r>
          <w:r w:rsidR="000D5115">
            <w:t xml:space="preserve">accounted for </w:t>
          </w:r>
          <w:r w:rsidR="00A16220">
            <w:t>94%</w:t>
          </w:r>
          <w:r w:rsidR="000D5115">
            <w:t xml:space="preserve"> of the </w:t>
          </w:r>
          <w:r w:rsidR="00A16220">
            <w:t xml:space="preserve">total </w:t>
          </w:r>
          <w:r w:rsidR="000D5115">
            <w:t>los</w:t>
          </w:r>
          <w:r w:rsidR="00A16220">
            <w:t>s in spend on domestic overnight travel</w:t>
          </w:r>
          <w:r w:rsidR="000D5115">
            <w:t xml:space="preserve"> over the COVID-19 period</w:t>
          </w:r>
          <w:r w:rsidR="00C94086">
            <w:t xml:space="preserve"> (</w:t>
          </w:r>
          <w:r w:rsidR="002876BD">
            <w:t>Figure 6</w:t>
          </w:r>
          <w:r w:rsidR="00C94086">
            <w:t>)</w:t>
          </w:r>
          <w:r w:rsidR="000D5115">
            <w:t xml:space="preserve">. </w:t>
          </w:r>
        </w:p>
        <w:p w14:paraId="60E2EBB9" w14:textId="06A90F86" w:rsidR="002876BD" w:rsidRDefault="002876BD" w:rsidP="00C5799F">
          <w:r>
            <w:rPr>
              <w:noProof/>
            </w:rPr>
            <mc:AlternateContent>
              <mc:Choice Requires="wps">
                <w:drawing>
                  <wp:anchor distT="0" distB="0" distL="114300" distR="114300" simplePos="0" relativeHeight="251777024" behindDoc="0" locked="0" layoutInCell="1" allowOverlap="1" wp14:anchorId="599E7881" wp14:editId="30EB427E">
                    <wp:simplePos x="0" y="0"/>
                    <wp:positionH relativeFrom="margin">
                      <wp:align>left</wp:align>
                    </wp:positionH>
                    <wp:positionV relativeFrom="paragraph">
                      <wp:posOffset>114300</wp:posOffset>
                    </wp:positionV>
                    <wp:extent cx="6327648" cy="237744"/>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327648" cy="237744"/>
                            </a:xfrm>
                            <a:prstGeom prst="rect">
                              <a:avLst/>
                            </a:prstGeom>
                            <a:solidFill>
                              <a:prstClr val="white"/>
                            </a:solidFill>
                            <a:ln>
                              <a:noFill/>
                            </a:ln>
                          </wps:spPr>
                          <wps:txbx>
                            <w:txbxContent>
                              <w:p w14:paraId="1FC0185B" w14:textId="706EE1B8" w:rsidR="00B146B2" w:rsidRPr="002876BD" w:rsidRDefault="00B146B2" w:rsidP="002876BD">
                                <w:pPr>
                                  <w:pStyle w:val="Caption"/>
                                  <w:rPr>
                                    <w:i w:val="0"/>
                                    <w:iCs w:val="0"/>
                                    <w:noProof/>
                                    <w:color w:val="000000" w:themeColor="text1"/>
                                    <w:sz w:val="24"/>
                                    <w:szCs w:val="24"/>
                                  </w:rPr>
                                </w:pPr>
                                <w:r w:rsidRPr="002876BD">
                                  <w:rPr>
                                    <w:i w:val="0"/>
                                    <w:iCs w:val="0"/>
                                    <w:sz w:val="22"/>
                                    <w:szCs w:val="22"/>
                                  </w:rPr>
                                  <w:t xml:space="preserve">Figure </w:t>
                                </w:r>
                                <w:r w:rsidRPr="002876BD">
                                  <w:rPr>
                                    <w:i w:val="0"/>
                                    <w:iCs w:val="0"/>
                                    <w:sz w:val="22"/>
                                    <w:szCs w:val="22"/>
                                  </w:rPr>
                                  <w:fldChar w:fldCharType="begin"/>
                                </w:r>
                                <w:r w:rsidRPr="002876BD">
                                  <w:rPr>
                                    <w:i w:val="0"/>
                                    <w:iCs w:val="0"/>
                                    <w:sz w:val="22"/>
                                    <w:szCs w:val="22"/>
                                  </w:rPr>
                                  <w:instrText xml:space="preserve"> SEQ Figure \* ARABIC </w:instrText>
                                </w:r>
                                <w:r w:rsidRPr="002876BD">
                                  <w:rPr>
                                    <w:i w:val="0"/>
                                    <w:iCs w:val="0"/>
                                    <w:sz w:val="22"/>
                                    <w:szCs w:val="22"/>
                                  </w:rPr>
                                  <w:fldChar w:fldCharType="separate"/>
                                </w:r>
                                <w:r>
                                  <w:rPr>
                                    <w:i w:val="0"/>
                                    <w:iCs w:val="0"/>
                                    <w:noProof/>
                                    <w:sz w:val="22"/>
                                    <w:szCs w:val="22"/>
                                  </w:rPr>
                                  <w:t>6</w:t>
                                </w:r>
                                <w:r w:rsidRPr="002876BD">
                                  <w:rPr>
                                    <w:i w:val="0"/>
                                    <w:iCs w:val="0"/>
                                    <w:sz w:val="22"/>
                                    <w:szCs w:val="22"/>
                                  </w:rPr>
                                  <w:fldChar w:fldCharType="end"/>
                                </w:r>
                                <w:r>
                                  <w:rPr>
                                    <w:i w:val="0"/>
                                    <w:iCs w:val="0"/>
                                    <w:sz w:val="22"/>
                                    <w:szCs w:val="22"/>
                                  </w:rPr>
                                  <w:t>. Cumulative loss in domestic overnight spend, March 2020 to December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E7881" id="Text Box 38" o:spid="_x0000_s1031" type="#_x0000_t202" style="position:absolute;margin-left:0;margin-top:9pt;width:498.25pt;height:18.7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" stroked="f">
                    <v:textbox inset="0,0,0,0">
                      <w:txbxContent>
                        <w:p w14:paraId="1FC0185B" w14:textId="706EE1B8" w:rsidR="00B146B2" w:rsidRPr="002876BD" w:rsidRDefault="00B146B2" w:rsidP="002876BD">
                          <w:pPr>
                            <w:pStyle w:val="Caption"/>
                            <w:rPr>
                              <w:i w:val="0"/>
                              <w:iCs w:val="0"/>
                              <w:noProof/>
                              <w:color w:val="000000" w:themeColor="text1"/>
                              <w:sz w:val="24"/>
                              <w:szCs w:val="24"/>
                            </w:rPr>
                          </w:pPr>
                          <w:r w:rsidRPr="002876BD">
                            <w:rPr>
                              <w:i w:val="0"/>
                              <w:iCs w:val="0"/>
                              <w:sz w:val="22"/>
                              <w:szCs w:val="22"/>
                            </w:rPr>
                            <w:t xml:space="preserve">Figure </w:t>
                          </w:r>
                          <w:r w:rsidRPr="002876BD">
                            <w:rPr>
                              <w:i w:val="0"/>
                              <w:iCs w:val="0"/>
                              <w:sz w:val="22"/>
                              <w:szCs w:val="22"/>
                            </w:rPr>
                            <w:fldChar w:fldCharType="begin"/>
                          </w:r>
                          <w:r w:rsidRPr="002876BD">
                            <w:rPr>
                              <w:i w:val="0"/>
                              <w:iCs w:val="0"/>
                              <w:sz w:val="22"/>
                              <w:szCs w:val="22"/>
                            </w:rPr>
                            <w:instrText xml:space="preserve"> SEQ Figure \* ARABIC </w:instrText>
                          </w:r>
                          <w:r w:rsidRPr="002876BD">
                            <w:rPr>
                              <w:i w:val="0"/>
                              <w:iCs w:val="0"/>
                              <w:sz w:val="22"/>
                              <w:szCs w:val="22"/>
                            </w:rPr>
                            <w:fldChar w:fldCharType="separate"/>
                          </w:r>
                          <w:r>
                            <w:rPr>
                              <w:i w:val="0"/>
                              <w:iCs w:val="0"/>
                              <w:noProof/>
                              <w:sz w:val="22"/>
                              <w:szCs w:val="22"/>
                            </w:rPr>
                            <w:t>6</w:t>
                          </w:r>
                          <w:r w:rsidRPr="002876BD">
                            <w:rPr>
                              <w:i w:val="0"/>
                              <w:iCs w:val="0"/>
                              <w:sz w:val="22"/>
                              <w:szCs w:val="22"/>
                            </w:rPr>
                            <w:fldChar w:fldCharType="end"/>
                          </w:r>
                          <w:r>
                            <w:rPr>
                              <w:i w:val="0"/>
                              <w:iCs w:val="0"/>
                              <w:sz w:val="22"/>
                              <w:szCs w:val="22"/>
                            </w:rPr>
                            <w:t>. Cumulative loss in domestic overnight spend, March 2020 to December 2021</w:t>
                          </w:r>
                        </w:p>
                      </w:txbxContent>
                    </v:textbox>
                    <w10:wrap anchorx="margin"/>
                  </v:shape>
                </w:pict>
              </mc:Fallback>
            </mc:AlternateContent>
          </w:r>
        </w:p>
        <w:p w14:paraId="7AFC400E" w14:textId="1EC536E3" w:rsidR="0046564E" w:rsidRDefault="000F5504" w:rsidP="00C5799F">
          <w:r>
            <w:rPr>
              <w:noProof/>
            </w:rPr>
            <w:drawing>
              <wp:anchor distT="0" distB="0" distL="114300" distR="114300" simplePos="0" relativeHeight="251729920" behindDoc="0" locked="0" layoutInCell="1" allowOverlap="1" wp14:anchorId="38D94453" wp14:editId="5701E437">
                <wp:simplePos x="0" y="0"/>
                <wp:positionH relativeFrom="margin">
                  <wp:align>left</wp:align>
                </wp:positionH>
                <wp:positionV relativeFrom="paragraph">
                  <wp:posOffset>57150</wp:posOffset>
                </wp:positionV>
                <wp:extent cx="6038850" cy="3114675"/>
                <wp:effectExtent l="0" t="0" r="0" b="9525"/>
                <wp:wrapNone/>
                <wp:docPr id="43" name="Chart 43" descr="Figure 6 shows two stacked areas summing the cumulative loss to domestic overnight spend according to whether travel was intrastate or interstate. &#10;The chart shows the period from March 2020 to December 2021.&#10;The chart shows that interstate losses far outweigh intrastate losses.">
                  <a:extLst xmlns:a="http://schemas.openxmlformats.org/drawingml/2006/main">
                    <a:ext uri="{FF2B5EF4-FFF2-40B4-BE49-F238E27FC236}">
                      <a16:creationId xmlns:a16="http://schemas.microsoft.com/office/drawing/2014/main" id="{C80CB4E1-E410-43AE-97CB-ADCECF3BC3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364DD803" w14:textId="6364C826" w:rsidR="0046564E" w:rsidRDefault="0046564E" w:rsidP="00C5799F"/>
        <w:p w14:paraId="2C5F4A93" w14:textId="77777777" w:rsidR="0046564E" w:rsidRDefault="0046564E" w:rsidP="00C5799F"/>
        <w:p w14:paraId="2BEF7C4F" w14:textId="40E7FAAE" w:rsidR="000D5115" w:rsidRDefault="000D5115" w:rsidP="000D5115"/>
        <w:p w14:paraId="5ABE994D" w14:textId="672300DD" w:rsidR="000D5115" w:rsidRDefault="000D5115" w:rsidP="000D5115"/>
        <w:p w14:paraId="337CA563" w14:textId="1B5FC51B" w:rsidR="000D5115" w:rsidRDefault="000D5115" w:rsidP="000D5115"/>
        <w:p w14:paraId="18132FBF" w14:textId="44518D77" w:rsidR="000D5115" w:rsidRDefault="000D5115" w:rsidP="000D5115"/>
        <w:p w14:paraId="3F55E77B" w14:textId="5D9E2CDA" w:rsidR="000D5115" w:rsidRDefault="000D5115" w:rsidP="000D5115"/>
        <w:p w14:paraId="182B98DD" w14:textId="5B941ED0" w:rsidR="000D5115" w:rsidRDefault="000D5115" w:rsidP="000D5115"/>
        <w:p w14:paraId="5C6F0B2B" w14:textId="6C2DA948" w:rsidR="000D5115" w:rsidRDefault="000D5115" w:rsidP="000D5115"/>
        <w:p w14:paraId="26E1F9F1" w14:textId="463E4A86" w:rsidR="00241061" w:rsidRDefault="00241061" w:rsidP="000D5115">
          <w:pPr>
            <w:rPr>
              <w:lang w:eastAsia="zh-CN"/>
            </w:rPr>
          </w:pPr>
        </w:p>
        <w:p w14:paraId="7E8ABCAE" w14:textId="3A9D8379" w:rsidR="00C5799F" w:rsidRDefault="00C5799F" w:rsidP="00324F58">
          <w:pPr>
            <w:pStyle w:val="Heading4"/>
            <w:spacing w:before="480"/>
          </w:pPr>
          <w:bookmarkStart w:id="39" w:name="_Ref100138513"/>
          <w:bookmarkStart w:id="40" w:name="_Ref101858300"/>
          <w:r w:rsidRPr="00E264BF">
            <w:t>Reason for travel</w:t>
          </w:r>
          <w:bookmarkEnd w:id="39"/>
          <w:bookmarkEnd w:id="40"/>
        </w:p>
        <w:p w14:paraId="1CA7047A" w14:textId="41CE58D8" w:rsidR="00806409" w:rsidRDefault="00C5799F" w:rsidP="00C5799F">
          <w:r>
            <w:t>With border closures and travel restrictions imp</w:t>
          </w:r>
          <w:r w:rsidR="00D569AC">
            <w:t>ed</w:t>
          </w:r>
          <w:r>
            <w:t>ing movement across the country</w:t>
          </w:r>
          <w:r w:rsidR="00424FFD">
            <w:t>,</w:t>
          </w:r>
          <w:r>
            <w:t xml:space="preserve"> all types of </w:t>
          </w:r>
          <w:r w:rsidR="0007723D">
            <w:t xml:space="preserve">domestic </w:t>
          </w:r>
          <w:r>
            <w:t xml:space="preserve">travel have seen significant losses. However, business travel </w:t>
          </w:r>
          <w:r w:rsidR="002876BD">
            <w:t>was the</w:t>
          </w:r>
          <w:r w:rsidR="007F65F8">
            <w:t xml:space="preserve"> </w:t>
          </w:r>
          <w:r>
            <w:t xml:space="preserve">most affected with </w:t>
          </w:r>
          <w:r w:rsidR="006C5FF9">
            <w:t>business</w:t>
          </w:r>
          <w:r>
            <w:t xml:space="preserve"> trips </w:t>
          </w:r>
          <w:r w:rsidR="00806409">
            <w:t xml:space="preserve">(overnight and day trips) </w:t>
          </w:r>
          <w:r>
            <w:t xml:space="preserve">down </w:t>
          </w:r>
          <w:r w:rsidR="00563769">
            <w:t xml:space="preserve">by </w:t>
          </w:r>
          <w:r>
            <w:t>4</w:t>
          </w:r>
          <w:r w:rsidR="006C5FF9">
            <w:t>4</w:t>
          </w:r>
          <w:r>
            <w:t xml:space="preserve">% and spend down </w:t>
          </w:r>
          <w:r w:rsidR="00563769">
            <w:t xml:space="preserve">by </w:t>
          </w:r>
          <w:r>
            <w:t>5</w:t>
          </w:r>
          <w:r w:rsidR="00806409">
            <w:t>2</w:t>
          </w:r>
          <w:r>
            <w:t>%</w:t>
          </w:r>
          <w:r w:rsidR="00563769">
            <w:t>,</w:t>
          </w:r>
          <w:r>
            <w:t xml:space="preserve"> or $1</w:t>
          </w:r>
          <w:r w:rsidR="00806409">
            <w:t>1</w:t>
          </w:r>
          <w:r>
            <w:t>.</w:t>
          </w:r>
          <w:r w:rsidR="00806409">
            <w:t>2</w:t>
          </w:r>
          <w:r w:rsidR="00563769">
            <w:t> </w:t>
          </w:r>
          <w:r>
            <w:t>billion</w:t>
          </w:r>
          <w:r w:rsidR="00563769">
            <w:t>,</w:t>
          </w:r>
          <w:r>
            <w:t xml:space="preserve"> since the start of the pandemic.</w:t>
          </w:r>
          <w:r w:rsidR="00806409">
            <w:t xml:space="preserve"> </w:t>
          </w:r>
        </w:p>
        <w:p w14:paraId="11E0E9A3" w14:textId="47DB73C3" w:rsidR="00242E78" w:rsidRDefault="003E1B2A" w:rsidP="00C5799F">
          <w:r>
            <w:t xml:space="preserve">The </w:t>
          </w:r>
          <w:r w:rsidR="00806409">
            <w:t xml:space="preserve">rapid uptake of technology </w:t>
          </w:r>
          <w:r w:rsidR="002876BD">
            <w:t xml:space="preserve">as a </w:t>
          </w:r>
          <w:r w:rsidR="00D96734">
            <w:t xml:space="preserve">substitute for face-to-face </w:t>
          </w:r>
          <w:r w:rsidR="00806409">
            <w:t xml:space="preserve">meetings </w:t>
          </w:r>
          <w:r w:rsidR="00697F14">
            <w:t>supported business</w:t>
          </w:r>
          <w:r w:rsidR="002876BD">
            <w:t>es</w:t>
          </w:r>
          <w:r w:rsidR="00242E78">
            <w:t xml:space="preserve"> </w:t>
          </w:r>
          <w:r w:rsidR="005E2AD3">
            <w:t>by</w:t>
          </w:r>
          <w:r w:rsidR="00242E78">
            <w:t>:</w:t>
          </w:r>
        </w:p>
        <w:p w14:paraId="72192CB4" w14:textId="1210F74E" w:rsidR="00242E78" w:rsidRDefault="007D5098" w:rsidP="00B06AE0">
          <w:pPr>
            <w:pStyle w:val="BulletList"/>
          </w:pPr>
          <w:r>
            <w:t>minimis</w:t>
          </w:r>
          <w:r w:rsidR="0044547E">
            <w:t>ing</w:t>
          </w:r>
          <w:r>
            <w:t xml:space="preserve"> health risks to workers</w:t>
          </w:r>
        </w:p>
        <w:p w14:paraId="4DACCC71" w14:textId="23D6F13E" w:rsidR="001B21C1" w:rsidRDefault="001B21C1" w:rsidP="00EA690F">
          <w:pPr>
            <w:pStyle w:val="BulletList"/>
            <w:spacing w:before="200"/>
            <w:ind w:left="1077" w:hanging="357"/>
          </w:pPr>
          <w:r>
            <w:t xml:space="preserve">allowing </w:t>
          </w:r>
          <w:r w:rsidR="00014B48">
            <w:t xml:space="preserve">business </w:t>
          </w:r>
          <w:r>
            <w:t>meetings</w:t>
          </w:r>
          <w:r w:rsidR="005734C8">
            <w:t xml:space="preserve">, </w:t>
          </w:r>
          <w:r w:rsidR="00014B48">
            <w:t xml:space="preserve">courses </w:t>
          </w:r>
          <w:r w:rsidR="00AA5216">
            <w:t xml:space="preserve">and conferences </w:t>
          </w:r>
          <w:r>
            <w:t xml:space="preserve">to be set up at short </w:t>
          </w:r>
          <w:r w:rsidR="009B4D0A">
            <w:t xml:space="preserve">notice and </w:t>
          </w:r>
          <w:r w:rsidR="00AA5216">
            <w:t>at l</w:t>
          </w:r>
          <w:r w:rsidR="004A0628">
            <w:t xml:space="preserve">ower </w:t>
          </w:r>
          <w:r w:rsidR="00AA5216">
            <w:t>cost</w:t>
          </w:r>
        </w:p>
        <w:p w14:paraId="0354D7E3" w14:textId="534CEA90" w:rsidR="00242E78" w:rsidRDefault="00242E78" w:rsidP="00B06AE0">
          <w:pPr>
            <w:pStyle w:val="BulletList"/>
          </w:pPr>
          <w:r>
            <w:t>a</w:t>
          </w:r>
          <w:r w:rsidR="00D8075C">
            <w:t>void</w:t>
          </w:r>
          <w:r w:rsidR="005E2AD3">
            <w:t xml:space="preserve">ing </w:t>
          </w:r>
          <w:r w:rsidR="00D8075C">
            <w:t xml:space="preserve">the inconvenience </w:t>
          </w:r>
          <w:r w:rsidR="00AE56A8">
            <w:t xml:space="preserve">and </w:t>
          </w:r>
          <w:r w:rsidR="004A0628">
            <w:t xml:space="preserve">downtime </w:t>
          </w:r>
          <w:r w:rsidR="00015B63">
            <w:t xml:space="preserve">of </w:t>
          </w:r>
          <w:r w:rsidR="00630C67">
            <w:t>limited domestic flights</w:t>
          </w:r>
        </w:p>
        <w:p w14:paraId="00E0B46A" w14:textId="3EB69B86" w:rsidR="00E23E09" w:rsidRDefault="009F0404" w:rsidP="00B06AE0">
          <w:pPr>
            <w:pStyle w:val="BulletList"/>
          </w:pPr>
          <w:r>
            <w:t>reduc</w:t>
          </w:r>
          <w:r w:rsidR="005E2AD3">
            <w:t xml:space="preserve">ing </w:t>
          </w:r>
          <w:r w:rsidR="00E23E09">
            <w:t>t</w:t>
          </w:r>
          <w:r>
            <w:t>he disruptiv</w:t>
          </w:r>
          <w:r w:rsidR="00570313">
            <w:t xml:space="preserve">e effects </w:t>
          </w:r>
          <w:r>
            <w:t>from local lockdowns</w:t>
          </w:r>
          <w:r w:rsidR="00935CF7">
            <w:t xml:space="preserve"> and flight cancellations</w:t>
          </w:r>
          <w:r>
            <w:t>.</w:t>
          </w:r>
          <w:r w:rsidR="00570313">
            <w:t xml:space="preserve"> </w:t>
          </w:r>
        </w:p>
        <w:p w14:paraId="7BEE6490" w14:textId="053FA533" w:rsidR="00A70891" w:rsidRDefault="00A70891" w:rsidP="00A70891">
          <w:r>
            <w:t>Domestic trips to visit friend</w:t>
          </w:r>
          <w:r w:rsidR="0007723D">
            <w:t>s</w:t>
          </w:r>
          <w:r>
            <w:t xml:space="preserve"> and relatives (VFR) fell by 36% in 2020 then increased marginally in 2021. Spend on domestic </w:t>
          </w:r>
          <w:r w:rsidR="002876BD">
            <w:t>VFR trips</w:t>
          </w:r>
          <w:r>
            <w:t xml:space="preserve"> increased by 25% in </w:t>
          </w:r>
          <w:r w:rsidR="00D569AC">
            <w:t>2021 but</w:t>
          </w:r>
          <w:r>
            <w:t xml:space="preserve"> remain</w:t>
          </w:r>
          <w:r w:rsidR="00BB331B">
            <w:t>ed</w:t>
          </w:r>
          <w:r>
            <w:t xml:space="preserve"> almost 30% down on the pre-pandemic level. </w:t>
          </w:r>
        </w:p>
        <w:p w14:paraId="72DEC3A7" w14:textId="77777777" w:rsidR="00EA690F" w:rsidRDefault="00FC3674" w:rsidP="00C5799F">
          <w:pPr>
            <w:rPr>
              <w:color w:val="auto"/>
            </w:rPr>
          </w:pPr>
          <w:r>
            <w:t>H</w:t>
          </w:r>
          <w:r w:rsidR="00E22E37">
            <w:t>oliday travel has increased the most since its trough (</w:t>
          </w:r>
          <w:r w:rsidR="002876BD">
            <w:t>Figure 7</w:t>
          </w:r>
          <w:r w:rsidR="00E22E37">
            <w:t xml:space="preserve">). </w:t>
          </w:r>
          <w:r w:rsidR="00111C8E">
            <w:t xml:space="preserve">This is </w:t>
          </w:r>
          <w:r w:rsidR="00CE65FF">
            <w:t xml:space="preserve">due to </w:t>
          </w:r>
          <w:r w:rsidR="004C0AF0">
            <w:t xml:space="preserve">high </w:t>
          </w:r>
          <w:r w:rsidR="00D569AC">
            <w:t>pent-up</w:t>
          </w:r>
          <w:r w:rsidR="00687F81">
            <w:t xml:space="preserve"> demand</w:t>
          </w:r>
          <w:r w:rsidR="00DA52E1">
            <w:t xml:space="preserve">, along with </w:t>
          </w:r>
          <w:r w:rsidR="00DA52E1" w:rsidRPr="00EA690F">
            <w:t xml:space="preserve">many </w:t>
          </w:r>
          <w:r w:rsidR="0095732C" w:rsidRPr="00EA690F">
            <w:t>m</w:t>
          </w:r>
          <w:r w:rsidR="004A5A5C" w:rsidRPr="00EA690F">
            <w:t xml:space="preserve">ore </w:t>
          </w:r>
          <w:r w:rsidR="00CE65FF" w:rsidRPr="00EA690F">
            <w:t xml:space="preserve">Australians </w:t>
          </w:r>
          <w:r w:rsidR="0095732C" w:rsidRPr="00EA690F">
            <w:t xml:space="preserve">viewing a domestic experience </w:t>
          </w:r>
          <w:r w:rsidR="004B6A1A" w:rsidRPr="00EA690F">
            <w:t>as</w:t>
          </w:r>
          <w:r w:rsidR="009F43EA" w:rsidRPr="00EA690F">
            <w:t xml:space="preserve"> a viable substitute for </w:t>
          </w:r>
          <w:r w:rsidR="00B018FC" w:rsidRPr="00EA690F">
            <w:t xml:space="preserve">an </w:t>
          </w:r>
          <w:r w:rsidR="004C0AF0" w:rsidRPr="00EA690F">
            <w:t>i</w:t>
          </w:r>
          <w:r w:rsidR="00E22E37" w:rsidRPr="00EA690F">
            <w:t xml:space="preserve">nternational holiday. </w:t>
          </w:r>
          <w:r w:rsidR="006F1024" w:rsidRPr="00EA690F">
            <w:t>S</w:t>
          </w:r>
          <w:r w:rsidR="00E22E37" w:rsidRPr="00EA690F">
            <w:t xml:space="preserve">elf-drive holidays, regional trips, </w:t>
          </w:r>
          <w:r w:rsidR="005E358F" w:rsidRPr="00EA690F">
            <w:t xml:space="preserve">and </w:t>
          </w:r>
          <w:r w:rsidR="00E22E37" w:rsidRPr="00EA690F">
            <w:t>camping/caravanning trips have become even more popular over the pandemic period</w:t>
          </w:r>
          <w:r w:rsidR="00E22E37" w:rsidRPr="00EA690F">
            <w:rPr>
              <w:color w:val="auto"/>
            </w:rPr>
            <w:t>.</w:t>
          </w:r>
          <w:r w:rsidR="000A23FE" w:rsidRPr="00EA690F">
            <w:rPr>
              <w:color w:val="auto"/>
            </w:rPr>
            <w:t xml:space="preserve"> </w:t>
          </w:r>
          <w:r w:rsidR="00EA690F" w:rsidRPr="00EA690F">
            <w:rPr>
              <w:color w:val="auto"/>
            </w:rPr>
            <w:t>In the initial phases of recovery, especially when state borders remained closed, those regional centres within driving distance of a major city experienced faster rebound rates.</w:t>
          </w:r>
        </w:p>
        <w:p w14:paraId="484B31DB" w14:textId="7EBDF81D" w:rsidR="00E22E37" w:rsidRDefault="00EA690F" w:rsidP="00C5799F">
          <w:r w:rsidRPr="00EA690F">
            <w:rPr>
              <w:color w:val="auto"/>
            </w:rPr>
            <w:t>Another feature that shows up in the data</w:t>
          </w:r>
          <w:r w:rsidRPr="00EA690F">
            <w:t xml:space="preserve"> is t</w:t>
          </w:r>
          <w:r w:rsidR="000A23FE" w:rsidRPr="00EA690F">
            <w:t>he recent trend of ‘work-cations’ and ‘</w:t>
          </w:r>
          <w:r w:rsidR="00C872FE">
            <w:t>w</w:t>
          </w:r>
          <w:r w:rsidR="008F0FBA" w:rsidRPr="00EA690F">
            <w:t>ork-from-anywhere</w:t>
          </w:r>
          <w:r w:rsidR="000A23FE" w:rsidRPr="00EA690F">
            <w:t>’, showing that</w:t>
          </w:r>
          <w:r w:rsidR="000A23FE">
            <w:t xml:space="preserve"> </w:t>
          </w:r>
          <w:r w:rsidR="002B5D51">
            <w:t xml:space="preserve">some </w:t>
          </w:r>
          <w:r w:rsidR="000A23FE">
            <w:t xml:space="preserve">people have </w:t>
          </w:r>
          <w:r w:rsidR="000A23FE" w:rsidRPr="003B54BC">
            <w:t>cho</w:t>
          </w:r>
          <w:r w:rsidR="000A23FE">
            <w:t>sen</w:t>
          </w:r>
          <w:r w:rsidR="000A23FE" w:rsidRPr="003B54BC">
            <w:t xml:space="preserve"> to work remotely from a holiday location.</w:t>
          </w:r>
          <w:r w:rsidR="000A23FE">
            <w:rPr>
              <w:rStyle w:val="FootnoteReference"/>
            </w:rPr>
            <w:footnoteReference w:id="3"/>
          </w:r>
        </w:p>
        <w:p w14:paraId="706F3C1B" w14:textId="29BFF860" w:rsidR="00C02339" w:rsidRDefault="00C02339" w:rsidP="00C5799F">
          <w:r>
            <w:rPr>
              <w:noProof/>
            </w:rPr>
            <mc:AlternateContent>
              <mc:Choice Requires="wps">
                <w:drawing>
                  <wp:anchor distT="0" distB="0" distL="114300" distR="114300" simplePos="0" relativeHeight="251779072" behindDoc="0" locked="0" layoutInCell="1" allowOverlap="1" wp14:anchorId="6210FC41" wp14:editId="289963B3">
                    <wp:simplePos x="0" y="0"/>
                    <wp:positionH relativeFrom="margin">
                      <wp:align>right</wp:align>
                    </wp:positionH>
                    <wp:positionV relativeFrom="paragraph">
                      <wp:posOffset>97790</wp:posOffset>
                    </wp:positionV>
                    <wp:extent cx="6329680" cy="4572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329680" cy="457200"/>
                            </a:xfrm>
                            <a:prstGeom prst="rect">
                              <a:avLst/>
                            </a:prstGeom>
                            <a:solidFill>
                              <a:prstClr val="white"/>
                            </a:solidFill>
                            <a:ln>
                              <a:noFill/>
                            </a:ln>
                          </wps:spPr>
                          <wps:txbx>
                            <w:txbxContent>
                              <w:p w14:paraId="66FEBD61" w14:textId="675B34BD" w:rsidR="00B146B2" w:rsidRPr="002876BD" w:rsidRDefault="00B146B2" w:rsidP="002876BD">
                                <w:pPr>
                                  <w:pStyle w:val="Caption"/>
                                  <w:rPr>
                                    <w:i w:val="0"/>
                                    <w:iCs w:val="0"/>
                                    <w:noProof/>
                                    <w:color w:val="000000" w:themeColor="text1"/>
                                    <w:sz w:val="24"/>
                                    <w:szCs w:val="24"/>
                                  </w:rPr>
                                </w:pPr>
                                <w:r w:rsidRPr="002876BD">
                                  <w:rPr>
                                    <w:i w:val="0"/>
                                    <w:iCs w:val="0"/>
                                    <w:sz w:val="22"/>
                                    <w:szCs w:val="22"/>
                                  </w:rPr>
                                  <w:t xml:space="preserve">Figure </w:t>
                                </w:r>
                                <w:r w:rsidRPr="002876BD">
                                  <w:rPr>
                                    <w:i w:val="0"/>
                                    <w:iCs w:val="0"/>
                                    <w:sz w:val="22"/>
                                    <w:szCs w:val="22"/>
                                  </w:rPr>
                                  <w:fldChar w:fldCharType="begin"/>
                                </w:r>
                                <w:r w:rsidRPr="002876BD">
                                  <w:rPr>
                                    <w:i w:val="0"/>
                                    <w:iCs w:val="0"/>
                                    <w:sz w:val="22"/>
                                    <w:szCs w:val="22"/>
                                  </w:rPr>
                                  <w:instrText xml:space="preserve"> SEQ Figure \* ARABIC </w:instrText>
                                </w:r>
                                <w:r w:rsidRPr="002876BD">
                                  <w:rPr>
                                    <w:i w:val="0"/>
                                    <w:iCs w:val="0"/>
                                    <w:sz w:val="22"/>
                                    <w:szCs w:val="22"/>
                                  </w:rPr>
                                  <w:fldChar w:fldCharType="separate"/>
                                </w:r>
                                <w:r>
                                  <w:rPr>
                                    <w:i w:val="0"/>
                                    <w:iCs w:val="0"/>
                                    <w:noProof/>
                                    <w:sz w:val="22"/>
                                    <w:szCs w:val="22"/>
                                  </w:rPr>
                                  <w:t>7</w:t>
                                </w:r>
                                <w:r w:rsidRPr="002876BD">
                                  <w:rPr>
                                    <w:i w:val="0"/>
                                    <w:iCs w:val="0"/>
                                    <w:sz w:val="22"/>
                                    <w:szCs w:val="22"/>
                                  </w:rPr>
                                  <w:fldChar w:fldCharType="end"/>
                                </w:r>
                                <w:r>
                                  <w:rPr>
                                    <w:i w:val="0"/>
                                    <w:iCs w:val="0"/>
                                    <w:sz w:val="22"/>
                                    <w:szCs w:val="22"/>
                                  </w:rPr>
                                  <w:t>. Domestic tourism by purpose of travel, year ending March quarter 2014 to December quarter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210FC41" id="Text Box 39" o:spid="_x0000_s1032" type="#_x0000_t202" style="position:absolute;margin-left:447.2pt;margin-top:7.7pt;width:498.4pt;height:36pt;z-index:2517790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" stroked="f">
                    <v:textbox inset="0,0,0,0">
                      <w:txbxContent>
                        <w:p w14:paraId="66FEBD61" w14:textId="675B34BD" w:rsidR="00B146B2" w:rsidRPr="002876BD" w:rsidRDefault="00B146B2" w:rsidP="002876BD">
                          <w:pPr>
                            <w:pStyle w:val="Caption"/>
                            <w:rPr>
                              <w:i w:val="0"/>
                              <w:iCs w:val="0"/>
                              <w:noProof/>
                              <w:color w:val="000000" w:themeColor="text1"/>
                              <w:sz w:val="24"/>
                              <w:szCs w:val="24"/>
                            </w:rPr>
                          </w:pPr>
                          <w:r w:rsidRPr="002876BD">
                            <w:rPr>
                              <w:i w:val="0"/>
                              <w:iCs w:val="0"/>
                              <w:sz w:val="22"/>
                              <w:szCs w:val="22"/>
                            </w:rPr>
                            <w:t xml:space="preserve">Figure </w:t>
                          </w:r>
                          <w:r w:rsidRPr="002876BD">
                            <w:rPr>
                              <w:i w:val="0"/>
                              <w:iCs w:val="0"/>
                              <w:sz w:val="22"/>
                              <w:szCs w:val="22"/>
                            </w:rPr>
                            <w:fldChar w:fldCharType="begin"/>
                          </w:r>
                          <w:r w:rsidRPr="002876BD">
                            <w:rPr>
                              <w:i w:val="0"/>
                              <w:iCs w:val="0"/>
                              <w:sz w:val="22"/>
                              <w:szCs w:val="22"/>
                            </w:rPr>
                            <w:instrText xml:space="preserve"> SEQ Figure \* ARABIC </w:instrText>
                          </w:r>
                          <w:r w:rsidRPr="002876BD">
                            <w:rPr>
                              <w:i w:val="0"/>
                              <w:iCs w:val="0"/>
                              <w:sz w:val="22"/>
                              <w:szCs w:val="22"/>
                            </w:rPr>
                            <w:fldChar w:fldCharType="separate"/>
                          </w:r>
                          <w:r>
                            <w:rPr>
                              <w:i w:val="0"/>
                              <w:iCs w:val="0"/>
                              <w:noProof/>
                              <w:sz w:val="22"/>
                              <w:szCs w:val="22"/>
                            </w:rPr>
                            <w:t>7</w:t>
                          </w:r>
                          <w:r w:rsidRPr="002876BD">
                            <w:rPr>
                              <w:i w:val="0"/>
                              <w:iCs w:val="0"/>
                              <w:sz w:val="22"/>
                              <w:szCs w:val="22"/>
                            </w:rPr>
                            <w:fldChar w:fldCharType="end"/>
                          </w:r>
                          <w:r>
                            <w:rPr>
                              <w:i w:val="0"/>
                              <w:iCs w:val="0"/>
                              <w:sz w:val="22"/>
                              <w:szCs w:val="22"/>
                            </w:rPr>
                            <w:t>. Domestic tourism by purpose of travel, year ending March quarter 2014 to December quarter 2021</w:t>
                          </w:r>
                        </w:p>
                      </w:txbxContent>
                    </v:textbox>
                    <w10:wrap anchorx="margin"/>
                  </v:shape>
                </w:pict>
              </mc:Fallback>
            </mc:AlternateContent>
          </w:r>
        </w:p>
        <w:p w14:paraId="30303E30" w14:textId="41A9CA3A" w:rsidR="00196B33" w:rsidRDefault="00196B33" w:rsidP="00C5799F"/>
        <w:p w14:paraId="204946BC" w14:textId="332A62FB" w:rsidR="00196B33" w:rsidRDefault="00BB331B" w:rsidP="00C5799F">
          <w:r w:rsidRPr="00BB331B">
            <w:rPr>
              <w:noProof/>
            </w:rPr>
            <w:drawing>
              <wp:anchor distT="0" distB="0" distL="114300" distR="114300" simplePos="0" relativeHeight="251819008" behindDoc="0" locked="0" layoutInCell="1" allowOverlap="1" wp14:anchorId="1C307334" wp14:editId="5A96274B">
                <wp:simplePos x="0" y="0"/>
                <wp:positionH relativeFrom="margin">
                  <wp:align>left</wp:align>
                </wp:positionH>
                <wp:positionV relativeFrom="paragraph">
                  <wp:posOffset>10795</wp:posOffset>
                </wp:positionV>
                <wp:extent cx="6290945" cy="3898391"/>
                <wp:effectExtent l="0" t="0" r="0" b="6985"/>
                <wp:wrapNone/>
                <wp:docPr id="53" name="Picture 53" descr="Figure 7 shows the number of domestic trips and the value of domestic spend by purpose of travel as a time series since 2014, in a side-by-side format.&#10;The three main purposes of travel are holiday, VFR, and business. Holiday is the largest category and declined by the most during the pandemic to a level lower than the history of the chart. It has then shown the most rebound in 2021. There is little/no recovery in business travel trips or spend in thi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7 shows the number of domestic trips and the value of domestic spend by purpose of travel as a time series since 2014, in a side-by-side format.&#10;The three main purposes of travel are holiday, VFR, and business. Holiday is the largest category and declined by the most during the pandemic to a level lower than the history of the chart. It has then shown the most rebound in 2021. There is little/no recovery in business travel trips or spend in this chart."/>
                        <pic:cNvPicPr>
                          <a:picLocks noChangeAspect="1" noChangeArrowheads="1"/>
                        </pic:cNvPicPr>
                      </pic:nvPicPr>
                      <pic:blipFill rotWithShape="1">
                        <a:blip r:embed="rId31">
                          <a:extLst>
                            <a:ext uri="{28A0092B-C50C-407E-A947-70E740481C1C}">
                              <a14:useLocalDpi xmlns:a14="http://schemas.microsoft.com/office/drawing/2010/main" val="0"/>
                            </a:ext>
                          </a:extLst>
                        </a:blip>
                        <a:srcRect t="7001"/>
                        <a:stretch/>
                      </pic:blipFill>
                      <pic:spPr bwMode="auto">
                        <a:xfrm>
                          <a:off x="0" y="0"/>
                          <a:ext cx="6290945" cy="38983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64334C" w14:textId="5410B77C" w:rsidR="00196B33" w:rsidRDefault="00196B33" w:rsidP="00C5799F"/>
        <w:p w14:paraId="205BF7D3" w14:textId="033F2316" w:rsidR="00196B33" w:rsidRDefault="00196B33" w:rsidP="00C5799F"/>
        <w:p w14:paraId="2831B6C5" w14:textId="163D6AC1" w:rsidR="00196B33" w:rsidRDefault="00196B33" w:rsidP="00C5799F"/>
        <w:p w14:paraId="4D3527A8" w14:textId="5E8C3C61" w:rsidR="00196B33" w:rsidRDefault="00196B33" w:rsidP="00C5799F"/>
        <w:p w14:paraId="44F54867" w14:textId="10E7783B" w:rsidR="00196B33" w:rsidRDefault="00196B33" w:rsidP="00C5799F"/>
        <w:p w14:paraId="1AFC16A0" w14:textId="53FCAB86" w:rsidR="00196B33" w:rsidRDefault="00196B33" w:rsidP="00C5799F"/>
        <w:p w14:paraId="1F4D24C0" w14:textId="6D8790E5" w:rsidR="00196B33" w:rsidRDefault="00196B33" w:rsidP="00C5799F"/>
        <w:p w14:paraId="04CE9569" w14:textId="04468622" w:rsidR="00196B33" w:rsidRDefault="00196B33" w:rsidP="00C5799F"/>
        <w:p w14:paraId="2094878B" w14:textId="7D209404" w:rsidR="00196B33" w:rsidRDefault="00196B33" w:rsidP="00C5799F"/>
        <w:p w14:paraId="28E17F97" w14:textId="6D2A6E12" w:rsidR="000D5115" w:rsidRDefault="00C94086" w:rsidP="000F5504">
          <w:pPr>
            <w:pStyle w:val="Heading4"/>
            <w:spacing w:before="600"/>
          </w:pPr>
          <w:r>
            <w:t>Capital cities and regional areas</w:t>
          </w:r>
        </w:p>
        <w:p w14:paraId="23890B10" w14:textId="6DBABA91" w:rsidR="00B01DD5" w:rsidRDefault="00C94086" w:rsidP="00C479F4">
          <w:pPr>
            <w:spacing w:before="120"/>
          </w:pPr>
          <w:r>
            <w:t>Capital cities</w:t>
          </w:r>
          <w:r w:rsidR="003C76BF">
            <w:t xml:space="preserve"> were </w:t>
          </w:r>
          <w:r>
            <w:t>hit harder than regional areas during the pandemic</w:t>
          </w:r>
          <w:r w:rsidR="00C918E3">
            <w:t>.</w:t>
          </w:r>
          <w:r w:rsidR="00C479F4">
            <w:t xml:space="preserve"> Since the start of the pandemic</w:t>
          </w:r>
          <w:r w:rsidR="006C26C6">
            <w:t xml:space="preserve">, </w:t>
          </w:r>
          <w:r w:rsidR="00CC3B38">
            <w:t xml:space="preserve">the </w:t>
          </w:r>
          <w:r w:rsidR="006C26C6">
            <w:t>cumulative loss in domestic overnight spend reached</w:t>
          </w:r>
          <w:r w:rsidR="00B01DD5">
            <w:t>:</w:t>
          </w:r>
        </w:p>
        <w:p w14:paraId="298323A6" w14:textId="08E4E018" w:rsidR="00CD38EA" w:rsidRDefault="006C26C6" w:rsidP="00B06AE0">
          <w:pPr>
            <w:pStyle w:val="BulletList"/>
          </w:pPr>
          <w:r>
            <w:t xml:space="preserve">$42 billion </w:t>
          </w:r>
          <w:r w:rsidR="00C479F4">
            <w:t>in capital cities</w:t>
          </w:r>
          <w:r>
            <w:t xml:space="preserve"> </w:t>
          </w:r>
          <w:r w:rsidR="00C94476">
            <w:t xml:space="preserve">– a </w:t>
          </w:r>
          <w:r>
            <w:t>loss</w:t>
          </w:r>
          <w:r w:rsidR="00C94476">
            <w:t xml:space="preserve"> of 58%</w:t>
          </w:r>
          <w:r w:rsidR="00F85AC0">
            <w:t xml:space="preserve"> </w:t>
          </w:r>
        </w:p>
        <w:p w14:paraId="2DE60FDF" w14:textId="77DF7552" w:rsidR="00C479F4" w:rsidRDefault="006C26C6" w:rsidP="006C26C6">
          <w:pPr>
            <w:pStyle w:val="BulletList"/>
            <w:ind w:left="1077" w:hanging="357"/>
          </w:pPr>
          <w:r>
            <w:t xml:space="preserve">$14 billion </w:t>
          </w:r>
          <w:r w:rsidR="00BC6626">
            <w:t xml:space="preserve">in regional Australia </w:t>
          </w:r>
          <w:r w:rsidR="001A523F">
            <w:t xml:space="preserve">– a </w:t>
          </w:r>
          <w:r>
            <w:t>loss</w:t>
          </w:r>
          <w:r w:rsidR="001A523F">
            <w:t xml:space="preserve"> of 1</w:t>
          </w:r>
          <w:r w:rsidR="004163D7">
            <w:t>9%</w:t>
          </w:r>
          <w:r w:rsidR="00916A15">
            <w:t>.</w:t>
          </w:r>
        </w:p>
        <w:p w14:paraId="3ABAE0B0" w14:textId="745FBBF7" w:rsidR="00EC0995" w:rsidRDefault="006C26C6" w:rsidP="006C26C6">
          <w:pPr>
            <w:spacing w:before="0"/>
          </w:pPr>
          <w:r>
            <w:t xml:space="preserve">Capital cities accounted for 74% of the total domestic overnight spend loss (Figure 8).  </w:t>
          </w:r>
        </w:p>
        <w:p w14:paraId="17BAE646" w14:textId="76527948" w:rsidR="00C02339" w:rsidRDefault="00C02339" w:rsidP="006C26C6">
          <w:pPr>
            <w:spacing w:before="0"/>
          </w:pPr>
          <w:r>
            <w:rPr>
              <w:noProof/>
            </w:rPr>
            <mc:AlternateContent>
              <mc:Choice Requires="wps">
                <w:drawing>
                  <wp:anchor distT="0" distB="0" distL="114300" distR="114300" simplePos="0" relativeHeight="251783168" behindDoc="0" locked="0" layoutInCell="1" allowOverlap="1" wp14:anchorId="5B830D31" wp14:editId="7E445EBA">
                    <wp:simplePos x="0" y="0"/>
                    <wp:positionH relativeFrom="margin">
                      <wp:align>left</wp:align>
                    </wp:positionH>
                    <wp:positionV relativeFrom="paragraph">
                      <wp:posOffset>59055</wp:posOffset>
                    </wp:positionV>
                    <wp:extent cx="6203950" cy="192024"/>
                    <wp:effectExtent l="0" t="0" r="6350" b="0"/>
                    <wp:wrapNone/>
                    <wp:docPr id="49" name="Text Box 49"/>
                    <wp:cNvGraphicFramePr/>
                    <a:graphic xmlns:a="http://schemas.openxmlformats.org/drawingml/2006/main">
                      <a:graphicData uri="http://schemas.microsoft.com/office/word/2010/wordprocessingShape">
                        <wps:wsp>
                          <wps:cNvSpPr txBox="1"/>
                          <wps:spPr>
                            <a:xfrm>
                              <a:off x="0" y="0"/>
                              <a:ext cx="6203950" cy="192024"/>
                            </a:xfrm>
                            <a:prstGeom prst="rect">
                              <a:avLst/>
                            </a:prstGeom>
                            <a:solidFill>
                              <a:prstClr val="white"/>
                            </a:solidFill>
                            <a:ln>
                              <a:noFill/>
                            </a:ln>
                          </wps:spPr>
                          <wps:txbx>
                            <w:txbxContent>
                              <w:p w14:paraId="557F43AD" w14:textId="3E4FF503" w:rsidR="00B146B2" w:rsidRPr="00996476" w:rsidRDefault="00B146B2" w:rsidP="00996476">
                                <w:pPr>
                                  <w:pStyle w:val="Caption"/>
                                  <w:rPr>
                                    <w:i w:val="0"/>
                                    <w:iCs w:val="0"/>
                                    <w:noProof/>
                                    <w:color w:val="000000" w:themeColor="text1"/>
                                    <w:sz w:val="24"/>
                                    <w:szCs w:val="24"/>
                                  </w:rPr>
                                </w:pPr>
                                <w:r w:rsidRPr="00996476">
                                  <w:rPr>
                                    <w:i w:val="0"/>
                                    <w:iCs w:val="0"/>
                                    <w:sz w:val="22"/>
                                    <w:szCs w:val="22"/>
                                  </w:rPr>
                                  <w:t xml:space="preserve">Figure </w:t>
                                </w:r>
                                <w:r w:rsidRPr="00996476">
                                  <w:rPr>
                                    <w:i w:val="0"/>
                                    <w:iCs w:val="0"/>
                                    <w:sz w:val="22"/>
                                    <w:szCs w:val="22"/>
                                  </w:rPr>
                                  <w:fldChar w:fldCharType="begin"/>
                                </w:r>
                                <w:r w:rsidRPr="00996476">
                                  <w:rPr>
                                    <w:i w:val="0"/>
                                    <w:iCs w:val="0"/>
                                    <w:sz w:val="22"/>
                                    <w:szCs w:val="22"/>
                                  </w:rPr>
                                  <w:instrText xml:space="preserve"> SEQ Figure \* ARABIC </w:instrText>
                                </w:r>
                                <w:r w:rsidRPr="00996476">
                                  <w:rPr>
                                    <w:i w:val="0"/>
                                    <w:iCs w:val="0"/>
                                    <w:sz w:val="22"/>
                                    <w:szCs w:val="22"/>
                                  </w:rPr>
                                  <w:fldChar w:fldCharType="separate"/>
                                </w:r>
                                <w:r>
                                  <w:rPr>
                                    <w:i w:val="0"/>
                                    <w:iCs w:val="0"/>
                                    <w:noProof/>
                                    <w:sz w:val="22"/>
                                    <w:szCs w:val="22"/>
                                  </w:rPr>
                                  <w:t>8</w:t>
                                </w:r>
                                <w:r w:rsidRPr="00996476">
                                  <w:rPr>
                                    <w:i w:val="0"/>
                                    <w:iCs w:val="0"/>
                                    <w:sz w:val="22"/>
                                    <w:szCs w:val="22"/>
                                  </w:rPr>
                                  <w:fldChar w:fldCharType="end"/>
                                </w:r>
                                <w:r>
                                  <w:rPr>
                                    <w:i w:val="0"/>
                                    <w:iCs w:val="0"/>
                                    <w:sz w:val="22"/>
                                    <w:szCs w:val="22"/>
                                  </w:rPr>
                                  <w:t>. Cumulative loss in domestic overnight spend, March 2020 to December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830D31" id="Text Box 49" o:spid="_x0000_s1033" type="#_x0000_t202" style="position:absolute;margin-left:0;margin-top:4.65pt;width:488.5pt;height:15.1pt;z-index:2517831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" stroked="f">
                    <v:textbox inset="0,0,0,0">
                      <w:txbxContent>
                        <w:p w14:paraId="557F43AD" w14:textId="3E4FF503" w:rsidR="00B146B2" w:rsidRPr="00996476" w:rsidRDefault="00B146B2" w:rsidP="00996476">
                          <w:pPr>
                            <w:pStyle w:val="Caption"/>
                            <w:rPr>
                              <w:i w:val="0"/>
                              <w:iCs w:val="0"/>
                              <w:noProof/>
                              <w:color w:val="000000" w:themeColor="text1"/>
                              <w:sz w:val="24"/>
                              <w:szCs w:val="24"/>
                            </w:rPr>
                          </w:pPr>
                          <w:r w:rsidRPr="00996476">
                            <w:rPr>
                              <w:i w:val="0"/>
                              <w:iCs w:val="0"/>
                              <w:sz w:val="22"/>
                              <w:szCs w:val="22"/>
                            </w:rPr>
                            <w:t xml:space="preserve">Figure </w:t>
                          </w:r>
                          <w:r w:rsidRPr="00996476">
                            <w:rPr>
                              <w:i w:val="0"/>
                              <w:iCs w:val="0"/>
                              <w:sz w:val="22"/>
                              <w:szCs w:val="22"/>
                            </w:rPr>
                            <w:fldChar w:fldCharType="begin"/>
                          </w:r>
                          <w:r w:rsidRPr="00996476">
                            <w:rPr>
                              <w:i w:val="0"/>
                              <w:iCs w:val="0"/>
                              <w:sz w:val="22"/>
                              <w:szCs w:val="22"/>
                            </w:rPr>
                            <w:instrText xml:space="preserve"> SEQ Figure \* ARABIC </w:instrText>
                          </w:r>
                          <w:r w:rsidRPr="00996476">
                            <w:rPr>
                              <w:i w:val="0"/>
                              <w:iCs w:val="0"/>
                              <w:sz w:val="22"/>
                              <w:szCs w:val="22"/>
                            </w:rPr>
                            <w:fldChar w:fldCharType="separate"/>
                          </w:r>
                          <w:r>
                            <w:rPr>
                              <w:i w:val="0"/>
                              <w:iCs w:val="0"/>
                              <w:noProof/>
                              <w:sz w:val="22"/>
                              <w:szCs w:val="22"/>
                            </w:rPr>
                            <w:t>8</w:t>
                          </w:r>
                          <w:r w:rsidRPr="00996476">
                            <w:rPr>
                              <w:i w:val="0"/>
                              <w:iCs w:val="0"/>
                              <w:sz w:val="22"/>
                              <w:szCs w:val="22"/>
                            </w:rPr>
                            <w:fldChar w:fldCharType="end"/>
                          </w:r>
                          <w:r>
                            <w:rPr>
                              <w:i w:val="0"/>
                              <w:iCs w:val="0"/>
                              <w:sz w:val="22"/>
                              <w:szCs w:val="22"/>
                            </w:rPr>
                            <w:t>. Cumulative loss in domestic overnight spend, March 2020 to December 2021</w:t>
                          </w:r>
                        </w:p>
                      </w:txbxContent>
                    </v:textbox>
                    <w10:wrap anchorx="margin"/>
                  </v:shape>
                </w:pict>
              </mc:Fallback>
            </mc:AlternateContent>
          </w:r>
        </w:p>
        <w:p w14:paraId="20C55B22" w14:textId="36F7DE42" w:rsidR="00D569AC" w:rsidRDefault="000F5504" w:rsidP="006C26C6">
          <w:pPr>
            <w:pStyle w:val="BulletList"/>
            <w:numPr>
              <w:ilvl w:val="0"/>
              <w:numId w:val="0"/>
            </w:numPr>
            <w:ind w:left="1080" w:hanging="360"/>
          </w:pPr>
          <w:r>
            <w:rPr>
              <w:noProof/>
            </w:rPr>
            <w:drawing>
              <wp:anchor distT="0" distB="0" distL="114300" distR="114300" simplePos="0" relativeHeight="251784192" behindDoc="0" locked="0" layoutInCell="1" allowOverlap="1" wp14:anchorId="0F16C845" wp14:editId="5E1649BD">
                <wp:simplePos x="0" y="0"/>
                <wp:positionH relativeFrom="margin">
                  <wp:align>left</wp:align>
                </wp:positionH>
                <wp:positionV relativeFrom="paragraph">
                  <wp:posOffset>80645</wp:posOffset>
                </wp:positionV>
                <wp:extent cx="6096000" cy="3238500"/>
                <wp:effectExtent l="0" t="0" r="0" b="0"/>
                <wp:wrapNone/>
                <wp:docPr id="7" name="Chart 7" descr="Figure 8 shows two stacked areas summing the cumulative loss to domestic overnight spend according to whether travel was to capital cities or regional Australia. &#10;The chart shows the period from March 2020 to December 2021.&#10;The chart shows that capital city losses outweigh losses to regional Australia.">
                  <a:extLst xmlns:a="http://schemas.openxmlformats.org/drawingml/2006/main">
                    <a:ext uri="{FF2B5EF4-FFF2-40B4-BE49-F238E27FC236}">
                      <a16:creationId xmlns:a16="http://schemas.microsoft.com/office/drawing/2014/main" id="{B461C6B6-C79D-4C1E-80E8-04E3788E5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006C26C6">
            <w:t xml:space="preserve"> </w:t>
          </w:r>
        </w:p>
        <w:p w14:paraId="69AB8A6C" w14:textId="599EAA4B" w:rsidR="000A23FE" w:rsidRDefault="000A23FE" w:rsidP="000A23FE">
          <w:pPr>
            <w:pStyle w:val="BulletList"/>
            <w:numPr>
              <w:ilvl w:val="0"/>
              <w:numId w:val="0"/>
            </w:numPr>
            <w:ind w:left="1080" w:hanging="360"/>
          </w:pPr>
        </w:p>
        <w:p w14:paraId="57609F9D" w14:textId="3B7178E3" w:rsidR="000A23FE" w:rsidRDefault="000A23FE" w:rsidP="000A23FE">
          <w:pPr>
            <w:pStyle w:val="BulletList"/>
            <w:numPr>
              <w:ilvl w:val="0"/>
              <w:numId w:val="0"/>
            </w:numPr>
            <w:ind w:left="1080" w:hanging="360"/>
          </w:pPr>
        </w:p>
        <w:p w14:paraId="7306EA74" w14:textId="1EBBE22C" w:rsidR="000A23FE" w:rsidRDefault="000A23FE" w:rsidP="000A23FE">
          <w:pPr>
            <w:pStyle w:val="BulletList"/>
            <w:numPr>
              <w:ilvl w:val="0"/>
              <w:numId w:val="0"/>
            </w:numPr>
            <w:ind w:left="1080" w:hanging="360"/>
          </w:pPr>
        </w:p>
        <w:p w14:paraId="75C039AA" w14:textId="77777777" w:rsidR="000A23FE" w:rsidRDefault="000A23FE" w:rsidP="000A23FE">
          <w:pPr>
            <w:pStyle w:val="BulletList"/>
            <w:numPr>
              <w:ilvl w:val="0"/>
              <w:numId w:val="0"/>
            </w:numPr>
            <w:ind w:left="1080" w:hanging="360"/>
          </w:pPr>
        </w:p>
        <w:p w14:paraId="6C645C64" w14:textId="45934708" w:rsidR="00C479F4" w:rsidRDefault="00C479F4" w:rsidP="00C479F4">
          <w:pPr>
            <w:rPr>
              <w:rFonts w:asciiTheme="minorHAnsi" w:hAnsiTheme="minorHAnsi"/>
              <w:color w:val="auto"/>
            </w:rPr>
          </w:pPr>
        </w:p>
        <w:p w14:paraId="61395EF0" w14:textId="77777777" w:rsidR="00C479F4" w:rsidRDefault="00C479F4" w:rsidP="00C479F4">
          <w:pPr>
            <w:rPr>
              <w:rFonts w:asciiTheme="minorHAnsi" w:hAnsiTheme="minorHAnsi"/>
              <w:color w:val="auto"/>
            </w:rPr>
          </w:pPr>
        </w:p>
        <w:p w14:paraId="70FC0BB4" w14:textId="77777777" w:rsidR="00C479F4" w:rsidRDefault="00C479F4" w:rsidP="00C479F4"/>
        <w:p w14:paraId="1059F586" w14:textId="77777777" w:rsidR="00C479F4" w:rsidRDefault="00C479F4" w:rsidP="00C479F4"/>
        <w:p w14:paraId="662CD657" w14:textId="77777777" w:rsidR="00C479F4" w:rsidRDefault="00C479F4" w:rsidP="00C479F4"/>
        <w:p w14:paraId="6127BE71" w14:textId="77777777" w:rsidR="00C479F4" w:rsidRDefault="00C479F4" w:rsidP="00C479F4"/>
        <w:p w14:paraId="4CC1D209" w14:textId="77777777" w:rsidR="00C479F4" w:rsidRDefault="00C479F4" w:rsidP="00C479F4"/>
        <w:p w14:paraId="42A38D12" w14:textId="77777777" w:rsidR="00C479F4" w:rsidRDefault="00C479F4" w:rsidP="00C479F4"/>
        <w:p w14:paraId="77269289" w14:textId="34AAA2F5" w:rsidR="001C6E97" w:rsidRDefault="00115E62" w:rsidP="00C918E3">
          <w:r>
            <w:t>D</w:t>
          </w:r>
          <w:r w:rsidR="00426093">
            <w:t>ifference</w:t>
          </w:r>
          <w:r>
            <w:t>s</w:t>
          </w:r>
          <w:r w:rsidR="00426093">
            <w:t xml:space="preserve"> </w:t>
          </w:r>
          <w:r w:rsidR="00B7207B">
            <w:t xml:space="preserve">between regional and capital city performance </w:t>
          </w:r>
          <w:r>
            <w:t xml:space="preserve">were </w:t>
          </w:r>
          <w:r w:rsidR="001C6E97">
            <w:t>due to:</w:t>
          </w:r>
        </w:p>
        <w:p w14:paraId="75D052C3" w14:textId="7147B315" w:rsidR="002D29C2" w:rsidRPr="008B5295" w:rsidRDefault="002D29C2" w:rsidP="00B51BCB">
          <w:pPr>
            <w:pStyle w:val="ListParagraph"/>
            <w:numPr>
              <w:ilvl w:val="0"/>
              <w:numId w:val="15"/>
            </w:numPr>
            <w:rPr>
              <w:rFonts w:asciiTheme="minorHAnsi" w:hAnsiTheme="minorHAnsi"/>
              <w:lang w:eastAsia="zh-CN"/>
            </w:rPr>
          </w:pPr>
          <w:r>
            <w:t>m</w:t>
          </w:r>
          <w:r w:rsidRPr="008B5295">
            <w:rPr>
              <w:rFonts w:asciiTheme="minorHAnsi" w:hAnsiTheme="minorHAnsi"/>
              <w:lang w:eastAsia="zh-CN"/>
            </w:rPr>
            <w:t>o</w:t>
          </w:r>
          <w:r w:rsidR="00C94086" w:rsidRPr="008B5295">
            <w:rPr>
              <w:rFonts w:asciiTheme="minorHAnsi" w:hAnsiTheme="minorHAnsi"/>
              <w:lang w:eastAsia="zh-CN"/>
            </w:rPr>
            <w:t>re frequent lockdowns</w:t>
          </w:r>
          <w:r w:rsidR="00C918E3" w:rsidRPr="008B5295">
            <w:rPr>
              <w:rFonts w:asciiTheme="minorHAnsi" w:hAnsiTheme="minorHAnsi"/>
              <w:lang w:eastAsia="zh-CN"/>
            </w:rPr>
            <w:t xml:space="preserve"> in capital cities</w:t>
          </w:r>
        </w:p>
        <w:p w14:paraId="60834749" w14:textId="394DBF7C" w:rsidR="00CF3579" w:rsidRPr="00D569AC" w:rsidRDefault="002D29C2" w:rsidP="00B51BCB">
          <w:pPr>
            <w:pStyle w:val="ListParagraph"/>
            <w:numPr>
              <w:ilvl w:val="0"/>
              <w:numId w:val="15"/>
            </w:numPr>
            <w:rPr>
              <w:rFonts w:asciiTheme="minorHAnsi" w:hAnsiTheme="minorHAnsi"/>
              <w:lang w:eastAsia="zh-CN"/>
            </w:rPr>
          </w:pPr>
          <w:r w:rsidRPr="00D569AC">
            <w:rPr>
              <w:rFonts w:asciiTheme="minorHAnsi" w:hAnsiTheme="minorHAnsi"/>
              <w:lang w:eastAsia="zh-CN"/>
            </w:rPr>
            <w:t>greater reliance o</w:t>
          </w:r>
          <w:r w:rsidR="006C26C6">
            <w:rPr>
              <w:rFonts w:asciiTheme="minorHAnsi" w:hAnsiTheme="minorHAnsi"/>
              <w:lang w:eastAsia="zh-CN"/>
            </w:rPr>
            <w:t>f capital cities o</w:t>
          </w:r>
          <w:r w:rsidRPr="00D569AC">
            <w:rPr>
              <w:rFonts w:asciiTheme="minorHAnsi" w:hAnsiTheme="minorHAnsi"/>
              <w:lang w:eastAsia="zh-CN"/>
            </w:rPr>
            <w:t xml:space="preserve">n </w:t>
          </w:r>
          <w:r w:rsidR="00F321B9" w:rsidRPr="00D569AC">
            <w:rPr>
              <w:rFonts w:asciiTheme="minorHAnsi" w:hAnsiTheme="minorHAnsi"/>
              <w:lang w:eastAsia="zh-CN"/>
            </w:rPr>
            <w:t>visitors arriving by air and/or for business (</w:t>
          </w:r>
          <w:r w:rsidR="00F321B9">
            <w:t xml:space="preserve">both of which </w:t>
          </w:r>
          <w:r w:rsidR="00CF3579">
            <w:t xml:space="preserve">were severely disrupted </w:t>
          </w:r>
          <w:r w:rsidR="00F321B9" w:rsidRPr="00D569AC">
            <w:rPr>
              <w:rFonts w:asciiTheme="minorHAnsi" w:hAnsiTheme="minorHAnsi"/>
              <w:lang w:eastAsia="zh-CN"/>
            </w:rPr>
            <w:t>during the pandemic)</w:t>
          </w:r>
        </w:p>
        <w:p w14:paraId="0FCB6B24" w14:textId="0B64F67D" w:rsidR="003E2E7E" w:rsidRDefault="00F321B9" w:rsidP="00B51BCB">
          <w:pPr>
            <w:pStyle w:val="ListParagraph"/>
            <w:numPr>
              <w:ilvl w:val="0"/>
              <w:numId w:val="15"/>
            </w:numPr>
            <w:rPr>
              <w:rFonts w:asciiTheme="minorHAnsi" w:hAnsiTheme="minorHAnsi"/>
              <w:lang w:eastAsia="zh-CN"/>
            </w:rPr>
          </w:pPr>
          <w:r w:rsidRPr="00D569AC">
            <w:rPr>
              <w:rFonts w:asciiTheme="minorHAnsi" w:hAnsiTheme="minorHAnsi"/>
              <w:lang w:eastAsia="zh-CN"/>
            </w:rPr>
            <w:t>large city populations opting for holidays outside of cities</w:t>
          </w:r>
        </w:p>
        <w:p w14:paraId="48F6DBDD" w14:textId="45A9DB73" w:rsidR="00E7190F" w:rsidRPr="00D569AC" w:rsidRDefault="00CA0FBE" w:rsidP="00B51BCB">
          <w:pPr>
            <w:pStyle w:val="ListParagraph"/>
            <w:numPr>
              <w:ilvl w:val="0"/>
              <w:numId w:val="15"/>
            </w:numPr>
            <w:rPr>
              <w:rFonts w:asciiTheme="minorHAnsi" w:hAnsiTheme="minorHAnsi"/>
              <w:lang w:eastAsia="zh-CN"/>
            </w:rPr>
          </w:pPr>
          <w:r>
            <w:rPr>
              <w:rFonts w:asciiTheme="minorHAnsi" w:hAnsiTheme="minorHAnsi"/>
              <w:lang w:eastAsia="zh-CN"/>
            </w:rPr>
            <w:t>e</w:t>
          </w:r>
          <w:r w:rsidR="00440AC8">
            <w:rPr>
              <w:rFonts w:asciiTheme="minorHAnsi" w:hAnsiTheme="minorHAnsi"/>
              <w:lang w:eastAsia="zh-CN"/>
            </w:rPr>
            <w:t xml:space="preserve">asier access to </w:t>
          </w:r>
          <w:r w:rsidR="00D569AC">
            <w:rPr>
              <w:rFonts w:asciiTheme="minorHAnsi" w:hAnsiTheme="minorHAnsi"/>
              <w:lang w:eastAsia="zh-CN"/>
            </w:rPr>
            <w:t>socially distanced</w:t>
          </w:r>
          <w:r>
            <w:rPr>
              <w:rFonts w:asciiTheme="minorHAnsi" w:hAnsiTheme="minorHAnsi"/>
              <w:lang w:eastAsia="zh-CN"/>
            </w:rPr>
            <w:t xml:space="preserve"> </w:t>
          </w:r>
          <w:r w:rsidR="006C26C6">
            <w:rPr>
              <w:rFonts w:asciiTheme="minorHAnsi" w:hAnsiTheme="minorHAnsi"/>
              <w:lang w:eastAsia="zh-CN"/>
            </w:rPr>
            <w:t xml:space="preserve">and </w:t>
          </w:r>
          <w:r>
            <w:rPr>
              <w:rFonts w:asciiTheme="minorHAnsi" w:hAnsiTheme="minorHAnsi"/>
              <w:lang w:eastAsia="zh-CN"/>
            </w:rPr>
            <w:t>outdoor activities in the regions</w:t>
          </w:r>
          <w:r w:rsidR="00F321B9" w:rsidRPr="00D569AC">
            <w:rPr>
              <w:rFonts w:asciiTheme="minorHAnsi" w:hAnsiTheme="minorHAnsi"/>
              <w:lang w:eastAsia="zh-CN"/>
            </w:rPr>
            <w:t xml:space="preserve">. </w:t>
          </w:r>
        </w:p>
        <w:p w14:paraId="534276B8" w14:textId="2F0E8E2C" w:rsidR="00A72DBC" w:rsidRDefault="00595A9C" w:rsidP="0041140C">
          <w:pPr>
            <w:spacing w:before="120"/>
          </w:pPr>
          <w:r>
            <w:t>The lack of international visitors has also had a larger impact on capital cities than on the regions, as international travellers typically spend more time in capital cities</w:t>
          </w:r>
          <w:r w:rsidR="004E065B">
            <w:t xml:space="preserve"> and account for a greater share of their visitor economies</w:t>
          </w:r>
          <w:r>
            <w:t xml:space="preserve">. </w:t>
          </w:r>
        </w:p>
        <w:p w14:paraId="167E9E95" w14:textId="783DA133" w:rsidR="00527265" w:rsidRDefault="0054781E" w:rsidP="0041140C">
          <w:pPr>
            <w:spacing w:before="120"/>
          </w:pPr>
          <w:r>
            <w:t>As a result</w:t>
          </w:r>
          <w:r w:rsidR="00CC79A0">
            <w:t xml:space="preserve"> of all these factors, </w:t>
          </w:r>
          <w:r>
            <w:t xml:space="preserve">regional </w:t>
          </w:r>
          <w:r w:rsidR="00527265">
            <w:t>tourism grew from:</w:t>
          </w:r>
        </w:p>
        <w:p w14:paraId="723DBD57" w14:textId="2757E19E" w:rsidR="00713401" w:rsidRDefault="00713401" w:rsidP="00B06AE0">
          <w:pPr>
            <w:pStyle w:val="BulletList"/>
          </w:pPr>
          <w:r>
            <w:t>a</w:t>
          </w:r>
          <w:r w:rsidR="00527265">
            <w:t xml:space="preserve"> </w:t>
          </w:r>
          <w:r>
            <w:t>5</w:t>
          </w:r>
          <w:r w:rsidR="0084635A">
            <w:t>3</w:t>
          </w:r>
          <w:r>
            <w:t xml:space="preserve">% share of </w:t>
          </w:r>
          <w:r w:rsidRPr="006C26C6">
            <w:rPr>
              <w:i/>
              <w:iCs/>
            </w:rPr>
            <w:t>domestic</w:t>
          </w:r>
          <w:r>
            <w:t xml:space="preserve"> spend in 2019 to a 63% share of domestic spend in 2021</w:t>
          </w:r>
        </w:p>
        <w:p w14:paraId="31B2E8D7" w14:textId="4A95ADD1" w:rsidR="00A72DBC" w:rsidRDefault="00713401" w:rsidP="00B06AE0">
          <w:pPr>
            <w:pStyle w:val="BulletList"/>
          </w:pPr>
          <w:r>
            <w:t>a</w:t>
          </w:r>
          <w:r w:rsidR="0054781E">
            <w:t xml:space="preserve"> </w:t>
          </w:r>
          <w:r w:rsidR="008F77F6">
            <w:t>4</w:t>
          </w:r>
          <w:r w:rsidR="00B60A2A">
            <w:t>4</w:t>
          </w:r>
          <w:r w:rsidR="0054781E">
            <w:t xml:space="preserve">% </w:t>
          </w:r>
          <w:r w:rsidR="004D4785">
            <w:t xml:space="preserve">share of </w:t>
          </w:r>
          <w:r w:rsidR="006C26C6" w:rsidRPr="006C26C6">
            <w:rPr>
              <w:i/>
              <w:iCs/>
            </w:rPr>
            <w:t>total</w:t>
          </w:r>
          <w:r w:rsidR="004D4785">
            <w:t xml:space="preserve"> tourism spend </w:t>
          </w:r>
          <w:r w:rsidR="0054781E">
            <w:t xml:space="preserve">in 2019 to </w:t>
          </w:r>
          <w:r w:rsidR="004D4785">
            <w:t xml:space="preserve">a </w:t>
          </w:r>
          <w:r w:rsidR="006948C3">
            <w:t>63</w:t>
          </w:r>
          <w:r w:rsidR="0054781E">
            <w:t xml:space="preserve">% </w:t>
          </w:r>
          <w:r w:rsidR="004D4785">
            <w:t xml:space="preserve">share of </w:t>
          </w:r>
          <w:r w:rsidR="006C26C6">
            <w:t>total</w:t>
          </w:r>
          <w:r w:rsidR="004D4785">
            <w:t xml:space="preserve"> spend </w:t>
          </w:r>
          <w:r w:rsidR="0054781E">
            <w:t xml:space="preserve">in 2021. </w:t>
          </w:r>
        </w:p>
        <w:p w14:paraId="56B30F79" w14:textId="4D07421C" w:rsidR="00B146B2" w:rsidRDefault="00B146B2" w:rsidP="00B146B2">
          <w:pPr>
            <w:pStyle w:val="Heading4"/>
          </w:pPr>
          <w:bookmarkStart w:id="41" w:name="_Hlk100050073"/>
          <w:bookmarkEnd w:id="38"/>
          <w:r>
            <w:t>Transport</w:t>
          </w:r>
        </w:p>
        <w:p w14:paraId="28EC1CD4" w14:textId="46982AE9" w:rsidR="003D15A3" w:rsidRDefault="0021479E" w:rsidP="0021479E">
          <w:r>
            <w:t>The</w:t>
          </w:r>
          <w:r w:rsidR="003D15A3">
            <w:t xml:space="preserve"> share of domestic overnight trips using aircraft </w:t>
          </w:r>
          <w:r w:rsidR="005340D1">
            <w:t xml:space="preserve">as a means of transport </w:t>
          </w:r>
          <w:r w:rsidR="003D15A3">
            <w:t xml:space="preserve">dropped by half in the first year of the pandemic. </w:t>
          </w:r>
          <w:r w:rsidR="00BF05B9">
            <w:t>This was due to</w:t>
          </w:r>
          <w:r w:rsidR="003D15A3">
            <w:t>:</w:t>
          </w:r>
        </w:p>
        <w:p w14:paraId="66AE1CBF" w14:textId="35B8C448" w:rsidR="006C26C6" w:rsidRDefault="006C26C6" w:rsidP="006C26C6">
          <w:pPr>
            <w:pStyle w:val="BulletList"/>
          </w:pPr>
          <w:r>
            <w:t>restrictions on travelling further due to interstate border closures</w:t>
          </w:r>
          <w:r w:rsidR="0067677F">
            <w:t xml:space="preserve"> and</w:t>
          </w:r>
          <w:r>
            <w:t xml:space="preserve"> public health guidance to limit non-essential travel and to avoid travelling far from home</w:t>
          </w:r>
        </w:p>
        <w:p w14:paraId="086E681E" w14:textId="0ECB2C92" w:rsidR="003D15A3" w:rsidRDefault="005340D1" w:rsidP="003D15A3">
          <w:pPr>
            <w:pStyle w:val="BulletList"/>
          </w:pPr>
          <w:r>
            <w:t>fewer flights being available and a higher rate of flight cancellations</w:t>
          </w:r>
        </w:p>
        <w:p w14:paraId="68F9976D" w14:textId="2C2396D2" w:rsidR="003D15A3" w:rsidRDefault="003D15A3" w:rsidP="003D15A3">
          <w:pPr>
            <w:pStyle w:val="BulletList"/>
          </w:pPr>
          <w:r>
            <w:t xml:space="preserve">health concerns regarding shared transport and enclosed spaces </w:t>
          </w:r>
        </w:p>
        <w:p w14:paraId="4A718C08" w14:textId="770826F3" w:rsidR="003D15A3" w:rsidRDefault="005340D1" w:rsidP="003D15A3">
          <w:pPr>
            <w:pStyle w:val="BulletList"/>
          </w:pPr>
          <w:r>
            <w:t>a longer planning time required for booking flights compared with driving your own car</w:t>
          </w:r>
          <w:r w:rsidR="005A5198">
            <w:t>.</w:t>
          </w:r>
        </w:p>
        <w:p w14:paraId="702304B4" w14:textId="648A65C3" w:rsidR="003D15A3" w:rsidRDefault="003D15A3" w:rsidP="0021479E">
          <w:r>
            <w:t>As these issues bec</w:t>
          </w:r>
          <w:r w:rsidR="005A5198">
            <w:t>a</w:t>
          </w:r>
          <w:r>
            <w:t xml:space="preserve">me less </w:t>
          </w:r>
          <w:r w:rsidR="005A5198">
            <w:t>prominent</w:t>
          </w:r>
          <w:r>
            <w:t xml:space="preserve">, travel </w:t>
          </w:r>
          <w:r w:rsidR="005A5198">
            <w:t xml:space="preserve">involving </w:t>
          </w:r>
          <w:r>
            <w:t>aircraft increased in 2021</w:t>
          </w:r>
          <w:r w:rsidR="005A5198">
            <w:t xml:space="preserve"> (by 35%)</w:t>
          </w:r>
          <w:r>
            <w:t xml:space="preserve"> </w:t>
          </w:r>
          <w:r w:rsidR="00674454">
            <w:t>though it</w:t>
          </w:r>
          <w:r>
            <w:t xml:space="preserve"> remain</w:t>
          </w:r>
          <w:r w:rsidR="00674454">
            <w:t>ed</w:t>
          </w:r>
          <w:r>
            <w:t xml:space="preserve"> </w:t>
          </w:r>
          <w:r w:rsidR="005A5198">
            <w:t>at less than half the</w:t>
          </w:r>
          <w:r>
            <w:t xml:space="preserve"> pre-pandemic level (</w:t>
          </w:r>
          <w:r w:rsidR="005A5198">
            <w:t xml:space="preserve">57% below 2019; </w:t>
          </w:r>
          <w:r w:rsidR="005340D1">
            <w:t>Figure 9</w:t>
          </w:r>
          <w:r>
            <w:t>).</w:t>
          </w:r>
          <w:r w:rsidR="005A5198">
            <w:t xml:space="preserve"> </w:t>
          </w:r>
          <w:r w:rsidR="0007723D">
            <w:t>In contrast, t</w:t>
          </w:r>
          <w:r w:rsidR="005A5198">
            <w:t>he number of self-drive trips increased by 11% in 2021 to be 20% below the pre-pandemic level.</w:t>
          </w:r>
        </w:p>
        <w:p w14:paraId="7112B5E5" w14:textId="09471077" w:rsidR="003D15A3" w:rsidRDefault="00595A9C" w:rsidP="0021479E">
          <w:r>
            <w:t xml:space="preserve">Again, the overall impact on aviation is larger when </w:t>
          </w:r>
          <w:r w:rsidR="00D6114B">
            <w:t>the loss of international travellers is</w:t>
          </w:r>
          <w:r w:rsidR="00F24504">
            <w:t xml:space="preserve"> </w:t>
          </w:r>
          <w:r w:rsidR="004D626E">
            <w:t>incorporate</w:t>
          </w:r>
          <w:r w:rsidR="00D6114B">
            <w:t>d</w:t>
          </w:r>
          <w:r>
            <w:t xml:space="preserve">, </w:t>
          </w:r>
          <w:r w:rsidR="00D6114B">
            <w:t>since international travellers</w:t>
          </w:r>
          <w:r>
            <w:t xml:space="preserve"> typically rely more heavily on air travel.</w:t>
          </w:r>
        </w:p>
        <w:p w14:paraId="064F490D" w14:textId="40BD572B" w:rsidR="007D2DA4" w:rsidRDefault="007D2DA4" w:rsidP="0021479E">
          <w:r>
            <w:rPr>
              <w:noProof/>
            </w:rPr>
            <mc:AlternateContent>
              <mc:Choice Requires="wps">
                <w:drawing>
                  <wp:anchor distT="0" distB="0" distL="114300" distR="114300" simplePos="0" relativeHeight="251786240" behindDoc="0" locked="0" layoutInCell="1" allowOverlap="1" wp14:anchorId="2EA12DFE" wp14:editId="6FD27A52">
                    <wp:simplePos x="0" y="0"/>
                    <wp:positionH relativeFrom="margin">
                      <wp:align>right</wp:align>
                    </wp:positionH>
                    <wp:positionV relativeFrom="paragraph">
                      <wp:posOffset>127000</wp:posOffset>
                    </wp:positionV>
                    <wp:extent cx="6318250" cy="383540"/>
                    <wp:effectExtent l="0" t="0" r="6350" b="0"/>
                    <wp:wrapNone/>
                    <wp:docPr id="18" name="Text Box 18"/>
                    <wp:cNvGraphicFramePr/>
                    <a:graphic xmlns:a="http://schemas.openxmlformats.org/drawingml/2006/main">
                      <a:graphicData uri="http://schemas.microsoft.com/office/word/2010/wordprocessingShape">
                        <wps:wsp>
                          <wps:cNvSpPr txBox="1"/>
                          <wps:spPr>
                            <a:xfrm>
                              <a:off x="0" y="0"/>
                              <a:ext cx="6318250" cy="383540"/>
                            </a:xfrm>
                            <a:prstGeom prst="rect">
                              <a:avLst/>
                            </a:prstGeom>
                            <a:solidFill>
                              <a:prstClr val="white"/>
                            </a:solidFill>
                            <a:ln>
                              <a:noFill/>
                            </a:ln>
                          </wps:spPr>
                          <wps:txbx>
                            <w:txbxContent>
                              <w:p w14:paraId="1FD6FC7D" w14:textId="33335C38" w:rsidR="00B146B2" w:rsidRPr="005340D1" w:rsidRDefault="00B146B2" w:rsidP="005340D1">
                                <w:pPr>
                                  <w:pStyle w:val="Caption"/>
                                  <w:rPr>
                                    <w:i w:val="0"/>
                                    <w:iCs w:val="0"/>
                                    <w:noProof/>
                                    <w:color w:val="000000" w:themeColor="text1"/>
                                    <w:sz w:val="24"/>
                                    <w:szCs w:val="24"/>
                                  </w:rPr>
                                </w:pPr>
                                <w:r w:rsidRPr="005340D1">
                                  <w:rPr>
                                    <w:i w:val="0"/>
                                    <w:iCs w:val="0"/>
                                    <w:sz w:val="22"/>
                                    <w:szCs w:val="22"/>
                                  </w:rPr>
                                  <w:t xml:space="preserve">Figure </w:t>
                                </w:r>
                                <w:r w:rsidRPr="005340D1">
                                  <w:rPr>
                                    <w:i w:val="0"/>
                                    <w:iCs w:val="0"/>
                                    <w:sz w:val="22"/>
                                    <w:szCs w:val="22"/>
                                  </w:rPr>
                                  <w:fldChar w:fldCharType="begin"/>
                                </w:r>
                                <w:r w:rsidRPr="005340D1">
                                  <w:rPr>
                                    <w:i w:val="0"/>
                                    <w:iCs w:val="0"/>
                                    <w:sz w:val="22"/>
                                    <w:szCs w:val="22"/>
                                  </w:rPr>
                                  <w:instrText xml:space="preserve"> SEQ Figure \* ARABIC </w:instrText>
                                </w:r>
                                <w:r w:rsidRPr="005340D1">
                                  <w:rPr>
                                    <w:i w:val="0"/>
                                    <w:iCs w:val="0"/>
                                    <w:sz w:val="22"/>
                                    <w:szCs w:val="22"/>
                                  </w:rPr>
                                  <w:fldChar w:fldCharType="separate"/>
                                </w:r>
                                <w:r>
                                  <w:rPr>
                                    <w:i w:val="0"/>
                                    <w:iCs w:val="0"/>
                                    <w:noProof/>
                                    <w:sz w:val="22"/>
                                    <w:szCs w:val="22"/>
                                  </w:rPr>
                                  <w:t>9</w:t>
                                </w:r>
                                <w:r w:rsidRPr="005340D1">
                                  <w:rPr>
                                    <w:i w:val="0"/>
                                    <w:iCs w:val="0"/>
                                    <w:sz w:val="22"/>
                                    <w:szCs w:val="22"/>
                                  </w:rPr>
                                  <w:fldChar w:fldCharType="end"/>
                                </w:r>
                                <w:r>
                                  <w:rPr>
                                    <w:i w:val="0"/>
                                    <w:iCs w:val="0"/>
                                    <w:sz w:val="22"/>
                                    <w:szCs w:val="22"/>
                                  </w:rPr>
                                  <w:t>. Domestic overnight trips by mode of transport, year ending March quarter 2014 to December quarter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12DFE" id="Text Box 18" o:spid="_x0000_s1034" type="#_x0000_t202" style="position:absolute;margin-left:446.3pt;margin-top:10pt;width:497.5pt;height:30.2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" stroked="f">
                    <v:textbox inset="0,0,0,0">
                      <w:txbxContent>
                        <w:p w14:paraId="1FD6FC7D" w14:textId="33335C38" w:rsidR="00B146B2" w:rsidRPr="005340D1" w:rsidRDefault="00B146B2" w:rsidP="005340D1">
                          <w:pPr>
                            <w:pStyle w:val="Caption"/>
                            <w:rPr>
                              <w:i w:val="0"/>
                              <w:iCs w:val="0"/>
                              <w:noProof/>
                              <w:color w:val="000000" w:themeColor="text1"/>
                              <w:sz w:val="24"/>
                              <w:szCs w:val="24"/>
                            </w:rPr>
                          </w:pPr>
                          <w:r w:rsidRPr="005340D1">
                            <w:rPr>
                              <w:i w:val="0"/>
                              <w:iCs w:val="0"/>
                              <w:sz w:val="22"/>
                              <w:szCs w:val="22"/>
                            </w:rPr>
                            <w:t xml:space="preserve">Figure </w:t>
                          </w:r>
                          <w:r w:rsidRPr="005340D1">
                            <w:rPr>
                              <w:i w:val="0"/>
                              <w:iCs w:val="0"/>
                              <w:sz w:val="22"/>
                              <w:szCs w:val="22"/>
                            </w:rPr>
                            <w:fldChar w:fldCharType="begin"/>
                          </w:r>
                          <w:r w:rsidRPr="005340D1">
                            <w:rPr>
                              <w:i w:val="0"/>
                              <w:iCs w:val="0"/>
                              <w:sz w:val="22"/>
                              <w:szCs w:val="22"/>
                            </w:rPr>
                            <w:instrText xml:space="preserve"> SEQ Figure \* ARABIC </w:instrText>
                          </w:r>
                          <w:r w:rsidRPr="005340D1">
                            <w:rPr>
                              <w:i w:val="0"/>
                              <w:iCs w:val="0"/>
                              <w:sz w:val="22"/>
                              <w:szCs w:val="22"/>
                            </w:rPr>
                            <w:fldChar w:fldCharType="separate"/>
                          </w:r>
                          <w:r>
                            <w:rPr>
                              <w:i w:val="0"/>
                              <w:iCs w:val="0"/>
                              <w:noProof/>
                              <w:sz w:val="22"/>
                              <w:szCs w:val="22"/>
                            </w:rPr>
                            <w:t>9</w:t>
                          </w:r>
                          <w:r w:rsidRPr="005340D1">
                            <w:rPr>
                              <w:i w:val="0"/>
                              <w:iCs w:val="0"/>
                              <w:sz w:val="22"/>
                              <w:szCs w:val="22"/>
                            </w:rPr>
                            <w:fldChar w:fldCharType="end"/>
                          </w:r>
                          <w:r>
                            <w:rPr>
                              <w:i w:val="0"/>
                              <w:iCs w:val="0"/>
                              <w:sz w:val="22"/>
                              <w:szCs w:val="22"/>
                            </w:rPr>
                            <w:t>. Domestic overnight trips by mode of transport, year ending March quarter 2014 to December quarter 2021</w:t>
                          </w:r>
                        </w:p>
                      </w:txbxContent>
                    </v:textbox>
                    <w10:wrap anchorx="margin"/>
                  </v:shape>
                </w:pict>
              </mc:Fallback>
            </mc:AlternateContent>
          </w:r>
        </w:p>
        <w:p w14:paraId="745222D6" w14:textId="5104D071" w:rsidR="003D15A3" w:rsidRDefault="003D15A3" w:rsidP="0021479E">
          <w:pPr>
            <w:rPr>
              <w:noProof/>
            </w:rPr>
          </w:pPr>
        </w:p>
        <w:p w14:paraId="66393813" w14:textId="3A91BC9F" w:rsidR="003D15A3" w:rsidRDefault="005340D1" w:rsidP="0021479E">
          <w:pPr>
            <w:rPr>
              <w:noProof/>
            </w:rPr>
          </w:pPr>
          <w:r>
            <w:rPr>
              <w:noProof/>
            </w:rPr>
            <w:drawing>
              <wp:anchor distT="0" distB="0" distL="114300" distR="114300" simplePos="0" relativeHeight="251706368" behindDoc="0" locked="0" layoutInCell="1" allowOverlap="1" wp14:anchorId="5E9F1B8D" wp14:editId="1EDC2B4F">
                <wp:simplePos x="0" y="0"/>
                <wp:positionH relativeFrom="margin">
                  <wp:align>left</wp:align>
                </wp:positionH>
                <wp:positionV relativeFrom="paragraph">
                  <wp:posOffset>10795</wp:posOffset>
                </wp:positionV>
                <wp:extent cx="5972175" cy="3381375"/>
                <wp:effectExtent l="0" t="0" r="0" b="9525"/>
                <wp:wrapNone/>
                <wp:docPr id="30" name="Chart 30" descr="Figure 9 shows a times series between March quarter 2014 and December quarter 2021 for the number of domestic overnight trips taken according to whether the trip used an aircraft or was a self-drive trip.&#10;The number of self-drive trips is much higher than aircraft trips, and declined by much less over the pandemic period. The number of aircraft trips fell significantly and does not show much recovery on the graph.">
                  <a:extLst xmlns:a="http://schemas.openxmlformats.org/drawingml/2006/main">
                    <a:ext uri="{FF2B5EF4-FFF2-40B4-BE49-F238E27FC236}">
                      <a16:creationId xmlns:a16="http://schemas.microsoft.com/office/drawing/2014/main" id="{621BF631-755E-4B68-BA54-204CAEAC38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0F70D6F9" w14:textId="76F3BFAF" w:rsidR="003D15A3" w:rsidRDefault="003D15A3" w:rsidP="0021479E">
          <w:pPr>
            <w:rPr>
              <w:noProof/>
            </w:rPr>
          </w:pPr>
        </w:p>
        <w:p w14:paraId="000D8361" w14:textId="2175DBCF" w:rsidR="003D15A3" w:rsidRDefault="003D15A3" w:rsidP="0021479E">
          <w:pPr>
            <w:rPr>
              <w:noProof/>
            </w:rPr>
          </w:pPr>
        </w:p>
        <w:p w14:paraId="417E5730" w14:textId="526E0A5A" w:rsidR="003D15A3" w:rsidRDefault="003D15A3" w:rsidP="0021479E">
          <w:pPr>
            <w:rPr>
              <w:noProof/>
            </w:rPr>
          </w:pPr>
        </w:p>
        <w:p w14:paraId="6290063F" w14:textId="4173885B" w:rsidR="00D569AC" w:rsidRDefault="00D569AC" w:rsidP="0021479E">
          <w:pPr>
            <w:rPr>
              <w:noProof/>
            </w:rPr>
          </w:pPr>
        </w:p>
        <w:p w14:paraId="0842E01B" w14:textId="77777777" w:rsidR="005340D1" w:rsidRDefault="005340D1" w:rsidP="0021479E">
          <w:pPr>
            <w:rPr>
              <w:noProof/>
            </w:rPr>
          </w:pPr>
        </w:p>
        <w:p w14:paraId="72E8876E" w14:textId="2207E202" w:rsidR="00D569AC" w:rsidRDefault="00D569AC" w:rsidP="0021479E">
          <w:pPr>
            <w:rPr>
              <w:noProof/>
            </w:rPr>
          </w:pPr>
        </w:p>
        <w:p w14:paraId="2376285E" w14:textId="77777777" w:rsidR="00D6114B" w:rsidRDefault="00D6114B" w:rsidP="0021479E">
          <w:pPr>
            <w:rPr>
              <w:noProof/>
            </w:rPr>
          </w:pPr>
        </w:p>
        <w:p w14:paraId="6F774A25" w14:textId="77777777" w:rsidR="00D569AC" w:rsidRDefault="00D569AC" w:rsidP="0021479E">
          <w:pPr>
            <w:rPr>
              <w:noProof/>
            </w:rPr>
          </w:pPr>
        </w:p>
        <w:p w14:paraId="04F3548A" w14:textId="05FEEC0E" w:rsidR="003D15A3" w:rsidRDefault="003D15A3" w:rsidP="0021479E">
          <w:pPr>
            <w:rPr>
              <w:noProof/>
            </w:rPr>
          </w:pPr>
        </w:p>
        <w:p w14:paraId="1FB29839" w14:textId="218692F5" w:rsidR="003D15A3" w:rsidRDefault="003D15A3" w:rsidP="0021479E">
          <w:pPr>
            <w:rPr>
              <w:noProof/>
            </w:rPr>
          </w:pPr>
        </w:p>
        <w:p w14:paraId="42C08916" w14:textId="6F57E0CA" w:rsidR="003D15A3" w:rsidRDefault="003D15A3" w:rsidP="0021479E">
          <w:pPr>
            <w:rPr>
              <w:noProof/>
            </w:rPr>
          </w:pPr>
        </w:p>
        <w:p w14:paraId="0D501E79" w14:textId="77777777" w:rsidR="00B146B2" w:rsidRDefault="00B146B2">
          <w:pPr>
            <w:spacing w:before="0" w:after="160" w:line="259" w:lineRule="auto"/>
            <w:rPr>
              <w:bCs/>
              <w:sz w:val="26"/>
              <w:szCs w:val="24"/>
            </w:rPr>
          </w:pPr>
          <w:r>
            <w:br w:type="page"/>
          </w:r>
        </w:p>
        <w:p w14:paraId="48A4223B" w14:textId="0E69D654" w:rsidR="00B146B2" w:rsidRDefault="00B146B2" w:rsidP="00B146B2">
          <w:pPr>
            <w:pStyle w:val="Heading4"/>
          </w:pPr>
          <w:r>
            <w:t>Accommodation</w:t>
          </w:r>
        </w:p>
        <w:p w14:paraId="03755779" w14:textId="183CC5A8" w:rsidR="00E12B56" w:rsidRDefault="00E12B56" w:rsidP="0021479E">
          <w:r>
            <w:t xml:space="preserve">In the first year of the pandemic, domestic </w:t>
          </w:r>
          <w:r w:rsidR="000F693F">
            <w:t xml:space="preserve">stays </w:t>
          </w:r>
          <w:r w:rsidR="006642F8">
            <w:t xml:space="preserve">in </w:t>
          </w:r>
          <w:r w:rsidR="00E34FDD">
            <w:t xml:space="preserve">commercial accommodation such as </w:t>
          </w:r>
          <w:r>
            <w:t xml:space="preserve">hotels/motels/hostels declined by more than half, the greatest decline of all </w:t>
          </w:r>
          <w:r w:rsidR="00440E22">
            <w:t xml:space="preserve">major </w:t>
          </w:r>
          <w:r>
            <w:t xml:space="preserve">accommodation </w:t>
          </w:r>
          <w:r w:rsidR="001831E0">
            <w:t>categories</w:t>
          </w:r>
          <w:r>
            <w:t>.</w:t>
          </w:r>
          <w:r w:rsidR="005340D1">
            <w:t xml:space="preserve"> While</w:t>
          </w:r>
          <w:r>
            <w:t xml:space="preserve"> </w:t>
          </w:r>
          <w:r w:rsidR="005340D1">
            <w:t>t</w:t>
          </w:r>
          <w:r>
            <w:t xml:space="preserve">he number of </w:t>
          </w:r>
          <w:r w:rsidR="004D4014">
            <w:t>stays</w:t>
          </w:r>
          <w:r>
            <w:t xml:space="preserve"> then increased in 2021</w:t>
          </w:r>
          <w:r w:rsidR="005340D1">
            <w:t>,</w:t>
          </w:r>
          <w:r>
            <w:t xml:space="preserve"> </w:t>
          </w:r>
          <w:r w:rsidR="005340D1">
            <w:t xml:space="preserve">it </w:t>
          </w:r>
          <w:r>
            <w:t>remain</w:t>
          </w:r>
          <w:r w:rsidR="00674454">
            <w:t>ed</w:t>
          </w:r>
          <w:r>
            <w:t xml:space="preserve"> 42% lower than in 2019 (</w:t>
          </w:r>
          <w:r w:rsidR="005340D1">
            <w:t>Figure 10</w:t>
          </w:r>
          <w:r>
            <w:t xml:space="preserve">). In contrast, </w:t>
          </w:r>
          <w:r w:rsidR="00714380">
            <w:t>stay</w:t>
          </w:r>
          <w:r w:rsidR="000F693F">
            <w:t>s</w:t>
          </w:r>
          <w:r w:rsidR="00714380">
            <w:t xml:space="preserve"> in </w:t>
          </w:r>
          <w:r w:rsidR="005340D1">
            <w:t>rented houses</w:t>
          </w:r>
          <w:r w:rsidR="004F6582">
            <w:t>, caravan or campgrounds</w:t>
          </w:r>
          <w:r w:rsidR="005340D1">
            <w:t>,</w:t>
          </w:r>
          <w:r w:rsidR="004F6582">
            <w:t xml:space="preserve"> </w:t>
          </w:r>
          <w:r w:rsidR="005340D1">
            <w:t>and</w:t>
          </w:r>
          <w:r>
            <w:t xml:space="preserve"> ‘other private accommodation’ </w:t>
          </w:r>
          <w:r w:rsidR="005340D1">
            <w:t>(</w:t>
          </w:r>
          <w:r>
            <w:t>which includes private homestay options such as Airbnb</w:t>
          </w:r>
          <w:r w:rsidR="005340D1">
            <w:t>)</w:t>
          </w:r>
          <w:r>
            <w:t xml:space="preserve"> declined by less initially, then </w:t>
          </w:r>
          <w:r w:rsidR="004F6582">
            <w:t xml:space="preserve">almost fully </w:t>
          </w:r>
          <w:r>
            <w:t xml:space="preserve">rebounded </w:t>
          </w:r>
          <w:r w:rsidR="004F6582">
            <w:t xml:space="preserve">in 2021. </w:t>
          </w:r>
        </w:p>
        <w:p w14:paraId="12A97339" w14:textId="67F5C9B8" w:rsidR="00B2748A" w:rsidRDefault="008C1EDB" w:rsidP="0021479E">
          <w:r>
            <w:rPr>
              <w:noProof/>
            </w:rPr>
            <mc:AlternateContent>
              <mc:Choice Requires="wps">
                <w:drawing>
                  <wp:anchor distT="0" distB="0" distL="114300" distR="114300" simplePos="0" relativeHeight="251788288" behindDoc="0" locked="0" layoutInCell="1" allowOverlap="1" wp14:anchorId="4130A1B3" wp14:editId="1306AB2A">
                    <wp:simplePos x="0" y="0"/>
                    <wp:positionH relativeFrom="margin">
                      <wp:align>right</wp:align>
                    </wp:positionH>
                    <wp:positionV relativeFrom="paragraph">
                      <wp:posOffset>125730</wp:posOffset>
                    </wp:positionV>
                    <wp:extent cx="6331585" cy="338328"/>
                    <wp:effectExtent l="0" t="0" r="0" b="5080"/>
                    <wp:wrapNone/>
                    <wp:docPr id="22" name="Text Box 22"/>
                    <wp:cNvGraphicFramePr/>
                    <a:graphic xmlns:a="http://schemas.openxmlformats.org/drawingml/2006/main">
                      <a:graphicData uri="http://schemas.microsoft.com/office/word/2010/wordprocessingShape">
                        <wps:wsp>
                          <wps:cNvSpPr txBox="1"/>
                          <wps:spPr>
                            <a:xfrm>
                              <a:off x="0" y="0"/>
                              <a:ext cx="6331585" cy="338328"/>
                            </a:xfrm>
                            <a:prstGeom prst="rect">
                              <a:avLst/>
                            </a:prstGeom>
                            <a:solidFill>
                              <a:prstClr val="white"/>
                            </a:solidFill>
                            <a:ln>
                              <a:noFill/>
                            </a:ln>
                          </wps:spPr>
                          <wps:txbx>
                            <w:txbxContent>
                              <w:p w14:paraId="56E38367" w14:textId="14EADAB4" w:rsidR="00B146B2" w:rsidRPr="005340D1" w:rsidRDefault="00B146B2" w:rsidP="005340D1">
                                <w:pPr>
                                  <w:pStyle w:val="Caption"/>
                                  <w:rPr>
                                    <w:i w:val="0"/>
                                    <w:iCs w:val="0"/>
                                    <w:noProof/>
                                    <w:color w:val="000000" w:themeColor="text1"/>
                                    <w:sz w:val="24"/>
                                    <w:szCs w:val="24"/>
                                  </w:rPr>
                                </w:pPr>
                                <w:r w:rsidRPr="005340D1">
                                  <w:rPr>
                                    <w:i w:val="0"/>
                                    <w:iCs w:val="0"/>
                                    <w:sz w:val="22"/>
                                    <w:szCs w:val="22"/>
                                  </w:rPr>
                                  <w:t xml:space="preserve">Figure </w:t>
                                </w:r>
                                <w:r w:rsidRPr="005340D1">
                                  <w:rPr>
                                    <w:i w:val="0"/>
                                    <w:iCs w:val="0"/>
                                    <w:sz w:val="22"/>
                                    <w:szCs w:val="22"/>
                                  </w:rPr>
                                  <w:fldChar w:fldCharType="begin"/>
                                </w:r>
                                <w:r w:rsidRPr="005340D1">
                                  <w:rPr>
                                    <w:i w:val="0"/>
                                    <w:iCs w:val="0"/>
                                    <w:sz w:val="22"/>
                                    <w:szCs w:val="22"/>
                                  </w:rPr>
                                  <w:instrText xml:space="preserve"> SEQ Figure \* ARABIC </w:instrText>
                                </w:r>
                                <w:r w:rsidRPr="005340D1">
                                  <w:rPr>
                                    <w:i w:val="0"/>
                                    <w:iCs w:val="0"/>
                                    <w:sz w:val="22"/>
                                    <w:szCs w:val="22"/>
                                  </w:rPr>
                                  <w:fldChar w:fldCharType="separate"/>
                                </w:r>
                                <w:r>
                                  <w:rPr>
                                    <w:i w:val="0"/>
                                    <w:iCs w:val="0"/>
                                    <w:noProof/>
                                    <w:sz w:val="22"/>
                                    <w:szCs w:val="22"/>
                                  </w:rPr>
                                  <w:t>10</w:t>
                                </w:r>
                                <w:r w:rsidRPr="005340D1">
                                  <w:rPr>
                                    <w:i w:val="0"/>
                                    <w:iCs w:val="0"/>
                                    <w:sz w:val="22"/>
                                    <w:szCs w:val="22"/>
                                  </w:rPr>
                                  <w:fldChar w:fldCharType="end"/>
                                </w:r>
                                <w:r>
                                  <w:rPr>
                                    <w:i w:val="0"/>
                                    <w:iCs w:val="0"/>
                                    <w:sz w:val="22"/>
                                    <w:szCs w:val="22"/>
                                  </w:rPr>
                                  <w:t>. Domestic overnight trips by accommodation type, year ending March quarter 2014 to December quarter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30A1B3" id="Text Box 22" o:spid="_x0000_s1035" type="#_x0000_t202" style="position:absolute;margin-left:447.35pt;margin-top:9.9pt;width:498.55pt;height:26.65pt;z-index:2517882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" stroked="f">
                    <v:textbox inset="0,0,0,0">
                      <w:txbxContent>
                        <w:p w14:paraId="56E38367" w14:textId="14EADAB4" w:rsidR="00B146B2" w:rsidRPr="005340D1" w:rsidRDefault="00B146B2" w:rsidP="005340D1">
                          <w:pPr>
                            <w:pStyle w:val="Caption"/>
                            <w:rPr>
                              <w:i w:val="0"/>
                              <w:iCs w:val="0"/>
                              <w:noProof/>
                              <w:color w:val="000000" w:themeColor="text1"/>
                              <w:sz w:val="24"/>
                              <w:szCs w:val="24"/>
                            </w:rPr>
                          </w:pPr>
                          <w:r w:rsidRPr="005340D1">
                            <w:rPr>
                              <w:i w:val="0"/>
                              <w:iCs w:val="0"/>
                              <w:sz w:val="22"/>
                              <w:szCs w:val="22"/>
                            </w:rPr>
                            <w:t xml:space="preserve">Figure </w:t>
                          </w:r>
                          <w:r w:rsidRPr="005340D1">
                            <w:rPr>
                              <w:i w:val="0"/>
                              <w:iCs w:val="0"/>
                              <w:sz w:val="22"/>
                              <w:szCs w:val="22"/>
                            </w:rPr>
                            <w:fldChar w:fldCharType="begin"/>
                          </w:r>
                          <w:r w:rsidRPr="005340D1">
                            <w:rPr>
                              <w:i w:val="0"/>
                              <w:iCs w:val="0"/>
                              <w:sz w:val="22"/>
                              <w:szCs w:val="22"/>
                            </w:rPr>
                            <w:instrText xml:space="preserve"> SEQ Figure \* ARABIC </w:instrText>
                          </w:r>
                          <w:r w:rsidRPr="005340D1">
                            <w:rPr>
                              <w:i w:val="0"/>
                              <w:iCs w:val="0"/>
                              <w:sz w:val="22"/>
                              <w:szCs w:val="22"/>
                            </w:rPr>
                            <w:fldChar w:fldCharType="separate"/>
                          </w:r>
                          <w:r>
                            <w:rPr>
                              <w:i w:val="0"/>
                              <w:iCs w:val="0"/>
                              <w:noProof/>
                              <w:sz w:val="22"/>
                              <w:szCs w:val="22"/>
                            </w:rPr>
                            <w:t>10</w:t>
                          </w:r>
                          <w:r w:rsidRPr="005340D1">
                            <w:rPr>
                              <w:i w:val="0"/>
                              <w:iCs w:val="0"/>
                              <w:sz w:val="22"/>
                              <w:szCs w:val="22"/>
                            </w:rPr>
                            <w:fldChar w:fldCharType="end"/>
                          </w:r>
                          <w:r>
                            <w:rPr>
                              <w:i w:val="0"/>
                              <w:iCs w:val="0"/>
                              <w:sz w:val="22"/>
                              <w:szCs w:val="22"/>
                            </w:rPr>
                            <w:t>. Domestic overnight trips by accommodation type, year ending March quarter 2014 to December quarter 2021</w:t>
                          </w:r>
                        </w:p>
                      </w:txbxContent>
                    </v:textbox>
                    <w10:wrap anchorx="margin"/>
                  </v:shape>
                </w:pict>
              </mc:Fallback>
            </mc:AlternateContent>
          </w:r>
        </w:p>
        <w:p w14:paraId="556BE0DF" w14:textId="0905365B" w:rsidR="005340D1" w:rsidRDefault="005340D1" w:rsidP="0021479E"/>
        <w:p w14:paraId="3BBA6601" w14:textId="0D49EC2A" w:rsidR="00D569AC" w:rsidRDefault="00B2748A" w:rsidP="0021479E">
          <w:r>
            <w:rPr>
              <w:noProof/>
            </w:rPr>
            <w:drawing>
              <wp:anchor distT="0" distB="0" distL="114300" distR="114300" simplePos="0" relativeHeight="251716608" behindDoc="0" locked="0" layoutInCell="1" allowOverlap="1" wp14:anchorId="294CB4A9" wp14:editId="708ED86B">
                <wp:simplePos x="0" y="0"/>
                <wp:positionH relativeFrom="margin">
                  <wp:align>right</wp:align>
                </wp:positionH>
                <wp:positionV relativeFrom="paragraph">
                  <wp:posOffset>9525</wp:posOffset>
                </wp:positionV>
                <wp:extent cx="6331585" cy="3933825"/>
                <wp:effectExtent l="0" t="0" r="0" b="9525"/>
                <wp:wrapNone/>
                <wp:docPr id="32" name="Chart 32" descr="Figure 10 shows 5 time series lines for each of the following accommodation types: hotel, motel, guest house, B&amp;B, hostel; private property - own or friends/relatives; rented house; caravan or campground (commercial or non-commercial); other private property including Airbnb.&#10;The largest categories are the first two. The decline over the pandemic period is largest for the hotel, motel, guest house, B&amp;B, hostel category.&#10;The recovery in 2021 has been most evident for the caravan or campground category. &#10;The final category, other private property including Airbnb, saw the smallest decline over the pandemic period and recovered to its pre-pandemic level by the end of 2021. &#10;">
                  <a:extLst xmlns:a="http://schemas.openxmlformats.org/drawingml/2006/main">
                    <a:ext uri="{FF2B5EF4-FFF2-40B4-BE49-F238E27FC236}">
                      <a16:creationId xmlns:a16="http://schemas.microsoft.com/office/drawing/2014/main" id="{7D299A08-FD7E-47D6-A42C-C2B239E48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768A542F" w14:textId="241BBBAA" w:rsidR="00D569AC" w:rsidRDefault="00D569AC" w:rsidP="0021479E"/>
        <w:p w14:paraId="3A6AF215" w14:textId="5E6D0959" w:rsidR="004F6582" w:rsidRDefault="004F6582" w:rsidP="0021479E"/>
        <w:p w14:paraId="2E8A67DD" w14:textId="0CF47FB8" w:rsidR="004F6582" w:rsidRDefault="004F6582" w:rsidP="0021479E"/>
        <w:p w14:paraId="5EE03915" w14:textId="72555FD0" w:rsidR="004F6582" w:rsidRDefault="004F6582" w:rsidP="0021479E"/>
        <w:p w14:paraId="5EB393B9" w14:textId="309AC763" w:rsidR="004F6582" w:rsidRDefault="004F6582" w:rsidP="0021479E"/>
        <w:p w14:paraId="1A4E8E18" w14:textId="77777777" w:rsidR="004F6582" w:rsidRDefault="004F6582" w:rsidP="0021479E"/>
        <w:p w14:paraId="75F630DF" w14:textId="0F70DE52" w:rsidR="004F6582" w:rsidRDefault="004F6582" w:rsidP="0021479E"/>
        <w:p w14:paraId="780DA403" w14:textId="77777777" w:rsidR="004F6582" w:rsidRDefault="004F6582" w:rsidP="0021479E"/>
        <w:p w14:paraId="13F3F89D" w14:textId="119562A0" w:rsidR="004F6582" w:rsidRDefault="004F6582" w:rsidP="0021479E"/>
        <w:p w14:paraId="2AF54175" w14:textId="77777777" w:rsidR="004F6582" w:rsidRDefault="004F6582" w:rsidP="0021479E"/>
        <w:p w14:paraId="10082DDD" w14:textId="7D32573F" w:rsidR="004F6582" w:rsidRDefault="004F6582" w:rsidP="0021479E"/>
        <w:p w14:paraId="0F49FFA7" w14:textId="77777777" w:rsidR="00243879" w:rsidRDefault="00243879" w:rsidP="0021479E"/>
        <w:p w14:paraId="1B86C0E9" w14:textId="52F4A91A" w:rsidR="005340D1" w:rsidRDefault="0003533D" w:rsidP="005340D1">
          <w:r>
            <w:t>In more detail, a</w:t>
          </w:r>
          <w:r w:rsidR="005340D1">
            <w:t xml:space="preserve">cross </w:t>
          </w:r>
          <w:r>
            <w:t xml:space="preserve">the </w:t>
          </w:r>
          <w:r w:rsidR="005340D1">
            <w:t xml:space="preserve">different </w:t>
          </w:r>
          <w:r>
            <w:t xml:space="preserve">hotel </w:t>
          </w:r>
          <w:r w:rsidR="005340D1">
            <w:t>types, stays in backpackers and hostels as well as serviced apartments declined by the most in 2020, followed by luxury hotels/resorts (4 and 5</w:t>
          </w:r>
          <w:r w:rsidR="00673CF2">
            <w:t> </w:t>
          </w:r>
          <w:r w:rsidR="005340D1">
            <w:t>star)</w:t>
          </w:r>
          <w:r>
            <w:t>,</w:t>
          </w:r>
          <w:r w:rsidR="005340D1">
            <w:t xml:space="preserve"> </w:t>
          </w:r>
          <w:r>
            <w:t xml:space="preserve">then </w:t>
          </w:r>
          <w:r w:rsidR="005340D1">
            <w:t>standard hotels/motor inns (below 4</w:t>
          </w:r>
          <w:r w:rsidR="00505CAA">
            <w:t> </w:t>
          </w:r>
          <w:r w:rsidR="005340D1">
            <w:t xml:space="preserve">star). </w:t>
          </w:r>
          <w:r>
            <w:t xml:space="preserve">In 2021, demand increased </w:t>
          </w:r>
          <w:r w:rsidR="00505CAA">
            <w:t xml:space="preserve">for </w:t>
          </w:r>
          <w:r>
            <w:t>all accommodation types</w:t>
          </w:r>
          <w:r w:rsidR="00505CAA">
            <w:t>,</w:t>
          </w:r>
          <w:r>
            <w:t xml:space="preserve"> with standard hotels/motor inns and backpackers/hostels rebounding the most. </w:t>
          </w:r>
          <w:r w:rsidR="005340D1">
            <w:t xml:space="preserve">Declines across </w:t>
          </w:r>
          <w:r>
            <w:t xml:space="preserve">the </w:t>
          </w:r>
          <w:r w:rsidR="005340D1">
            <w:t xml:space="preserve">other </w:t>
          </w:r>
          <w:r>
            <w:t xml:space="preserve">non-hotel </w:t>
          </w:r>
          <w:r w:rsidR="005340D1">
            <w:t>accommodation types</w:t>
          </w:r>
          <w:r>
            <w:t>,</w:t>
          </w:r>
          <w:r w:rsidR="005340D1">
            <w:t xml:space="preserve"> such as rented houses and caravans</w:t>
          </w:r>
          <w:r>
            <w:t>/camping,</w:t>
          </w:r>
          <w:r w:rsidR="005340D1">
            <w:t xml:space="preserve"> were far less severe. As a result, </w:t>
          </w:r>
          <w:r>
            <w:t xml:space="preserve">at the end of December 2021, </w:t>
          </w:r>
          <w:r w:rsidR="005340D1">
            <w:t>stays in:</w:t>
          </w:r>
        </w:p>
        <w:p w14:paraId="1BA3719B" w14:textId="0B58736A" w:rsidR="005340D1" w:rsidRDefault="005340D1" w:rsidP="005340D1">
          <w:pPr>
            <w:pStyle w:val="BulletList"/>
          </w:pPr>
          <w:r>
            <w:t xml:space="preserve">serviced apartments were down </w:t>
          </w:r>
          <w:r w:rsidR="002302D9">
            <w:t xml:space="preserve">by </w:t>
          </w:r>
          <w:r>
            <w:t>55% on 2019 levels</w:t>
          </w:r>
        </w:p>
        <w:p w14:paraId="6849FB4F" w14:textId="1BD5F5BE" w:rsidR="005340D1" w:rsidRDefault="005340D1" w:rsidP="005340D1">
          <w:pPr>
            <w:pStyle w:val="BulletList"/>
          </w:pPr>
          <w:r>
            <w:t>guest house</w:t>
          </w:r>
          <w:r w:rsidR="00164F84">
            <w:t>s</w:t>
          </w:r>
          <w:r>
            <w:t xml:space="preserve"> or bed and breakfast</w:t>
          </w:r>
          <w:r w:rsidR="00164F84">
            <w:t>s</w:t>
          </w:r>
          <w:r w:rsidR="0003533D">
            <w:t xml:space="preserve"> were</w:t>
          </w:r>
          <w:r>
            <w:t xml:space="preserve"> down </w:t>
          </w:r>
          <w:r w:rsidR="002302D9">
            <w:t xml:space="preserve">by </w:t>
          </w:r>
          <w:r>
            <w:t>48%</w:t>
          </w:r>
          <w:r w:rsidR="0003533D">
            <w:t xml:space="preserve"> on 2019 levels</w:t>
          </w:r>
        </w:p>
        <w:p w14:paraId="793AE1C8" w14:textId="1C708EE7" w:rsidR="005340D1" w:rsidRDefault="005340D1" w:rsidP="005340D1">
          <w:pPr>
            <w:pStyle w:val="BulletList"/>
          </w:pPr>
          <w:r>
            <w:t>luxury hotel</w:t>
          </w:r>
          <w:r w:rsidR="00164F84">
            <w:t>s</w:t>
          </w:r>
          <w:r>
            <w:t>/resort</w:t>
          </w:r>
          <w:r w:rsidR="00164F84">
            <w:t>s</w:t>
          </w:r>
          <w:r w:rsidR="0003533D">
            <w:t xml:space="preserve"> were</w:t>
          </w:r>
          <w:r>
            <w:t xml:space="preserve"> down </w:t>
          </w:r>
          <w:r w:rsidR="002302D9">
            <w:t xml:space="preserve">by </w:t>
          </w:r>
          <w:r>
            <w:t>48%</w:t>
          </w:r>
          <w:r w:rsidR="0003533D">
            <w:t xml:space="preserve"> on 2019 levels</w:t>
          </w:r>
        </w:p>
        <w:p w14:paraId="62F4BEEC" w14:textId="60CFF6DF" w:rsidR="005340D1" w:rsidRDefault="005340D1" w:rsidP="005340D1">
          <w:pPr>
            <w:pStyle w:val="BulletList"/>
          </w:pPr>
          <w:r>
            <w:t>backpacker</w:t>
          </w:r>
          <w:r w:rsidR="00164F84">
            <w:t>s</w:t>
          </w:r>
          <w:r>
            <w:t>/hostel</w:t>
          </w:r>
          <w:r w:rsidR="00164F84">
            <w:t>s</w:t>
          </w:r>
          <w:r w:rsidR="0003533D">
            <w:t xml:space="preserve"> were</w:t>
          </w:r>
          <w:r>
            <w:t xml:space="preserve"> down</w:t>
          </w:r>
          <w:r w:rsidR="00636086" w:rsidRPr="00636086">
            <w:t xml:space="preserve"> </w:t>
          </w:r>
          <w:r w:rsidR="00636086">
            <w:t>by</w:t>
          </w:r>
          <w:r>
            <w:t xml:space="preserve"> 46%</w:t>
          </w:r>
          <w:r w:rsidR="0003533D">
            <w:t xml:space="preserve"> on 2019 levels</w:t>
          </w:r>
        </w:p>
        <w:p w14:paraId="624D5AF2" w14:textId="22D079D2" w:rsidR="005340D1" w:rsidRDefault="005340D1" w:rsidP="005340D1">
          <w:pPr>
            <w:pStyle w:val="BulletList"/>
          </w:pPr>
          <w:r>
            <w:t>standard hotels/motor inns</w:t>
          </w:r>
          <w:r w:rsidR="0003533D">
            <w:t xml:space="preserve"> were</w:t>
          </w:r>
          <w:r>
            <w:t xml:space="preserve"> down </w:t>
          </w:r>
          <w:r w:rsidR="00636086">
            <w:t xml:space="preserve">by </w:t>
          </w:r>
          <w:r>
            <w:t>34%</w:t>
          </w:r>
          <w:r w:rsidR="0003533D">
            <w:t xml:space="preserve"> on 2019 levels</w:t>
          </w:r>
          <w:r>
            <w:t xml:space="preserve"> </w:t>
          </w:r>
        </w:p>
        <w:p w14:paraId="4CA6CF61" w14:textId="7D50AB1F" w:rsidR="005340D1" w:rsidRDefault="005340D1" w:rsidP="005340D1">
          <w:pPr>
            <w:pStyle w:val="BulletList"/>
          </w:pPr>
          <w:r>
            <w:t>rented houses</w:t>
          </w:r>
          <w:r w:rsidR="0003533D">
            <w:t xml:space="preserve"> were</w:t>
          </w:r>
          <w:r>
            <w:t xml:space="preserve"> down </w:t>
          </w:r>
          <w:r w:rsidR="00636086">
            <w:t xml:space="preserve">by </w:t>
          </w:r>
          <w:r>
            <w:t xml:space="preserve">17% </w:t>
          </w:r>
          <w:r w:rsidR="0003533D">
            <w:t>on 2019 levels</w:t>
          </w:r>
        </w:p>
        <w:p w14:paraId="366E916F" w14:textId="07A6DA04" w:rsidR="005340D1" w:rsidRDefault="005340D1" w:rsidP="005340D1">
          <w:pPr>
            <w:pStyle w:val="BulletList"/>
          </w:pPr>
          <w:r>
            <w:t>caravan</w:t>
          </w:r>
          <w:r w:rsidR="00164F84">
            <w:t>s</w:t>
          </w:r>
          <w:r>
            <w:t>/campgrounds</w:t>
          </w:r>
          <w:r w:rsidR="0003533D">
            <w:t xml:space="preserve"> were</w:t>
          </w:r>
          <w:r>
            <w:t xml:space="preserve"> down </w:t>
          </w:r>
          <w:r w:rsidR="00636086">
            <w:t xml:space="preserve">by </w:t>
          </w:r>
          <w:r>
            <w:t>10%</w:t>
          </w:r>
          <w:r w:rsidR="0003533D">
            <w:t xml:space="preserve"> on 2019 levels</w:t>
          </w:r>
        </w:p>
        <w:p w14:paraId="4ACE16F5" w14:textId="0F081B72" w:rsidR="005340D1" w:rsidRDefault="005340D1" w:rsidP="005340D1">
          <w:pPr>
            <w:pStyle w:val="BulletList"/>
          </w:pPr>
          <w:r>
            <w:t>other private propert</w:t>
          </w:r>
          <w:r w:rsidR="005E59F9">
            <w:t>ies</w:t>
          </w:r>
          <w:r>
            <w:t xml:space="preserve"> (including Airbnb) </w:t>
          </w:r>
          <w:r w:rsidR="0003533D">
            <w:t xml:space="preserve">were </w:t>
          </w:r>
          <w:r>
            <w:t xml:space="preserve">down </w:t>
          </w:r>
          <w:r w:rsidR="00636086">
            <w:t xml:space="preserve">by </w:t>
          </w:r>
          <w:r>
            <w:t>just 1.9%</w:t>
          </w:r>
          <w:r w:rsidR="0003533D">
            <w:t xml:space="preserve"> on 2019 levels</w:t>
          </w:r>
          <w:r>
            <w:t>.</w:t>
          </w:r>
        </w:p>
        <w:p w14:paraId="6F60F89A" w14:textId="4347A32A" w:rsidR="00251825" w:rsidRDefault="00DD263A" w:rsidP="0021479E">
          <w:r>
            <w:t>Within these, s</w:t>
          </w:r>
          <w:r w:rsidR="00F479ED">
            <w:t xml:space="preserve">ome </w:t>
          </w:r>
          <w:r>
            <w:t xml:space="preserve">specific travel reasons and </w:t>
          </w:r>
          <w:r w:rsidR="000414B5">
            <w:t xml:space="preserve">accommodation types </w:t>
          </w:r>
          <w:r>
            <w:t>increased</w:t>
          </w:r>
          <w:r w:rsidR="00403114">
            <w:t xml:space="preserve"> </w:t>
          </w:r>
          <w:r w:rsidR="000414B5">
            <w:t xml:space="preserve">in popularity </w:t>
          </w:r>
          <w:r w:rsidR="00403114">
            <w:t>over the course of the pandemic</w:t>
          </w:r>
          <w:r>
            <w:t>. For example</w:t>
          </w:r>
          <w:r w:rsidR="00251825">
            <w:t>:</w:t>
          </w:r>
        </w:p>
        <w:p w14:paraId="1325D98B" w14:textId="77777777" w:rsidR="00DD263A" w:rsidRPr="009F324C" w:rsidRDefault="00DD263A" w:rsidP="00DD263A">
          <w:pPr>
            <w:pStyle w:val="BulletList"/>
            <w:rPr>
              <w:rStyle w:val="Emphasis"/>
              <w:i w:val="0"/>
              <w:iCs w:val="0"/>
            </w:rPr>
          </w:pPr>
          <w:r>
            <w:rPr>
              <w:rStyle w:val="Emphasis"/>
              <w:i w:val="0"/>
              <w:iCs w:val="0"/>
            </w:rPr>
            <w:t>o</w:t>
          </w:r>
          <w:r w:rsidRPr="009F324C">
            <w:rPr>
              <w:rStyle w:val="Emphasis"/>
              <w:i w:val="0"/>
              <w:iCs w:val="0"/>
            </w:rPr>
            <w:t>vernight business trips to regional Australia using the traveller’s ‘own property’ as the accommodation type increased sharply in 2020 and at the end of 2021 w</w:t>
          </w:r>
          <w:r>
            <w:rPr>
              <w:rStyle w:val="Emphasis"/>
              <w:i w:val="0"/>
              <w:iCs w:val="0"/>
            </w:rPr>
            <w:t xml:space="preserve">ere </w:t>
          </w:r>
          <w:r w:rsidRPr="009F324C">
            <w:rPr>
              <w:rStyle w:val="Emphasis"/>
              <w:i w:val="0"/>
              <w:iCs w:val="0"/>
            </w:rPr>
            <w:t xml:space="preserve">24% higher than </w:t>
          </w:r>
          <w:r>
            <w:rPr>
              <w:rStyle w:val="Emphasis"/>
              <w:i w:val="0"/>
              <w:iCs w:val="0"/>
            </w:rPr>
            <w:t xml:space="preserve">the </w:t>
          </w:r>
          <w:r w:rsidRPr="009F324C">
            <w:rPr>
              <w:rStyle w:val="Emphasis"/>
              <w:i w:val="0"/>
              <w:iCs w:val="0"/>
            </w:rPr>
            <w:t>pre-pandemic</w:t>
          </w:r>
          <w:r>
            <w:rPr>
              <w:rStyle w:val="Emphasis"/>
              <w:i w:val="0"/>
              <w:iCs w:val="0"/>
            </w:rPr>
            <w:t xml:space="preserve"> level</w:t>
          </w:r>
          <w:r w:rsidRPr="009F324C">
            <w:rPr>
              <w:rStyle w:val="Emphasis"/>
              <w:i w:val="0"/>
              <w:iCs w:val="0"/>
            </w:rPr>
            <w:t xml:space="preserve">. </w:t>
          </w:r>
        </w:p>
        <w:p w14:paraId="11A03BAD" w14:textId="3C75ECF0" w:rsidR="009F324C" w:rsidRDefault="00DD263A" w:rsidP="00B06AE0">
          <w:pPr>
            <w:pStyle w:val="BulletList"/>
          </w:pPr>
          <w:r>
            <w:t xml:space="preserve">The number of overnight trips by </w:t>
          </w:r>
          <w:r w:rsidR="009E7F7E">
            <w:t>holiday</w:t>
          </w:r>
          <w:r>
            <w:t>-</w:t>
          </w:r>
          <w:r w:rsidR="009E7F7E">
            <w:t>makers</w:t>
          </w:r>
          <w:r w:rsidR="007E21C4">
            <w:t xml:space="preserve"> </w:t>
          </w:r>
          <w:r>
            <w:t>using</w:t>
          </w:r>
          <w:r w:rsidR="007E21C4">
            <w:t xml:space="preserve"> private home accommodation</w:t>
          </w:r>
          <w:r>
            <w:t xml:space="preserve"> was higher at the end of 2021 than it was prior to the pandemic. Of note, spend by holiday-makers using other private properties (including Airbnb) </w:t>
          </w:r>
          <w:r w:rsidR="00251825">
            <w:t>in</w:t>
          </w:r>
          <w:r w:rsidR="009E7F7E">
            <w:t>creased by 77% in 2021 to be 2</w:t>
          </w:r>
          <w:r w:rsidR="00606B64">
            <w:t>6</w:t>
          </w:r>
          <w:r w:rsidR="009E7F7E">
            <w:t xml:space="preserve">% higher than </w:t>
          </w:r>
          <w:r w:rsidR="00BF0337">
            <w:t xml:space="preserve">the </w:t>
          </w:r>
          <w:r w:rsidR="009E7F7E">
            <w:t>pre-pandemic</w:t>
          </w:r>
          <w:r w:rsidR="007510DB">
            <w:t xml:space="preserve"> level</w:t>
          </w:r>
          <w:r w:rsidR="009E7F7E">
            <w:t xml:space="preserve">. </w:t>
          </w:r>
          <w:r w:rsidR="00936644">
            <w:t xml:space="preserve">The increase </w:t>
          </w:r>
          <w:r w:rsidR="00F321B9">
            <w:t>wa</w:t>
          </w:r>
          <w:r w:rsidR="00936644">
            <w:t>s even larger for l</w:t>
          </w:r>
          <w:r w:rsidR="00BB540D">
            <w:t xml:space="preserve">ong stays </w:t>
          </w:r>
          <w:r w:rsidR="00936644">
            <w:t>(31 or more nights)</w:t>
          </w:r>
          <w:r>
            <w:t xml:space="preserve"> within this category</w:t>
          </w:r>
          <w:r w:rsidR="00BB540D">
            <w:t>.</w:t>
          </w:r>
        </w:p>
        <w:p w14:paraId="130F8011" w14:textId="55ADC626" w:rsidR="00121D3C" w:rsidRDefault="00121D3C" w:rsidP="00121D3C">
          <w:pPr>
            <w:rPr>
              <w:rStyle w:val="Emphasis"/>
              <w:i w:val="0"/>
              <w:iCs w:val="0"/>
            </w:rPr>
          </w:pPr>
          <w:r>
            <w:rPr>
              <w:rStyle w:val="Emphasis"/>
              <w:i w:val="0"/>
              <w:iCs w:val="0"/>
            </w:rPr>
            <w:t xml:space="preserve">Long stays also increased in popularity over the pandemic period. Domestic overnight expenditure on stays 15-30 nights was 14% higher at the end of 2021 compared with December 2019. The increase was slightly larger for stays in capital cities (23%) than in regional Australia (12%). </w:t>
          </w:r>
        </w:p>
        <w:p w14:paraId="06977082" w14:textId="684EE2CA" w:rsidR="00B146B2" w:rsidRDefault="00B146B2" w:rsidP="00B146B2">
          <w:pPr>
            <w:pStyle w:val="Heading4"/>
            <w:rPr>
              <w:rStyle w:val="Emphasis"/>
              <w:i w:val="0"/>
              <w:iCs w:val="0"/>
            </w:rPr>
          </w:pPr>
          <w:r>
            <w:rPr>
              <w:rStyle w:val="Emphasis"/>
              <w:i w:val="0"/>
              <w:iCs w:val="0"/>
            </w:rPr>
            <w:t>Activities</w:t>
          </w:r>
        </w:p>
        <w:p w14:paraId="79731052" w14:textId="57013A3F" w:rsidR="002E19C3" w:rsidRDefault="000D1108" w:rsidP="002E19C3">
          <w:pPr>
            <w:rPr>
              <w:rFonts w:asciiTheme="minorHAnsi" w:hAnsiTheme="minorHAnsi"/>
              <w:lang w:eastAsia="zh-CN"/>
            </w:rPr>
          </w:pPr>
          <w:r>
            <w:t xml:space="preserve">In addition to changing where and how </w:t>
          </w:r>
          <w:r w:rsidR="0003533D">
            <w:t>people</w:t>
          </w:r>
          <w:r>
            <w:t xml:space="preserve"> travel, the pandemic has also </w:t>
          </w:r>
          <w:r w:rsidR="00351099">
            <w:t xml:space="preserve">seen a shift towards more </w:t>
          </w:r>
          <w:r w:rsidR="00C918E3">
            <w:t>outdoor and socially</w:t>
          </w:r>
          <w:r w:rsidR="00BB0643">
            <w:t xml:space="preserve"> </w:t>
          </w:r>
          <w:r w:rsidR="00C918E3">
            <w:t>distanced activities</w:t>
          </w:r>
          <w:r w:rsidR="00CA7541">
            <w:t xml:space="preserve"> by Australians</w:t>
          </w:r>
          <w:r w:rsidR="00351099">
            <w:t xml:space="preserve">. </w:t>
          </w:r>
          <w:r w:rsidR="002803F4">
            <w:t>For example</w:t>
          </w:r>
          <w:r w:rsidR="00183942">
            <w:t xml:space="preserve">, participation in the following activities </w:t>
          </w:r>
          <w:r w:rsidR="0029554D">
            <w:t xml:space="preserve">in 2021 was </w:t>
          </w:r>
          <w:r w:rsidR="002E19C3">
            <w:t xml:space="preserve">above </w:t>
          </w:r>
          <w:r w:rsidR="009622DD">
            <w:t>2019</w:t>
          </w:r>
          <w:r w:rsidR="002E19C3">
            <w:t xml:space="preserve"> levels:</w:t>
          </w:r>
        </w:p>
        <w:p w14:paraId="0869E413" w14:textId="65246BC9" w:rsidR="002803F4" w:rsidRPr="007C6B3E" w:rsidRDefault="00B06AE0" w:rsidP="00B06AE0">
          <w:pPr>
            <w:pStyle w:val="BulletList"/>
          </w:pPr>
          <w:r>
            <w:rPr>
              <w:lang w:eastAsia="zh-CN"/>
            </w:rPr>
            <w:t>s</w:t>
          </w:r>
          <w:r w:rsidR="002803F4" w:rsidRPr="00D569AC">
            <w:rPr>
              <w:lang w:eastAsia="zh-CN"/>
            </w:rPr>
            <w:t>norkelling</w:t>
          </w:r>
          <w:r w:rsidR="0029554D">
            <w:rPr>
              <w:lang w:eastAsia="zh-CN"/>
            </w:rPr>
            <w:t>,</w:t>
          </w:r>
          <w:r w:rsidR="002803F4" w:rsidRPr="00D569AC">
            <w:rPr>
              <w:lang w:eastAsia="zh-CN"/>
            </w:rPr>
            <w:t xml:space="preserve"> up </w:t>
          </w:r>
          <w:r w:rsidR="009622DD">
            <w:rPr>
              <w:lang w:eastAsia="zh-CN"/>
            </w:rPr>
            <w:t xml:space="preserve">by </w:t>
          </w:r>
          <w:r w:rsidR="002803F4" w:rsidRPr="00D569AC">
            <w:rPr>
              <w:lang w:eastAsia="zh-CN"/>
            </w:rPr>
            <w:t xml:space="preserve">17% </w:t>
          </w:r>
        </w:p>
        <w:p w14:paraId="24F4B8A8" w14:textId="562C528B" w:rsidR="002803F4" w:rsidRPr="00D569AC" w:rsidRDefault="002803F4" w:rsidP="00B06AE0">
          <w:pPr>
            <w:pStyle w:val="BulletList"/>
          </w:pPr>
          <w:r w:rsidRPr="00183942">
            <w:rPr>
              <w:lang w:eastAsia="zh-CN"/>
            </w:rPr>
            <w:t xml:space="preserve">birdwatching, up </w:t>
          </w:r>
          <w:r w:rsidR="009622DD">
            <w:rPr>
              <w:lang w:eastAsia="zh-CN"/>
            </w:rPr>
            <w:t xml:space="preserve">by </w:t>
          </w:r>
          <w:r w:rsidRPr="00183942">
            <w:rPr>
              <w:lang w:eastAsia="zh-CN"/>
            </w:rPr>
            <w:t>5%</w:t>
          </w:r>
        </w:p>
        <w:p w14:paraId="13302873" w14:textId="38115007" w:rsidR="00095FA5" w:rsidRDefault="002803F4" w:rsidP="00B06AE0">
          <w:pPr>
            <w:pStyle w:val="BulletList"/>
          </w:pPr>
          <w:r w:rsidRPr="00183942">
            <w:rPr>
              <w:lang w:eastAsia="zh-CN"/>
            </w:rPr>
            <w:t xml:space="preserve">bushwalking, up </w:t>
          </w:r>
          <w:r w:rsidR="009622DD">
            <w:rPr>
              <w:lang w:eastAsia="zh-CN"/>
            </w:rPr>
            <w:t xml:space="preserve">by </w:t>
          </w:r>
          <w:r w:rsidRPr="00183942">
            <w:rPr>
              <w:lang w:eastAsia="zh-CN"/>
            </w:rPr>
            <w:t>3%</w:t>
          </w:r>
          <w:r w:rsidR="00C918E3">
            <w:t xml:space="preserve">. </w:t>
          </w:r>
        </w:p>
        <w:p w14:paraId="27A5D1BC" w14:textId="11764037" w:rsidR="00E2018C" w:rsidDel="00E2018C" w:rsidRDefault="0003533D" w:rsidP="00E2018C">
          <w:r>
            <w:t>C</w:t>
          </w:r>
          <w:r w:rsidR="00943F8C">
            <w:t>onverse</w:t>
          </w:r>
          <w:r>
            <w:t>ly,</w:t>
          </w:r>
          <w:r w:rsidR="00943F8C">
            <w:t xml:space="preserve"> either by choice or </w:t>
          </w:r>
          <w:r w:rsidR="00CA36FA">
            <w:t xml:space="preserve">necessity, </w:t>
          </w:r>
          <w:r w:rsidR="00010414">
            <w:t xml:space="preserve">Australians participated in fewer </w:t>
          </w:r>
          <w:r w:rsidR="00344F80">
            <w:t xml:space="preserve">activities </w:t>
          </w:r>
          <w:r w:rsidR="00010414">
            <w:t xml:space="preserve">involving </w:t>
          </w:r>
          <w:r w:rsidR="002F43F6">
            <w:t>large crowds or indoor venues</w:t>
          </w:r>
          <w:r w:rsidR="00CA36FA">
            <w:t xml:space="preserve"> in 2021</w:t>
          </w:r>
          <w:r w:rsidR="0007723D">
            <w:t xml:space="preserve"> compared with pre-pandemic</w:t>
          </w:r>
          <w:r w:rsidR="0067384C">
            <w:t xml:space="preserve"> levels</w:t>
          </w:r>
          <w:r w:rsidR="00E2018C">
            <w:t>. Example</w:t>
          </w:r>
          <w:r w:rsidR="00344F80">
            <w:t>s</w:t>
          </w:r>
          <w:r w:rsidR="00E2018C">
            <w:t xml:space="preserve"> include</w:t>
          </w:r>
          <w:r w:rsidR="003524A6">
            <w:t>:</w:t>
          </w:r>
        </w:p>
        <w:p w14:paraId="6C0C9E3E" w14:textId="14345204" w:rsidR="00397122" w:rsidRPr="00344F80" w:rsidRDefault="00B06AE0" w:rsidP="00B06AE0">
          <w:pPr>
            <w:pStyle w:val="BulletList"/>
          </w:pPr>
          <w:r>
            <w:rPr>
              <w:lang w:eastAsia="zh-CN"/>
            </w:rPr>
            <w:t>a</w:t>
          </w:r>
          <w:r w:rsidR="00C918E3" w:rsidRPr="00344F80">
            <w:rPr>
              <w:lang w:eastAsia="zh-CN"/>
            </w:rPr>
            <w:t>ttending festivals</w:t>
          </w:r>
          <w:r w:rsidR="004036FB">
            <w:rPr>
              <w:lang w:eastAsia="zh-CN"/>
            </w:rPr>
            <w:t>/fairs or cultural events</w:t>
          </w:r>
          <w:r w:rsidR="00A97DFD">
            <w:rPr>
              <w:lang w:eastAsia="zh-CN"/>
            </w:rPr>
            <w:t xml:space="preserve">, </w:t>
          </w:r>
          <w:r w:rsidR="00CA36FA">
            <w:rPr>
              <w:lang w:eastAsia="zh-CN"/>
            </w:rPr>
            <w:t>down</w:t>
          </w:r>
          <w:r w:rsidR="00397122">
            <w:rPr>
              <w:lang w:eastAsia="zh-CN"/>
            </w:rPr>
            <w:t xml:space="preserve"> </w:t>
          </w:r>
          <w:r w:rsidR="00267E43">
            <w:rPr>
              <w:lang w:eastAsia="zh-CN"/>
            </w:rPr>
            <w:t xml:space="preserve">by </w:t>
          </w:r>
          <w:r w:rsidR="00C918E3" w:rsidRPr="00344F80">
            <w:rPr>
              <w:lang w:eastAsia="zh-CN"/>
            </w:rPr>
            <w:t>65%</w:t>
          </w:r>
          <w:r w:rsidR="00A97DFD">
            <w:rPr>
              <w:lang w:eastAsia="zh-CN"/>
            </w:rPr>
            <w:t xml:space="preserve"> </w:t>
          </w:r>
          <w:r w:rsidR="00397122">
            <w:rPr>
              <w:lang w:eastAsia="zh-CN"/>
            </w:rPr>
            <w:t>on 2019</w:t>
          </w:r>
        </w:p>
        <w:p w14:paraId="646295EA" w14:textId="48CE6C8B" w:rsidR="007B5385" w:rsidRPr="00344F80" w:rsidRDefault="00CC3B38" w:rsidP="00B06AE0">
          <w:pPr>
            <w:pStyle w:val="BulletList"/>
          </w:pPr>
          <w:r>
            <w:rPr>
              <w:lang w:eastAsia="zh-CN"/>
            </w:rPr>
            <w:t xml:space="preserve">going to </w:t>
          </w:r>
          <w:r w:rsidR="00991756">
            <w:rPr>
              <w:lang w:eastAsia="zh-CN"/>
            </w:rPr>
            <w:t>c</w:t>
          </w:r>
          <w:r w:rsidR="00C918E3" w:rsidRPr="00344F80">
            <w:rPr>
              <w:lang w:eastAsia="zh-CN"/>
            </w:rPr>
            <w:t>inemas</w:t>
          </w:r>
          <w:r w:rsidR="007B5385">
            <w:rPr>
              <w:lang w:eastAsia="zh-CN"/>
            </w:rPr>
            <w:t xml:space="preserve">, </w:t>
          </w:r>
          <w:r w:rsidR="00C918E3" w:rsidRPr="00344F80">
            <w:rPr>
              <w:lang w:eastAsia="zh-CN"/>
            </w:rPr>
            <w:t xml:space="preserve">down </w:t>
          </w:r>
          <w:r w:rsidR="00267E43">
            <w:rPr>
              <w:lang w:eastAsia="zh-CN"/>
            </w:rPr>
            <w:t xml:space="preserve">by </w:t>
          </w:r>
          <w:r w:rsidR="00C918E3" w:rsidRPr="00344F80">
            <w:rPr>
              <w:lang w:eastAsia="zh-CN"/>
            </w:rPr>
            <w:t>62%</w:t>
          </w:r>
        </w:p>
        <w:p w14:paraId="269152F3" w14:textId="363B1821" w:rsidR="007B5385" w:rsidRDefault="00CC3B38" w:rsidP="00B06AE0">
          <w:pPr>
            <w:pStyle w:val="BulletList"/>
          </w:pPr>
          <w:r>
            <w:rPr>
              <w:lang w:eastAsia="zh-CN"/>
            </w:rPr>
            <w:t xml:space="preserve">attending </w:t>
          </w:r>
          <w:r w:rsidR="00C918E3" w:rsidRPr="00344F80">
            <w:rPr>
              <w:lang w:eastAsia="zh-CN"/>
            </w:rPr>
            <w:t>theatres</w:t>
          </w:r>
          <w:r w:rsidR="004036FB">
            <w:rPr>
              <w:lang w:eastAsia="zh-CN"/>
            </w:rPr>
            <w:t xml:space="preserve">, </w:t>
          </w:r>
          <w:r w:rsidR="00C918E3" w:rsidRPr="00344F80">
            <w:rPr>
              <w:lang w:eastAsia="zh-CN"/>
            </w:rPr>
            <w:t>concerts</w:t>
          </w:r>
          <w:r w:rsidR="004036FB">
            <w:rPr>
              <w:lang w:eastAsia="zh-CN"/>
            </w:rPr>
            <w:t xml:space="preserve"> or other performing arts</w:t>
          </w:r>
          <w:r w:rsidR="007B5385">
            <w:rPr>
              <w:lang w:eastAsia="zh-CN"/>
            </w:rPr>
            <w:t xml:space="preserve">, </w:t>
          </w:r>
          <w:r w:rsidR="00C918E3" w:rsidRPr="00344F80">
            <w:rPr>
              <w:lang w:eastAsia="zh-CN"/>
            </w:rPr>
            <w:t>down</w:t>
          </w:r>
          <w:r w:rsidR="00267E43">
            <w:rPr>
              <w:lang w:eastAsia="zh-CN"/>
            </w:rPr>
            <w:t xml:space="preserve"> by</w:t>
          </w:r>
          <w:r w:rsidR="00C918E3" w:rsidRPr="00344F80">
            <w:rPr>
              <w:lang w:eastAsia="zh-CN"/>
            </w:rPr>
            <w:t xml:space="preserve"> 61%</w:t>
          </w:r>
        </w:p>
        <w:p w14:paraId="14197811" w14:textId="68C6DEFF" w:rsidR="004036FB" w:rsidRPr="00344F80" w:rsidRDefault="004036FB" w:rsidP="00B06AE0">
          <w:pPr>
            <w:pStyle w:val="BulletList"/>
          </w:pPr>
          <w:r>
            <w:rPr>
              <w:lang w:eastAsia="zh-CN"/>
            </w:rPr>
            <w:t>attending an organised sporting event, down by 61%</w:t>
          </w:r>
        </w:p>
        <w:p w14:paraId="7225F95F" w14:textId="42555130" w:rsidR="007B5385" w:rsidRPr="00344F80" w:rsidRDefault="00C918E3" w:rsidP="00B06AE0">
          <w:pPr>
            <w:pStyle w:val="BulletList"/>
          </w:pPr>
          <w:r w:rsidRPr="00344F80">
            <w:rPr>
              <w:lang w:eastAsia="zh-CN"/>
            </w:rPr>
            <w:t>visiting casinos</w:t>
          </w:r>
          <w:r w:rsidR="0003533D">
            <w:rPr>
              <w:lang w:eastAsia="zh-CN"/>
            </w:rPr>
            <w:t>,</w:t>
          </w:r>
          <w:r w:rsidRPr="00344F80">
            <w:rPr>
              <w:lang w:eastAsia="zh-CN"/>
            </w:rPr>
            <w:t xml:space="preserve"> down </w:t>
          </w:r>
          <w:r w:rsidR="00267E43">
            <w:rPr>
              <w:lang w:eastAsia="zh-CN"/>
            </w:rPr>
            <w:t xml:space="preserve">by </w:t>
          </w:r>
          <w:r w:rsidRPr="00344F80">
            <w:rPr>
              <w:lang w:eastAsia="zh-CN"/>
            </w:rPr>
            <w:t>49%</w:t>
          </w:r>
        </w:p>
        <w:p w14:paraId="227D74ED" w14:textId="1CB929DF" w:rsidR="007B5385" w:rsidRPr="00344F80" w:rsidRDefault="00CC3B38" w:rsidP="00B06AE0">
          <w:pPr>
            <w:pStyle w:val="BulletList"/>
          </w:pPr>
          <w:r>
            <w:rPr>
              <w:lang w:eastAsia="zh-CN"/>
            </w:rPr>
            <w:t xml:space="preserve">visiting </w:t>
          </w:r>
          <w:r w:rsidR="00C918E3" w:rsidRPr="00344F80">
            <w:rPr>
              <w:lang w:eastAsia="zh-CN"/>
            </w:rPr>
            <w:t>amusement</w:t>
          </w:r>
          <w:r w:rsidR="004036FB">
            <w:rPr>
              <w:lang w:eastAsia="zh-CN"/>
            </w:rPr>
            <w:t>/theme</w:t>
          </w:r>
          <w:r w:rsidR="00C918E3" w:rsidRPr="00344F80">
            <w:rPr>
              <w:lang w:eastAsia="zh-CN"/>
            </w:rPr>
            <w:t xml:space="preserve"> parks</w:t>
          </w:r>
          <w:r w:rsidR="007B5385">
            <w:rPr>
              <w:lang w:eastAsia="zh-CN"/>
            </w:rPr>
            <w:t>, d</w:t>
          </w:r>
          <w:r w:rsidR="00C918E3" w:rsidRPr="00344F80">
            <w:rPr>
              <w:lang w:eastAsia="zh-CN"/>
            </w:rPr>
            <w:t xml:space="preserve">own </w:t>
          </w:r>
          <w:r w:rsidR="00267E43">
            <w:rPr>
              <w:lang w:eastAsia="zh-CN"/>
            </w:rPr>
            <w:t xml:space="preserve">by </w:t>
          </w:r>
          <w:r w:rsidR="00C918E3" w:rsidRPr="00344F80">
            <w:rPr>
              <w:lang w:eastAsia="zh-CN"/>
            </w:rPr>
            <w:t>42%</w:t>
          </w:r>
        </w:p>
        <w:p w14:paraId="5D846F77" w14:textId="25260474" w:rsidR="00DF70ED" w:rsidRDefault="00C918E3" w:rsidP="00B06AE0">
          <w:pPr>
            <w:pStyle w:val="BulletList"/>
          </w:pPr>
          <w:r w:rsidRPr="00344F80">
            <w:rPr>
              <w:lang w:eastAsia="zh-CN"/>
            </w:rPr>
            <w:t>eating out at restaurants</w:t>
          </w:r>
          <w:r w:rsidR="004036FB">
            <w:rPr>
              <w:lang w:eastAsia="zh-CN"/>
            </w:rPr>
            <w:t xml:space="preserve"> and/or café</w:t>
          </w:r>
          <w:r w:rsidR="00DF70ED">
            <w:rPr>
              <w:lang w:eastAsia="zh-CN"/>
            </w:rPr>
            <w:t>s</w:t>
          </w:r>
          <w:r w:rsidR="007B5385">
            <w:rPr>
              <w:lang w:eastAsia="zh-CN"/>
            </w:rPr>
            <w:t>, d</w:t>
          </w:r>
          <w:r w:rsidRPr="00344F80">
            <w:rPr>
              <w:lang w:eastAsia="zh-CN"/>
            </w:rPr>
            <w:t xml:space="preserve">own </w:t>
          </w:r>
          <w:r w:rsidR="00DF70ED">
            <w:rPr>
              <w:lang w:eastAsia="zh-CN"/>
            </w:rPr>
            <w:t xml:space="preserve">by </w:t>
          </w:r>
          <w:r w:rsidRPr="00344F80">
            <w:rPr>
              <w:lang w:eastAsia="zh-CN"/>
            </w:rPr>
            <w:t>38%</w:t>
          </w:r>
        </w:p>
        <w:p w14:paraId="4F0D8188" w14:textId="5BCFBB45" w:rsidR="00A9225F" w:rsidRDefault="00DF70ED" w:rsidP="00B06AE0">
          <w:pPr>
            <w:pStyle w:val="BulletList"/>
          </w:pPr>
          <w:r>
            <w:rPr>
              <w:lang w:eastAsia="zh-CN"/>
            </w:rPr>
            <w:t>visiting wildlife parks/zoos/aquariums, down by 19%</w:t>
          </w:r>
          <w:r w:rsidR="00344F80">
            <w:rPr>
              <w:lang w:eastAsia="zh-CN"/>
            </w:rPr>
            <w:t>.</w:t>
          </w:r>
        </w:p>
        <w:p w14:paraId="3C98B00F" w14:textId="77777777" w:rsidR="008C1EDB" w:rsidRDefault="008C1EDB">
          <w:pPr>
            <w:spacing w:before="0" w:after="160" w:line="259" w:lineRule="auto"/>
            <w:rPr>
              <w:rFonts w:eastAsia="SimSun" w:cs="Times New Roman"/>
              <w:bCs/>
              <w:color w:val="7A4282" w:themeColor="accent1"/>
              <w:sz w:val="36"/>
              <w:szCs w:val="32"/>
              <w:lang w:eastAsia="zh-CN"/>
            </w:rPr>
          </w:pPr>
          <w:bookmarkStart w:id="42" w:name="_Hlk100050089"/>
          <w:bookmarkEnd w:id="41"/>
          <w:r>
            <w:rPr>
              <w:b/>
              <w:bCs/>
              <w:color w:val="7A4282" w:themeColor="accent1"/>
              <w:sz w:val="36"/>
              <w:szCs w:val="32"/>
            </w:rPr>
            <w:br w:type="page"/>
          </w:r>
        </w:p>
        <w:p w14:paraId="49AAF971" w14:textId="50AAF969" w:rsidR="00467458" w:rsidRDefault="00FF2AB9" w:rsidP="0054064E">
          <w:pPr>
            <w:pStyle w:val="Heading2"/>
            <w:rPr>
              <w:b w:val="0"/>
              <w:bCs/>
              <w:color w:val="7A4282" w:themeColor="accent1"/>
              <w:sz w:val="36"/>
              <w:szCs w:val="32"/>
            </w:rPr>
          </w:pPr>
          <w:bookmarkStart w:id="43" w:name="_Toc106097674"/>
          <w:r w:rsidRPr="00A35F50">
            <w:rPr>
              <w:b w:val="0"/>
              <w:bCs/>
              <w:color w:val="7A4282" w:themeColor="accent1"/>
              <w:sz w:val="36"/>
              <w:szCs w:val="32"/>
            </w:rPr>
            <w:t>Supply</w:t>
          </w:r>
          <w:r w:rsidR="00A21CB2">
            <w:rPr>
              <w:b w:val="0"/>
              <w:bCs/>
              <w:color w:val="7A4282" w:themeColor="accent1"/>
              <w:sz w:val="36"/>
              <w:szCs w:val="32"/>
            </w:rPr>
            <w:t>-</w:t>
          </w:r>
          <w:r w:rsidRPr="00A35F50">
            <w:rPr>
              <w:b w:val="0"/>
              <w:bCs/>
              <w:color w:val="7A4282" w:themeColor="accent1"/>
              <w:sz w:val="36"/>
              <w:szCs w:val="32"/>
            </w:rPr>
            <w:t xml:space="preserve">side </w:t>
          </w:r>
          <w:r w:rsidR="00D87C7E">
            <w:rPr>
              <w:b w:val="0"/>
              <w:bCs/>
              <w:color w:val="7A4282" w:themeColor="accent1"/>
              <w:sz w:val="36"/>
              <w:szCs w:val="32"/>
            </w:rPr>
            <w:t>perfo</w:t>
          </w:r>
          <w:r w:rsidR="00344F80">
            <w:rPr>
              <w:b w:val="0"/>
              <w:bCs/>
              <w:color w:val="7A4282" w:themeColor="accent1"/>
              <w:sz w:val="36"/>
              <w:szCs w:val="32"/>
            </w:rPr>
            <w:t>r</w:t>
          </w:r>
          <w:r w:rsidR="00D87C7E">
            <w:rPr>
              <w:b w:val="0"/>
              <w:bCs/>
              <w:color w:val="7A4282" w:themeColor="accent1"/>
              <w:sz w:val="36"/>
              <w:szCs w:val="32"/>
            </w:rPr>
            <w:t>mance</w:t>
          </w:r>
          <w:bookmarkEnd w:id="43"/>
        </w:p>
        <w:p w14:paraId="4A2F0B22" w14:textId="3618602A" w:rsidR="00B146B2" w:rsidRDefault="00B146B2" w:rsidP="00B146B2">
          <w:pPr>
            <w:pStyle w:val="Heading3"/>
            <w:rPr>
              <w:lang w:eastAsia="zh-CN"/>
            </w:rPr>
          </w:pPr>
          <w:bookmarkStart w:id="44" w:name="_Toc106097675"/>
          <w:r>
            <w:rPr>
              <w:lang w:eastAsia="zh-CN"/>
            </w:rPr>
            <w:t>Accommodation</w:t>
          </w:r>
          <w:bookmarkEnd w:id="44"/>
        </w:p>
        <w:p w14:paraId="602DF104" w14:textId="23EE7F73" w:rsidR="00B146B2" w:rsidRPr="00B146B2" w:rsidRDefault="00B146B2" w:rsidP="00B146B2">
          <w:pPr>
            <w:pStyle w:val="Heading4"/>
            <w:rPr>
              <w:lang w:eastAsia="zh-CN"/>
            </w:rPr>
          </w:pPr>
          <w:r>
            <w:rPr>
              <w:lang w:eastAsia="zh-CN"/>
            </w:rPr>
            <w:t>Supply of rooms</w:t>
          </w:r>
        </w:p>
        <w:p w14:paraId="7E64FDCC" w14:textId="3F8D5976" w:rsidR="00917C67" w:rsidRDefault="00CD34E6" w:rsidP="00CD34E6">
          <w:pPr>
            <w:pStyle w:val="BulletList"/>
            <w:numPr>
              <w:ilvl w:val="0"/>
              <w:numId w:val="0"/>
            </w:numPr>
          </w:pPr>
          <w:bookmarkStart w:id="45" w:name="_Hlk100581096"/>
          <w:r>
            <w:t>According to STR</w:t>
          </w:r>
          <w:r w:rsidR="003344F1">
            <w:t>,</w:t>
          </w:r>
          <w:r w:rsidR="003344F1">
            <w:rPr>
              <w:rStyle w:val="FootnoteReference"/>
            </w:rPr>
            <w:footnoteReference w:id="4"/>
          </w:r>
          <w:r>
            <w:t xml:space="preserve"> the </w:t>
          </w:r>
          <w:r w:rsidR="00495F9F">
            <w:t xml:space="preserve">amount of </w:t>
          </w:r>
          <w:r>
            <w:t xml:space="preserve">commercial accommodation </w:t>
          </w:r>
          <w:r w:rsidR="00744032">
            <w:t xml:space="preserve">in Australia </w:t>
          </w:r>
          <w:r w:rsidR="008738CC">
            <w:t>fell slightly in 2020</w:t>
          </w:r>
          <w:r w:rsidR="00EE29C4">
            <w:t xml:space="preserve">. </w:t>
          </w:r>
          <w:r w:rsidR="007F65F2">
            <w:t>T</w:t>
          </w:r>
          <w:r w:rsidR="00EE29C4">
            <w:t xml:space="preserve">his </w:t>
          </w:r>
          <w:r w:rsidR="007F65F2">
            <w:t xml:space="preserve">was </w:t>
          </w:r>
          <w:r w:rsidR="009B08E6">
            <w:t xml:space="preserve">followed by a </w:t>
          </w:r>
          <w:r w:rsidR="00810E2F">
            <w:t xml:space="preserve">more </w:t>
          </w:r>
          <w:r w:rsidR="007F65F2">
            <w:t xml:space="preserve">substantial increase in </w:t>
          </w:r>
          <w:r w:rsidR="009B08E6">
            <w:t>2021</w:t>
          </w:r>
          <w:r w:rsidR="00810E2F">
            <w:t xml:space="preserve">. As a </w:t>
          </w:r>
          <w:r w:rsidR="001A4407">
            <w:t>result</w:t>
          </w:r>
          <w:r w:rsidR="00344F80">
            <w:t>,</w:t>
          </w:r>
          <w:r w:rsidR="001A4407">
            <w:t xml:space="preserve"> the </w:t>
          </w:r>
          <w:r w:rsidR="00C02E50">
            <w:t xml:space="preserve">supply of </w:t>
          </w:r>
          <w:r w:rsidR="00B444F4">
            <w:t xml:space="preserve">commercial </w:t>
          </w:r>
          <w:r w:rsidR="00C02E50">
            <w:t xml:space="preserve">accommodation was higher at the end of 2021 than </w:t>
          </w:r>
          <w:r w:rsidR="007B1B5F">
            <w:t>before</w:t>
          </w:r>
          <w:r w:rsidR="00C02E50">
            <w:t xml:space="preserve"> the pandemic.</w:t>
          </w:r>
          <w:r>
            <w:t xml:space="preserve"> </w:t>
          </w:r>
          <w:r w:rsidR="004B4D6B">
            <w:t xml:space="preserve">Compared with </w:t>
          </w:r>
          <w:r w:rsidR="00C02E50">
            <w:t>December 20</w:t>
          </w:r>
          <w:r w:rsidR="004B4D6B">
            <w:t>19</w:t>
          </w:r>
          <w:r w:rsidR="00E32087">
            <w:t>:</w:t>
          </w:r>
          <w:r w:rsidR="00F43DB7">
            <w:t xml:space="preserve"> </w:t>
          </w:r>
        </w:p>
        <w:p w14:paraId="41261193" w14:textId="505CB728" w:rsidR="00917C67" w:rsidRDefault="00417A90" w:rsidP="00417A90">
          <w:pPr>
            <w:pStyle w:val="BulletList"/>
          </w:pPr>
          <w:r>
            <w:t>t</w:t>
          </w:r>
          <w:r w:rsidR="00B05CA4">
            <w:t xml:space="preserve">he number of </w:t>
          </w:r>
          <w:r w:rsidR="00E32087">
            <w:t>room</w:t>
          </w:r>
          <w:r w:rsidR="004B4D6B">
            <w:t>s</w:t>
          </w:r>
          <w:r w:rsidR="00E32087">
            <w:t xml:space="preserve"> </w:t>
          </w:r>
          <w:r w:rsidR="004B4D6B">
            <w:t>in December 2</w:t>
          </w:r>
          <w:r w:rsidR="00495F9F">
            <w:t>021</w:t>
          </w:r>
          <w:r w:rsidR="004B4D6B">
            <w:t xml:space="preserve"> </w:t>
          </w:r>
          <w:r w:rsidR="00E32087">
            <w:t>w</w:t>
          </w:r>
          <w:r w:rsidR="00B05CA4">
            <w:t xml:space="preserve">as </w:t>
          </w:r>
          <w:r w:rsidR="00CD34E6">
            <w:t>1.3% higher (3,800</w:t>
          </w:r>
          <w:r w:rsidR="005B639A">
            <w:t> </w:t>
          </w:r>
          <w:r w:rsidR="00CD34E6">
            <w:t>additional rooms)</w:t>
          </w:r>
        </w:p>
        <w:p w14:paraId="1B29D49F" w14:textId="0FEB5698" w:rsidR="00CD34E6" w:rsidRDefault="00E32087" w:rsidP="00417A90">
          <w:pPr>
            <w:pStyle w:val="BulletList"/>
          </w:pPr>
          <w:r>
            <w:t>t</w:t>
          </w:r>
          <w:r w:rsidR="00CD34E6">
            <w:t xml:space="preserve">he number of properties </w:t>
          </w:r>
          <w:r w:rsidR="00716AF0">
            <w:t xml:space="preserve">in December 2021 </w:t>
          </w:r>
          <w:r w:rsidR="00C02E50">
            <w:t>was</w:t>
          </w:r>
          <w:r w:rsidR="00CD34E6">
            <w:t xml:space="preserve"> 0.9% </w:t>
          </w:r>
          <w:r w:rsidR="00C02E50">
            <w:t xml:space="preserve">higher </w:t>
          </w:r>
          <w:r w:rsidR="00CD34E6">
            <w:t>(52</w:t>
          </w:r>
          <w:r w:rsidR="005B639A">
            <w:t> </w:t>
          </w:r>
          <w:r w:rsidR="00C02E50">
            <w:t xml:space="preserve">additional </w:t>
          </w:r>
          <w:r w:rsidR="00CD34E6">
            <w:t>properties)</w:t>
          </w:r>
          <w:r w:rsidR="00716AF0">
            <w:t>.</w:t>
          </w:r>
        </w:p>
        <w:p w14:paraId="2A70C2D3" w14:textId="42EEF14B" w:rsidR="00111D4D" w:rsidRDefault="00111D4D" w:rsidP="00CD34E6">
          <w:pPr>
            <w:pStyle w:val="BulletList"/>
            <w:numPr>
              <w:ilvl w:val="0"/>
              <w:numId w:val="0"/>
            </w:numPr>
          </w:pPr>
        </w:p>
        <w:p w14:paraId="7BF26B77" w14:textId="09E784D0" w:rsidR="00111D4D" w:rsidRDefault="00111D4D" w:rsidP="00111D4D">
          <w:pPr>
            <w:pStyle w:val="BulletList"/>
            <w:numPr>
              <w:ilvl w:val="0"/>
              <w:numId w:val="0"/>
            </w:numPr>
          </w:pPr>
          <w:r>
            <w:t>TRA’s Tourism Investment Monitor 2020</w:t>
          </w:r>
          <w:r w:rsidR="005B639A">
            <w:t>–</w:t>
          </w:r>
          <w:r>
            <w:t>21 reports that there were a large number of accommodation projects completed/opened in 2020</w:t>
          </w:r>
          <w:r w:rsidR="005B639A">
            <w:t>–</w:t>
          </w:r>
          <w:r>
            <w:t xml:space="preserve">21. There were also many more </w:t>
          </w:r>
          <w:r w:rsidR="00E01108">
            <w:t>such</w:t>
          </w:r>
          <w:r w:rsidR="0023745D">
            <w:t xml:space="preserve"> projects </w:t>
          </w:r>
          <w:r>
            <w:t>under construction, moving towards an opening date in the near future. In 2020</w:t>
          </w:r>
          <w:r w:rsidR="005B639A">
            <w:t>–</w:t>
          </w:r>
          <w:r>
            <w:t>21, there were:</w:t>
          </w:r>
        </w:p>
        <w:p w14:paraId="75443974" w14:textId="666802EC" w:rsidR="00111D4D" w:rsidRDefault="00111D4D" w:rsidP="00111D4D">
          <w:pPr>
            <w:pStyle w:val="BulletList"/>
          </w:pPr>
          <w:r>
            <w:t xml:space="preserve">28 stand-alone accommodation projects completed </w:t>
          </w:r>
        </w:p>
        <w:p w14:paraId="2D46C47C" w14:textId="3F45147E" w:rsidR="00111D4D" w:rsidRDefault="00111D4D" w:rsidP="00111D4D">
          <w:pPr>
            <w:pStyle w:val="BulletList"/>
          </w:pPr>
          <w:r>
            <w:t xml:space="preserve">18 mixed-use accommodation projects completed </w:t>
          </w:r>
        </w:p>
        <w:p w14:paraId="6AAA2B49" w14:textId="0553D3D1" w:rsidR="00111D4D" w:rsidRDefault="00111D4D" w:rsidP="00111D4D">
          <w:pPr>
            <w:pStyle w:val="BulletList"/>
          </w:pPr>
          <w:r>
            <w:t>40 stand-alone accommodation projects under construction</w:t>
          </w:r>
        </w:p>
        <w:p w14:paraId="63AB9F83" w14:textId="7BF1B0E5" w:rsidR="00111D4D" w:rsidRDefault="00111D4D" w:rsidP="00111D4D">
          <w:pPr>
            <w:pStyle w:val="BulletList"/>
          </w:pPr>
          <w:r>
            <w:t>47 mixed-use accommodation projects under construction.</w:t>
          </w:r>
        </w:p>
        <w:p w14:paraId="671BCB37" w14:textId="77777777" w:rsidR="00C02E50" w:rsidRDefault="00C02E50" w:rsidP="00CD34E6">
          <w:pPr>
            <w:pStyle w:val="BulletList"/>
            <w:numPr>
              <w:ilvl w:val="0"/>
              <w:numId w:val="0"/>
            </w:numPr>
          </w:pPr>
        </w:p>
        <w:p w14:paraId="4C1F1FC7" w14:textId="0F9C316D" w:rsidR="00C02E50" w:rsidRDefault="0023745D" w:rsidP="00CD34E6">
          <w:pPr>
            <w:pStyle w:val="BulletList"/>
            <w:numPr>
              <w:ilvl w:val="0"/>
              <w:numId w:val="0"/>
            </w:numPr>
          </w:pPr>
          <w:r>
            <w:t xml:space="preserve">Continued investment in Australia’s accommodation supply is important to adequately address demand growth and changes in </w:t>
          </w:r>
          <w:r w:rsidR="00496B5D">
            <w:t xml:space="preserve">consumer </w:t>
          </w:r>
          <w:r w:rsidR="00264A48">
            <w:t>preferences</w:t>
          </w:r>
          <w:r>
            <w:t xml:space="preserve">. </w:t>
          </w:r>
          <w:r w:rsidR="00CD0A4F">
            <w:t>For example, i</w:t>
          </w:r>
          <w:r>
            <w:t xml:space="preserve">n recent years there has been </w:t>
          </w:r>
          <w:r w:rsidR="00CD0A4F">
            <w:t>greater demand for</w:t>
          </w:r>
          <w:r>
            <w:t xml:space="preserve"> environmentally</w:t>
          </w:r>
          <w:r w:rsidR="00CD0A4F">
            <w:t xml:space="preserve"> </w:t>
          </w:r>
          <w:r>
            <w:t xml:space="preserve">friendly and boutique accommodation </w:t>
          </w:r>
          <w:r w:rsidR="00CD0A4F">
            <w:t>options</w:t>
          </w:r>
          <w:r>
            <w:t xml:space="preserve">. In response, the average number of rooms per hotel </w:t>
          </w:r>
          <w:r w:rsidR="00CD0A4F">
            <w:t>and the average value of new developments</w:t>
          </w:r>
          <w:r w:rsidR="00A97B77" w:rsidRPr="00A97B77">
            <w:t xml:space="preserve"> </w:t>
          </w:r>
          <w:r w:rsidR="00A97B77">
            <w:t>have fallen over the past few years.</w:t>
          </w:r>
          <w:r w:rsidR="00F62DE8">
            <w:rPr>
              <w:rStyle w:val="FootnoteReference"/>
            </w:rPr>
            <w:footnoteReference w:id="5"/>
          </w:r>
          <w:r w:rsidR="00CD0A4F">
            <w:t xml:space="preserve"> </w:t>
          </w:r>
        </w:p>
        <w:p w14:paraId="7620E37C" w14:textId="765B9FA1" w:rsidR="00B146B2" w:rsidRDefault="00B146B2" w:rsidP="00B146B2">
          <w:pPr>
            <w:pStyle w:val="Heading4"/>
          </w:pPr>
          <w:r>
            <w:t>Occupancy and room rates</w:t>
          </w:r>
        </w:p>
        <w:p w14:paraId="37D0DF36" w14:textId="7B00F5F1" w:rsidR="008073C8" w:rsidRDefault="00F62DE8" w:rsidP="00CD34E6">
          <w:pPr>
            <w:pStyle w:val="BulletList"/>
            <w:numPr>
              <w:ilvl w:val="0"/>
              <w:numId w:val="0"/>
            </w:numPr>
          </w:pPr>
          <w:r>
            <w:t>Travel restrictions, hesitancy to travel and an increased preference to stay at home have</w:t>
          </w:r>
          <w:r w:rsidR="0007723D">
            <w:t xml:space="preserve"> each</w:t>
          </w:r>
          <w:r>
            <w:t xml:space="preserve"> affected hotel occupancy rates </w:t>
          </w:r>
          <w:r w:rsidR="009A614F">
            <w:t xml:space="preserve">across </w:t>
          </w:r>
          <w:r>
            <w:t xml:space="preserve">Australia. </w:t>
          </w:r>
          <w:r w:rsidR="009A614F">
            <w:t xml:space="preserve">Hotel occupancy rates declined rapidly to extremely low levels in the first half of 2020 under the nationwide lockdown. On average, occupancy then recovered over the next </w:t>
          </w:r>
          <w:r w:rsidR="00250700">
            <w:t>1</w:t>
          </w:r>
          <w:r w:rsidR="0007723D">
            <w:t>0</w:t>
          </w:r>
          <w:r w:rsidR="002D2CB2">
            <w:t> </w:t>
          </w:r>
          <w:r w:rsidR="00250700">
            <w:t xml:space="preserve">months </w:t>
          </w:r>
          <w:r w:rsidR="009A614F">
            <w:t xml:space="preserve">to be down </w:t>
          </w:r>
          <w:r w:rsidR="002D2CB2">
            <w:t xml:space="preserve">by </w:t>
          </w:r>
          <w:r w:rsidR="009A614F">
            <w:t xml:space="preserve">only 13% on pre-pandemic levels in April 2021. The Delta outbreak and lockdowns across several eastern states/territories from mid-2021 saw the national average occupancy rate decline sharply </w:t>
          </w:r>
          <w:r w:rsidR="00812719">
            <w:t xml:space="preserve">once </w:t>
          </w:r>
          <w:r w:rsidR="009A614F">
            <w:t xml:space="preserve">again. Nevertheless, occupancy rates picked up quite rapidly as lockdowns ended. </w:t>
          </w:r>
        </w:p>
        <w:p w14:paraId="00B3CED5" w14:textId="77777777" w:rsidR="00C918E3" w:rsidRDefault="00C918E3" w:rsidP="00CD34E6">
          <w:pPr>
            <w:pStyle w:val="BulletList"/>
            <w:numPr>
              <w:ilvl w:val="0"/>
              <w:numId w:val="0"/>
            </w:numPr>
          </w:pPr>
        </w:p>
        <w:p w14:paraId="29BD90C4" w14:textId="46B29F91" w:rsidR="00F62DE8" w:rsidRDefault="009A614F" w:rsidP="00CD34E6">
          <w:pPr>
            <w:pStyle w:val="BulletList"/>
            <w:numPr>
              <w:ilvl w:val="0"/>
              <w:numId w:val="0"/>
            </w:numPr>
          </w:pPr>
          <w:r>
            <w:t xml:space="preserve">The nationwide average occupancy rate across all accommodation options was 53.3% in December 2021, </w:t>
          </w:r>
          <w:r w:rsidR="00732B92">
            <w:t>up from 43.7% in December 2020, but well below the pre-pandemic rate of 70.9% in December 2019</w:t>
          </w:r>
          <w:r w:rsidR="00671161">
            <w:t xml:space="preserve"> (Figure 11)</w:t>
          </w:r>
          <w:r w:rsidR="00732B92">
            <w:t>.</w:t>
          </w:r>
          <w:r>
            <w:t xml:space="preserve"> </w:t>
          </w:r>
        </w:p>
        <w:p w14:paraId="2D3F451F" w14:textId="5D5D52AC" w:rsidR="009A614F" w:rsidRDefault="00417A90" w:rsidP="00CD34E6">
          <w:pPr>
            <w:pStyle w:val="BulletList"/>
            <w:numPr>
              <w:ilvl w:val="0"/>
              <w:numId w:val="0"/>
            </w:numPr>
          </w:pPr>
          <w:r>
            <w:rPr>
              <w:noProof/>
            </w:rPr>
            <mc:AlternateContent>
              <mc:Choice Requires="wps">
                <w:drawing>
                  <wp:anchor distT="0" distB="0" distL="114300" distR="114300" simplePos="0" relativeHeight="251790336" behindDoc="0" locked="0" layoutInCell="1" allowOverlap="1" wp14:anchorId="58A03ABF" wp14:editId="4590B7FE">
                    <wp:simplePos x="0" y="0"/>
                    <wp:positionH relativeFrom="margin">
                      <wp:align>right</wp:align>
                    </wp:positionH>
                    <wp:positionV relativeFrom="paragraph">
                      <wp:posOffset>191770</wp:posOffset>
                    </wp:positionV>
                    <wp:extent cx="6334125" cy="402336"/>
                    <wp:effectExtent l="0" t="0" r="9525" b="0"/>
                    <wp:wrapNone/>
                    <wp:docPr id="24" name="Text Box 24"/>
                    <wp:cNvGraphicFramePr/>
                    <a:graphic xmlns:a="http://schemas.openxmlformats.org/drawingml/2006/main">
                      <a:graphicData uri="http://schemas.microsoft.com/office/word/2010/wordprocessingShape">
                        <wps:wsp>
                          <wps:cNvSpPr txBox="1"/>
                          <wps:spPr>
                            <a:xfrm>
                              <a:off x="0" y="0"/>
                              <a:ext cx="6334125" cy="402336"/>
                            </a:xfrm>
                            <a:prstGeom prst="rect">
                              <a:avLst/>
                            </a:prstGeom>
                            <a:solidFill>
                              <a:prstClr val="white"/>
                            </a:solidFill>
                            <a:ln>
                              <a:noFill/>
                            </a:ln>
                          </wps:spPr>
                          <wps:txbx>
                            <w:txbxContent>
                              <w:p w14:paraId="6D35D0C9" w14:textId="6783E030" w:rsidR="00B146B2" w:rsidRPr="00417A90" w:rsidRDefault="00B146B2" w:rsidP="00417A90">
                                <w:pPr>
                                  <w:pStyle w:val="Caption"/>
                                  <w:rPr>
                                    <w:i w:val="0"/>
                                    <w:iCs w:val="0"/>
                                    <w:noProof/>
                                    <w:color w:val="000000" w:themeColor="text1"/>
                                    <w:sz w:val="24"/>
                                    <w:szCs w:val="24"/>
                                  </w:rPr>
                                </w:pPr>
                                <w:r w:rsidRPr="00417A90">
                                  <w:rPr>
                                    <w:i w:val="0"/>
                                    <w:iCs w:val="0"/>
                                    <w:sz w:val="22"/>
                                    <w:szCs w:val="22"/>
                                  </w:rPr>
                                  <w:t xml:space="preserve">Figure </w:t>
                                </w:r>
                                <w:r w:rsidRPr="00417A90">
                                  <w:rPr>
                                    <w:i w:val="0"/>
                                    <w:iCs w:val="0"/>
                                    <w:sz w:val="22"/>
                                    <w:szCs w:val="22"/>
                                  </w:rPr>
                                  <w:fldChar w:fldCharType="begin"/>
                                </w:r>
                                <w:r w:rsidRPr="00417A90">
                                  <w:rPr>
                                    <w:i w:val="0"/>
                                    <w:iCs w:val="0"/>
                                    <w:sz w:val="22"/>
                                    <w:szCs w:val="22"/>
                                  </w:rPr>
                                  <w:instrText xml:space="preserve"> SEQ Figure \* ARABIC </w:instrText>
                                </w:r>
                                <w:r w:rsidRPr="00417A90">
                                  <w:rPr>
                                    <w:i w:val="0"/>
                                    <w:iCs w:val="0"/>
                                    <w:sz w:val="22"/>
                                    <w:szCs w:val="22"/>
                                  </w:rPr>
                                  <w:fldChar w:fldCharType="separate"/>
                                </w:r>
                                <w:r>
                                  <w:rPr>
                                    <w:i w:val="0"/>
                                    <w:iCs w:val="0"/>
                                    <w:noProof/>
                                    <w:sz w:val="22"/>
                                    <w:szCs w:val="22"/>
                                  </w:rPr>
                                  <w:t>11</w:t>
                                </w:r>
                                <w:r w:rsidRPr="00417A90">
                                  <w:rPr>
                                    <w:i w:val="0"/>
                                    <w:iCs w:val="0"/>
                                    <w:sz w:val="22"/>
                                    <w:szCs w:val="22"/>
                                  </w:rPr>
                                  <w:fldChar w:fldCharType="end"/>
                                </w:r>
                                <w:r>
                                  <w:rPr>
                                    <w:i w:val="0"/>
                                    <w:iCs w:val="0"/>
                                    <w:sz w:val="22"/>
                                    <w:szCs w:val="22"/>
                                  </w:rPr>
                                  <w:t>. Average monthly occupancy rate for all Australian accommodation establishments, June 2018 to December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03ABF" id="Text Box 24" o:spid="_x0000_s1036" type="#_x0000_t202" style="position:absolute;margin-left:447.55pt;margin-top:15.1pt;width:498.75pt;height:31.7pt;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" stroked="f">
                    <v:textbox inset="0,0,0,0">
                      <w:txbxContent>
                        <w:p w14:paraId="6D35D0C9" w14:textId="6783E030" w:rsidR="00B146B2" w:rsidRPr="00417A90" w:rsidRDefault="00B146B2" w:rsidP="00417A90">
                          <w:pPr>
                            <w:pStyle w:val="Caption"/>
                            <w:rPr>
                              <w:i w:val="0"/>
                              <w:iCs w:val="0"/>
                              <w:noProof/>
                              <w:color w:val="000000" w:themeColor="text1"/>
                              <w:sz w:val="24"/>
                              <w:szCs w:val="24"/>
                            </w:rPr>
                          </w:pPr>
                          <w:r w:rsidRPr="00417A90">
                            <w:rPr>
                              <w:i w:val="0"/>
                              <w:iCs w:val="0"/>
                              <w:sz w:val="22"/>
                              <w:szCs w:val="22"/>
                            </w:rPr>
                            <w:t xml:space="preserve">Figure </w:t>
                          </w:r>
                          <w:r w:rsidRPr="00417A90">
                            <w:rPr>
                              <w:i w:val="0"/>
                              <w:iCs w:val="0"/>
                              <w:sz w:val="22"/>
                              <w:szCs w:val="22"/>
                            </w:rPr>
                            <w:fldChar w:fldCharType="begin"/>
                          </w:r>
                          <w:r w:rsidRPr="00417A90">
                            <w:rPr>
                              <w:i w:val="0"/>
                              <w:iCs w:val="0"/>
                              <w:sz w:val="22"/>
                              <w:szCs w:val="22"/>
                            </w:rPr>
                            <w:instrText xml:space="preserve"> SEQ Figure \* ARABIC </w:instrText>
                          </w:r>
                          <w:r w:rsidRPr="00417A90">
                            <w:rPr>
                              <w:i w:val="0"/>
                              <w:iCs w:val="0"/>
                              <w:sz w:val="22"/>
                              <w:szCs w:val="22"/>
                            </w:rPr>
                            <w:fldChar w:fldCharType="separate"/>
                          </w:r>
                          <w:r>
                            <w:rPr>
                              <w:i w:val="0"/>
                              <w:iCs w:val="0"/>
                              <w:noProof/>
                              <w:sz w:val="22"/>
                              <w:szCs w:val="22"/>
                            </w:rPr>
                            <w:t>11</w:t>
                          </w:r>
                          <w:r w:rsidRPr="00417A90">
                            <w:rPr>
                              <w:i w:val="0"/>
                              <w:iCs w:val="0"/>
                              <w:sz w:val="22"/>
                              <w:szCs w:val="22"/>
                            </w:rPr>
                            <w:fldChar w:fldCharType="end"/>
                          </w:r>
                          <w:r>
                            <w:rPr>
                              <w:i w:val="0"/>
                              <w:iCs w:val="0"/>
                              <w:sz w:val="22"/>
                              <w:szCs w:val="22"/>
                            </w:rPr>
                            <w:t>. Average monthly occupancy rate for all Australian accommodation establishments, June 2018 to December 2021</w:t>
                          </w:r>
                        </w:p>
                      </w:txbxContent>
                    </v:textbox>
                    <w10:wrap anchorx="margin"/>
                  </v:shape>
                </w:pict>
              </mc:Fallback>
            </mc:AlternateContent>
          </w:r>
        </w:p>
        <w:p w14:paraId="3CD09610" w14:textId="41BC9DA6" w:rsidR="009A614F" w:rsidRDefault="009A614F" w:rsidP="00CD34E6">
          <w:pPr>
            <w:pStyle w:val="BulletList"/>
            <w:numPr>
              <w:ilvl w:val="0"/>
              <w:numId w:val="0"/>
            </w:numPr>
          </w:pPr>
        </w:p>
        <w:p w14:paraId="5B768260" w14:textId="1B6421E3" w:rsidR="009A614F" w:rsidRDefault="009A614F" w:rsidP="00CD34E6">
          <w:pPr>
            <w:pStyle w:val="BulletList"/>
            <w:numPr>
              <w:ilvl w:val="0"/>
              <w:numId w:val="0"/>
            </w:numPr>
          </w:pPr>
        </w:p>
        <w:p w14:paraId="4A1AE63D" w14:textId="0BC8A23A" w:rsidR="009A614F" w:rsidRDefault="00BC2783" w:rsidP="00CD34E6">
          <w:pPr>
            <w:pStyle w:val="BulletList"/>
            <w:numPr>
              <w:ilvl w:val="0"/>
              <w:numId w:val="0"/>
            </w:numPr>
          </w:pPr>
          <w:r>
            <w:rPr>
              <w:noProof/>
            </w:rPr>
            <w:drawing>
              <wp:anchor distT="0" distB="0" distL="114300" distR="114300" simplePos="0" relativeHeight="251820032" behindDoc="0" locked="0" layoutInCell="1" allowOverlap="1" wp14:anchorId="2DF59912" wp14:editId="7B44BA10">
                <wp:simplePos x="0" y="0"/>
                <wp:positionH relativeFrom="margin">
                  <wp:align>right</wp:align>
                </wp:positionH>
                <wp:positionV relativeFrom="paragraph">
                  <wp:posOffset>96520</wp:posOffset>
                </wp:positionV>
                <wp:extent cx="6334125" cy="3057525"/>
                <wp:effectExtent l="0" t="0" r="0" b="0"/>
                <wp:wrapNone/>
                <wp:docPr id="6" name="Chart 6" descr="Figure 11 is a time series chart showing the average monthly occupancy rate (across all Australian accommodation establishments) between June 2018 and December 2021. &#10;The average occupancy rate declined sharply from 71% in February 2020 to 20% in April 2020 when the national lockdown was announced. It recovered to around 40% throughout the rest of 2020 then increased to a high of around 60% in 2021 but declined again at the time of the renewed Delta-outbreak lockdowns. The average occupancy rate across Australia at the end of 2021 was 53%.&#10;">
                  <a:extLst xmlns:a="http://schemas.openxmlformats.org/drawingml/2006/main">
                    <a:ext uri="{FF2B5EF4-FFF2-40B4-BE49-F238E27FC236}">
                      <a16:creationId xmlns:a16="http://schemas.microsoft.com/office/drawing/2014/main" id="{F2CEB5C0-C582-45CD-91B2-A4B4280DA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5CC7155B" w14:textId="77777777" w:rsidR="009A614F" w:rsidRDefault="009A614F" w:rsidP="00CD34E6">
          <w:pPr>
            <w:pStyle w:val="BulletList"/>
            <w:numPr>
              <w:ilvl w:val="0"/>
              <w:numId w:val="0"/>
            </w:numPr>
          </w:pPr>
        </w:p>
        <w:p w14:paraId="699A85D9" w14:textId="680DBA75" w:rsidR="009A614F" w:rsidRDefault="009A614F" w:rsidP="00CD34E6">
          <w:pPr>
            <w:pStyle w:val="BulletList"/>
            <w:numPr>
              <w:ilvl w:val="0"/>
              <w:numId w:val="0"/>
            </w:numPr>
          </w:pPr>
        </w:p>
        <w:p w14:paraId="71B71888" w14:textId="1835072E" w:rsidR="009A614F" w:rsidRDefault="009A614F" w:rsidP="00CD34E6">
          <w:pPr>
            <w:pStyle w:val="BulletList"/>
            <w:numPr>
              <w:ilvl w:val="0"/>
              <w:numId w:val="0"/>
            </w:numPr>
          </w:pPr>
        </w:p>
        <w:p w14:paraId="4561273C" w14:textId="3B2AF320" w:rsidR="009A614F" w:rsidRDefault="009A614F" w:rsidP="00CD34E6">
          <w:pPr>
            <w:pStyle w:val="BulletList"/>
            <w:numPr>
              <w:ilvl w:val="0"/>
              <w:numId w:val="0"/>
            </w:numPr>
          </w:pPr>
        </w:p>
        <w:p w14:paraId="79BDF3A7" w14:textId="0739567E" w:rsidR="009A614F" w:rsidRDefault="009A614F" w:rsidP="00CD34E6">
          <w:pPr>
            <w:pStyle w:val="BulletList"/>
            <w:numPr>
              <w:ilvl w:val="0"/>
              <w:numId w:val="0"/>
            </w:numPr>
          </w:pPr>
        </w:p>
        <w:p w14:paraId="3DB7C6F6" w14:textId="4E58A521" w:rsidR="009A614F" w:rsidRDefault="009A614F" w:rsidP="00CD34E6">
          <w:pPr>
            <w:pStyle w:val="BulletList"/>
            <w:numPr>
              <w:ilvl w:val="0"/>
              <w:numId w:val="0"/>
            </w:numPr>
          </w:pPr>
        </w:p>
        <w:p w14:paraId="39C3D40E" w14:textId="7593C81C" w:rsidR="009A614F" w:rsidRDefault="009A614F" w:rsidP="00CD34E6">
          <w:pPr>
            <w:pStyle w:val="BulletList"/>
            <w:numPr>
              <w:ilvl w:val="0"/>
              <w:numId w:val="0"/>
            </w:numPr>
          </w:pPr>
        </w:p>
        <w:p w14:paraId="4170E131" w14:textId="6B2223D8" w:rsidR="00417A90" w:rsidRDefault="00417A90" w:rsidP="00CD34E6">
          <w:pPr>
            <w:pStyle w:val="BulletList"/>
            <w:numPr>
              <w:ilvl w:val="0"/>
              <w:numId w:val="0"/>
            </w:numPr>
          </w:pPr>
        </w:p>
        <w:p w14:paraId="17C618D2" w14:textId="77777777" w:rsidR="00BC2783" w:rsidRDefault="00BC2783" w:rsidP="00CD34E6">
          <w:pPr>
            <w:pStyle w:val="BulletList"/>
            <w:numPr>
              <w:ilvl w:val="0"/>
              <w:numId w:val="0"/>
            </w:numPr>
          </w:pPr>
        </w:p>
        <w:p w14:paraId="425C8D6F" w14:textId="779717A6" w:rsidR="009A614F" w:rsidRDefault="009A614F" w:rsidP="00CD34E6">
          <w:pPr>
            <w:pStyle w:val="BulletList"/>
            <w:numPr>
              <w:ilvl w:val="0"/>
              <w:numId w:val="0"/>
            </w:numPr>
          </w:pPr>
        </w:p>
        <w:p w14:paraId="7A732BB2" w14:textId="2D2DBA3A" w:rsidR="005128C3" w:rsidRDefault="005128C3" w:rsidP="00CD34E6">
          <w:pPr>
            <w:pStyle w:val="BulletList"/>
            <w:numPr>
              <w:ilvl w:val="0"/>
              <w:numId w:val="0"/>
            </w:numPr>
          </w:pPr>
        </w:p>
        <w:p w14:paraId="4E4E18DD" w14:textId="77777777" w:rsidR="005128C3" w:rsidRDefault="005128C3" w:rsidP="00CD34E6">
          <w:pPr>
            <w:pStyle w:val="BulletList"/>
            <w:numPr>
              <w:ilvl w:val="0"/>
              <w:numId w:val="0"/>
            </w:numPr>
          </w:pPr>
        </w:p>
        <w:p w14:paraId="755F9029" w14:textId="6E2A7A57" w:rsidR="009A614F" w:rsidRDefault="009A614F" w:rsidP="00CD34E6">
          <w:pPr>
            <w:pStyle w:val="BulletList"/>
            <w:numPr>
              <w:ilvl w:val="0"/>
              <w:numId w:val="0"/>
            </w:numPr>
          </w:pPr>
        </w:p>
        <w:p w14:paraId="6EA448C6" w14:textId="77777777" w:rsidR="009A614F" w:rsidRDefault="009A614F" w:rsidP="00CD34E6">
          <w:pPr>
            <w:pStyle w:val="BulletList"/>
            <w:numPr>
              <w:ilvl w:val="0"/>
              <w:numId w:val="0"/>
            </w:numPr>
          </w:pPr>
        </w:p>
        <w:p w14:paraId="139F4190" w14:textId="5FA2F69F" w:rsidR="00F62DE8" w:rsidRDefault="00F62DE8" w:rsidP="00CD34E6">
          <w:pPr>
            <w:pStyle w:val="BulletList"/>
            <w:numPr>
              <w:ilvl w:val="0"/>
              <w:numId w:val="0"/>
            </w:numPr>
          </w:pPr>
        </w:p>
        <w:p w14:paraId="58A1A69F" w14:textId="2628EEDF" w:rsidR="0007723D" w:rsidRDefault="005128C3" w:rsidP="005128C3">
          <w:pPr>
            <w:spacing w:before="360"/>
          </w:pPr>
          <w:r>
            <w:t>Average room rates also declined as lockdowns were imposed, then subsequently rose to above pre-pandemic levels. In December 2021, the average daily rate (ADR) charged was $225.75, 13% above the $200 rate of December 2019. However, because of much lower occupancies, revenue per available room (RevPAR) remained well below pre-pandemic levels (Figure 12).</w:t>
          </w:r>
        </w:p>
        <w:p w14:paraId="13C12E8B" w14:textId="77777777" w:rsidR="005128C3" w:rsidRDefault="005128C3" w:rsidP="005128C3">
          <w:r>
            <w:t>The higher average daily rate by the end of 2021 could reflect a range of factors, including:</w:t>
          </w:r>
        </w:p>
        <w:p w14:paraId="7523422A" w14:textId="77777777" w:rsidR="005128C3" w:rsidRPr="00344F80" w:rsidRDefault="005128C3" w:rsidP="005128C3">
          <w:pPr>
            <w:pStyle w:val="ListParagraph"/>
            <w:numPr>
              <w:ilvl w:val="0"/>
              <w:numId w:val="4"/>
            </w:numPr>
            <w:spacing w:before="60" w:after="60"/>
            <w:ind w:left="794" w:hanging="357"/>
            <w:contextualSpacing w:val="0"/>
            <w:rPr>
              <w:bCs/>
              <w:sz w:val="26"/>
              <w:szCs w:val="24"/>
            </w:rPr>
          </w:pPr>
          <w:r>
            <w:t xml:space="preserve">The preference of hotels to maintain room rates, instead of discounting heavily in the face of low occupancy rates given that travel restrictions (supply-side issues) rather than income pressures on travellers (demand-side issues) were a key driver of reduced travel. </w:t>
          </w:r>
        </w:p>
        <w:p w14:paraId="64AE43E2" w14:textId="77777777" w:rsidR="005128C3" w:rsidRPr="005F7D33" w:rsidRDefault="005128C3" w:rsidP="005128C3">
          <w:pPr>
            <w:pStyle w:val="ListParagraph"/>
            <w:numPr>
              <w:ilvl w:val="0"/>
              <w:numId w:val="4"/>
            </w:numPr>
            <w:spacing w:before="60" w:after="60"/>
            <w:ind w:left="794" w:hanging="357"/>
            <w:contextualSpacing w:val="0"/>
            <w:rPr>
              <w:bCs/>
              <w:sz w:val="26"/>
              <w:szCs w:val="24"/>
            </w:rPr>
          </w:pPr>
          <w:r>
            <w:t>A change in travel preferences, including demand for smaller accommodation options and more luxury-type offerings capable of providing more socially distanced activities and offerings that address a need for wellness, rest and</w:t>
          </w:r>
          <w:r w:rsidRPr="005F7D33">
            <w:t xml:space="preserve"> </w:t>
          </w:r>
          <w:r>
            <w:t>reinvigoration.</w:t>
          </w:r>
        </w:p>
        <w:p w14:paraId="0C6F3468" w14:textId="77777777" w:rsidR="005128C3" w:rsidRPr="0024332D" w:rsidRDefault="005128C3" w:rsidP="005128C3">
          <w:pPr>
            <w:pStyle w:val="ListParagraph"/>
            <w:numPr>
              <w:ilvl w:val="0"/>
              <w:numId w:val="4"/>
            </w:numPr>
            <w:spacing w:before="60" w:after="60"/>
            <w:ind w:left="794" w:hanging="357"/>
            <w:contextualSpacing w:val="0"/>
            <w:rPr>
              <w:bCs/>
              <w:sz w:val="26"/>
              <w:szCs w:val="24"/>
            </w:rPr>
          </w:pPr>
          <w:r>
            <w:t xml:space="preserve">Cost pressures across the tourism sector. These were evident towards the end of the year when lockdowns ended, and demand increased, while at the same time there were supply chain disruptions, higher transport costs, and labour shortages. </w:t>
          </w:r>
        </w:p>
        <w:p w14:paraId="213A4490" w14:textId="397EEFEA" w:rsidR="005128C3" w:rsidRPr="00344F80" w:rsidRDefault="005128C3" w:rsidP="005128C3">
          <w:pPr>
            <w:pStyle w:val="ListParagraph"/>
            <w:numPr>
              <w:ilvl w:val="0"/>
              <w:numId w:val="4"/>
            </w:numPr>
            <w:spacing w:before="60" w:after="60"/>
            <w:ind w:left="794" w:hanging="357"/>
            <w:contextualSpacing w:val="0"/>
            <w:rPr>
              <w:bCs/>
              <w:sz w:val="26"/>
              <w:szCs w:val="24"/>
            </w:rPr>
          </w:pPr>
          <w:r>
            <w:t>Over the period, the share of hotel and resort rooms and properties increased relative to the share of serviced apartments, holiday parks and motels/guest houses. Hotel and resorts typically charge a higher room rate.</w:t>
          </w:r>
        </w:p>
        <w:p w14:paraId="5365066D" w14:textId="77777777" w:rsidR="005128C3" w:rsidRPr="00BF01F0" w:rsidRDefault="005128C3" w:rsidP="005128C3">
          <w:pPr>
            <w:pStyle w:val="ListParagraph"/>
            <w:numPr>
              <w:ilvl w:val="0"/>
              <w:numId w:val="4"/>
            </w:numPr>
            <w:spacing w:before="60" w:after="60"/>
            <w:ind w:left="794" w:hanging="357"/>
            <w:contextualSpacing w:val="0"/>
            <w:rPr>
              <w:bCs/>
              <w:sz w:val="26"/>
              <w:szCs w:val="24"/>
            </w:rPr>
          </w:pPr>
          <w:r>
            <w:t xml:space="preserve">More intense periods of peak demand, particularly as lockdowns eased and travellers wanted to secure bookings as quickly as possible. </w:t>
          </w:r>
        </w:p>
        <w:p w14:paraId="0B60A1FA" w14:textId="14403598" w:rsidR="005128C3" w:rsidRDefault="008779D7" w:rsidP="005128C3">
          <w:pPr>
            <w:spacing w:before="360"/>
          </w:pPr>
          <w:r>
            <w:rPr>
              <w:noProof/>
            </w:rPr>
            <mc:AlternateContent>
              <mc:Choice Requires="wps">
                <w:drawing>
                  <wp:anchor distT="0" distB="0" distL="114300" distR="114300" simplePos="0" relativeHeight="251792384" behindDoc="0" locked="0" layoutInCell="1" allowOverlap="1" wp14:anchorId="5E3B5270" wp14:editId="16B98A6C">
                    <wp:simplePos x="0" y="0"/>
                    <wp:positionH relativeFrom="margin">
                      <wp:align>right</wp:align>
                    </wp:positionH>
                    <wp:positionV relativeFrom="paragraph">
                      <wp:posOffset>-11430</wp:posOffset>
                    </wp:positionV>
                    <wp:extent cx="6324600" cy="390525"/>
                    <wp:effectExtent l="0" t="0" r="0" b="9525"/>
                    <wp:wrapNone/>
                    <wp:docPr id="26" name="Text Box 26"/>
                    <wp:cNvGraphicFramePr/>
                    <a:graphic xmlns:a="http://schemas.openxmlformats.org/drawingml/2006/main">
                      <a:graphicData uri="http://schemas.microsoft.com/office/word/2010/wordprocessingShape">
                        <wps:wsp>
                          <wps:cNvSpPr txBox="1"/>
                          <wps:spPr>
                            <a:xfrm>
                              <a:off x="0" y="0"/>
                              <a:ext cx="6324600" cy="390525"/>
                            </a:xfrm>
                            <a:prstGeom prst="rect">
                              <a:avLst/>
                            </a:prstGeom>
                            <a:solidFill>
                              <a:prstClr val="white"/>
                            </a:solidFill>
                            <a:ln>
                              <a:noFill/>
                            </a:ln>
                          </wps:spPr>
                          <wps:txbx>
                            <w:txbxContent>
                              <w:p w14:paraId="6C0607B1" w14:textId="1A26DDBF" w:rsidR="00B146B2" w:rsidRPr="00671161" w:rsidRDefault="00B146B2" w:rsidP="00671161">
                                <w:pPr>
                                  <w:pStyle w:val="Caption"/>
                                  <w:rPr>
                                    <w:i w:val="0"/>
                                    <w:iCs w:val="0"/>
                                    <w:noProof/>
                                    <w:color w:val="000000" w:themeColor="text1"/>
                                    <w:sz w:val="24"/>
                                    <w:szCs w:val="24"/>
                                  </w:rPr>
                                </w:pPr>
                                <w:r w:rsidRPr="00671161">
                                  <w:rPr>
                                    <w:i w:val="0"/>
                                    <w:iCs w:val="0"/>
                                    <w:sz w:val="22"/>
                                    <w:szCs w:val="22"/>
                                  </w:rPr>
                                  <w:t xml:space="preserve">Figure </w:t>
                                </w:r>
                                <w:r w:rsidRPr="00671161">
                                  <w:rPr>
                                    <w:i w:val="0"/>
                                    <w:iCs w:val="0"/>
                                    <w:sz w:val="22"/>
                                    <w:szCs w:val="22"/>
                                  </w:rPr>
                                  <w:fldChar w:fldCharType="begin"/>
                                </w:r>
                                <w:r w:rsidRPr="00671161">
                                  <w:rPr>
                                    <w:i w:val="0"/>
                                    <w:iCs w:val="0"/>
                                    <w:sz w:val="22"/>
                                    <w:szCs w:val="22"/>
                                  </w:rPr>
                                  <w:instrText xml:space="preserve"> SEQ Figure \* ARABIC </w:instrText>
                                </w:r>
                                <w:r w:rsidRPr="00671161">
                                  <w:rPr>
                                    <w:i w:val="0"/>
                                    <w:iCs w:val="0"/>
                                    <w:sz w:val="22"/>
                                    <w:szCs w:val="22"/>
                                  </w:rPr>
                                  <w:fldChar w:fldCharType="separate"/>
                                </w:r>
                                <w:r>
                                  <w:rPr>
                                    <w:i w:val="0"/>
                                    <w:iCs w:val="0"/>
                                    <w:noProof/>
                                    <w:sz w:val="22"/>
                                    <w:szCs w:val="22"/>
                                  </w:rPr>
                                  <w:t>12</w:t>
                                </w:r>
                                <w:r w:rsidRPr="00671161">
                                  <w:rPr>
                                    <w:i w:val="0"/>
                                    <w:iCs w:val="0"/>
                                    <w:sz w:val="22"/>
                                    <w:szCs w:val="22"/>
                                  </w:rPr>
                                  <w:fldChar w:fldCharType="end"/>
                                </w:r>
                                <w:r>
                                  <w:rPr>
                                    <w:i w:val="0"/>
                                    <w:iCs w:val="0"/>
                                    <w:sz w:val="22"/>
                                    <w:szCs w:val="22"/>
                                  </w:rPr>
                                  <w:t>. Average monthly financial performance for all Australian accommodation establishments, June 2018 to December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B5270" id="Text Box 26" o:spid="_x0000_s1037" type="#_x0000_t202" style="position:absolute;margin-left:446.8pt;margin-top:-.9pt;width:498pt;height:30.7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" stroked="f">
                    <v:textbox inset="0,0,0,0">
                      <w:txbxContent>
                        <w:p w14:paraId="6C0607B1" w14:textId="1A26DDBF" w:rsidR="00B146B2" w:rsidRPr="00671161" w:rsidRDefault="00B146B2" w:rsidP="00671161">
                          <w:pPr>
                            <w:pStyle w:val="Caption"/>
                            <w:rPr>
                              <w:i w:val="0"/>
                              <w:iCs w:val="0"/>
                              <w:noProof/>
                              <w:color w:val="000000" w:themeColor="text1"/>
                              <w:sz w:val="24"/>
                              <w:szCs w:val="24"/>
                            </w:rPr>
                          </w:pPr>
                          <w:r w:rsidRPr="00671161">
                            <w:rPr>
                              <w:i w:val="0"/>
                              <w:iCs w:val="0"/>
                              <w:sz w:val="22"/>
                              <w:szCs w:val="22"/>
                            </w:rPr>
                            <w:t xml:space="preserve">Figure </w:t>
                          </w:r>
                          <w:r w:rsidRPr="00671161">
                            <w:rPr>
                              <w:i w:val="0"/>
                              <w:iCs w:val="0"/>
                              <w:sz w:val="22"/>
                              <w:szCs w:val="22"/>
                            </w:rPr>
                            <w:fldChar w:fldCharType="begin"/>
                          </w:r>
                          <w:r w:rsidRPr="00671161">
                            <w:rPr>
                              <w:i w:val="0"/>
                              <w:iCs w:val="0"/>
                              <w:sz w:val="22"/>
                              <w:szCs w:val="22"/>
                            </w:rPr>
                            <w:instrText xml:space="preserve"> SEQ Figure \* ARABIC </w:instrText>
                          </w:r>
                          <w:r w:rsidRPr="00671161">
                            <w:rPr>
                              <w:i w:val="0"/>
                              <w:iCs w:val="0"/>
                              <w:sz w:val="22"/>
                              <w:szCs w:val="22"/>
                            </w:rPr>
                            <w:fldChar w:fldCharType="separate"/>
                          </w:r>
                          <w:r>
                            <w:rPr>
                              <w:i w:val="0"/>
                              <w:iCs w:val="0"/>
                              <w:noProof/>
                              <w:sz w:val="22"/>
                              <w:szCs w:val="22"/>
                            </w:rPr>
                            <w:t>12</w:t>
                          </w:r>
                          <w:r w:rsidRPr="00671161">
                            <w:rPr>
                              <w:i w:val="0"/>
                              <w:iCs w:val="0"/>
                              <w:sz w:val="22"/>
                              <w:szCs w:val="22"/>
                            </w:rPr>
                            <w:fldChar w:fldCharType="end"/>
                          </w:r>
                          <w:r>
                            <w:rPr>
                              <w:i w:val="0"/>
                              <w:iCs w:val="0"/>
                              <w:sz w:val="22"/>
                              <w:szCs w:val="22"/>
                            </w:rPr>
                            <w:t>. Average monthly financial performance for all Australian accommodation establishments, June 2018 to December 2021</w:t>
                          </w:r>
                        </w:p>
                      </w:txbxContent>
                    </v:textbox>
                    <w10:wrap anchorx="margin"/>
                  </v:shape>
                </w:pict>
              </mc:Fallback>
            </mc:AlternateContent>
          </w:r>
        </w:p>
        <w:p w14:paraId="01EB8B77" w14:textId="5F0BFB31" w:rsidR="005128C3" w:rsidRDefault="00EF6FD6" w:rsidP="008073C8">
          <w:r>
            <w:rPr>
              <w:noProof/>
            </w:rPr>
            <w:drawing>
              <wp:anchor distT="0" distB="0" distL="114300" distR="114300" simplePos="0" relativeHeight="251846656" behindDoc="0" locked="0" layoutInCell="1" allowOverlap="1" wp14:anchorId="486B2802" wp14:editId="634FD59D">
                <wp:simplePos x="0" y="0"/>
                <wp:positionH relativeFrom="margin">
                  <wp:align>right</wp:align>
                </wp:positionH>
                <wp:positionV relativeFrom="paragraph">
                  <wp:posOffset>150495</wp:posOffset>
                </wp:positionV>
                <wp:extent cx="6343650" cy="3305175"/>
                <wp:effectExtent l="0" t="0" r="0" b="0"/>
                <wp:wrapNone/>
                <wp:docPr id="2" name="Chart 2" descr="Figure 12 is a time series chart showing the monthly average daily rate (ADR) and revenue per available room (RevPAR) (across all Australian accommodation establishments) between June 2018 and December 2021. &#10;Both declined markedly as the pandemic hit Australia. They then slowly recovered but were affected by subsequent lockdowns. At the end of 2021 the ADR was higher than pre-pandemic ($226 compared with $200), but the RevPAR remained lower ($120 compared with $142).&#10;">
                  <a:extLst xmlns:a="http://schemas.openxmlformats.org/drawingml/2006/main">
                    <a:ext uri="{FF2B5EF4-FFF2-40B4-BE49-F238E27FC236}">
                      <a16:creationId xmlns:a16="http://schemas.microsoft.com/office/drawing/2014/main" id="{06F84AC1-C36F-4A96-B6D5-6C9D7E18D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bookmarkEnd w:id="42"/>
        <w:p w14:paraId="32483110" w14:textId="0080C6A5" w:rsidR="008073C8" w:rsidRDefault="008073C8" w:rsidP="00467458">
          <w:pPr>
            <w:rPr>
              <w:rStyle w:val="Heading4Char"/>
            </w:rPr>
          </w:pPr>
        </w:p>
        <w:p w14:paraId="0963AEA7" w14:textId="245B7822" w:rsidR="008073C8" w:rsidRDefault="008073C8" w:rsidP="00467458">
          <w:pPr>
            <w:rPr>
              <w:rStyle w:val="Heading4Char"/>
            </w:rPr>
          </w:pPr>
        </w:p>
        <w:p w14:paraId="5B9DBBC8" w14:textId="4D39D846" w:rsidR="008073C8" w:rsidRDefault="008073C8" w:rsidP="00467458">
          <w:pPr>
            <w:rPr>
              <w:rStyle w:val="Heading4Char"/>
            </w:rPr>
          </w:pPr>
        </w:p>
        <w:p w14:paraId="3F2ACF7E" w14:textId="6866FB59" w:rsidR="008073C8" w:rsidRDefault="008073C8" w:rsidP="00467458">
          <w:pPr>
            <w:rPr>
              <w:rStyle w:val="Heading4Char"/>
            </w:rPr>
          </w:pPr>
        </w:p>
        <w:p w14:paraId="51C578B9" w14:textId="1FB5208F" w:rsidR="008073C8" w:rsidRDefault="008073C8" w:rsidP="00467458">
          <w:pPr>
            <w:rPr>
              <w:rStyle w:val="Heading4Char"/>
            </w:rPr>
          </w:pPr>
        </w:p>
        <w:p w14:paraId="02AECF24" w14:textId="074D4C9B" w:rsidR="008073C8" w:rsidRDefault="008073C8" w:rsidP="00467458">
          <w:pPr>
            <w:rPr>
              <w:rStyle w:val="Heading4Char"/>
            </w:rPr>
          </w:pPr>
        </w:p>
        <w:p w14:paraId="3B809673" w14:textId="4F1896D4" w:rsidR="008073C8" w:rsidRDefault="008073C8" w:rsidP="00467458">
          <w:pPr>
            <w:rPr>
              <w:rStyle w:val="Heading4Char"/>
            </w:rPr>
          </w:pPr>
        </w:p>
        <w:p w14:paraId="7D5F247E" w14:textId="4608020A" w:rsidR="008073C8" w:rsidRDefault="008073C8" w:rsidP="00467458">
          <w:pPr>
            <w:rPr>
              <w:rStyle w:val="Heading4Char"/>
            </w:rPr>
          </w:pPr>
        </w:p>
        <w:p w14:paraId="3C4314AC" w14:textId="54C374AC" w:rsidR="008073C8" w:rsidRDefault="008073C8" w:rsidP="00467458">
          <w:pPr>
            <w:rPr>
              <w:rStyle w:val="Heading4Char"/>
            </w:rPr>
          </w:pPr>
        </w:p>
        <w:p w14:paraId="695FD46E" w14:textId="41832414" w:rsidR="005128C3" w:rsidRDefault="005128C3" w:rsidP="00467458">
          <w:pPr>
            <w:rPr>
              <w:rStyle w:val="Heading4Char"/>
            </w:rPr>
          </w:pPr>
        </w:p>
        <w:p w14:paraId="2EF300D3" w14:textId="3C535C58" w:rsidR="00B146B2" w:rsidRPr="00B146B2" w:rsidRDefault="00B146B2" w:rsidP="00B146B2">
          <w:pPr>
            <w:pStyle w:val="Heading3"/>
          </w:pPr>
          <w:bookmarkStart w:id="46" w:name="_Toc106097676"/>
          <w:bookmarkStart w:id="47" w:name="_Hlk100050098"/>
          <w:bookmarkEnd w:id="45"/>
          <w:r>
            <w:t>Aviation</w:t>
          </w:r>
          <w:bookmarkEnd w:id="46"/>
        </w:p>
        <w:p w14:paraId="7DDB6C25" w14:textId="44B01C88" w:rsidR="00AA4210" w:rsidRDefault="00C432FE" w:rsidP="007D2BC7">
          <w:bookmarkStart w:id="48" w:name="_Hlk100050122"/>
          <w:bookmarkEnd w:id="47"/>
          <w:r>
            <w:t xml:space="preserve">Australia’s international border </w:t>
          </w:r>
          <w:r w:rsidR="00B612B9">
            <w:t xml:space="preserve">closure </w:t>
          </w:r>
          <w:r w:rsidR="00FF0C8D">
            <w:t xml:space="preserve">drastically reduced the number of </w:t>
          </w:r>
          <w:r w:rsidR="007205E4">
            <w:t>inbound flights</w:t>
          </w:r>
          <w:r w:rsidR="00BE5049">
            <w:t xml:space="preserve"> to Australia. I</w:t>
          </w:r>
          <w:r w:rsidR="00AA4210">
            <w:t>n</w:t>
          </w:r>
          <w:r w:rsidR="00BE5049">
            <w:t xml:space="preserve"> April 202</w:t>
          </w:r>
          <w:r w:rsidR="00AA4210">
            <w:t>0</w:t>
          </w:r>
          <w:r w:rsidR="00BE5049">
            <w:t>, the</w:t>
          </w:r>
          <w:r w:rsidR="00AA4210">
            <w:t xml:space="preserve"> first full month </w:t>
          </w:r>
          <w:r w:rsidR="00796A98">
            <w:t>of the Australian border closure</w:t>
          </w:r>
          <w:r w:rsidR="002465FA">
            <w:t>,</w:t>
          </w:r>
          <w:r w:rsidR="00796A98">
            <w:t xml:space="preserve"> there w</w:t>
          </w:r>
          <w:r w:rsidR="00BE5049">
            <w:t>ere 1</w:t>
          </w:r>
          <w:r w:rsidR="00FB3E48">
            <w:t>,</w:t>
          </w:r>
          <w:r w:rsidR="00BE5049">
            <w:t>2</w:t>
          </w:r>
          <w:r w:rsidR="00FB3E48">
            <w:t>56</w:t>
          </w:r>
          <w:r w:rsidR="007168A5">
            <w:t> </w:t>
          </w:r>
          <w:r w:rsidR="00BE5049">
            <w:t>in</w:t>
          </w:r>
          <w:r w:rsidR="00796A98">
            <w:t xml:space="preserve">ternational </w:t>
          </w:r>
          <w:r w:rsidR="00BE5049">
            <w:t>flights to Australia</w:t>
          </w:r>
          <w:r w:rsidR="00796A98">
            <w:t xml:space="preserve">. This was </w:t>
          </w:r>
          <w:r w:rsidR="00803884">
            <w:t>85</w:t>
          </w:r>
          <w:r w:rsidR="005319F9">
            <w:t>% fewer tha</w:t>
          </w:r>
          <w:r w:rsidR="00803884">
            <w:t>n</w:t>
          </w:r>
          <w:r w:rsidR="005319F9">
            <w:t xml:space="preserve"> the </w:t>
          </w:r>
          <w:r w:rsidR="00803884">
            <w:t>8,399</w:t>
          </w:r>
          <w:r w:rsidR="007168A5">
            <w:t> </w:t>
          </w:r>
          <w:r w:rsidR="005319F9">
            <w:t xml:space="preserve">flights in </w:t>
          </w:r>
          <w:r w:rsidR="00803884">
            <w:t>April the previous year (April was consistent with the average number of international flights arriving per month in 2019)</w:t>
          </w:r>
          <w:r w:rsidR="001312C6">
            <w:t>,</w:t>
          </w:r>
          <w:r w:rsidR="002A0AC5">
            <w:t xml:space="preserve"> meaning that 6 in every 7 typical international flights did not operate</w:t>
          </w:r>
          <w:r w:rsidR="00AA4210">
            <w:t>.</w:t>
          </w:r>
          <w:r w:rsidR="002A0AC5">
            <w:t xml:space="preserve"> The number of monthly inte</w:t>
          </w:r>
          <w:r w:rsidR="0007723D">
            <w:t>r</w:t>
          </w:r>
          <w:r w:rsidR="002A0AC5">
            <w:t>n</w:t>
          </w:r>
          <w:r w:rsidR="0007723D">
            <w:t>a</w:t>
          </w:r>
          <w:r w:rsidR="002A0AC5">
            <w:t>tional flights remained extremely low throughout the rest of 2020 and most of 2021, then increased to 2,867 in December 2021.</w:t>
          </w:r>
        </w:p>
        <w:p w14:paraId="2D042D28" w14:textId="01A3BDDB" w:rsidR="002A0AC5" w:rsidRDefault="002A0AC5" w:rsidP="002A0AC5">
          <w:r>
            <w:t>T</w:t>
          </w:r>
          <w:r w:rsidR="00FF0C8D">
            <w:t>he nationwide lockdown</w:t>
          </w:r>
          <w:r>
            <w:t>s also</w:t>
          </w:r>
          <w:r w:rsidR="00FF0C8D">
            <w:t xml:space="preserve"> had a </w:t>
          </w:r>
          <w:r w:rsidR="00080EA2">
            <w:t xml:space="preserve">major </w:t>
          </w:r>
          <w:r w:rsidR="00FF0C8D">
            <w:t>impact on domestic air travel. The number of domestic airline seats available fell by 95% between February 2020 (5.2</w:t>
          </w:r>
          <w:r w:rsidR="00F5111E">
            <w:t> </w:t>
          </w:r>
          <w:r w:rsidR="00FF0C8D">
            <w:t>million seats) and May</w:t>
          </w:r>
          <w:r w:rsidR="00255F85">
            <w:t> </w:t>
          </w:r>
          <w:r w:rsidR="00FF0C8D">
            <w:t>2020 (0.2</w:t>
          </w:r>
          <w:r w:rsidR="00F5111E">
            <w:t> </w:t>
          </w:r>
          <w:r w:rsidR="00FF0C8D">
            <w:t>million seats</w:t>
          </w:r>
          <w:r w:rsidR="00B06AE0">
            <w:t xml:space="preserve">; </w:t>
          </w:r>
          <w:r>
            <w:t>Figure 13</w:t>
          </w:r>
          <w:r w:rsidR="00FF0C8D">
            <w:t xml:space="preserve">). </w:t>
          </w:r>
          <w:r>
            <w:t xml:space="preserve">As domestic travel restrictions eased, more flights were scheduled. This </w:t>
          </w:r>
          <w:r w:rsidR="00255F85">
            <w:t xml:space="preserve">increase </w:t>
          </w:r>
          <w:r>
            <w:t xml:space="preserve">was complemented by the Tourism and Aviation Network Support (TANS) Program (see </w:t>
          </w:r>
          <w:r w:rsidR="00332D19">
            <w:t>b</w:t>
          </w:r>
          <w:r>
            <w:t>ox</w:t>
          </w:r>
          <w:r w:rsidR="00CF5599">
            <w:t>: Tourism and Aviation Network Support Program</w:t>
          </w:r>
          <w:r>
            <w:t xml:space="preserve">). However, despite a substantial recovery in demand from the lows of 2020, the number of revenue passengers in December 2021 remained less than half that of December 2019. </w:t>
          </w:r>
        </w:p>
        <w:p w14:paraId="0800E740" w14:textId="25B43E92" w:rsidR="005128C3" w:rsidRDefault="005128C3">
          <w:pPr>
            <w:spacing w:before="0" w:after="160" w:line="259" w:lineRule="auto"/>
          </w:pPr>
          <w:r>
            <w:br w:type="page"/>
          </w:r>
        </w:p>
        <w:p w14:paraId="612FCA57" w14:textId="544B0561" w:rsidR="002A0AC5" w:rsidRDefault="002A0AC5" w:rsidP="002A0AC5">
          <w:r>
            <w:rPr>
              <w:noProof/>
            </w:rPr>
            <mc:AlternateContent>
              <mc:Choice Requires="wps">
                <w:drawing>
                  <wp:anchor distT="0" distB="0" distL="114300" distR="114300" simplePos="0" relativeHeight="251795456" behindDoc="0" locked="0" layoutInCell="1" allowOverlap="1" wp14:anchorId="5C93C795" wp14:editId="5526A894">
                    <wp:simplePos x="0" y="0"/>
                    <wp:positionH relativeFrom="margin">
                      <wp:align>left</wp:align>
                    </wp:positionH>
                    <wp:positionV relativeFrom="paragraph">
                      <wp:posOffset>66675</wp:posOffset>
                    </wp:positionV>
                    <wp:extent cx="6547104" cy="283464"/>
                    <wp:effectExtent l="0" t="0" r="6350" b="2540"/>
                    <wp:wrapNone/>
                    <wp:docPr id="41" name="Text Box 41"/>
                    <wp:cNvGraphicFramePr/>
                    <a:graphic xmlns:a="http://schemas.openxmlformats.org/drawingml/2006/main">
                      <a:graphicData uri="http://schemas.microsoft.com/office/word/2010/wordprocessingShape">
                        <wps:wsp>
                          <wps:cNvSpPr txBox="1"/>
                          <wps:spPr>
                            <a:xfrm>
                              <a:off x="0" y="0"/>
                              <a:ext cx="6547104" cy="283464"/>
                            </a:xfrm>
                            <a:prstGeom prst="rect">
                              <a:avLst/>
                            </a:prstGeom>
                            <a:solidFill>
                              <a:prstClr val="white"/>
                            </a:solidFill>
                            <a:ln>
                              <a:noFill/>
                            </a:ln>
                          </wps:spPr>
                          <wps:txbx>
                            <w:txbxContent>
                              <w:p w14:paraId="1E253274" w14:textId="5B7B218E" w:rsidR="00B146B2" w:rsidRPr="002A0AC5" w:rsidRDefault="00B146B2" w:rsidP="002A0AC5">
                                <w:pPr>
                                  <w:pStyle w:val="Caption"/>
                                  <w:rPr>
                                    <w:i w:val="0"/>
                                    <w:iCs w:val="0"/>
                                    <w:noProof/>
                                    <w:color w:val="000000" w:themeColor="text1"/>
                                    <w:sz w:val="24"/>
                                    <w:szCs w:val="24"/>
                                  </w:rPr>
                                </w:pPr>
                                <w:r w:rsidRPr="002A0AC5">
                                  <w:rPr>
                                    <w:i w:val="0"/>
                                    <w:iCs w:val="0"/>
                                    <w:sz w:val="22"/>
                                    <w:szCs w:val="22"/>
                                  </w:rPr>
                                  <w:t xml:space="preserve">Figure </w:t>
                                </w:r>
                                <w:r w:rsidRPr="002A0AC5">
                                  <w:rPr>
                                    <w:i w:val="0"/>
                                    <w:iCs w:val="0"/>
                                    <w:sz w:val="22"/>
                                    <w:szCs w:val="22"/>
                                  </w:rPr>
                                  <w:fldChar w:fldCharType="begin"/>
                                </w:r>
                                <w:r w:rsidRPr="002A0AC5">
                                  <w:rPr>
                                    <w:i w:val="0"/>
                                    <w:iCs w:val="0"/>
                                    <w:sz w:val="22"/>
                                    <w:szCs w:val="22"/>
                                  </w:rPr>
                                  <w:instrText xml:space="preserve"> SEQ Figure \* ARABIC </w:instrText>
                                </w:r>
                                <w:r w:rsidRPr="002A0AC5">
                                  <w:rPr>
                                    <w:i w:val="0"/>
                                    <w:iCs w:val="0"/>
                                    <w:sz w:val="22"/>
                                    <w:szCs w:val="22"/>
                                  </w:rPr>
                                  <w:fldChar w:fldCharType="separate"/>
                                </w:r>
                                <w:r>
                                  <w:rPr>
                                    <w:i w:val="0"/>
                                    <w:iCs w:val="0"/>
                                    <w:noProof/>
                                    <w:sz w:val="22"/>
                                    <w:szCs w:val="22"/>
                                  </w:rPr>
                                  <w:t>13</w:t>
                                </w:r>
                                <w:r w:rsidRPr="002A0AC5">
                                  <w:rPr>
                                    <w:i w:val="0"/>
                                    <w:iCs w:val="0"/>
                                    <w:sz w:val="22"/>
                                    <w:szCs w:val="22"/>
                                  </w:rPr>
                                  <w:fldChar w:fldCharType="end"/>
                                </w:r>
                                <w:r>
                                  <w:rPr>
                                    <w:i w:val="0"/>
                                    <w:iCs w:val="0"/>
                                    <w:sz w:val="22"/>
                                    <w:szCs w:val="22"/>
                                  </w:rPr>
                                  <w:t>. Australian domestic airline activity monthly, January 2018 to February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3C795" id="Text Box 41" o:spid="_x0000_s1038" type="#_x0000_t202" style="position:absolute;margin-left:0;margin-top:5.25pt;width:515.5pt;height:22.3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" stroked="f">
                    <v:textbox inset="0,0,0,0">
                      <w:txbxContent>
                        <w:p w14:paraId="1E253274" w14:textId="5B7B218E" w:rsidR="00B146B2" w:rsidRPr="002A0AC5" w:rsidRDefault="00B146B2" w:rsidP="002A0AC5">
                          <w:pPr>
                            <w:pStyle w:val="Caption"/>
                            <w:rPr>
                              <w:i w:val="0"/>
                              <w:iCs w:val="0"/>
                              <w:noProof/>
                              <w:color w:val="000000" w:themeColor="text1"/>
                              <w:sz w:val="24"/>
                              <w:szCs w:val="24"/>
                            </w:rPr>
                          </w:pPr>
                          <w:r w:rsidRPr="002A0AC5">
                            <w:rPr>
                              <w:i w:val="0"/>
                              <w:iCs w:val="0"/>
                              <w:sz w:val="22"/>
                              <w:szCs w:val="22"/>
                            </w:rPr>
                            <w:t xml:space="preserve">Figure </w:t>
                          </w:r>
                          <w:r w:rsidRPr="002A0AC5">
                            <w:rPr>
                              <w:i w:val="0"/>
                              <w:iCs w:val="0"/>
                              <w:sz w:val="22"/>
                              <w:szCs w:val="22"/>
                            </w:rPr>
                            <w:fldChar w:fldCharType="begin"/>
                          </w:r>
                          <w:r w:rsidRPr="002A0AC5">
                            <w:rPr>
                              <w:i w:val="0"/>
                              <w:iCs w:val="0"/>
                              <w:sz w:val="22"/>
                              <w:szCs w:val="22"/>
                            </w:rPr>
                            <w:instrText xml:space="preserve"> SEQ Figure \* ARABIC </w:instrText>
                          </w:r>
                          <w:r w:rsidRPr="002A0AC5">
                            <w:rPr>
                              <w:i w:val="0"/>
                              <w:iCs w:val="0"/>
                              <w:sz w:val="22"/>
                              <w:szCs w:val="22"/>
                            </w:rPr>
                            <w:fldChar w:fldCharType="separate"/>
                          </w:r>
                          <w:r>
                            <w:rPr>
                              <w:i w:val="0"/>
                              <w:iCs w:val="0"/>
                              <w:noProof/>
                              <w:sz w:val="22"/>
                              <w:szCs w:val="22"/>
                            </w:rPr>
                            <w:t>13</w:t>
                          </w:r>
                          <w:r w:rsidRPr="002A0AC5">
                            <w:rPr>
                              <w:i w:val="0"/>
                              <w:iCs w:val="0"/>
                              <w:sz w:val="22"/>
                              <w:szCs w:val="22"/>
                            </w:rPr>
                            <w:fldChar w:fldCharType="end"/>
                          </w:r>
                          <w:r>
                            <w:rPr>
                              <w:i w:val="0"/>
                              <w:iCs w:val="0"/>
                              <w:sz w:val="22"/>
                              <w:szCs w:val="22"/>
                            </w:rPr>
                            <w:t>. Australian domestic airline activity monthly, January 2018 to February 2022</w:t>
                          </w:r>
                        </w:p>
                      </w:txbxContent>
                    </v:textbox>
                    <w10:wrap anchorx="margin"/>
                  </v:shape>
                </w:pict>
              </mc:Fallback>
            </mc:AlternateContent>
          </w:r>
        </w:p>
        <w:p w14:paraId="1821151D" w14:textId="0A131DC3" w:rsidR="002A0AC5" w:rsidRDefault="00706F74" w:rsidP="002A0AC5">
          <w:r>
            <w:rPr>
              <w:noProof/>
            </w:rPr>
            <w:drawing>
              <wp:anchor distT="0" distB="0" distL="114300" distR="114300" simplePos="0" relativeHeight="251822080" behindDoc="0" locked="0" layoutInCell="1" allowOverlap="1" wp14:anchorId="2A94349D" wp14:editId="58373828">
                <wp:simplePos x="0" y="0"/>
                <wp:positionH relativeFrom="margin">
                  <wp:align>left</wp:align>
                </wp:positionH>
                <wp:positionV relativeFrom="paragraph">
                  <wp:posOffset>102870</wp:posOffset>
                </wp:positionV>
                <wp:extent cx="6353175" cy="3544570"/>
                <wp:effectExtent l="0" t="0" r="0" b="0"/>
                <wp:wrapNone/>
                <wp:docPr id="25" name="Chart 25" descr="Figure 13 shows a time series chart for the number of domestic airline seats available and the number of domestic revenue passengers for each month from January 2018 to February 2022. &#10;Both plummeted in March/April 2020 to near zero. They remained extremely low throughout 2020 then increased in the first half of 2021. At the end of 2021, the number of seats was around 3.7 million, down from 5.8 million in December 2020, and the number of revenue passengers carried on domestic routes was 2.1 million, down from 4.8 million pre-pandemic. &#10;">
                  <a:extLst xmlns:a="http://schemas.openxmlformats.org/drawingml/2006/main">
                    <a:ext uri="{FF2B5EF4-FFF2-40B4-BE49-F238E27FC236}">
                      <a16:creationId xmlns:a16="http://schemas.microsoft.com/office/drawing/2014/main" id="{51EF2489-6EFF-4133-A3D2-7D110211FF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047AE6FF" w14:textId="77777777" w:rsidR="002A0AC5" w:rsidRDefault="002A0AC5" w:rsidP="002A0AC5"/>
        <w:p w14:paraId="74CD5715" w14:textId="144524EF" w:rsidR="00FF0C8D" w:rsidRDefault="00FF0C8D" w:rsidP="007D2BC7"/>
        <w:p w14:paraId="2F9CA41A" w14:textId="0837DD04" w:rsidR="00D31095" w:rsidRDefault="00D31095" w:rsidP="007D2BC7"/>
        <w:p w14:paraId="62269028" w14:textId="77777777" w:rsidR="005128C3" w:rsidRDefault="005128C3" w:rsidP="007D2BC7"/>
        <w:p w14:paraId="5069BFC0" w14:textId="0A1E94AA" w:rsidR="00D31095" w:rsidRDefault="00D31095" w:rsidP="007D2BC7"/>
        <w:p w14:paraId="2EB22464" w14:textId="032AE321" w:rsidR="00D31095" w:rsidRDefault="00D31095" w:rsidP="007D2BC7"/>
        <w:p w14:paraId="1F581174" w14:textId="10A245EB" w:rsidR="00D31095" w:rsidRDefault="00D31095" w:rsidP="007D2BC7"/>
        <w:p w14:paraId="3C610A62" w14:textId="4AB1E940" w:rsidR="00D31095" w:rsidRDefault="00D31095" w:rsidP="007D2BC7"/>
        <w:p w14:paraId="0D2CBE0B" w14:textId="08837641" w:rsidR="00D31095" w:rsidRDefault="00D31095" w:rsidP="007D2BC7"/>
        <w:p w14:paraId="365C4F51" w14:textId="0E5B96A5" w:rsidR="00D31095" w:rsidRDefault="00D31095" w:rsidP="007D2BC7"/>
        <w:p w14:paraId="6AAEDE9A" w14:textId="1E10EAF9" w:rsidR="00D31095" w:rsidRDefault="00D31095" w:rsidP="007D2BC7"/>
        <w:p w14:paraId="35A5A66A" w14:textId="6B6FC9E2" w:rsidR="008C1EDB" w:rsidRDefault="00ED55A4" w:rsidP="007D2BC7">
          <w:r>
            <w:t>The slow recovery in air travel suggests some ongoing hesitancy to travel further from home or by airplane.</w:t>
          </w:r>
          <w:r w:rsidR="008C1EDB" w:rsidRPr="008C1EDB">
            <w:t xml:space="preserve"> </w:t>
          </w:r>
        </w:p>
        <w:p w14:paraId="5716B212" w14:textId="770E3A15" w:rsidR="00A103EE" w:rsidRPr="000E5E06" w:rsidRDefault="008C1EDB" w:rsidP="000E5E06">
          <w:pPr>
            <w:rPr>
              <w:rStyle w:val="Heading4Char"/>
              <w:bCs w:val="0"/>
              <w:sz w:val="20"/>
              <w:szCs w:val="20"/>
            </w:rPr>
          </w:pPr>
          <w:r>
            <w:t xml:space="preserve">Despite extremely difficult operating conditions, investment in aviation capacity has continued. A new domestic airline carrier is being launched in 2022 (see box: BONZA!) and a major new airport in Western Sydney is under construction. The Western Sydney International (Nancy-Bird Walton) Airport is expected to open in 2026 and will operate curfew-free international and domestic flights. It expects to service 5 million passengers per year from opening and grow to 10 million passengers per year </w:t>
          </w:r>
          <w:r w:rsidR="004138DA">
            <w:t>by</w:t>
          </w:r>
          <w:r>
            <w:t xml:space="preserve"> 2030, with ongoing growth in capacity expected for future years.</w:t>
          </w:r>
          <w:bookmarkStart w:id="49" w:name="_Toc101251181"/>
          <w:bookmarkStart w:id="50" w:name="_Toc101276132"/>
          <w:bookmarkStart w:id="51" w:name="_Toc101251182"/>
          <w:bookmarkStart w:id="52" w:name="_Toc101276133"/>
        </w:p>
        <w:p w14:paraId="799CB724" w14:textId="4E2D7457" w:rsidR="000E5E06" w:rsidRDefault="000E5E06" w:rsidP="00B146B2">
          <w:pPr>
            <w:pStyle w:val="Heading4"/>
            <w:ind w:left="794"/>
          </w:pPr>
          <w:r>
            <w:t xml:space="preserve">Box: BONZA! A new domestic airline for Australia </w:t>
          </w:r>
        </w:p>
        <w:p w14:paraId="0C2ADF89" w14:textId="77777777" w:rsidR="000E5E06" w:rsidRDefault="000E5E06" w:rsidP="000E5E06">
          <w:pPr>
            <w:spacing w:before="120" w:after="120" w:line="280" w:lineRule="exact"/>
            <w:ind w:left="794" w:right="737"/>
          </w:pPr>
          <w:r>
            <w:t xml:space="preserve">Plans for a new domestic airline were unveiled in 2021. Bonza will be based at Melbourne Airport and Sunshine Coast Airport and service 25 routes across 16 destinations in New South Wales, Queensland and Victoria. These include </w:t>
          </w:r>
          <w:r w:rsidRPr="009315BE">
            <w:t>Albury, Avalon, Bundaberg, Cairns, Coffs Harbour, Gladstone, Mackay, Mildura, Newcastle, Port Macquarie, Rockhampton, Toowoomba, Townsville and the Whitsunday coast</w:t>
          </w:r>
          <w:r>
            <w:t>.</w:t>
          </w:r>
        </w:p>
        <w:p w14:paraId="63CE3D32" w14:textId="77777777" w:rsidR="000E5E06" w:rsidRDefault="000E5E06" w:rsidP="000E5E06">
          <w:pPr>
            <w:spacing w:before="120" w:after="120" w:line="280" w:lineRule="exact"/>
            <w:ind w:left="794" w:right="737"/>
          </w:pPr>
          <w:r w:rsidRPr="00C432FE">
            <w:t>The Bonza business plan aims to give Australians more</w:t>
          </w:r>
          <w:r>
            <w:t xml:space="preserve"> low-fare</w:t>
          </w:r>
          <w:r w:rsidRPr="00C432FE">
            <w:t xml:space="preserve"> options to explore their own backyard.</w:t>
          </w:r>
          <w:r>
            <w:t xml:space="preserve"> Services are expected to begin in 2022.</w:t>
          </w:r>
        </w:p>
        <w:p w14:paraId="57B99C1C" w14:textId="77777777" w:rsidR="000E5E06" w:rsidRDefault="000E5E06" w:rsidP="00A103EE">
          <w:pPr>
            <w:spacing w:before="480"/>
            <w:rPr>
              <w:rStyle w:val="Heading4Char"/>
              <w:bCs w:val="0"/>
              <w:color w:val="2E1A47" w:themeColor="text2"/>
              <w:sz w:val="32"/>
              <w:szCs w:val="32"/>
            </w:rPr>
          </w:pPr>
        </w:p>
        <w:p w14:paraId="5301C680" w14:textId="77777777" w:rsidR="00B146B2" w:rsidRDefault="00B146B2">
          <w:pPr>
            <w:spacing w:before="0" w:after="160" w:line="259" w:lineRule="auto"/>
            <w:rPr>
              <w:bCs/>
              <w:sz w:val="26"/>
              <w:szCs w:val="24"/>
              <w:lang w:eastAsia="zh-CN"/>
            </w:rPr>
          </w:pPr>
          <w:r>
            <w:rPr>
              <w:lang w:eastAsia="zh-CN"/>
            </w:rPr>
            <w:br w:type="page"/>
          </w:r>
        </w:p>
        <w:p w14:paraId="06A6C8F3" w14:textId="1D4DF6CD" w:rsidR="000E5E06" w:rsidRPr="005827F9" w:rsidRDefault="000E5E06" w:rsidP="00B146B2">
          <w:pPr>
            <w:pStyle w:val="Heading4"/>
            <w:ind w:left="794"/>
            <w:rPr>
              <w:lang w:eastAsia="zh-CN"/>
            </w:rPr>
          </w:pPr>
          <w:r>
            <w:rPr>
              <w:lang w:eastAsia="zh-CN"/>
            </w:rPr>
            <w:t xml:space="preserve">Box: </w:t>
          </w:r>
          <w:r w:rsidRPr="005827F9">
            <w:rPr>
              <w:lang w:eastAsia="zh-CN"/>
            </w:rPr>
            <w:t>Tourism and Aviation Network Support Program</w:t>
          </w:r>
        </w:p>
        <w:p w14:paraId="4777BF89" w14:textId="77777777" w:rsidR="000E5E06" w:rsidRPr="005243E6" w:rsidRDefault="000E5E06" w:rsidP="000E5E06">
          <w:pPr>
            <w:ind w:left="794" w:right="737"/>
            <w:rPr>
              <w:color w:val="000000"/>
              <w:sz w:val="18"/>
              <w:szCs w:val="18"/>
              <w:shd w:val="clear" w:color="auto" w:fill="FFFFFF"/>
            </w:rPr>
          </w:pPr>
          <w:r w:rsidRPr="005243E6">
            <w:rPr>
              <w:color w:val="000000"/>
              <w:sz w:val="18"/>
              <w:szCs w:val="18"/>
              <w:shd w:val="clear" w:color="auto" w:fill="FFFFFF"/>
            </w:rPr>
            <w:t>The Tourism and Aviation Network Support Program (TANS) offered over 800,000</w:t>
          </w:r>
          <w:r>
            <w:rPr>
              <w:color w:val="000000"/>
              <w:sz w:val="18"/>
              <w:szCs w:val="18"/>
              <w:shd w:val="clear" w:color="auto" w:fill="FFFFFF"/>
            </w:rPr>
            <w:t> </w:t>
          </w:r>
          <w:r w:rsidRPr="005243E6">
            <w:rPr>
              <w:color w:val="000000"/>
              <w:sz w:val="18"/>
              <w:szCs w:val="18"/>
              <w:shd w:val="clear" w:color="auto" w:fill="FFFFFF"/>
            </w:rPr>
            <w:t xml:space="preserve">discounted airfares to select tourism regions. The program was designed to </w:t>
          </w:r>
          <w:r w:rsidRPr="005243E6">
            <w:rPr>
              <w:sz w:val="18"/>
              <w:szCs w:val="18"/>
            </w:rPr>
            <w:t xml:space="preserve">help drive tourism demand for interstate travel and support economic recovery in regional Australia. </w:t>
          </w:r>
          <w:r w:rsidRPr="005243E6">
            <w:rPr>
              <w:color w:val="000000"/>
              <w:sz w:val="18"/>
              <w:szCs w:val="18"/>
              <w:shd w:val="clear" w:color="auto" w:fill="FFFFFF"/>
            </w:rPr>
            <w:t xml:space="preserve">Discounted economy class fares were available from April 2021 and </w:t>
          </w:r>
          <w:r>
            <w:rPr>
              <w:color w:val="000000"/>
              <w:sz w:val="18"/>
              <w:szCs w:val="18"/>
              <w:shd w:val="clear" w:color="auto" w:fill="FFFFFF"/>
            </w:rPr>
            <w:t xml:space="preserve">the program </w:t>
          </w:r>
          <w:r w:rsidRPr="005243E6">
            <w:rPr>
              <w:color w:val="000000"/>
              <w:sz w:val="18"/>
              <w:szCs w:val="18"/>
              <w:shd w:val="clear" w:color="auto" w:fill="FFFFFF"/>
            </w:rPr>
            <w:t xml:space="preserve">was extended to February 2022. </w:t>
          </w:r>
        </w:p>
        <w:p w14:paraId="57FBB985" w14:textId="77777777" w:rsidR="000E5E06" w:rsidRPr="005243E6" w:rsidRDefault="000E5E06" w:rsidP="000E5E06">
          <w:pPr>
            <w:ind w:left="794" w:right="737"/>
            <w:rPr>
              <w:color w:val="000000"/>
              <w:sz w:val="18"/>
              <w:szCs w:val="18"/>
              <w:shd w:val="clear" w:color="auto" w:fill="FFFFFF"/>
            </w:rPr>
          </w:pPr>
          <w:r w:rsidRPr="005243E6">
            <w:rPr>
              <w:color w:val="000000"/>
              <w:sz w:val="18"/>
              <w:szCs w:val="18"/>
              <w:shd w:val="clear" w:color="auto" w:fill="FFFFFF"/>
            </w:rPr>
            <w:t>There were 13 regions all across Australia included under the program and 7</w:t>
          </w:r>
          <w:r>
            <w:rPr>
              <w:color w:val="000000"/>
              <w:sz w:val="18"/>
              <w:szCs w:val="18"/>
              <w:shd w:val="clear" w:color="auto" w:fill="FFFFFF"/>
            </w:rPr>
            <w:t> </w:t>
          </w:r>
          <w:r w:rsidRPr="005243E6">
            <w:rPr>
              <w:color w:val="000000"/>
              <w:sz w:val="18"/>
              <w:szCs w:val="18"/>
              <w:shd w:val="clear" w:color="auto" w:fill="FFFFFF"/>
            </w:rPr>
            <w:t xml:space="preserve">airlines participated. The regions selected were hit by the loss of international tourists, </w:t>
          </w:r>
          <w:r>
            <w:rPr>
              <w:color w:val="000000"/>
              <w:sz w:val="18"/>
              <w:szCs w:val="18"/>
              <w:shd w:val="clear" w:color="auto" w:fill="FFFFFF"/>
            </w:rPr>
            <w:t>were</w:t>
          </w:r>
          <w:r w:rsidRPr="005243E6">
            <w:rPr>
              <w:color w:val="000000"/>
              <w:sz w:val="18"/>
              <w:szCs w:val="18"/>
              <w:shd w:val="clear" w:color="auto" w:fill="FFFFFF"/>
            </w:rPr>
            <w:t xml:space="preserve"> economically dependent on tourism (for jobs and GDP) and </w:t>
          </w:r>
          <w:r>
            <w:rPr>
              <w:color w:val="000000"/>
              <w:sz w:val="18"/>
              <w:szCs w:val="18"/>
              <w:shd w:val="clear" w:color="auto" w:fill="FFFFFF"/>
            </w:rPr>
            <w:t>were</w:t>
          </w:r>
          <w:r w:rsidRPr="005243E6">
            <w:rPr>
              <w:color w:val="000000"/>
              <w:sz w:val="18"/>
              <w:szCs w:val="18"/>
              <w:shd w:val="clear" w:color="auto" w:fill="FFFFFF"/>
            </w:rPr>
            <w:t xml:space="preserve"> dependent on aviation for tourism. Some of the regions were also severely affected by bushfires. </w:t>
          </w:r>
        </w:p>
        <w:p w14:paraId="6F08F97B" w14:textId="77777777" w:rsidR="000E5E06" w:rsidRPr="005243E6" w:rsidRDefault="000E5E06" w:rsidP="000E5E06">
          <w:pPr>
            <w:ind w:left="794" w:right="737"/>
            <w:rPr>
              <w:sz w:val="18"/>
              <w:szCs w:val="18"/>
            </w:rPr>
          </w:pPr>
          <w:r w:rsidRPr="005243E6">
            <w:rPr>
              <w:sz w:val="18"/>
              <w:szCs w:val="18"/>
            </w:rPr>
            <w:t xml:space="preserve">Previously reported TRA research found that the program appeared to have been effective in generating additional demand for the regions covered. </w:t>
          </w:r>
          <w:r w:rsidRPr="0078424F">
            <w:rPr>
              <w:rStyle w:val="Strong"/>
              <w:sz w:val="24"/>
              <w:szCs w:val="24"/>
            </w:rPr>
            <w:t>During the June quarter 2021, interstate spend totalled $3.6</w:t>
          </w:r>
          <w:r>
            <w:rPr>
              <w:rStyle w:val="Strong"/>
              <w:sz w:val="24"/>
              <w:szCs w:val="24"/>
            </w:rPr>
            <w:t> </w:t>
          </w:r>
          <w:r w:rsidRPr="0078424F">
            <w:rPr>
              <w:rStyle w:val="Strong"/>
              <w:sz w:val="24"/>
              <w:szCs w:val="24"/>
            </w:rPr>
            <w:t>billion across the 18</w:t>
          </w:r>
          <w:r>
            <w:rPr>
              <w:rStyle w:val="Strong"/>
              <w:sz w:val="24"/>
              <w:szCs w:val="24"/>
            </w:rPr>
            <w:t> </w:t>
          </w:r>
          <w:r w:rsidRPr="0078424F">
            <w:rPr>
              <w:rStyle w:val="Strong"/>
              <w:sz w:val="24"/>
              <w:szCs w:val="24"/>
            </w:rPr>
            <w:t>destinations included in the program. This was a 33% or $895</w:t>
          </w:r>
          <w:r>
            <w:rPr>
              <w:rStyle w:val="Strong"/>
              <w:sz w:val="24"/>
              <w:szCs w:val="24"/>
            </w:rPr>
            <w:t> </w:t>
          </w:r>
          <w:r w:rsidRPr="0078424F">
            <w:rPr>
              <w:rStyle w:val="Strong"/>
              <w:sz w:val="24"/>
              <w:szCs w:val="24"/>
            </w:rPr>
            <w:t xml:space="preserve">million increase in interstate spend on </w:t>
          </w:r>
          <w:r>
            <w:rPr>
              <w:rStyle w:val="Strong"/>
              <w:sz w:val="24"/>
              <w:szCs w:val="24"/>
            </w:rPr>
            <w:t xml:space="preserve">that of the </w:t>
          </w:r>
          <w:r w:rsidRPr="0078424F">
            <w:rPr>
              <w:rStyle w:val="Strong"/>
              <w:sz w:val="24"/>
              <w:szCs w:val="24"/>
            </w:rPr>
            <w:t>June quarter 2019.</w:t>
          </w:r>
          <w:r w:rsidRPr="0078424F">
            <w:rPr>
              <w:sz w:val="16"/>
              <w:szCs w:val="16"/>
            </w:rPr>
            <w:t xml:space="preserve"> </w:t>
          </w:r>
          <w:r w:rsidRPr="005243E6">
            <w:rPr>
              <w:sz w:val="18"/>
              <w:szCs w:val="18"/>
            </w:rPr>
            <w:t xml:space="preserve">Over the same period interstate spend to other areas of Australia fell </w:t>
          </w:r>
          <w:r>
            <w:rPr>
              <w:sz w:val="18"/>
              <w:szCs w:val="18"/>
            </w:rPr>
            <w:t xml:space="preserve">by </w:t>
          </w:r>
          <w:r w:rsidRPr="005243E6">
            <w:rPr>
              <w:sz w:val="18"/>
              <w:szCs w:val="18"/>
            </w:rPr>
            <w:t>19% or $1.2</w:t>
          </w:r>
          <w:r>
            <w:rPr>
              <w:sz w:val="18"/>
              <w:szCs w:val="18"/>
            </w:rPr>
            <w:t> </w:t>
          </w:r>
          <w:r w:rsidRPr="005243E6">
            <w:rPr>
              <w:sz w:val="18"/>
              <w:szCs w:val="18"/>
            </w:rPr>
            <w:t xml:space="preserve">billion to $4.8 billion, due largely to significant losses in the capital cities that were not included in the program. </w:t>
          </w:r>
        </w:p>
        <w:p w14:paraId="4657DF8A" w14:textId="29C429EB" w:rsidR="000E5E06" w:rsidRPr="005243E6" w:rsidRDefault="000E5E06" w:rsidP="000E5E06">
          <w:pPr>
            <w:ind w:left="794" w:right="737"/>
            <w:rPr>
              <w:color w:val="000000"/>
              <w:sz w:val="18"/>
              <w:szCs w:val="18"/>
              <w:shd w:val="clear" w:color="auto" w:fill="FFFFFF"/>
            </w:rPr>
          </w:pPr>
          <w:r w:rsidRPr="005243E6">
            <w:rPr>
              <w:sz w:val="18"/>
              <w:szCs w:val="18"/>
            </w:rPr>
            <w:t>The average length of stay for interstate visitors to the cheap</w:t>
          </w:r>
          <w:r>
            <w:rPr>
              <w:sz w:val="18"/>
              <w:szCs w:val="18"/>
            </w:rPr>
            <w:t>er</w:t>
          </w:r>
          <w:r w:rsidRPr="005243E6">
            <w:rPr>
              <w:sz w:val="18"/>
              <w:szCs w:val="18"/>
            </w:rPr>
            <w:t xml:space="preserve"> airfare destinations was up from 4.8</w:t>
          </w:r>
          <w:r>
            <w:rPr>
              <w:sz w:val="18"/>
              <w:szCs w:val="18"/>
            </w:rPr>
            <w:t> </w:t>
          </w:r>
          <w:r w:rsidRPr="005243E6">
            <w:rPr>
              <w:sz w:val="18"/>
              <w:szCs w:val="18"/>
            </w:rPr>
            <w:t>nights in June quarter 2019 to 5.6</w:t>
          </w:r>
          <w:r>
            <w:rPr>
              <w:sz w:val="18"/>
              <w:szCs w:val="18"/>
            </w:rPr>
            <w:t> </w:t>
          </w:r>
          <w:r w:rsidRPr="005243E6">
            <w:rPr>
              <w:sz w:val="18"/>
              <w:szCs w:val="18"/>
            </w:rPr>
            <w:t xml:space="preserve">nights in </w:t>
          </w:r>
          <w:r>
            <w:rPr>
              <w:sz w:val="18"/>
              <w:szCs w:val="18"/>
            </w:rPr>
            <w:t xml:space="preserve">the </w:t>
          </w:r>
          <w:r w:rsidRPr="005243E6">
            <w:rPr>
              <w:sz w:val="18"/>
              <w:szCs w:val="18"/>
            </w:rPr>
            <w:t xml:space="preserve">June quarter 2021. The amount </w:t>
          </w:r>
          <w:r>
            <w:rPr>
              <w:sz w:val="18"/>
              <w:szCs w:val="18"/>
            </w:rPr>
            <w:t>visitors</w:t>
          </w:r>
          <w:r w:rsidRPr="005243E6">
            <w:rPr>
              <w:sz w:val="18"/>
              <w:szCs w:val="18"/>
            </w:rPr>
            <w:t xml:space="preserve"> spent on accommodation, food and drink increased by 43% or $658</w:t>
          </w:r>
          <w:r>
            <w:rPr>
              <w:sz w:val="18"/>
              <w:szCs w:val="18"/>
            </w:rPr>
            <w:t> </w:t>
          </w:r>
          <w:r w:rsidRPr="005243E6">
            <w:rPr>
              <w:sz w:val="18"/>
              <w:szCs w:val="18"/>
            </w:rPr>
            <w:t>million to $2.2</w:t>
          </w:r>
          <w:r>
            <w:rPr>
              <w:sz w:val="18"/>
              <w:szCs w:val="18"/>
            </w:rPr>
            <w:t> </w:t>
          </w:r>
          <w:r w:rsidRPr="005243E6">
            <w:rPr>
              <w:sz w:val="18"/>
              <w:szCs w:val="18"/>
            </w:rPr>
            <w:t>billion</w:t>
          </w:r>
          <w:r w:rsidRPr="005243E6">
            <w:rPr>
              <w:color w:val="000000"/>
              <w:sz w:val="18"/>
              <w:szCs w:val="18"/>
              <w:shd w:val="clear" w:color="auto" w:fill="FFFFFF"/>
            </w:rPr>
            <w:t>.</w:t>
          </w:r>
        </w:p>
        <w:p w14:paraId="500C4EA7" w14:textId="5692C5C3" w:rsidR="000E5E06" w:rsidRDefault="000E5E06" w:rsidP="00A103EE">
          <w:pPr>
            <w:spacing w:before="480"/>
            <w:rPr>
              <w:rStyle w:val="Heading4Char"/>
              <w:bCs w:val="0"/>
              <w:color w:val="2E1A47" w:themeColor="text2"/>
              <w:sz w:val="32"/>
              <w:szCs w:val="32"/>
            </w:rPr>
            <w:sectPr w:rsidR="000E5E06" w:rsidSect="00903B61">
              <w:footerReference w:type="default" r:id="rId38"/>
              <w:headerReference w:type="first" r:id="rId39"/>
              <w:footerReference w:type="first" r:id="rId40"/>
              <w:pgSz w:w="11906" w:h="16838"/>
              <w:pgMar w:top="1843" w:right="945" w:bottom="993" w:left="993" w:header="708" w:footer="362" w:gutter="0"/>
              <w:pgNumType w:start="0"/>
              <w:cols w:space="708"/>
              <w:titlePg/>
              <w:docGrid w:linePitch="360"/>
            </w:sectPr>
          </w:pPr>
        </w:p>
        <w:p w14:paraId="7112C10D" w14:textId="6872A9AF" w:rsidR="005827F9" w:rsidRDefault="00B146B2" w:rsidP="00B146B2">
          <w:pPr>
            <w:pStyle w:val="Heading3"/>
            <w:rPr>
              <w:rStyle w:val="Heading4Char"/>
              <w:bCs/>
              <w:color w:val="2E1A47" w:themeColor="text2"/>
              <w:sz w:val="32"/>
              <w:szCs w:val="32"/>
            </w:rPr>
          </w:pPr>
          <w:bookmarkStart w:id="53" w:name="_Toc106097677"/>
          <w:r>
            <w:rPr>
              <w:rStyle w:val="Heading4Char"/>
              <w:bCs/>
              <w:color w:val="2E1A47" w:themeColor="text2"/>
              <w:sz w:val="32"/>
              <w:szCs w:val="32"/>
            </w:rPr>
            <w:t>Employment</w:t>
          </w:r>
          <w:bookmarkEnd w:id="53"/>
        </w:p>
        <w:p w14:paraId="66985728" w14:textId="3A47C319" w:rsidR="005827F9" w:rsidRDefault="005827F9" w:rsidP="005827F9">
          <w:pPr>
            <w:rPr>
              <w:rStyle w:val="Heading4Char"/>
              <w:bCs w:val="0"/>
              <w:color w:val="2E1A47" w:themeColor="text2"/>
              <w:sz w:val="32"/>
              <w:szCs w:val="32"/>
            </w:rPr>
          </w:pPr>
        </w:p>
        <w:p w14:paraId="5799199E" w14:textId="368205D6" w:rsidR="00624B6C" w:rsidRDefault="00624B6C" w:rsidP="00624B6C">
          <w:bookmarkStart w:id="54" w:name="_Hlk100050154"/>
          <w:bookmarkEnd w:id="48"/>
          <w:bookmarkEnd w:id="49"/>
          <w:bookmarkEnd w:id="50"/>
          <w:bookmarkEnd w:id="51"/>
          <w:bookmarkEnd w:id="52"/>
          <w:r>
            <w:t xml:space="preserve">In </w:t>
          </w:r>
          <w:r w:rsidR="00037D51">
            <w:t xml:space="preserve">the December quarter 2019, the number of filled jobs in the visitor economy was 749,400. </w:t>
          </w:r>
          <w:r w:rsidR="00171E5C">
            <w:t>During the pandemic, t</w:t>
          </w:r>
          <w:r w:rsidR="00037D51">
            <w:t xml:space="preserve">his number </w:t>
          </w:r>
          <w:r>
            <w:t>declined by 2</w:t>
          </w:r>
          <w:r w:rsidR="00EC68CF">
            <w:t>6</w:t>
          </w:r>
          <w:r>
            <w:t>%</w:t>
          </w:r>
          <w:r w:rsidR="00171E5C">
            <w:t>,</w:t>
          </w:r>
          <w:r w:rsidR="0076602B">
            <w:t xml:space="preserve"> or </w:t>
          </w:r>
          <w:r w:rsidR="005B4933">
            <w:t>195,600 jobs,</w:t>
          </w:r>
          <w:r>
            <w:t xml:space="preserve"> to a low of 55</w:t>
          </w:r>
          <w:r w:rsidR="00EC68CF">
            <w:t>3,80</w:t>
          </w:r>
          <w:r>
            <w:t>0 in the September quarter 2021.</w:t>
          </w:r>
          <w:r w:rsidR="00EC68CF">
            <w:t xml:space="preserve"> </w:t>
          </w:r>
        </w:p>
        <w:p w14:paraId="56D6204B" w14:textId="140B39BD" w:rsidR="00624B6C" w:rsidRDefault="00EC68CF" w:rsidP="00624B6C">
          <w:r>
            <w:t>The education and training</w:t>
          </w:r>
          <w:r w:rsidRPr="00EC68CF">
            <w:t xml:space="preserve"> </w:t>
          </w:r>
          <w:r w:rsidR="007A61B0">
            <w:t>industry</w:t>
          </w:r>
          <w:r>
            <w:t xml:space="preserve"> </w:t>
          </w:r>
          <w:r w:rsidR="00BF67B5">
            <w:t xml:space="preserve">accounted for </w:t>
          </w:r>
          <w:r w:rsidR="0036278D">
            <w:t>38</w:t>
          </w:r>
          <w:r w:rsidR="00384219">
            <w:t>% of t</w:t>
          </w:r>
          <w:r w:rsidR="0048222B">
            <w:t xml:space="preserve">otal </w:t>
          </w:r>
          <w:r>
            <w:t xml:space="preserve">job losses as the number of filled jobs in this sector fell by 99%. Much of this </w:t>
          </w:r>
          <w:r w:rsidR="001D1FF0">
            <w:t xml:space="preserve">decrease </w:t>
          </w:r>
          <w:r>
            <w:t>is because, while many international students were still in Australia, the vast majority had been here for over 12</w:t>
          </w:r>
          <w:r w:rsidR="00C379EB">
            <w:t> </w:t>
          </w:r>
          <w:r>
            <w:t>months. As a result, the</w:t>
          </w:r>
          <w:r w:rsidR="001B08DB">
            <w:t>se</w:t>
          </w:r>
          <w:r w:rsidR="00812E62">
            <w:t xml:space="preserve"> students</w:t>
          </w:r>
          <w:r>
            <w:t xml:space="preserve"> </w:t>
          </w:r>
          <w:r w:rsidR="00812E62">
            <w:t>were no longer</w:t>
          </w:r>
          <w:r>
            <w:t xml:space="preserve"> classified </w:t>
          </w:r>
          <w:r w:rsidR="00812E62">
            <w:t xml:space="preserve">by the </w:t>
          </w:r>
          <w:r w:rsidR="00812E62" w:rsidRPr="00812E62">
            <w:t xml:space="preserve">Australian Bureau of Statistics </w:t>
          </w:r>
          <w:r w:rsidR="00812E62">
            <w:t>as tourists</w:t>
          </w:r>
          <w:r>
            <w:t>. Therefore</w:t>
          </w:r>
          <w:r w:rsidR="001B63AA">
            <w:t>,</w:t>
          </w:r>
          <w:r>
            <w:t xml:space="preserve"> the </w:t>
          </w:r>
          <w:r w:rsidR="00812E62">
            <w:t>jobs</w:t>
          </w:r>
          <w:r w:rsidR="009E7858">
            <w:t xml:space="preserve"> providing services to these students </w:t>
          </w:r>
          <w:r w:rsidR="005A3030">
            <w:t xml:space="preserve">were </w:t>
          </w:r>
          <w:r>
            <w:t>no</w:t>
          </w:r>
          <w:r w:rsidR="00812E62">
            <w:t xml:space="preserve"> longer</w:t>
          </w:r>
          <w:r w:rsidR="005A3030">
            <w:t xml:space="preserve"> </w:t>
          </w:r>
          <w:r>
            <w:t xml:space="preserve">counted as </w:t>
          </w:r>
          <w:r w:rsidR="00812E62">
            <w:t xml:space="preserve">tourism-related jobs </w:t>
          </w:r>
          <w:r>
            <w:t>(</w:t>
          </w:r>
          <w:r w:rsidR="009D6647">
            <w:t>s</w:t>
          </w:r>
          <w:r>
            <w:t xml:space="preserve">ee </w:t>
          </w:r>
          <w:r w:rsidR="009D6647">
            <w:t>b</w:t>
          </w:r>
          <w:r>
            <w:t>ox</w:t>
          </w:r>
          <w:r w:rsidR="00D05D12">
            <w:t>: T</w:t>
          </w:r>
          <w:r>
            <w:t>ourism ratios)</w:t>
          </w:r>
          <w:r w:rsidR="00D05D12">
            <w:t>.</w:t>
          </w:r>
        </w:p>
        <w:p w14:paraId="01AA5911" w14:textId="7E8B6ABA" w:rsidR="001B63AA" w:rsidRDefault="001B63AA" w:rsidP="00624B6C">
          <w:r>
            <w:t xml:space="preserve">In the December quarter 2021, there was a </w:t>
          </w:r>
          <w:r w:rsidR="00FE4279">
            <w:t xml:space="preserve">substantial </w:t>
          </w:r>
          <w:r>
            <w:t xml:space="preserve">increase in the number of filled jobs in the visitor economy. Jobs increased by </w:t>
          </w:r>
          <w:r w:rsidRPr="001B63AA">
            <w:t>75,100 (1</w:t>
          </w:r>
          <w:r w:rsidR="004138DA">
            <w:t>4</w:t>
          </w:r>
          <w:r w:rsidRPr="001B63AA">
            <w:t>%) from the September quarter 2021 – by far the largest quarterly increase on record</w:t>
          </w:r>
          <w:r w:rsidR="007A61B0">
            <w:t xml:space="preserve"> </w:t>
          </w:r>
          <w:r w:rsidR="007A61B0" w:rsidRPr="001B63AA">
            <w:t>–</w:t>
          </w:r>
          <w:r w:rsidR="007A61B0">
            <w:t xml:space="preserve"> </w:t>
          </w:r>
          <w:r>
            <w:t xml:space="preserve">bringing the number of filled jobs to </w:t>
          </w:r>
          <w:r w:rsidR="005B4933">
            <w:t xml:space="preserve">628,900, </w:t>
          </w:r>
          <w:r w:rsidRPr="001B63AA">
            <w:t xml:space="preserve">the highest number since </w:t>
          </w:r>
          <w:r>
            <w:t xml:space="preserve">the </w:t>
          </w:r>
          <w:r w:rsidRPr="001B63AA">
            <w:t xml:space="preserve">March </w:t>
          </w:r>
          <w:r>
            <w:t xml:space="preserve">quarter </w:t>
          </w:r>
          <w:r w:rsidRPr="001B63AA">
            <w:t>2020 (the start of the pandemic)</w:t>
          </w:r>
          <w:r>
            <w:t xml:space="preserve">. </w:t>
          </w:r>
        </w:p>
        <w:p w14:paraId="45DAF9C8" w14:textId="49CA8253" w:rsidR="001B63AA" w:rsidRDefault="001B63AA" w:rsidP="001B63AA">
          <w:r>
            <w:t xml:space="preserve">An increase in the number of filled jobs was expected </w:t>
          </w:r>
          <w:r w:rsidR="007A61B0">
            <w:t xml:space="preserve">in the December quarter 2021 </w:t>
          </w:r>
          <w:r>
            <w:t>given the end of lockdowns in N</w:t>
          </w:r>
          <w:r w:rsidR="000D74DB">
            <w:t xml:space="preserve">ew </w:t>
          </w:r>
          <w:r>
            <w:t>S</w:t>
          </w:r>
          <w:r w:rsidR="000D74DB">
            <w:t xml:space="preserve">outh </w:t>
          </w:r>
          <w:r>
            <w:t>W</w:t>
          </w:r>
          <w:r w:rsidR="000D74DB">
            <w:t>ales</w:t>
          </w:r>
          <w:r>
            <w:t>, Victoria and the A</w:t>
          </w:r>
          <w:r w:rsidR="000D74DB">
            <w:t xml:space="preserve">ustralian </w:t>
          </w:r>
          <w:r>
            <w:t>C</w:t>
          </w:r>
          <w:r w:rsidR="000D74DB">
            <w:t xml:space="preserve">apital </w:t>
          </w:r>
          <w:r>
            <w:t>T</w:t>
          </w:r>
          <w:r w:rsidR="000B1EC5">
            <w:t>erritory</w:t>
          </w:r>
          <w:r>
            <w:t>, and related border openings</w:t>
          </w:r>
          <w:r w:rsidR="007A61B0">
            <w:t>. D</w:t>
          </w:r>
          <w:r>
            <w:t xml:space="preserve">uring that quarter the international border </w:t>
          </w:r>
          <w:r w:rsidR="00EB40EA">
            <w:t xml:space="preserve">also reopened </w:t>
          </w:r>
          <w:r>
            <w:t>to students and working holiday</w:t>
          </w:r>
          <w:r w:rsidR="00247B0C">
            <w:t>-</w:t>
          </w:r>
          <w:r>
            <w:t xml:space="preserve">makers. Moreover, the December quarter is seasonally a strong quarter for employment. </w:t>
          </w:r>
        </w:p>
        <w:p w14:paraId="40B7C8CD" w14:textId="214D6380" w:rsidR="001B63AA" w:rsidRDefault="001B63AA" w:rsidP="001B63AA">
          <w:r>
            <w:t>In the December quarter, all tourism-connected industries, except for education and training, reported increases in filled jobs</w:t>
          </w:r>
          <w:r w:rsidR="00D05D12">
            <w:t xml:space="preserve"> </w:t>
          </w:r>
          <w:r w:rsidR="005B4933">
            <w:t xml:space="preserve">compared with the September quarter 2021 </w:t>
          </w:r>
          <w:r w:rsidR="00D05D12">
            <w:t>(</w:t>
          </w:r>
          <w:r w:rsidR="00227F1B">
            <w:t>Figure 14</w:t>
          </w:r>
          <w:r w:rsidR="00D05D12">
            <w:t>)</w:t>
          </w:r>
          <w:r>
            <w:t>. The largest increases occurred in:</w:t>
          </w:r>
        </w:p>
        <w:p w14:paraId="659F33CA" w14:textId="333A1FB3" w:rsidR="001B63AA" w:rsidRDefault="001B63AA" w:rsidP="00B51BCB">
          <w:pPr>
            <w:pStyle w:val="ListParagraph"/>
            <w:numPr>
              <w:ilvl w:val="0"/>
              <w:numId w:val="6"/>
            </w:numPr>
            <w:spacing w:before="0" w:after="160"/>
            <w:rPr>
              <w:rFonts w:eastAsia="Times New Roman"/>
            </w:rPr>
          </w:pPr>
          <w:r>
            <w:rPr>
              <w:rFonts w:eastAsia="Times New Roman"/>
            </w:rPr>
            <w:t xml:space="preserve">cafés, restaurants </w:t>
          </w:r>
          <w:r w:rsidR="00921104">
            <w:rPr>
              <w:rFonts w:eastAsia="Times New Roman"/>
            </w:rPr>
            <w:t xml:space="preserve">and </w:t>
          </w:r>
          <w:r>
            <w:rPr>
              <w:rFonts w:eastAsia="Times New Roman"/>
            </w:rPr>
            <w:t>takeaway food services (33,800</w:t>
          </w:r>
          <w:r w:rsidR="00EA418C">
            <w:rPr>
              <w:rFonts w:eastAsia="Times New Roman"/>
            </w:rPr>
            <w:t> </w:t>
          </w:r>
          <w:r>
            <w:rPr>
              <w:rFonts w:eastAsia="Times New Roman"/>
            </w:rPr>
            <w:t xml:space="preserve">jobs, </w:t>
          </w:r>
          <w:r w:rsidR="007D6681">
            <w:rPr>
              <w:rFonts w:eastAsia="Times New Roman"/>
            </w:rPr>
            <w:t xml:space="preserve">up </w:t>
          </w:r>
          <w:r w:rsidR="00EA418C">
            <w:rPr>
              <w:rFonts w:eastAsia="Times New Roman"/>
            </w:rPr>
            <w:t xml:space="preserve">by </w:t>
          </w:r>
          <w:r>
            <w:rPr>
              <w:rFonts w:eastAsia="Times New Roman"/>
            </w:rPr>
            <w:t>17%)</w:t>
          </w:r>
        </w:p>
        <w:p w14:paraId="2792CBFD" w14:textId="57DEE9CC" w:rsidR="001B63AA" w:rsidRDefault="001B63AA" w:rsidP="00B51BCB">
          <w:pPr>
            <w:pStyle w:val="ListParagraph"/>
            <w:numPr>
              <w:ilvl w:val="0"/>
              <w:numId w:val="6"/>
            </w:numPr>
            <w:spacing w:before="0" w:after="160"/>
            <w:rPr>
              <w:rFonts w:eastAsia="Times New Roman"/>
            </w:rPr>
          </w:pPr>
          <w:r>
            <w:rPr>
              <w:rFonts w:eastAsia="Times New Roman"/>
            </w:rPr>
            <w:t>accommodation (11,800</w:t>
          </w:r>
          <w:r w:rsidR="0009074F">
            <w:rPr>
              <w:rFonts w:eastAsia="Times New Roman"/>
            </w:rPr>
            <w:t> </w:t>
          </w:r>
          <w:r>
            <w:rPr>
              <w:rFonts w:eastAsia="Times New Roman"/>
            </w:rPr>
            <w:t xml:space="preserve">jobs, </w:t>
          </w:r>
          <w:r w:rsidR="00D05D12">
            <w:rPr>
              <w:rFonts w:eastAsia="Times New Roman"/>
            </w:rPr>
            <w:t>u</w:t>
          </w:r>
          <w:r w:rsidR="007D6681">
            <w:rPr>
              <w:rFonts w:eastAsia="Times New Roman"/>
            </w:rPr>
            <w:t>p</w:t>
          </w:r>
          <w:r w:rsidR="00EA418C">
            <w:rPr>
              <w:rFonts w:eastAsia="Times New Roman"/>
            </w:rPr>
            <w:t xml:space="preserve"> by</w:t>
          </w:r>
          <w:r w:rsidR="007D6681">
            <w:rPr>
              <w:rFonts w:eastAsia="Times New Roman"/>
            </w:rPr>
            <w:t xml:space="preserve"> </w:t>
          </w:r>
          <w:r>
            <w:rPr>
              <w:rFonts w:eastAsia="Times New Roman"/>
            </w:rPr>
            <w:t>14%)</w:t>
          </w:r>
        </w:p>
        <w:p w14:paraId="45A86933" w14:textId="1DBC13CC" w:rsidR="001B63AA" w:rsidRDefault="001B63AA" w:rsidP="00B51BCB">
          <w:pPr>
            <w:pStyle w:val="ListParagraph"/>
            <w:numPr>
              <w:ilvl w:val="0"/>
              <w:numId w:val="6"/>
            </w:numPr>
            <w:spacing w:before="0" w:after="160"/>
            <w:rPr>
              <w:rFonts w:eastAsia="Times New Roman"/>
            </w:rPr>
          </w:pPr>
          <w:r>
            <w:rPr>
              <w:rFonts w:eastAsia="Times New Roman"/>
            </w:rPr>
            <w:t>clubs, pubs, taverns and bars (8,500</w:t>
          </w:r>
          <w:r w:rsidR="000F5BC2">
            <w:rPr>
              <w:rFonts w:eastAsia="Times New Roman"/>
            </w:rPr>
            <w:t> </w:t>
          </w:r>
          <w:r>
            <w:rPr>
              <w:rFonts w:eastAsia="Times New Roman"/>
            </w:rPr>
            <w:t xml:space="preserve">jobs, </w:t>
          </w:r>
          <w:r w:rsidR="00995CB7">
            <w:rPr>
              <w:rFonts w:eastAsia="Times New Roman"/>
            </w:rPr>
            <w:t>u</w:t>
          </w:r>
          <w:r w:rsidR="007D6681">
            <w:rPr>
              <w:rFonts w:eastAsia="Times New Roman"/>
            </w:rPr>
            <w:t xml:space="preserve">p </w:t>
          </w:r>
          <w:r w:rsidR="00EA418C">
            <w:rPr>
              <w:rFonts w:eastAsia="Times New Roman"/>
            </w:rPr>
            <w:t xml:space="preserve">by </w:t>
          </w:r>
          <w:r>
            <w:rPr>
              <w:rFonts w:eastAsia="Times New Roman"/>
            </w:rPr>
            <w:t>17%)</w:t>
          </w:r>
        </w:p>
        <w:p w14:paraId="68D89D85" w14:textId="04C8325D" w:rsidR="001B63AA" w:rsidRDefault="001B63AA" w:rsidP="00B51BCB">
          <w:pPr>
            <w:pStyle w:val="ListParagraph"/>
            <w:numPr>
              <w:ilvl w:val="0"/>
              <w:numId w:val="6"/>
            </w:numPr>
            <w:spacing w:before="0" w:after="160"/>
            <w:rPr>
              <w:rFonts w:eastAsia="Times New Roman"/>
            </w:rPr>
          </w:pPr>
          <w:r>
            <w:rPr>
              <w:rFonts w:eastAsia="Times New Roman"/>
            </w:rPr>
            <w:t>retail trade (7,700</w:t>
          </w:r>
          <w:r w:rsidR="000F5BC2">
            <w:rPr>
              <w:rFonts w:eastAsia="Times New Roman"/>
            </w:rPr>
            <w:t> </w:t>
          </w:r>
          <w:r>
            <w:rPr>
              <w:rFonts w:eastAsia="Times New Roman"/>
            </w:rPr>
            <w:t xml:space="preserve">jobs, </w:t>
          </w:r>
          <w:r w:rsidR="00995CB7">
            <w:rPr>
              <w:rFonts w:eastAsia="Times New Roman"/>
            </w:rPr>
            <w:t xml:space="preserve">up </w:t>
          </w:r>
          <w:r w:rsidR="00EA418C">
            <w:rPr>
              <w:rFonts w:eastAsia="Times New Roman"/>
            </w:rPr>
            <w:t xml:space="preserve">by </w:t>
          </w:r>
          <w:r>
            <w:rPr>
              <w:rFonts w:eastAsia="Times New Roman"/>
            </w:rPr>
            <w:t>8%)</w:t>
          </w:r>
          <w:r w:rsidR="00D05D12">
            <w:rPr>
              <w:rFonts w:eastAsia="Times New Roman"/>
            </w:rPr>
            <w:t>.</w:t>
          </w:r>
        </w:p>
        <w:p w14:paraId="57103CC1" w14:textId="5858EE10" w:rsidR="00B5575A" w:rsidRDefault="00B5575A" w:rsidP="005636D5">
          <w:r>
            <w:rPr>
              <w:noProof/>
            </w:rPr>
            <mc:AlternateContent>
              <mc:Choice Requires="wps">
                <w:drawing>
                  <wp:anchor distT="0" distB="0" distL="114300" distR="114300" simplePos="0" relativeHeight="251799552" behindDoc="0" locked="0" layoutInCell="1" allowOverlap="1" wp14:anchorId="12C02525" wp14:editId="762A7357">
                    <wp:simplePos x="0" y="0"/>
                    <wp:positionH relativeFrom="margin">
                      <wp:posOffset>28575</wp:posOffset>
                    </wp:positionH>
                    <wp:positionV relativeFrom="paragraph">
                      <wp:posOffset>153670</wp:posOffset>
                    </wp:positionV>
                    <wp:extent cx="6436995" cy="347472"/>
                    <wp:effectExtent l="0" t="0" r="1905" b="0"/>
                    <wp:wrapNone/>
                    <wp:docPr id="12" name="Text Box 12"/>
                    <wp:cNvGraphicFramePr/>
                    <a:graphic xmlns:a="http://schemas.openxmlformats.org/drawingml/2006/main">
                      <a:graphicData uri="http://schemas.microsoft.com/office/word/2010/wordprocessingShape">
                        <wps:wsp>
                          <wps:cNvSpPr txBox="1"/>
                          <wps:spPr>
                            <a:xfrm>
                              <a:off x="0" y="0"/>
                              <a:ext cx="6436995" cy="347472"/>
                            </a:xfrm>
                            <a:prstGeom prst="rect">
                              <a:avLst/>
                            </a:prstGeom>
                            <a:solidFill>
                              <a:prstClr val="white"/>
                            </a:solidFill>
                            <a:ln>
                              <a:noFill/>
                            </a:ln>
                          </wps:spPr>
                          <wps:txbx>
                            <w:txbxContent>
                              <w:p w14:paraId="0795D9A5" w14:textId="7A19FB8A" w:rsidR="00B146B2" w:rsidRPr="0036278D" w:rsidRDefault="00B146B2" w:rsidP="0036278D">
                                <w:pPr>
                                  <w:pStyle w:val="Caption"/>
                                  <w:rPr>
                                    <w:i w:val="0"/>
                                    <w:iCs w:val="0"/>
                                    <w:noProof/>
                                    <w:color w:val="000000" w:themeColor="text1"/>
                                    <w:sz w:val="24"/>
                                    <w:szCs w:val="24"/>
                                  </w:rPr>
                                </w:pPr>
                                <w:r w:rsidRPr="0036278D">
                                  <w:rPr>
                                    <w:i w:val="0"/>
                                    <w:iCs w:val="0"/>
                                    <w:sz w:val="22"/>
                                    <w:szCs w:val="22"/>
                                  </w:rPr>
                                  <w:t xml:space="preserve">Figure </w:t>
                                </w:r>
                                <w:r w:rsidRPr="0036278D">
                                  <w:rPr>
                                    <w:i w:val="0"/>
                                    <w:iCs w:val="0"/>
                                    <w:sz w:val="22"/>
                                    <w:szCs w:val="22"/>
                                  </w:rPr>
                                  <w:fldChar w:fldCharType="begin"/>
                                </w:r>
                                <w:r w:rsidRPr="0036278D">
                                  <w:rPr>
                                    <w:i w:val="0"/>
                                    <w:iCs w:val="0"/>
                                    <w:sz w:val="22"/>
                                    <w:szCs w:val="22"/>
                                  </w:rPr>
                                  <w:instrText xml:space="preserve"> SEQ Figure \* ARABIC </w:instrText>
                                </w:r>
                                <w:r w:rsidRPr="0036278D">
                                  <w:rPr>
                                    <w:i w:val="0"/>
                                    <w:iCs w:val="0"/>
                                    <w:sz w:val="22"/>
                                    <w:szCs w:val="22"/>
                                  </w:rPr>
                                  <w:fldChar w:fldCharType="separate"/>
                                </w:r>
                                <w:r>
                                  <w:rPr>
                                    <w:i w:val="0"/>
                                    <w:iCs w:val="0"/>
                                    <w:noProof/>
                                    <w:sz w:val="22"/>
                                    <w:szCs w:val="22"/>
                                  </w:rPr>
                                  <w:t>14</w:t>
                                </w:r>
                                <w:r w:rsidRPr="0036278D">
                                  <w:rPr>
                                    <w:i w:val="0"/>
                                    <w:iCs w:val="0"/>
                                    <w:sz w:val="22"/>
                                    <w:szCs w:val="22"/>
                                  </w:rPr>
                                  <w:fldChar w:fldCharType="end"/>
                                </w:r>
                                <w:r>
                                  <w:rPr>
                                    <w:i w:val="0"/>
                                    <w:iCs w:val="0"/>
                                    <w:sz w:val="22"/>
                                    <w:szCs w:val="22"/>
                                  </w:rPr>
                                  <w:t>. Tourism filled jobs by industry, March quarter 2011 to December quarter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02525" id="Text Box 12" o:spid="_x0000_s1039" type="#_x0000_t202" style="position:absolute;margin-left:2.25pt;margin-top:12.1pt;width:506.85pt;height:27.3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" stroked="f">
                    <v:textbox inset="0,0,0,0">
                      <w:txbxContent>
                        <w:p w14:paraId="0795D9A5" w14:textId="7A19FB8A" w:rsidR="00B146B2" w:rsidRPr="0036278D" w:rsidRDefault="00B146B2" w:rsidP="0036278D">
                          <w:pPr>
                            <w:pStyle w:val="Caption"/>
                            <w:rPr>
                              <w:i w:val="0"/>
                              <w:iCs w:val="0"/>
                              <w:noProof/>
                              <w:color w:val="000000" w:themeColor="text1"/>
                              <w:sz w:val="24"/>
                              <w:szCs w:val="24"/>
                            </w:rPr>
                          </w:pPr>
                          <w:r w:rsidRPr="0036278D">
                            <w:rPr>
                              <w:i w:val="0"/>
                              <w:iCs w:val="0"/>
                              <w:sz w:val="22"/>
                              <w:szCs w:val="22"/>
                            </w:rPr>
                            <w:t xml:space="preserve">Figure </w:t>
                          </w:r>
                          <w:r w:rsidRPr="0036278D">
                            <w:rPr>
                              <w:i w:val="0"/>
                              <w:iCs w:val="0"/>
                              <w:sz w:val="22"/>
                              <w:szCs w:val="22"/>
                            </w:rPr>
                            <w:fldChar w:fldCharType="begin"/>
                          </w:r>
                          <w:r w:rsidRPr="0036278D">
                            <w:rPr>
                              <w:i w:val="0"/>
                              <w:iCs w:val="0"/>
                              <w:sz w:val="22"/>
                              <w:szCs w:val="22"/>
                            </w:rPr>
                            <w:instrText xml:space="preserve"> SEQ Figure \* ARABIC </w:instrText>
                          </w:r>
                          <w:r w:rsidRPr="0036278D">
                            <w:rPr>
                              <w:i w:val="0"/>
                              <w:iCs w:val="0"/>
                              <w:sz w:val="22"/>
                              <w:szCs w:val="22"/>
                            </w:rPr>
                            <w:fldChar w:fldCharType="separate"/>
                          </w:r>
                          <w:r>
                            <w:rPr>
                              <w:i w:val="0"/>
                              <w:iCs w:val="0"/>
                              <w:noProof/>
                              <w:sz w:val="22"/>
                              <w:szCs w:val="22"/>
                            </w:rPr>
                            <w:t>14</w:t>
                          </w:r>
                          <w:r w:rsidRPr="0036278D">
                            <w:rPr>
                              <w:i w:val="0"/>
                              <w:iCs w:val="0"/>
                              <w:sz w:val="22"/>
                              <w:szCs w:val="22"/>
                            </w:rPr>
                            <w:fldChar w:fldCharType="end"/>
                          </w:r>
                          <w:r>
                            <w:rPr>
                              <w:i w:val="0"/>
                              <w:iCs w:val="0"/>
                              <w:sz w:val="22"/>
                              <w:szCs w:val="22"/>
                            </w:rPr>
                            <w:t>. Tourism filled jobs by industry, March quarter 2011 to December quarter 2021</w:t>
                          </w:r>
                        </w:p>
                      </w:txbxContent>
                    </v:textbox>
                    <w10:wrap anchorx="margin"/>
                  </v:shape>
                </w:pict>
              </mc:Fallback>
            </mc:AlternateContent>
          </w:r>
        </w:p>
        <w:p w14:paraId="494DC7D0" w14:textId="5BEB3A25" w:rsidR="00B5575A" w:rsidRDefault="00B5575A" w:rsidP="005636D5">
          <w:r>
            <w:rPr>
              <w:noProof/>
            </w:rPr>
            <w:drawing>
              <wp:anchor distT="0" distB="0" distL="114300" distR="114300" simplePos="0" relativeHeight="251839488" behindDoc="0" locked="0" layoutInCell="1" allowOverlap="1" wp14:anchorId="5BE44F8D" wp14:editId="6A227F4C">
                <wp:simplePos x="0" y="0"/>
                <wp:positionH relativeFrom="margin">
                  <wp:align>right</wp:align>
                </wp:positionH>
                <wp:positionV relativeFrom="paragraph">
                  <wp:posOffset>173990</wp:posOffset>
                </wp:positionV>
                <wp:extent cx="6334125" cy="4381500"/>
                <wp:effectExtent l="0" t="0" r="0" b="0"/>
                <wp:wrapNone/>
                <wp:docPr id="13" name="Chart 13" descr="Figure 14 shows 6 time series between March quarter 2011 and December quarter 2021 for each of the following tourism sectors: cafes, restaurants and takeaway food services; retail trade; accommodation; education and training; travel agency and information centre services; air, water and other transport.&#10;Each sector saw declines at the start of the pandemic, but each except education and training has recovered partially. The number of tourism filled jobs in the education and training sector remained close to zero at the end of 2021, compared with 75,000 in December quarter 2019.&#10;&#10;">
                  <a:extLst xmlns:a="http://schemas.openxmlformats.org/drawingml/2006/main">
                    <a:ext uri="{FF2B5EF4-FFF2-40B4-BE49-F238E27FC236}">
                      <a16:creationId xmlns:a16="http://schemas.microsoft.com/office/drawing/2014/main" id="{A4056829-DA4B-46CD-8102-6B779696D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746FE120" w14:textId="27E6CA4A" w:rsidR="00B5575A" w:rsidRDefault="00B5575A" w:rsidP="005636D5"/>
        <w:p w14:paraId="74C06C8A" w14:textId="13717BD8" w:rsidR="00B5575A" w:rsidRDefault="00B5575A" w:rsidP="005636D5"/>
        <w:p w14:paraId="461D20EE" w14:textId="7CD7D158" w:rsidR="00B5575A" w:rsidRDefault="00B5575A" w:rsidP="005636D5"/>
        <w:p w14:paraId="1D4A0A16" w14:textId="124F2CDF" w:rsidR="00B5575A" w:rsidRDefault="00B5575A" w:rsidP="005636D5"/>
        <w:p w14:paraId="706B91D2" w14:textId="77777777" w:rsidR="00B5575A" w:rsidRDefault="00B5575A" w:rsidP="005636D5"/>
        <w:p w14:paraId="6FCA596A" w14:textId="623D3201" w:rsidR="00B5575A" w:rsidRDefault="00B5575A" w:rsidP="005636D5"/>
        <w:p w14:paraId="4CBECA59" w14:textId="29ADB455" w:rsidR="00B5575A" w:rsidRDefault="00B5575A" w:rsidP="005636D5"/>
        <w:p w14:paraId="2877A13D" w14:textId="77777777" w:rsidR="00B5575A" w:rsidRDefault="00B5575A" w:rsidP="005636D5"/>
        <w:p w14:paraId="6852912B" w14:textId="3F5C2521" w:rsidR="00B5575A" w:rsidRDefault="00B5575A" w:rsidP="005636D5"/>
        <w:p w14:paraId="5CB32690" w14:textId="4E5860AB" w:rsidR="00B5575A" w:rsidRDefault="00B5575A" w:rsidP="005636D5"/>
        <w:p w14:paraId="78F2D216" w14:textId="77777777" w:rsidR="00B5575A" w:rsidRDefault="00B5575A" w:rsidP="005636D5"/>
        <w:p w14:paraId="443DF664" w14:textId="77777777" w:rsidR="00B5575A" w:rsidRDefault="00B5575A" w:rsidP="005636D5"/>
        <w:p w14:paraId="7523B12D" w14:textId="77777777" w:rsidR="00B5575A" w:rsidRDefault="00B5575A" w:rsidP="005636D5"/>
        <w:p w14:paraId="3F046B1D" w14:textId="01D140B8" w:rsidR="00B5575A" w:rsidRDefault="00B5575A" w:rsidP="005636D5"/>
        <w:p w14:paraId="0D79B8AA" w14:textId="3BBB57D1" w:rsidR="005636D5" w:rsidRDefault="005574B6" w:rsidP="005636D5">
          <w:pPr>
            <w:rPr>
              <w:rFonts w:ascii="Calibri" w:hAnsi="Calibri"/>
              <w:color w:val="auto"/>
            </w:rPr>
          </w:pPr>
          <w:r>
            <w:t>Despite th</w:t>
          </w:r>
          <w:r w:rsidR="00F067DA">
            <w:t>is s</w:t>
          </w:r>
          <w:r>
            <w:t>ignificant</w:t>
          </w:r>
          <w:r w:rsidR="00DC5B51">
            <w:t xml:space="preserve"> improvement</w:t>
          </w:r>
          <w:r w:rsidR="00392CE4">
            <w:t>,</w:t>
          </w:r>
          <w:r>
            <w:t xml:space="preserve"> </w:t>
          </w:r>
          <w:r w:rsidR="00486989">
            <w:t>there were 120,500</w:t>
          </w:r>
          <w:r w:rsidR="000F5BC2">
            <w:t> </w:t>
          </w:r>
          <w:r w:rsidR="00486989">
            <w:t xml:space="preserve">fewer filled jobs </w:t>
          </w:r>
          <w:r w:rsidR="00F067DA">
            <w:t xml:space="preserve">in </w:t>
          </w:r>
          <w:r w:rsidR="004266C9">
            <w:t xml:space="preserve">Australia’s </w:t>
          </w:r>
          <w:r w:rsidR="00F067DA">
            <w:t xml:space="preserve">visitor economy </w:t>
          </w:r>
          <w:r w:rsidR="00A107EA">
            <w:t>in Decembe</w:t>
          </w:r>
          <w:r w:rsidR="009E0231">
            <w:t xml:space="preserve">r 2021 </w:t>
          </w:r>
          <w:r w:rsidR="00A107EA">
            <w:t>than before the pandemic.</w:t>
          </w:r>
          <w:r w:rsidR="009E0231">
            <w:t xml:space="preserve"> This equates to a 16% decline </w:t>
          </w:r>
          <w:r w:rsidR="00A107EA">
            <w:t xml:space="preserve">in </w:t>
          </w:r>
          <w:r>
            <w:t>job numbers</w:t>
          </w:r>
          <w:r w:rsidR="005B4933">
            <w:t xml:space="preserve"> for the </w:t>
          </w:r>
          <w:r w:rsidR="00B9688F">
            <w:t>tourism sector</w:t>
          </w:r>
          <w:r w:rsidR="005B4933">
            <w:t xml:space="preserve">, in contrast to the 2% increase in the </w:t>
          </w:r>
          <w:r w:rsidR="00063425">
            <w:t xml:space="preserve">national labour force </w:t>
          </w:r>
          <w:r w:rsidR="005B4933">
            <w:t>over the same period</w:t>
          </w:r>
          <w:r w:rsidR="00063425">
            <w:t>.</w:t>
          </w:r>
          <w:r w:rsidR="0098333A">
            <w:t xml:space="preserve"> Across </w:t>
          </w:r>
          <w:r w:rsidR="0036278D">
            <w:t xml:space="preserve">the </w:t>
          </w:r>
          <w:r w:rsidR="00B9688F">
            <w:t>tourism-related industries</w:t>
          </w:r>
          <w:r w:rsidR="0058703B">
            <w:t xml:space="preserve">, </w:t>
          </w:r>
          <w:r w:rsidR="00DB67DA">
            <w:t xml:space="preserve">losses in filled jobs </w:t>
          </w:r>
          <w:r w:rsidR="009E2336">
            <w:t>between December 2019 and December 2021 we</w:t>
          </w:r>
          <w:r w:rsidR="00DB67DA">
            <w:t>re as follows</w:t>
          </w:r>
          <w:r w:rsidR="00A23012">
            <w:t>:</w:t>
          </w:r>
        </w:p>
        <w:p w14:paraId="11AE0DDA" w14:textId="368694DB" w:rsidR="005636D5" w:rsidRDefault="005636D5" w:rsidP="00B51BCB">
          <w:pPr>
            <w:pStyle w:val="ListParagraph"/>
            <w:numPr>
              <w:ilvl w:val="0"/>
              <w:numId w:val="7"/>
            </w:numPr>
            <w:spacing w:before="0" w:after="160"/>
            <w:rPr>
              <w:rFonts w:eastAsia="Times New Roman"/>
            </w:rPr>
          </w:pPr>
          <w:r>
            <w:rPr>
              <w:rFonts w:eastAsia="Times New Roman"/>
            </w:rPr>
            <w:t>education and training</w:t>
          </w:r>
          <w:r w:rsidR="00B423D4">
            <w:rPr>
              <w:rFonts w:eastAsia="Times New Roman"/>
            </w:rPr>
            <w:t xml:space="preserve">, down </w:t>
          </w:r>
          <w:r w:rsidR="0070312E">
            <w:rPr>
              <w:rFonts w:eastAsia="Times New Roman"/>
            </w:rPr>
            <w:t xml:space="preserve">by </w:t>
          </w:r>
          <w:r>
            <w:rPr>
              <w:rFonts w:eastAsia="Times New Roman"/>
            </w:rPr>
            <w:t>99% (74,500</w:t>
          </w:r>
          <w:r w:rsidR="003D0922">
            <w:rPr>
              <w:rFonts w:eastAsia="Times New Roman"/>
            </w:rPr>
            <w:t> </w:t>
          </w:r>
          <w:r>
            <w:rPr>
              <w:rFonts w:eastAsia="Times New Roman"/>
            </w:rPr>
            <w:t>jobs)</w:t>
          </w:r>
        </w:p>
        <w:p w14:paraId="5D563198" w14:textId="4CCF235F" w:rsidR="005636D5" w:rsidRDefault="005636D5" w:rsidP="00B51BCB">
          <w:pPr>
            <w:pStyle w:val="ListParagraph"/>
            <w:numPr>
              <w:ilvl w:val="0"/>
              <w:numId w:val="7"/>
            </w:numPr>
            <w:spacing w:before="0" w:after="160"/>
            <w:rPr>
              <w:rFonts w:eastAsia="Times New Roman"/>
            </w:rPr>
          </w:pPr>
          <w:r>
            <w:rPr>
              <w:rFonts w:eastAsia="Times New Roman"/>
            </w:rPr>
            <w:t>air, water and other transport</w:t>
          </w:r>
          <w:r w:rsidR="00B423D4">
            <w:rPr>
              <w:rFonts w:eastAsia="Times New Roman"/>
            </w:rPr>
            <w:t xml:space="preserve">, down </w:t>
          </w:r>
          <w:r w:rsidR="0070312E">
            <w:rPr>
              <w:rFonts w:eastAsia="Times New Roman"/>
            </w:rPr>
            <w:t xml:space="preserve">by </w:t>
          </w:r>
          <w:r>
            <w:rPr>
              <w:rFonts w:eastAsia="Times New Roman"/>
            </w:rPr>
            <w:t xml:space="preserve">30% (10,600 jobs) </w:t>
          </w:r>
        </w:p>
        <w:p w14:paraId="290F44BB" w14:textId="4143F1C4" w:rsidR="005B4933" w:rsidRDefault="005636D5" w:rsidP="0070312E">
          <w:pPr>
            <w:pStyle w:val="ListParagraph"/>
            <w:numPr>
              <w:ilvl w:val="0"/>
              <w:numId w:val="7"/>
            </w:numPr>
            <w:spacing w:before="0" w:after="160"/>
            <w:rPr>
              <w:rFonts w:eastAsia="Times New Roman"/>
            </w:rPr>
          </w:pPr>
          <w:r>
            <w:rPr>
              <w:rFonts w:eastAsia="Times New Roman"/>
            </w:rPr>
            <w:t>cultural services</w:t>
          </w:r>
          <w:r w:rsidR="00B423D4">
            <w:rPr>
              <w:rFonts w:eastAsia="Times New Roman"/>
            </w:rPr>
            <w:t xml:space="preserve">, down </w:t>
          </w:r>
          <w:r w:rsidR="0070312E">
            <w:rPr>
              <w:rFonts w:eastAsia="Times New Roman"/>
            </w:rPr>
            <w:t xml:space="preserve">by </w:t>
          </w:r>
          <w:r>
            <w:rPr>
              <w:rFonts w:eastAsia="Times New Roman"/>
            </w:rPr>
            <w:t>20% (2,500 jobs)</w:t>
          </w:r>
        </w:p>
        <w:p w14:paraId="3E663D17" w14:textId="4347998D" w:rsidR="005636D5" w:rsidRPr="005B4933" w:rsidRDefault="005636D5" w:rsidP="0070312E">
          <w:pPr>
            <w:pStyle w:val="ListParagraph"/>
            <w:numPr>
              <w:ilvl w:val="0"/>
              <w:numId w:val="7"/>
            </w:numPr>
            <w:spacing w:before="0" w:after="160"/>
            <w:rPr>
              <w:rFonts w:eastAsia="Times New Roman"/>
            </w:rPr>
          </w:pPr>
          <w:r w:rsidRPr="005B4933">
            <w:rPr>
              <w:rFonts w:eastAsia="Times New Roman"/>
            </w:rPr>
            <w:t>sports and recreation services</w:t>
          </w:r>
          <w:r w:rsidR="00B423D4" w:rsidRPr="005B4933">
            <w:rPr>
              <w:rFonts w:eastAsia="Times New Roman"/>
            </w:rPr>
            <w:t xml:space="preserve">, down </w:t>
          </w:r>
          <w:r w:rsidR="005B4933">
            <w:rPr>
              <w:rFonts w:eastAsia="Times New Roman"/>
            </w:rPr>
            <w:t xml:space="preserve">by </w:t>
          </w:r>
          <w:r w:rsidRPr="005B4933">
            <w:rPr>
              <w:rFonts w:eastAsia="Times New Roman"/>
            </w:rPr>
            <w:t>12% (4,300 jobs)</w:t>
          </w:r>
        </w:p>
        <w:p w14:paraId="7654081A" w14:textId="4DFE00FB" w:rsidR="005636D5" w:rsidRDefault="005636D5" w:rsidP="00B51BCB">
          <w:pPr>
            <w:pStyle w:val="ListParagraph"/>
            <w:numPr>
              <w:ilvl w:val="0"/>
              <w:numId w:val="7"/>
            </w:numPr>
            <w:spacing w:before="0" w:after="160"/>
            <w:rPr>
              <w:rFonts w:eastAsia="Times New Roman"/>
            </w:rPr>
          </w:pPr>
          <w:r>
            <w:rPr>
              <w:rFonts w:eastAsia="Times New Roman"/>
            </w:rPr>
            <w:t>retail trade</w:t>
          </w:r>
          <w:r w:rsidR="00B423D4">
            <w:rPr>
              <w:rFonts w:eastAsia="Times New Roman"/>
            </w:rPr>
            <w:t xml:space="preserve">, down </w:t>
          </w:r>
          <w:r w:rsidR="0070312E">
            <w:rPr>
              <w:rFonts w:eastAsia="Times New Roman"/>
            </w:rPr>
            <w:t xml:space="preserve">by </w:t>
          </w:r>
          <w:r>
            <w:rPr>
              <w:rFonts w:eastAsia="Times New Roman"/>
            </w:rPr>
            <w:t>12% (14,900 jobs)</w:t>
          </w:r>
        </w:p>
        <w:p w14:paraId="3A1836CD" w14:textId="0AA48E44" w:rsidR="00432540" w:rsidRDefault="005636D5" w:rsidP="00B51BCB">
          <w:pPr>
            <w:pStyle w:val="ListParagraph"/>
            <w:numPr>
              <w:ilvl w:val="0"/>
              <w:numId w:val="7"/>
            </w:numPr>
            <w:spacing w:before="0" w:after="160"/>
            <w:rPr>
              <w:rFonts w:eastAsia="Times New Roman"/>
            </w:rPr>
          </w:pPr>
          <w:r w:rsidRPr="005636D5">
            <w:rPr>
              <w:rFonts w:eastAsia="Times New Roman"/>
            </w:rPr>
            <w:t>accommodation</w:t>
          </w:r>
          <w:r w:rsidR="00B423D4">
            <w:rPr>
              <w:rFonts w:eastAsia="Times New Roman"/>
            </w:rPr>
            <w:t xml:space="preserve">, down </w:t>
          </w:r>
          <w:r w:rsidR="0070312E">
            <w:rPr>
              <w:rFonts w:eastAsia="Times New Roman"/>
            </w:rPr>
            <w:t xml:space="preserve">by </w:t>
          </w:r>
          <w:r w:rsidRPr="005636D5">
            <w:rPr>
              <w:rFonts w:eastAsia="Times New Roman"/>
            </w:rPr>
            <w:t>6% (6,500 jobs</w:t>
          </w:r>
          <w:r>
            <w:rPr>
              <w:rFonts w:eastAsia="Times New Roman"/>
            </w:rPr>
            <w:t>)</w:t>
          </w:r>
        </w:p>
        <w:p w14:paraId="65F280D8" w14:textId="086FFB4B" w:rsidR="00432540" w:rsidRDefault="00432540" w:rsidP="00B51BCB">
          <w:pPr>
            <w:pStyle w:val="ListParagraph"/>
            <w:numPr>
              <w:ilvl w:val="0"/>
              <w:numId w:val="7"/>
            </w:numPr>
            <w:spacing w:before="0" w:after="160"/>
            <w:rPr>
              <w:rFonts w:eastAsia="Times New Roman"/>
            </w:rPr>
          </w:pPr>
          <w:r>
            <w:rPr>
              <w:rFonts w:eastAsia="Times New Roman"/>
            </w:rPr>
            <w:t>travel agency and information centre services, down 5% (1,900 jobs)</w:t>
          </w:r>
        </w:p>
        <w:p w14:paraId="0370B983" w14:textId="2F28EC7F" w:rsidR="005636D5" w:rsidRDefault="00432540" w:rsidP="00B51BCB">
          <w:pPr>
            <w:pStyle w:val="ListParagraph"/>
            <w:numPr>
              <w:ilvl w:val="0"/>
              <w:numId w:val="7"/>
            </w:numPr>
            <w:spacing w:before="0" w:after="160"/>
            <w:rPr>
              <w:rFonts w:eastAsia="Times New Roman"/>
            </w:rPr>
          </w:pPr>
          <w:r>
            <w:rPr>
              <w:rFonts w:eastAsia="Times New Roman"/>
            </w:rPr>
            <w:t>cafés, restaurants and takeaways, down 2% (4,600 jobs)</w:t>
          </w:r>
          <w:r w:rsidR="0087640C">
            <w:rPr>
              <w:rFonts w:eastAsia="Times New Roman"/>
            </w:rPr>
            <w:t>.</w:t>
          </w:r>
        </w:p>
        <w:p w14:paraId="55DEA447" w14:textId="4657550F" w:rsidR="00516008" w:rsidRDefault="00516008" w:rsidP="00516008">
          <w:r>
            <w:t xml:space="preserve">As </w:t>
          </w:r>
          <w:r w:rsidR="005A080C">
            <w:t xml:space="preserve">public health </w:t>
          </w:r>
          <w:r>
            <w:t xml:space="preserve">restrictions eased, </w:t>
          </w:r>
          <w:r w:rsidR="00B5575A">
            <w:t xml:space="preserve">tourism </w:t>
          </w:r>
          <w:r>
            <w:t>businesses faced the additional challenge of finding the skilled and unskilled workers needed to meet the increase in visitor demand. These challenges became especially acute in the regions that would normally benefit from the increase in visitation during Australia’s summer holiday season. These challenges are likely to persist for some time as:</w:t>
          </w:r>
        </w:p>
        <w:p w14:paraId="59511D9F" w14:textId="1FA669D9" w:rsidR="00516008" w:rsidRPr="00191680" w:rsidRDefault="00516008" w:rsidP="00293012">
          <w:pPr>
            <w:pStyle w:val="BulletList"/>
            <w:ind w:left="851" w:hanging="425"/>
          </w:pPr>
          <w:r w:rsidRPr="00191680">
            <w:t>the national unemployment rate is at an historical low</w:t>
          </w:r>
        </w:p>
        <w:p w14:paraId="641555DA" w14:textId="77777777" w:rsidR="00191680" w:rsidRPr="00191680" w:rsidRDefault="00516008" w:rsidP="00293012">
          <w:pPr>
            <w:pStyle w:val="BulletList"/>
            <w:ind w:left="851" w:hanging="425"/>
          </w:pPr>
          <w:r w:rsidRPr="00191680">
            <w:t>job vacancies are at record highs (after having nearly doubled since the start of the pandemic)</w:t>
          </w:r>
        </w:p>
        <w:p w14:paraId="74621102" w14:textId="1BA6ABB1" w:rsidR="00516008" w:rsidRPr="00191680" w:rsidRDefault="00516008" w:rsidP="00293012">
          <w:pPr>
            <w:pStyle w:val="BulletList"/>
            <w:ind w:left="851" w:hanging="425"/>
          </w:pPr>
          <w:r w:rsidRPr="00191680">
            <w:t>arrivals of working holiday-makers, international students and other temporary workers are well below pre-pandemic levels</w:t>
          </w:r>
        </w:p>
        <w:p w14:paraId="713379C7" w14:textId="7D410EE0" w:rsidR="00516008" w:rsidRPr="00191680" w:rsidRDefault="00516008" w:rsidP="00293012">
          <w:pPr>
            <w:pStyle w:val="BulletList"/>
            <w:ind w:left="851" w:hanging="425"/>
          </w:pPr>
          <w:r w:rsidRPr="00191680">
            <w:t xml:space="preserve">COVID-related absenteeism </w:t>
          </w:r>
          <w:r w:rsidR="00293012">
            <w:t>continues to affect the existing workforce</w:t>
          </w:r>
          <w:r w:rsidRPr="00191680">
            <w:t>, despite high vaccination rates</w:t>
          </w:r>
        </w:p>
        <w:p w14:paraId="5ED3B177" w14:textId="1514557D" w:rsidR="00516008" w:rsidRDefault="00516008" w:rsidP="00293012">
          <w:pPr>
            <w:pStyle w:val="BulletList"/>
            <w:ind w:left="851" w:hanging="425"/>
          </w:pPr>
          <w:r w:rsidRPr="00191680">
            <w:t>visitor demand will continue to grow as traveller confidence increases and international arri</w:t>
          </w:r>
          <w:r>
            <w:t>vals increase.</w:t>
          </w:r>
        </w:p>
        <w:p w14:paraId="53CC848C" w14:textId="77777777" w:rsidR="005A080C" w:rsidRPr="00B5575A" w:rsidRDefault="005A080C" w:rsidP="009E3766">
          <w:pPr>
            <w:pStyle w:val="Heading4"/>
            <w:spacing w:before="600"/>
            <w:ind w:left="567"/>
            <w:rPr>
              <w:lang w:eastAsia="zh-CN"/>
            </w:rPr>
          </w:pPr>
          <w:r w:rsidRPr="00B5575A">
            <w:rPr>
              <w:lang w:eastAsia="zh-CN"/>
            </w:rPr>
            <w:t>Box: Tourism Ratios</w:t>
          </w:r>
        </w:p>
        <w:p w14:paraId="2D80F431" w14:textId="20F4361C" w:rsidR="000E5E06" w:rsidRPr="00B5575A" w:rsidRDefault="000E5E06" w:rsidP="00B5575A">
          <w:pPr>
            <w:ind w:left="567" w:right="737"/>
            <w:rPr>
              <w:sz w:val="18"/>
              <w:szCs w:val="18"/>
            </w:rPr>
          </w:pPr>
          <w:r w:rsidRPr="00B5575A">
            <w:rPr>
              <w:sz w:val="18"/>
              <w:szCs w:val="18"/>
            </w:rPr>
            <w:t xml:space="preserve">Tourism ratios are calculated by the Australian Bureau of Statistics (ABS) and represent the share of value add from each industry classification that is attributed to the visitor economy. </w:t>
          </w:r>
        </w:p>
        <w:p w14:paraId="4724B499" w14:textId="77777777" w:rsidR="000E5E06" w:rsidRPr="00B5575A" w:rsidRDefault="000E5E06" w:rsidP="00B5575A">
          <w:pPr>
            <w:ind w:left="567" w:right="737"/>
            <w:rPr>
              <w:sz w:val="18"/>
              <w:szCs w:val="18"/>
            </w:rPr>
          </w:pPr>
          <w:r w:rsidRPr="00B5575A">
            <w:rPr>
              <w:sz w:val="18"/>
              <w:szCs w:val="18"/>
            </w:rPr>
            <w:t xml:space="preserve">For example, the tourism share of the accommodation and food services industry was 33.3% in 2019–20, then declined to 26.2% in 2020–21. This means that the visitor-related contribution of accommodation and food services to the national economy has declined as business has adapted to a different customer-mix. </w:t>
          </w:r>
        </w:p>
        <w:p w14:paraId="66311F48" w14:textId="77777777" w:rsidR="000E5E06" w:rsidRPr="00B5575A" w:rsidRDefault="000E5E06" w:rsidP="00B5575A">
          <w:pPr>
            <w:ind w:left="567" w:right="737"/>
            <w:rPr>
              <w:sz w:val="18"/>
              <w:szCs w:val="18"/>
            </w:rPr>
          </w:pPr>
          <w:r w:rsidRPr="00B5575A">
            <w:rPr>
              <w:sz w:val="18"/>
              <w:szCs w:val="18"/>
            </w:rPr>
            <w:t xml:space="preserve">The tourism ratios are then applied to industry employment shares to produce a jobs estimate. For example, a barista may have previously been counted as working in the visitor economy when they were mostly serving coffees to visitors, but now that the business has shifted to serving mostly locals, that barista is no longer counted as working in the visitor economy (but the job itself has not been lost). </w:t>
          </w:r>
        </w:p>
        <w:p w14:paraId="0589F4DC" w14:textId="77777777" w:rsidR="000E5E06" w:rsidRPr="00B5575A" w:rsidRDefault="000E5E06" w:rsidP="00B5575A">
          <w:pPr>
            <w:ind w:left="567" w:right="737"/>
            <w:rPr>
              <w:sz w:val="18"/>
              <w:szCs w:val="18"/>
            </w:rPr>
          </w:pPr>
          <w:r w:rsidRPr="00B5575A">
            <w:rPr>
              <w:sz w:val="18"/>
              <w:szCs w:val="18"/>
            </w:rPr>
            <w:t>Tourism ratios have typically been recalculated every three years. However, due to the rapid changes brought about by COVID-19, the ABS has been updating the tourism ratios annually and will continue to do so until at least 2023. More revisions to the visitor economy job numbers can be expected over this period as a result of updates to tourism ratios.</w:t>
          </w:r>
        </w:p>
        <w:p w14:paraId="70122381" w14:textId="77777777" w:rsidR="009E3766" w:rsidRDefault="009E3766">
          <w:pPr>
            <w:spacing w:before="0" w:after="160" w:line="259" w:lineRule="auto"/>
            <w:rPr>
              <w:color w:val="auto"/>
            </w:rPr>
          </w:pPr>
          <w:r>
            <w:rPr>
              <w:color w:val="auto"/>
            </w:rPr>
            <w:br w:type="page"/>
          </w:r>
        </w:p>
        <w:p w14:paraId="24AA8102" w14:textId="2FC33D44" w:rsidR="007D56B1" w:rsidRPr="006F48B3" w:rsidRDefault="007D56B1" w:rsidP="007D56B1">
          <w:pPr>
            <w:spacing w:before="0" w:after="160"/>
            <w:rPr>
              <w:rFonts w:eastAsia="Times New Roman"/>
              <w:color w:val="auto"/>
            </w:rPr>
          </w:pPr>
          <w:r w:rsidRPr="006F48B3">
            <w:rPr>
              <w:color w:val="auto"/>
            </w:rPr>
            <w:t>The visitor economy has faced longstanding challenges with workforce and skills shortages. Prior to COVID-19, many positions were filled by overseas workers and short-term casual staff, due to perceptions around poor industry careers and a lack of career opportunities. The pandemic exacerbated these challenges as workers left to join other industries, and foreign nationals returned overseas.</w:t>
          </w:r>
        </w:p>
        <w:p w14:paraId="08529524" w14:textId="3209FEDA" w:rsidR="00834058" w:rsidRDefault="00834058" w:rsidP="00834058">
          <w:pPr>
            <w:rPr>
              <w:color w:val="auto"/>
            </w:rPr>
          </w:pPr>
          <w:r w:rsidRPr="006F48B3">
            <w:rPr>
              <w:color w:val="auto"/>
            </w:rPr>
            <w:t xml:space="preserve">Addressing workforce and skills shortages is a key priority of the THRIVE 2030 </w:t>
          </w:r>
          <w:r>
            <w:rPr>
              <w:color w:val="auto"/>
            </w:rPr>
            <w:t>S</w:t>
          </w:r>
          <w:r w:rsidRPr="006F48B3">
            <w:rPr>
              <w:color w:val="auto"/>
            </w:rPr>
            <w:t>trategy</w:t>
          </w:r>
          <w:r>
            <w:rPr>
              <w:color w:val="auto"/>
            </w:rPr>
            <w:t>,</w:t>
          </w:r>
          <w:r w:rsidRPr="006F48B3">
            <w:rPr>
              <w:color w:val="auto"/>
            </w:rPr>
            <w:t xml:space="preserve"> which recommends the establishment of a Workforce and Skills Technical Working Group </w:t>
          </w:r>
          <w:r>
            <w:rPr>
              <w:color w:val="auto"/>
            </w:rPr>
            <w:t xml:space="preserve">(WTSWG) </w:t>
          </w:r>
          <w:r w:rsidRPr="006F48B3">
            <w:rPr>
              <w:color w:val="auto"/>
            </w:rPr>
            <w:t xml:space="preserve">to identify the gaps, barriers and future needs of the visitor economy. </w:t>
          </w:r>
          <w:r>
            <w:rPr>
              <w:color w:val="auto"/>
            </w:rPr>
            <w:t xml:space="preserve">In fulfilling this </w:t>
          </w:r>
          <w:r w:rsidR="00B55358">
            <w:rPr>
              <w:color w:val="auto"/>
            </w:rPr>
            <w:t>role,</w:t>
          </w:r>
          <w:r>
            <w:rPr>
              <w:color w:val="auto"/>
            </w:rPr>
            <w:t xml:space="preserve"> the WTSWG will:</w:t>
          </w:r>
        </w:p>
        <w:p w14:paraId="6330489D" w14:textId="77777777" w:rsidR="00834058" w:rsidRPr="00D97A4C" w:rsidRDefault="00834058" w:rsidP="00834058">
          <w:pPr>
            <w:pStyle w:val="BulletList"/>
            <w:ind w:left="1077" w:hanging="357"/>
            <w:contextualSpacing w:val="0"/>
          </w:pPr>
          <w:r>
            <w:t>h</w:t>
          </w:r>
          <w:r w:rsidRPr="00D97A4C">
            <w:t>elp develop a Visitor Economy Workforce and Skills Long Term Strategy. Actions to build a world-class workforce include improving the resilience of the domestic workforce pipeline by addressing skills and training gaps, building the visitor economy as a career of choice, and attracting workers from under-represented cohorts.</w:t>
          </w:r>
        </w:p>
        <w:p w14:paraId="4E5E9443" w14:textId="77777777" w:rsidR="00834058" w:rsidRDefault="00834058" w:rsidP="00834058">
          <w:pPr>
            <w:pStyle w:val="BulletList"/>
            <w:ind w:left="1077" w:hanging="357"/>
            <w:contextualSpacing w:val="0"/>
          </w:pPr>
          <w:r w:rsidRPr="00D97A4C">
            <w:t xml:space="preserve">identify, in partnership with industry, options to increase workforce participation, including from a broad range of under-participating cohorts within Australia such as mature workers, people living with disability, Aboriginal and Torres Strait Islander peoples, and women. </w:t>
          </w:r>
        </w:p>
        <w:p w14:paraId="1D6AB764" w14:textId="29041D4B" w:rsidR="00834058" w:rsidRDefault="00834058" w:rsidP="00834058">
          <w:pPr>
            <w:pStyle w:val="BulletList"/>
            <w:ind w:left="1077" w:hanging="357"/>
            <w:contextualSpacing w:val="0"/>
          </w:pPr>
          <w:r w:rsidRPr="00D97A4C">
            <w:t>champion and promot</w:t>
          </w:r>
          <w:r>
            <w:t>e</w:t>
          </w:r>
          <w:r w:rsidRPr="00D97A4C">
            <w:t xml:space="preserve"> the standards expected of employers within industry to addressing poor perceptions about employment conditions in the industry.</w:t>
          </w:r>
        </w:p>
        <w:p w14:paraId="3C23F51B" w14:textId="7854B91B" w:rsidR="007D56B1" w:rsidRPr="006F48B3" w:rsidRDefault="007D56B1" w:rsidP="007D56B1">
          <w:pPr>
            <w:rPr>
              <w:color w:val="auto"/>
            </w:rPr>
          </w:pPr>
        </w:p>
        <w:p w14:paraId="385A35CE" w14:textId="381A3709" w:rsidR="00B5575A" w:rsidRPr="00A37FD6" w:rsidRDefault="00B5575A" w:rsidP="009E3766">
          <w:pPr>
            <w:pStyle w:val="Heading4"/>
            <w:spacing w:before="480"/>
            <w:ind w:left="567"/>
          </w:pPr>
          <w:r>
            <w:rPr>
              <w:noProof/>
            </w:rPr>
            <w:drawing>
              <wp:anchor distT="0" distB="0" distL="114300" distR="114300" simplePos="0" relativeHeight="251840512" behindDoc="0" locked="0" layoutInCell="1" allowOverlap="1" wp14:anchorId="6C07958D" wp14:editId="1F5A7966">
                <wp:simplePos x="0" y="0"/>
                <wp:positionH relativeFrom="column">
                  <wp:posOffset>3341370</wp:posOffset>
                </wp:positionH>
                <wp:positionV relativeFrom="paragraph">
                  <wp:posOffset>39370</wp:posOffset>
                </wp:positionV>
                <wp:extent cx="2809875" cy="3711575"/>
                <wp:effectExtent l="0" t="0" r="9525" b="3175"/>
                <wp:wrapNone/>
                <wp:docPr id="8" name="Picture 8" descr="Promotional image for campaign by the Queensland Government. &#10;&#10;&quot;Make the Jump&#10;Work in Paradise&quot;&#10;&#10;Qld.gov.au/workinparadi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54" descr="Promotional image for campaign by the Queensland Government. &#10;&#10;&quot;Make the Jump&#10;Work in Paradise&quot;&#10;&#10;Qld.gov.au/workinparadise"/>
                        <pic:cNvPicPr/>
                      </pic:nvPicPr>
                      <pic:blipFill>
                        <a:blip r:embed="rId42"/>
                        <a:stretch>
                          <a:fillRect/>
                        </a:stretch>
                      </pic:blipFill>
                      <pic:spPr>
                        <a:xfrm>
                          <a:off x="0" y="0"/>
                          <a:ext cx="2809875" cy="3711575"/>
                        </a:xfrm>
                        <a:prstGeom prst="rect">
                          <a:avLst/>
                        </a:prstGeom>
                      </pic:spPr>
                    </pic:pic>
                  </a:graphicData>
                </a:graphic>
                <wp14:sizeRelH relativeFrom="page">
                  <wp14:pctWidth>0</wp14:pctWidth>
                </wp14:sizeRelH>
                <wp14:sizeRelV relativeFrom="page">
                  <wp14:pctHeight>0</wp14:pctHeight>
                </wp14:sizeRelV>
              </wp:anchor>
            </w:drawing>
          </w:r>
          <w:r>
            <w:t xml:space="preserve">Case study: </w:t>
          </w:r>
          <w:r w:rsidRPr="00A37FD6">
            <w:t>Work in Paradise</w:t>
          </w:r>
        </w:p>
        <w:p w14:paraId="78D3D2AC" w14:textId="77777777" w:rsidR="00B5575A" w:rsidRDefault="00B5575A" w:rsidP="00B5575A">
          <w:pPr>
            <w:spacing w:before="0" w:after="0" w:line="280" w:lineRule="exact"/>
            <w:ind w:left="567" w:right="567"/>
            <w:rPr>
              <w:sz w:val="18"/>
              <w:szCs w:val="18"/>
            </w:rPr>
          </w:pPr>
          <w:r w:rsidRPr="00B83A77">
            <w:rPr>
              <w:sz w:val="18"/>
              <w:szCs w:val="18"/>
            </w:rPr>
            <w:t xml:space="preserve">With COVID-19 exacerbating workforce shortages </w:t>
          </w:r>
        </w:p>
        <w:p w14:paraId="25C1DB4B" w14:textId="77777777" w:rsidR="00B5575A" w:rsidRDefault="00B5575A" w:rsidP="00B5575A">
          <w:pPr>
            <w:spacing w:before="0" w:after="0" w:line="280" w:lineRule="exact"/>
            <w:ind w:left="567" w:right="567"/>
            <w:rPr>
              <w:sz w:val="18"/>
              <w:szCs w:val="18"/>
            </w:rPr>
          </w:pPr>
          <w:r w:rsidRPr="00B83A77">
            <w:rPr>
              <w:sz w:val="18"/>
              <w:szCs w:val="18"/>
            </w:rPr>
            <w:t xml:space="preserve">in Queensland, in 2021 the Queensland </w:t>
          </w:r>
        </w:p>
        <w:p w14:paraId="2BE850A7" w14:textId="77777777" w:rsidR="00B5575A" w:rsidRDefault="00B5575A" w:rsidP="00B5575A">
          <w:pPr>
            <w:spacing w:before="0" w:after="0" w:line="280" w:lineRule="exact"/>
            <w:ind w:left="567" w:right="567"/>
            <w:rPr>
              <w:sz w:val="18"/>
              <w:szCs w:val="18"/>
            </w:rPr>
          </w:pPr>
          <w:r w:rsidRPr="00B83A77">
            <w:rPr>
              <w:sz w:val="18"/>
              <w:szCs w:val="18"/>
            </w:rPr>
            <w:t xml:space="preserve">Government took action to attract workers to the </w:t>
          </w:r>
        </w:p>
        <w:p w14:paraId="41F0100A" w14:textId="77777777" w:rsidR="00B5575A" w:rsidRDefault="00B5575A" w:rsidP="00B5575A">
          <w:pPr>
            <w:spacing w:before="0" w:after="0" w:line="280" w:lineRule="exact"/>
            <w:ind w:left="567" w:right="567"/>
            <w:rPr>
              <w:sz w:val="18"/>
              <w:szCs w:val="18"/>
            </w:rPr>
          </w:pPr>
          <w:r w:rsidRPr="00B83A77">
            <w:rPr>
              <w:sz w:val="18"/>
              <w:szCs w:val="18"/>
            </w:rPr>
            <w:t>regions with the $7.5</w:t>
          </w:r>
          <w:r>
            <w:rPr>
              <w:sz w:val="18"/>
              <w:szCs w:val="18"/>
            </w:rPr>
            <w:t> </w:t>
          </w:r>
          <w:r w:rsidRPr="00B83A77">
            <w:rPr>
              <w:sz w:val="18"/>
              <w:szCs w:val="18"/>
            </w:rPr>
            <w:t xml:space="preserve">million Work in Paradise </w:t>
          </w:r>
        </w:p>
        <w:p w14:paraId="77CEFB18" w14:textId="0A6AE56C" w:rsidR="00B5575A" w:rsidRPr="00B83A77" w:rsidRDefault="00B5575A" w:rsidP="00B5575A">
          <w:pPr>
            <w:spacing w:before="0" w:after="120" w:line="280" w:lineRule="exact"/>
            <w:ind w:left="567" w:right="567"/>
            <w:rPr>
              <w:rFonts w:asciiTheme="minorHAnsi" w:hAnsiTheme="minorHAnsi"/>
              <w:color w:val="auto"/>
              <w:sz w:val="18"/>
              <w:szCs w:val="18"/>
              <w:lang w:val="en-US"/>
            </w:rPr>
          </w:pPr>
          <w:r w:rsidRPr="00B83A77">
            <w:rPr>
              <w:sz w:val="18"/>
              <w:szCs w:val="18"/>
            </w:rPr>
            <w:t>program.</w:t>
          </w:r>
        </w:p>
        <w:p w14:paraId="01312022" w14:textId="77777777" w:rsidR="00B5575A" w:rsidRDefault="00B5575A" w:rsidP="00B5575A">
          <w:pPr>
            <w:spacing w:before="120" w:after="0" w:line="280" w:lineRule="exact"/>
            <w:ind w:left="567" w:right="567"/>
            <w:rPr>
              <w:sz w:val="18"/>
              <w:szCs w:val="18"/>
            </w:rPr>
          </w:pPr>
          <w:r w:rsidRPr="00B83A77">
            <w:rPr>
              <w:sz w:val="18"/>
              <w:szCs w:val="18"/>
            </w:rPr>
            <w:t xml:space="preserve">Launched in May 2021 with a bold campaign that </w:t>
          </w:r>
        </w:p>
        <w:p w14:paraId="2A396735" w14:textId="77777777" w:rsidR="00B5575A" w:rsidRDefault="00B5575A" w:rsidP="00B5575A">
          <w:pPr>
            <w:spacing w:before="0" w:after="0" w:line="280" w:lineRule="exact"/>
            <w:ind w:left="567" w:right="567"/>
            <w:rPr>
              <w:sz w:val="18"/>
              <w:szCs w:val="18"/>
            </w:rPr>
          </w:pPr>
          <w:r w:rsidRPr="00B83A77">
            <w:rPr>
              <w:sz w:val="18"/>
              <w:szCs w:val="18"/>
            </w:rPr>
            <w:t xml:space="preserve">tapped into the allure of coming to work, live and </w:t>
          </w:r>
        </w:p>
        <w:p w14:paraId="6495D9A9" w14:textId="77777777" w:rsidR="00B5575A" w:rsidRDefault="00B5575A" w:rsidP="00B5575A">
          <w:pPr>
            <w:spacing w:before="0" w:after="0" w:line="280" w:lineRule="exact"/>
            <w:ind w:left="567" w:right="567"/>
            <w:rPr>
              <w:sz w:val="18"/>
              <w:szCs w:val="18"/>
            </w:rPr>
          </w:pPr>
          <w:r w:rsidRPr="00B83A77">
            <w:rPr>
              <w:sz w:val="18"/>
              <w:szCs w:val="18"/>
            </w:rPr>
            <w:t xml:space="preserve">play in the state’s world-class destinations, </w:t>
          </w:r>
        </w:p>
        <w:p w14:paraId="29C58CB0" w14:textId="77777777" w:rsidR="00B5575A" w:rsidRDefault="00DF02C2" w:rsidP="00B5575A">
          <w:pPr>
            <w:spacing w:before="0" w:after="0" w:line="280" w:lineRule="exact"/>
            <w:ind w:left="567" w:right="567"/>
            <w:rPr>
              <w:sz w:val="18"/>
              <w:szCs w:val="18"/>
            </w:rPr>
          </w:pPr>
          <w:hyperlink r:id="rId43" w:history="1">
            <w:r w:rsidR="00B5575A" w:rsidRPr="00B83A77">
              <w:rPr>
                <w:rStyle w:val="Hyperlink"/>
                <w:sz w:val="18"/>
                <w:szCs w:val="18"/>
              </w:rPr>
              <w:t>Work in Paradise</w:t>
            </w:r>
          </w:hyperlink>
          <w:r w:rsidR="00B5575A" w:rsidRPr="00B83A77">
            <w:rPr>
              <w:sz w:val="18"/>
              <w:szCs w:val="18"/>
            </w:rPr>
            <w:t xml:space="preserve"> attracted instant global attention.</w:t>
          </w:r>
        </w:p>
        <w:p w14:paraId="5F93AD1C" w14:textId="77777777" w:rsidR="00B5575A" w:rsidRDefault="00B5575A" w:rsidP="00B5575A">
          <w:pPr>
            <w:spacing w:before="0" w:after="0" w:line="280" w:lineRule="exact"/>
            <w:ind w:left="567" w:right="567"/>
            <w:rPr>
              <w:sz w:val="18"/>
              <w:szCs w:val="18"/>
            </w:rPr>
          </w:pPr>
          <w:r w:rsidRPr="00B83A77">
            <w:rPr>
              <w:sz w:val="18"/>
              <w:szCs w:val="18"/>
            </w:rPr>
            <w:t xml:space="preserve">The program was a partnership between the </w:t>
          </w:r>
        </w:p>
        <w:p w14:paraId="1DD4C8B4" w14:textId="77777777" w:rsidR="00B5575A" w:rsidRDefault="00B5575A" w:rsidP="00B5575A">
          <w:pPr>
            <w:spacing w:before="0" w:after="0" w:line="280" w:lineRule="exact"/>
            <w:ind w:left="567" w:right="567"/>
            <w:rPr>
              <w:sz w:val="18"/>
              <w:szCs w:val="18"/>
            </w:rPr>
          </w:pPr>
          <w:r w:rsidRPr="00B83A77">
            <w:rPr>
              <w:sz w:val="18"/>
              <w:szCs w:val="18"/>
            </w:rPr>
            <w:t xml:space="preserve">Department of Tourism, Innovation and Sport and </w:t>
          </w:r>
        </w:p>
        <w:p w14:paraId="18A4B124" w14:textId="77777777" w:rsidR="00B5575A" w:rsidRDefault="00B5575A" w:rsidP="00B5575A">
          <w:pPr>
            <w:spacing w:before="0" w:after="0" w:line="280" w:lineRule="exact"/>
            <w:ind w:left="567" w:right="567"/>
            <w:rPr>
              <w:sz w:val="18"/>
              <w:szCs w:val="18"/>
            </w:rPr>
          </w:pPr>
          <w:r w:rsidRPr="00B83A77">
            <w:rPr>
              <w:sz w:val="18"/>
              <w:szCs w:val="18"/>
            </w:rPr>
            <w:t xml:space="preserve">Tourism and Events Queensland, which delivered </w:t>
          </w:r>
        </w:p>
        <w:p w14:paraId="2A2FA182" w14:textId="77777777" w:rsidR="00B5575A" w:rsidRDefault="00B5575A" w:rsidP="00B5575A">
          <w:pPr>
            <w:spacing w:before="0" w:after="0" w:line="280" w:lineRule="exact"/>
            <w:ind w:left="567" w:right="567"/>
            <w:rPr>
              <w:sz w:val="18"/>
              <w:szCs w:val="18"/>
            </w:rPr>
          </w:pPr>
          <w:r w:rsidRPr="00B83A77">
            <w:rPr>
              <w:sz w:val="18"/>
              <w:szCs w:val="18"/>
            </w:rPr>
            <w:t xml:space="preserve">the marketing campaign. It was a first for the </w:t>
          </w:r>
        </w:p>
        <w:p w14:paraId="1F6EDF5F" w14:textId="77777777" w:rsidR="00B5575A" w:rsidRDefault="00B5575A" w:rsidP="00B5575A">
          <w:pPr>
            <w:spacing w:before="0" w:after="0" w:line="280" w:lineRule="exact"/>
            <w:ind w:left="567" w:right="567"/>
            <w:rPr>
              <w:sz w:val="18"/>
              <w:szCs w:val="18"/>
            </w:rPr>
          </w:pPr>
          <w:r w:rsidRPr="00B83A77">
            <w:rPr>
              <w:sz w:val="18"/>
              <w:szCs w:val="18"/>
            </w:rPr>
            <w:t xml:space="preserve">Queensland Government and unique in Australia in </w:t>
          </w:r>
        </w:p>
        <w:p w14:paraId="616154D3" w14:textId="77777777" w:rsidR="00B5575A" w:rsidRDefault="00B5575A" w:rsidP="00B5575A">
          <w:pPr>
            <w:spacing w:before="0" w:after="0" w:line="280" w:lineRule="exact"/>
            <w:ind w:left="567" w:right="567"/>
            <w:rPr>
              <w:sz w:val="18"/>
              <w:szCs w:val="18"/>
            </w:rPr>
          </w:pPr>
          <w:r w:rsidRPr="00B83A77">
            <w:rPr>
              <w:sz w:val="18"/>
              <w:szCs w:val="18"/>
            </w:rPr>
            <w:t>that it combined a $1</w:t>
          </w:r>
          <w:r>
            <w:rPr>
              <w:sz w:val="18"/>
              <w:szCs w:val="18"/>
            </w:rPr>
            <w:t>,</w:t>
          </w:r>
          <w:r w:rsidRPr="00B83A77">
            <w:rPr>
              <w:sz w:val="18"/>
              <w:szCs w:val="18"/>
            </w:rPr>
            <w:t>500</w:t>
          </w:r>
          <w:r>
            <w:rPr>
              <w:sz w:val="18"/>
              <w:szCs w:val="18"/>
            </w:rPr>
            <w:t> </w:t>
          </w:r>
          <w:r w:rsidRPr="00B83A77">
            <w:rPr>
              <w:sz w:val="18"/>
              <w:szCs w:val="18"/>
            </w:rPr>
            <w:t xml:space="preserve">incentive payment to </w:t>
          </w:r>
        </w:p>
        <w:p w14:paraId="0A6E0FDA" w14:textId="77777777" w:rsidR="00B5575A" w:rsidRDefault="00B5575A" w:rsidP="00B5575A">
          <w:pPr>
            <w:spacing w:before="0" w:after="0" w:line="280" w:lineRule="exact"/>
            <w:ind w:left="567" w:right="567"/>
            <w:rPr>
              <w:sz w:val="18"/>
              <w:szCs w:val="18"/>
            </w:rPr>
          </w:pPr>
          <w:r w:rsidRPr="00B83A77">
            <w:rPr>
              <w:sz w:val="18"/>
              <w:szCs w:val="18"/>
            </w:rPr>
            <w:t xml:space="preserve">workers to take a tourism job in regional </w:t>
          </w:r>
        </w:p>
        <w:p w14:paraId="5ADE7076" w14:textId="77777777" w:rsidR="00B5575A" w:rsidRDefault="00B5575A" w:rsidP="00B5575A">
          <w:pPr>
            <w:spacing w:before="0" w:after="0" w:line="280" w:lineRule="exact"/>
            <w:ind w:left="567" w:right="567"/>
            <w:rPr>
              <w:sz w:val="18"/>
              <w:szCs w:val="18"/>
            </w:rPr>
          </w:pPr>
          <w:r w:rsidRPr="00B83A77">
            <w:rPr>
              <w:sz w:val="18"/>
              <w:szCs w:val="18"/>
            </w:rPr>
            <w:t xml:space="preserve">Queensland for </w:t>
          </w:r>
          <w:r>
            <w:rPr>
              <w:sz w:val="18"/>
              <w:szCs w:val="18"/>
            </w:rPr>
            <w:t>6 </w:t>
          </w:r>
          <w:r w:rsidRPr="00B83A77">
            <w:rPr>
              <w:sz w:val="18"/>
              <w:szCs w:val="18"/>
            </w:rPr>
            <w:t xml:space="preserve">months, a $250 travel bonus </w:t>
          </w:r>
        </w:p>
        <w:p w14:paraId="235FD467" w14:textId="77777777" w:rsidR="00B5575A" w:rsidRDefault="00B5575A" w:rsidP="00B5575A">
          <w:pPr>
            <w:spacing w:before="0" w:after="0" w:line="280" w:lineRule="exact"/>
            <w:ind w:left="567" w:right="567"/>
            <w:rPr>
              <w:sz w:val="18"/>
              <w:szCs w:val="18"/>
            </w:rPr>
          </w:pPr>
          <w:r w:rsidRPr="00B83A77">
            <w:rPr>
              <w:sz w:val="18"/>
              <w:szCs w:val="18"/>
            </w:rPr>
            <w:t xml:space="preserve">if they moved more than 100km to take the job </w:t>
          </w:r>
        </w:p>
        <w:p w14:paraId="5A83D110" w14:textId="228D576E" w:rsidR="00B5575A" w:rsidRPr="00B83A77" w:rsidRDefault="00B5575A" w:rsidP="00B5575A">
          <w:pPr>
            <w:spacing w:before="0" w:after="120" w:line="280" w:lineRule="exact"/>
            <w:ind w:left="567" w:right="567"/>
            <w:rPr>
              <w:sz w:val="18"/>
              <w:szCs w:val="18"/>
            </w:rPr>
          </w:pPr>
          <w:r w:rsidRPr="00B83A77">
            <w:rPr>
              <w:sz w:val="18"/>
              <w:szCs w:val="18"/>
            </w:rPr>
            <w:t xml:space="preserve">and a dedicated </w:t>
          </w:r>
          <w:hyperlink r:id="rId44" w:history="1">
            <w:r w:rsidRPr="00F0399A">
              <w:rPr>
                <w:rStyle w:val="Hyperlink"/>
                <w:sz w:val="18"/>
                <w:szCs w:val="18"/>
              </w:rPr>
              <w:t>Tourism and Hospitality Jobs</w:t>
            </w:r>
          </w:hyperlink>
          <w:r w:rsidRPr="00B83A77">
            <w:rPr>
              <w:sz w:val="18"/>
              <w:szCs w:val="18"/>
            </w:rPr>
            <w:t xml:space="preserve"> website. </w:t>
          </w:r>
        </w:p>
        <w:p w14:paraId="73FE9089" w14:textId="46636984" w:rsidR="00B5575A" w:rsidRDefault="00B5575A" w:rsidP="00B5575A">
          <w:pPr>
            <w:spacing w:before="0" w:after="0" w:line="280" w:lineRule="exact"/>
            <w:ind w:left="567" w:right="567"/>
          </w:pPr>
          <w:r w:rsidRPr="00E24628">
            <w:rPr>
              <w:sz w:val="18"/>
              <w:szCs w:val="18"/>
            </w:rPr>
            <w:t>The website facilitated the work, live and play</w:t>
          </w:r>
          <w:r>
            <w:rPr>
              <w:sz w:val="18"/>
              <w:szCs w:val="18"/>
            </w:rPr>
            <w:t xml:space="preserve"> </w:t>
          </w:r>
          <w:r w:rsidRPr="00E24628">
            <w:rPr>
              <w:sz w:val="18"/>
              <w:szCs w:val="18"/>
            </w:rPr>
            <w:t xml:space="preserve">promise with </w:t>
          </w:r>
          <w:r>
            <w:rPr>
              <w:sz w:val="18"/>
              <w:szCs w:val="18"/>
            </w:rPr>
            <w:t>l</w:t>
          </w:r>
          <w:r w:rsidRPr="00E24628">
            <w:rPr>
              <w:sz w:val="18"/>
              <w:szCs w:val="18"/>
            </w:rPr>
            <w:t>inks</w:t>
          </w:r>
          <w:r>
            <w:rPr>
              <w:sz w:val="18"/>
              <w:szCs w:val="18"/>
            </w:rPr>
            <w:t xml:space="preserve"> t</w:t>
          </w:r>
          <w:r w:rsidRPr="00E24628">
            <w:rPr>
              <w:sz w:val="18"/>
              <w:szCs w:val="18"/>
            </w:rPr>
            <w:t>o</w:t>
          </w:r>
          <w:r>
            <w:rPr>
              <w:sz w:val="18"/>
              <w:szCs w:val="18"/>
            </w:rPr>
            <w:t xml:space="preserve"> </w:t>
          </w:r>
          <w:r w:rsidRPr="00E24628">
            <w:rPr>
              <w:sz w:val="18"/>
              <w:szCs w:val="18"/>
            </w:rPr>
            <w:t>jobs, information on accommodation, training and living in the</w:t>
          </w:r>
          <w:r>
            <w:rPr>
              <w:sz w:val="18"/>
              <w:szCs w:val="18"/>
            </w:rPr>
            <w:t xml:space="preserve"> </w:t>
          </w:r>
          <w:r w:rsidRPr="00E24628">
            <w:rPr>
              <w:sz w:val="18"/>
              <w:szCs w:val="18"/>
            </w:rPr>
            <w:t xml:space="preserve">state’s regions. Employers can post jobs to the site for free. </w:t>
          </w:r>
          <w:r w:rsidRPr="00F321B9">
            <w:rPr>
              <w:sz w:val="18"/>
              <w:szCs w:val="18"/>
            </w:rPr>
            <w:t>Flight Centre holiday vouchers worth $200 were provided to the</w:t>
          </w:r>
          <w:r>
            <w:rPr>
              <w:sz w:val="18"/>
              <w:szCs w:val="18"/>
            </w:rPr>
            <w:t xml:space="preserve"> f</w:t>
          </w:r>
          <w:r w:rsidRPr="00F321B9">
            <w:rPr>
              <w:sz w:val="18"/>
              <w:szCs w:val="18"/>
            </w:rPr>
            <w:t>irst</w:t>
          </w:r>
          <w:r>
            <w:rPr>
              <w:sz w:val="18"/>
              <w:szCs w:val="18"/>
            </w:rPr>
            <w:t xml:space="preserve"> </w:t>
          </w:r>
          <w:r w:rsidRPr="00F321B9">
            <w:rPr>
              <w:sz w:val="18"/>
              <w:szCs w:val="18"/>
            </w:rPr>
            <w:t>1000 people who received the travel bonus, which supported tourism attractions and</w:t>
          </w:r>
          <w:r>
            <w:rPr>
              <w:sz w:val="18"/>
              <w:szCs w:val="18"/>
            </w:rPr>
            <w:t xml:space="preserve"> </w:t>
          </w:r>
          <w:r w:rsidRPr="00F321B9">
            <w:rPr>
              <w:sz w:val="18"/>
              <w:szCs w:val="18"/>
            </w:rPr>
            <w:t>experiences across the state.</w:t>
          </w:r>
        </w:p>
        <w:p w14:paraId="07FBD02F" w14:textId="77777777" w:rsidR="00B5575A" w:rsidRDefault="00B5575A" w:rsidP="00B5575A">
          <w:pPr>
            <w:spacing w:before="0" w:after="0"/>
            <w:ind w:left="567" w:right="567"/>
            <w:jc w:val="right"/>
          </w:pPr>
        </w:p>
        <w:p w14:paraId="0453D045" w14:textId="4C8136CC" w:rsidR="00B5575A" w:rsidRPr="00E24CB6" w:rsidRDefault="00B5575A" w:rsidP="00B5575A">
          <w:pPr>
            <w:spacing w:before="0" w:after="0"/>
            <w:ind w:left="567" w:right="567"/>
            <w:rPr>
              <w:sz w:val="23"/>
              <w:szCs w:val="23"/>
            </w:rPr>
          </w:pPr>
          <w:r w:rsidRPr="00E24CB6">
            <w:rPr>
              <w:rStyle w:val="Strong"/>
              <w:sz w:val="23"/>
              <w:szCs w:val="23"/>
            </w:rPr>
            <w:t xml:space="preserve">The initiative was a success, attracting 3500 </w:t>
          </w:r>
          <w:r>
            <w:rPr>
              <w:rStyle w:val="Strong"/>
              <w:sz w:val="23"/>
              <w:szCs w:val="23"/>
            </w:rPr>
            <w:t>w</w:t>
          </w:r>
          <w:r w:rsidRPr="00E24CB6">
            <w:rPr>
              <w:rStyle w:val="Strong"/>
              <w:sz w:val="23"/>
              <w:szCs w:val="23"/>
            </w:rPr>
            <w:t>orkers</w:t>
          </w:r>
          <w:r>
            <w:rPr>
              <w:rStyle w:val="Strong"/>
              <w:sz w:val="23"/>
              <w:szCs w:val="23"/>
            </w:rPr>
            <w:t xml:space="preserve"> </w:t>
          </w:r>
          <w:r w:rsidRPr="00E24CB6">
            <w:rPr>
              <w:rStyle w:val="Strong"/>
              <w:sz w:val="23"/>
              <w:szCs w:val="23"/>
            </w:rPr>
            <w:t>to take a job in regional Queensland from July 2021 to March 2022.</w:t>
          </w:r>
          <w:r w:rsidRPr="00E24CB6">
            <w:rPr>
              <w:sz w:val="23"/>
              <w:szCs w:val="23"/>
            </w:rPr>
            <w:t xml:space="preserve"> </w:t>
          </w:r>
        </w:p>
        <w:p w14:paraId="1E69A1D0" w14:textId="77777777" w:rsidR="00B5575A" w:rsidRDefault="00B5575A" w:rsidP="00B5575A">
          <w:pPr>
            <w:spacing w:before="0" w:after="0"/>
            <w:ind w:left="567" w:right="567"/>
            <w:jc w:val="right"/>
          </w:pPr>
        </w:p>
        <w:p w14:paraId="138B020D" w14:textId="2C5812BD" w:rsidR="00B5575A" w:rsidRDefault="00B5575A" w:rsidP="00B5575A">
          <w:pPr>
            <w:spacing w:before="0" w:after="0" w:line="280" w:lineRule="exact"/>
            <w:ind w:left="567" w:right="567"/>
            <w:rPr>
              <w:sz w:val="18"/>
              <w:szCs w:val="18"/>
            </w:rPr>
          </w:pPr>
          <w:r w:rsidRPr="00F321B9">
            <w:rPr>
              <w:sz w:val="18"/>
              <w:szCs w:val="18"/>
            </w:rPr>
            <w:t xml:space="preserve">The program closed to applications three months early </w:t>
          </w:r>
          <w:r>
            <w:rPr>
              <w:sz w:val="18"/>
              <w:szCs w:val="18"/>
            </w:rPr>
            <w:t xml:space="preserve">due </w:t>
          </w:r>
          <w:r w:rsidRPr="00F321B9">
            <w:rPr>
              <w:sz w:val="18"/>
              <w:szCs w:val="18"/>
            </w:rPr>
            <w:t xml:space="preserve">to </w:t>
          </w:r>
          <w:r>
            <w:rPr>
              <w:sz w:val="18"/>
              <w:szCs w:val="18"/>
            </w:rPr>
            <w:t>d</w:t>
          </w:r>
          <w:r w:rsidRPr="00F321B9">
            <w:rPr>
              <w:sz w:val="18"/>
              <w:szCs w:val="18"/>
            </w:rPr>
            <w:t>emand</w:t>
          </w:r>
          <w:r>
            <w:rPr>
              <w:sz w:val="18"/>
              <w:szCs w:val="18"/>
            </w:rPr>
            <w:t xml:space="preserve">, </w:t>
          </w:r>
          <w:r w:rsidRPr="00F321B9">
            <w:rPr>
              <w:sz w:val="18"/>
              <w:szCs w:val="18"/>
            </w:rPr>
            <w:t xml:space="preserve">with the </w:t>
          </w:r>
          <w:r w:rsidRPr="00834058">
            <w:t xml:space="preserve">Tourism and Hospitality </w:t>
          </w:r>
          <w:r>
            <w:rPr>
              <w:sz w:val="18"/>
              <w:szCs w:val="18"/>
            </w:rPr>
            <w:t>J</w:t>
          </w:r>
          <w:r w:rsidRPr="00834058">
            <w:t>obs website</w:t>
          </w:r>
          <w:r w:rsidRPr="00F321B9">
            <w:rPr>
              <w:sz w:val="18"/>
              <w:szCs w:val="18"/>
            </w:rPr>
            <w:t xml:space="preserve"> remaining live as an ongoing asset to attract workers to the state.  </w:t>
          </w:r>
        </w:p>
        <w:p w14:paraId="56DA557C" w14:textId="77777777" w:rsidR="00B5575A" w:rsidRPr="00E753FB" w:rsidRDefault="00B5575A" w:rsidP="00B5575A">
          <w:pPr>
            <w:spacing w:before="240" w:after="0"/>
            <w:ind w:left="567" w:right="567"/>
            <w:rPr>
              <w:b/>
              <w:bCs/>
              <w:sz w:val="16"/>
              <w:szCs w:val="16"/>
            </w:rPr>
          </w:pPr>
          <w:r w:rsidRPr="00E753FB">
            <w:rPr>
              <w:b/>
              <w:bCs/>
              <w:sz w:val="16"/>
              <w:szCs w:val="16"/>
            </w:rPr>
            <w:t xml:space="preserve">Courtesy of Tourism </w:t>
          </w:r>
          <w:r>
            <w:rPr>
              <w:b/>
              <w:bCs/>
              <w:sz w:val="16"/>
              <w:szCs w:val="16"/>
            </w:rPr>
            <w:t>and Events Queensland</w:t>
          </w:r>
        </w:p>
        <w:p w14:paraId="110E48B2" w14:textId="55A64EB6" w:rsidR="00B5575A" w:rsidRDefault="00B5575A" w:rsidP="00B5575A">
          <w:pPr>
            <w:spacing w:before="0" w:after="0"/>
            <w:ind w:left="567" w:right="567"/>
            <w:jc w:val="right"/>
            <w:rPr>
              <w:sz w:val="18"/>
              <w:szCs w:val="18"/>
            </w:rPr>
          </w:pPr>
        </w:p>
        <w:bookmarkEnd w:id="54"/>
        <w:p w14:paraId="6602C895" w14:textId="77777777" w:rsidR="00B55358" w:rsidRDefault="00B55358" w:rsidP="00B55358">
          <w:r w:rsidRPr="006F48B3">
            <w:t>Overseas workers also play an important role in the visitor economy workforce, and there is a need to prioritise the return of temporary overseas workers and support their employment experience. International workers, including working holiday</w:t>
          </w:r>
          <w:r>
            <w:t>-</w:t>
          </w:r>
          <w:r w:rsidRPr="006F48B3">
            <w:t>makers (WHMs) and international students</w:t>
          </w:r>
          <w:r>
            <w:t>,</w:t>
          </w:r>
          <w:r w:rsidRPr="006F48B3">
            <w:t xml:space="preserve"> make valuable contributions to the visitor economy not only as visitors and a potential workforce (see </w:t>
          </w:r>
          <w:r>
            <w:t>b</w:t>
          </w:r>
          <w:r w:rsidRPr="006F48B3">
            <w:t xml:space="preserve">ox: Working </w:t>
          </w:r>
          <w:r>
            <w:t>h</w:t>
          </w:r>
          <w:r w:rsidRPr="006F48B3">
            <w:t>oliday</w:t>
          </w:r>
          <w:r>
            <w:t>-m</w:t>
          </w:r>
          <w:r w:rsidRPr="006F48B3">
            <w:t xml:space="preserve">akers). </w:t>
          </w:r>
        </w:p>
        <w:p w14:paraId="0F1F2A04" w14:textId="2885DE94" w:rsidR="00B55358" w:rsidRDefault="00B55358" w:rsidP="00B55358">
          <w:r w:rsidRPr="006F48B3">
            <w:t>International students contributed $40</w:t>
          </w:r>
          <w:r>
            <w:t> </w:t>
          </w:r>
          <w:r w:rsidRPr="006F48B3">
            <w:t>billion to visitor expenditure in 2019. In addition to filling critical roles in the seasonal and casual workforce, WHM</w:t>
          </w:r>
          <w:r>
            <w:t>s</w:t>
          </w:r>
          <w:r w:rsidRPr="006F48B3">
            <w:t xml:space="preserve"> spent about $2.6</w:t>
          </w:r>
          <w:r>
            <w:t> </w:t>
          </w:r>
          <w:r w:rsidRPr="006F48B3">
            <w:t xml:space="preserve">billion in 2019, and contributed to Australia’s soft power overseas. </w:t>
          </w:r>
        </w:p>
        <w:p w14:paraId="3E71F96A" w14:textId="175C23A1" w:rsidR="00251802" w:rsidRDefault="00B55358" w:rsidP="00251802">
          <w:r w:rsidRPr="006F48B3">
            <w:t>During the pandemic, the Government relaxed certain work restrictions for a range of visas including eligible Student and Working Holiday Maker visa holders. This included announcing incentives for international students and WHM visa holders to bring forward their arrival in Australia by refunding the Visa Application Charge for Student visa holders who arrived between 19</w:t>
          </w:r>
          <w:r>
            <w:t> </w:t>
          </w:r>
          <w:r w:rsidRPr="006F48B3">
            <w:t>January</w:t>
          </w:r>
          <w:r>
            <w:t> </w:t>
          </w:r>
          <w:r w:rsidRPr="006F48B3">
            <w:t>2022 and 19</w:t>
          </w:r>
          <w:r>
            <w:t> </w:t>
          </w:r>
          <w:r w:rsidRPr="006F48B3">
            <w:t>March</w:t>
          </w:r>
          <w:r>
            <w:t> </w:t>
          </w:r>
          <w:r w:rsidRPr="006F48B3">
            <w:t>2022, and for WHM visa holders who arrived in Australia between 19 January 2022 and 19 April 2022 (inclusive).</w:t>
          </w:r>
          <w:r w:rsidR="00251802">
            <w:t xml:space="preserve"> Moreover, </w:t>
          </w:r>
          <w:r w:rsidR="00251802" w:rsidRPr="00251802">
            <w:t>Since 19 January 2022, a temporary relaxation of student visa work limits to all sectors of the economy has been in place. This means students are able to work before and during their studies, and for more than 40 hours per fortnight</w:t>
          </w:r>
          <w:r w:rsidR="00251802">
            <w:rPr>
              <w:rFonts w:eastAsia="Times New Roman"/>
              <w:lang w:eastAsia="en-AU"/>
            </w:rPr>
            <w:t xml:space="preserve">. </w:t>
          </w:r>
          <w:r w:rsidR="00C328CA">
            <w:rPr>
              <w:rFonts w:eastAsia="Times New Roman"/>
              <w:lang w:eastAsia="en-AU"/>
            </w:rPr>
            <w:t>(</w:t>
          </w:r>
          <w:r w:rsidR="00C328CA">
            <w:t xml:space="preserve">See </w:t>
          </w:r>
          <w:r w:rsidR="00C328CA" w:rsidRPr="00C328CA">
            <w:rPr>
              <w:rStyle w:val="Hyperlink"/>
              <w:color w:val="0000FF"/>
              <w:sz w:val="18"/>
              <w:szCs w:val="18"/>
            </w:rPr>
            <w:fldChar w:fldCharType="begin"/>
          </w:r>
          <w:r w:rsidR="00C328CA" w:rsidRPr="00C328CA">
            <w:rPr>
              <w:rStyle w:val="Hyperlink"/>
              <w:color w:val="0000FF"/>
              <w:sz w:val="18"/>
              <w:szCs w:val="18"/>
            </w:rPr>
            <w:instrText xml:space="preserve"> REF _Ref103696605 \h  \* MERGEFORMAT </w:instrText>
          </w:r>
          <w:r w:rsidR="00C328CA" w:rsidRPr="00C328CA">
            <w:rPr>
              <w:rStyle w:val="Hyperlink"/>
              <w:color w:val="0000FF"/>
              <w:sz w:val="18"/>
              <w:szCs w:val="18"/>
            </w:rPr>
          </w:r>
          <w:r w:rsidR="00C328CA" w:rsidRPr="00C328CA">
            <w:rPr>
              <w:rStyle w:val="Hyperlink"/>
              <w:color w:val="0000FF"/>
              <w:sz w:val="18"/>
              <w:szCs w:val="18"/>
            </w:rPr>
            <w:fldChar w:fldCharType="separate"/>
          </w:r>
          <w:r w:rsidR="00C328CA" w:rsidRPr="00C328CA">
            <w:rPr>
              <w:rStyle w:val="Hyperlink"/>
              <w:color w:val="0000FF"/>
              <w:sz w:val="18"/>
              <w:szCs w:val="18"/>
            </w:rPr>
            <w:t>Support measures</w:t>
          </w:r>
          <w:r w:rsidR="00C328CA" w:rsidRPr="00C328CA">
            <w:rPr>
              <w:rStyle w:val="Hyperlink"/>
              <w:color w:val="0000FF"/>
              <w:sz w:val="18"/>
              <w:szCs w:val="18"/>
            </w:rPr>
            <w:fldChar w:fldCharType="end"/>
          </w:r>
          <w:r w:rsidR="00C328CA">
            <w:t xml:space="preserve"> section</w:t>
          </w:r>
          <w:r w:rsidR="00710EC7">
            <w:t>.</w:t>
          </w:r>
          <w:r w:rsidR="00C328CA">
            <w:t>)</w:t>
          </w:r>
        </w:p>
        <w:p w14:paraId="44CF89FD" w14:textId="68ED9915" w:rsidR="00710EC7" w:rsidRDefault="00710EC7" w:rsidP="00251802"/>
        <w:p w14:paraId="5326E224" w14:textId="77777777" w:rsidR="00191680" w:rsidRDefault="00191680">
          <w:pPr>
            <w:spacing w:before="0" w:after="160" w:line="259" w:lineRule="auto"/>
            <w:rPr>
              <w:rFonts w:asciiTheme="minorHAnsi" w:eastAsiaTheme="minorEastAsia" w:hAnsiTheme="minorHAnsi"/>
              <w:color w:val="2E1A47" w:themeColor="text2"/>
              <w:sz w:val="24"/>
              <w:szCs w:val="24"/>
              <w:lang w:eastAsia="zh-CN"/>
            </w:rPr>
          </w:pPr>
          <w:r>
            <w:br w:type="page"/>
          </w:r>
        </w:p>
        <w:p w14:paraId="4580D7CA" w14:textId="12D010F2" w:rsidR="00710EC7" w:rsidRDefault="00710EC7" w:rsidP="009E3766">
          <w:pPr>
            <w:pStyle w:val="Heading4"/>
            <w:ind w:left="794"/>
          </w:pPr>
          <w:r>
            <w:t xml:space="preserve">Box: Working holiday-makers </w:t>
          </w:r>
        </w:p>
        <w:p w14:paraId="7AE333A0" w14:textId="77777777" w:rsidR="00710EC7" w:rsidRPr="00B83A77" w:rsidRDefault="00710EC7" w:rsidP="00710EC7">
          <w:pPr>
            <w:spacing w:before="120" w:after="120" w:line="280" w:lineRule="exact"/>
            <w:ind w:left="794" w:right="737"/>
            <w:rPr>
              <w:rFonts w:asciiTheme="minorHAnsi" w:hAnsiTheme="minorHAnsi"/>
              <w:color w:val="auto"/>
              <w:sz w:val="18"/>
              <w:szCs w:val="18"/>
            </w:rPr>
          </w:pPr>
          <w:r>
            <w:rPr>
              <w:sz w:val="18"/>
              <w:szCs w:val="18"/>
            </w:rPr>
            <w:t>Working holiday-makers (</w:t>
          </w:r>
          <w:r w:rsidRPr="00B83A77">
            <w:rPr>
              <w:sz w:val="18"/>
              <w:szCs w:val="18"/>
            </w:rPr>
            <w:t>WHMs</w:t>
          </w:r>
          <w:r>
            <w:rPr>
              <w:sz w:val="18"/>
              <w:szCs w:val="18"/>
            </w:rPr>
            <w:t>)</w:t>
          </w:r>
          <w:r w:rsidRPr="00B83A77">
            <w:rPr>
              <w:sz w:val="18"/>
              <w:szCs w:val="18"/>
            </w:rPr>
            <w:t xml:space="preserve"> are good news for Australia’s visitor economy – they have the potential to support tourism’s recovery in five important ways.</w:t>
          </w:r>
        </w:p>
        <w:p w14:paraId="794079C2" w14:textId="77777777" w:rsidR="00710EC7" w:rsidRPr="00B83A77" w:rsidRDefault="00710EC7" w:rsidP="00710EC7">
          <w:pPr>
            <w:pStyle w:val="BulletList"/>
            <w:spacing w:before="120" w:after="120" w:line="280" w:lineRule="exact"/>
            <w:ind w:left="1134" w:right="737" w:hanging="283"/>
            <w:rPr>
              <w:b/>
              <w:bCs/>
              <w:sz w:val="18"/>
              <w:szCs w:val="18"/>
            </w:rPr>
          </w:pPr>
          <w:r w:rsidRPr="00B83A77">
            <w:rPr>
              <w:sz w:val="18"/>
              <w:szCs w:val="18"/>
            </w:rPr>
            <w:t>They stay longer: in 2019, the average WHM stayed 149</w:t>
          </w:r>
          <w:r>
            <w:rPr>
              <w:sz w:val="18"/>
              <w:szCs w:val="18"/>
            </w:rPr>
            <w:t> </w:t>
          </w:r>
          <w:r w:rsidRPr="00B83A77">
            <w:rPr>
              <w:sz w:val="18"/>
              <w:szCs w:val="18"/>
            </w:rPr>
            <w:t>nights in Australia while other visitors stayed on average only 27</w:t>
          </w:r>
          <w:r>
            <w:rPr>
              <w:sz w:val="18"/>
              <w:szCs w:val="18"/>
            </w:rPr>
            <w:t> </w:t>
          </w:r>
          <w:r w:rsidRPr="00B83A77">
            <w:rPr>
              <w:sz w:val="18"/>
              <w:szCs w:val="18"/>
            </w:rPr>
            <w:t xml:space="preserve">nights. </w:t>
          </w:r>
        </w:p>
        <w:p w14:paraId="398BF266" w14:textId="77777777" w:rsidR="00710EC7" w:rsidRPr="00B83A77" w:rsidRDefault="00710EC7" w:rsidP="00710EC7">
          <w:pPr>
            <w:pStyle w:val="BulletList"/>
            <w:spacing w:before="120" w:after="120" w:line="280" w:lineRule="exact"/>
            <w:ind w:left="1134" w:right="737" w:hanging="283"/>
            <w:rPr>
              <w:b/>
              <w:bCs/>
              <w:sz w:val="18"/>
              <w:szCs w:val="18"/>
            </w:rPr>
          </w:pPr>
          <w:r w:rsidRPr="00B83A77">
            <w:rPr>
              <w:sz w:val="18"/>
              <w:szCs w:val="18"/>
            </w:rPr>
            <w:t>They spend more</w:t>
          </w:r>
          <w:r w:rsidRPr="005670C4">
            <w:rPr>
              <w:sz w:val="18"/>
              <w:szCs w:val="18"/>
            </w:rPr>
            <w:t>:</w:t>
          </w:r>
          <w:r w:rsidRPr="00B83A77">
            <w:rPr>
              <w:sz w:val="18"/>
              <w:szCs w:val="18"/>
            </w:rPr>
            <w:t xml:space="preserve"> in 2019, WHMs spent $2.6 billion in Australia – an average of $8,550 per</w:t>
          </w:r>
          <w:r>
            <w:rPr>
              <w:sz w:val="18"/>
              <w:szCs w:val="18"/>
            </w:rPr>
            <w:t> </w:t>
          </w:r>
          <w:r w:rsidRPr="00B83A77">
            <w:rPr>
              <w:sz w:val="18"/>
              <w:szCs w:val="18"/>
            </w:rPr>
            <w:t>WHM compared with $2,260 for international holiday</w:t>
          </w:r>
          <w:r>
            <w:rPr>
              <w:sz w:val="18"/>
              <w:szCs w:val="18"/>
            </w:rPr>
            <w:t>-</w:t>
          </w:r>
          <w:r w:rsidRPr="00B83A77">
            <w:rPr>
              <w:sz w:val="18"/>
              <w:szCs w:val="18"/>
            </w:rPr>
            <w:t>makers</w:t>
          </w:r>
          <w:r>
            <w:rPr>
              <w:sz w:val="18"/>
              <w:szCs w:val="18"/>
            </w:rPr>
            <w:t xml:space="preserve"> and</w:t>
          </w:r>
          <w:r w:rsidRPr="00B83A77">
            <w:rPr>
              <w:sz w:val="18"/>
              <w:szCs w:val="18"/>
            </w:rPr>
            <w:t xml:space="preserve"> $2</w:t>
          </w:r>
          <w:r>
            <w:rPr>
              <w:sz w:val="18"/>
              <w:szCs w:val="18"/>
            </w:rPr>
            <w:t>,</w:t>
          </w:r>
          <w:r w:rsidRPr="00B83A77">
            <w:rPr>
              <w:sz w:val="18"/>
              <w:szCs w:val="18"/>
            </w:rPr>
            <w:t xml:space="preserve">090 for business visitors. Other long-stay visitors such as international students also have a high average spend in Australia. </w:t>
          </w:r>
        </w:p>
        <w:p w14:paraId="48DF14B0" w14:textId="77777777" w:rsidR="00710EC7" w:rsidRPr="00B83A77" w:rsidRDefault="00710EC7" w:rsidP="00710EC7">
          <w:pPr>
            <w:pStyle w:val="BulletList"/>
            <w:spacing w:before="120" w:after="120" w:line="280" w:lineRule="exact"/>
            <w:ind w:left="1134" w:right="737" w:hanging="283"/>
            <w:rPr>
              <w:b/>
              <w:bCs/>
              <w:sz w:val="18"/>
              <w:szCs w:val="18"/>
            </w:rPr>
          </w:pPr>
          <w:r w:rsidRPr="00B83A77">
            <w:rPr>
              <w:sz w:val="18"/>
              <w:szCs w:val="18"/>
            </w:rPr>
            <w:t xml:space="preserve">They work: 80% of WHMs worked during their time in Australia, with 60% spending at least half the trip working. With work a way of funding their travel experience, most of what WHMs earn is spent in Australia. The most common occupations were farm hand, waiter and construction worker. More than a third of WHM jobs were outside the capital cities and Gold Coast – helping to address skills shortages in regional Australia. </w:t>
          </w:r>
        </w:p>
        <w:p w14:paraId="3129716A" w14:textId="77777777" w:rsidR="00710EC7" w:rsidRPr="00B83A77" w:rsidRDefault="00710EC7" w:rsidP="00710EC7">
          <w:pPr>
            <w:pStyle w:val="BulletList"/>
            <w:spacing w:before="120" w:after="120" w:line="280" w:lineRule="exact"/>
            <w:ind w:left="1134" w:right="737" w:hanging="283"/>
            <w:rPr>
              <w:sz w:val="18"/>
              <w:szCs w:val="18"/>
            </w:rPr>
          </w:pPr>
          <w:r w:rsidRPr="00B83A77">
            <w:rPr>
              <w:sz w:val="18"/>
              <w:szCs w:val="18"/>
            </w:rPr>
            <w:t>They disperse more</w:t>
          </w:r>
          <w:r w:rsidRPr="005670C4">
            <w:rPr>
              <w:sz w:val="18"/>
              <w:szCs w:val="18"/>
            </w:rPr>
            <w:t>:</w:t>
          </w:r>
          <w:r w:rsidRPr="00B83A77">
            <w:rPr>
              <w:b/>
              <w:bCs/>
              <w:sz w:val="18"/>
              <w:szCs w:val="18"/>
            </w:rPr>
            <w:t xml:space="preserve"> </w:t>
          </w:r>
          <w:r w:rsidRPr="00B83A77">
            <w:rPr>
              <w:sz w:val="18"/>
              <w:szCs w:val="18"/>
            </w:rPr>
            <w:t>62% of WHM</w:t>
          </w:r>
          <w:r>
            <w:rPr>
              <w:sz w:val="18"/>
              <w:szCs w:val="18"/>
            </w:rPr>
            <w:t>s</w:t>
          </w:r>
          <w:r w:rsidRPr="00B83A77">
            <w:rPr>
              <w:sz w:val="18"/>
              <w:szCs w:val="18"/>
            </w:rPr>
            <w:t xml:space="preserve"> travel into regional Australia. That’s one-and-a-half times the dispersal rate of holiday</w:t>
          </w:r>
          <w:r>
            <w:rPr>
              <w:sz w:val="18"/>
              <w:szCs w:val="18"/>
            </w:rPr>
            <w:t>-</w:t>
          </w:r>
          <w:r w:rsidRPr="00B83A77">
            <w:rPr>
              <w:sz w:val="18"/>
              <w:szCs w:val="18"/>
            </w:rPr>
            <w:t xml:space="preserve">makers (40%), almost double that of VFR (32%) and more than triple that of international students (20%). The most popular regional destinations were Tropical North Queensland, North Coast New South Wales and the Sunshine Coast. </w:t>
          </w:r>
        </w:p>
        <w:p w14:paraId="1DF0C24E" w14:textId="77777777" w:rsidR="00710EC7" w:rsidRPr="00B83A77" w:rsidRDefault="00710EC7" w:rsidP="00710EC7">
          <w:pPr>
            <w:pStyle w:val="BulletList"/>
            <w:spacing w:before="120" w:after="120" w:line="280" w:lineRule="exact"/>
            <w:ind w:left="1134" w:right="737" w:hanging="283"/>
            <w:rPr>
              <w:sz w:val="18"/>
              <w:szCs w:val="18"/>
            </w:rPr>
          </w:pPr>
          <w:r w:rsidRPr="00B83A77">
            <w:rPr>
              <w:sz w:val="18"/>
              <w:szCs w:val="18"/>
            </w:rPr>
            <w:t>They do more activities: Operators in Australia’s visitor economy stand to benefit from the many activities WHMs undertake. Some of the more popular activities included going to festivals (38% of WHM</w:t>
          </w:r>
          <w:r>
            <w:rPr>
              <w:sz w:val="18"/>
              <w:szCs w:val="18"/>
            </w:rPr>
            <w:t>s</w:t>
          </w:r>
          <w:r w:rsidRPr="00B83A77">
            <w:rPr>
              <w:sz w:val="18"/>
              <w:szCs w:val="18"/>
            </w:rPr>
            <w:t>), visiting distilleries and wineries (15% of WHM</w:t>
          </w:r>
          <w:r>
            <w:rPr>
              <w:sz w:val="18"/>
              <w:szCs w:val="18"/>
            </w:rPr>
            <w:t>s</w:t>
          </w:r>
          <w:r w:rsidRPr="00B83A77">
            <w:rPr>
              <w:sz w:val="18"/>
              <w:szCs w:val="18"/>
            </w:rPr>
            <w:t xml:space="preserve">) and taking part in </w:t>
          </w:r>
          <w:r>
            <w:rPr>
              <w:sz w:val="18"/>
              <w:szCs w:val="18"/>
            </w:rPr>
            <w:t>I</w:t>
          </w:r>
          <w:r w:rsidRPr="00B83A77">
            <w:rPr>
              <w:sz w:val="18"/>
              <w:szCs w:val="18"/>
            </w:rPr>
            <w:t>ndigenous experiences (25% of WHM</w:t>
          </w:r>
          <w:r>
            <w:rPr>
              <w:sz w:val="18"/>
              <w:szCs w:val="18"/>
            </w:rPr>
            <w:t>s</w:t>
          </w:r>
          <w:r w:rsidRPr="00B83A77">
            <w:rPr>
              <w:sz w:val="18"/>
              <w:szCs w:val="18"/>
            </w:rPr>
            <w:t>). They were also 3</w:t>
          </w:r>
          <w:r>
            <w:rPr>
              <w:sz w:val="18"/>
              <w:szCs w:val="18"/>
            </w:rPr>
            <w:t> </w:t>
          </w:r>
          <w:r w:rsidRPr="00B83A77">
            <w:rPr>
              <w:sz w:val="18"/>
              <w:szCs w:val="18"/>
            </w:rPr>
            <w:t>times more likely to go snorkelling, 4</w:t>
          </w:r>
          <w:r>
            <w:rPr>
              <w:sz w:val="18"/>
              <w:szCs w:val="18"/>
            </w:rPr>
            <w:t> </w:t>
          </w:r>
          <w:r w:rsidRPr="00B83A77">
            <w:rPr>
              <w:sz w:val="18"/>
              <w:szCs w:val="18"/>
            </w:rPr>
            <w:t>times more likely to go cycling and 7</w:t>
          </w:r>
          <w:r>
            <w:rPr>
              <w:sz w:val="18"/>
              <w:szCs w:val="18"/>
            </w:rPr>
            <w:t> </w:t>
          </w:r>
          <w:r w:rsidRPr="00B83A77">
            <w:rPr>
              <w:sz w:val="18"/>
              <w:szCs w:val="18"/>
            </w:rPr>
            <w:t>times more likely to take up surfing than other international visitors. It was not all fun</w:t>
          </w:r>
          <w:r>
            <w:rPr>
              <w:sz w:val="18"/>
              <w:szCs w:val="18"/>
            </w:rPr>
            <w:t>,</w:t>
          </w:r>
          <w:r w:rsidRPr="00B83A77">
            <w:rPr>
              <w:sz w:val="18"/>
              <w:szCs w:val="18"/>
            </w:rPr>
            <w:t xml:space="preserve"> however, with almost </w:t>
          </w:r>
          <w:r>
            <w:rPr>
              <w:sz w:val="18"/>
              <w:szCs w:val="18"/>
            </w:rPr>
            <w:t>one</w:t>
          </w:r>
          <w:r w:rsidRPr="00B83A77">
            <w:rPr>
              <w:sz w:val="18"/>
              <w:szCs w:val="18"/>
            </w:rPr>
            <w:t xml:space="preserve"> in </w:t>
          </w:r>
          <w:r>
            <w:rPr>
              <w:sz w:val="18"/>
              <w:szCs w:val="18"/>
            </w:rPr>
            <w:t>10</w:t>
          </w:r>
          <w:r w:rsidRPr="00B83A77">
            <w:rPr>
              <w:sz w:val="18"/>
              <w:szCs w:val="18"/>
            </w:rPr>
            <w:t xml:space="preserve"> undertaking some study in Australia.</w:t>
          </w:r>
        </w:p>
        <w:p w14:paraId="385AF929" w14:textId="77777777" w:rsidR="00710EC7" w:rsidRPr="00B83A77" w:rsidRDefault="00710EC7" w:rsidP="00710EC7">
          <w:pPr>
            <w:spacing w:before="120" w:after="120" w:line="280" w:lineRule="exact"/>
            <w:ind w:left="794" w:right="737"/>
            <w:rPr>
              <w:sz w:val="18"/>
              <w:szCs w:val="18"/>
            </w:rPr>
          </w:pPr>
          <w:r w:rsidRPr="00B83A77">
            <w:rPr>
              <w:sz w:val="18"/>
              <w:szCs w:val="18"/>
            </w:rPr>
            <w:t>The importance of WHM</w:t>
          </w:r>
          <w:r>
            <w:rPr>
              <w:sz w:val="18"/>
              <w:szCs w:val="18"/>
            </w:rPr>
            <w:t>s</w:t>
          </w:r>
          <w:r w:rsidRPr="00B83A77">
            <w:rPr>
              <w:sz w:val="18"/>
              <w:szCs w:val="18"/>
            </w:rPr>
            <w:t xml:space="preserve"> to employers is backed up by </w:t>
          </w:r>
          <w:hyperlink r:id="rId45" w:history="1">
            <w:r w:rsidRPr="00B83A77">
              <w:rPr>
                <w:rStyle w:val="Hyperlink"/>
                <w:sz w:val="18"/>
                <w:szCs w:val="18"/>
              </w:rPr>
              <w:t>recent independent research</w:t>
            </w:r>
          </w:hyperlink>
          <w:r w:rsidRPr="00B83A77">
            <w:rPr>
              <w:sz w:val="18"/>
              <w:szCs w:val="18"/>
            </w:rPr>
            <w:t xml:space="preserve"> commissioned by Austrade. This showed that </w:t>
          </w:r>
          <w:r>
            <w:rPr>
              <w:sz w:val="18"/>
              <w:szCs w:val="18"/>
            </w:rPr>
            <w:t>9</w:t>
          </w:r>
          <w:r w:rsidRPr="00B83A77">
            <w:rPr>
              <w:sz w:val="18"/>
              <w:szCs w:val="18"/>
            </w:rPr>
            <w:t xml:space="preserve"> in </w:t>
          </w:r>
          <w:r>
            <w:rPr>
              <w:sz w:val="18"/>
              <w:szCs w:val="18"/>
            </w:rPr>
            <w:t>10 </w:t>
          </w:r>
          <w:r w:rsidRPr="00B83A77">
            <w:rPr>
              <w:sz w:val="18"/>
              <w:szCs w:val="18"/>
            </w:rPr>
            <w:t>employers believed the WHM program provided an essential workforce, with three quarters indicating it provided an economic boost to the local area.</w:t>
          </w:r>
        </w:p>
        <w:p w14:paraId="7E16A33A" w14:textId="5D3D6794" w:rsidR="00710EC7" w:rsidRDefault="009E3766" w:rsidP="009E3766">
          <w:pPr>
            <w:pStyle w:val="Heading3"/>
            <w:rPr>
              <w:lang w:eastAsia="en-AU"/>
            </w:rPr>
          </w:pPr>
          <w:bookmarkStart w:id="55" w:name="_Toc106097678"/>
          <w:r>
            <w:rPr>
              <w:lang w:eastAsia="en-AU"/>
            </w:rPr>
            <w:t>Businesses</w:t>
          </w:r>
          <w:bookmarkEnd w:id="55"/>
        </w:p>
        <w:p w14:paraId="65D24858" w14:textId="1A6F55EF" w:rsidR="000C6EFA" w:rsidRDefault="00A943C0" w:rsidP="000C6EFA">
          <w:pPr>
            <w:rPr>
              <w:color w:val="000000"/>
              <w:shd w:val="clear" w:color="auto" w:fill="FFFFFF"/>
            </w:rPr>
          </w:pPr>
          <w:r>
            <w:rPr>
              <w:color w:val="000000"/>
              <w:shd w:val="clear" w:color="auto" w:fill="FFFFFF"/>
            </w:rPr>
            <w:t xml:space="preserve">While conditions were extremely </w:t>
          </w:r>
          <w:r w:rsidR="00FD0808">
            <w:rPr>
              <w:color w:val="000000"/>
              <w:shd w:val="clear" w:color="auto" w:fill="FFFFFF"/>
            </w:rPr>
            <w:t xml:space="preserve">difficult for the visitor economy, </w:t>
          </w:r>
          <w:r>
            <w:rPr>
              <w:color w:val="000000"/>
              <w:shd w:val="clear" w:color="auto" w:fill="FFFFFF"/>
            </w:rPr>
            <w:t xml:space="preserve">the number of </w:t>
          </w:r>
          <w:r w:rsidR="00345373">
            <w:rPr>
              <w:color w:val="000000"/>
              <w:shd w:val="clear" w:color="auto" w:fill="FFFFFF"/>
            </w:rPr>
            <w:t xml:space="preserve">operating </w:t>
          </w:r>
          <w:r w:rsidR="00AB7A61">
            <w:rPr>
              <w:color w:val="000000"/>
              <w:shd w:val="clear" w:color="auto" w:fill="FFFFFF"/>
            </w:rPr>
            <w:t xml:space="preserve">tourism-related </w:t>
          </w:r>
          <w:r>
            <w:rPr>
              <w:color w:val="000000"/>
              <w:shd w:val="clear" w:color="auto" w:fill="FFFFFF"/>
            </w:rPr>
            <w:t xml:space="preserve">businesses increased </w:t>
          </w:r>
          <w:r w:rsidR="006474E8">
            <w:rPr>
              <w:color w:val="000000"/>
              <w:shd w:val="clear" w:color="auto" w:fill="FFFFFF"/>
            </w:rPr>
            <w:t>i</w:t>
          </w:r>
          <w:r>
            <w:rPr>
              <w:color w:val="000000"/>
              <w:shd w:val="clear" w:color="auto" w:fill="FFFFFF"/>
            </w:rPr>
            <w:t>n the year to June 2021</w:t>
          </w:r>
          <w:r w:rsidR="000C6EFA">
            <w:rPr>
              <w:color w:val="000000"/>
              <w:shd w:val="clear" w:color="auto" w:fill="FFFFFF"/>
            </w:rPr>
            <w:t xml:space="preserve"> to reach 334,532</w:t>
          </w:r>
          <w:r w:rsidR="006B2B4E">
            <w:rPr>
              <w:color w:val="000000"/>
              <w:shd w:val="clear" w:color="auto" w:fill="FFFFFF"/>
            </w:rPr>
            <w:t xml:space="preserve">. </w:t>
          </w:r>
          <w:r w:rsidR="00326915">
            <w:rPr>
              <w:color w:val="000000"/>
              <w:shd w:val="clear" w:color="auto" w:fill="FFFFFF"/>
            </w:rPr>
            <w:t xml:space="preserve">(See: </w:t>
          </w:r>
          <w:hyperlink r:id="rId46" w:history="1">
            <w:r w:rsidR="00326915">
              <w:rPr>
                <w:rStyle w:val="Hyperlink"/>
              </w:rPr>
              <w:t>Tourism businesses in Australia: June 2016 to 2021</w:t>
            </w:r>
          </w:hyperlink>
          <w:r w:rsidR="00326915">
            <w:t>.</w:t>
          </w:r>
          <w:r w:rsidR="00326915">
            <w:rPr>
              <w:color w:val="000000"/>
              <w:shd w:val="clear" w:color="auto" w:fill="FFFFFF"/>
            </w:rPr>
            <w:t xml:space="preserve">) </w:t>
          </w:r>
          <w:r w:rsidR="000C6EFA">
            <w:rPr>
              <w:color w:val="000000"/>
              <w:shd w:val="clear" w:color="auto" w:fill="FFFFFF"/>
            </w:rPr>
            <w:t>This mean</w:t>
          </w:r>
          <w:r w:rsidR="0045707A">
            <w:rPr>
              <w:color w:val="000000"/>
              <w:shd w:val="clear" w:color="auto" w:fill="FFFFFF"/>
            </w:rPr>
            <w:t>t</w:t>
          </w:r>
          <w:r w:rsidR="006B2B4E">
            <w:rPr>
              <w:color w:val="000000"/>
              <w:shd w:val="clear" w:color="auto" w:fill="FFFFFF"/>
            </w:rPr>
            <w:t xml:space="preserve"> that</w:t>
          </w:r>
          <w:r w:rsidR="009C58C0">
            <w:rPr>
              <w:color w:val="000000"/>
              <w:shd w:val="clear" w:color="auto" w:fill="FFFFFF"/>
            </w:rPr>
            <w:t xml:space="preserve"> in June 2021</w:t>
          </w:r>
          <w:r w:rsidR="006B2B4E">
            <w:rPr>
              <w:color w:val="000000"/>
              <w:shd w:val="clear" w:color="auto" w:fill="FFFFFF"/>
            </w:rPr>
            <w:t>:</w:t>
          </w:r>
          <w:r w:rsidR="000C6EFA">
            <w:rPr>
              <w:color w:val="000000"/>
              <w:shd w:val="clear" w:color="auto" w:fill="FFFFFF"/>
            </w:rPr>
            <w:t xml:space="preserve"> </w:t>
          </w:r>
        </w:p>
        <w:p w14:paraId="4F2E4B5C" w14:textId="7B682DFF" w:rsidR="000C6EFA" w:rsidRDefault="006474E8" w:rsidP="00B51BCB">
          <w:pPr>
            <w:pStyle w:val="ListParagraph"/>
            <w:numPr>
              <w:ilvl w:val="0"/>
              <w:numId w:val="11"/>
            </w:numPr>
            <w:rPr>
              <w:color w:val="000000"/>
              <w:shd w:val="clear" w:color="auto" w:fill="FFFFFF"/>
            </w:rPr>
          </w:pPr>
          <w:r>
            <w:rPr>
              <w:color w:val="000000"/>
              <w:shd w:val="clear" w:color="auto" w:fill="FFFFFF"/>
            </w:rPr>
            <w:t xml:space="preserve">there were </w:t>
          </w:r>
          <w:r w:rsidR="000C6EFA" w:rsidRPr="00C018DB">
            <w:rPr>
              <w:color w:val="000000"/>
              <w:shd w:val="clear" w:color="auto" w:fill="FFFFFF"/>
            </w:rPr>
            <w:t xml:space="preserve">2.9% </w:t>
          </w:r>
          <w:r>
            <w:rPr>
              <w:color w:val="000000"/>
              <w:shd w:val="clear" w:color="auto" w:fill="FFFFFF"/>
            </w:rPr>
            <w:t xml:space="preserve">more tourism </w:t>
          </w:r>
          <w:r w:rsidR="000C6EFA" w:rsidRPr="00C018DB">
            <w:rPr>
              <w:color w:val="000000"/>
              <w:shd w:val="clear" w:color="auto" w:fill="FFFFFF"/>
            </w:rPr>
            <w:t>businesses</w:t>
          </w:r>
          <w:r>
            <w:rPr>
              <w:color w:val="000000"/>
              <w:shd w:val="clear" w:color="auto" w:fill="FFFFFF"/>
            </w:rPr>
            <w:t xml:space="preserve"> </w:t>
          </w:r>
          <w:r w:rsidR="00257BB3">
            <w:rPr>
              <w:color w:val="000000"/>
              <w:shd w:val="clear" w:color="auto" w:fill="FFFFFF"/>
            </w:rPr>
            <w:t xml:space="preserve">than </w:t>
          </w:r>
          <w:r w:rsidR="000C6EFA" w:rsidRPr="00C018DB">
            <w:rPr>
              <w:color w:val="000000"/>
              <w:shd w:val="clear" w:color="auto" w:fill="FFFFFF"/>
            </w:rPr>
            <w:t xml:space="preserve">in </w:t>
          </w:r>
          <w:r w:rsidR="009C58C0">
            <w:rPr>
              <w:color w:val="000000"/>
              <w:shd w:val="clear" w:color="auto" w:fill="FFFFFF"/>
            </w:rPr>
            <w:t>June 2020</w:t>
          </w:r>
        </w:p>
        <w:p w14:paraId="2CFD55BF" w14:textId="7019CF80" w:rsidR="00BD09D7" w:rsidRDefault="00BD09D7" w:rsidP="00B51BCB">
          <w:pPr>
            <w:pStyle w:val="ListParagraph"/>
            <w:numPr>
              <w:ilvl w:val="0"/>
              <w:numId w:val="11"/>
            </w:numPr>
            <w:rPr>
              <w:color w:val="000000"/>
              <w:shd w:val="clear" w:color="auto" w:fill="FFFFFF"/>
            </w:rPr>
          </w:pPr>
          <w:r>
            <w:rPr>
              <w:color w:val="000000"/>
              <w:shd w:val="clear" w:color="auto" w:fill="FFFFFF"/>
            </w:rPr>
            <w:t xml:space="preserve">there were </w:t>
          </w:r>
          <w:r w:rsidR="00317938">
            <w:rPr>
              <w:color w:val="000000"/>
              <w:shd w:val="clear" w:color="auto" w:fill="FFFFFF"/>
            </w:rPr>
            <w:t>4.3</w:t>
          </w:r>
          <w:r w:rsidRPr="00C018DB">
            <w:rPr>
              <w:color w:val="000000"/>
              <w:shd w:val="clear" w:color="auto" w:fill="FFFFFF"/>
            </w:rPr>
            <w:t xml:space="preserve">% </w:t>
          </w:r>
          <w:r>
            <w:rPr>
              <w:color w:val="000000"/>
              <w:shd w:val="clear" w:color="auto" w:fill="FFFFFF"/>
            </w:rPr>
            <w:t xml:space="preserve">more tourism </w:t>
          </w:r>
          <w:r w:rsidRPr="00C018DB">
            <w:rPr>
              <w:color w:val="000000"/>
              <w:shd w:val="clear" w:color="auto" w:fill="FFFFFF"/>
            </w:rPr>
            <w:t>businesses</w:t>
          </w:r>
          <w:r>
            <w:rPr>
              <w:color w:val="000000"/>
              <w:shd w:val="clear" w:color="auto" w:fill="FFFFFF"/>
            </w:rPr>
            <w:t xml:space="preserve"> </w:t>
          </w:r>
          <w:r w:rsidR="00257BB3">
            <w:rPr>
              <w:color w:val="000000"/>
              <w:shd w:val="clear" w:color="auto" w:fill="FFFFFF"/>
            </w:rPr>
            <w:t xml:space="preserve">than </w:t>
          </w:r>
          <w:r w:rsidRPr="00C018DB">
            <w:rPr>
              <w:color w:val="000000"/>
              <w:shd w:val="clear" w:color="auto" w:fill="FFFFFF"/>
            </w:rPr>
            <w:t xml:space="preserve">in </w:t>
          </w:r>
          <w:r>
            <w:rPr>
              <w:color w:val="000000"/>
              <w:shd w:val="clear" w:color="auto" w:fill="FFFFFF"/>
            </w:rPr>
            <w:t>June 20</w:t>
          </w:r>
          <w:r w:rsidR="00317938">
            <w:rPr>
              <w:color w:val="000000"/>
              <w:shd w:val="clear" w:color="auto" w:fill="FFFFFF"/>
            </w:rPr>
            <w:t>19</w:t>
          </w:r>
        </w:p>
        <w:p w14:paraId="650421A1" w14:textId="678FFA1A" w:rsidR="00AC667E" w:rsidRDefault="009C58C0" w:rsidP="00B51BCB">
          <w:pPr>
            <w:pStyle w:val="ListParagraph"/>
            <w:numPr>
              <w:ilvl w:val="0"/>
              <w:numId w:val="11"/>
            </w:numPr>
            <w:rPr>
              <w:color w:val="000000"/>
              <w:shd w:val="clear" w:color="auto" w:fill="FFFFFF"/>
            </w:rPr>
          </w:pPr>
          <w:r>
            <w:rPr>
              <w:color w:val="000000"/>
              <w:shd w:val="clear" w:color="auto" w:fill="FFFFFF"/>
            </w:rPr>
            <w:t xml:space="preserve">there were </w:t>
          </w:r>
          <w:r w:rsidR="000C6EFA">
            <w:rPr>
              <w:color w:val="000000"/>
              <w:shd w:val="clear" w:color="auto" w:fill="FFFFFF"/>
            </w:rPr>
            <w:t>18.7</w:t>
          </w:r>
          <w:r w:rsidR="000C6EFA" w:rsidRPr="00C018DB">
            <w:rPr>
              <w:color w:val="000000"/>
              <w:shd w:val="clear" w:color="auto" w:fill="FFFFFF"/>
            </w:rPr>
            <w:t>%</w:t>
          </w:r>
          <w:r w:rsidR="000C6EFA">
            <w:rPr>
              <w:color w:val="000000"/>
              <w:shd w:val="clear" w:color="auto" w:fill="FFFFFF"/>
            </w:rPr>
            <w:t xml:space="preserve"> </w:t>
          </w:r>
          <w:r>
            <w:rPr>
              <w:color w:val="000000"/>
              <w:shd w:val="clear" w:color="auto" w:fill="FFFFFF"/>
            </w:rPr>
            <w:t xml:space="preserve">more tourism </w:t>
          </w:r>
          <w:r w:rsidR="000C6EFA">
            <w:rPr>
              <w:color w:val="000000"/>
              <w:shd w:val="clear" w:color="auto" w:fill="FFFFFF"/>
            </w:rPr>
            <w:t>businesses</w:t>
          </w:r>
          <w:r>
            <w:rPr>
              <w:color w:val="000000"/>
              <w:shd w:val="clear" w:color="auto" w:fill="FFFFFF"/>
            </w:rPr>
            <w:t xml:space="preserve"> than in J</w:t>
          </w:r>
          <w:r w:rsidR="000C6EFA">
            <w:rPr>
              <w:color w:val="000000"/>
              <w:shd w:val="clear" w:color="auto" w:fill="FFFFFF"/>
            </w:rPr>
            <w:t>une 20</w:t>
          </w:r>
          <w:r>
            <w:rPr>
              <w:color w:val="000000"/>
              <w:shd w:val="clear" w:color="auto" w:fill="FFFFFF"/>
            </w:rPr>
            <w:t>16</w:t>
          </w:r>
        </w:p>
        <w:p w14:paraId="2698C2C2" w14:textId="20C1ADFA" w:rsidR="000C6EFA" w:rsidRPr="009C58C0" w:rsidRDefault="00AC667E" w:rsidP="00B51BCB">
          <w:pPr>
            <w:pStyle w:val="ListParagraph"/>
            <w:numPr>
              <w:ilvl w:val="0"/>
              <w:numId w:val="11"/>
            </w:numPr>
            <w:rPr>
              <w:color w:val="000000"/>
              <w:shd w:val="clear" w:color="auto" w:fill="FFFFFF"/>
            </w:rPr>
          </w:pPr>
          <w:r w:rsidRPr="009C58C0">
            <w:rPr>
              <w:color w:val="000000"/>
              <w:shd w:val="clear" w:color="auto" w:fill="FFFFFF"/>
            </w:rPr>
            <w:t xml:space="preserve">one in 7 Australian businesses (14%) were </w:t>
          </w:r>
          <w:r w:rsidR="00C624DB" w:rsidRPr="009C58C0">
            <w:rPr>
              <w:color w:val="000000"/>
              <w:shd w:val="clear" w:color="auto" w:fill="FFFFFF"/>
            </w:rPr>
            <w:t>tourism related</w:t>
          </w:r>
          <w:r w:rsidRPr="009C58C0">
            <w:rPr>
              <w:color w:val="000000"/>
              <w:shd w:val="clear" w:color="auto" w:fill="FFFFFF"/>
            </w:rPr>
            <w:t xml:space="preserve">. </w:t>
          </w:r>
        </w:p>
        <w:p w14:paraId="540713E1" w14:textId="20F59AD2" w:rsidR="00E24CB6" w:rsidRDefault="00A943C0" w:rsidP="00E24CB6">
          <w:r>
            <w:rPr>
              <w:color w:val="000000"/>
              <w:shd w:val="clear" w:color="auto" w:fill="FFFFFF"/>
            </w:rPr>
            <w:t xml:space="preserve">The </w:t>
          </w:r>
          <w:r w:rsidR="006F65B6">
            <w:rPr>
              <w:color w:val="000000"/>
              <w:shd w:val="clear" w:color="auto" w:fill="FFFFFF"/>
            </w:rPr>
            <w:t>increase</w:t>
          </w:r>
          <w:r>
            <w:rPr>
              <w:color w:val="000000"/>
              <w:shd w:val="clear" w:color="auto" w:fill="FFFFFF"/>
            </w:rPr>
            <w:t xml:space="preserve"> in </w:t>
          </w:r>
          <w:r w:rsidR="006F65B6">
            <w:rPr>
              <w:color w:val="000000"/>
              <w:shd w:val="clear" w:color="auto" w:fill="FFFFFF"/>
            </w:rPr>
            <w:t xml:space="preserve">number of </w:t>
          </w:r>
          <w:r>
            <w:rPr>
              <w:color w:val="000000"/>
              <w:shd w:val="clear" w:color="auto" w:fill="FFFFFF"/>
            </w:rPr>
            <w:t xml:space="preserve">businesses </w:t>
          </w:r>
          <w:r w:rsidR="006F65B6">
            <w:rPr>
              <w:color w:val="000000"/>
              <w:shd w:val="clear" w:color="auto" w:fill="FFFFFF"/>
            </w:rPr>
            <w:t>was due to</w:t>
          </w:r>
          <w:r w:rsidR="00047C2D">
            <w:rPr>
              <w:color w:val="000000"/>
              <w:shd w:val="clear" w:color="auto" w:fill="FFFFFF"/>
            </w:rPr>
            <w:t xml:space="preserve"> </w:t>
          </w:r>
          <w:r>
            <w:rPr>
              <w:color w:val="000000"/>
              <w:shd w:val="clear" w:color="auto" w:fill="FFFFFF"/>
            </w:rPr>
            <w:t>new entrants</w:t>
          </w:r>
          <w:r w:rsidRPr="00AD243E">
            <w:rPr>
              <w:color w:val="000000"/>
              <w:shd w:val="clear" w:color="auto" w:fill="FFFFFF"/>
            </w:rPr>
            <w:t xml:space="preserve">, </w:t>
          </w:r>
          <w:r w:rsidR="00130C0C" w:rsidRPr="00AD243E">
            <w:rPr>
              <w:color w:val="000000"/>
              <w:shd w:val="clear" w:color="auto" w:fill="FFFFFF"/>
            </w:rPr>
            <w:t xml:space="preserve">the vast majority of which </w:t>
          </w:r>
          <w:r w:rsidR="0046652D" w:rsidRPr="00AD243E">
            <w:rPr>
              <w:color w:val="000000"/>
              <w:shd w:val="clear" w:color="auto" w:fill="FFFFFF"/>
            </w:rPr>
            <w:t xml:space="preserve">were micro or </w:t>
          </w:r>
          <w:r w:rsidR="006F65B6">
            <w:rPr>
              <w:color w:val="000000"/>
              <w:shd w:val="clear" w:color="auto" w:fill="FFFFFF"/>
            </w:rPr>
            <w:t>small</w:t>
          </w:r>
          <w:r w:rsidR="0046652D" w:rsidRPr="00AD243E">
            <w:rPr>
              <w:color w:val="000000"/>
              <w:shd w:val="clear" w:color="auto" w:fill="FFFFFF"/>
            </w:rPr>
            <w:t xml:space="preserve"> businesses</w:t>
          </w:r>
          <w:r w:rsidR="0046652D">
            <w:rPr>
              <w:color w:val="000000"/>
              <w:shd w:val="clear" w:color="auto" w:fill="FFFFFF"/>
            </w:rPr>
            <w:t xml:space="preserve">. </w:t>
          </w:r>
          <w:r w:rsidR="006F65B6">
            <w:rPr>
              <w:color w:val="000000"/>
              <w:shd w:val="clear" w:color="auto" w:fill="FFFFFF"/>
            </w:rPr>
            <w:t xml:space="preserve">The number of medium and large businesses declined as those businesses shed staff. </w:t>
          </w:r>
          <w:r w:rsidR="0046652D">
            <w:rPr>
              <w:color w:val="000000"/>
              <w:shd w:val="clear" w:color="auto" w:fill="FFFFFF"/>
            </w:rPr>
            <w:t xml:space="preserve">As a result, </w:t>
          </w:r>
          <w:r>
            <w:rPr>
              <w:color w:val="000000"/>
              <w:shd w:val="clear" w:color="auto" w:fill="FFFFFF"/>
            </w:rPr>
            <w:t>t</w:t>
          </w:r>
          <w:r w:rsidRPr="00C018DB">
            <w:rPr>
              <w:color w:val="000000"/>
              <w:shd w:val="clear" w:color="auto" w:fill="FFFFFF"/>
            </w:rPr>
            <w:t xml:space="preserve">ourism businesses in 2021 </w:t>
          </w:r>
          <w:r w:rsidR="00246107">
            <w:rPr>
              <w:color w:val="000000"/>
              <w:shd w:val="clear" w:color="auto" w:fill="FFFFFF"/>
            </w:rPr>
            <w:t xml:space="preserve">predominantly </w:t>
          </w:r>
          <w:r w:rsidR="00081DB2">
            <w:rPr>
              <w:color w:val="000000"/>
              <w:shd w:val="clear" w:color="auto" w:fill="FFFFFF"/>
            </w:rPr>
            <w:t xml:space="preserve">comprised businesses with </w:t>
          </w:r>
          <w:r w:rsidR="00C7798D">
            <w:rPr>
              <w:color w:val="000000"/>
              <w:shd w:val="clear" w:color="auto" w:fill="FFFFFF"/>
            </w:rPr>
            <w:t xml:space="preserve">fewer </w:t>
          </w:r>
          <w:r w:rsidR="00081DB2">
            <w:rPr>
              <w:color w:val="000000"/>
              <w:shd w:val="clear" w:color="auto" w:fill="FFFFFF"/>
            </w:rPr>
            <w:t xml:space="preserve">than </w:t>
          </w:r>
          <w:r w:rsidR="00C7798D">
            <w:rPr>
              <w:color w:val="000000"/>
              <w:shd w:val="clear" w:color="auto" w:fill="FFFFFF"/>
            </w:rPr>
            <w:t>5 </w:t>
          </w:r>
          <w:r w:rsidR="00081DB2">
            <w:rPr>
              <w:color w:val="000000"/>
              <w:shd w:val="clear" w:color="auto" w:fill="FFFFFF"/>
            </w:rPr>
            <w:t xml:space="preserve">employees </w:t>
          </w:r>
          <w:r w:rsidR="00607B9C">
            <w:rPr>
              <w:color w:val="000000"/>
              <w:shd w:val="clear" w:color="auto" w:fill="FFFFFF"/>
            </w:rPr>
            <w:t xml:space="preserve">and were </w:t>
          </w:r>
          <w:r w:rsidRPr="00C018DB">
            <w:rPr>
              <w:color w:val="000000"/>
              <w:shd w:val="clear" w:color="auto" w:fill="FFFFFF"/>
            </w:rPr>
            <w:t xml:space="preserve">smaller </w:t>
          </w:r>
          <w:r w:rsidR="0046652D">
            <w:rPr>
              <w:color w:val="000000"/>
              <w:shd w:val="clear" w:color="auto" w:fill="FFFFFF"/>
            </w:rPr>
            <w:t xml:space="preserve">on average </w:t>
          </w:r>
          <w:r w:rsidRPr="00C018DB">
            <w:rPr>
              <w:color w:val="000000"/>
              <w:shd w:val="clear" w:color="auto" w:fill="FFFFFF"/>
            </w:rPr>
            <w:t xml:space="preserve">than </w:t>
          </w:r>
          <w:r w:rsidR="007E03D6">
            <w:rPr>
              <w:color w:val="000000"/>
              <w:shd w:val="clear" w:color="auto" w:fill="FFFFFF"/>
            </w:rPr>
            <w:t>in p</w:t>
          </w:r>
          <w:r w:rsidR="00BE7E47">
            <w:rPr>
              <w:color w:val="000000"/>
              <w:shd w:val="clear" w:color="auto" w:fill="FFFFFF"/>
            </w:rPr>
            <w:t>re</w:t>
          </w:r>
          <w:r w:rsidR="007E03D6">
            <w:rPr>
              <w:color w:val="000000"/>
              <w:shd w:val="clear" w:color="auto" w:fill="FFFFFF"/>
            </w:rPr>
            <w:t xml:space="preserve">vious years </w:t>
          </w:r>
          <w:r w:rsidR="0043037D">
            <w:rPr>
              <w:color w:val="000000"/>
              <w:shd w:val="clear" w:color="auto" w:fill="FFFFFF"/>
            </w:rPr>
            <w:t xml:space="preserve">in </w:t>
          </w:r>
          <w:r>
            <w:rPr>
              <w:color w:val="000000"/>
              <w:shd w:val="clear" w:color="auto" w:fill="FFFFFF"/>
            </w:rPr>
            <w:t>terms.</w:t>
          </w:r>
          <w:r w:rsidR="00F657B7" w:rsidRPr="00F657B7">
            <w:t xml:space="preserve"> </w:t>
          </w:r>
          <w:r w:rsidR="00607B9C">
            <w:t>For example, a</w:t>
          </w:r>
          <w:r w:rsidR="00BE7E47">
            <w:t>t June 2021:</w:t>
          </w:r>
        </w:p>
        <w:p w14:paraId="3D358322" w14:textId="4B8F074D" w:rsidR="00657C41" w:rsidRDefault="00F657B7" w:rsidP="005670C4">
          <w:pPr>
            <w:pStyle w:val="BulletList"/>
            <w:rPr>
              <w:shd w:val="clear" w:color="auto" w:fill="FFFFFF"/>
            </w:rPr>
          </w:pPr>
          <w:r w:rsidRPr="00BA10A5">
            <w:rPr>
              <w:shd w:val="clear" w:color="auto" w:fill="FFFFFF"/>
            </w:rPr>
            <w:t>almost half of tourism business (45%) had no employees other than the owner (150,768</w:t>
          </w:r>
          <w:r w:rsidR="00315180">
            <w:rPr>
              <w:shd w:val="clear" w:color="auto" w:fill="FFFFFF"/>
            </w:rPr>
            <w:t> </w:t>
          </w:r>
          <w:r w:rsidRPr="00BA10A5">
            <w:rPr>
              <w:shd w:val="clear" w:color="auto" w:fill="FFFFFF"/>
            </w:rPr>
            <w:t xml:space="preserve">businesses). </w:t>
          </w:r>
        </w:p>
        <w:p w14:paraId="3C66230E" w14:textId="7C0E76F8" w:rsidR="001709A1" w:rsidRDefault="00315180" w:rsidP="005670C4">
          <w:pPr>
            <w:pStyle w:val="BulletList"/>
            <w:rPr>
              <w:shd w:val="clear" w:color="auto" w:fill="FFFFFF"/>
            </w:rPr>
          </w:pPr>
          <w:r>
            <w:rPr>
              <w:shd w:val="clear" w:color="auto" w:fill="FFFFFF"/>
            </w:rPr>
            <w:t>a</w:t>
          </w:r>
          <w:r w:rsidR="00F657B7" w:rsidRPr="00BA10A5">
            <w:rPr>
              <w:shd w:val="clear" w:color="auto" w:fill="FFFFFF"/>
            </w:rPr>
            <w:t xml:space="preserve"> further 33% had between one and 4 employees (109,895</w:t>
          </w:r>
          <w:r>
            <w:rPr>
              <w:shd w:val="clear" w:color="auto" w:fill="FFFFFF"/>
            </w:rPr>
            <w:t> </w:t>
          </w:r>
          <w:r w:rsidR="00F657B7" w:rsidRPr="00BA10A5">
            <w:rPr>
              <w:shd w:val="clear" w:color="auto" w:fill="FFFFFF"/>
            </w:rPr>
            <w:t>businesses).</w:t>
          </w:r>
        </w:p>
        <w:p w14:paraId="50EA7C1B" w14:textId="587C55EE" w:rsidR="00493A7F" w:rsidRPr="00C624DB" w:rsidRDefault="00AD1725" w:rsidP="005670C4">
          <w:pPr>
            <w:pStyle w:val="BulletList"/>
            <w:rPr>
              <w:shd w:val="clear" w:color="auto" w:fill="FFFFFF"/>
            </w:rPr>
          </w:pPr>
          <w:r w:rsidRPr="00C018DB">
            <w:rPr>
              <w:shd w:val="clear" w:color="auto" w:fill="FFFFFF"/>
            </w:rPr>
            <w:t>over half (53%)</w:t>
          </w:r>
          <w:r>
            <w:rPr>
              <w:shd w:val="clear" w:color="auto" w:fill="FFFFFF"/>
            </w:rPr>
            <w:t xml:space="preserve"> of tourism businesses</w:t>
          </w:r>
          <w:r w:rsidRPr="00C018DB">
            <w:rPr>
              <w:shd w:val="clear" w:color="auto" w:fill="FFFFFF"/>
            </w:rPr>
            <w:t xml:space="preserve"> had annual revenues of less than $200,000</w:t>
          </w:r>
          <w:r>
            <w:rPr>
              <w:shd w:val="clear" w:color="auto" w:fill="FFFFFF"/>
            </w:rPr>
            <w:t xml:space="preserve">. </w:t>
          </w:r>
          <w:r w:rsidR="003823CB">
            <w:rPr>
              <w:shd w:val="clear" w:color="auto" w:fill="FFFFFF"/>
            </w:rPr>
            <w:t>This compares with 4</w:t>
          </w:r>
          <w:r w:rsidR="001C53BC">
            <w:rPr>
              <w:shd w:val="clear" w:color="auto" w:fill="FFFFFF"/>
            </w:rPr>
            <w:t>4</w:t>
          </w:r>
          <w:r w:rsidR="003823CB">
            <w:rPr>
              <w:shd w:val="clear" w:color="auto" w:fill="FFFFFF"/>
            </w:rPr>
            <w:t xml:space="preserve">% of businesses in </w:t>
          </w:r>
          <w:r w:rsidR="00657C41" w:rsidRPr="003823CB">
            <w:rPr>
              <w:shd w:val="clear" w:color="auto" w:fill="FFFFFF"/>
            </w:rPr>
            <w:t>2016.</w:t>
          </w:r>
        </w:p>
        <w:p w14:paraId="3DB94265" w14:textId="17BFBAD7" w:rsidR="00377278" w:rsidRDefault="00377278" w:rsidP="00593794">
          <w:pPr>
            <w:rPr>
              <w:color w:val="000000"/>
              <w:shd w:val="clear" w:color="auto" w:fill="FFFFFF"/>
            </w:rPr>
          </w:pPr>
          <w:r>
            <w:rPr>
              <w:color w:val="000000"/>
              <w:shd w:val="clear" w:color="auto" w:fill="FFFFFF"/>
            </w:rPr>
            <w:t xml:space="preserve">Low turnover </w:t>
          </w:r>
          <w:r w:rsidR="008B5BF0">
            <w:rPr>
              <w:color w:val="000000"/>
              <w:shd w:val="clear" w:color="auto" w:fill="FFFFFF"/>
            </w:rPr>
            <w:t>may be concerning as businesses face rising costs in 2022.</w:t>
          </w:r>
        </w:p>
        <w:p w14:paraId="745C50CB" w14:textId="08AD0D54" w:rsidR="00F657B7" w:rsidRDefault="00C552C5" w:rsidP="00593794">
          <w:pPr>
            <w:rPr>
              <w:color w:val="000000"/>
              <w:shd w:val="clear" w:color="auto" w:fill="FFFFFF"/>
            </w:rPr>
          </w:pPr>
          <w:r>
            <w:rPr>
              <w:color w:val="000000"/>
              <w:shd w:val="clear" w:color="auto" w:fill="FFFFFF"/>
            </w:rPr>
            <w:t xml:space="preserve">The number of tourism businesses </w:t>
          </w:r>
          <w:r w:rsidR="004B1BEA">
            <w:rPr>
              <w:color w:val="000000"/>
              <w:shd w:val="clear" w:color="auto" w:fill="FFFFFF"/>
            </w:rPr>
            <w:t xml:space="preserve">in regional Australia at June 2021 was </w:t>
          </w:r>
          <w:r>
            <w:rPr>
              <w:color w:val="000000"/>
              <w:shd w:val="clear" w:color="auto" w:fill="FFFFFF"/>
            </w:rPr>
            <w:t>100</w:t>
          </w:r>
          <w:r w:rsidR="003823CB">
            <w:rPr>
              <w:color w:val="000000"/>
              <w:shd w:val="clear" w:color="auto" w:fill="FFFFFF"/>
            </w:rPr>
            <w:t>,873</w:t>
          </w:r>
          <w:r>
            <w:rPr>
              <w:color w:val="000000"/>
              <w:shd w:val="clear" w:color="auto" w:fill="FFFFFF"/>
            </w:rPr>
            <w:t xml:space="preserve"> </w:t>
          </w:r>
          <w:r w:rsidR="00A84A23">
            <w:rPr>
              <w:color w:val="000000"/>
              <w:shd w:val="clear" w:color="auto" w:fill="FFFFFF"/>
            </w:rPr>
            <w:t xml:space="preserve">– the first time </w:t>
          </w:r>
          <w:r w:rsidR="00D827A9">
            <w:rPr>
              <w:color w:val="000000"/>
              <w:shd w:val="clear" w:color="auto" w:fill="FFFFFF"/>
            </w:rPr>
            <w:t>ever th</w:t>
          </w:r>
          <w:r w:rsidR="0072636D">
            <w:rPr>
              <w:color w:val="000000"/>
              <w:shd w:val="clear" w:color="auto" w:fill="FFFFFF"/>
            </w:rPr>
            <w:t xml:space="preserve">is figure </w:t>
          </w:r>
          <w:r w:rsidR="00880147">
            <w:rPr>
              <w:color w:val="000000"/>
              <w:shd w:val="clear" w:color="auto" w:fill="FFFFFF"/>
            </w:rPr>
            <w:t xml:space="preserve">has </w:t>
          </w:r>
          <w:r w:rsidR="00D827A9">
            <w:rPr>
              <w:color w:val="000000"/>
              <w:shd w:val="clear" w:color="auto" w:fill="FFFFFF"/>
            </w:rPr>
            <w:t>exceeded 100,000.</w:t>
          </w:r>
          <w:r w:rsidR="00C54B86">
            <w:rPr>
              <w:color w:val="000000"/>
              <w:shd w:val="clear" w:color="auto" w:fill="FFFFFF"/>
            </w:rPr>
            <w:t xml:space="preserve"> </w:t>
          </w:r>
          <w:r w:rsidR="00E640AC">
            <w:rPr>
              <w:color w:val="000000"/>
              <w:shd w:val="clear" w:color="auto" w:fill="FFFFFF"/>
            </w:rPr>
            <w:t>However, t</w:t>
          </w:r>
          <w:r w:rsidR="00C54B86">
            <w:rPr>
              <w:color w:val="000000"/>
              <w:shd w:val="clear" w:color="auto" w:fill="FFFFFF"/>
            </w:rPr>
            <w:t xml:space="preserve">he growth in regional </w:t>
          </w:r>
          <w:r w:rsidR="00D5085E">
            <w:rPr>
              <w:color w:val="000000"/>
              <w:shd w:val="clear" w:color="auto" w:fill="FFFFFF"/>
            </w:rPr>
            <w:t xml:space="preserve">tourism </w:t>
          </w:r>
          <w:r w:rsidR="00C54B86">
            <w:rPr>
              <w:color w:val="000000"/>
              <w:shd w:val="clear" w:color="auto" w:fill="FFFFFF"/>
            </w:rPr>
            <w:t xml:space="preserve">businesses has </w:t>
          </w:r>
          <w:r w:rsidR="005A18D4">
            <w:rPr>
              <w:color w:val="000000"/>
              <w:shd w:val="clear" w:color="auto" w:fill="FFFFFF"/>
            </w:rPr>
            <w:t xml:space="preserve">lagged that of </w:t>
          </w:r>
          <w:r w:rsidR="00E640AC">
            <w:rPr>
              <w:color w:val="000000"/>
              <w:shd w:val="clear" w:color="auto" w:fill="FFFFFF"/>
            </w:rPr>
            <w:t>no</w:t>
          </w:r>
          <w:r w:rsidR="005A0C34">
            <w:rPr>
              <w:color w:val="000000"/>
              <w:shd w:val="clear" w:color="auto" w:fill="FFFFFF"/>
            </w:rPr>
            <w:t>n-</w:t>
          </w:r>
          <w:r w:rsidR="005A18D4">
            <w:rPr>
              <w:color w:val="000000"/>
              <w:shd w:val="clear" w:color="auto" w:fill="FFFFFF"/>
            </w:rPr>
            <w:t>regional Australia</w:t>
          </w:r>
          <w:r w:rsidR="000A15A9">
            <w:rPr>
              <w:color w:val="000000"/>
              <w:shd w:val="clear" w:color="auto" w:fill="FFFFFF"/>
            </w:rPr>
            <w:t xml:space="preserve"> since </w:t>
          </w:r>
          <w:r w:rsidR="003823CB">
            <w:rPr>
              <w:color w:val="000000"/>
              <w:shd w:val="clear" w:color="auto" w:fill="FFFFFF"/>
            </w:rPr>
            <w:t>2016</w:t>
          </w:r>
          <w:r w:rsidR="00086B38">
            <w:rPr>
              <w:color w:val="000000"/>
              <w:shd w:val="clear" w:color="auto" w:fill="FFFFFF"/>
            </w:rPr>
            <w:t xml:space="preserve">. </w:t>
          </w:r>
          <w:r w:rsidR="00A55016">
            <w:rPr>
              <w:color w:val="000000"/>
              <w:shd w:val="clear" w:color="auto" w:fill="FFFFFF"/>
            </w:rPr>
            <w:t xml:space="preserve">As a </w:t>
          </w:r>
          <w:r w:rsidR="00D75E08">
            <w:rPr>
              <w:color w:val="000000"/>
              <w:shd w:val="clear" w:color="auto" w:fill="FFFFFF"/>
            </w:rPr>
            <w:t>result</w:t>
          </w:r>
          <w:r w:rsidR="00A55016">
            <w:rPr>
              <w:color w:val="000000"/>
              <w:shd w:val="clear" w:color="auto" w:fill="FFFFFF"/>
            </w:rPr>
            <w:t>,</w:t>
          </w:r>
          <w:r w:rsidR="00D75E08">
            <w:rPr>
              <w:color w:val="000000"/>
              <w:shd w:val="clear" w:color="auto" w:fill="FFFFFF"/>
            </w:rPr>
            <w:t xml:space="preserve"> </w:t>
          </w:r>
          <w:r w:rsidR="00086B38">
            <w:rPr>
              <w:color w:val="000000"/>
              <w:shd w:val="clear" w:color="auto" w:fill="FFFFFF"/>
            </w:rPr>
            <w:t xml:space="preserve">regional Australia </w:t>
          </w:r>
          <w:r w:rsidR="00593794">
            <w:rPr>
              <w:color w:val="000000"/>
              <w:shd w:val="clear" w:color="auto" w:fill="FFFFFF"/>
            </w:rPr>
            <w:t>has declined f</w:t>
          </w:r>
          <w:r w:rsidR="004E791B">
            <w:rPr>
              <w:color w:val="000000"/>
              <w:shd w:val="clear" w:color="auto" w:fill="FFFFFF"/>
            </w:rPr>
            <w:t xml:space="preserve">rom </w:t>
          </w:r>
          <w:r w:rsidR="00086B38">
            <w:rPr>
              <w:color w:val="000000"/>
              <w:shd w:val="clear" w:color="auto" w:fill="FFFFFF"/>
            </w:rPr>
            <w:t xml:space="preserve">a </w:t>
          </w:r>
          <w:r w:rsidR="003823CB">
            <w:rPr>
              <w:color w:val="000000"/>
              <w:shd w:val="clear" w:color="auto" w:fill="FFFFFF"/>
            </w:rPr>
            <w:t>33</w:t>
          </w:r>
          <w:r w:rsidR="00593794">
            <w:rPr>
              <w:color w:val="000000"/>
              <w:shd w:val="clear" w:color="auto" w:fill="FFFFFF"/>
            </w:rPr>
            <w:t xml:space="preserve">% </w:t>
          </w:r>
          <w:r w:rsidR="00086B38">
            <w:rPr>
              <w:color w:val="000000"/>
              <w:shd w:val="clear" w:color="auto" w:fill="FFFFFF"/>
            </w:rPr>
            <w:t xml:space="preserve">share </w:t>
          </w:r>
          <w:r w:rsidR="00593794">
            <w:rPr>
              <w:color w:val="000000"/>
              <w:shd w:val="clear" w:color="auto" w:fill="FFFFFF"/>
            </w:rPr>
            <w:t xml:space="preserve">of all tourism businesses in 2016 to </w:t>
          </w:r>
          <w:r w:rsidR="00D75E08">
            <w:rPr>
              <w:color w:val="000000"/>
              <w:shd w:val="clear" w:color="auto" w:fill="FFFFFF"/>
            </w:rPr>
            <w:t xml:space="preserve">a </w:t>
          </w:r>
          <w:r w:rsidR="003823CB">
            <w:rPr>
              <w:color w:val="000000"/>
              <w:shd w:val="clear" w:color="auto" w:fill="FFFFFF"/>
            </w:rPr>
            <w:t>30</w:t>
          </w:r>
          <w:r w:rsidR="00593794">
            <w:rPr>
              <w:color w:val="000000"/>
              <w:shd w:val="clear" w:color="auto" w:fill="FFFFFF"/>
            </w:rPr>
            <w:t xml:space="preserve">% </w:t>
          </w:r>
          <w:r w:rsidR="00D75E08">
            <w:rPr>
              <w:color w:val="000000"/>
              <w:shd w:val="clear" w:color="auto" w:fill="FFFFFF"/>
            </w:rPr>
            <w:t xml:space="preserve">share in </w:t>
          </w:r>
          <w:r w:rsidR="00593794">
            <w:rPr>
              <w:color w:val="000000"/>
              <w:shd w:val="clear" w:color="auto" w:fill="FFFFFF"/>
            </w:rPr>
            <w:t>2021.</w:t>
          </w:r>
        </w:p>
        <w:p w14:paraId="71E5102D" w14:textId="39FE53EA" w:rsidR="00710EC7" w:rsidRDefault="00710EC7" w:rsidP="009E3766">
          <w:pPr>
            <w:pStyle w:val="Heading4"/>
            <w:spacing w:before="600"/>
            <w:ind w:left="567"/>
          </w:pPr>
          <w:r>
            <w:t>Case study: Opening the Gate project</w:t>
          </w:r>
        </w:p>
        <w:p w14:paraId="7BAA852E" w14:textId="7B4CC6E0" w:rsidR="00710EC7" w:rsidRPr="00B83A77" w:rsidRDefault="00710EC7" w:rsidP="00710EC7">
          <w:pPr>
            <w:shd w:val="clear" w:color="auto" w:fill="FFFFFF"/>
            <w:spacing w:before="500" w:after="120" w:line="280" w:lineRule="exact"/>
            <w:ind w:left="567" w:right="567"/>
            <w:rPr>
              <w:sz w:val="18"/>
              <w:szCs w:val="18"/>
            </w:rPr>
          </w:pPr>
          <w:r>
            <w:rPr>
              <w:noProof/>
            </w:rPr>
            <w:drawing>
              <wp:anchor distT="0" distB="0" distL="114300" distR="114300" simplePos="0" relativeHeight="251841536" behindDoc="0" locked="0" layoutInCell="1" allowOverlap="1" wp14:anchorId="331E0CA0" wp14:editId="2C0BF500">
                <wp:simplePos x="0" y="0"/>
                <wp:positionH relativeFrom="column">
                  <wp:posOffset>2626995</wp:posOffset>
                </wp:positionH>
                <wp:positionV relativeFrom="paragraph">
                  <wp:posOffset>800735</wp:posOffset>
                </wp:positionV>
                <wp:extent cx="3429872" cy="2676525"/>
                <wp:effectExtent l="0" t="0" r="0" b="0"/>
                <wp:wrapNone/>
                <wp:docPr id="132" name="Picture 132" descr="Groups of people eating, drinking, and talking while standing on a scenic hill overlooking water and islands in the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oups of people eating, drinking, and talking while standing on a scenic hill overlooking water and islands in the distance.&#10;"/>
                        <pic:cNvPicPr/>
                      </pic:nvPicPr>
                      <pic:blipFill rotWithShape="1">
                        <a:blip r:embed="rId47"/>
                        <a:srcRect t="16124" b="3704"/>
                        <a:stretch/>
                      </pic:blipFill>
                      <pic:spPr bwMode="auto">
                        <a:xfrm>
                          <a:off x="0" y="0"/>
                          <a:ext cx="3440656" cy="268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3A77">
            <w:rPr>
              <w:sz w:val="18"/>
              <w:szCs w:val="18"/>
            </w:rPr>
            <w:t>The isolated shingled stone boatshed perched on the edge of Kelvedon beach on Tasmania’s East Coast is one of the state’s most famous images. The boatshed is part of the historic Kelvedon Estate, a superfine wool property and vineyard, producing chardonnay, pinot noir and sauvignon blanc wines.</w:t>
          </w:r>
        </w:p>
        <w:p w14:paraId="4C0B340D" w14:textId="77777777" w:rsidR="00710EC7" w:rsidRDefault="00710EC7" w:rsidP="00710EC7">
          <w:pPr>
            <w:shd w:val="clear" w:color="auto" w:fill="FFFFFF"/>
            <w:spacing w:before="0" w:after="0" w:line="280" w:lineRule="exact"/>
            <w:ind w:left="567" w:right="567"/>
            <w:rPr>
              <w:sz w:val="18"/>
              <w:szCs w:val="18"/>
            </w:rPr>
          </w:pPr>
          <w:r w:rsidRPr="00B83A77">
            <w:rPr>
              <w:sz w:val="18"/>
              <w:szCs w:val="18"/>
            </w:rPr>
            <w:t xml:space="preserve">Thanks to Opening the Gate, a project </w:t>
          </w:r>
        </w:p>
        <w:p w14:paraId="6AC0560A" w14:textId="77777777" w:rsidR="00710EC7" w:rsidRDefault="00710EC7" w:rsidP="00710EC7">
          <w:pPr>
            <w:shd w:val="clear" w:color="auto" w:fill="FFFFFF"/>
            <w:spacing w:before="0" w:after="0" w:line="280" w:lineRule="exact"/>
            <w:ind w:left="567" w:right="567"/>
            <w:rPr>
              <w:sz w:val="18"/>
              <w:szCs w:val="18"/>
            </w:rPr>
          </w:pPr>
          <w:r w:rsidRPr="00B83A77">
            <w:rPr>
              <w:sz w:val="18"/>
              <w:szCs w:val="18"/>
            </w:rPr>
            <w:t xml:space="preserve">designed to accelerate agritourism </w:t>
          </w:r>
        </w:p>
        <w:p w14:paraId="0DAA9080" w14:textId="77777777" w:rsidR="00710EC7" w:rsidRDefault="00710EC7" w:rsidP="00710EC7">
          <w:pPr>
            <w:shd w:val="clear" w:color="auto" w:fill="FFFFFF"/>
            <w:spacing w:before="0" w:after="0" w:line="280" w:lineRule="exact"/>
            <w:ind w:left="567" w:right="567"/>
            <w:rPr>
              <w:sz w:val="18"/>
              <w:szCs w:val="18"/>
            </w:rPr>
          </w:pPr>
          <w:r w:rsidRPr="00B83A77">
            <w:rPr>
              <w:sz w:val="18"/>
              <w:szCs w:val="18"/>
            </w:rPr>
            <w:t xml:space="preserve">across Tasmania, the boatshed is to </w:t>
          </w:r>
        </w:p>
        <w:p w14:paraId="482E9814" w14:textId="77777777" w:rsidR="00710EC7" w:rsidRDefault="00710EC7" w:rsidP="00710EC7">
          <w:pPr>
            <w:shd w:val="clear" w:color="auto" w:fill="FFFFFF"/>
            <w:spacing w:before="0" w:after="0" w:line="280" w:lineRule="exact"/>
            <w:ind w:left="567" w:right="567"/>
            <w:rPr>
              <w:sz w:val="18"/>
              <w:szCs w:val="18"/>
            </w:rPr>
          </w:pPr>
          <w:r w:rsidRPr="00B83A77">
            <w:rPr>
              <w:sz w:val="18"/>
              <w:szCs w:val="18"/>
            </w:rPr>
            <w:t xml:space="preserve">play a part in a new venture for Jack </w:t>
          </w:r>
        </w:p>
        <w:p w14:paraId="57C43935" w14:textId="6376307A" w:rsidR="00710EC7" w:rsidRPr="00B83A77" w:rsidRDefault="00710EC7" w:rsidP="00710EC7">
          <w:pPr>
            <w:shd w:val="clear" w:color="auto" w:fill="FFFFFF"/>
            <w:spacing w:before="0" w:after="0" w:line="280" w:lineRule="exact"/>
            <w:ind w:left="567" w:right="567"/>
            <w:rPr>
              <w:sz w:val="18"/>
              <w:szCs w:val="18"/>
            </w:rPr>
          </w:pPr>
          <w:r w:rsidRPr="00B83A77">
            <w:rPr>
              <w:sz w:val="18"/>
              <w:szCs w:val="18"/>
            </w:rPr>
            <w:t>and Anna Cotton.</w:t>
          </w:r>
        </w:p>
        <w:p w14:paraId="755B1A1E" w14:textId="77777777" w:rsidR="00710EC7" w:rsidRDefault="00710EC7" w:rsidP="00710EC7">
          <w:pPr>
            <w:shd w:val="clear" w:color="auto" w:fill="FFFFFF"/>
            <w:spacing w:before="500" w:after="0"/>
            <w:ind w:left="567" w:right="567"/>
            <w:rPr>
              <w:rStyle w:val="Strong"/>
              <w:sz w:val="22"/>
              <w:szCs w:val="22"/>
            </w:rPr>
          </w:pPr>
          <w:r w:rsidRPr="00B83A77">
            <w:rPr>
              <w:rStyle w:val="Strong"/>
              <w:sz w:val="22"/>
              <w:szCs w:val="22"/>
            </w:rPr>
            <w:t xml:space="preserve">Joining the Business </w:t>
          </w:r>
        </w:p>
        <w:p w14:paraId="574F94FC" w14:textId="77777777" w:rsidR="00710EC7" w:rsidRDefault="00710EC7" w:rsidP="00710EC7">
          <w:pPr>
            <w:shd w:val="clear" w:color="auto" w:fill="FFFFFF"/>
            <w:spacing w:before="0" w:after="0"/>
            <w:ind w:left="567" w:right="567"/>
            <w:rPr>
              <w:rStyle w:val="Strong"/>
              <w:sz w:val="22"/>
              <w:szCs w:val="22"/>
            </w:rPr>
          </w:pPr>
          <w:r w:rsidRPr="00B83A77">
            <w:rPr>
              <w:rStyle w:val="Strong"/>
              <w:sz w:val="22"/>
              <w:szCs w:val="22"/>
            </w:rPr>
            <w:t xml:space="preserve">Development Program helped </w:t>
          </w:r>
        </w:p>
        <w:p w14:paraId="3BF5E8D5" w14:textId="77777777" w:rsidR="00710EC7" w:rsidRDefault="00710EC7" w:rsidP="00710EC7">
          <w:pPr>
            <w:shd w:val="clear" w:color="auto" w:fill="FFFFFF"/>
            <w:spacing w:before="0" w:after="0"/>
            <w:ind w:left="567" w:right="567"/>
            <w:rPr>
              <w:rStyle w:val="Strong"/>
              <w:sz w:val="22"/>
              <w:szCs w:val="22"/>
            </w:rPr>
          </w:pPr>
          <w:r w:rsidRPr="00B83A77">
            <w:rPr>
              <w:rStyle w:val="Strong"/>
              <w:sz w:val="22"/>
              <w:szCs w:val="22"/>
            </w:rPr>
            <w:t xml:space="preserve">Anna consider the farm’s </w:t>
          </w:r>
        </w:p>
        <w:p w14:paraId="5753D621" w14:textId="77777777" w:rsidR="00710EC7" w:rsidRDefault="00710EC7" w:rsidP="00710EC7">
          <w:pPr>
            <w:shd w:val="clear" w:color="auto" w:fill="FFFFFF"/>
            <w:spacing w:before="0" w:after="0"/>
            <w:ind w:left="567" w:right="567"/>
            <w:rPr>
              <w:rStyle w:val="Strong"/>
              <w:sz w:val="22"/>
              <w:szCs w:val="22"/>
            </w:rPr>
          </w:pPr>
          <w:r w:rsidRPr="00B83A77">
            <w:rPr>
              <w:rStyle w:val="Strong"/>
              <w:sz w:val="22"/>
              <w:szCs w:val="22"/>
            </w:rPr>
            <w:t xml:space="preserve">potential and create a wine and </w:t>
          </w:r>
        </w:p>
        <w:p w14:paraId="33FE028B" w14:textId="77777777" w:rsidR="00710EC7" w:rsidRDefault="00710EC7" w:rsidP="00710EC7">
          <w:pPr>
            <w:shd w:val="clear" w:color="auto" w:fill="FFFFFF"/>
            <w:spacing w:before="0" w:after="0"/>
            <w:ind w:left="567" w:right="567"/>
            <w:rPr>
              <w:rStyle w:val="Strong"/>
              <w:sz w:val="22"/>
              <w:szCs w:val="22"/>
            </w:rPr>
          </w:pPr>
          <w:r w:rsidRPr="00B83A77">
            <w:rPr>
              <w:rStyle w:val="Strong"/>
              <w:sz w:val="22"/>
              <w:szCs w:val="22"/>
            </w:rPr>
            <w:t xml:space="preserve">food tasting experience that </w:t>
          </w:r>
        </w:p>
        <w:p w14:paraId="2805B62C" w14:textId="77777777" w:rsidR="00710EC7" w:rsidRDefault="00710EC7" w:rsidP="00710EC7">
          <w:pPr>
            <w:shd w:val="clear" w:color="auto" w:fill="FFFFFF"/>
            <w:spacing w:before="0" w:after="0"/>
            <w:ind w:left="567" w:right="567"/>
            <w:rPr>
              <w:rStyle w:val="Strong"/>
              <w:sz w:val="22"/>
              <w:szCs w:val="22"/>
            </w:rPr>
          </w:pPr>
          <w:r w:rsidRPr="00B83A77">
            <w:rPr>
              <w:rStyle w:val="Strong"/>
              <w:sz w:val="22"/>
              <w:szCs w:val="22"/>
            </w:rPr>
            <w:t xml:space="preserve">starts at the historic boatshed </w:t>
          </w:r>
        </w:p>
        <w:p w14:paraId="3E5E6B8C" w14:textId="77777777" w:rsidR="00710EC7" w:rsidRDefault="00710EC7" w:rsidP="00710EC7">
          <w:pPr>
            <w:shd w:val="clear" w:color="auto" w:fill="FFFFFF"/>
            <w:spacing w:before="0" w:after="0"/>
            <w:ind w:left="567" w:right="567"/>
            <w:rPr>
              <w:rStyle w:val="Strong"/>
              <w:sz w:val="22"/>
              <w:szCs w:val="22"/>
            </w:rPr>
          </w:pPr>
          <w:r w:rsidRPr="00B83A77">
            <w:rPr>
              <w:rStyle w:val="Strong"/>
              <w:sz w:val="22"/>
              <w:szCs w:val="22"/>
            </w:rPr>
            <w:t xml:space="preserve">and explores various locations </w:t>
          </w:r>
        </w:p>
        <w:p w14:paraId="523D9422" w14:textId="77777777" w:rsidR="00710EC7" w:rsidRDefault="00710EC7" w:rsidP="00710EC7">
          <w:pPr>
            <w:shd w:val="clear" w:color="auto" w:fill="FFFFFF"/>
            <w:spacing w:before="0" w:after="0"/>
            <w:ind w:left="567" w:right="567"/>
            <w:rPr>
              <w:color w:val="7A4282" w:themeColor="accent1"/>
              <w:sz w:val="22"/>
              <w:szCs w:val="22"/>
              <w:lang w:val="pt-PT"/>
            </w:rPr>
          </w:pPr>
          <w:r w:rsidRPr="00B83A77">
            <w:rPr>
              <w:rStyle w:val="Strong"/>
              <w:sz w:val="22"/>
              <w:szCs w:val="22"/>
            </w:rPr>
            <w:t>to sample the range of vintages, finishing at the highest point of Kelvedon, with sweeping views towards Freycinet and Schouten Island.</w:t>
          </w:r>
        </w:p>
        <w:p w14:paraId="2A8E4E69" w14:textId="77777777" w:rsidR="00710EC7" w:rsidRDefault="00710EC7" w:rsidP="00710EC7">
          <w:pPr>
            <w:shd w:val="clear" w:color="auto" w:fill="FFFFFF"/>
            <w:spacing w:before="120" w:after="0"/>
            <w:ind w:left="567" w:right="567"/>
            <w:rPr>
              <w:b/>
              <w:bCs/>
              <w:sz w:val="16"/>
              <w:szCs w:val="16"/>
            </w:rPr>
          </w:pPr>
          <w:r>
            <w:rPr>
              <w:b/>
              <w:bCs/>
              <w:sz w:val="16"/>
              <w:szCs w:val="16"/>
            </w:rPr>
            <w:t>Image credit:</w:t>
          </w:r>
          <w:r w:rsidRPr="0064592E">
            <w:t xml:space="preserve"> </w:t>
          </w:r>
          <w:r w:rsidRPr="0064592E">
            <w:rPr>
              <w:b/>
              <w:bCs/>
              <w:sz w:val="16"/>
              <w:szCs w:val="16"/>
            </w:rPr>
            <w:t>Cormac Hanrahan Photography</w:t>
          </w:r>
        </w:p>
        <w:p w14:paraId="57BAC4D5" w14:textId="1307BA9A" w:rsidR="00710EC7" w:rsidRDefault="00710EC7" w:rsidP="00710EC7">
          <w:pPr>
            <w:shd w:val="clear" w:color="auto" w:fill="FFFFFF"/>
            <w:spacing w:before="0" w:after="0"/>
            <w:ind w:left="567" w:right="567"/>
          </w:pPr>
          <w:r w:rsidRPr="00E753FB">
            <w:rPr>
              <w:b/>
              <w:bCs/>
              <w:sz w:val="16"/>
              <w:szCs w:val="16"/>
            </w:rPr>
            <w:t xml:space="preserve">Courtesy of </w:t>
          </w:r>
          <w:r>
            <w:rPr>
              <w:b/>
              <w:bCs/>
              <w:sz w:val="16"/>
              <w:szCs w:val="16"/>
            </w:rPr>
            <w:t>Tourism Tasmania</w:t>
          </w:r>
        </w:p>
        <w:p w14:paraId="6A63F35E" w14:textId="2E782E6E" w:rsidR="00710EC7" w:rsidRDefault="00710EC7" w:rsidP="00593794">
          <w:pPr>
            <w:rPr>
              <w:color w:val="000000"/>
              <w:shd w:val="clear" w:color="auto" w:fill="FFFFFF"/>
            </w:rPr>
          </w:pPr>
        </w:p>
        <w:p w14:paraId="78FBF32B" w14:textId="77777777" w:rsidR="009E3766" w:rsidRDefault="009E3766">
          <w:pPr>
            <w:spacing w:before="0" w:after="160" w:line="259" w:lineRule="auto"/>
            <w:rPr>
              <w:rStyle w:val="Heading4Char"/>
              <w:color w:val="2E1A47" w:themeColor="text2"/>
              <w:sz w:val="32"/>
              <w:szCs w:val="32"/>
            </w:rPr>
          </w:pPr>
          <w:r>
            <w:rPr>
              <w:rStyle w:val="Heading4Char"/>
              <w:bCs w:val="0"/>
              <w:color w:val="2E1A47" w:themeColor="text2"/>
              <w:sz w:val="32"/>
              <w:szCs w:val="32"/>
            </w:rPr>
            <w:br w:type="page"/>
          </w:r>
        </w:p>
        <w:p w14:paraId="14E6C219" w14:textId="6DD2AA35" w:rsidR="009E3766" w:rsidRPr="009E3766" w:rsidRDefault="009E3766" w:rsidP="009E3766">
          <w:pPr>
            <w:pStyle w:val="Heading3"/>
          </w:pPr>
          <w:bookmarkStart w:id="56" w:name="_Toc106097679"/>
          <w:r>
            <w:t>Investment</w:t>
          </w:r>
          <w:bookmarkEnd w:id="56"/>
        </w:p>
        <w:p w14:paraId="7ECDC85C" w14:textId="688F62F8" w:rsidR="006076C3" w:rsidRDefault="006076C3" w:rsidP="0079548D">
          <w:r>
            <w:t>Continued investment in the visitor economy is vital to support its capacity to grow and adapt to demand for tourism. Despite the challenging environment, investment in the tourism sector remained resilient</w:t>
          </w:r>
          <w:r w:rsidR="001C53BC">
            <w:t xml:space="preserve"> in the past two years</w:t>
          </w:r>
          <w:r w:rsidR="00A943C0">
            <w:t xml:space="preserve"> and the pipeline of investment projects in the sector remained substantial (see </w:t>
          </w:r>
          <w:r w:rsidR="005D511A" w:rsidRPr="005D511A">
            <w:t xml:space="preserve">TRA’s annual </w:t>
          </w:r>
          <w:hyperlink r:id="rId48" w:history="1">
            <w:r w:rsidR="005D511A" w:rsidRPr="00A943C0">
              <w:rPr>
                <w:rStyle w:val="Hyperlink"/>
              </w:rPr>
              <w:t>Tourism Investment Monitor 2020-21</w:t>
            </w:r>
          </w:hyperlink>
          <w:r w:rsidR="00A943C0">
            <w:t>)</w:t>
          </w:r>
          <w:r>
            <w:t>. In 2020</w:t>
          </w:r>
          <w:r w:rsidR="00494233">
            <w:t>–</w:t>
          </w:r>
          <w:r>
            <w:t>21 Australia’s tourism investment pipeline was $42.8</w:t>
          </w:r>
          <w:r w:rsidR="00B152AB">
            <w:t> </w:t>
          </w:r>
          <w:r>
            <w:t>billion across 225 projects.</w:t>
          </w:r>
          <w:r w:rsidRPr="006076C3">
            <w:t xml:space="preserve"> </w:t>
          </w:r>
          <w:r>
            <w:t>This was only slightly down on the 2019–20 figure of $43.6</w:t>
          </w:r>
          <w:r w:rsidR="00B152AB">
            <w:t> </w:t>
          </w:r>
          <w:r>
            <w:t>billion and reflects the longer-term view of investors.</w:t>
          </w:r>
        </w:p>
        <w:p w14:paraId="005E22F1" w14:textId="55CC987C" w:rsidR="006076C3" w:rsidRDefault="006076C3" w:rsidP="00B10642">
          <w:r>
            <w:t xml:space="preserve">Across the 3 tourism sectors, the pipeline was split by: </w:t>
          </w:r>
        </w:p>
        <w:p w14:paraId="0E73BB40" w14:textId="2EB53195" w:rsidR="006076C3" w:rsidRDefault="006076C3" w:rsidP="00B51BCB">
          <w:pPr>
            <w:pStyle w:val="ListParagraph"/>
            <w:numPr>
              <w:ilvl w:val="0"/>
              <w:numId w:val="12"/>
            </w:numPr>
          </w:pPr>
          <w:r>
            <w:t xml:space="preserve">aviation – 13 projects valued at $16.7 billion </w:t>
          </w:r>
        </w:p>
        <w:p w14:paraId="5DBE642D" w14:textId="5FD4BA54" w:rsidR="006076C3" w:rsidRDefault="006076C3" w:rsidP="00B51BCB">
          <w:pPr>
            <w:pStyle w:val="ListParagraph"/>
            <w:numPr>
              <w:ilvl w:val="0"/>
              <w:numId w:val="12"/>
            </w:numPr>
          </w:pPr>
          <w:r>
            <w:t>arts, recreation and business services – 79 projects valued at $15.7</w:t>
          </w:r>
          <w:r w:rsidR="00780647">
            <w:t> </w:t>
          </w:r>
          <w:r>
            <w:t xml:space="preserve">billion </w:t>
          </w:r>
        </w:p>
        <w:p w14:paraId="3D6ACD55" w14:textId="4EEDC516" w:rsidR="00B10642" w:rsidRDefault="006076C3" w:rsidP="00B51BCB">
          <w:pPr>
            <w:pStyle w:val="ListParagraph"/>
            <w:numPr>
              <w:ilvl w:val="0"/>
              <w:numId w:val="12"/>
            </w:numPr>
          </w:pPr>
          <w:r>
            <w:t>accommodation – 133 projects valued at $10.5</w:t>
          </w:r>
          <w:r w:rsidR="00780647">
            <w:t> </w:t>
          </w:r>
          <w:r>
            <w:t>billion, with the potential to add 20,100</w:t>
          </w:r>
          <w:r w:rsidR="00780647">
            <w:t> </w:t>
          </w:r>
          <w:r>
            <w:t>rooms to accommodation supply</w:t>
          </w:r>
        </w:p>
        <w:p w14:paraId="461F69AD" w14:textId="1AB9854C" w:rsidR="00B10642" w:rsidRDefault="006076C3" w:rsidP="00B10642">
          <w:r>
            <w:t>In 2020–21 there were also 136</w:t>
          </w:r>
          <w:r w:rsidR="00780647">
            <w:t> </w:t>
          </w:r>
          <w:r>
            <w:t>mixed-use developments valued at $58.7</w:t>
          </w:r>
          <w:r w:rsidR="00780647">
            <w:t> </w:t>
          </w:r>
          <w:r>
            <w:t>billion with the potential to add 28,000</w:t>
          </w:r>
          <w:r w:rsidR="00512C91">
            <w:t> </w:t>
          </w:r>
          <w:r>
            <w:t>rooms to accommodation supply. While mixed-use projects are excluded from the investment pipeline due to the difficult</w:t>
          </w:r>
          <w:r w:rsidR="00CB3A5B">
            <w:t xml:space="preserve">ies </w:t>
          </w:r>
          <w:r>
            <w:t xml:space="preserve">in </w:t>
          </w:r>
          <w:r w:rsidR="00B24452">
            <w:t xml:space="preserve">measuring </w:t>
          </w:r>
          <w:r>
            <w:t>the</w:t>
          </w:r>
          <w:r w:rsidR="002550E2">
            <w:t>ir</w:t>
          </w:r>
          <w:r>
            <w:t xml:space="preserve"> tourism component</w:t>
          </w:r>
          <w:r w:rsidR="00CB3A5B">
            <w:t xml:space="preserve">, </w:t>
          </w:r>
          <w:r>
            <w:t xml:space="preserve">they offer significant value to </w:t>
          </w:r>
          <w:r w:rsidR="002550E2">
            <w:t xml:space="preserve">the visitor economy </w:t>
          </w:r>
          <w:r>
            <w:t>and to the stock of hotel rooms. In 2020</w:t>
          </w:r>
          <w:r w:rsidR="00512C91">
            <w:t>–</w:t>
          </w:r>
          <w:r>
            <w:t>21 the mixed-use pipeline was larger than the stand-alone accommodation pipeline and had the potential to add more rooms.</w:t>
          </w:r>
        </w:p>
        <w:p w14:paraId="36CB6C7A" w14:textId="34B2884F" w:rsidR="00B10642" w:rsidRDefault="006076C3" w:rsidP="00B10642">
          <w:r>
            <w:t>In addition to projects that remained in the pipeline in 2020–21, there were 42</w:t>
          </w:r>
          <w:r w:rsidR="00843ED4">
            <w:t> </w:t>
          </w:r>
          <w:r>
            <w:t>projects valued at $4.7</w:t>
          </w:r>
          <w:r w:rsidR="00843ED4">
            <w:t> </w:t>
          </w:r>
          <w:r>
            <w:t>billion that were completed and removed from the pipeline.</w:t>
          </w:r>
          <w:r w:rsidR="00722B68">
            <w:t xml:space="preserve"> </w:t>
          </w:r>
          <w:r>
            <w:t>There were also 49</w:t>
          </w:r>
          <w:r w:rsidR="00843ED4">
            <w:t> </w:t>
          </w:r>
          <w:r>
            <w:t>new projects valued at $6.5</w:t>
          </w:r>
          <w:r w:rsidR="00843ED4">
            <w:t> </w:t>
          </w:r>
          <w:r>
            <w:t xml:space="preserve">billion added to the pipeline in the year. </w:t>
          </w:r>
          <w:r w:rsidR="00722B68">
            <w:t>T</w:t>
          </w:r>
          <w:r>
            <w:t xml:space="preserve">he continued flow of new projects moving into development suggest that investor confidence in the </w:t>
          </w:r>
          <w:r w:rsidR="00082358">
            <w:t>longer-term</w:t>
          </w:r>
          <w:r w:rsidR="00722B68">
            <w:t xml:space="preserve"> prospects for the </w:t>
          </w:r>
          <w:r>
            <w:t xml:space="preserve">industry </w:t>
          </w:r>
          <w:r w:rsidR="002A3967">
            <w:t xml:space="preserve">has </w:t>
          </w:r>
          <w:r w:rsidR="00722B68">
            <w:t>held</w:t>
          </w:r>
          <w:r w:rsidR="00722B68" w:rsidRPr="00722B68">
            <w:t xml:space="preserve"> </w:t>
          </w:r>
          <w:r w:rsidR="00722B68">
            <w:t>firm</w:t>
          </w:r>
          <w:r w:rsidR="002A3967">
            <w:t xml:space="preserve">. </w:t>
          </w:r>
        </w:p>
        <w:p w14:paraId="61FFF92D" w14:textId="3878D518" w:rsidR="00710EC7" w:rsidRDefault="00710EC7" w:rsidP="009E3766">
          <w:pPr>
            <w:pStyle w:val="Heading4"/>
            <w:spacing w:before="600"/>
            <w:ind w:left="794"/>
          </w:pPr>
          <w:r>
            <w:t>Case study: South Australian Tourism Industry Development Fund</w:t>
          </w:r>
        </w:p>
        <w:p w14:paraId="34072F81" w14:textId="77777777" w:rsidR="00710EC7" w:rsidRPr="00180F7D" w:rsidRDefault="00710EC7" w:rsidP="00710EC7">
          <w:pPr>
            <w:spacing w:before="120" w:after="120" w:line="280" w:lineRule="exact"/>
            <w:ind w:left="794" w:right="737"/>
            <w:rPr>
              <w:sz w:val="18"/>
              <w:szCs w:val="18"/>
            </w:rPr>
          </w:pPr>
          <w:r w:rsidRPr="00180F7D">
            <w:rPr>
              <w:sz w:val="18"/>
              <w:szCs w:val="18"/>
            </w:rPr>
            <w:t>In September 2020, South Australia launched a $20</w:t>
          </w:r>
          <w:r>
            <w:t> </w:t>
          </w:r>
          <w:r w:rsidRPr="00180F7D">
            <w:rPr>
              <w:sz w:val="18"/>
              <w:szCs w:val="18"/>
            </w:rPr>
            <w:t xml:space="preserve">million co-funding boost for the tourism industry to encourage private investment in demand-driving regional tourism infrastructure, to create jobs and to aid COVID recovery. Despite the devasting impacts of COVID, the fund received a huge response by an industry brimming with confidence to invest in the future of South Australian tourism. </w:t>
          </w:r>
        </w:p>
        <w:p w14:paraId="12B640E2" w14:textId="77777777" w:rsidR="00710EC7" w:rsidRPr="00180F7D" w:rsidRDefault="00710EC7" w:rsidP="00710EC7">
          <w:pPr>
            <w:ind w:left="794" w:right="737"/>
            <w:rPr>
              <w:sz w:val="22"/>
              <w:szCs w:val="22"/>
            </w:rPr>
          </w:pPr>
          <w:r w:rsidRPr="00180F7D">
            <w:rPr>
              <w:rStyle w:val="QuoteChar"/>
              <w:sz w:val="22"/>
              <w:szCs w:val="22"/>
            </w:rPr>
            <w:t>Off-grid accommodation, tiny homes, a boutique gin distillery, and luxury coach tours were some of the tourism projects funded through the Tourism Industry Development Fund. In total 114 projects were funded across South Australia.</w:t>
          </w:r>
          <w:r w:rsidRPr="00180F7D">
            <w:rPr>
              <w:sz w:val="22"/>
              <w:szCs w:val="22"/>
            </w:rPr>
            <w:t xml:space="preserve"> </w:t>
          </w:r>
        </w:p>
        <w:p w14:paraId="74E3C97B" w14:textId="77777777" w:rsidR="00710EC7" w:rsidRPr="00180F7D" w:rsidRDefault="00710EC7" w:rsidP="00710EC7">
          <w:pPr>
            <w:spacing w:before="120" w:after="120" w:line="280" w:lineRule="exact"/>
            <w:ind w:left="794" w:right="737"/>
            <w:rPr>
              <w:rFonts w:ascii="Calibri" w:hAnsi="Calibri"/>
              <w:color w:val="auto"/>
              <w:sz w:val="18"/>
              <w:szCs w:val="18"/>
            </w:rPr>
          </w:pPr>
          <w:r w:rsidRPr="00180F7D">
            <w:rPr>
              <w:sz w:val="18"/>
              <w:szCs w:val="18"/>
            </w:rPr>
            <w:t xml:space="preserve">The </w:t>
          </w:r>
          <w:r>
            <w:rPr>
              <w:sz w:val="18"/>
              <w:szCs w:val="18"/>
            </w:rPr>
            <w:t>f</w:t>
          </w:r>
          <w:r w:rsidRPr="00180F7D">
            <w:rPr>
              <w:sz w:val="18"/>
              <w:szCs w:val="18"/>
            </w:rPr>
            <w:t>und unlocked a total of $82.7</w:t>
          </w:r>
          <w:r>
            <w:rPr>
              <w:sz w:val="18"/>
              <w:szCs w:val="18"/>
            </w:rPr>
            <w:t> </w:t>
          </w:r>
          <w:r w:rsidRPr="00180F7D">
            <w:rPr>
              <w:sz w:val="18"/>
              <w:szCs w:val="18"/>
            </w:rPr>
            <w:t>million worth of new and improved tourism infrastructure and experiences, creating 608</w:t>
          </w:r>
          <w:r>
            <w:rPr>
              <w:sz w:val="18"/>
              <w:szCs w:val="18"/>
            </w:rPr>
            <w:t> </w:t>
          </w:r>
          <w:r w:rsidRPr="00180F7D">
            <w:rPr>
              <w:sz w:val="18"/>
              <w:szCs w:val="18"/>
            </w:rPr>
            <w:t>ongoing tourism jobs in the process.</w:t>
          </w:r>
        </w:p>
        <w:p w14:paraId="61B57A67" w14:textId="77777777" w:rsidR="00710EC7" w:rsidRPr="00E753FB" w:rsidRDefault="00710EC7" w:rsidP="00710EC7">
          <w:pPr>
            <w:ind w:left="794" w:right="737"/>
            <w:rPr>
              <w:b/>
              <w:bCs/>
              <w:sz w:val="16"/>
              <w:szCs w:val="16"/>
            </w:rPr>
          </w:pPr>
          <w:r w:rsidRPr="00E753FB">
            <w:rPr>
              <w:b/>
              <w:bCs/>
              <w:sz w:val="16"/>
              <w:szCs w:val="16"/>
            </w:rPr>
            <w:t>Courtesy of South Australian Tourism Commission</w:t>
          </w:r>
        </w:p>
        <w:p w14:paraId="0059F4D6" w14:textId="2A124C22" w:rsidR="00AD1725" w:rsidRDefault="007D3700" w:rsidP="00AD1725">
          <w:r>
            <w:t>B</w:t>
          </w:r>
          <w:r w:rsidR="00AD1725">
            <w:t xml:space="preserve">usinesses in the visitor economy have also </w:t>
          </w:r>
          <w:r w:rsidR="001C53BC">
            <w:t>continued re</w:t>
          </w:r>
          <w:r w:rsidR="00AD1725">
            <w:t>invest</w:t>
          </w:r>
          <w:r w:rsidR="001C53BC">
            <w:t>ing in their own existing operations</w:t>
          </w:r>
          <w:r w:rsidR="00AD1725">
            <w:t xml:space="preserve"> </w:t>
          </w:r>
          <w:r w:rsidR="001C53BC">
            <w:t xml:space="preserve">during </w:t>
          </w:r>
          <w:r w:rsidR="00AD1725">
            <w:t xml:space="preserve">the pandemic. </w:t>
          </w:r>
          <w:r w:rsidR="004E7E1E">
            <w:t>Some b</w:t>
          </w:r>
          <w:r w:rsidR="00AD1725">
            <w:t xml:space="preserve">usinesses have taken the opportunity to review their operations, invest in their online presence and rethink their staffing and training needs. </w:t>
          </w:r>
        </w:p>
        <w:p w14:paraId="700F965B" w14:textId="4B1D1BA5" w:rsidR="00E24CB6" w:rsidRDefault="00AD1725" w:rsidP="00AD1725">
          <w:r>
            <w:t xml:space="preserve">As explained in the </w:t>
          </w:r>
          <w:r w:rsidR="00856FDC">
            <w:t xml:space="preserve">earlier </w:t>
          </w:r>
          <w:r w:rsidR="00092107">
            <w:t>‘</w:t>
          </w:r>
          <w:r>
            <w:t>Businesses</w:t>
          </w:r>
          <w:r w:rsidR="00092107">
            <w:t>’</w:t>
          </w:r>
          <w:r>
            <w:t xml:space="preserve"> section</w:t>
          </w:r>
          <w:r w:rsidR="00856FDC">
            <w:t xml:space="preserve"> of this report</w:t>
          </w:r>
          <w:r>
            <w:t xml:space="preserve">, tourism businesses are often very small operations with low revenues. During busy times, these businesses may find it difficult to invest </w:t>
          </w:r>
          <w:r w:rsidR="00765106">
            <w:t xml:space="preserve">as much as they would like </w:t>
          </w:r>
          <w:r>
            <w:t xml:space="preserve">in their online presence. Therefore, the past </w:t>
          </w:r>
          <w:r w:rsidR="00765106">
            <w:t>2 </w:t>
          </w:r>
          <w:r>
            <w:t>years</w:t>
          </w:r>
          <w:r w:rsidR="00A362F7">
            <w:t xml:space="preserve"> may</w:t>
          </w:r>
          <w:r>
            <w:t xml:space="preserve"> have provided an opportunity for businesses to update their websites, post updated information, and streamline the user experience. This is opportune timing</w:t>
          </w:r>
          <w:r w:rsidR="003D7D30">
            <w:t>:</w:t>
          </w:r>
          <w:r>
            <w:t xml:space="preserve"> the pandemic has increased online patronage</w:t>
          </w:r>
          <w:r w:rsidR="009C0EA1">
            <w:t>,</w:t>
          </w:r>
          <w:r>
            <w:t xml:space="preserve"> as potential travellers had been prohibited from travelling in person but took advantage of virtual travel</w:t>
          </w:r>
          <w:r w:rsidRPr="00AD1725">
            <w:t xml:space="preserve"> </w:t>
          </w:r>
          <w:r w:rsidR="00C752C2">
            <w:t>offerings.</w:t>
          </w:r>
          <w:r>
            <w:t xml:space="preserve"> </w:t>
          </w:r>
        </w:p>
        <w:p w14:paraId="0A2F931D" w14:textId="3C439870" w:rsidR="00915D5B" w:rsidRDefault="00926AE8" w:rsidP="00AD1725">
          <w:r>
            <w:t>In response to public health measures during the pandemic, businesses have also invested in internal policies, procedures and physical assets</w:t>
          </w:r>
          <w:r w:rsidR="00915D5B">
            <w:t xml:space="preserve">. Many of these changes </w:t>
          </w:r>
          <w:r w:rsidR="008A7EB7">
            <w:t xml:space="preserve">have </w:t>
          </w:r>
          <w:r w:rsidR="00915D5B">
            <w:t xml:space="preserve">led </w:t>
          </w:r>
          <w:r>
            <w:t>to upgrade</w:t>
          </w:r>
          <w:r w:rsidR="00915D5B">
            <w:t>d</w:t>
          </w:r>
          <w:r>
            <w:t xml:space="preserve"> cleaning and infection reduction/ tracing measures. For example, businesses have</w:t>
          </w:r>
          <w:r w:rsidR="00915D5B">
            <w:t>:</w:t>
          </w:r>
        </w:p>
        <w:p w14:paraId="6D835E94" w14:textId="0B096216" w:rsidR="00915D5B" w:rsidRDefault="00926AE8" w:rsidP="00915D5B">
          <w:pPr>
            <w:pStyle w:val="BulletList"/>
          </w:pPr>
          <w:r>
            <w:t xml:space="preserve">installed signage, </w:t>
          </w:r>
          <w:r w:rsidR="00915D5B">
            <w:t xml:space="preserve">protective screens </w:t>
          </w:r>
          <w:r>
            <w:t xml:space="preserve">and </w:t>
          </w:r>
          <w:r w:rsidR="00915D5B">
            <w:t>hand sanitiser stations</w:t>
          </w:r>
        </w:p>
        <w:p w14:paraId="0FA60FBB" w14:textId="77777777" w:rsidR="00915D5B" w:rsidRDefault="00926AE8" w:rsidP="00915D5B">
          <w:pPr>
            <w:pStyle w:val="BulletList"/>
          </w:pPr>
          <w:r>
            <w:t>separated dining spaces and tables, redesigned common areas and waiting spaces, and upgraded booking systems and processes</w:t>
          </w:r>
        </w:p>
        <w:p w14:paraId="50756FFE" w14:textId="7CDB6782" w:rsidR="00915D5B" w:rsidRDefault="00926AE8" w:rsidP="00915D5B">
          <w:pPr>
            <w:pStyle w:val="BulletList"/>
          </w:pPr>
          <w:r>
            <w:t xml:space="preserve">generated new, more hygienic menus (sometimes online), restructured </w:t>
          </w:r>
          <w:r w:rsidR="00915D5B">
            <w:t xml:space="preserve">dining options </w:t>
          </w:r>
          <w:r>
            <w:t>from buffet</w:t>
          </w:r>
          <w:r w:rsidR="006C006D">
            <w:t xml:space="preserve"> </w:t>
          </w:r>
          <w:r>
            <w:t xml:space="preserve">style to </w:t>
          </w:r>
          <w:r w:rsidR="00915D5B">
            <w:t xml:space="preserve">directly serving patrons, and converted to contactless processes for </w:t>
          </w:r>
          <w:r w:rsidR="008B5BF0">
            <w:t xml:space="preserve">payments, </w:t>
          </w:r>
          <w:r w:rsidR="00915D5B">
            <w:t xml:space="preserve">deliveries, check-ins and other encounters </w:t>
          </w:r>
        </w:p>
        <w:p w14:paraId="585DD3E8" w14:textId="30EABD20" w:rsidR="00926AE8" w:rsidRDefault="00915D5B" w:rsidP="00915D5B">
          <w:pPr>
            <w:pStyle w:val="BulletList"/>
          </w:pPr>
          <w:r>
            <w:t xml:space="preserve">connected </w:t>
          </w:r>
          <w:r w:rsidR="00926AE8">
            <w:t>check-in applications</w:t>
          </w:r>
          <w:r>
            <w:t xml:space="preserve"> and adhered to mask-wearing rules and other public health measures by supplying masks, hand sanitiser and single-use disposables to patrons.</w:t>
          </w:r>
        </w:p>
        <w:p w14:paraId="24D64FC5" w14:textId="0027CD26" w:rsidR="00FF2AB9" w:rsidRPr="00A35F50" w:rsidRDefault="00FF2AB9" w:rsidP="0054064E">
          <w:pPr>
            <w:pStyle w:val="Heading2"/>
            <w:rPr>
              <w:b w:val="0"/>
              <w:color w:val="7A4282" w:themeColor="accent1"/>
              <w:sz w:val="36"/>
              <w:szCs w:val="32"/>
            </w:rPr>
          </w:pPr>
          <w:bookmarkStart w:id="57" w:name="_Ref103696605"/>
          <w:bookmarkStart w:id="58" w:name="_Toc106097680"/>
          <w:r w:rsidRPr="00A35F50">
            <w:rPr>
              <w:b w:val="0"/>
              <w:color w:val="7A4282" w:themeColor="accent1"/>
              <w:sz w:val="36"/>
              <w:szCs w:val="32"/>
            </w:rPr>
            <w:t>Support measures</w:t>
          </w:r>
          <w:bookmarkEnd w:id="57"/>
          <w:bookmarkEnd w:id="58"/>
        </w:p>
        <w:p w14:paraId="5E94D734" w14:textId="5898298C" w:rsidR="000C6036" w:rsidRDefault="000C6036" w:rsidP="000C6036">
          <w:pPr>
            <w:pStyle w:val="Heading3"/>
          </w:pPr>
          <w:bookmarkStart w:id="59" w:name="_Toc106097681"/>
          <w:r>
            <w:t>Support for the visitor economy</w:t>
          </w:r>
          <w:bookmarkEnd w:id="59"/>
        </w:p>
        <w:p w14:paraId="3BE84E7A" w14:textId="39431BF8" w:rsidR="0079548D" w:rsidRDefault="00F002EC" w:rsidP="00467458">
          <w:r>
            <w:t xml:space="preserve">Industry and </w:t>
          </w:r>
          <w:r w:rsidR="006F48B3">
            <w:t>g</w:t>
          </w:r>
          <w:r>
            <w:t>overnment</w:t>
          </w:r>
          <w:r w:rsidR="006F48B3">
            <w:t>s</w:t>
          </w:r>
          <w:r>
            <w:t xml:space="preserve"> were quick to react</w:t>
          </w:r>
          <w:r w:rsidR="00A33D67">
            <w:t xml:space="preserve"> to the difficult trading conditions faced by </w:t>
          </w:r>
          <w:r w:rsidR="009F59DE">
            <w:t>visitor economy</w:t>
          </w:r>
          <w:r w:rsidR="00A33D67">
            <w:t xml:space="preserve"> businesses imposed by travel restrictions</w:t>
          </w:r>
          <w:r>
            <w:t xml:space="preserve">. </w:t>
          </w:r>
          <w:r w:rsidR="00856FDC">
            <w:t>Beyond the significant support offered to industry through the government’s JobKeeper program, i</w:t>
          </w:r>
          <w:r w:rsidR="00E533A4">
            <w:t>n March 2020, t</w:t>
          </w:r>
          <w:r>
            <w:t xml:space="preserve">he </w:t>
          </w:r>
          <w:r w:rsidR="00E533A4">
            <w:t xml:space="preserve">Australian </w:t>
          </w:r>
          <w:r>
            <w:t>Government announced the $1</w:t>
          </w:r>
          <w:r w:rsidR="008B5BF0">
            <w:t> </w:t>
          </w:r>
          <w:r>
            <w:t>billion COVID-19 Relief and Recovery Fund</w:t>
          </w:r>
          <w:r w:rsidR="00856FDC">
            <w:t>. This</w:t>
          </w:r>
          <w:r>
            <w:t xml:space="preserve"> </w:t>
          </w:r>
          <w:r w:rsidR="006F48B3">
            <w:t>included</w:t>
          </w:r>
          <w:r>
            <w:t xml:space="preserve"> a </w:t>
          </w:r>
          <w:r w:rsidR="006F48B3">
            <w:t>number</w:t>
          </w:r>
          <w:r w:rsidR="001C53BC">
            <w:t xml:space="preserve"> </w:t>
          </w:r>
          <w:r>
            <w:t xml:space="preserve">of </w:t>
          </w:r>
          <w:r w:rsidR="00550826">
            <w:t xml:space="preserve">targeted </w:t>
          </w:r>
          <w:r>
            <w:t xml:space="preserve">support measures for the </w:t>
          </w:r>
          <w:r w:rsidR="006F48B3">
            <w:t xml:space="preserve">industry, </w:t>
          </w:r>
          <w:r w:rsidR="00AF6B58">
            <w:t>including</w:t>
          </w:r>
          <w:r>
            <w:t xml:space="preserve">: </w:t>
          </w:r>
        </w:p>
        <w:p w14:paraId="6C1D839C" w14:textId="03FA4E73" w:rsidR="006528BF" w:rsidRPr="006528BF" w:rsidRDefault="006528BF" w:rsidP="0079548D">
          <w:pPr>
            <w:pStyle w:val="BulletList"/>
          </w:pPr>
          <w:r>
            <w:rPr>
              <w:rFonts w:eastAsia="Times New Roman"/>
            </w:rPr>
            <w:t>the Consumer Travel Support Program ($</w:t>
          </w:r>
          <w:r w:rsidR="00856FDC">
            <w:rPr>
              <w:rFonts w:eastAsia="Times New Roman"/>
            </w:rPr>
            <w:t>258</w:t>
          </w:r>
          <w:r>
            <w:rPr>
              <w:rFonts w:eastAsia="Times New Roman"/>
            </w:rPr>
            <w:t xml:space="preserve"> million committed over 3 rounds)</w:t>
          </w:r>
        </w:p>
        <w:p w14:paraId="578928E5" w14:textId="5C7769AA" w:rsidR="0079548D" w:rsidRDefault="00F002EC" w:rsidP="0079548D">
          <w:pPr>
            <w:pStyle w:val="BulletList"/>
          </w:pPr>
          <w:r>
            <w:t xml:space="preserve">the Recovery for Regional Tourism Program ($50 million) </w:t>
          </w:r>
        </w:p>
        <w:p w14:paraId="49C7E340" w14:textId="77777777" w:rsidR="0079548D" w:rsidRDefault="00F002EC" w:rsidP="0079548D">
          <w:pPr>
            <w:pStyle w:val="BulletList"/>
          </w:pPr>
          <w:r>
            <w:t xml:space="preserve">the Zoos and Aquariums support program ($95 million) </w:t>
          </w:r>
        </w:p>
        <w:p w14:paraId="2238468B" w14:textId="5B50E112" w:rsidR="0079548D" w:rsidRDefault="00F002EC" w:rsidP="0079548D">
          <w:pPr>
            <w:pStyle w:val="BulletList"/>
          </w:pPr>
          <w:r>
            <w:t xml:space="preserve">the Business Events Grant program ($50 million). </w:t>
          </w:r>
        </w:p>
        <w:p w14:paraId="48D75EE2" w14:textId="7BB686AD" w:rsidR="001A4516" w:rsidRDefault="001A4516" w:rsidP="001A4516">
          <w:r>
            <w:t xml:space="preserve">This </w:t>
          </w:r>
          <w:r w:rsidR="00AF6B58">
            <w:t xml:space="preserve">funding </w:t>
          </w:r>
          <w:r>
            <w:t>was in addition to the $76</w:t>
          </w:r>
          <w:r w:rsidR="00AF6B58">
            <w:t> </w:t>
          </w:r>
          <w:r>
            <w:t>million allocated for bushfire recovery in the tourism sector. Whole-of-economy measures such as the JobKeeper wage subsidy and boosting cash flow for employers programs were also highly utilised by the tourism industry.</w:t>
          </w:r>
        </w:p>
        <w:p w14:paraId="2795B52C" w14:textId="676A8472" w:rsidR="008B5BF0" w:rsidRDefault="001A4516" w:rsidP="008B5BF0">
          <w:r>
            <w:t>For the aviation sector, the government formed a $5 billion support package, recognising the dramatic impact of the pandemic on the aviation sector and that aviation is a key driver of growth in the broader economy. From March 2020, the Australian Government delivered a range of COVID-19 crisis support programs to the aviation sector under three objectives: maintaining essential air connectivity, preserving critical aviation capacity and protecting supply chains.</w:t>
          </w:r>
          <w:r w:rsidR="008B5BF0">
            <w:rPr>
              <w:rStyle w:val="FootnoteReference"/>
            </w:rPr>
            <w:footnoteReference w:id="6"/>
          </w:r>
          <w:r>
            <w:t xml:space="preserve"> </w:t>
          </w:r>
          <w:r w:rsidR="001C53BC">
            <w:t>These programs supported the sector by:</w:t>
          </w:r>
        </w:p>
        <w:p w14:paraId="031D831E" w14:textId="4D169427" w:rsidR="008B5BF0" w:rsidRDefault="001A4516" w:rsidP="008B5BF0">
          <w:pPr>
            <w:pStyle w:val="BulletList"/>
          </w:pPr>
          <w:r>
            <w:t>assisting airlines, airports and aviation support services to meet the costs of maintaining important and mandated safety and security protocol despite the reduction in travel volume</w:t>
          </w:r>
        </w:p>
        <w:p w14:paraId="27FCE29C" w14:textId="0DD001AD" w:rsidR="008B5BF0" w:rsidRDefault="001C53BC" w:rsidP="008B5BF0">
          <w:pPr>
            <w:pStyle w:val="BulletList"/>
          </w:pPr>
          <w:r>
            <w:t>helping</w:t>
          </w:r>
          <w:r w:rsidR="001A4516">
            <w:t xml:space="preserve"> the sector to retrain staff and maintain capabilities so that it was better equipped to address the increase in travel demand as restrictions were eased</w:t>
          </w:r>
        </w:p>
        <w:p w14:paraId="61A08256" w14:textId="47F406DA" w:rsidR="001A4516" w:rsidRDefault="001A4516" w:rsidP="008B5BF0">
          <w:pPr>
            <w:pStyle w:val="BulletList"/>
          </w:pPr>
          <w:r>
            <w:t>help</w:t>
          </w:r>
          <w:r w:rsidR="001C53BC">
            <w:t>ing</w:t>
          </w:r>
          <w:r>
            <w:t xml:space="preserve"> maintain critical air services, including to regional Australia, for freight, medical </w:t>
          </w:r>
          <w:r w:rsidR="006F48B3">
            <w:t>equipment</w:t>
          </w:r>
          <w:r>
            <w:t xml:space="preserve">, supplies and transportation of essential personnel. </w:t>
          </w:r>
        </w:p>
        <w:p w14:paraId="544F5B4C" w14:textId="05055062" w:rsidR="001A4516" w:rsidRDefault="001A4516" w:rsidP="001A4516">
          <w:pPr>
            <w:pStyle w:val="NormalWeb"/>
            <w:shd w:val="clear" w:color="auto" w:fill="FFFFFF"/>
            <w:spacing w:before="200" w:beforeAutospacing="0" w:after="200" w:afterAutospacing="0" w:line="300" w:lineRule="exact"/>
            <w:rPr>
              <w:rFonts w:ascii="Verdana" w:eastAsiaTheme="minorHAnsi" w:hAnsi="Verdana" w:cstheme="minorBidi"/>
              <w:color w:val="000000" w:themeColor="text1"/>
              <w:sz w:val="20"/>
              <w:szCs w:val="20"/>
              <w:lang w:eastAsia="en-US"/>
            </w:rPr>
          </w:pPr>
          <w:r w:rsidRPr="00876F00">
            <w:rPr>
              <w:rFonts w:ascii="Verdana" w:eastAsiaTheme="minorHAnsi" w:hAnsi="Verdana" w:cstheme="minorBidi"/>
              <w:color w:val="000000" w:themeColor="text1"/>
              <w:sz w:val="20"/>
              <w:szCs w:val="20"/>
              <w:lang w:eastAsia="en-US"/>
            </w:rPr>
            <w:t xml:space="preserve">The International Freight Assistance Mechanism (IFAM) was also put in place by the Australian Government to keep global air links open during the COVID-19 pandemic. </w:t>
          </w:r>
          <w:r>
            <w:rPr>
              <w:rFonts w:ascii="Verdana" w:eastAsiaTheme="minorHAnsi" w:hAnsi="Verdana" w:cstheme="minorBidi"/>
              <w:color w:val="000000" w:themeColor="text1"/>
              <w:sz w:val="20"/>
              <w:szCs w:val="20"/>
              <w:lang w:eastAsia="en-US"/>
            </w:rPr>
            <w:t xml:space="preserve">The sudden drop in </w:t>
          </w:r>
          <w:r w:rsidRPr="00876F00">
            <w:rPr>
              <w:rFonts w:ascii="Verdana" w:eastAsiaTheme="minorHAnsi" w:hAnsi="Verdana" w:cstheme="minorBidi"/>
              <w:color w:val="000000" w:themeColor="text1"/>
              <w:sz w:val="20"/>
              <w:szCs w:val="20"/>
              <w:lang w:eastAsia="en-US"/>
            </w:rPr>
            <w:t>commercial passenger flights</w:t>
          </w:r>
          <w:r>
            <w:rPr>
              <w:rFonts w:ascii="Verdana" w:eastAsiaTheme="minorHAnsi" w:hAnsi="Verdana" w:cstheme="minorBidi"/>
              <w:color w:val="000000" w:themeColor="text1"/>
              <w:sz w:val="20"/>
              <w:szCs w:val="20"/>
              <w:lang w:eastAsia="en-US"/>
            </w:rPr>
            <w:t xml:space="preserve"> in March/April 2020 had </w:t>
          </w:r>
          <w:r w:rsidRPr="00876F00">
            <w:rPr>
              <w:rFonts w:ascii="Verdana" w:eastAsiaTheme="minorHAnsi" w:hAnsi="Verdana" w:cstheme="minorBidi"/>
              <w:color w:val="000000" w:themeColor="text1"/>
              <w:sz w:val="20"/>
              <w:szCs w:val="20"/>
              <w:lang w:eastAsia="en-US"/>
            </w:rPr>
            <w:t xml:space="preserve">an immediate and devastating effect on Australia’s ability to airfreight goods. As an island nation, Australia is heavily reliant on passenger flights for time-sensitive freight, with 80% of Australia’s airfreight typically carried in the </w:t>
          </w:r>
          <w:r>
            <w:rPr>
              <w:rFonts w:ascii="Verdana" w:eastAsiaTheme="minorHAnsi" w:hAnsi="Verdana" w:cstheme="minorBidi"/>
              <w:color w:val="000000" w:themeColor="text1"/>
              <w:sz w:val="20"/>
              <w:szCs w:val="20"/>
              <w:lang w:eastAsia="en-US"/>
            </w:rPr>
            <w:t xml:space="preserve">cargo holds of </w:t>
          </w:r>
          <w:r w:rsidRPr="00876F00">
            <w:rPr>
              <w:rFonts w:ascii="Verdana" w:eastAsiaTheme="minorHAnsi" w:hAnsi="Verdana" w:cstheme="minorBidi"/>
              <w:color w:val="000000" w:themeColor="text1"/>
              <w:sz w:val="20"/>
              <w:szCs w:val="20"/>
              <w:lang w:eastAsia="en-US"/>
            </w:rPr>
            <w:t xml:space="preserve">passenger </w:t>
          </w:r>
          <w:r>
            <w:rPr>
              <w:rFonts w:ascii="Verdana" w:eastAsiaTheme="minorHAnsi" w:hAnsi="Verdana" w:cstheme="minorBidi"/>
              <w:color w:val="000000" w:themeColor="text1"/>
              <w:sz w:val="20"/>
              <w:szCs w:val="20"/>
              <w:lang w:eastAsia="en-US"/>
            </w:rPr>
            <w:t>planes</w:t>
          </w:r>
          <w:r w:rsidRPr="00876F00">
            <w:rPr>
              <w:rFonts w:ascii="Verdana" w:eastAsiaTheme="minorHAnsi" w:hAnsi="Verdana" w:cstheme="minorBidi"/>
              <w:color w:val="000000" w:themeColor="text1"/>
              <w:sz w:val="20"/>
              <w:szCs w:val="20"/>
              <w:lang w:eastAsia="en-US"/>
            </w:rPr>
            <w:t xml:space="preserve">. Since April 2020, IFAM has successfully supported rebuilding global airfreight routes </w:t>
          </w:r>
          <w:r>
            <w:rPr>
              <w:rFonts w:ascii="Verdana" w:eastAsiaTheme="minorHAnsi" w:hAnsi="Verdana" w:cstheme="minorBidi"/>
              <w:color w:val="000000" w:themeColor="text1"/>
              <w:sz w:val="20"/>
              <w:szCs w:val="20"/>
              <w:lang w:eastAsia="en-US"/>
            </w:rPr>
            <w:t xml:space="preserve">and the program </w:t>
          </w:r>
          <w:r w:rsidR="0079564F">
            <w:rPr>
              <w:rFonts w:ascii="Verdana" w:eastAsiaTheme="minorHAnsi" w:hAnsi="Verdana" w:cstheme="minorBidi"/>
              <w:color w:val="000000" w:themeColor="text1"/>
              <w:sz w:val="20"/>
              <w:szCs w:val="20"/>
              <w:lang w:eastAsia="en-US"/>
            </w:rPr>
            <w:t xml:space="preserve">has been </w:t>
          </w:r>
          <w:r>
            <w:rPr>
              <w:rFonts w:ascii="Verdana" w:eastAsiaTheme="minorHAnsi" w:hAnsi="Verdana" w:cstheme="minorBidi"/>
              <w:color w:val="000000" w:themeColor="text1"/>
              <w:sz w:val="20"/>
              <w:szCs w:val="20"/>
              <w:lang w:eastAsia="en-US"/>
            </w:rPr>
            <w:t>extended to mid-2022</w:t>
          </w:r>
          <w:r w:rsidRPr="00876F00">
            <w:rPr>
              <w:rFonts w:ascii="Verdana" w:eastAsiaTheme="minorHAnsi" w:hAnsi="Verdana" w:cstheme="minorBidi"/>
              <w:color w:val="000000" w:themeColor="text1"/>
              <w:sz w:val="20"/>
              <w:szCs w:val="20"/>
              <w:lang w:eastAsia="en-US"/>
            </w:rPr>
            <w:t>.</w:t>
          </w:r>
        </w:p>
        <w:p w14:paraId="2E9FDC3C" w14:textId="0A23F46F" w:rsidR="005A51DC" w:rsidRDefault="005A51DC" w:rsidP="005A51DC">
          <w:r>
            <w:t>Towards the end of 2021, several support measures to address workforce shortages were announced. These included an increase in the number of places available to WHM</w:t>
          </w:r>
          <w:r w:rsidR="006F48B3">
            <w:t>s</w:t>
          </w:r>
          <w:r>
            <w:t xml:space="preserve"> and visa charge refunds for certain WHM visa holders and student visa holders</w:t>
          </w:r>
          <w:r w:rsidR="00251802">
            <w:t xml:space="preserve"> (see box: Visa changes to help address worker shortages)</w:t>
          </w:r>
          <w:r>
            <w:t>. There was also funding announced for the s</w:t>
          </w:r>
          <w:r w:rsidRPr="00BE1801">
            <w:t>kills and workforce online platform</w:t>
          </w:r>
          <w:r>
            <w:t xml:space="preserve"> (</w:t>
          </w:r>
          <w:r w:rsidRPr="00971441">
            <w:t>$2</w:t>
          </w:r>
          <w:r w:rsidR="0079564F">
            <w:t> </w:t>
          </w:r>
          <w:r w:rsidRPr="00971441">
            <w:t>million over 2</w:t>
          </w:r>
          <w:r w:rsidR="0079564F">
            <w:t> </w:t>
          </w:r>
          <w:r w:rsidRPr="00971441">
            <w:t>years</w:t>
          </w:r>
          <w:r>
            <w:t xml:space="preserve">). This will enhance the </w:t>
          </w:r>
          <w:r w:rsidR="000E706B">
            <w:t xml:space="preserve">industry’s </w:t>
          </w:r>
          <w:r>
            <w:t xml:space="preserve">ability to find employees and point potential employees to opportunities. </w:t>
          </w:r>
        </w:p>
        <w:p w14:paraId="5CC75F88" w14:textId="77777777" w:rsidR="00191680" w:rsidRDefault="00191680" w:rsidP="00191680">
          <w:r>
            <w:t>For the international education sector, $53.6 million of targeted support for providers most affected by COVID-19 borders closures was announced in 2021. This included:</w:t>
          </w:r>
        </w:p>
        <w:p w14:paraId="67A8CA28" w14:textId="77777777" w:rsidR="00191680" w:rsidRDefault="00191680" w:rsidP="00191680">
          <w:pPr>
            <w:pStyle w:val="BulletList"/>
            <w:ind w:left="754" w:hanging="357"/>
            <w:rPr>
              <w:lang w:eastAsia="en-AU"/>
            </w:rPr>
          </w:pPr>
          <w:r>
            <w:rPr>
              <w:lang w:eastAsia="en-AU"/>
            </w:rPr>
            <w:t>funding for short-course places in 2021-22</w:t>
          </w:r>
          <w:r>
            <w:rPr>
              <w:rFonts w:eastAsia="Times New Roman"/>
              <w:lang w:eastAsia="en-AU"/>
            </w:rPr>
            <w:t>, so non-university higher education providers can attract more Australian students</w:t>
          </w:r>
        </w:p>
        <w:p w14:paraId="516053FF" w14:textId="77777777" w:rsidR="00191680" w:rsidRDefault="00191680" w:rsidP="00191680">
          <w:pPr>
            <w:pStyle w:val="BulletList"/>
            <w:ind w:left="754" w:hanging="357"/>
            <w:rPr>
              <w:lang w:eastAsia="en-AU"/>
            </w:rPr>
          </w:pPr>
          <w:r>
            <w:rPr>
              <w:lang w:eastAsia="en-AU"/>
            </w:rPr>
            <w:t xml:space="preserve">funding to offer grants of up to $150,000 to providers to grow offshore and online delivery </w:t>
          </w:r>
        </w:p>
        <w:p w14:paraId="778333F3" w14:textId="77777777" w:rsidR="00191680" w:rsidRDefault="00191680" w:rsidP="00191680">
          <w:pPr>
            <w:pStyle w:val="BulletList"/>
            <w:ind w:left="754" w:hanging="357"/>
            <w:rPr>
              <w:lang w:eastAsia="en-AU"/>
            </w:rPr>
          </w:pPr>
          <w:r>
            <w:rPr>
              <w:lang w:eastAsia="en-AU"/>
            </w:rPr>
            <w:t>extension of the pause on various fees and charges</w:t>
          </w:r>
          <w:r w:rsidRPr="000944A3">
            <w:rPr>
              <w:lang w:eastAsia="en-AU"/>
            </w:rPr>
            <w:t xml:space="preserve"> </w:t>
          </w:r>
          <w:r>
            <w:rPr>
              <w:lang w:eastAsia="en-AU"/>
            </w:rPr>
            <w:t>until 31 December 2021</w:t>
          </w:r>
        </w:p>
        <w:p w14:paraId="7F6CFB11" w14:textId="77777777" w:rsidR="00191680" w:rsidRDefault="00191680" w:rsidP="00191680">
          <w:pPr>
            <w:pStyle w:val="BulletList"/>
            <w:ind w:left="754" w:hanging="357"/>
            <w:rPr>
              <w:lang w:eastAsia="en-AU"/>
            </w:rPr>
          </w:pPr>
          <w:r>
            <w:rPr>
              <w:lang w:eastAsia="en-AU"/>
            </w:rPr>
            <w:t xml:space="preserve">further FEE-HELP exemptions for existing and prospective students until 31 December 2021. </w:t>
          </w:r>
        </w:p>
        <w:p w14:paraId="2064F994" w14:textId="526ADA46" w:rsidR="00856FDC" w:rsidRDefault="00856FDC">
          <w:pPr>
            <w:spacing w:before="0" w:after="160" w:line="259" w:lineRule="auto"/>
          </w:pPr>
          <w:r>
            <w:br w:type="page"/>
          </w:r>
        </w:p>
        <w:p w14:paraId="71E5F027" w14:textId="53676C5C" w:rsidR="00AC666C" w:rsidRPr="00073625" w:rsidRDefault="00AC666C" w:rsidP="009E3766">
          <w:pPr>
            <w:pStyle w:val="Heading4"/>
            <w:ind w:left="794"/>
            <w:rPr>
              <w:lang w:eastAsia="zh-CN"/>
            </w:rPr>
          </w:pPr>
          <w:r>
            <w:rPr>
              <w:lang w:eastAsia="zh-CN"/>
            </w:rPr>
            <w:t>Box: Visa changes</w:t>
          </w:r>
          <w:r w:rsidRPr="00073625">
            <w:rPr>
              <w:lang w:eastAsia="zh-CN"/>
            </w:rPr>
            <w:t xml:space="preserve"> to help address worker shortages</w:t>
          </w:r>
        </w:p>
        <w:p w14:paraId="1D3AEF92" w14:textId="77777777" w:rsidR="00AC666C" w:rsidRDefault="00AC666C" w:rsidP="00AC666C">
          <w:pPr>
            <w:spacing w:before="120" w:after="120" w:line="280" w:lineRule="exact"/>
            <w:ind w:left="794" w:right="737"/>
            <w:rPr>
              <w:rFonts w:asciiTheme="minorHAnsi" w:hAnsiTheme="minorHAnsi" w:cs="Calibri"/>
              <w:color w:val="000000"/>
              <w:sz w:val="18"/>
              <w:szCs w:val="18"/>
            </w:rPr>
          </w:pPr>
          <w:r w:rsidRPr="00251802">
            <w:rPr>
              <w:rFonts w:asciiTheme="minorHAnsi" w:hAnsiTheme="minorHAnsi" w:cs="Calibri"/>
              <w:color w:val="000000"/>
              <w:sz w:val="18"/>
              <w:szCs w:val="18"/>
            </w:rPr>
            <w:t xml:space="preserve">The one-off cap increase to the number of places available to </w:t>
          </w:r>
          <w:r w:rsidRPr="00251802">
            <w:rPr>
              <w:rStyle w:val="IntroCopyChar"/>
              <w:sz w:val="24"/>
              <w:szCs w:val="24"/>
            </w:rPr>
            <w:t>Work and Holiday visa holders</w:t>
          </w:r>
          <w:r w:rsidRPr="00251802">
            <w:rPr>
              <w:rFonts w:asciiTheme="minorHAnsi" w:hAnsiTheme="minorHAnsi" w:cs="Calibri"/>
              <w:color w:val="000000"/>
              <w:sz w:val="14"/>
              <w:szCs w:val="14"/>
            </w:rPr>
            <w:t xml:space="preserve"> </w:t>
          </w:r>
          <w:r w:rsidRPr="00251802">
            <w:rPr>
              <w:rFonts w:asciiTheme="minorHAnsi" w:hAnsiTheme="minorHAnsi" w:cs="Calibri"/>
              <w:color w:val="000000"/>
              <w:sz w:val="18"/>
              <w:szCs w:val="18"/>
            </w:rPr>
            <w:t xml:space="preserve">in 2022–23 will result in around 11,000 additional WHM visas being made available for backpackers. To further encourage the arrival of WHMs to Australia, between 19 January 2022 and 19 April 2022 WHMs who arrive in Australia can apply for a refund of the visa application charge. </w:t>
          </w:r>
        </w:p>
        <w:p w14:paraId="790580FD" w14:textId="77777777" w:rsidR="00AC666C" w:rsidRPr="00C328CA" w:rsidRDefault="00AC666C" w:rsidP="00AC666C">
          <w:pPr>
            <w:spacing w:before="120" w:after="120" w:line="280" w:lineRule="exact"/>
            <w:ind w:left="794" w:right="737"/>
            <w:rPr>
              <w:sz w:val="18"/>
              <w:szCs w:val="18"/>
              <w:lang w:eastAsia="en-AU"/>
            </w:rPr>
          </w:pPr>
          <w:r w:rsidRPr="00251802">
            <w:rPr>
              <w:rFonts w:asciiTheme="minorHAnsi" w:hAnsiTheme="minorHAnsi" w:cs="Calibri"/>
              <w:color w:val="000000"/>
              <w:sz w:val="18"/>
              <w:szCs w:val="18"/>
            </w:rPr>
            <w:t xml:space="preserve">This complements visa refunds for </w:t>
          </w:r>
          <w:r w:rsidRPr="00C328CA">
            <w:rPr>
              <w:rStyle w:val="IntroCopyChar"/>
              <w:sz w:val="24"/>
              <w:szCs w:val="24"/>
            </w:rPr>
            <w:t>Student visa holders</w:t>
          </w:r>
          <w:r w:rsidRPr="00C328CA">
            <w:rPr>
              <w:rFonts w:asciiTheme="minorHAnsi" w:hAnsiTheme="minorHAnsi" w:cs="Calibri"/>
              <w:color w:val="000000"/>
              <w:sz w:val="14"/>
              <w:szCs w:val="14"/>
            </w:rPr>
            <w:t xml:space="preserve"> </w:t>
          </w:r>
          <w:r w:rsidRPr="00251802">
            <w:rPr>
              <w:rFonts w:asciiTheme="minorHAnsi" w:hAnsiTheme="minorHAnsi" w:cs="Calibri"/>
              <w:color w:val="000000"/>
              <w:sz w:val="18"/>
              <w:szCs w:val="18"/>
            </w:rPr>
            <w:t>who arrive between 19 January 2022 and 19 March 2022.</w:t>
          </w:r>
          <w:r>
            <w:rPr>
              <w:rFonts w:asciiTheme="minorHAnsi" w:hAnsiTheme="minorHAnsi" w:cs="Calibri"/>
              <w:color w:val="000000"/>
              <w:sz w:val="18"/>
              <w:szCs w:val="18"/>
            </w:rPr>
            <w:t xml:space="preserve"> </w:t>
          </w:r>
          <w:r w:rsidRPr="00251802">
            <w:rPr>
              <w:rFonts w:asciiTheme="minorHAnsi" w:eastAsia="Times New Roman" w:hAnsiTheme="minorHAnsi"/>
              <w:sz w:val="18"/>
              <w:szCs w:val="18"/>
              <w:lang w:eastAsia="en-AU"/>
            </w:rPr>
            <w:t xml:space="preserve">The visa application fee was also waived for students that submit a further student visa application if the student held a student visa on or after 1 February 2020 and could not complete their course within the original visa validity because of the impacts of COVID-19. </w:t>
          </w:r>
          <w:r w:rsidRPr="00C328CA">
            <w:rPr>
              <w:rFonts w:asciiTheme="minorHAnsi" w:eastAsia="Times New Roman" w:hAnsiTheme="minorHAnsi"/>
              <w:sz w:val="18"/>
              <w:szCs w:val="18"/>
              <w:lang w:eastAsia="en-AU"/>
            </w:rPr>
            <w:t xml:space="preserve">This includes if students: </w:t>
          </w:r>
          <w:r w:rsidRPr="00C328CA">
            <w:rPr>
              <w:sz w:val="18"/>
              <w:szCs w:val="18"/>
              <w:lang w:eastAsia="en-AU"/>
            </w:rPr>
            <w:t xml:space="preserve">deferred study if they were unable to enter Australia because of travel restrictions, were forced to reduce to a part-time study load, or were unable to complete work-based training or placements. </w:t>
          </w:r>
        </w:p>
        <w:p w14:paraId="67D85947" w14:textId="77777777" w:rsidR="00AC666C" w:rsidRDefault="00AC666C" w:rsidP="005A51DC"/>
        <w:p w14:paraId="3653A601" w14:textId="1F4BD9F1" w:rsidR="00A33D67" w:rsidRDefault="00A33D67" w:rsidP="0079548D">
          <w:r>
            <w:t>Various state governments also provide</w:t>
          </w:r>
          <w:r w:rsidR="008A386E">
            <w:t>d</w:t>
          </w:r>
          <w:r>
            <w:t xml:space="preserve"> support through measures such as:</w:t>
          </w:r>
        </w:p>
        <w:p w14:paraId="250B3222" w14:textId="3F8010DC" w:rsidR="00A33D67" w:rsidRDefault="00A33D67" w:rsidP="00B51BCB">
          <w:pPr>
            <w:pStyle w:val="ListParagraph"/>
            <w:numPr>
              <w:ilvl w:val="0"/>
              <w:numId w:val="13"/>
            </w:numPr>
            <w:spacing w:before="60" w:after="60"/>
            <w:ind w:left="714" w:hanging="357"/>
            <w:contextualSpacing w:val="0"/>
          </w:pPr>
          <w:r>
            <w:t>rent deferral for tourism operators</w:t>
          </w:r>
        </w:p>
        <w:p w14:paraId="4A143E03" w14:textId="627A6D7F" w:rsidR="00A33D67" w:rsidRDefault="00A33D67" w:rsidP="00B51BCB">
          <w:pPr>
            <w:pStyle w:val="ListParagraph"/>
            <w:numPr>
              <w:ilvl w:val="0"/>
              <w:numId w:val="13"/>
            </w:numPr>
            <w:spacing w:before="60" w:after="60"/>
            <w:ind w:left="714" w:hanging="357"/>
            <w:contextualSpacing w:val="0"/>
          </w:pPr>
          <w:r>
            <w:t xml:space="preserve">specific fee waivers or refunds for relevant tourism businesses </w:t>
          </w:r>
        </w:p>
        <w:p w14:paraId="2A0878E5" w14:textId="738BB6F5" w:rsidR="003A0917" w:rsidRDefault="00D42187" w:rsidP="00B51BCB">
          <w:pPr>
            <w:pStyle w:val="ListParagraph"/>
            <w:numPr>
              <w:ilvl w:val="0"/>
              <w:numId w:val="13"/>
            </w:numPr>
            <w:spacing w:before="60" w:after="60"/>
            <w:ind w:left="714" w:hanging="357"/>
            <w:contextualSpacing w:val="0"/>
          </w:pPr>
          <w:r>
            <w:t>business support fund</w:t>
          </w:r>
          <w:r w:rsidR="00947928">
            <w:t>s</w:t>
          </w:r>
          <w:r>
            <w:t xml:space="preserve"> </w:t>
          </w:r>
          <w:r w:rsidR="003A0917">
            <w:t xml:space="preserve">delivering support to accommodation and food services businesses, arts and recreation services businesses and travel agency and tour arrangement services businesses </w:t>
          </w:r>
        </w:p>
        <w:p w14:paraId="1048A9B6" w14:textId="1802CFAE" w:rsidR="003A0917" w:rsidRDefault="003A0917" w:rsidP="00B51BCB">
          <w:pPr>
            <w:pStyle w:val="ListParagraph"/>
            <w:numPr>
              <w:ilvl w:val="0"/>
              <w:numId w:val="13"/>
            </w:numPr>
            <w:spacing w:before="60" w:after="60"/>
            <w:ind w:left="714" w:hanging="357"/>
            <w:contextualSpacing w:val="0"/>
          </w:pPr>
          <w:r>
            <w:t>targeted support packages for regional accommodation businesses, CBD businesses, night-time economy businesses and hospitality businesses as well as for the live-music industry, outdoor eating and entertainment businesses, community sport and recreational bodies and the racing industry</w:t>
          </w:r>
        </w:p>
        <w:p w14:paraId="45C3247C" w14:textId="77777777" w:rsidR="00856FDC" w:rsidRDefault="00CF6ECD" w:rsidP="00B51BCB">
          <w:pPr>
            <w:pStyle w:val="ListParagraph"/>
            <w:numPr>
              <w:ilvl w:val="0"/>
              <w:numId w:val="13"/>
            </w:numPr>
            <w:spacing w:before="60" w:after="60" w:line="259" w:lineRule="auto"/>
            <w:ind w:left="714" w:hanging="357"/>
            <w:contextualSpacing w:val="0"/>
          </w:pPr>
          <w:r>
            <w:t>voucher schemes – many states and territories funded travel voucher schemes, dining voucher schemes and accommodation voucher schemes to encourage and support residents to engage with and explore the visitor economy</w:t>
          </w:r>
        </w:p>
        <w:p w14:paraId="1912102A" w14:textId="52F78071" w:rsidR="00BF01F0" w:rsidRDefault="00856FDC" w:rsidP="00B51BCB">
          <w:pPr>
            <w:pStyle w:val="ListParagraph"/>
            <w:numPr>
              <w:ilvl w:val="0"/>
              <w:numId w:val="13"/>
            </w:numPr>
            <w:spacing w:before="60" w:after="60" w:line="259" w:lineRule="auto"/>
            <w:ind w:left="714" w:hanging="357"/>
            <w:contextualSpacing w:val="0"/>
          </w:pPr>
          <w:r>
            <w:t>additional jointly-funded commonwealth and state/territory grants were also provided to tourism businesses affected by lockdowns in 2021</w:t>
          </w:r>
          <w:r w:rsidR="00CF6ECD">
            <w:t>.</w:t>
          </w:r>
        </w:p>
        <w:p w14:paraId="193FB6A3" w14:textId="32E0DD3E" w:rsidR="00AC666C" w:rsidRDefault="00AC666C" w:rsidP="00AC666C">
          <w:pPr>
            <w:spacing w:before="60" w:after="60" w:line="259" w:lineRule="auto"/>
          </w:pPr>
        </w:p>
        <w:p w14:paraId="10B382CF" w14:textId="21977932" w:rsidR="00AC666C" w:rsidRPr="00BF01F0" w:rsidRDefault="00AC666C" w:rsidP="009E3766">
          <w:pPr>
            <w:pStyle w:val="Heading4"/>
            <w:ind w:left="794"/>
            <w:rPr>
              <w:lang w:eastAsia="zh-CN"/>
            </w:rPr>
          </w:pPr>
          <w:r>
            <w:rPr>
              <w:lang w:eastAsia="zh-CN"/>
            </w:rPr>
            <w:t xml:space="preserve">Case study: Victoria: </w:t>
          </w:r>
          <w:r w:rsidRPr="00BF01F0">
            <w:rPr>
              <w:lang w:eastAsia="zh-CN"/>
            </w:rPr>
            <w:t xml:space="preserve">Working with industry to restore and reinvigorate tourism so it can thrive again </w:t>
          </w:r>
        </w:p>
        <w:p w14:paraId="51AE0628" w14:textId="6A4F2637" w:rsidR="00AC666C" w:rsidRPr="00BF01F0" w:rsidRDefault="00AC666C" w:rsidP="009E3766">
          <w:pPr>
            <w:spacing w:before="120" w:after="120" w:line="280" w:lineRule="exact"/>
            <w:ind w:left="794" w:right="567"/>
            <w:rPr>
              <w:sz w:val="18"/>
              <w:szCs w:val="18"/>
            </w:rPr>
          </w:pPr>
          <w:r w:rsidRPr="00BF01F0">
            <w:rPr>
              <w:sz w:val="18"/>
              <w:szCs w:val="18"/>
            </w:rPr>
            <w:t>Victoria has responded with a forward-thinking strategy supporting long-term growth and resilience.</w:t>
          </w:r>
        </w:p>
        <w:p w14:paraId="1C2F06E6" w14:textId="1069B33D" w:rsidR="00AC666C" w:rsidRPr="00AC666C" w:rsidRDefault="00AC666C" w:rsidP="009E3766">
          <w:pPr>
            <w:spacing w:before="120" w:after="0" w:line="280" w:lineRule="exact"/>
            <w:ind w:left="794" w:right="567"/>
            <w:rPr>
              <w:rStyle w:val="QuoteChar"/>
              <w:sz w:val="22"/>
              <w:szCs w:val="22"/>
            </w:rPr>
          </w:pPr>
          <w:r w:rsidRPr="00AC666C">
            <w:rPr>
              <w:rStyle w:val="QuoteChar"/>
              <w:sz w:val="22"/>
              <w:szCs w:val="22"/>
            </w:rPr>
            <w:t>Pivotal to the strategy is the Visitor Economy Recovery and Reform Plan to boost visitor expenditure to $35 billion, supporting 300,000 jobs by June 2024.</w:t>
          </w:r>
        </w:p>
        <w:p w14:paraId="53285B47" w14:textId="511DA44E" w:rsidR="00AC666C" w:rsidRDefault="00AC666C" w:rsidP="009E3766">
          <w:pPr>
            <w:spacing w:before="120" w:after="0" w:line="280" w:lineRule="exact"/>
            <w:ind w:left="794" w:right="567"/>
            <w:rPr>
              <w:sz w:val="18"/>
              <w:szCs w:val="18"/>
            </w:rPr>
          </w:pPr>
          <w:r w:rsidRPr="00BF01F0">
            <w:rPr>
              <w:sz w:val="18"/>
              <w:szCs w:val="18"/>
            </w:rPr>
            <w:t xml:space="preserve">The </w:t>
          </w:r>
          <w:r>
            <w:rPr>
              <w:sz w:val="18"/>
              <w:szCs w:val="18"/>
            </w:rPr>
            <w:t>s</w:t>
          </w:r>
          <w:r w:rsidRPr="00BF01F0">
            <w:rPr>
              <w:sz w:val="18"/>
              <w:szCs w:val="18"/>
            </w:rPr>
            <w:t xml:space="preserve">tate </w:t>
          </w:r>
          <w:r>
            <w:rPr>
              <w:sz w:val="18"/>
              <w:szCs w:val="18"/>
            </w:rPr>
            <w:t>g</w:t>
          </w:r>
          <w:r w:rsidRPr="00BF01F0">
            <w:rPr>
              <w:sz w:val="18"/>
              <w:szCs w:val="18"/>
            </w:rPr>
            <w:t>overnment is working with the tourism industry to strengthen the sector's capacity. Funding and training have focused on digital and business skills gaps, as well as regional workforce plans to attract and retain workers. Investment in new ideas and improving iconic attractions are underway to ensure the state continues to attract visitors.</w:t>
          </w:r>
        </w:p>
        <w:p w14:paraId="2F30AF90" w14:textId="79CBFFCD" w:rsidR="00B15427" w:rsidRDefault="00B15427">
          <w:pPr>
            <w:spacing w:before="0" w:after="160" w:line="259" w:lineRule="auto"/>
            <w:rPr>
              <w:sz w:val="18"/>
              <w:szCs w:val="18"/>
            </w:rPr>
          </w:pPr>
          <w:r>
            <w:rPr>
              <w:sz w:val="18"/>
              <w:szCs w:val="18"/>
            </w:rPr>
            <w:br w:type="page"/>
          </w:r>
        </w:p>
        <w:p w14:paraId="2221492B" w14:textId="77777777" w:rsidR="00B15427" w:rsidRPr="00BF01F0" w:rsidRDefault="00B15427" w:rsidP="00191680">
          <w:pPr>
            <w:spacing w:before="0" w:after="0" w:line="280" w:lineRule="exact"/>
            <w:ind w:left="567" w:right="567"/>
            <w:rPr>
              <w:sz w:val="18"/>
              <w:szCs w:val="18"/>
            </w:rPr>
          </w:pPr>
        </w:p>
        <w:p w14:paraId="7016BD9A" w14:textId="77777777" w:rsidR="00B15427" w:rsidRDefault="00191680" w:rsidP="009E3766">
          <w:pPr>
            <w:spacing w:before="0" w:after="0" w:line="280" w:lineRule="exact"/>
            <w:ind w:left="794" w:right="567"/>
            <w:rPr>
              <w:sz w:val="18"/>
              <w:szCs w:val="18"/>
            </w:rPr>
          </w:pPr>
          <w:r>
            <w:rPr>
              <w:noProof/>
            </w:rPr>
            <w:drawing>
              <wp:anchor distT="0" distB="0" distL="114300" distR="114300" simplePos="0" relativeHeight="251842560" behindDoc="0" locked="0" layoutInCell="1" allowOverlap="1" wp14:anchorId="32C3A22C" wp14:editId="44C1792D">
                <wp:simplePos x="0" y="0"/>
                <wp:positionH relativeFrom="margin">
                  <wp:posOffset>2931794</wp:posOffset>
                </wp:positionH>
                <wp:positionV relativeFrom="paragraph">
                  <wp:posOffset>-8255</wp:posOffset>
                </wp:positionV>
                <wp:extent cx="3400425" cy="2609850"/>
                <wp:effectExtent l="0" t="0" r="9525" b="0"/>
                <wp:wrapNone/>
                <wp:docPr id="133" name="Picture 133" descr="Image of the MCG filled with a crowd for a cricket match on a sunny day."/>
                <wp:cNvGraphicFramePr/>
                <a:graphic xmlns:a="http://schemas.openxmlformats.org/drawingml/2006/main">
                  <a:graphicData uri="http://schemas.openxmlformats.org/drawingml/2006/picture">
                    <pic:pic xmlns:pic="http://schemas.openxmlformats.org/drawingml/2006/picture">
                      <pic:nvPicPr>
                        <pic:cNvPr id="56" name="Picture 56" descr="Image of the MCG filled with a crowd for a cricket match on a sunny da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00425" cy="2609850"/>
                        </a:xfrm>
                        <a:prstGeom prst="rect">
                          <a:avLst/>
                        </a:prstGeom>
                      </pic:spPr>
                    </pic:pic>
                  </a:graphicData>
                </a:graphic>
                <wp14:sizeRelH relativeFrom="page">
                  <wp14:pctWidth>0</wp14:pctWidth>
                </wp14:sizeRelH>
                <wp14:sizeRelV relativeFrom="page">
                  <wp14:pctHeight>0</wp14:pctHeight>
                </wp14:sizeRelV>
              </wp:anchor>
            </w:drawing>
          </w:r>
          <w:r w:rsidR="00AC666C" w:rsidRPr="00BF01F0">
            <w:rPr>
              <w:sz w:val="18"/>
              <w:szCs w:val="18"/>
            </w:rPr>
            <w:t xml:space="preserve">The Victorian and Seniors Travel Voucher </w:t>
          </w:r>
        </w:p>
        <w:p w14:paraId="23D715B7" w14:textId="77777777" w:rsidR="00B15427" w:rsidRDefault="00AC666C" w:rsidP="009E3766">
          <w:pPr>
            <w:spacing w:before="0" w:after="0" w:line="280" w:lineRule="exact"/>
            <w:ind w:left="794" w:right="567"/>
            <w:rPr>
              <w:sz w:val="18"/>
              <w:szCs w:val="18"/>
            </w:rPr>
          </w:pPr>
          <w:r w:rsidRPr="00BF01F0">
            <w:rPr>
              <w:sz w:val="18"/>
              <w:szCs w:val="18"/>
            </w:rPr>
            <w:t xml:space="preserve">Schemes have encouraged people to </w:t>
          </w:r>
        </w:p>
        <w:p w14:paraId="0868B58A" w14:textId="77777777" w:rsidR="00B15427" w:rsidRDefault="00AC666C" w:rsidP="009E3766">
          <w:pPr>
            <w:spacing w:before="0" w:after="0" w:line="280" w:lineRule="exact"/>
            <w:ind w:left="794" w:right="567"/>
            <w:rPr>
              <w:sz w:val="18"/>
              <w:szCs w:val="18"/>
            </w:rPr>
          </w:pPr>
          <w:r w:rsidRPr="00BF01F0">
            <w:rPr>
              <w:sz w:val="18"/>
              <w:szCs w:val="18"/>
            </w:rPr>
            <w:t xml:space="preserve">explore </w:t>
          </w:r>
          <w:r>
            <w:rPr>
              <w:sz w:val="18"/>
              <w:szCs w:val="18"/>
            </w:rPr>
            <w:t>the</w:t>
          </w:r>
          <w:r w:rsidRPr="00BF01F0">
            <w:rPr>
              <w:sz w:val="18"/>
              <w:szCs w:val="18"/>
            </w:rPr>
            <w:t xml:space="preserve"> state, while supporting local </w:t>
          </w:r>
        </w:p>
        <w:p w14:paraId="5E05C665" w14:textId="77777777" w:rsidR="00B15427" w:rsidRDefault="00AC666C" w:rsidP="009E3766">
          <w:pPr>
            <w:spacing w:before="0" w:after="0" w:line="280" w:lineRule="exact"/>
            <w:ind w:left="794" w:right="567"/>
            <w:rPr>
              <w:sz w:val="18"/>
              <w:szCs w:val="18"/>
            </w:rPr>
          </w:pPr>
          <w:r w:rsidRPr="00BF01F0">
            <w:rPr>
              <w:sz w:val="18"/>
              <w:szCs w:val="18"/>
            </w:rPr>
            <w:t>businesses. Victorians spent more than</w:t>
          </w:r>
          <w:r>
            <w:rPr>
              <w:sz w:val="18"/>
              <w:szCs w:val="18"/>
            </w:rPr>
            <w:t> </w:t>
          </w:r>
        </w:p>
        <w:p w14:paraId="6BAF31F9" w14:textId="77777777" w:rsidR="00B15427" w:rsidRDefault="00AC666C" w:rsidP="009E3766">
          <w:pPr>
            <w:spacing w:before="0" w:after="0" w:line="280" w:lineRule="exact"/>
            <w:ind w:left="794" w:right="567"/>
            <w:rPr>
              <w:sz w:val="18"/>
              <w:szCs w:val="18"/>
            </w:rPr>
          </w:pPr>
          <w:r w:rsidRPr="00BF01F0">
            <w:rPr>
              <w:sz w:val="18"/>
              <w:szCs w:val="18"/>
            </w:rPr>
            <w:t xml:space="preserve">$68 million on accommodation, tours and </w:t>
          </w:r>
        </w:p>
        <w:p w14:paraId="63A39532" w14:textId="13E35C04" w:rsidR="00B15427" w:rsidRDefault="00AC666C" w:rsidP="009E3766">
          <w:pPr>
            <w:spacing w:before="0" w:after="0" w:line="280" w:lineRule="exact"/>
            <w:ind w:left="794" w:right="567"/>
            <w:rPr>
              <w:sz w:val="18"/>
              <w:szCs w:val="18"/>
            </w:rPr>
          </w:pPr>
          <w:r w:rsidRPr="00D70435">
            <w:rPr>
              <w:sz w:val="18"/>
              <w:szCs w:val="18"/>
            </w:rPr>
            <w:t>experiences under the voucher scheme</w:t>
          </w:r>
          <w:r>
            <w:rPr>
              <w:sz w:val="18"/>
              <w:szCs w:val="18"/>
            </w:rPr>
            <w:t>s</w:t>
          </w:r>
          <w:r w:rsidRPr="00D70435">
            <w:rPr>
              <w:sz w:val="18"/>
              <w:szCs w:val="18"/>
            </w:rPr>
            <w:t xml:space="preserve">  </w:t>
          </w:r>
        </w:p>
        <w:p w14:paraId="4E4295B3" w14:textId="66DF2B30" w:rsidR="00AC666C" w:rsidRDefault="009E3766" w:rsidP="009E3766">
          <w:pPr>
            <w:spacing w:before="0" w:after="0" w:line="280" w:lineRule="exact"/>
            <w:ind w:left="794" w:right="567"/>
            <w:rPr>
              <w:sz w:val="18"/>
              <w:szCs w:val="18"/>
            </w:rPr>
          </w:pPr>
          <w:r>
            <w:rPr>
              <w:sz w:val="18"/>
              <w:szCs w:val="18"/>
            </w:rPr>
            <w:t xml:space="preserve">in </w:t>
          </w:r>
          <w:r w:rsidR="00AC666C" w:rsidRPr="00D70435">
            <w:rPr>
              <w:sz w:val="18"/>
              <w:szCs w:val="18"/>
            </w:rPr>
            <w:t>2021.</w:t>
          </w:r>
        </w:p>
        <w:p w14:paraId="3F7708E9" w14:textId="77777777" w:rsidR="00191680" w:rsidRDefault="00191680" w:rsidP="009E3766">
          <w:pPr>
            <w:spacing w:before="0" w:after="0"/>
            <w:ind w:left="794" w:right="567"/>
            <w:rPr>
              <w:b/>
              <w:bCs/>
              <w:sz w:val="16"/>
              <w:szCs w:val="16"/>
            </w:rPr>
          </w:pPr>
        </w:p>
        <w:p w14:paraId="3E8D1B42" w14:textId="77777777" w:rsidR="00191680" w:rsidRDefault="00AC666C" w:rsidP="009E3766">
          <w:pPr>
            <w:spacing w:before="0" w:after="0"/>
            <w:ind w:left="794" w:right="567"/>
            <w:rPr>
              <w:b/>
              <w:bCs/>
              <w:sz w:val="16"/>
              <w:szCs w:val="16"/>
            </w:rPr>
          </w:pPr>
          <w:r w:rsidRPr="00E753FB">
            <w:rPr>
              <w:b/>
              <w:bCs/>
              <w:sz w:val="16"/>
              <w:szCs w:val="16"/>
            </w:rPr>
            <w:t xml:space="preserve">Courtesy of </w:t>
          </w:r>
          <w:r>
            <w:rPr>
              <w:b/>
              <w:bCs/>
              <w:sz w:val="16"/>
              <w:szCs w:val="16"/>
            </w:rPr>
            <w:t xml:space="preserve">Victoria State Government. </w:t>
          </w:r>
        </w:p>
        <w:p w14:paraId="403BEAD9" w14:textId="77777777" w:rsidR="00191680" w:rsidRDefault="00AC666C" w:rsidP="009E3766">
          <w:pPr>
            <w:spacing w:before="0" w:after="0"/>
            <w:ind w:left="794" w:right="567"/>
            <w:rPr>
              <w:b/>
              <w:bCs/>
              <w:sz w:val="16"/>
              <w:szCs w:val="16"/>
            </w:rPr>
          </w:pPr>
          <w:r w:rsidRPr="00A37F2B">
            <w:rPr>
              <w:b/>
              <w:bCs/>
              <w:sz w:val="16"/>
              <w:szCs w:val="16"/>
            </w:rPr>
            <w:t xml:space="preserve">Image courtesy of Visit Victoria: </w:t>
          </w:r>
        </w:p>
        <w:p w14:paraId="794E020A" w14:textId="77777777" w:rsidR="00191680" w:rsidRPr="00B15427" w:rsidRDefault="00AC666C" w:rsidP="009E3766">
          <w:pPr>
            <w:spacing w:before="0" w:after="0"/>
            <w:ind w:left="794" w:right="567"/>
            <w:rPr>
              <w:b/>
              <w:bCs/>
              <w:sz w:val="16"/>
              <w:szCs w:val="16"/>
            </w:rPr>
          </w:pPr>
          <w:r w:rsidRPr="00B15427">
            <w:rPr>
              <w:b/>
              <w:bCs/>
              <w:i/>
              <w:iCs/>
              <w:sz w:val="16"/>
              <w:szCs w:val="16"/>
            </w:rPr>
            <w:t xml:space="preserve">Melbourne Cricket Ground </w:t>
          </w:r>
          <w:r w:rsidRPr="00B15427">
            <w:rPr>
              <w:b/>
              <w:bCs/>
              <w:sz w:val="16"/>
              <w:szCs w:val="16"/>
            </w:rPr>
            <w:t xml:space="preserve">by Michelle </w:t>
          </w:r>
        </w:p>
        <w:p w14:paraId="6090EC3C" w14:textId="55AD6D7C" w:rsidR="00AC666C" w:rsidRDefault="00AC666C" w:rsidP="009E3766">
          <w:pPr>
            <w:spacing w:before="0" w:after="0"/>
            <w:ind w:left="794" w:right="567"/>
            <w:rPr>
              <w:b/>
              <w:bCs/>
              <w:sz w:val="16"/>
              <w:szCs w:val="16"/>
            </w:rPr>
          </w:pPr>
          <w:r w:rsidRPr="00B15427">
            <w:rPr>
              <w:b/>
              <w:bCs/>
              <w:sz w:val="16"/>
              <w:szCs w:val="16"/>
            </w:rPr>
            <w:t>Couling</w:t>
          </w:r>
          <w:r w:rsidRPr="00A37F2B">
            <w:rPr>
              <w:b/>
              <w:bCs/>
              <w:sz w:val="16"/>
              <w:szCs w:val="16"/>
            </w:rPr>
            <w:t xml:space="preserve">. </w:t>
          </w:r>
        </w:p>
        <w:p w14:paraId="779455FB" w14:textId="01882E51" w:rsidR="00AC666C" w:rsidRDefault="00AC666C" w:rsidP="00AC666C">
          <w:pPr>
            <w:spacing w:before="60" w:after="60" w:line="259" w:lineRule="auto"/>
          </w:pPr>
        </w:p>
        <w:p w14:paraId="60657C7E" w14:textId="3065C7EA" w:rsidR="00191680" w:rsidRDefault="00191680" w:rsidP="00AC666C">
          <w:pPr>
            <w:spacing w:before="60" w:after="60" w:line="259" w:lineRule="auto"/>
          </w:pPr>
        </w:p>
        <w:p w14:paraId="4BB32EA7" w14:textId="3411A3EC" w:rsidR="00191680" w:rsidRDefault="00191680" w:rsidP="00AC666C">
          <w:pPr>
            <w:spacing w:before="60" w:after="60" w:line="259" w:lineRule="auto"/>
          </w:pPr>
        </w:p>
        <w:p w14:paraId="23CA53C0" w14:textId="23FBBD60" w:rsidR="00191680" w:rsidRDefault="00191680" w:rsidP="00AC666C">
          <w:pPr>
            <w:spacing w:before="60" w:after="60" w:line="259" w:lineRule="auto"/>
          </w:pPr>
        </w:p>
        <w:p w14:paraId="1E0DC1B8" w14:textId="170053FE" w:rsidR="00C41791" w:rsidRDefault="00C41791" w:rsidP="009E3766">
          <w:pPr>
            <w:pStyle w:val="Heading4"/>
            <w:spacing w:before="480"/>
            <w:ind w:left="567"/>
          </w:pPr>
          <w:r>
            <w:t xml:space="preserve">Case study: Gold Creek Adventure </w:t>
          </w:r>
        </w:p>
        <w:p w14:paraId="10CD809F" w14:textId="687037D9" w:rsidR="00C41791" w:rsidRDefault="00C41791" w:rsidP="00C41791">
          <w:pPr>
            <w:spacing w:before="120" w:after="120" w:line="280" w:lineRule="exact"/>
            <w:ind w:left="567" w:right="567"/>
            <w:rPr>
              <w:rFonts w:ascii="Calibri" w:hAnsi="Calibri"/>
              <w:color w:val="auto"/>
            </w:rPr>
          </w:pPr>
          <w:r w:rsidRPr="005243E6">
            <w:rPr>
              <w:sz w:val="18"/>
              <w:szCs w:val="18"/>
            </w:rPr>
            <w:t xml:space="preserve">The National Dinosaur Museum, Cockington Green Gardens, Canberra Reptile Zoo and Canberra Walk-In Aviary successfully applied for grant funding to </w:t>
          </w:r>
          <w:r w:rsidRPr="004A5576">
            <w:rPr>
              <w:sz w:val="18"/>
              <w:szCs w:val="18"/>
            </w:rPr>
            <w:t>develop a Gold Creek Adventure Ticket</w:t>
          </w:r>
          <w:r w:rsidRPr="005243E6">
            <w:rPr>
              <w:i/>
              <w:iCs/>
              <w:sz w:val="18"/>
              <w:szCs w:val="18"/>
            </w:rPr>
            <w:t xml:space="preserve"> </w:t>
          </w:r>
          <w:r w:rsidRPr="00BA3814">
            <w:rPr>
              <w:rStyle w:val="Strong"/>
              <w:sz w:val="22"/>
              <w:szCs w:val="22"/>
            </w:rPr>
            <w:t>to increase visitation to Canberra’s Gold Creek precinct. The ticket reduces the combined admission cost to all four attractions and allows for commissionable pricing – making it attractive for travel trade.</w:t>
          </w:r>
        </w:p>
        <w:p w14:paraId="36CBFFE5" w14:textId="341B64C3" w:rsidR="00C41791" w:rsidRDefault="00C41791" w:rsidP="00C41791">
          <w:pPr>
            <w:spacing w:before="0" w:after="0" w:line="280" w:lineRule="exact"/>
            <w:ind w:left="567" w:right="567"/>
            <w:rPr>
              <w:sz w:val="18"/>
              <w:szCs w:val="18"/>
            </w:rPr>
          </w:pPr>
          <w:r>
            <w:rPr>
              <w:b/>
              <w:bCs/>
              <w:noProof/>
              <w:sz w:val="16"/>
              <w:szCs w:val="16"/>
            </w:rPr>
            <w:drawing>
              <wp:anchor distT="0" distB="0" distL="114300" distR="114300" simplePos="0" relativeHeight="251843584" behindDoc="0" locked="0" layoutInCell="1" allowOverlap="1" wp14:anchorId="38A5B7BF" wp14:editId="2C8FC3D2">
                <wp:simplePos x="0" y="0"/>
                <wp:positionH relativeFrom="page">
                  <wp:posOffset>3228975</wp:posOffset>
                </wp:positionH>
                <wp:positionV relativeFrom="paragraph">
                  <wp:posOffset>8255</wp:posOffset>
                </wp:positionV>
                <wp:extent cx="3752850" cy="3035055"/>
                <wp:effectExtent l="0" t="0" r="0" b="0"/>
                <wp:wrapNone/>
                <wp:docPr id="27" name="Picture 27" descr="A family with kids walking through a park with a group of dinosaurs display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family with kids walking through a park with a group of dinosaurs displayed.&#10;"/>
                        <pic:cNvPicPr/>
                      </pic:nvPicPr>
                      <pic:blipFill rotWithShape="1">
                        <a:blip r:embed="rId50"/>
                        <a:srcRect l="10635" r="6932"/>
                        <a:stretch/>
                      </pic:blipFill>
                      <pic:spPr bwMode="auto">
                        <a:xfrm>
                          <a:off x="0" y="0"/>
                          <a:ext cx="3752850" cy="303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43E6">
            <w:rPr>
              <w:sz w:val="18"/>
              <w:szCs w:val="18"/>
            </w:rPr>
            <w:t xml:space="preserve">Funding helped develop brand assets, </w:t>
          </w:r>
        </w:p>
        <w:p w14:paraId="4B24CD81" w14:textId="16A3B83C" w:rsidR="00C41791" w:rsidRDefault="00C41791" w:rsidP="00C41791">
          <w:pPr>
            <w:spacing w:before="0" w:after="0" w:line="280" w:lineRule="exact"/>
            <w:ind w:left="567" w:right="567"/>
            <w:rPr>
              <w:sz w:val="18"/>
              <w:szCs w:val="18"/>
            </w:rPr>
          </w:pPr>
          <w:r w:rsidRPr="005243E6">
            <w:rPr>
              <w:sz w:val="18"/>
              <w:szCs w:val="18"/>
            </w:rPr>
            <w:t xml:space="preserve">an online booking portal and a </w:t>
          </w:r>
        </w:p>
        <w:p w14:paraId="5DECBB7B" w14:textId="6A1486EE" w:rsidR="00C41791" w:rsidRDefault="00C41791" w:rsidP="00C41791">
          <w:pPr>
            <w:spacing w:before="0" w:after="0" w:line="280" w:lineRule="exact"/>
            <w:ind w:left="567" w:right="567"/>
            <w:rPr>
              <w:sz w:val="18"/>
              <w:szCs w:val="18"/>
            </w:rPr>
          </w:pPr>
          <w:r w:rsidRPr="005243E6">
            <w:rPr>
              <w:sz w:val="18"/>
              <w:szCs w:val="18"/>
            </w:rPr>
            <w:t xml:space="preserve">marketing campaign – and with sales </w:t>
          </w:r>
        </w:p>
        <w:p w14:paraId="5DE153EB" w14:textId="77777777" w:rsidR="00C41791" w:rsidRDefault="00C41791" w:rsidP="00C41791">
          <w:pPr>
            <w:spacing w:before="0" w:after="0" w:line="280" w:lineRule="exact"/>
            <w:ind w:left="567" w:right="567"/>
            <w:rPr>
              <w:sz w:val="18"/>
              <w:szCs w:val="18"/>
            </w:rPr>
          </w:pPr>
          <w:r w:rsidRPr="005243E6">
            <w:rPr>
              <w:sz w:val="18"/>
              <w:szCs w:val="18"/>
            </w:rPr>
            <w:t xml:space="preserve">exceeding expectations, the ticket is </w:t>
          </w:r>
        </w:p>
        <w:p w14:paraId="285D5057" w14:textId="77777777" w:rsidR="00C41791" w:rsidRPr="005243E6" w:rsidRDefault="00C41791" w:rsidP="00C41791">
          <w:pPr>
            <w:spacing w:before="0" w:after="120" w:line="280" w:lineRule="exact"/>
            <w:ind w:left="567" w:right="567"/>
            <w:rPr>
              <w:sz w:val="18"/>
              <w:szCs w:val="18"/>
            </w:rPr>
          </w:pPr>
          <w:r w:rsidRPr="005243E6">
            <w:rPr>
              <w:sz w:val="18"/>
              <w:szCs w:val="18"/>
            </w:rPr>
            <w:t>now a permanent offering.</w:t>
          </w:r>
        </w:p>
        <w:p w14:paraId="1EDFD7A6" w14:textId="77777777" w:rsidR="00C41791" w:rsidRDefault="00C41791" w:rsidP="00C41791">
          <w:pPr>
            <w:spacing w:before="0" w:after="0" w:line="280" w:lineRule="exact"/>
            <w:ind w:left="567" w:right="567"/>
            <w:rPr>
              <w:sz w:val="18"/>
              <w:szCs w:val="18"/>
            </w:rPr>
          </w:pPr>
          <w:r w:rsidRPr="005243E6">
            <w:rPr>
              <w:sz w:val="18"/>
              <w:szCs w:val="18"/>
            </w:rPr>
            <w:t>Grant support was provided under the</w:t>
          </w:r>
        </w:p>
        <w:p w14:paraId="0C60BE12" w14:textId="77777777" w:rsidR="00C41791" w:rsidRDefault="00C41791" w:rsidP="00C41791">
          <w:pPr>
            <w:spacing w:before="0" w:after="0" w:line="280" w:lineRule="exact"/>
            <w:ind w:left="567" w:right="567"/>
            <w:rPr>
              <w:sz w:val="18"/>
              <w:szCs w:val="18"/>
            </w:rPr>
          </w:pPr>
          <w:r w:rsidRPr="005243E6">
            <w:rPr>
              <w:sz w:val="18"/>
              <w:szCs w:val="18"/>
            </w:rPr>
            <w:t xml:space="preserve">ACT Government’s $1 million Tourism </w:t>
          </w:r>
        </w:p>
        <w:p w14:paraId="766865F1" w14:textId="77777777" w:rsidR="00C41791" w:rsidRDefault="00C41791" w:rsidP="00C41791">
          <w:pPr>
            <w:spacing w:before="0" w:after="0" w:line="280" w:lineRule="exact"/>
            <w:ind w:left="567" w:right="567"/>
            <w:rPr>
              <w:sz w:val="18"/>
              <w:szCs w:val="18"/>
            </w:rPr>
          </w:pPr>
          <w:r w:rsidRPr="005243E6">
            <w:rPr>
              <w:sz w:val="18"/>
              <w:szCs w:val="18"/>
            </w:rPr>
            <w:t xml:space="preserve">Cooperative Marketing Fund (TCMF), </w:t>
          </w:r>
        </w:p>
        <w:p w14:paraId="1E1BD19A" w14:textId="77777777" w:rsidR="00C41791" w:rsidRDefault="00C41791" w:rsidP="00C41791">
          <w:pPr>
            <w:spacing w:before="0" w:after="0" w:line="280" w:lineRule="exact"/>
            <w:ind w:left="567" w:right="567"/>
            <w:rPr>
              <w:sz w:val="18"/>
              <w:szCs w:val="18"/>
            </w:rPr>
          </w:pPr>
          <w:r w:rsidRPr="005243E6">
            <w:rPr>
              <w:sz w:val="18"/>
              <w:szCs w:val="18"/>
            </w:rPr>
            <w:t xml:space="preserve">established in response to COVID-19 </w:t>
          </w:r>
        </w:p>
        <w:p w14:paraId="2C44CEF2" w14:textId="77777777" w:rsidR="00C41791" w:rsidRDefault="00C41791" w:rsidP="00C41791">
          <w:pPr>
            <w:spacing w:before="0" w:after="0" w:line="280" w:lineRule="exact"/>
            <w:ind w:left="567" w:right="567"/>
            <w:rPr>
              <w:sz w:val="18"/>
              <w:szCs w:val="18"/>
            </w:rPr>
          </w:pPr>
          <w:r w:rsidRPr="005243E6">
            <w:rPr>
              <w:sz w:val="18"/>
              <w:szCs w:val="18"/>
            </w:rPr>
            <w:t xml:space="preserve">and designed to encourage local </w:t>
          </w:r>
        </w:p>
        <w:p w14:paraId="66C3F71F" w14:textId="77777777" w:rsidR="00C41791" w:rsidRDefault="00C41791" w:rsidP="00C41791">
          <w:pPr>
            <w:spacing w:before="0" w:after="0" w:line="280" w:lineRule="exact"/>
            <w:ind w:left="567" w:right="567"/>
            <w:rPr>
              <w:sz w:val="18"/>
              <w:szCs w:val="18"/>
            </w:rPr>
          </w:pPr>
          <w:r w:rsidRPr="005243E6">
            <w:rPr>
              <w:sz w:val="18"/>
              <w:szCs w:val="18"/>
            </w:rPr>
            <w:t xml:space="preserve">tourism businesses to collaborate on </w:t>
          </w:r>
        </w:p>
        <w:p w14:paraId="06EC5EF8" w14:textId="77777777" w:rsidR="00C41791" w:rsidRDefault="00C41791" w:rsidP="00C41791">
          <w:pPr>
            <w:spacing w:before="0" w:after="0" w:line="280" w:lineRule="exact"/>
            <w:ind w:left="567" w:right="567"/>
            <w:rPr>
              <w:sz w:val="18"/>
              <w:szCs w:val="18"/>
            </w:rPr>
          </w:pPr>
          <w:r w:rsidRPr="005243E6">
            <w:rPr>
              <w:sz w:val="18"/>
              <w:szCs w:val="18"/>
            </w:rPr>
            <w:t xml:space="preserve">new marketing activity and product </w:t>
          </w:r>
        </w:p>
        <w:p w14:paraId="3504097D" w14:textId="77777777" w:rsidR="00C41791" w:rsidRPr="005243E6" w:rsidRDefault="00C41791" w:rsidP="00C41791">
          <w:pPr>
            <w:spacing w:before="0" w:line="280" w:lineRule="exact"/>
            <w:ind w:left="567" w:right="567"/>
            <w:rPr>
              <w:sz w:val="18"/>
              <w:szCs w:val="18"/>
            </w:rPr>
          </w:pPr>
          <w:r w:rsidRPr="005243E6">
            <w:rPr>
              <w:sz w:val="18"/>
              <w:szCs w:val="18"/>
            </w:rPr>
            <w:t>development.</w:t>
          </w:r>
        </w:p>
        <w:p w14:paraId="76ECDF7E" w14:textId="77777777" w:rsidR="00C41791" w:rsidRDefault="00C41791" w:rsidP="00C41791">
          <w:pPr>
            <w:spacing w:before="0" w:after="0" w:line="280" w:lineRule="exact"/>
            <w:ind w:left="567" w:right="567"/>
            <w:rPr>
              <w:sz w:val="18"/>
              <w:szCs w:val="18"/>
            </w:rPr>
          </w:pPr>
          <w:r w:rsidRPr="005243E6">
            <w:rPr>
              <w:sz w:val="18"/>
              <w:szCs w:val="18"/>
            </w:rPr>
            <w:t>TCMF projects supported to date have</w:t>
          </w:r>
        </w:p>
        <w:p w14:paraId="7846D1DE" w14:textId="77777777" w:rsidR="00C41791" w:rsidRDefault="00C41791" w:rsidP="00C41791">
          <w:pPr>
            <w:spacing w:before="0" w:after="0" w:line="280" w:lineRule="exact"/>
            <w:ind w:left="567" w:right="567"/>
            <w:rPr>
              <w:sz w:val="18"/>
              <w:szCs w:val="18"/>
            </w:rPr>
          </w:pPr>
          <w:r w:rsidRPr="005243E6">
            <w:rPr>
              <w:sz w:val="18"/>
              <w:szCs w:val="18"/>
            </w:rPr>
            <w:t xml:space="preserve">involved partnerships across </w:t>
          </w:r>
        </w:p>
        <w:p w14:paraId="4FEE1D78" w14:textId="77777777" w:rsidR="00C41791" w:rsidRDefault="00C41791" w:rsidP="00C41791">
          <w:pPr>
            <w:spacing w:before="0" w:after="0" w:line="280" w:lineRule="exact"/>
            <w:ind w:left="567" w:right="567"/>
            <w:rPr>
              <w:sz w:val="18"/>
              <w:szCs w:val="18"/>
            </w:rPr>
          </w:pPr>
          <w:r w:rsidRPr="005243E6">
            <w:rPr>
              <w:sz w:val="18"/>
              <w:szCs w:val="18"/>
            </w:rPr>
            <w:t>184 businesses.</w:t>
          </w:r>
        </w:p>
        <w:p w14:paraId="7CED6D1E" w14:textId="2EDB39B3" w:rsidR="00C41791" w:rsidRDefault="00C41791" w:rsidP="00C41791">
          <w:pPr>
            <w:spacing w:before="0" w:after="0"/>
            <w:ind w:left="567" w:right="567"/>
            <w:jc w:val="right"/>
            <w:rPr>
              <w:b/>
              <w:bCs/>
              <w:sz w:val="16"/>
              <w:szCs w:val="16"/>
            </w:rPr>
          </w:pPr>
        </w:p>
        <w:p w14:paraId="3B8000A6" w14:textId="77777777" w:rsidR="00C41791" w:rsidRDefault="00C41791" w:rsidP="00C41791">
          <w:pPr>
            <w:spacing w:before="0" w:after="0"/>
            <w:ind w:left="567" w:right="567"/>
          </w:pPr>
          <w:r w:rsidRPr="00E753FB">
            <w:rPr>
              <w:b/>
              <w:bCs/>
              <w:sz w:val="16"/>
              <w:szCs w:val="16"/>
            </w:rPr>
            <w:t xml:space="preserve">Courtesy of </w:t>
          </w:r>
          <w:r>
            <w:rPr>
              <w:b/>
              <w:bCs/>
              <w:sz w:val="16"/>
              <w:szCs w:val="16"/>
            </w:rPr>
            <w:t xml:space="preserve">VisitCanberra. Image: </w:t>
          </w:r>
          <w:r w:rsidRPr="00A37F2B">
            <w:rPr>
              <w:b/>
              <w:bCs/>
              <w:sz w:val="16"/>
              <w:szCs w:val="16"/>
            </w:rPr>
            <w:t>National Dinosaur Museum, VisitCanberra</w:t>
          </w:r>
        </w:p>
        <w:p w14:paraId="6E1CA755" w14:textId="77777777" w:rsidR="00C41791" w:rsidRDefault="00C41791">
          <w:pPr>
            <w:spacing w:before="0" w:after="160" w:line="259" w:lineRule="auto"/>
          </w:pPr>
          <w:r>
            <w:br w:type="page"/>
          </w:r>
        </w:p>
        <w:p w14:paraId="546B9160" w14:textId="73325CBD" w:rsidR="003E4267" w:rsidRPr="006F48B3" w:rsidRDefault="003E4267" w:rsidP="003E4267">
          <w:pPr>
            <w:rPr>
              <w:color w:val="auto"/>
            </w:rPr>
          </w:pPr>
          <w:r>
            <w:t xml:space="preserve">While the most significant economy-wide support programs have ended, there is ongoing support for the visitor economy. Of </w:t>
          </w:r>
          <w:r w:rsidRPr="006F48B3">
            <w:rPr>
              <w:color w:val="auto"/>
            </w:rPr>
            <w:t xml:space="preserve">note, to deliver the THRIVE 2030 </w:t>
          </w:r>
          <w:r w:rsidR="00583A20">
            <w:rPr>
              <w:color w:val="auto"/>
            </w:rPr>
            <w:t>S</w:t>
          </w:r>
          <w:r w:rsidR="00583A20" w:rsidRPr="006F48B3">
            <w:rPr>
              <w:color w:val="auto"/>
            </w:rPr>
            <w:t>trategy</w:t>
          </w:r>
          <w:r w:rsidRPr="006F48B3">
            <w:rPr>
              <w:color w:val="auto"/>
            </w:rPr>
            <w:t xml:space="preserve">, the </w:t>
          </w:r>
          <w:r w:rsidR="002807C8">
            <w:rPr>
              <w:color w:val="auto"/>
            </w:rPr>
            <w:t>Australian</w:t>
          </w:r>
          <w:r w:rsidR="0007530B">
            <w:rPr>
              <w:color w:val="auto"/>
            </w:rPr>
            <w:t xml:space="preserve"> </w:t>
          </w:r>
          <w:r w:rsidRPr="006F48B3">
            <w:rPr>
              <w:color w:val="auto"/>
            </w:rPr>
            <w:t xml:space="preserve">Government </w:t>
          </w:r>
          <w:r w:rsidR="00A362F7">
            <w:rPr>
              <w:color w:val="auto"/>
            </w:rPr>
            <w:t>outlined</w:t>
          </w:r>
          <w:r w:rsidRPr="006F48B3">
            <w:rPr>
              <w:color w:val="auto"/>
            </w:rPr>
            <w:t xml:space="preserve"> an initial investment of $142.3</w:t>
          </w:r>
          <w:r w:rsidR="0007530B">
            <w:rPr>
              <w:color w:val="auto"/>
            </w:rPr>
            <w:t> </w:t>
          </w:r>
          <w:r w:rsidRPr="006F48B3">
            <w:rPr>
              <w:color w:val="auto"/>
            </w:rPr>
            <w:t>million</w:t>
          </w:r>
          <w:r w:rsidR="00A362F7">
            <w:rPr>
              <w:rStyle w:val="FootnoteReference"/>
              <w:color w:val="auto"/>
            </w:rPr>
            <w:footnoteReference w:id="7"/>
          </w:r>
          <w:r w:rsidRPr="006F48B3">
            <w:rPr>
              <w:color w:val="auto"/>
            </w:rPr>
            <w:t>, comprising:</w:t>
          </w:r>
        </w:p>
        <w:p w14:paraId="3DB4F2B5" w14:textId="779A215C" w:rsidR="003E4267" w:rsidRPr="006F48B3" w:rsidRDefault="003E4267" w:rsidP="003E4267">
          <w:pPr>
            <w:pStyle w:val="BulletList"/>
            <w:rPr>
              <w:color w:val="auto"/>
            </w:rPr>
          </w:pPr>
          <w:r w:rsidRPr="006F48B3">
            <w:rPr>
              <w:color w:val="auto"/>
            </w:rPr>
            <w:t xml:space="preserve">$75.5 million in targeted support for travel agents and tour arrangement service providers to continue to operate and rebook travel credits </w:t>
          </w:r>
        </w:p>
        <w:p w14:paraId="61CFD3A2" w14:textId="05A0E77A" w:rsidR="003E4267" w:rsidRPr="006F48B3" w:rsidRDefault="003E4267" w:rsidP="003E4267">
          <w:pPr>
            <w:pStyle w:val="BulletList"/>
            <w:rPr>
              <w:color w:val="auto"/>
            </w:rPr>
          </w:pPr>
          <w:r w:rsidRPr="006F48B3">
            <w:rPr>
              <w:color w:val="auto"/>
            </w:rPr>
            <w:t xml:space="preserve">$60 million over </w:t>
          </w:r>
          <w:r w:rsidR="0007530B">
            <w:rPr>
              <w:color w:val="auto"/>
            </w:rPr>
            <w:t>3</w:t>
          </w:r>
          <w:r w:rsidR="0007530B" w:rsidRPr="006F48B3">
            <w:rPr>
              <w:color w:val="auto"/>
            </w:rPr>
            <w:t xml:space="preserve"> </w:t>
          </w:r>
          <w:r w:rsidRPr="006F48B3">
            <w:rPr>
              <w:color w:val="auto"/>
            </w:rPr>
            <w:t xml:space="preserve">years to </w:t>
          </w:r>
          <w:r w:rsidR="00A362F7">
            <w:rPr>
              <w:color w:val="auto"/>
            </w:rPr>
            <w:t xml:space="preserve">attract </w:t>
          </w:r>
          <w:r w:rsidRPr="006F48B3">
            <w:rPr>
              <w:color w:val="auto"/>
            </w:rPr>
            <w:t xml:space="preserve">visitors to Australia from new and diverse international markets. This includes support for the Business Events bid fund attracting major events to Australia </w:t>
          </w:r>
        </w:p>
        <w:p w14:paraId="7CF6CB6F" w14:textId="3C832729" w:rsidR="003E4267" w:rsidRPr="006F48B3" w:rsidRDefault="003E4267" w:rsidP="003E4267">
          <w:pPr>
            <w:pStyle w:val="BulletList"/>
            <w:rPr>
              <w:color w:val="auto"/>
            </w:rPr>
          </w:pPr>
          <w:r w:rsidRPr="006F48B3">
            <w:rPr>
              <w:color w:val="auto"/>
            </w:rPr>
            <w:t xml:space="preserve">$2 million over </w:t>
          </w:r>
          <w:r w:rsidR="0007530B">
            <w:rPr>
              <w:color w:val="auto"/>
            </w:rPr>
            <w:t>2</w:t>
          </w:r>
          <w:r w:rsidR="0007530B" w:rsidRPr="006F48B3">
            <w:rPr>
              <w:color w:val="auto"/>
            </w:rPr>
            <w:t xml:space="preserve"> </w:t>
          </w:r>
          <w:r w:rsidRPr="006F48B3">
            <w:rPr>
              <w:color w:val="auto"/>
            </w:rPr>
            <w:t>years for the development of an industry</w:t>
          </w:r>
          <w:r w:rsidR="0007530B">
            <w:rPr>
              <w:color w:val="auto"/>
            </w:rPr>
            <w:t>-</w:t>
          </w:r>
          <w:r w:rsidRPr="006F48B3">
            <w:rPr>
              <w:color w:val="auto"/>
            </w:rPr>
            <w:t xml:space="preserve">led visitor economy online employment and skills platform </w:t>
          </w:r>
        </w:p>
        <w:p w14:paraId="22E75C82" w14:textId="77777777" w:rsidR="003E4267" w:rsidRPr="006F48B3" w:rsidRDefault="003E4267" w:rsidP="003E4267">
          <w:pPr>
            <w:pStyle w:val="BulletList"/>
            <w:rPr>
              <w:color w:val="auto"/>
            </w:rPr>
          </w:pPr>
          <w:r w:rsidRPr="006F48B3">
            <w:rPr>
              <w:color w:val="auto"/>
            </w:rPr>
            <w:t>$4.8 million for Tourism Research Australia to analyse new tourism and visitor data sources, to support businesses, organisations and governments make more timely and informed business decisions.</w:t>
          </w:r>
        </w:p>
        <w:p w14:paraId="20D4B262" w14:textId="4B25EDD0" w:rsidR="003E4267" w:rsidRPr="006F48B3" w:rsidRDefault="003E4267" w:rsidP="003E4267">
          <w:pPr>
            <w:rPr>
              <w:color w:val="auto"/>
            </w:rPr>
          </w:pPr>
          <w:r w:rsidRPr="009D2017">
            <w:rPr>
              <w:color w:val="auto"/>
            </w:rPr>
            <w:t>In addition to the THRIVE 2030 specific measures above</w:t>
          </w:r>
          <w:r w:rsidRPr="006F48B3">
            <w:rPr>
              <w:color w:val="auto"/>
            </w:rPr>
            <w:t>, several whole-of-economy measures, including funding announced in the 2022 Commonwealth Budget,</w:t>
          </w:r>
          <w:r w:rsidR="00197C85">
            <w:rPr>
              <w:rStyle w:val="FootnoteReference"/>
              <w:color w:val="auto"/>
            </w:rPr>
            <w:footnoteReference w:id="8"/>
          </w:r>
          <w:r w:rsidRPr="006F48B3">
            <w:rPr>
              <w:color w:val="auto"/>
            </w:rPr>
            <w:t xml:space="preserve"> will support the vision and goals set out in THRIVE 2030</w:t>
          </w:r>
          <w:r w:rsidR="00197C85">
            <w:rPr>
              <w:color w:val="auto"/>
            </w:rPr>
            <w:t>:</w:t>
          </w:r>
          <w:r w:rsidRPr="006F48B3">
            <w:rPr>
              <w:color w:val="auto"/>
            </w:rPr>
            <w:t xml:space="preserve"> </w:t>
          </w:r>
        </w:p>
        <w:p w14:paraId="1ACC1433" w14:textId="4CCFDBF4" w:rsidR="003E4267" w:rsidRPr="006F48B3" w:rsidRDefault="003E4267" w:rsidP="003E4267">
          <w:pPr>
            <w:pStyle w:val="BulletList"/>
            <w:rPr>
              <w:color w:val="auto"/>
            </w:rPr>
          </w:pPr>
          <w:r w:rsidRPr="006F48B3">
            <w:rPr>
              <w:color w:val="auto"/>
            </w:rPr>
            <w:t>Small businesses will have access to a new 20</w:t>
          </w:r>
          <w:r w:rsidR="00AC0D4A">
            <w:rPr>
              <w:color w:val="auto"/>
            </w:rPr>
            <w:t>%</w:t>
          </w:r>
          <w:r w:rsidRPr="006F48B3">
            <w:rPr>
              <w:color w:val="auto"/>
            </w:rPr>
            <w:t xml:space="preserve"> bonus deduction for eligible external training courses for upskilling employees through the </w:t>
          </w:r>
          <w:r w:rsidRPr="004A5576">
            <w:rPr>
              <w:color w:val="auto"/>
            </w:rPr>
            <w:t>Skills and Training Boost</w:t>
          </w:r>
          <w:r w:rsidRPr="006F48B3">
            <w:rPr>
              <w:color w:val="auto"/>
            </w:rPr>
            <w:t>.</w:t>
          </w:r>
        </w:p>
        <w:p w14:paraId="222F9DA7" w14:textId="7A220DC5" w:rsidR="003E4267" w:rsidRPr="006F48B3" w:rsidRDefault="003E4267" w:rsidP="003E4267">
          <w:pPr>
            <w:pStyle w:val="BulletList"/>
            <w:rPr>
              <w:color w:val="auto"/>
            </w:rPr>
          </w:pPr>
          <w:r w:rsidRPr="006F48B3">
            <w:rPr>
              <w:color w:val="auto"/>
            </w:rPr>
            <w:t>A new Technology Investment Boost will encourage small businesses to go digital. Small businesses will be able to deduct a bonus 20</w:t>
          </w:r>
          <w:r w:rsidR="00643247">
            <w:rPr>
              <w:color w:val="auto"/>
            </w:rPr>
            <w:t>%</w:t>
          </w:r>
          <w:r w:rsidRPr="006F48B3">
            <w:rPr>
              <w:color w:val="auto"/>
            </w:rPr>
            <w:t xml:space="preserve"> of the cost of expenses and depreciating assets that support digital uptake. </w:t>
          </w:r>
        </w:p>
        <w:p w14:paraId="17BFE131" w14:textId="153F3202" w:rsidR="003E4267" w:rsidRPr="006F48B3" w:rsidRDefault="003E4267" w:rsidP="003E4267">
          <w:pPr>
            <w:pStyle w:val="BulletList"/>
            <w:rPr>
              <w:color w:val="auto"/>
            </w:rPr>
          </w:pPr>
          <w:r w:rsidRPr="006F48B3">
            <w:rPr>
              <w:color w:val="auto"/>
            </w:rPr>
            <w:t xml:space="preserve">Working Holiday Makers and International students </w:t>
          </w:r>
          <w:r w:rsidR="006D33B7">
            <w:rPr>
              <w:color w:val="auto"/>
            </w:rPr>
            <w:t xml:space="preserve">will be supported </w:t>
          </w:r>
          <w:r w:rsidRPr="006F48B3">
            <w:rPr>
              <w:color w:val="auto"/>
            </w:rPr>
            <w:t xml:space="preserve">by reducing their visa application fees a period of </w:t>
          </w:r>
          <w:r w:rsidR="004A5576" w:rsidRPr="006F48B3">
            <w:rPr>
              <w:color w:val="auto"/>
            </w:rPr>
            <w:t>12</w:t>
          </w:r>
          <w:r w:rsidR="004A5576">
            <w:rPr>
              <w:color w:val="auto"/>
            </w:rPr>
            <w:t> </w:t>
          </w:r>
          <w:r w:rsidR="004A5576" w:rsidRPr="006F48B3">
            <w:rPr>
              <w:color w:val="auto"/>
            </w:rPr>
            <w:t xml:space="preserve">weeks and </w:t>
          </w:r>
          <w:r w:rsidRPr="006F48B3">
            <w:rPr>
              <w:color w:val="auto"/>
            </w:rPr>
            <w:t>8</w:t>
          </w:r>
          <w:r w:rsidR="006D33B7">
            <w:rPr>
              <w:color w:val="auto"/>
            </w:rPr>
            <w:t> </w:t>
          </w:r>
          <w:r w:rsidRPr="006F48B3">
            <w:rPr>
              <w:color w:val="auto"/>
            </w:rPr>
            <w:t>weeks respectively. The refund will be $495 for students and $630 for working holiday</w:t>
          </w:r>
          <w:r w:rsidR="00865CFB">
            <w:rPr>
              <w:color w:val="auto"/>
            </w:rPr>
            <w:t>-</w:t>
          </w:r>
          <w:r w:rsidRPr="006F48B3">
            <w:rPr>
              <w:color w:val="auto"/>
            </w:rPr>
            <w:t>makers.</w:t>
          </w:r>
        </w:p>
        <w:p w14:paraId="372EE041" w14:textId="424E97F1" w:rsidR="003E4267" w:rsidRPr="006F48B3" w:rsidRDefault="00E37822" w:rsidP="003E4267">
          <w:pPr>
            <w:pStyle w:val="BulletList"/>
            <w:rPr>
              <w:color w:val="auto"/>
            </w:rPr>
          </w:pPr>
          <w:r>
            <w:rPr>
              <w:color w:val="auto"/>
            </w:rPr>
            <w:t xml:space="preserve">A </w:t>
          </w:r>
          <w:r w:rsidR="003E4267" w:rsidRPr="006F48B3">
            <w:rPr>
              <w:color w:val="auto"/>
            </w:rPr>
            <w:t>$7 million Work and Play the Aussie Way marketing campaign</w:t>
          </w:r>
          <w:r>
            <w:rPr>
              <w:color w:val="auto"/>
            </w:rPr>
            <w:t>,</w:t>
          </w:r>
          <w:r w:rsidR="003E4267" w:rsidRPr="006F48B3">
            <w:rPr>
              <w:color w:val="auto"/>
            </w:rPr>
            <w:t xml:space="preserve"> led by Tourism Australia, </w:t>
          </w:r>
          <w:r>
            <w:rPr>
              <w:color w:val="auto"/>
            </w:rPr>
            <w:t>will</w:t>
          </w:r>
          <w:r w:rsidRPr="006F48B3">
            <w:rPr>
              <w:color w:val="auto"/>
            </w:rPr>
            <w:t xml:space="preserve"> </w:t>
          </w:r>
          <w:r w:rsidR="003E4267" w:rsidRPr="006F48B3">
            <w:rPr>
              <w:color w:val="auto"/>
            </w:rPr>
            <w:t>attract young people from overseas (the U</w:t>
          </w:r>
          <w:r>
            <w:rPr>
              <w:color w:val="auto"/>
            </w:rPr>
            <w:t xml:space="preserve">nited </w:t>
          </w:r>
          <w:r w:rsidR="003E4267" w:rsidRPr="006F48B3">
            <w:rPr>
              <w:color w:val="auto"/>
            </w:rPr>
            <w:t>K</w:t>
          </w:r>
          <w:r w:rsidR="003F6E55">
            <w:rPr>
              <w:color w:val="auto"/>
            </w:rPr>
            <w:t>ingdom</w:t>
          </w:r>
          <w:r w:rsidR="003E4267" w:rsidRPr="006F48B3">
            <w:rPr>
              <w:color w:val="auto"/>
            </w:rPr>
            <w:t>, Europe, Japan and Republic of Korea) to work and holiday in Australia.</w:t>
          </w:r>
        </w:p>
        <w:p w14:paraId="1C5DF415" w14:textId="0043268C" w:rsidR="003E4267" w:rsidRPr="006F48B3" w:rsidRDefault="003F6E55" w:rsidP="003E4267">
          <w:pPr>
            <w:pStyle w:val="BulletList"/>
            <w:rPr>
              <w:color w:val="auto"/>
            </w:rPr>
          </w:pPr>
          <w:r>
            <w:rPr>
              <w:color w:val="auto"/>
            </w:rPr>
            <w:t xml:space="preserve">Funding of </w:t>
          </w:r>
          <w:r w:rsidR="003E4267" w:rsidRPr="006F48B3">
            <w:rPr>
              <w:color w:val="auto"/>
            </w:rPr>
            <w:t>$543.5</w:t>
          </w:r>
          <w:r w:rsidR="00E85AD8">
            <w:rPr>
              <w:color w:val="auto"/>
            </w:rPr>
            <w:t xml:space="preserve"> </w:t>
          </w:r>
          <w:r w:rsidR="003E4267" w:rsidRPr="006F48B3">
            <w:rPr>
              <w:color w:val="auto"/>
            </w:rPr>
            <w:t>m</w:t>
          </w:r>
          <w:r w:rsidR="00E85AD8">
            <w:rPr>
              <w:color w:val="auto"/>
            </w:rPr>
            <w:t>illion</w:t>
          </w:r>
          <w:r w:rsidR="003E4267" w:rsidRPr="006F48B3">
            <w:rPr>
              <w:color w:val="auto"/>
            </w:rPr>
            <w:t xml:space="preserve"> </w:t>
          </w:r>
          <w:r w:rsidR="00E85AD8">
            <w:rPr>
              <w:color w:val="auto"/>
            </w:rPr>
            <w:t>will</w:t>
          </w:r>
          <w:r w:rsidR="00E85AD8" w:rsidRPr="006F48B3">
            <w:rPr>
              <w:color w:val="auto"/>
            </w:rPr>
            <w:t xml:space="preserve"> </w:t>
          </w:r>
          <w:r w:rsidR="003E4267" w:rsidRPr="006F48B3">
            <w:rPr>
              <w:color w:val="auto"/>
            </w:rPr>
            <w:t xml:space="preserve">continue support </w:t>
          </w:r>
          <w:r w:rsidR="00E85AD8">
            <w:rPr>
              <w:color w:val="auto"/>
            </w:rPr>
            <w:t xml:space="preserve">for </w:t>
          </w:r>
          <w:r w:rsidR="003E4267" w:rsidRPr="006F48B3">
            <w:rPr>
              <w:color w:val="auto"/>
            </w:rPr>
            <w:t xml:space="preserve">the aviation sector as part of the Government’s response to the sector’s recovery from the COVID-19 pandemic. </w:t>
          </w:r>
        </w:p>
        <w:p w14:paraId="5B6994A1" w14:textId="14FCC2EE" w:rsidR="003E4267" w:rsidRPr="006F48B3" w:rsidRDefault="00F96CBE" w:rsidP="003E4267">
          <w:pPr>
            <w:pStyle w:val="BulletList"/>
            <w:rPr>
              <w:color w:val="auto"/>
            </w:rPr>
          </w:pPr>
          <w:r>
            <w:rPr>
              <w:color w:val="auto"/>
            </w:rPr>
            <w:t xml:space="preserve">Funding of </w:t>
          </w:r>
          <w:r w:rsidR="003E4267" w:rsidRPr="006F48B3">
            <w:rPr>
              <w:color w:val="auto"/>
            </w:rPr>
            <w:t>$12.4 million in 2022</w:t>
          </w:r>
          <w:r>
            <w:rPr>
              <w:color w:val="auto"/>
            </w:rPr>
            <w:t>–</w:t>
          </w:r>
          <w:r w:rsidR="003E4267" w:rsidRPr="006F48B3">
            <w:rPr>
              <w:color w:val="auto"/>
            </w:rPr>
            <w:t xml:space="preserve">23 </w:t>
          </w:r>
          <w:r>
            <w:rPr>
              <w:color w:val="auto"/>
            </w:rPr>
            <w:t>will</w:t>
          </w:r>
          <w:r w:rsidRPr="006F48B3">
            <w:rPr>
              <w:color w:val="auto"/>
            </w:rPr>
            <w:t xml:space="preserve"> </w:t>
          </w:r>
          <w:r w:rsidR="003E4267" w:rsidRPr="006F48B3">
            <w:rPr>
              <w:color w:val="auto"/>
            </w:rPr>
            <w:t xml:space="preserve">extend fee relief to local tourism businesses that operate in the Great Barrier Reef Marine Park impacted by the COVID-19 pandemic. </w:t>
          </w:r>
        </w:p>
        <w:p w14:paraId="7C77DDDE" w14:textId="5DBD484F" w:rsidR="003E4267" w:rsidRPr="006F48B3" w:rsidRDefault="005944D5" w:rsidP="003E4267">
          <w:pPr>
            <w:pStyle w:val="BulletList"/>
            <w:rPr>
              <w:color w:val="auto"/>
            </w:rPr>
          </w:pPr>
          <w:r>
            <w:rPr>
              <w:color w:val="auto"/>
            </w:rPr>
            <w:t xml:space="preserve">An additional </w:t>
          </w:r>
          <w:r w:rsidR="003E4267" w:rsidRPr="006F48B3">
            <w:rPr>
              <w:color w:val="auto"/>
            </w:rPr>
            <w:t xml:space="preserve">$678 million </w:t>
          </w:r>
          <w:r w:rsidR="00985C43">
            <w:rPr>
              <w:color w:val="auto"/>
            </w:rPr>
            <w:t>will fund</w:t>
          </w:r>
          <w:r w:rsidR="003E4267" w:rsidRPr="006F48B3">
            <w:rPr>
              <w:color w:val="auto"/>
            </w:rPr>
            <w:t xml:space="preserve"> the Outback Way in the Northern Territory, Queensland and Western Australia</w:t>
          </w:r>
          <w:r w:rsidR="00985C43">
            <w:rPr>
              <w:color w:val="auto"/>
            </w:rPr>
            <w:t xml:space="preserve"> </w:t>
          </w:r>
          <w:r w:rsidR="00935CCD">
            <w:rPr>
              <w:color w:val="auto"/>
            </w:rPr>
            <w:t>to</w:t>
          </w:r>
          <w:r w:rsidR="003E4267" w:rsidRPr="006F48B3">
            <w:rPr>
              <w:color w:val="auto"/>
            </w:rPr>
            <w:t xml:space="preserve"> </w:t>
          </w:r>
          <w:r w:rsidR="002A1EE2">
            <w:rPr>
              <w:color w:val="auto"/>
            </w:rPr>
            <w:t>i</w:t>
          </w:r>
          <w:r w:rsidR="003E4267" w:rsidRPr="006F48B3">
            <w:rPr>
              <w:color w:val="auto"/>
            </w:rPr>
            <w:t xml:space="preserve">mprove access to regional destinations for </w:t>
          </w:r>
          <w:r w:rsidR="002A1EE2">
            <w:rPr>
              <w:color w:val="auto"/>
            </w:rPr>
            <w:t>d</w:t>
          </w:r>
          <w:r w:rsidR="003E4267" w:rsidRPr="006F48B3">
            <w:rPr>
              <w:color w:val="auto"/>
            </w:rPr>
            <w:t xml:space="preserve">rive tourism. </w:t>
          </w:r>
        </w:p>
        <w:p w14:paraId="097C6DE6" w14:textId="69B7AE7D" w:rsidR="00674454" w:rsidRPr="00A35F50" w:rsidRDefault="00674454" w:rsidP="00674454">
          <w:pPr>
            <w:pStyle w:val="Heading2"/>
            <w:rPr>
              <w:b w:val="0"/>
              <w:color w:val="7A4282" w:themeColor="accent1"/>
              <w:sz w:val="36"/>
              <w:szCs w:val="32"/>
            </w:rPr>
          </w:pPr>
          <w:bookmarkStart w:id="60" w:name="_Ref99978287"/>
          <w:bookmarkStart w:id="61" w:name="_Toc106097682"/>
          <w:r w:rsidRPr="00A35F50">
            <w:rPr>
              <w:b w:val="0"/>
              <w:color w:val="7A4282" w:themeColor="accent1"/>
              <w:sz w:val="36"/>
              <w:szCs w:val="32"/>
            </w:rPr>
            <w:t>Looking forward</w:t>
          </w:r>
          <w:bookmarkEnd w:id="60"/>
          <w:bookmarkEnd w:id="61"/>
          <w:r w:rsidRPr="00A35F50">
            <w:rPr>
              <w:b w:val="0"/>
              <w:color w:val="7A4282" w:themeColor="accent1"/>
              <w:sz w:val="36"/>
              <w:szCs w:val="32"/>
            </w:rPr>
            <w:t xml:space="preserve"> </w:t>
          </w:r>
        </w:p>
        <w:p w14:paraId="08965548" w14:textId="5514F2DD" w:rsidR="00161E40" w:rsidRDefault="00674454" w:rsidP="00EB42EA">
          <w:r>
            <w:t xml:space="preserve">The COVID-19 pandemic had a devastating impact on Australia’s visitor economy. TRA </w:t>
          </w:r>
          <w:r w:rsidR="006F48B3">
            <w:t xml:space="preserve">and other industry </w:t>
          </w:r>
          <w:r>
            <w:t>data show</w:t>
          </w:r>
          <w:r w:rsidR="00334A46">
            <w:t>s</w:t>
          </w:r>
          <w:r>
            <w:t xml:space="preserve"> that the lockdowns and travel restrictions in place at various times over the past </w:t>
          </w:r>
          <w:r w:rsidR="009E4E9D">
            <w:t>2</w:t>
          </w:r>
          <w:r w:rsidR="00A00FAC">
            <w:t> </w:t>
          </w:r>
          <w:r>
            <w:t>years have been detrimental to tourism activity.</w:t>
          </w:r>
          <w:r w:rsidR="00A943C0">
            <w:t xml:space="preserve"> This report has documented some of the ways the industry has adapted to these challenges and to changes in traveller preferences.</w:t>
          </w:r>
          <w:r w:rsidR="004714DC">
            <w:t xml:space="preserve"> </w:t>
          </w:r>
        </w:p>
        <w:p w14:paraId="177E4D46" w14:textId="77777777" w:rsidR="00427E30" w:rsidRDefault="005514B7" w:rsidP="00EB42EA">
          <w:r>
            <w:t>As Australia emerges from the pandemic i</w:t>
          </w:r>
          <w:r w:rsidR="004714DC">
            <w:t xml:space="preserve">t is also clear that challenges remain for the sector. </w:t>
          </w:r>
          <w:r w:rsidR="008A3EFD">
            <w:t>Business</w:t>
          </w:r>
          <w:r w:rsidR="006F48B3">
            <w:t>es</w:t>
          </w:r>
          <w:r w:rsidR="008A3EFD">
            <w:t xml:space="preserve"> with a high reliance on international visitors will take longer </w:t>
          </w:r>
          <w:r w:rsidR="00C81D6E">
            <w:t>t</w:t>
          </w:r>
          <w:r w:rsidR="008A3EFD">
            <w:t xml:space="preserve">o recover, </w:t>
          </w:r>
          <w:r w:rsidR="003E3DAD">
            <w:t xml:space="preserve">there is lingering </w:t>
          </w:r>
          <w:r w:rsidR="00AB7581">
            <w:t xml:space="preserve">travel </w:t>
          </w:r>
          <w:r w:rsidR="003E3DAD">
            <w:t xml:space="preserve">hesitancy among </w:t>
          </w:r>
          <w:r w:rsidR="003E4267">
            <w:t>some</w:t>
          </w:r>
          <w:r w:rsidR="00AB7581">
            <w:t xml:space="preserve"> Australians</w:t>
          </w:r>
          <w:r w:rsidR="003E3DAD">
            <w:t xml:space="preserve">, </w:t>
          </w:r>
          <w:r w:rsidR="0059792E">
            <w:t xml:space="preserve">and workforce shortages have </w:t>
          </w:r>
          <w:r w:rsidR="00415824">
            <w:t xml:space="preserve">quickly </w:t>
          </w:r>
          <w:r w:rsidR="0059792E">
            <w:t>become a major concern.</w:t>
          </w:r>
          <w:r w:rsidR="00161E40">
            <w:t xml:space="preserve"> </w:t>
          </w:r>
        </w:p>
        <w:p w14:paraId="44FC9BB0" w14:textId="77777777" w:rsidR="00427E30" w:rsidRDefault="00674454" w:rsidP="00427E30">
          <w:r>
            <w:t xml:space="preserve">Fortunately, the risk of future widespread lockdowns is now much lower and travel restrictions have eased substantially. As a result, </w:t>
          </w:r>
          <w:r w:rsidR="000340BC">
            <w:t xml:space="preserve">domestic </w:t>
          </w:r>
          <w:r w:rsidR="00411728">
            <w:t xml:space="preserve">tourism is recovering lost ground, </w:t>
          </w:r>
          <w:r w:rsidR="000340BC">
            <w:t xml:space="preserve">and the </w:t>
          </w:r>
          <w:r w:rsidR="00900396">
            <w:t xml:space="preserve">outlook is </w:t>
          </w:r>
          <w:r w:rsidR="0096197A">
            <w:t xml:space="preserve">better than </w:t>
          </w:r>
          <w:r w:rsidR="00900396">
            <w:t xml:space="preserve">it has been at any point in the past two years. </w:t>
          </w:r>
          <w:r w:rsidR="00A065C1">
            <w:t xml:space="preserve">A full recovery </w:t>
          </w:r>
          <w:r w:rsidR="00900396">
            <w:t xml:space="preserve">will take some time, though. The THRIVE 2030 </w:t>
          </w:r>
          <w:r w:rsidR="00531D21">
            <w:t>S</w:t>
          </w:r>
          <w:r w:rsidR="00900396">
            <w:t xml:space="preserve">trategy aims to support the industry through the recovery and guide future growth. </w:t>
          </w:r>
        </w:p>
        <w:p w14:paraId="0A478BE7" w14:textId="6C114522" w:rsidR="00427E30" w:rsidRDefault="00427E30" w:rsidP="00427E30">
          <w:r>
            <w:t>While the overall outlook is positive, as is discussed in the following sections, a range of risks to the outlook remain. These are more likely to affect the rate of return for international travel, and include:</w:t>
          </w:r>
        </w:p>
        <w:p w14:paraId="75CED39D" w14:textId="77777777" w:rsidR="00427E30" w:rsidRDefault="00427E30" w:rsidP="00427E30">
          <w:pPr>
            <w:pStyle w:val="BulletList"/>
          </w:pPr>
          <w:r>
            <w:t>global uncertainty caused by both the pandemic and the war in Ukraine</w:t>
          </w:r>
        </w:p>
        <w:p w14:paraId="1A991ECE" w14:textId="77777777" w:rsidR="00427E30" w:rsidRDefault="00427E30" w:rsidP="00427E30">
          <w:pPr>
            <w:pStyle w:val="BulletList"/>
          </w:pPr>
          <w:r>
            <w:t>uncertainty around if and when Chinese travellers and students will return to the Australian markets</w:t>
          </w:r>
        </w:p>
        <w:p w14:paraId="3DAF6E12" w14:textId="77777777" w:rsidR="00856FDC" w:rsidRDefault="00427E30" w:rsidP="00427E30">
          <w:pPr>
            <w:pStyle w:val="BulletList"/>
          </w:pPr>
          <w:r>
            <w:t>general traveller hesitancy with relation to long-haul travel</w:t>
          </w:r>
        </w:p>
        <w:p w14:paraId="7F3F868B" w14:textId="780B5780" w:rsidR="00427E30" w:rsidRDefault="00856FDC" w:rsidP="00427E30">
          <w:pPr>
            <w:pStyle w:val="BulletList"/>
          </w:pPr>
          <w:r>
            <w:t>global inflation-related cost of living increases which may reduce consumer capacity to spend on discretionary items like travel</w:t>
          </w:r>
          <w:r w:rsidR="00427E30">
            <w:t>.</w:t>
          </w:r>
        </w:p>
        <w:p w14:paraId="167C5895" w14:textId="1915ADA1" w:rsidR="0009491B" w:rsidRDefault="0009491B" w:rsidP="0009491B">
          <w:pPr>
            <w:pStyle w:val="Heading3"/>
          </w:pPr>
          <w:bookmarkStart w:id="62" w:name="_Toc106097683"/>
          <w:r>
            <w:t>Domestic outlook</w:t>
          </w:r>
          <w:bookmarkEnd w:id="62"/>
        </w:p>
        <w:p w14:paraId="48E5DE8E" w14:textId="0A578004" w:rsidR="00123695" w:rsidRDefault="00F256CB" w:rsidP="00123695">
          <w:r>
            <w:t>TRA</w:t>
          </w:r>
          <w:r w:rsidR="00123695">
            <w:t>’s Domestic Tourism Forecasts indicate that d</w:t>
          </w:r>
          <w:r w:rsidR="00090629">
            <w:t xml:space="preserve">omestic visitation </w:t>
          </w:r>
          <w:r w:rsidR="00123695">
            <w:t>is expected to</w:t>
          </w:r>
          <w:r w:rsidR="00090629">
            <w:t xml:space="preserve"> return to around its pre-pandemic level in 2022</w:t>
          </w:r>
          <w:r w:rsidR="000916CE">
            <w:t>–</w:t>
          </w:r>
          <w:r w:rsidR="00090629">
            <w:t>23, then surpass that previous peak in 2023</w:t>
          </w:r>
          <w:r w:rsidR="000916CE">
            <w:t>–</w:t>
          </w:r>
          <w:r w:rsidR="00090629">
            <w:t>24.</w:t>
          </w:r>
          <w:r w:rsidR="00123695" w:rsidRPr="00123695">
            <w:t xml:space="preserve"> </w:t>
          </w:r>
          <w:r w:rsidR="00123695">
            <w:t>The strength of the projected recovery in domestic tourism, particularly in the near</w:t>
          </w:r>
          <w:r w:rsidR="008618B9">
            <w:t xml:space="preserve"> </w:t>
          </w:r>
          <w:r w:rsidR="00123695">
            <w:t xml:space="preserve">term, is underpinned by </w:t>
          </w:r>
          <w:r w:rsidR="00683D05">
            <w:t xml:space="preserve">many </w:t>
          </w:r>
          <w:r w:rsidR="00123695">
            <w:t xml:space="preserve">factors, including: </w:t>
          </w:r>
        </w:p>
        <w:p w14:paraId="1B9C48D5" w14:textId="0DD03BE3" w:rsidR="00123695" w:rsidRDefault="00123695" w:rsidP="00123695">
          <w:pPr>
            <w:pStyle w:val="BulletList"/>
          </w:pPr>
          <w:r>
            <w:t>reopen</w:t>
          </w:r>
          <w:r w:rsidR="003E4267">
            <w:t>ed</w:t>
          </w:r>
          <w:r>
            <w:t xml:space="preserve"> state borders </w:t>
          </w:r>
        </w:p>
        <w:p w14:paraId="618B2787" w14:textId="7A90C129" w:rsidR="00123695" w:rsidRDefault="00675B29" w:rsidP="00123695">
          <w:pPr>
            <w:pStyle w:val="BulletList"/>
          </w:pPr>
          <w:r>
            <w:t>low</w:t>
          </w:r>
          <w:r w:rsidR="00123695">
            <w:t xml:space="preserve"> risk of lockdowns </w:t>
          </w:r>
        </w:p>
        <w:p w14:paraId="4F92B516" w14:textId="7DF26579" w:rsidR="00123695" w:rsidRDefault="00123695" w:rsidP="00123695">
          <w:pPr>
            <w:pStyle w:val="BulletList"/>
          </w:pPr>
          <w:r>
            <w:t xml:space="preserve">pent-up demand for travel </w:t>
          </w:r>
        </w:p>
        <w:p w14:paraId="572BD3E8" w14:textId="1E4F2913" w:rsidR="00963AFB" w:rsidRDefault="003B4536" w:rsidP="001E479D">
          <w:pPr>
            <w:pStyle w:val="BulletList"/>
          </w:pPr>
          <w:r>
            <w:t>more flights</w:t>
          </w:r>
          <w:r w:rsidR="00675B29">
            <w:t>,</w:t>
          </w:r>
          <w:r>
            <w:t xml:space="preserve"> plus new routes</w:t>
          </w:r>
          <w:r w:rsidR="00963AFB">
            <w:t xml:space="preserve"> </w:t>
          </w:r>
        </w:p>
        <w:p w14:paraId="28E67BBC" w14:textId="1A8D610B" w:rsidR="00123695" w:rsidRDefault="006C3CC4" w:rsidP="00123695">
          <w:pPr>
            <w:pStyle w:val="BulletList"/>
          </w:pPr>
          <w:r>
            <w:t xml:space="preserve">accrued </w:t>
          </w:r>
          <w:r w:rsidR="00D85003">
            <w:t xml:space="preserve">savings </w:t>
          </w:r>
          <w:r w:rsidR="003571C3">
            <w:t xml:space="preserve">and holiday leave </w:t>
          </w:r>
          <w:r>
            <w:t>balances</w:t>
          </w:r>
          <w:r w:rsidR="003571C3">
            <w:t xml:space="preserve"> </w:t>
          </w:r>
          <w:r w:rsidR="00123695">
            <w:t xml:space="preserve">during lockdowns </w:t>
          </w:r>
        </w:p>
        <w:p w14:paraId="19BFBB9B" w14:textId="12B1FB4D" w:rsidR="00123695" w:rsidRDefault="00123695" w:rsidP="00123695">
          <w:pPr>
            <w:pStyle w:val="BulletList"/>
          </w:pPr>
          <w:r>
            <w:t xml:space="preserve">incentivisation from government travel subsidies and support payments </w:t>
          </w:r>
        </w:p>
        <w:p w14:paraId="18B95D45" w14:textId="59D6C463" w:rsidR="00123695" w:rsidRDefault="00123695" w:rsidP="00123695">
          <w:pPr>
            <w:pStyle w:val="BulletList"/>
          </w:pPr>
          <w:r>
            <w:t>marketing by the tourism industry</w:t>
          </w:r>
          <w:r w:rsidR="00807F41">
            <w:t xml:space="preserve"> (see </w:t>
          </w:r>
          <w:r w:rsidR="008618B9">
            <w:t>b</w:t>
          </w:r>
          <w:r w:rsidR="00807F41">
            <w:t xml:space="preserve">ox: Holiday </w:t>
          </w:r>
          <w:r w:rsidR="008618B9">
            <w:t>Here This Year</w:t>
          </w:r>
          <w:r w:rsidR="00807F41">
            <w:t>)</w:t>
          </w:r>
          <w:r w:rsidR="006C3CC4">
            <w:t>, and</w:t>
          </w:r>
          <w:r>
            <w:t xml:space="preserve"> </w:t>
          </w:r>
        </w:p>
        <w:p w14:paraId="6975A8CD" w14:textId="77777777" w:rsidR="006C3CC4" w:rsidRDefault="00FE4279" w:rsidP="00643A37">
          <w:pPr>
            <w:pStyle w:val="BulletList"/>
          </w:pPr>
          <w:r>
            <w:t xml:space="preserve">positive </w:t>
          </w:r>
          <w:r w:rsidR="002B6A17">
            <w:t>traveller sentiment</w:t>
          </w:r>
          <w:r w:rsidR="006C3CC4">
            <w:t xml:space="preserve"> and </w:t>
          </w:r>
          <w:r w:rsidR="00123695">
            <w:t>increas</w:t>
          </w:r>
          <w:r w:rsidR="006C3CC4">
            <w:t>ed</w:t>
          </w:r>
          <w:r w:rsidR="00123695">
            <w:t xml:space="preserve"> traveller confidence to travel domestically</w:t>
          </w:r>
          <w:r w:rsidR="006C3CC4">
            <w:t>.</w:t>
          </w:r>
        </w:p>
        <w:p w14:paraId="7692213B" w14:textId="18C549D3" w:rsidR="00FB0F44" w:rsidRDefault="00123695" w:rsidP="00123695">
          <w:r>
            <w:t>TRA’s N</w:t>
          </w:r>
          <w:r w:rsidR="004A5576">
            <w:t xml:space="preserve">ational </w:t>
          </w:r>
          <w:r>
            <w:t>V</w:t>
          </w:r>
          <w:r w:rsidR="004A5576">
            <w:t xml:space="preserve">isitor </w:t>
          </w:r>
          <w:r>
            <w:t>S</w:t>
          </w:r>
          <w:r w:rsidR="004A5576">
            <w:t>urvey</w:t>
          </w:r>
          <w:r>
            <w:t xml:space="preserve"> </w:t>
          </w:r>
          <w:r w:rsidR="003A7C78">
            <w:t xml:space="preserve">(NVS) </w:t>
          </w:r>
          <w:r>
            <w:t xml:space="preserve">data </w:t>
          </w:r>
          <w:r w:rsidR="0094458C">
            <w:t xml:space="preserve">shows that domestic </w:t>
          </w:r>
          <w:r w:rsidR="001A0FB2">
            <w:t xml:space="preserve">tourism </w:t>
          </w:r>
          <w:r w:rsidR="006C3CC4">
            <w:t xml:space="preserve">is </w:t>
          </w:r>
          <w:r w:rsidR="0094458C">
            <w:t xml:space="preserve">on track to </w:t>
          </w:r>
          <w:r w:rsidR="001A0FB2">
            <w:t xml:space="preserve">achieve these </w:t>
          </w:r>
          <w:r w:rsidR="006C3CC4">
            <w:t xml:space="preserve">strong </w:t>
          </w:r>
          <w:r w:rsidR="001A0FB2">
            <w:t xml:space="preserve">results. </w:t>
          </w:r>
          <w:r w:rsidR="00473425">
            <w:t>V</w:t>
          </w:r>
          <w:r w:rsidR="00121FD7">
            <w:t xml:space="preserve">isitor </w:t>
          </w:r>
          <w:r w:rsidR="00090629">
            <w:t xml:space="preserve">activity </w:t>
          </w:r>
          <w:r w:rsidR="00121FD7">
            <w:t xml:space="preserve">increased </w:t>
          </w:r>
          <w:r w:rsidR="00F00CD4">
            <w:t xml:space="preserve">soon </w:t>
          </w:r>
          <w:r w:rsidR="00090629">
            <w:t>after lockdown measures were eased</w:t>
          </w:r>
          <w:r>
            <w:t xml:space="preserve"> in the December quarter 2021</w:t>
          </w:r>
          <w:r w:rsidR="00090629">
            <w:t>.</w:t>
          </w:r>
          <w:r>
            <w:t xml:space="preserve"> </w:t>
          </w:r>
          <w:r w:rsidR="00090629">
            <w:t xml:space="preserve">TRA’s </w:t>
          </w:r>
          <w:r w:rsidR="00B30036">
            <w:t>‘</w:t>
          </w:r>
          <w:r w:rsidR="00090629">
            <w:t xml:space="preserve">Trip </w:t>
          </w:r>
          <w:r w:rsidR="00B30036">
            <w:t>r</w:t>
          </w:r>
          <w:r w:rsidR="00090629">
            <w:t>ate</w:t>
          </w:r>
          <w:r w:rsidR="00B30036">
            <w:t>’</w:t>
          </w:r>
          <w:r w:rsidR="00090629">
            <w:t xml:space="preserve"> measure </w:t>
          </w:r>
          <w:r w:rsidR="00473425">
            <w:t xml:space="preserve">then </w:t>
          </w:r>
          <w:r w:rsidR="00090629">
            <w:t xml:space="preserve">increased </w:t>
          </w:r>
          <w:r>
            <w:t>to record high</w:t>
          </w:r>
          <w:r w:rsidR="00843778">
            <w:t>s</w:t>
          </w:r>
          <w:r>
            <w:t xml:space="preserve"> </w:t>
          </w:r>
          <w:r w:rsidR="00090629">
            <w:t xml:space="preserve">in </w:t>
          </w:r>
          <w:r w:rsidR="00843778">
            <w:t>the</w:t>
          </w:r>
          <w:r>
            <w:t xml:space="preserve"> peak travel period containing Christmas holidays</w:t>
          </w:r>
          <w:r w:rsidR="00843778">
            <w:t>.</w:t>
          </w:r>
          <w:r w:rsidR="00EB0501">
            <w:t xml:space="preserve"> </w:t>
          </w:r>
          <w:r w:rsidR="00675B29">
            <w:t>The</w:t>
          </w:r>
          <w:r w:rsidR="000350A9">
            <w:t xml:space="preserve"> </w:t>
          </w:r>
          <w:r w:rsidR="00B30036">
            <w:t>T</w:t>
          </w:r>
          <w:r w:rsidR="00562E6B">
            <w:t xml:space="preserve">rip rate </w:t>
          </w:r>
          <w:r w:rsidR="00BF30FC">
            <w:t xml:space="preserve">for </w:t>
          </w:r>
          <w:r w:rsidR="00675B29">
            <w:t xml:space="preserve">April </w:t>
          </w:r>
          <w:r w:rsidR="008B065E">
            <w:t xml:space="preserve">2022 </w:t>
          </w:r>
          <w:r w:rsidR="00130EFA">
            <w:t>show</w:t>
          </w:r>
          <w:r w:rsidR="00675B29">
            <w:t>s</w:t>
          </w:r>
          <w:r w:rsidR="00130EFA">
            <w:t xml:space="preserve"> that </w:t>
          </w:r>
          <w:r w:rsidR="00E269A8">
            <w:t xml:space="preserve">demand remains </w:t>
          </w:r>
          <w:r w:rsidR="00B30036">
            <w:t xml:space="preserve">very </w:t>
          </w:r>
          <w:r w:rsidR="00121FD7">
            <w:t>high</w:t>
          </w:r>
          <w:r w:rsidR="00090629">
            <w:t xml:space="preserve"> </w:t>
          </w:r>
          <w:r w:rsidR="00B30036">
            <w:t xml:space="preserve">relative to the pandemic period history </w:t>
          </w:r>
          <w:r w:rsidR="00090629">
            <w:t>(</w:t>
          </w:r>
          <w:r w:rsidR="006F17A8">
            <w:t>Figure 15</w:t>
          </w:r>
          <w:r w:rsidR="00090629">
            <w:t xml:space="preserve">). </w:t>
          </w:r>
        </w:p>
        <w:p w14:paraId="1FFA74F7" w14:textId="77777777" w:rsidR="00197C85" w:rsidRDefault="00197C85" w:rsidP="00197C85">
          <w:r>
            <w:t>In the near term, it is also expected that domestic tourism will continue to benefit from a slower rebound in outbound travel than in domestic travel. The slower recovery in outbound travel is because of additional hurdles overseas travellers face. Examples include:</w:t>
          </w:r>
        </w:p>
        <w:p w14:paraId="6665D895" w14:textId="77777777" w:rsidR="00197C85" w:rsidRDefault="00197C85" w:rsidP="00197C85">
          <w:pPr>
            <w:pStyle w:val="BulletList"/>
          </w:pPr>
          <w:r>
            <w:t>additional costs, complexity and risks when undertaking overseas travel, including increased costs of comprehensive health and travel insurance</w:t>
          </w:r>
        </w:p>
        <w:p w14:paraId="6C32B673" w14:textId="52ACD9CF" w:rsidR="00197C85" w:rsidRDefault="00197C85" w:rsidP="00197C85">
          <w:pPr>
            <w:pStyle w:val="BulletList"/>
          </w:pPr>
          <w:r>
            <w:t xml:space="preserve">the ongoing risk of disruptions to travel plans from quarantine requirements and virus testing at the destination </w:t>
          </w:r>
        </w:p>
        <w:p w14:paraId="6D4B0F8A" w14:textId="77777777" w:rsidR="00197C85" w:rsidRDefault="00197C85" w:rsidP="00197C85">
          <w:pPr>
            <w:pStyle w:val="BulletList"/>
          </w:pPr>
          <w:r>
            <w:t>lingering</w:t>
          </w:r>
          <w:r w:rsidRPr="00675B29">
            <w:t xml:space="preserve"> </w:t>
          </w:r>
          <w:r>
            <w:t>health concerns felt by potential travellers resulting from the</w:t>
          </w:r>
          <w:r w:rsidRPr="00675B29">
            <w:t xml:space="preserve"> </w:t>
          </w:r>
          <w:r>
            <w:t xml:space="preserve">prolonged nature of the pandemic and lower vaccination rates overseas. </w:t>
          </w:r>
        </w:p>
        <w:p w14:paraId="47C43DA8" w14:textId="284A7EA2" w:rsidR="00FB0F44" w:rsidRDefault="006F17A8" w:rsidP="00123695">
          <w:r>
            <w:rPr>
              <w:noProof/>
            </w:rPr>
            <mc:AlternateContent>
              <mc:Choice Requires="wps">
                <w:drawing>
                  <wp:anchor distT="0" distB="0" distL="114300" distR="114300" simplePos="0" relativeHeight="251801600" behindDoc="0" locked="0" layoutInCell="1" allowOverlap="1" wp14:anchorId="4AE076BA" wp14:editId="7AC934F1">
                    <wp:simplePos x="0" y="0"/>
                    <wp:positionH relativeFrom="margin">
                      <wp:posOffset>66675</wp:posOffset>
                    </wp:positionH>
                    <wp:positionV relativeFrom="paragraph">
                      <wp:posOffset>160655</wp:posOffset>
                    </wp:positionV>
                    <wp:extent cx="6329680" cy="265176"/>
                    <wp:effectExtent l="0" t="0" r="0" b="1905"/>
                    <wp:wrapNone/>
                    <wp:docPr id="31" name="Text Box 31"/>
                    <wp:cNvGraphicFramePr/>
                    <a:graphic xmlns:a="http://schemas.openxmlformats.org/drawingml/2006/main">
                      <a:graphicData uri="http://schemas.microsoft.com/office/word/2010/wordprocessingShape">
                        <wps:wsp>
                          <wps:cNvSpPr txBox="1"/>
                          <wps:spPr>
                            <a:xfrm>
                              <a:off x="0" y="0"/>
                              <a:ext cx="6329680" cy="265176"/>
                            </a:xfrm>
                            <a:prstGeom prst="rect">
                              <a:avLst/>
                            </a:prstGeom>
                            <a:solidFill>
                              <a:prstClr val="white"/>
                            </a:solidFill>
                            <a:ln>
                              <a:noFill/>
                            </a:ln>
                          </wps:spPr>
                          <wps:txbx>
                            <w:txbxContent>
                              <w:p w14:paraId="5D74052B" w14:textId="2B264C53" w:rsidR="00B146B2" w:rsidRPr="006F17A8" w:rsidRDefault="00B146B2" w:rsidP="006F17A8">
                                <w:pPr>
                                  <w:pStyle w:val="Caption"/>
                                  <w:rPr>
                                    <w:i w:val="0"/>
                                    <w:iCs w:val="0"/>
                                    <w:noProof/>
                                    <w:color w:val="000000" w:themeColor="text1"/>
                                    <w:sz w:val="24"/>
                                    <w:szCs w:val="24"/>
                                  </w:rPr>
                                </w:pPr>
                                <w:r w:rsidRPr="006F17A8">
                                  <w:rPr>
                                    <w:i w:val="0"/>
                                    <w:iCs w:val="0"/>
                                    <w:sz w:val="22"/>
                                    <w:szCs w:val="22"/>
                                  </w:rPr>
                                  <w:t xml:space="preserve">Figure </w:t>
                                </w:r>
                                <w:r w:rsidRPr="006F17A8">
                                  <w:rPr>
                                    <w:i w:val="0"/>
                                    <w:iCs w:val="0"/>
                                    <w:sz w:val="22"/>
                                    <w:szCs w:val="22"/>
                                  </w:rPr>
                                  <w:fldChar w:fldCharType="begin"/>
                                </w:r>
                                <w:r w:rsidRPr="006F17A8">
                                  <w:rPr>
                                    <w:i w:val="0"/>
                                    <w:iCs w:val="0"/>
                                    <w:sz w:val="22"/>
                                    <w:szCs w:val="22"/>
                                  </w:rPr>
                                  <w:instrText xml:space="preserve"> SEQ Figure \* ARABIC </w:instrText>
                                </w:r>
                                <w:r w:rsidRPr="006F17A8">
                                  <w:rPr>
                                    <w:i w:val="0"/>
                                    <w:iCs w:val="0"/>
                                    <w:sz w:val="22"/>
                                    <w:szCs w:val="22"/>
                                  </w:rPr>
                                  <w:fldChar w:fldCharType="separate"/>
                                </w:r>
                                <w:r w:rsidRPr="006F17A8">
                                  <w:rPr>
                                    <w:i w:val="0"/>
                                    <w:iCs w:val="0"/>
                                    <w:noProof/>
                                    <w:sz w:val="22"/>
                                    <w:szCs w:val="22"/>
                                  </w:rPr>
                                  <w:t>15</w:t>
                                </w:r>
                                <w:r w:rsidRPr="006F17A8">
                                  <w:rPr>
                                    <w:i w:val="0"/>
                                    <w:iCs w:val="0"/>
                                    <w:sz w:val="22"/>
                                    <w:szCs w:val="22"/>
                                  </w:rPr>
                                  <w:fldChar w:fldCharType="end"/>
                                </w:r>
                                <w:r>
                                  <w:rPr>
                                    <w:i w:val="0"/>
                                    <w:iCs w:val="0"/>
                                    <w:sz w:val="22"/>
                                    <w:szCs w:val="22"/>
                                  </w:rPr>
                                  <w:t>. Domestic overnight trips and trip rate, March 2020 to April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E076BA" id="Text Box 31" o:spid="_x0000_s1040" type="#_x0000_t202" style="position:absolute;margin-left:5.25pt;margin-top:12.65pt;width:498.4pt;height:20.9pt;z-index:251801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" stroked="f">
                    <v:textbox inset="0,0,0,0">
                      <w:txbxContent>
                        <w:p w14:paraId="5D74052B" w14:textId="2B264C53" w:rsidR="00B146B2" w:rsidRPr="006F17A8" w:rsidRDefault="00B146B2" w:rsidP="006F17A8">
                          <w:pPr>
                            <w:pStyle w:val="Caption"/>
                            <w:rPr>
                              <w:i w:val="0"/>
                              <w:iCs w:val="0"/>
                              <w:noProof/>
                              <w:color w:val="000000" w:themeColor="text1"/>
                              <w:sz w:val="24"/>
                              <w:szCs w:val="24"/>
                            </w:rPr>
                          </w:pPr>
                          <w:r w:rsidRPr="006F17A8">
                            <w:rPr>
                              <w:i w:val="0"/>
                              <w:iCs w:val="0"/>
                              <w:sz w:val="22"/>
                              <w:szCs w:val="22"/>
                            </w:rPr>
                            <w:t xml:space="preserve">Figure </w:t>
                          </w:r>
                          <w:r w:rsidRPr="006F17A8">
                            <w:rPr>
                              <w:i w:val="0"/>
                              <w:iCs w:val="0"/>
                              <w:sz w:val="22"/>
                              <w:szCs w:val="22"/>
                            </w:rPr>
                            <w:fldChar w:fldCharType="begin"/>
                          </w:r>
                          <w:r w:rsidRPr="006F17A8">
                            <w:rPr>
                              <w:i w:val="0"/>
                              <w:iCs w:val="0"/>
                              <w:sz w:val="22"/>
                              <w:szCs w:val="22"/>
                            </w:rPr>
                            <w:instrText xml:space="preserve"> SEQ Figure \* ARABIC </w:instrText>
                          </w:r>
                          <w:r w:rsidRPr="006F17A8">
                            <w:rPr>
                              <w:i w:val="0"/>
                              <w:iCs w:val="0"/>
                              <w:sz w:val="22"/>
                              <w:szCs w:val="22"/>
                            </w:rPr>
                            <w:fldChar w:fldCharType="separate"/>
                          </w:r>
                          <w:r w:rsidRPr="006F17A8">
                            <w:rPr>
                              <w:i w:val="0"/>
                              <w:iCs w:val="0"/>
                              <w:noProof/>
                              <w:sz w:val="22"/>
                              <w:szCs w:val="22"/>
                            </w:rPr>
                            <w:t>15</w:t>
                          </w:r>
                          <w:r w:rsidRPr="006F17A8">
                            <w:rPr>
                              <w:i w:val="0"/>
                              <w:iCs w:val="0"/>
                              <w:sz w:val="22"/>
                              <w:szCs w:val="22"/>
                            </w:rPr>
                            <w:fldChar w:fldCharType="end"/>
                          </w:r>
                          <w:r>
                            <w:rPr>
                              <w:i w:val="0"/>
                              <w:iCs w:val="0"/>
                              <w:sz w:val="22"/>
                              <w:szCs w:val="22"/>
                            </w:rPr>
                            <w:t>. Domestic overnight trips and trip rate, March 2020 to April 2022</w:t>
                          </w:r>
                        </w:p>
                      </w:txbxContent>
                    </v:textbox>
                    <w10:wrap anchorx="margin"/>
                  </v:shape>
                </w:pict>
              </mc:Fallback>
            </mc:AlternateContent>
          </w:r>
        </w:p>
        <w:p w14:paraId="0394783D" w14:textId="6C5179C4" w:rsidR="006F17A8" w:rsidRDefault="00427E30" w:rsidP="00123695">
          <w:r>
            <w:rPr>
              <w:noProof/>
            </w:rPr>
            <w:drawing>
              <wp:anchor distT="0" distB="0" distL="114300" distR="114300" simplePos="0" relativeHeight="251832320" behindDoc="0" locked="0" layoutInCell="1" allowOverlap="1" wp14:anchorId="322A8C83" wp14:editId="2EF1178F">
                <wp:simplePos x="0" y="0"/>
                <wp:positionH relativeFrom="margin">
                  <wp:align>right</wp:align>
                </wp:positionH>
                <wp:positionV relativeFrom="paragraph">
                  <wp:posOffset>191770</wp:posOffset>
                </wp:positionV>
                <wp:extent cx="6329680" cy="3475355"/>
                <wp:effectExtent l="0" t="0" r="0" b="10795"/>
                <wp:wrapNone/>
                <wp:docPr id="139" name="Chart 139" descr="Figure 15 shows the number of trips each month between January 2021 and February 2022, as well as the Trip rate (%) for each month until April 2022.&#10;The trip rate for April 2022 tells us 30.7% of NVS respondents interviewed reported taking one or more overnight trips in the preceding 28 days (the reference period). The return date will have been in March for some of these trips. The trip estimate of 7.1 million for the month of February refers to overnight trips returned from in that month.&#10;The trip rate troughed at under 6% in May 2020 and reached a local low of 10% again in September 2021, which corresponds with lockdowns.">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21F80B1B" w14:textId="77777777" w:rsidR="006F17A8" w:rsidRDefault="006F17A8" w:rsidP="00123695"/>
        <w:p w14:paraId="1754C2E4" w14:textId="29C570F5" w:rsidR="00FB0F44" w:rsidRDefault="00FB0F44" w:rsidP="00123695"/>
        <w:p w14:paraId="168B2F76" w14:textId="74A88E24" w:rsidR="00FB0F44" w:rsidRDefault="00FB0F44" w:rsidP="00123695"/>
        <w:p w14:paraId="0161F7D6" w14:textId="670BACA1" w:rsidR="00FB0F44" w:rsidRDefault="00FB0F44" w:rsidP="00123695"/>
        <w:p w14:paraId="45EA90A1" w14:textId="52BB38CB" w:rsidR="00675B29" w:rsidRDefault="00675B29" w:rsidP="00123695"/>
        <w:p w14:paraId="737EA872" w14:textId="5D112269" w:rsidR="00675B29" w:rsidRDefault="00675B29" w:rsidP="00123695"/>
        <w:p w14:paraId="7561FFDE" w14:textId="4BA1CCCD" w:rsidR="00675B29" w:rsidRDefault="00675B29" w:rsidP="00123695"/>
        <w:p w14:paraId="193AB6B5" w14:textId="77777777" w:rsidR="00675B29" w:rsidRDefault="00675B29" w:rsidP="00123695"/>
        <w:p w14:paraId="545AD94E" w14:textId="3C4F7012" w:rsidR="00FB0F44" w:rsidRDefault="00FB0F44" w:rsidP="00123695"/>
        <w:p w14:paraId="4E8B45E5" w14:textId="7685D1E5" w:rsidR="00FB0F44" w:rsidRDefault="00FB0F44" w:rsidP="00123695"/>
        <w:p w14:paraId="73081A25" w14:textId="408C9589" w:rsidR="00FB0F44" w:rsidRDefault="00FB0F44" w:rsidP="00123695"/>
        <w:p w14:paraId="020E1C38" w14:textId="725D4C35" w:rsidR="00C41791" w:rsidRDefault="00C41791" w:rsidP="00427E30"/>
        <w:p w14:paraId="40394BE6" w14:textId="77777777" w:rsidR="00E43BCB" w:rsidRDefault="00E43BCB">
          <w:pPr>
            <w:spacing w:before="0" w:after="160" w:line="259" w:lineRule="auto"/>
            <w:rPr>
              <w:rFonts w:asciiTheme="minorHAnsi" w:eastAsiaTheme="minorEastAsia" w:hAnsiTheme="minorHAnsi"/>
              <w:color w:val="2E1A47" w:themeColor="text2"/>
              <w:sz w:val="24"/>
              <w:szCs w:val="24"/>
              <w:lang w:eastAsia="zh-CN"/>
            </w:rPr>
          </w:pPr>
          <w:r>
            <w:rPr>
              <w:rFonts w:asciiTheme="minorHAnsi" w:eastAsiaTheme="minorEastAsia" w:hAnsiTheme="minorHAnsi"/>
              <w:color w:val="2E1A47" w:themeColor="text2"/>
              <w:sz w:val="24"/>
              <w:szCs w:val="24"/>
              <w:lang w:eastAsia="zh-CN"/>
            </w:rPr>
            <w:br w:type="page"/>
          </w:r>
        </w:p>
        <w:p w14:paraId="2B17D92F" w14:textId="3581662B" w:rsidR="00C41791" w:rsidRPr="00416F56" w:rsidRDefault="00C41791" w:rsidP="009E3766">
          <w:pPr>
            <w:pStyle w:val="Heading4"/>
            <w:ind w:left="567"/>
            <w:rPr>
              <w:lang w:eastAsia="zh-CN"/>
            </w:rPr>
          </w:pPr>
          <w:r>
            <w:rPr>
              <w:lang w:eastAsia="zh-CN"/>
            </w:rPr>
            <w:t xml:space="preserve">Case study: </w:t>
          </w:r>
          <w:r w:rsidRPr="00416F56">
            <w:rPr>
              <w:lang w:eastAsia="zh-CN"/>
            </w:rPr>
            <w:t xml:space="preserve">Holiday Here This Year  </w:t>
          </w:r>
        </w:p>
        <w:p w14:paraId="4CF3A190" w14:textId="77777777" w:rsidR="00C41791" w:rsidRPr="00416F56" w:rsidRDefault="00C41791" w:rsidP="00C41791">
          <w:pPr>
            <w:spacing w:before="120" w:after="120" w:line="280" w:lineRule="exact"/>
            <w:ind w:left="567" w:right="567"/>
            <w:rPr>
              <w:sz w:val="18"/>
              <w:szCs w:val="18"/>
            </w:rPr>
          </w:pPr>
          <w:r w:rsidRPr="00416F56">
            <w:rPr>
              <w:sz w:val="18"/>
              <w:szCs w:val="18"/>
            </w:rPr>
            <w:t xml:space="preserve">Key to Tourism Australia’s response to the COVID-19 pandemic was the development of the marketing platform </w:t>
          </w:r>
          <w:r w:rsidRPr="004A5576">
            <w:rPr>
              <w:sz w:val="18"/>
              <w:szCs w:val="18"/>
            </w:rPr>
            <w:t>Holiday Here This Year</w:t>
          </w:r>
          <w:r w:rsidRPr="00416F56">
            <w:rPr>
              <w:i/>
              <w:iCs/>
              <w:sz w:val="18"/>
              <w:szCs w:val="18"/>
            </w:rPr>
            <w:t xml:space="preserve">. </w:t>
          </w:r>
          <w:r w:rsidRPr="00416F56">
            <w:rPr>
              <w:sz w:val="18"/>
              <w:szCs w:val="18"/>
            </w:rPr>
            <w:t>Initially developed as a response to the summer bushfires of 2019/2020</w:t>
          </w:r>
          <w:r>
            <w:rPr>
              <w:sz w:val="18"/>
              <w:szCs w:val="18"/>
            </w:rPr>
            <w:t>,</w:t>
          </w:r>
          <w:r w:rsidRPr="00416F56">
            <w:rPr>
              <w:sz w:val="18"/>
              <w:szCs w:val="18"/>
            </w:rPr>
            <w:t xml:space="preserve"> the platform</w:t>
          </w:r>
          <w:r w:rsidRPr="00D50C79">
            <w:rPr>
              <w:sz w:val="18"/>
              <w:szCs w:val="18"/>
            </w:rPr>
            <w:t xml:space="preserve"> </w:t>
          </w:r>
          <w:r w:rsidRPr="00416F56">
            <w:rPr>
              <w:sz w:val="18"/>
              <w:szCs w:val="18"/>
            </w:rPr>
            <w:t>was an ideal message to support the Australian tourism sector as the extent of the crisis became apparent.</w:t>
          </w:r>
        </w:p>
        <w:p w14:paraId="74C2D9E9" w14:textId="7B7832BE" w:rsidR="00C41791" w:rsidRPr="009A0E84" w:rsidRDefault="00C41791" w:rsidP="00C41791">
          <w:pPr>
            <w:spacing w:before="0" w:after="0" w:line="280" w:lineRule="exact"/>
            <w:ind w:left="567" w:right="567"/>
            <w:rPr>
              <w:rStyle w:val="Strong"/>
              <w:sz w:val="22"/>
              <w:szCs w:val="22"/>
            </w:rPr>
          </w:pPr>
          <w:r w:rsidRPr="004A5576">
            <w:rPr>
              <w:sz w:val="18"/>
              <w:szCs w:val="18"/>
            </w:rPr>
            <w:t>Holiday Here This Year</w:t>
          </w:r>
          <w:r w:rsidRPr="00416F56">
            <w:rPr>
              <w:sz w:val="18"/>
              <w:szCs w:val="18"/>
            </w:rPr>
            <w:t xml:space="preserve"> was not one marketing campaign but several, each </w:t>
          </w:r>
          <w:r w:rsidRPr="009A0E84">
            <w:rPr>
              <w:sz w:val="18"/>
              <w:szCs w:val="18"/>
            </w:rPr>
            <w:t xml:space="preserve">aimed at addressing </w:t>
          </w:r>
          <w:r>
            <w:rPr>
              <w:sz w:val="18"/>
              <w:szCs w:val="18"/>
            </w:rPr>
            <w:t xml:space="preserve">the </w:t>
          </w:r>
          <w:r w:rsidRPr="009A0E84">
            <w:rPr>
              <w:sz w:val="18"/>
              <w:szCs w:val="18"/>
            </w:rPr>
            <w:t xml:space="preserve">core challenges </w:t>
          </w:r>
          <w:r>
            <w:rPr>
              <w:sz w:val="18"/>
              <w:szCs w:val="18"/>
            </w:rPr>
            <w:t xml:space="preserve">of </w:t>
          </w:r>
          <w:r w:rsidRPr="009A0E84">
            <w:rPr>
              <w:sz w:val="18"/>
              <w:szCs w:val="18"/>
            </w:rPr>
            <w:t>the pandemic</w:t>
          </w:r>
          <w:r w:rsidRPr="00416F56">
            <w:rPr>
              <w:sz w:val="18"/>
              <w:szCs w:val="18"/>
            </w:rPr>
            <w:t xml:space="preserve">. At the heart of each of the campaigns was a message reminding Australians that our tourism industry needed assistance, and </w:t>
          </w:r>
          <w:r>
            <w:rPr>
              <w:sz w:val="18"/>
              <w:szCs w:val="18"/>
            </w:rPr>
            <w:t xml:space="preserve">that </w:t>
          </w:r>
          <w:r w:rsidRPr="00416F56">
            <w:rPr>
              <w:sz w:val="18"/>
              <w:szCs w:val="18"/>
            </w:rPr>
            <w:t>it needed Australian</w:t>
          </w:r>
          <w:r>
            <w:rPr>
              <w:sz w:val="18"/>
              <w:szCs w:val="18"/>
            </w:rPr>
            <w:t>s</w:t>
          </w:r>
          <w:r w:rsidRPr="00416F56">
            <w:rPr>
              <w:sz w:val="18"/>
              <w:szCs w:val="18"/>
            </w:rPr>
            <w:t xml:space="preserve"> to step up by doing something </w:t>
          </w:r>
          <w:r>
            <w:rPr>
              <w:sz w:val="18"/>
              <w:szCs w:val="18"/>
            </w:rPr>
            <w:t>they</w:t>
          </w:r>
          <w:r w:rsidRPr="00416F56">
            <w:rPr>
              <w:sz w:val="18"/>
              <w:szCs w:val="18"/>
            </w:rPr>
            <w:t xml:space="preserve"> really want</w:t>
          </w:r>
          <w:r>
            <w:rPr>
              <w:sz w:val="18"/>
              <w:szCs w:val="18"/>
            </w:rPr>
            <w:t>ed</w:t>
          </w:r>
          <w:r w:rsidRPr="00416F56">
            <w:rPr>
              <w:sz w:val="18"/>
              <w:szCs w:val="18"/>
            </w:rPr>
            <w:t xml:space="preserve"> to do...</w:t>
          </w:r>
          <w:r w:rsidRPr="009A0E84">
            <w:rPr>
              <w:rStyle w:val="Strong"/>
              <w:sz w:val="22"/>
              <w:szCs w:val="22"/>
            </w:rPr>
            <w:t>take a holiday.</w:t>
          </w:r>
          <w:r w:rsidR="00B15427">
            <w:rPr>
              <w:rStyle w:val="Strong"/>
              <w:sz w:val="22"/>
              <w:szCs w:val="22"/>
            </w:rPr>
            <w:t xml:space="preserve"> </w:t>
          </w:r>
          <w:r w:rsidRPr="009A0E84">
            <w:rPr>
              <w:rStyle w:val="Strong"/>
              <w:sz w:val="22"/>
              <w:szCs w:val="22"/>
            </w:rPr>
            <w:t xml:space="preserve">In essence this is the most fun act of patriotism in Australia’s history – just get out, take a proper holiday, and see incredible things. </w:t>
          </w:r>
        </w:p>
        <w:p w14:paraId="06E89801" w14:textId="77777777" w:rsidR="00C41791" w:rsidRDefault="00C41791" w:rsidP="00C41791">
          <w:pPr>
            <w:spacing w:before="120" w:after="0" w:line="280" w:lineRule="exact"/>
            <w:ind w:left="567" w:right="567"/>
            <w:rPr>
              <w:sz w:val="18"/>
              <w:szCs w:val="18"/>
            </w:rPr>
          </w:pPr>
          <w:r>
            <w:rPr>
              <w:noProof/>
            </w:rPr>
            <w:drawing>
              <wp:anchor distT="0" distB="0" distL="114300" distR="114300" simplePos="0" relativeHeight="251844608" behindDoc="0" locked="0" layoutInCell="1" allowOverlap="1" wp14:anchorId="1F453CF9" wp14:editId="1283824A">
                <wp:simplePos x="0" y="0"/>
                <wp:positionH relativeFrom="column">
                  <wp:posOffset>2607945</wp:posOffset>
                </wp:positionH>
                <wp:positionV relativeFrom="paragraph">
                  <wp:posOffset>13970</wp:posOffset>
                </wp:positionV>
                <wp:extent cx="3305175" cy="2628265"/>
                <wp:effectExtent l="0" t="0" r="9525" b="635"/>
                <wp:wrapNone/>
                <wp:docPr id="135" name="Picture 135" descr="Two celebrities holding drinks and looking happy at an urban b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Two celebrities holding drinks and looking happy at an urban bar. "/>
                        <pic:cNvPicPr/>
                      </pic:nvPicPr>
                      <pic:blipFill rotWithShape="1">
                        <a:blip r:embed="rId52"/>
                        <a:srcRect l="7046" r="8646"/>
                        <a:stretch/>
                      </pic:blipFill>
                      <pic:spPr bwMode="auto">
                        <a:xfrm>
                          <a:off x="0" y="0"/>
                          <a:ext cx="3308636" cy="26310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6F56">
            <w:rPr>
              <w:sz w:val="18"/>
              <w:szCs w:val="18"/>
            </w:rPr>
            <w:t xml:space="preserve">Key marketing campaigns Tourism </w:t>
          </w:r>
        </w:p>
        <w:p w14:paraId="75531552" w14:textId="77777777" w:rsidR="00C41791" w:rsidRDefault="00C41791" w:rsidP="00C41791">
          <w:pPr>
            <w:spacing w:before="0" w:after="0" w:line="280" w:lineRule="exact"/>
            <w:ind w:left="567" w:right="567"/>
            <w:rPr>
              <w:sz w:val="18"/>
              <w:szCs w:val="18"/>
            </w:rPr>
          </w:pPr>
          <w:r w:rsidRPr="00416F56">
            <w:rPr>
              <w:sz w:val="18"/>
              <w:szCs w:val="18"/>
            </w:rPr>
            <w:t>Australia</w:t>
          </w:r>
          <w:r>
            <w:rPr>
              <w:sz w:val="18"/>
              <w:szCs w:val="18"/>
            </w:rPr>
            <w:t xml:space="preserve"> undertook in </w:t>
          </w:r>
          <w:r w:rsidRPr="00416F56">
            <w:rPr>
              <w:sz w:val="18"/>
              <w:szCs w:val="18"/>
            </w:rPr>
            <w:t xml:space="preserve">2021 </w:t>
          </w:r>
          <w:r>
            <w:rPr>
              <w:sz w:val="18"/>
              <w:szCs w:val="18"/>
            </w:rPr>
            <w:t>through</w:t>
          </w:r>
          <w:r w:rsidRPr="00416F56">
            <w:rPr>
              <w:sz w:val="18"/>
              <w:szCs w:val="18"/>
            </w:rPr>
            <w:t xml:space="preserve"> </w:t>
          </w:r>
        </w:p>
        <w:p w14:paraId="61995152" w14:textId="77777777" w:rsidR="00C41791" w:rsidRDefault="00C41791" w:rsidP="00C41791">
          <w:pPr>
            <w:spacing w:before="0" w:after="0" w:line="280" w:lineRule="exact"/>
            <w:ind w:left="567" w:right="567"/>
            <w:rPr>
              <w:sz w:val="18"/>
              <w:szCs w:val="18"/>
            </w:rPr>
          </w:pPr>
          <w:r w:rsidRPr="00416F56">
            <w:rPr>
              <w:sz w:val="18"/>
              <w:szCs w:val="18"/>
            </w:rPr>
            <w:t>the Holiday Here</w:t>
          </w:r>
          <w:r>
            <w:rPr>
              <w:sz w:val="18"/>
              <w:szCs w:val="18"/>
            </w:rPr>
            <w:t xml:space="preserve"> </w:t>
          </w:r>
          <w:r w:rsidRPr="00416F56">
            <w:rPr>
              <w:sz w:val="18"/>
              <w:szCs w:val="18"/>
            </w:rPr>
            <w:t xml:space="preserve">This </w:t>
          </w:r>
          <w:r>
            <w:rPr>
              <w:sz w:val="18"/>
              <w:szCs w:val="18"/>
            </w:rPr>
            <w:t xml:space="preserve">Year Platform </w:t>
          </w:r>
        </w:p>
        <w:p w14:paraId="093E1B9D" w14:textId="515FC1C4" w:rsidR="00C41791" w:rsidRDefault="00C41791" w:rsidP="00C41791">
          <w:pPr>
            <w:spacing w:before="0" w:after="0" w:line="280" w:lineRule="exact"/>
            <w:ind w:left="567" w:right="567"/>
            <w:rPr>
              <w:sz w:val="18"/>
              <w:szCs w:val="18"/>
            </w:rPr>
          </w:pPr>
          <w:r w:rsidRPr="00416F56">
            <w:rPr>
              <w:sz w:val="18"/>
              <w:szCs w:val="18"/>
            </w:rPr>
            <w:t xml:space="preserve">included: </w:t>
          </w:r>
        </w:p>
        <w:p w14:paraId="666F04BF" w14:textId="77777777" w:rsidR="00C41791" w:rsidRDefault="00C41791" w:rsidP="00C41791">
          <w:pPr>
            <w:pStyle w:val="ListParagraph"/>
            <w:numPr>
              <w:ilvl w:val="0"/>
              <w:numId w:val="16"/>
            </w:numPr>
            <w:spacing w:before="0" w:after="0" w:line="280" w:lineRule="exact"/>
            <w:ind w:left="993" w:right="567"/>
            <w:rPr>
              <w:sz w:val="18"/>
              <w:szCs w:val="18"/>
            </w:rPr>
          </w:pPr>
          <w:r w:rsidRPr="00416F56">
            <w:rPr>
              <w:sz w:val="18"/>
              <w:szCs w:val="18"/>
            </w:rPr>
            <w:t xml:space="preserve">driving confidence in domestic </w:t>
          </w:r>
        </w:p>
        <w:p w14:paraId="2EB60218" w14:textId="6697BE5E" w:rsidR="00C41791" w:rsidRDefault="00C41791" w:rsidP="00C41791">
          <w:pPr>
            <w:pStyle w:val="ListParagraph"/>
            <w:spacing w:before="0" w:after="0" w:line="280" w:lineRule="exact"/>
            <w:ind w:left="993" w:right="567"/>
            <w:rPr>
              <w:sz w:val="18"/>
              <w:szCs w:val="18"/>
            </w:rPr>
          </w:pPr>
          <w:r w:rsidRPr="00416F56">
            <w:rPr>
              <w:sz w:val="18"/>
              <w:szCs w:val="18"/>
            </w:rPr>
            <w:t xml:space="preserve">travel </w:t>
          </w:r>
        </w:p>
        <w:p w14:paraId="71A02B65" w14:textId="77777777" w:rsidR="00C41791" w:rsidRDefault="00C41791" w:rsidP="00C41791">
          <w:pPr>
            <w:pStyle w:val="ListParagraph"/>
            <w:numPr>
              <w:ilvl w:val="0"/>
              <w:numId w:val="16"/>
            </w:numPr>
            <w:spacing w:before="0" w:after="0" w:line="280" w:lineRule="exact"/>
            <w:ind w:left="993" w:right="567"/>
            <w:rPr>
              <w:sz w:val="18"/>
              <w:szCs w:val="18"/>
            </w:rPr>
          </w:pPr>
          <w:r w:rsidRPr="00416F56">
            <w:rPr>
              <w:sz w:val="18"/>
              <w:szCs w:val="18"/>
            </w:rPr>
            <w:t xml:space="preserve">encouraging Australians to take </w:t>
          </w:r>
        </w:p>
        <w:p w14:paraId="6A49C88D" w14:textId="28ADC50B" w:rsidR="00C41791" w:rsidRPr="00416F56" w:rsidRDefault="00C41791" w:rsidP="00C41791">
          <w:pPr>
            <w:pStyle w:val="ListParagraph"/>
            <w:spacing w:before="0" w:after="0" w:line="280" w:lineRule="exact"/>
            <w:ind w:left="993" w:right="567"/>
            <w:rPr>
              <w:sz w:val="18"/>
              <w:szCs w:val="18"/>
            </w:rPr>
          </w:pPr>
          <w:r>
            <w:rPr>
              <w:sz w:val="18"/>
              <w:szCs w:val="18"/>
            </w:rPr>
            <w:t>longer trips</w:t>
          </w:r>
        </w:p>
        <w:p w14:paraId="2B9FBF16" w14:textId="77777777" w:rsidR="00C41791" w:rsidRDefault="00C41791" w:rsidP="00C41791">
          <w:pPr>
            <w:pStyle w:val="ListParagraph"/>
            <w:numPr>
              <w:ilvl w:val="0"/>
              <w:numId w:val="16"/>
            </w:numPr>
            <w:spacing w:before="0" w:after="0" w:line="280" w:lineRule="exact"/>
            <w:ind w:left="993" w:right="567"/>
            <w:rPr>
              <w:sz w:val="18"/>
              <w:szCs w:val="18"/>
            </w:rPr>
          </w:pPr>
          <w:r w:rsidRPr="008618B9">
            <w:rPr>
              <w:sz w:val="18"/>
              <w:szCs w:val="18"/>
            </w:rPr>
            <w:t xml:space="preserve">encouraging the buying of travel </w:t>
          </w:r>
        </w:p>
        <w:p w14:paraId="2A727E1E" w14:textId="77777777" w:rsidR="00C41791" w:rsidRDefault="00C41791" w:rsidP="00C41791">
          <w:pPr>
            <w:pStyle w:val="ListParagraph"/>
            <w:spacing w:before="0" w:after="0" w:line="280" w:lineRule="exact"/>
            <w:ind w:left="993" w:right="567"/>
            <w:rPr>
              <w:sz w:val="18"/>
              <w:szCs w:val="18"/>
            </w:rPr>
          </w:pPr>
          <w:r w:rsidRPr="008618B9">
            <w:rPr>
              <w:sz w:val="18"/>
              <w:szCs w:val="18"/>
            </w:rPr>
            <w:t xml:space="preserve">experiences instead of Christmas </w:t>
          </w:r>
        </w:p>
        <w:p w14:paraId="055D178C" w14:textId="77777777" w:rsidR="00C41791" w:rsidRPr="008618B9" w:rsidRDefault="00C41791" w:rsidP="00C41791">
          <w:pPr>
            <w:pStyle w:val="ListParagraph"/>
            <w:spacing w:before="0" w:after="0" w:line="280" w:lineRule="exact"/>
            <w:ind w:left="993" w:right="567"/>
            <w:rPr>
              <w:sz w:val="18"/>
              <w:szCs w:val="18"/>
            </w:rPr>
          </w:pPr>
          <w:r w:rsidRPr="008618B9">
            <w:rPr>
              <w:sz w:val="18"/>
              <w:szCs w:val="18"/>
            </w:rPr>
            <w:t xml:space="preserve">presents </w:t>
          </w:r>
        </w:p>
        <w:p w14:paraId="5F5D16BF" w14:textId="77777777" w:rsidR="00C41791" w:rsidRDefault="00C41791" w:rsidP="00B15427">
          <w:pPr>
            <w:pStyle w:val="ListParagraph"/>
            <w:numPr>
              <w:ilvl w:val="0"/>
              <w:numId w:val="16"/>
            </w:numPr>
            <w:spacing w:before="0" w:after="0" w:line="280" w:lineRule="exact"/>
            <w:ind w:left="992" w:right="567" w:hanging="357"/>
            <w:contextualSpacing w:val="0"/>
            <w:rPr>
              <w:sz w:val="18"/>
              <w:szCs w:val="18"/>
            </w:rPr>
          </w:pPr>
          <w:r w:rsidRPr="00416F56">
            <w:rPr>
              <w:sz w:val="18"/>
              <w:szCs w:val="18"/>
            </w:rPr>
            <w:t>driving demand for cities.</w:t>
          </w:r>
        </w:p>
        <w:p w14:paraId="113E82C5" w14:textId="0FD3C320" w:rsidR="00C41791" w:rsidRPr="00416F56" w:rsidRDefault="00C41791" w:rsidP="00C41791">
          <w:pPr>
            <w:pStyle w:val="ListParagraph"/>
            <w:spacing w:before="0" w:after="0" w:line="280" w:lineRule="exact"/>
            <w:ind w:left="567" w:right="567"/>
            <w:jc w:val="right"/>
            <w:rPr>
              <w:sz w:val="18"/>
              <w:szCs w:val="18"/>
            </w:rPr>
          </w:pPr>
          <w:r w:rsidRPr="009475CF">
            <w:rPr>
              <w:noProof/>
            </w:rPr>
            <w:t xml:space="preserve"> </w:t>
          </w:r>
        </w:p>
        <w:p w14:paraId="262B69D4" w14:textId="77777777" w:rsidR="00C41791" w:rsidRDefault="00C41791" w:rsidP="00C41791">
          <w:pPr>
            <w:spacing w:before="0" w:after="0" w:line="60" w:lineRule="exact"/>
            <w:ind w:left="567" w:right="567"/>
            <w:jc w:val="right"/>
          </w:pPr>
        </w:p>
        <w:p w14:paraId="6A87AE93" w14:textId="77777777" w:rsidR="00C41791" w:rsidRDefault="00C41791" w:rsidP="00B15427">
          <w:pPr>
            <w:spacing w:before="120"/>
            <w:ind w:left="567" w:right="567"/>
            <w:rPr>
              <w:rFonts w:asciiTheme="minorHAnsi" w:eastAsiaTheme="minorEastAsia" w:hAnsiTheme="minorHAnsi"/>
              <w:color w:val="2E1A47" w:themeColor="text2"/>
              <w:sz w:val="24"/>
              <w:szCs w:val="24"/>
              <w:lang w:eastAsia="zh-CN"/>
            </w:rPr>
          </w:pPr>
          <w:r w:rsidRPr="00807F41">
            <w:rPr>
              <w:rFonts w:asciiTheme="minorHAnsi" w:eastAsiaTheme="minorEastAsia" w:hAnsiTheme="minorHAnsi"/>
              <w:color w:val="2E1A47" w:themeColor="text2"/>
              <w:sz w:val="24"/>
              <w:szCs w:val="24"/>
              <w:lang w:eastAsia="zh-CN"/>
            </w:rPr>
            <w:t>Hit the Cities for Australia</w:t>
          </w:r>
        </w:p>
        <w:p w14:paraId="72411EF5" w14:textId="77777777" w:rsidR="00C41791" w:rsidRPr="00807F41" w:rsidRDefault="00C41791" w:rsidP="00C41791">
          <w:pPr>
            <w:spacing w:before="0" w:after="0" w:line="280" w:lineRule="exact"/>
            <w:ind w:left="567" w:right="567"/>
            <w:rPr>
              <w:sz w:val="18"/>
              <w:szCs w:val="18"/>
            </w:rPr>
          </w:pPr>
          <w:r w:rsidRPr="00807F41">
            <w:rPr>
              <w:sz w:val="18"/>
              <w:szCs w:val="18"/>
            </w:rPr>
            <w:t>In the early months of 2021 Australia’s cities,</w:t>
          </w:r>
          <w:r>
            <w:rPr>
              <w:sz w:val="18"/>
              <w:szCs w:val="18"/>
            </w:rPr>
            <w:t xml:space="preserve"> particularly </w:t>
          </w:r>
          <w:r w:rsidRPr="00807F41">
            <w:rPr>
              <w:sz w:val="18"/>
              <w:szCs w:val="18"/>
            </w:rPr>
            <w:t>our international ‘gateway cities’</w:t>
          </w:r>
          <w:r>
            <w:rPr>
              <w:sz w:val="18"/>
              <w:szCs w:val="18"/>
            </w:rPr>
            <w:t xml:space="preserve"> including Sydney and </w:t>
          </w:r>
          <w:r w:rsidRPr="00807F41">
            <w:rPr>
              <w:sz w:val="18"/>
              <w:szCs w:val="18"/>
            </w:rPr>
            <w:t>Melbourne, were in urgent need</w:t>
          </w:r>
          <w:r>
            <w:rPr>
              <w:sz w:val="18"/>
              <w:szCs w:val="18"/>
            </w:rPr>
            <w:t xml:space="preserve"> of support in the form of </w:t>
          </w:r>
          <w:r w:rsidRPr="00807F41">
            <w:rPr>
              <w:sz w:val="18"/>
              <w:szCs w:val="18"/>
            </w:rPr>
            <w:t>increased domestic</w:t>
          </w:r>
          <w:r>
            <w:rPr>
              <w:sz w:val="18"/>
              <w:szCs w:val="18"/>
            </w:rPr>
            <w:t xml:space="preserve"> </w:t>
          </w:r>
          <w:r w:rsidRPr="00807F41">
            <w:rPr>
              <w:sz w:val="18"/>
              <w:szCs w:val="18"/>
            </w:rPr>
            <w:t>visitation. Cities faced one core domestic challenge</w:t>
          </w:r>
          <w:r>
            <w:rPr>
              <w:sz w:val="18"/>
              <w:szCs w:val="18"/>
            </w:rPr>
            <w:t xml:space="preserve">: </w:t>
          </w:r>
          <w:r w:rsidRPr="00807F41">
            <w:rPr>
              <w:sz w:val="18"/>
              <w:szCs w:val="18"/>
            </w:rPr>
            <w:t>they were viewed as less safe and not open and therefore less appealing for a domestic trip.</w:t>
          </w:r>
        </w:p>
        <w:p w14:paraId="04AF2D5F" w14:textId="2C385C46" w:rsidR="00C41791" w:rsidRPr="00B15427" w:rsidRDefault="00C41791" w:rsidP="00B15427">
          <w:pPr>
            <w:spacing w:before="120" w:after="120" w:line="280" w:lineRule="exact"/>
            <w:ind w:left="567" w:right="567"/>
            <w:rPr>
              <w:color w:val="7A4282" w:themeColor="accent1"/>
              <w:sz w:val="22"/>
              <w:szCs w:val="22"/>
              <w:lang w:val="pt-PT"/>
            </w:rPr>
          </w:pPr>
          <w:r w:rsidRPr="00807F41">
            <w:rPr>
              <w:rStyle w:val="Strong"/>
              <w:sz w:val="22"/>
              <w:szCs w:val="22"/>
            </w:rPr>
            <w:t>Tourism Australia cities strategy: collective confidence is the antidote to fear</w:t>
          </w:r>
          <w:r>
            <w:rPr>
              <w:rStyle w:val="Strong"/>
              <w:sz w:val="22"/>
              <w:szCs w:val="22"/>
            </w:rPr>
            <w:t>.</w:t>
          </w:r>
          <w:r w:rsidR="00B15427">
            <w:rPr>
              <w:rStyle w:val="Strong"/>
              <w:sz w:val="22"/>
              <w:szCs w:val="22"/>
            </w:rPr>
            <w:t xml:space="preserve"> </w:t>
          </w:r>
          <w:r w:rsidRPr="00807F41">
            <w:rPr>
              <w:sz w:val="18"/>
              <w:szCs w:val="18"/>
            </w:rPr>
            <w:t>The aim of the cities campaign was to rebuild confidence in our cities by reassuring Australians that it was ok</w:t>
          </w:r>
          <w:r>
            <w:rPr>
              <w:sz w:val="18"/>
              <w:szCs w:val="18"/>
            </w:rPr>
            <w:t>ay</w:t>
          </w:r>
          <w:r w:rsidRPr="00807F41">
            <w:rPr>
              <w:sz w:val="18"/>
              <w:szCs w:val="18"/>
            </w:rPr>
            <w:t xml:space="preserve"> to get out there and have fun with other Australians again, as the antidote to people's real fears. The campaign leant into principles of social norming to rebuild collective confidence. The ad aimed to mirror what those around us are already doing. People did not want crowded spaces so the campaign would show ‘people like them’ having a great time</w:t>
          </w:r>
          <w:r>
            <w:rPr>
              <w:sz w:val="18"/>
              <w:szCs w:val="18"/>
            </w:rPr>
            <w:t xml:space="preserve"> while remaining </w:t>
          </w:r>
          <w:r w:rsidRPr="00807F41">
            <w:rPr>
              <w:sz w:val="18"/>
              <w:szCs w:val="18"/>
            </w:rPr>
            <w:t xml:space="preserve">socially distanced. The media strategy saturated not only the airwaves but </w:t>
          </w:r>
          <w:r>
            <w:rPr>
              <w:sz w:val="18"/>
              <w:szCs w:val="18"/>
            </w:rPr>
            <w:t xml:space="preserve">also </w:t>
          </w:r>
          <w:r w:rsidRPr="00807F41">
            <w:rPr>
              <w:sz w:val="18"/>
              <w:szCs w:val="18"/>
            </w:rPr>
            <w:t>the news cycle with stories about the safety and vibrancy of Australian cities.</w:t>
          </w:r>
          <w:r>
            <w:t xml:space="preserve"> </w:t>
          </w:r>
        </w:p>
        <w:p w14:paraId="4F6C4491" w14:textId="77777777" w:rsidR="00C41791" w:rsidRDefault="00C41791" w:rsidP="00C41791">
          <w:pPr>
            <w:spacing w:before="120" w:after="120" w:line="280" w:lineRule="exact"/>
            <w:ind w:left="567" w:right="567"/>
            <w:rPr>
              <w:sz w:val="18"/>
              <w:szCs w:val="18"/>
            </w:rPr>
          </w:pPr>
          <w:r w:rsidRPr="00807F41">
            <w:rPr>
              <w:sz w:val="18"/>
              <w:szCs w:val="18"/>
            </w:rPr>
            <w:t>The campaign delivered solid results. In campaign testing Tourism Australia found that 44% of respondents said the advertisements made them keen to book a city trip in the near future</w:t>
          </w:r>
          <w:r>
            <w:rPr>
              <w:sz w:val="18"/>
              <w:szCs w:val="18"/>
            </w:rPr>
            <w:t>, while</w:t>
          </w:r>
          <w:r w:rsidRPr="00807F41">
            <w:rPr>
              <w:sz w:val="18"/>
              <w:szCs w:val="18"/>
            </w:rPr>
            <w:t xml:space="preserve"> 36% of respondents agreed with the statement that they now intend</w:t>
          </w:r>
          <w:r>
            <w:rPr>
              <w:sz w:val="18"/>
              <w:szCs w:val="18"/>
            </w:rPr>
            <w:t>ed</w:t>
          </w:r>
          <w:r w:rsidRPr="00807F41">
            <w:rPr>
              <w:sz w:val="18"/>
              <w:szCs w:val="18"/>
            </w:rPr>
            <w:t xml:space="preserve"> to take a trip that they wouldn’t otherwise have taken. And 20% in post</w:t>
          </w:r>
          <w:r>
            <w:rPr>
              <w:sz w:val="18"/>
              <w:szCs w:val="18"/>
            </w:rPr>
            <w:t>-</w:t>
          </w:r>
          <w:r w:rsidRPr="00807F41">
            <w:rPr>
              <w:sz w:val="18"/>
              <w:szCs w:val="18"/>
            </w:rPr>
            <w:t>campaign analysis stat</w:t>
          </w:r>
          <w:r>
            <w:rPr>
              <w:sz w:val="18"/>
              <w:szCs w:val="18"/>
            </w:rPr>
            <w:t>ed</w:t>
          </w:r>
          <w:r w:rsidRPr="00807F41">
            <w:rPr>
              <w:sz w:val="18"/>
              <w:szCs w:val="18"/>
            </w:rPr>
            <w:t xml:space="preserve"> they had taken a trip to a city that was strongly influenced by this marketing campaign (</w:t>
          </w:r>
          <w:r>
            <w:rPr>
              <w:sz w:val="18"/>
              <w:szCs w:val="18"/>
            </w:rPr>
            <w:t>s</w:t>
          </w:r>
          <w:r w:rsidRPr="00807F41">
            <w:rPr>
              <w:sz w:val="18"/>
              <w:szCs w:val="18"/>
            </w:rPr>
            <w:t>ource</w:t>
          </w:r>
          <w:r w:rsidRPr="00C823DB">
            <w:rPr>
              <w:sz w:val="18"/>
              <w:szCs w:val="18"/>
            </w:rPr>
            <w:t>: BDA for</w:t>
          </w:r>
          <w:r w:rsidRPr="00807F41">
            <w:rPr>
              <w:sz w:val="18"/>
              <w:szCs w:val="18"/>
            </w:rPr>
            <w:t xml:space="preserve"> Tourism Australia, Sentiment and Campaign Tracking, 2021).</w:t>
          </w:r>
        </w:p>
        <w:p w14:paraId="078F4B37" w14:textId="77777777" w:rsidR="00C41791" w:rsidRPr="00B63054" w:rsidRDefault="00C41791" w:rsidP="00C41791">
          <w:pPr>
            <w:spacing w:before="240" w:after="0" w:line="240" w:lineRule="auto"/>
            <w:ind w:left="567" w:right="567"/>
            <w:rPr>
              <w:rFonts w:asciiTheme="majorHAnsi" w:hAnsiTheme="majorHAnsi" w:cs="Arial"/>
              <w:b/>
              <w:bCs/>
              <w:color w:val="auto"/>
              <w:sz w:val="16"/>
              <w:szCs w:val="16"/>
            </w:rPr>
          </w:pPr>
          <w:r w:rsidRPr="00D57F7E">
            <w:rPr>
              <w:b/>
              <w:bCs/>
              <w:sz w:val="16"/>
              <w:szCs w:val="16"/>
            </w:rPr>
            <w:t>Courtesy of Tourism Australia. Image:</w:t>
          </w:r>
          <w:r w:rsidRPr="00D57F7E">
            <w:rPr>
              <w:rFonts w:asciiTheme="majorHAnsi" w:hAnsiTheme="majorHAnsi" w:cs="Arial"/>
              <w:i/>
              <w:iCs/>
              <w:sz w:val="16"/>
              <w:szCs w:val="16"/>
            </w:rPr>
            <w:t xml:space="preserve"> </w:t>
          </w:r>
          <w:r w:rsidRPr="00D57F7E">
            <w:rPr>
              <w:rFonts w:asciiTheme="majorHAnsi" w:hAnsiTheme="majorHAnsi" w:cs="Arial"/>
              <w:b/>
              <w:bCs/>
              <w:sz w:val="16"/>
              <w:szCs w:val="16"/>
            </w:rPr>
            <w:t>Tourism Australia’s</w:t>
          </w:r>
          <w:r w:rsidRPr="00D57F7E">
            <w:rPr>
              <w:rFonts w:asciiTheme="majorHAnsi" w:hAnsiTheme="majorHAnsi" w:cs="Arial"/>
              <w:b/>
              <w:bCs/>
              <w:i/>
              <w:iCs/>
              <w:sz w:val="16"/>
              <w:szCs w:val="16"/>
            </w:rPr>
            <w:t xml:space="preserve"> Holiday Here This Year cam</w:t>
          </w:r>
          <w:r w:rsidRPr="00D57F7E">
            <w:rPr>
              <w:rFonts w:asciiTheme="majorHAnsi" w:hAnsiTheme="majorHAnsi" w:cs="Arial"/>
              <w:b/>
              <w:bCs/>
              <w:sz w:val="16"/>
              <w:szCs w:val="16"/>
            </w:rPr>
            <w:t xml:space="preserve">paign ambassadors Hamish Blake and Zoë Foster-Blake in the </w:t>
          </w:r>
          <w:r w:rsidRPr="00D57F7E">
            <w:rPr>
              <w:rFonts w:asciiTheme="majorHAnsi" w:hAnsiTheme="majorHAnsi" w:cs="Arial"/>
              <w:b/>
              <w:bCs/>
              <w:i/>
              <w:iCs/>
              <w:sz w:val="16"/>
              <w:szCs w:val="16"/>
            </w:rPr>
            <w:t>Hit the Cities For Australia</w:t>
          </w:r>
          <w:r w:rsidRPr="00D57F7E">
            <w:rPr>
              <w:rFonts w:asciiTheme="majorHAnsi" w:hAnsiTheme="majorHAnsi" w:cs="Arial"/>
              <w:b/>
              <w:bCs/>
              <w:sz w:val="16"/>
              <w:szCs w:val="16"/>
            </w:rPr>
            <w:t xml:space="preserve"> campaign, 2021.</w:t>
          </w:r>
        </w:p>
        <w:p w14:paraId="21EA0D95" w14:textId="77777777" w:rsidR="00C41791" w:rsidRDefault="00C41791" w:rsidP="00427E30">
          <w:pPr>
            <w:rPr>
              <w:bCs/>
              <w:sz w:val="26"/>
              <w:szCs w:val="24"/>
            </w:rPr>
          </w:pPr>
        </w:p>
        <w:p w14:paraId="71218CF2" w14:textId="77777777" w:rsidR="00E43BCB" w:rsidRDefault="00427E30" w:rsidP="00E43BCB">
          <w:pPr>
            <w:pStyle w:val="Heading4"/>
          </w:pPr>
          <w:r w:rsidRPr="00427E30">
            <w:rPr>
              <w:bCs w:val="0"/>
            </w:rPr>
            <w:t xml:space="preserve"> </w:t>
          </w:r>
          <w:r w:rsidR="00E43BCB" w:rsidRPr="00AE7C63">
            <w:t>Sustainability</w:t>
          </w:r>
        </w:p>
        <w:p w14:paraId="2F290A50" w14:textId="77777777" w:rsidR="00E43BCB" w:rsidRDefault="00E43BCB" w:rsidP="00E43BCB">
          <w:r>
            <w:t xml:space="preserve">Sustainability initiatives are increasingly being sought after by customers and ingrained into all aspects of travel and tourism. Sustainability is at the heart of the THRIVE 2030 Strategy and the UNWTO’s objective to ‘build back better’. </w:t>
          </w:r>
        </w:p>
        <w:p w14:paraId="547D7634" w14:textId="77777777" w:rsidR="00E43BCB" w:rsidRDefault="00E43BCB" w:rsidP="00E43BCB">
          <w:r>
            <w:t>The efforts of individual tourism operators to become more sustainable are being made more prominent and comparable thanks to changes by major global travel booking sites such as Skyscanner and Booking.com that make it easier to identify sustainable travel options. Skyscanner introduced the ‘Greener Choice’ option to search functionality, which identifies flights with lower-than-average carbon emissions.</w:t>
          </w:r>
          <w:r>
            <w:rPr>
              <w:rStyle w:val="FootnoteReference"/>
            </w:rPr>
            <w:footnoteReference w:id="9"/>
          </w:r>
          <w:r>
            <w:t xml:space="preserve"> Booking.com has similarly introduced the ‘Travel Sustainable’ filter, which identifies products and </w:t>
          </w:r>
          <w:r w:rsidRPr="00505764">
            <w:t>partners who have taken significant steps to make their guests</w:t>
          </w:r>
          <w:r>
            <w:t>’</w:t>
          </w:r>
          <w:r w:rsidRPr="00505764">
            <w:t xml:space="preserve"> experiences more sustainable</w:t>
          </w:r>
          <w:r>
            <w:t>.</w:t>
          </w:r>
        </w:p>
        <w:p w14:paraId="3CA44581" w14:textId="6C2C8C3E" w:rsidR="00427E30" w:rsidRDefault="00427E30" w:rsidP="00427E30"/>
        <w:p w14:paraId="40AFDA72" w14:textId="4FF6D550" w:rsidR="00E43BCB" w:rsidRDefault="00E43BCB" w:rsidP="009E3766">
          <w:pPr>
            <w:pStyle w:val="Heading4"/>
            <w:ind w:left="794"/>
          </w:pPr>
          <w:r>
            <w:t>Box: 2022 Sustainable Travel Report</w:t>
          </w:r>
        </w:p>
        <w:p w14:paraId="355C2DB1" w14:textId="77777777" w:rsidR="00E43BCB" w:rsidRPr="0021491B" w:rsidRDefault="00E43BCB" w:rsidP="009E3766">
          <w:pPr>
            <w:spacing w:before="120" w:after="120" w:line="280" w:lineRule="exact"/>
            <w:ind w:left="794" w:right="624"/>
            <w:rPr>
              <w:sz w:val="18"/>
              <w:szCs w:val="18"/>
            </w:rPr>
          </w:pPr>
          <w:r w:rsidRPr="0021491B">
            <w:rPr>
              <w:sz w:val="18"/>
              <w:szCs w:val="18"/>
            </w:rPr>
            <w:t xml:space="preserve">Booking.com’s 2022 </w:t>
          </w:r>
          <w:hyperlink r:id="rId53" w:history="1">
            <w:r w:rsidRPr="007817DF">
              <w:rPr>
                <w:rStyle w:val="Hyperlink"/>
                <w:sz w:val="18"/>
                <w:szCs w:val="18"/>
              </w:rPr>
              <w:t>Sustainable Travel Report</w:t>
            </w:r>
          </w:hyperlink>
          <w:r w:rsidRPr="0021491B">
            <w:rPr>
              <w:sz w:val="18"/>
              <w:szCs w:val="18"/>
            </w:rPr>
            <w:t xml:space="preserve"> finds that ‘travellers are selecting planet-first options and looking to brands for sustainable choices and more purposeful travel’.</w:t>
          </w:r>
        </w:p>
        <w:p w14:paraId="2C51B6D2" w14:textId="77777777" w:rsidR="00E43BCB" w:rsidRPr="0021491B" w:rsidRDefault="00E43BCB" w:rsidP="009E3766">
          <w:pPr>
            <w:spacing w:before="120" w:after="120" w:line="280" w:lineRule="exact"/>
            <w:ind w:left="794" w:right="624"/>
            <w:rPr>
              <w:sz w:val="18"/>
              <w:szCs w:val="18"/>
            </w:rPr>
          </w:pPr>
          <w:r w:rsidRPr="0021491B">
            <w:rPr>
              <w:sz w:val="18"/>
              <w:szCs w:val="18"/>
            </w:rPr>
            <w:t>It claims that people are:</w:t>
          </w:r>
        </w:p>
        <w:p w14:paraId="55DF4FC2" w14:textId="77777777" w:rsidR="00E43BCB" w:rsidRPr="0021491B" w:rsidRDefault="00E43BCB" w:rsidP="009E3766">
          <w:pPr>
            <w:pStyle w:val="BulletList"/>
            <w:spacing w:before="120" w:after="120" w:line="280" w:lineRule="exact"/>
            <w:ind w:left="1276" w:right="624"/>
            <w:rPr>
              <w:sz w:val="18"/>
              <w:szCs w:val="18"/>
            </w:rPr>
          </w:pPr>
          <w:r w:rsidRPr="0021491B">
            <w:rPr>
              <w:sz w:val="18"/>
              <w:szCs w:val="18"/>
            </w:rPr>
            <w:t>travelling more thoughtfully and intentionally, as awareness of the climate crisis increases</w:t>
          </w:r>
        </w:p>
        <w:p w14:paraId="7303AB87" w14:textId="77777777" w:rsidR="00E43BCB" w:rsidRPr="0021491B" w:rsidRDefault="00E43BCB" w:rsidP="009E3766">
          <w:pPr>
            <w:pStyle w:val="BulletList"/>
            <w:spacing w:before="120" w:after="120" w:line="280" w:lineRule="exact"/>
            <w:ind w:left="1276" w:right="624"/>
            <w:rPr>
              <w:sz w:val="18"/>
              <w:szCs w:val="18"/>
            </w:rPr>
          </w:pPr>
          <w:r w:rsidRPr="0021491B">
            <w:rPr>
              <w:sz w:val="18"/>
              <w:szCs w:val="18"/>
            </w:rPr>
            <w:t>seeking authentic cultural experiences that bolster and add value back into local communities, while actively avoiding over</w:t>
          </w:r>
          <w:r>
            <w:rPr>
              <w:sz w:val="18"/>
              <w:szCs w:val="18"/>
            </w:rPr>
            <w:t>-</w:t>
          </w:r>
          <w:r w:rsidRPr="0021491B">
            <w:rPr>
              <w:sz w:val="18"/>
              <w:szCs w:val="18"/>
            </w:rPr>
            <w:t>visited destinations</w:t>
          </w:r>
        </w:p>
        <w:p w14:paraId="6ED84304" w14:textId="77777777" w:rsidR="00E43BCB" w:rsidRPr="0021491B" w:rsidRDefault="00E43BCB" w:rsidP="009E3766">
          <w:pPr>
            <w:pStyle w:val="BulletList"/>
            <w:spacing w:before="120" w:after="120" w:line="280" w:lineRule="exact"/>
            <w:ind w:left="1276" w:right="624"/>
            <w:rPr>
              <w:sz w:val="18"/>
              <w:szCs w:val="18"/>
            </w:rPr>
          </w:pPr>
          <w:r w:rsidRPr="0021491B">
            <w:rPr>
              <w:sz w:val="18"/>
              <w:szCs w:val="18"/>
            </w:rPr>
            <w:t>making decisions informed by climate concerns, are mindful about how far they travel and how they get there, and are opting to travel closer to home and choosing public transport and renting bicycles once there to reduce their carbon footprint</w:t>
          </w:r>
          <w:r>
            <w:rPr>
              <w:sz w:val="18"/>
              <w:szCs w:val="18"/>
            </w:rPr>
            <w:t>.</w:t>
          </w:r>
        </w:p>
        <w:p w14:paraId="798FDCB9" w14:textId="77777777" w:rsidR="00E43BCB" w:rsidRPr="0021491B" w:rsidRDefault="00E43BCB" w:rsidP="009E3766">
          <w:pPr>
            <w:spacing w:before="120" w:after="120" w:line="280" w:lineRule="exact"/>
            <w:ind w:left="794" w:right="624"/>
            <w:rPr>
              <w:sz w:val="18"/>
              <w:szCs w:val="18"/>
            </w:rPr>
          </w:pPr>
          <w:r w:rsidRPr="0021491B">
            <w:rPr>
              <w:sz w:val="18"/>
              <w:szCs w:val="18"/>
            </w:rPr>
            <w:t>Based on its global survey, Booking.com found that:</w:t>
          </w:r>
        </w:p>
        <w:p w14:paraId="1F13912E" w14:textId="77777777" w:rsidR="00E43BCB" w:rsidRPr="0021491B" w:rsidRDefault="00E43BCB" w:rsidP="009E3766">
          <w:pPr>
            <w:pStyle w:val="BulletList"/>
            <w:spacing w:before="120" w:after="120" w:line="280" w:lineRule="exact"/>
            <w:ind w:left="1276" w:right="624"/>
            <w:rPr>
              <w:sz w:val="18"/>
              <w:szCs w:val="18"/>
            </w:rPr>
          </w:pPr>
          <w:r w:rsidRPr="0021491B">
            <w:rPr>
              <w:sz w:val="18"/>
              <w:szCs w:val="18"/>
            </w:rPr>
            <w:t>78% of travellers intend to stay in a sustainable property at least once in the coming year</w:t>
          </w:r>
        </w:p>
        <w:p w14:paraId="4CB561CF" w14:textId="673A995C" w:rsidR="00E43BCB" w:rsidRDefault="00E43BCB" w:rsidP="009E3766">
          <w:pPr>
            <w:pStyle w:val="BulletList"/>
            <w:spacing w:before="120" w:after="120" w:line="280" w:lineRule="exact"/>
            <w:ind w:left="1276" w:right="624"/>
            <w:rPr>
              <w:sz w:val="18"/>
              <w:szCs w:val="18"/>
            </w:rPr>
          </w:pPr>
          <w:r w:rsidRPr="0021491B">
            <w:rPr>
              <w:sz w:val="18"/>
              <w:szCs w:val="18"/>
            </w:rPr>
            <w:t>71% of travellers want to make an effort to travel more sustainably in the next year</w:t>
          </w:r>
        </w:p>
        <w:p w14:paraId="4E1A46B9" w14:textId="10579757" w:rsidR="00E43BCB" w:rsidRPr="0021491B" w:rsidRDefault="00E43BCB" w:rsidP="009E3766">
          <w:pPr>
            <w:pStyle w:val="BulletList"/>
            <w:spacing w:before="120" w:after="120" w:line="280" w:lineRule="exact"/>
            <w:ind w:left="1276" w:right="624"/>
            <w:rPr>
              <w:sz w:val="18"/>
              <w:szCs w:val="18"/>
            </w:rPr>
          </w:pPr>
          <w:r>
            <w:rPr>
              <w:sz w:val="18"/>
              <w:szCs w:val="18"/>
            </w:rPr>
            <w:t>46% of travellers have stayed in sustainable accommodation at least once over the past year.</w:t>
          </w:r>
        </w:p>
        <w:p w14:paraId="6231F987" w14:textId="77777777" w:rsidR="00B15427" w:rsidRDefault="00B15427">
          <w:pPr>
            <w:spacing w:before="0" w:after="160" w:line="259" w:lineRule="auto"/>
          </w:pPr>
          <w:r>
            <w:br w:type="page"/>
          </w:r>
        </w:p>
        <w:p w14:paraId="5F3C0992" w14:textId="0938C6DE" w:rsidR="00BD1310" w:rsidRDefault="00BD1310" w:rsidP="00427E30">
          <w:pPr>
            <w:spacing w:before="360"/>
          </w:pPr>
          <w:r>
            <w:t>As discussed in the ‘Opportunities for the Visitor Economy’ report, Technavio forecast in September 2020 that ecotourism would grow at 10</w:t>
          </w:r>
          <w:r w:rsidR="00F424A0">
            <w:t>%</w:t>
          </w:r>
          <w:r>
            <w:t xml:space="preserve"> per year through to 2023, </w:t>
          </w:r>
          <w:r w:rsidR="00F424A0">
            <w:t xml:space="preserve">a rate </w:t>
          </w:r>
          <w:r>
            <w:t>two-and-a-half times faster than</w:t>
          </w:r>
          <w:r w:rsidR="00F424A0">
            <w:t xml:space="preserve"> that of</w:t>
          </w:r>
          <w:r>
            <w:t xml:space="preserve"> the overall tourism market.</w:t>
          </w:r>
          <w:r>
            <w:rPr>
              <w:rStyle w:val="FootnoteReference"/>
            </w:rPr>
            <w:footnoteReference w:id="10"/>
          </w:r>
          <w:r>
            <w:t xml:space="preserve"> Fortunately, the 2021 Consumer Demand Project ranked Australia as the destination most associated with sustainable tourism experiences. With excellent assets like Tasmania’s Three Capes Walk or Overland Track and abundant destinations with </w:t>
          </w:r>
          <w:r w:rsidR="0094593D">
            <w:t xml:space="preserve">similar </w:t>
          </w:r>
          <w:r>
            <w:t>potential, that reputation can only strengthen.</w:t>
          </w:r>
          <w:r w:rsidRPr="008631B2">
            <w:rPr>
              <w:rStyle w:val="FootnoteReference"/>
            </w:rPr>
            <w:t xml:space="preserve"> </w:t>
          </w:r>
        </w:p>
        <w:p w14:paraId="1EEF3914" w14:textId="208EA092" w:rsidR="00BD1310" w:rsidRDefault="00BD1310" w:rsidP="00BD1310">
          <w:r>
            <w:t>Seeking out higher-yielding customers is another way</w:t>
          </w:r>
          <w:r w:rsidR="00534448">
            <w:t xml:space="preserve"> that</w:t>
          </w:r>
          <w:r>
            <w:t xml:space="preserve"> businesses can look to generate revenue</w:t>
          </w:r>
          <w:r w:rsidR="0094593D">
            <w:t xml:space="preserve"> more sustainably</w:t>
          </w:r>
          <w:r>
            <w:t>. Developing experiences that attract high</w:t>
          </w:r>
          <w:r w:rsidR="004915A6">
            <w:t>-</w:t>
          </w:r>
          <w:r>
            <w:t xml:space="preserve">value travellers may provide economic and employment benefits with a smaller environmental and social footprint. (See box: High-yielding travellers.)  </w:t>
          </w:r>
        </w:p>
        <w:p w14:paraId="71AE2430" w14:textId="0583C877" w:rsidR="00BD1310" w:rsidRDefault="00BD1310" w:rsidP="00BD1310"/>
        <w:p w14:paraId="40AF3588" w14:textId="51BF3BDC" w:rsidR="00BD1310" w:rsidRDefault="00BD1310" w:rsidP="00BD1310">
          <w:pPr>
            <w:rPr>
              <w:bCs/>
              <w:sz w:val="26"/>
              <w:szCs w:val="24"/>
            </w:rPr>
          </w:pPr>
        </w:p>
        <w:p w14:paraId="36B07580" w14:textId="77777777" w:rsidR="00E43BCB" w:rsidRPr="00551AAF" w:rsidRDefault="00E43BCB" w:rsidP="009E3766">
          <w:pPr>
            <w:pStyle w:val="Heading4"/>
            <w:ind w:left="794"/>
          </w:pPr>
          <w:r>
            <w:t xml:space="preserve">Box: </w:t>
          </w:r>
          <w:r w:rsidRPr="00551AAF">
            <w:t>High-yielding travellers</w:t>
          </w:r>
        </w:p>
        <w:p w14:paraId="2A988DC3" w14:textId="77777777" w:rsidR="00E43BCB" w:rsidRPr="00551AAF" w:rsidRDefault="00E43BCB" w:rsidP="00E43BCB">
          <w:pPr>
            <w:pStyle w:val="NormalWeb"/>
            <w:spacing w:before="120" w:beforeAutospacing="0" w:after="120" w:afterAutospacing="0" w:line="280" w:lineRule="exact"/>
            <w:ind w:left="794" w:right="737"/>
            <w:rPr>
              <w:rFonts w:ascii="Verdana" w:eastAsiaTheme="minorHAnsi" w:hAnsi="Verdana" w:cstheme="minorBidi"/>
              <w:color w:val="000000" w:themeColor="text1"/>
              <w:sz w:val="18"/>
              <w:szCs w:val="18"/>
              <w:lang w:eastAsia="en-US"/>
            </w:rPr>
          </w:pPr>
          <w:r w:rsidRPr="00551AAF">
            <w:rPr>
              <w:rFonts w:ascii="Verdana" w:eastAsiaTheme="minorHAnsi" w:hAnsi="Verdana" w:cstheme="minorBidi"/>
              <w:color w:val="000000" w:themeColor="text1"/>
              <w:sz w:val="18"/>
              <w:szCs w:val="18"/>
              <w:lang w:eastAsia="en-US"/>
            </w:rPr>
            <w:t xml:space="preserve">Using data from </w:t>
          </w:r>
          <w:r>
            <w:rPr>
              <w:rFonts w:ascii="Verdana" w:eastAsiaTheme="minorHAnsi" w:hAnsi="Verdana" w:cstheme="minorBidi"/>
              <w:color w:val="000000" w:themeColor="text1"/>
              <w:sz w:val="18"/>
              <w:szCs w:val="18"/>
              <w:lang w:eastAsia="en-US"/>
            </w:rPr>
            <w:t>TRA’s NVS</w:t>
          </w:r>
          <w:r w:rsidRPr="00551AAF">
            <w:rPr>
              <w:rFonts w:ascii="Verdana" w:eastAsiaTheme="minorHAnsi" w:hAnsi="Verdana" w:cstheme="minorBidi"/>
              <w:color w:val="000000" w:themeColor="text1"/>
              <w:sz w:val="18"/>
              <w:szCs w:val="18"/>
              <w:lang w:eastAsia="en-US"/>
            </w:rPr>
            <w:t>, it is possible to classify domestic travellers into 132</w:t>
          </w:r>
          <w:r>
            <w:rPr>
              <w:rFonts w:ascii="Verdana" w:eastAsiaTheme="minorHAnsi" w:hAnsi="Verdana" w:cstheme="minorBidi"/>
              <w:color w:val="000000" w:themeColor="text1"/>
              <w:sz w:val="18"/>
              <w:szCs w:val="18"/>
              <w:lang w:eastAsia="en-US"/>
            </w:rPr>
            <w:t> </w:t>
          </w:r>
          <w:r w:rsidRPr="00551AAF">
            <w:rPr>
              <w:rFonts w:ascii="Verdana" w:eastAsiaTheme="minorHAnsi" w:hAnsi="Verdana" w:cstheme="minorBidi"/>
              <w:color w:val="000000" w:themeColor="text1"/>
              <w:sz w:val="18"/>
              <w:szCs w:val="18"/>
              <w:lang w:eastAsia="en-US"/>
            </w:rPr>
            <w:t xml:space="preserve">categories. They can then be </w:t>
          </w:r>
          <w:r>
            <w:rPr>
              <w:rFonts w:ascii="Verdana" w:eastAsiaTheme="minorHAnsi" w:hAnsi="Verdana" w:cstheme="minorBidi"/>
              <w:color w:val="000000" w:themeColor="text1"/>
              <w:sz w:val="18"/>
              <w:szCs w:val="18"/>
              <w:lang w:eastAsia="en-US"/>
            </w:rPr>
            <w:t>banded</w:t>
          </w:r>
          <w:r w:rsidRPr="00551AAF">
            <w:rPr>
              <w:rFonts w:ascii="Verdana" w:eastAsiaTheme="minorHAnsi" w:hAnsi="Verdana" w:cstheme="minorBidi"/>
              <w:color w:val="000000" w:themeColor="text1"/>
              <w:sz w:val="18"/>
              <w:szCs w:val="18"/>
              <w:lang w:eastAsia="en-US"/>
            </w:rPr>
            <w:t xml:space="preserve"> into 4</w:t>
          </w:r>
          <w:r>
            <w:rPr>
              <w:rFonts w:ascii="Verdana" w:eastAsiaTheme="minorHAnsi" w:hAnsi="Verdana" w:cstheme="minorBidi"/>
              <w:color w:val="000000" w:themeColor="text1"/>
              <w:sz w:val="18"/>
              <w:szCs w:val="18"/>
              <w:lang w:eastAsia="en-US"/>
            </w:rPr>
            <w:t> groups</w:t>
          </w:r>
          <w:r w:rsidRPr="00551AAF">
            <w:rPr>
              <w:rFonts w:ascii="Verdana" w:eastAsiaTheme="minorHAnsi" w:hAnsi="Verdana" w:cstheme="minorBidi"/>
              <w:color w:val="000000" w:themeColor="text1"/>
              <w:sz w:val="18"/>
              <w:szCs w:val="18"/>
              <w:lang w:eastAsia="en-US"/>
            </w:rPr>
            <w:t xml:space="preserve"> according to how long they stay and how much they spend</w:t>
          </w:r>
          <w:r>
            <w:rPr>
              <w:rFonts w:ascii="Verdana" w:eastAsiaTheme="minorHAnsi" w:hAnsi="Verdana" w:cstheme="minorBidi"/>
              <w:color w:val="000000" w:themeColor="text1"/>
              <w:sz w:val="18"/>
              <w:szCs w:val="18"/>
              <w:lang w:eastAsia="en-US"/>
            </w:rPr>
            <w:t>.</w:t>
          </w:r>
        </w:p>
        <w:p w14:paraId="398338A6" w14:textId="77777777" w:rsidR="00E43BCB" w:rsidRPr="00551AAF" w:rsidRDefault="00E43BCB" w:rsidP="00E43BCB">
          <w:pPr>
            <w:spacing w:before="120" w:after="120" w:line="280" w:lineRule="exact"/>
            <w:ind w:left="794" w:right="737"/>
            <w:rPr>
              <w:sz w:val="18"/>
              <w:szCs w:val="18"/>
            </w:rPr>
          </w:pPr>
          <w:r w:rsidRPr="00551AAF">
            <w:rPr>
              <w:sz w:val="18"/>
              <w:szCs w:val="18"/>
            </w:rPr>
            <w:t>Shorter stay, greater spend (SHOGS) make up 25% of visitors.</w:t>
          </w:r>
          <w:r w:rsidRPr="00551AAF">
            <w:rPr>
              <w:rStyle w:val="Strong"/>
              <w:sz w:val="22"/>
              <w:szCs w:val="22"/>
            </w:rPr>
            <w:t xml:space="preserve"> </w:t>
          </w:r>
          <w:r w:rsidRPr="00551AAF">
            <w:rPr>
              <w:rStyle w:val="Strong"/>
              <w:sz w:val="24"/>
              <w:szCs w:val="24"/>
            </w:rPr>
            <w:t>SHOGS make short but expensive trips and may therefore be more profitable visitors.</w:t>
          </w:r>
          <w:r w:rsidRPr="00551AAF">
            <w:rPr>
              <w:sz w:val="18"/>
              <w:szCs w:val="18"/>
            </w:rPr>
            <w:t xml:space="preserve"> An example of these travellers are young, high-income couples. They spend about $950 each on a 3-day trip, or about $315 per day. One in </w:t>
          </w:r>
          <w:r>
            <w:rPr>
              <w:sz w:val="18"/>
              <w:szCs w:val="18"/>
            </w:rPr>
            <w:t>5</w:t>
          </w:r>
          <w:r w:rsidRPr="00551AAF">
            <w:rPr>
              <w:sz w:val="18"/>
              <w:szCs w:val="18"/>
            </w:rPr>
            <w:t xml:space="preserve"> flies to their destination, and over 60% stay in commercial accommodation. Once there, they are also more likely to visit local attractions. Markets and wineries are popular experiences.</w:t>
          </w:r>
        </w:p>
        <w:p w14:paraId="7A2104BA" w14:textId="77777777" w:rsidR="00E43BCB" w:rsidRPr="00551AAF" w:rsidRDefault="00E43BCB" w:rsidP="00E43BCB">
          <w:pPr>
            <w:spacing w:before="120" w:after="120" w:line="280" w:lineRule="exact"/>
            <w:ind w:left="794" w:right="737"/>
            <w:rPr>
              <w:sz w:val="18"/>
              <w:szCs w:val="18"/>
            </w:rPr>
          </w:pPr>
          <w:r w:rsidRPr="00551AAF">
            <w:rPr>
              <w:sz w:val="18"/>
              <w:szCs w:val="18"/>
            </w:rPr>
            <w:t xml:space="preserve">At the other end of the scale, </w:t>
          </w:r>
          <w:r>
            <w:rPr>
              <w:sz w:val="18"/>
              <w:szCs w:val="18"/>
            </w:rPr>
            <w:t>longer stay/lower spend (</w:t>
          </w:r>
          <w:r w:rsidRPr="00551AAF">
            <w:rPr>
              <w:sz w:val="18"/>
              <w:szCs w:val="18"/>
            </w:rPr>
            <w:t>LOLS</w:t>
          </w:r>
          <w:r>
            <w:rPr>
              <w:sz w:val="18"/>
              <w:szCs w:val="18"/>
            </w:rPr>
            <w:t>) make up 15% of visitors, and</w:t>
          </w:r>
          <w:r w:rsidRPr="00551AAF">
            <w:rPr>
              <w:sz w:val="18"/>
              <w:szCs w:val="18"/>
            </w:rPr>
            <w:t xml:space="preserve"> make longer trips but spend less. For example, a retiree on a low income</w:t>
          </w:r>
          <w:r>
            <w:rPr>
              <w:sz w:val="18"/>
              <w:szCs w:val="18"/>
            </w:rPr>
            <w:t xml:space="preserve"> who is</w:t>
          </w:r>
          <w:r w:rsidRPr="00551AAF">
            <w:rPr>
              <w:sz w:val="18"/>
              <w:szCs w:val="18"/>
            </w:rPr>
            <w:t xml:space="preserve"> visiting grandchildren will spend about $90 per day. Only one in </w:t>
          </w:r>
          <w:r>
            <w:rPr>
              <w:sz w:val="18"/>
              <w:szCs w:val="18"/>
            </w:rPr>
            <w:t>10</w:t>
          </w:r>
          <w:r w:rsidRPr="00551AAF">
            <w:rPr>
              <w:sz w:val="18"/>
              <w:szCs w:val="18"/>
            </w:rPr>
            <w:t xml:space="preserve"> will fly, and just 25% will stay in commercial accommodation. They are also less likely to visit local attractions.</w:t>
          </w:r>
        </w:p>
        <w:p w14:paraId="5FBF5E43" w14:textId="77777777" w:rsidR="00E43BCB" w:rsidRDefault="00E43BCB" w:rsidP="00E43BCB">
          <w:pPr>
            <w:spacing w:before="120" w:after="120" w:line="280" w:lineRule="exact"/>
            <w:ind w:left="794" w:right="737"/>
            <w:rPr>
              <w:sz w:val="18"/>
              <w:szCs w:val="18"/>
            </w:rPr>
          </w:pPr>
          <w:r w:rsidRPr="00551AAF">
            <w:rPr>
              <w:sz w:val="18"/>
              <w:szCs w:val="18"/>
            </w:rPr>
            <w:t xml:space="preserve">The other two categories – </w:t>
          </w:r>
          <w:r>
            <w:rPr>
              <w:sz w:val="18"/>
              <w:szCs w:val="18"/>
            </w:rPr>
            <w:t>shorter stay, lower spend (</w:t>
          </w:r>
          <w:r w:rsidRPr="00551AAF">
            <w:rPr>
              <w:sz w:val="18"/>
              <w:szCs w:val="18"/>
            </w:rPr>
            <w:t>SHOLS</w:t>
          </w:r>
          <w:r>
            <w:rPr>
              <w:sz w:val="18"/>
              <w:szCs w:val="18"/>
            </w:rPr>
            <w:t xml:space="preserve">, 34% of visitors) </w:t>
          </w:r>
          <w:r w:rsidRPr="00551AAF">
            <w:rPr>
              <w:sz w:val="18"/>
              <w:szCs w:val="18"/>
            </w:rPr>
            <w:t xml:space="preserve">and </w:t>
          </w:r>
          <w:r>
            <w:rPr>
              <w:sz w:val="18"/>
              <w:szCs w:val="18"/>
            </w:rPr>
            <w:t>longer stay, greater spend (</w:t>
          </w:r>
          <w:r w:rsidRPr="00551AAF">
            <w:rPr>
              <w:sz w:val="18"/>
              <w:szCs w:val="18"/>
            </w:rPr>
            <w:t>LOGS</w:t>
          </w:r>
          <w:r>
            <w:rPr>
              <w:sz w:val="18"/>
              <w:szCs w:val="18"/>
            </w:rPr>
            <w:t>, 27% of visitors)</w:t>
          </w:r>
          <w:r w:rsidRPr="00551AAF">
            <w:rPr>
              <w:sz w:val="18"/>
              <w:szCs w:val="18"/>
            </w:rPr>
            <w:t xml:space="preserve"> – fall somewhere in between</w:t>
          </w:r>
          <w:r>
            <w:rPr>
              <w:sz w:val="18"/>
              <w:szCs w:val="18"/>
            </w:rPr>
            <w:t xml:space="preserve"> (</w:t>
          </w:r>
          <w:r w:rsidRPr="00D57F7E">
            <w:rPr>
              <w:sz w:val="18"/>
              <w:szCs w:val="18"/>
            </w:rPr>
            <w:t xml:space="preserve">see </w:t>
          </w:r>
          <w:r>
            <w:rPr>
              <w:sz w:val="18"/>
              <w:szCs w:val="18"/>
            </w:rPr>
            <w:t>Figure 16 in box below</w:t>
          </w:r>
          <w:r w:rsidRPr="00D57F7E">
            <w:rPr>
              <w:sz w:val="18"/>
              <w:szCs w:val="18"/>
            </w:rPr>
            <w:t>).</w:t>
          </w:r>
          <w:r w:rsidRPr="00551AAF">
            <w:rPr>
              <w:sz w:val="18"/>
              <w:szCs w:val="18"/>
            </w:rPr>
            <w:t xml:space="preserve"> Many SHOLS are visiting friends or relatives, while LOGS are often families on holiday.</w:t>
          </w:r>
        </w:p>
        <w:p w14:paraId="7712C7E3" w14:textId="268B487A" w:rsidR="00E43BCB" w:rsidRDefault="00E43BCB">
          <w:pPr>
            <w:spacing w:before="0" w:after="160" w:line="259" w:lineRule="auto"/>
          </w:pPr>
          <w:r>
            <w:br w:type="page"/>
          </w:r>
        </w:p>
        <w:p w14:paraId="4CBCB85D" w14:textId="20ED28C8" w:rsidR="00E43BCB" w:rsidRDefault="00E43BCB" w:rsidP="00E43BCB">
          <w:pPr>
            <w:spacing w:before="0" w:after="0"/>
          </w:pPr>
          <w:r>
            <w:rPr>
              <w:bCs/>
              <w:noProof/>
              <w:sz w:val="26"/>
              <w:szCs w:val="24"/>
            </w:rPr>
            <mc:AlternateContent>
              <mc:Choice Requires="wps">
                <w:drawing>
                  <wp:anchor distT="0" distB="0" distL="114300" distR="114300" simplePos="0" relativeHeight="251831296" behindDoc="0" locked="0" layoutInCell="1" allowOverlap="1" wp14:anchorId="4983D64C" wp14:editId="454249B6">
                    <wp:simplePos x="0" y="0"/>
                    <wp:positionH relativeFrom="margin">
                      <wp:align>left</wp:align>
                    </wp:positionH>
                    <wp:positionV relativeFrom="paragraph">
                      <wp:posOffset>10795</wp:posOffset>
                    </wp:positionV>
                    <wp:extent cx="6229350" cy="29527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6229350" cy="295275"/>
                            </a:xfrm>
                            <a:prstGeom prst="rect">
                              <a:avLst/>
                            </a:prstGeom>
                            <a:solidFill>
                              <a:schemeClr val="lt1"/>
                            </a:solidFill>
                            <a:ln w="6350">
                              <a:noFill/>
                            </a:ln>
                          </wps:spPr>
                          <wps:txbx>
                            <w:txbxContent>
                              <w:p w14:paraId="1CB3681D" w14:textId="199A221D" w:rsidR="00B146B2" w:rsidRPr="0029491D" w:rsidRDefault="00B146B2" w:rsidP="008138EC">
                                <w:pPr>
                                  <w:spacing w:before="0"/>
                                  <w:rPr>
                                    <w:color w:val="2E1A47" w:themeColor="text2"/>
                                    <w:sz w:val="22"/>
                                    <w:szCs w:val="22"/>
                                  </w:rPr>
                                </w:pPr>
                                <w:r w:rsidRPr="0029491D">
                                  <w:rPr>
                                    <w:color w:val="2E1A47" w:themeColor="text2"/>
                                    <w:sz w:val="22"/>
                                    <w:szCs w:val="22"/>
                                  </w:rPr>
                                  <w:t>Figure 16: Yield</w:t>
                                </w:r>
                                <w:r>
                                  <w:rPr>
                                    <w:color w:val="2E1A47" w:themeColor="text2"/>
                                    <w:sz w:val="22"/>
                                    <w:szCs w:val="22"/>
                                  </w:rPr>
                                  <w:t>,</w:t>
                                </w:r>
                                <w:r w:rsidRPr="0029491D">
                                  <w:rPr>
                                    <w:color w:val="2E1A47" w:themeColor="text2"/>
                                    <w:sz w:val="22"/>
                                    <w:szCs w:val="22"/>
                                  </w:rPr>
                                  <w:t xml:space="preserve"> by traveller category based on pre-pandemic trip characteristics</w:t>
                                </w:r>
                                <w:r>
                                  <w:rPr>
                                    <w:color w:val="2E1A47" w:themeColor="text2"/>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3D64C" id="Text Box 45" o:spid="_x0000_s1041" type="#_x0000_t202" style="position:absolute;margin-left:0;margin-top:.85pt;width:490.5pt;height:23.25pt;z-index:251831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" fillcolor="white [3201]" stroked="f" strokeweight=".5pt">
                    <v:textbox inset="0,0,0,0">
                      <w:txbxContent>
                        <w:p w14:paraId="1CB3681D" w14:textId="199A221D" w:rsidR="00B146B2" w:rsidRPr="0029491D" w:rsidRDefault="00B146B2" w:rsidP="008138EC">
                          <w:pPr>
                            <w:spacing w:before="0"/>
                            <w:rPr>
                              <w:color w:val="2E1A47" w:themeColor="text2"/>
                              <w:sz w:val="22"/>
                              <w:szCs w:val="22"/>
                            </w:rPr>
                          </w:pPr>
                          <w:r w:rsidRPr="0029491D">
                            <w:rPr>
                              <w:color w:val="2E1A47" w:themeColor="text2"/>
                              <w:sz w:val="22"/>
                              <w:szCs w:val="22"/>
                            </w:rPr>
                            <w:t>Figure 16: Yield</w:t>
                          </w:r>
                          <w:r>
                            <w:rPr>
                              <w:color w:val="2E1A47" w:themeColor="text2"/>
                              <w:sz w:val="22"/>
                              <w:szCs w:val="22"/>
                            </w:rPr>
                            <w:t>,</w:t>
                          </w:r>
                          <w:r w:rsidRPr="0029491D">
                            <w:rPr>
                              <w:color w:val="2E1A47" w:themeColor="text2"/>
                              <w:sz w:val="22"/>
                              <w:szCs w:val="22"/>
                            </w:rPr>
                            <w:t xml:space="preserve"> by traveller category based on pre-pandemic trip characteristics</w:t>
                          </w:r>
                          <w:r>
                            <w:rPr>
                              <w:color w:val="2E1A47" w:themeColor="text2"/>
                              <w:sz w:val="22"/>
                              <w:szCs w:val="22"/>
                            </w:rPr>
                            <w:t>*</w:t>
                          </w:r>
                        </w:p>
                      </w:txbxContent>
                    </v:textbox>
                    <w10:wrap anchorx="margin"/>
                  </v:shape>
                </w:pict>
              </mc:Fallback>
            </mc:AlternateContent>
          </w:r>
        </w:p>
        <w:p w14:paraId="422B31FA" w14:textId="7CCB5E4A" w:rsidR="00E43BCB" w:rsidRDefault="00E43BCB" w:rsidP="00E43BCB">
          <w:pPr>
            <w:spacing w:before="0" w:after="0"/>
          </w:pPr>
        </w:p>
        <w:p w14:paraId="457D2333" w14:textId="77777777" w:rsidR="00E43BCB" w:rsidRDefault="00E43BCB" w:rsidP="00E43BCB">
          <w:pPr>
            <w:spacing w:before="0" w:after="0"/>
          </w:pPr>
        </w:p>
        <w:p w14:paraId="0FDD9E4E" w14:textId="77777777" w:rsidR="00E43BCB" w:rsidRDefault="00E43BCB" w:rsidP="00E43BCB">
          <w:pPr>
            <w:spacing w:before="0" w:after="0"/>
          </w:pPr>
        </w:p>
        <w:p w14:paraId="440EE1A4" w14:textId="77777777" w:rsidR="00E43BCB" w:rsidRDefault="00E43BCB" w:rsidP="00E43BCB">
          <w:pPr>
            <w:spacing w:before="0" w:after="0"/>
          </w:pPr>
        </w:p>
        <w:p w14:paraId="09F3191D" w14:textId="77777777" w:rsidR="00E43BCB" w:rsidRDefault="00E43BCB" w:rsidP="00E43BCB">
          <w:pPr>
            <w:spacing w:before="0" w:after="0"/>
          </w:pPr>
        </w:p>
        <w:p w14:paraId="4E171A6B" w14:textId="77777777" w:rsidR="00E43BCB" w:rsidRDefault="00E43BCB" w:rsidP="00E43BCB">
          <w:pPr>
            <w:spacing w:before="0" w:after="0"/>
          </w:pPr>
        </w:p>
        <w:p w14:paraId="675D4D24" w14:textId="77777777" w:rsidR="00E43BCB" w:rsidRDefault="00E43BCB" w:rsidP="00E43BCB">
          <w:pPr>
            <w:spacing w:before="0" w:after="0"/>
          </w:pPr>
        </w:p>
        <w:p w14:paraId="016548DB" w14:textId="77777777" w:rsidR="00E43BCB" w:rsidRDefault="00E43BCB" w:rsidP="00E43BCB">
          <w:pPr>
            <w:spacing w:before="0" w:after="0"/>
          </w:pPr>
        </w:p>
        <w:p w14:paraId="25A8A6D1" w14:textId="77777777" w:rsidR="00E43BCB" w:rsidRDefault="00E43BCB" w:rsidP="00E43BCB">
          <w:pPr>
            <w:spacing w:before="0" w:after="0"/>
          </w:pPr>
        </w:p>
        <w:p w14:paraId="52146EAD" w14:textId="77777777" w:rsidR="00E43BCB" w:rsidRDefault="00E43BCB" w:rsidP="00E43BCB">
          <w:pPr>
            <w:spacing w:before="0" w:after="0"/>
          </w:pPr>
        </w:p>
        <w:p w14:paraId="74E6C484" w14:textId="77777777" w:rsidR="00E43BCB" w:rsidRDefault="00E43BCB" w:rsidP="00E43BCB">
          <w:pPr>
            <w:spacing w:before="0" w:after="0"/>
          </w:pPr>
        </w:p>
        <w:p w14:paraId="540DE00E" w14:textId="77777777" w:rsidR="00E43BCB" w:rsidRDefault="00E43BCB" w:rsidP="00E43BCB">
          <w:pPr>
            <w:spacing w:before="0" w:after="0"/>
          </w:pPr>
        </w:p>
        <w:p w14:paraId="33596CB4" w14:textId="77777777" w:rsidR="00E43BCB" w:rsidRDefault="00E43BCB" w:rsidP="00E43BCB">
          <w:pPr>
            <w:spacing w:before="0" w:after="0"/>
          </w:pPr>
        </w:p>
        <w:p w14:paraId="08ABF349" w14:textId="77777777" w:rsidR="00E43BCB" w:rsidRDefault="00E43BCB" w:rsidP="00E43BCB">
          <w:pPr>
            <w:spacing w:before="0" w:after="0"/>
          </w:pPr>
        </w:p>
        <w:p w14:paraId="47A0EC58" w14:textId="77777777" w:rsidR="00E43BCB" w:rsidRDefault="00E43BCB" w:rsidP="00E43BCB">
          <w:pPr>
            <w:spacing w:before="0" w:after="0"/>
          </w:pPr>
        </w:p>
        <w:p w14:paraId="0397C7FC" w14:textId="77777777" w:rsidR="00E43BCB" w:rsidRDefault="00E43BCB" w:rsidP="00E43BCB">
          <w:pPr>
            <w:spacing w:before="0" w:after="0"/>
          </w:pPr>
        </w:p>
        <w:p w14:paraId="70DFC41E" w14:textId="77777777" w:rsidR="00E43BCB" w:rsidRDefault="00E43BCB" w:rsidP="00E43BCB">
          <w:pPr>
            <w:spacing w:before="0" w:after="0"/>
          </w:pPr>
        </w:p>
        <w:p w14:paraId="5373AE3B" w14:textId="77777777" w:rsidR="00E43BCB" w:rsidRDefault="00E43BCB" w:rsidP="00E43BCB">
          <w:pPr>
            <w:spacing w:before="0" w:after="0"/>
          </w:pPr>
        </w:p>
        <w:p w14:paraId="17EFE6AD" w14:textId="77777777" w:rsidR="00E43BCB" w:rsidRDefault="00E43BCB" w:rsidP="00E43BCB">
          <w:pPr>
            <w:spacing w:before="0" w:after="0"/>
          </w:pPr>
        </w:p>
        <w:p w14:paraId="69713B22" w14:textId="77777777" w:rsidR="00E43BCB" w:rsidRDefault="00E43BCB" w:rsidP="00E43BCB">
          <w:pPr>
            <w:spacing w:before="0" w:after="0"/>
          </w:pPr>
        </w:p>
        <w:p w14:paraId="37F681B6" w14:textId="77777777" w:rsidR="00E43BCB" w:rsidRDefault="00E43BCB" w:rsidP="00E43BCB">
          <w:pPr>
            <w:spacing w:before="0" w:after="0"/>
          </w:pPr>
        </w:p>
        <w:p w14:paraId="06DAEE59" w14:textId="77777777" w:rsidR="00E43BCB" w:rsidRDefault="00E43BCB" w:rsidP="00E43BCB">
          <w:pPr>
            <w:spacing w:before="0" w:after="0"/>
          </w:pPr>
        </w:p>
        <w:p w14:paraId="17F68DE6" w14:textId="77777777" w:rsidR="00E43BCB" w:rsidRDefault="00E43BCB" w:rsidP="00E43BCB">
          <w:pPr>
            <w:spacing w:before="0" w:after="0"/>
          </w:pPr>
        </w:p>
        <w:p w14:paraId="68AE618E" w14:textId="77777777" w:rsidR="00E43BCB" w:rsidRDefault="00E43BCB" w:rsidP="00E43BCB">
          <w:pPr>
            <w:spacing w:before="0" w:after="0"/>
          </w:pPr>
        </w:p>
        <w:p w14:paraId="04E17CDA" w14:textId="77777777" w:rsidR="00E43BCB" w:rsidRDefault="00E43BCB" w:rsidP="00E43BCB">
          <w:pPr>
            <w:spacing w:before="0" w:after="0"/>
          </w:pPr>
        </w:p>
        <w:p w14:paraId="597F58C3" w14:textId="77777777" w:rsidR="00E43BCB" w:rsidRDefault="00E43BCB" w:rsidP="00E43BCB">
          <w:pPr>
            <w:spacing w:before="0" w:after="0"/>
          </w:pPr>
        </w:p>
        <w:p w14:paraId="057D1912" w14:textId="77777777" w:rsidR="00E43BCB" w:rsidRDefault="00E43BCB" w:rsidP="00E43BCB">
          <w:pPr>
            <w:spacing w:before="0" w:after="0"/>
          </w:pPr>
        </w:p>
        <w:p w14:paraId="2B376E0E" w14:textId="77777777" w:rsidR="00E43BCB" w:rsidRDefault="00E43BCB" w:rsidP="00E43BCB">
          <w:pPr>
            <w:spacing w:before="0" w:after="0"/>
          </w:pPr>
        </w:p>
        <w:p w14:paraId="0885D081" w14:textId="77777777" w:rsidR="00E43BCB" w:rsidRDefault="00E43BCB" w:rsidP="00E43BCB">
          <w:pPr>
            <w:spacing w:before="0" w:after="0"/>
          </w:pPr>
        </w:p>
        <w:p w14:paraId="109C87EF" w14:textId="77777777" w:rsidR="00E43BCB" w:rsidRDefault="00E43BCB" w:rsidP="00E43BCB">
          <w:pPr>
            <w:spacing w:before="0" w:after="0"/>
          </w:pPr>
        </w:p>
        <w:p w14:paraId="60178F99" w14:textId="77777777" w:rsidR="00E43BCB" w:rsidRDefault="00E43BCB" w:rsidP="00E43BCB">
          <w:pPr>
            <w:spacing w:before="0" w:after="0"/>
          </w:pPr>
        </w:p>
        <w:p w14:paraId="02ECCE22" w14:textId="77777777" w:rsidR="00E43BCB" w:rsidRDefault="00E43BCB" w:rsidP="00E43BCB">
          <w:pPr>
            <w:spacing w:before="0" w:after="0"/>
          </w:pPr>
        </w:p>
        <w:p w14:paraId="51AC90E5" w14:textId="77777777" w:rsidR="00E43BCB" w:rsidRDefault="00E43BCB" w:rsidP="00E43BCB">
          <w:pPr>
            <w:spacing w:before="0" w:after="0"/>
          </w:pPr>
        </w:p>
        <w:p w14:paraId="643F70EA" w14:textId="77777777" w:rsidR="00E43BCB" w:rsidRDefault="00E43BCB" w:rsidP="00E43BCB">
          <w:pPr>
            <w:spacing w:before="0" w:after="0"/>
          </w:pPr>
        </w:p>
        <w:p w14:paraId="70DBBC0A" w14:textId="77777777" w:rsidR="00E43BCB" w:rsidRDefault="00E43BCB" w:rsidP="00E43BCB">
          <w:pPr>
            <w:spacing w:before="0" w:after="0"/>
          </w:pPr>
        </w:p>
        <w:p w14:paraId="38C9AF37" w14:textId="77777777" w:rsidR="00E43BCB" w:rsidRDefault="00E43BCB" w:rsidP="00E43BCB">
          <w:pPr>
            <w:spacing w:before="0" w:after="0"/>
          </w:pPr>
        </w:p>
        <w:p w14:paraId="2C5393E5" w14:textId="77777777" w:rsidR="00E43BCB" w:rsidRDefault="00E43BCB" w:rsidP="00E43BCB">
          <w:pPr>
            <w:spacing w:before="0" w:after="0"/>
          </w:pPr>
        </w:p>
        <w:p w14:paraId="1D5D7389" w14:textId="77777777" w:rsidR="00E43BCB" w:rsidRDefault="00E43BCB" w:rsidP="00E43BCB">
          <w:pPr>
            <w:spacing w:before="0" w:after="0"/>
          </w:pPr>
        </w:p>
        <w:p w14:paraId="25262337" w14:textId="77777777" w:rsidR="00E43BCB" w:rsidRDefault="00E43BCB" w:rsidP="00E43BCB">
          <w:pPr>
            <w:spacing w:before="0" w:after="0"/>
            <w:jc w:val="center"/>
          </w:pPr>
          <w:r>
            <w:rPr>
              <w:noProof/>
            </w:rPr>
            <w:drawing>
              <wp:anchor distT="0" distB="0" distL="114300" distR="114300" simplePos="0" relativeHeight="251845632" behindDoc="0" locked="0" layoutInCell="1" allowOverlap="1" wp14:anchorId="3AC3580C" wp14:editId="7285B258">
                <wp:simplePos x="0" y="0"/>
                <wp:positionH relativeFrom="column">
                  <wp:posOffset>-1905</wp:posOffset>
                </wp:positionH>
                <wp:positionV relativeFrom="paragraph">
                  <wp:posOffset>-7066280</wp:posOffset>
                </wp:positionV>
                <wp:extent cx="6619875" cy="7219950"/>
                <wp:effectExtent l="0" t="0" r="9525" b="0"/>
                <wp:wrapNone/>
                <wp:docPr id="136" name="Picture 136" descr="Figure 16 shows a scatter plot where each dot represents a traveller category. Each dot is plotted according to that category's average trip length and average trip spend. &#10;Dots that are above the 45degree line are higher yielding traveller categories relative to their length of stay. "/>
                <wp:cNvGraphicFramePr/>
                <a:graphic xmlns:a="http://schemas.openxmlformats.org/drawingml/2006/main">
                  <a:graphicData uri="http://schemas.openxmlformats.org/drawingml/2006/picture">
                    <pic:pic xmlns:pic="http://schemas.openxmlformats.org/drawingml/2006/picture">
                      <pic:nvPicPr>
                        <pic:cNvPr id="136" name="Picture 136" descr="Figure 16 shows a scatter plot where each dot represents a traveller category. Each dot is plotted according to that category's average trip length and average trip spend. &#10;Dots that are above the 45degree line are higher yielding traveller categories relative to their length of stay. "/>
                        <pic:cNvPicPr/>
                      </pic:nvPicPr>
                      <pic:blipFill rotWithShape="1">
                        <a:blip r:embed="rId54">
                          <a:extLst>
                            <a:ext uri="{28A0092B-C50C-407E-A947-70E740481C1C}">
                              <a14:useLocalDpi xmlns:a14="http://schemas.microsoft.com/office/drawing/2010/main" val="0"/>
                            </a:ext>
                          </a:extLst>
                        </a:blip>
                        <a:srcRect b="923"/>
                        <a:stretch/>
                      </pic:blipFill>
                      <pic:spPr bwMode="auto">
                        <a:xfrm>
                          <a:off x="0" y="0"/>
                          <a:ext cx="6619875" cy="721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21C3A8" w14:textId="77777777" w:rsidR="00E43BCB" w:rsidRDefault="00E43BCB" w:rsidP="00E43BCB">
          <w:pPr>
            <w:spacing w:before="0" w:after="0" w:line="240" w:lineRule="auto"/>
            <w:ind w:left="170"/>
            <w:rPr>
              <w:color w:val="595959" w:themeColor="text1" w:themeTint="A6"/>
              <w:sz w:val="18"/>
              <w:szCs w:val="18"/>
            </w:rPr>
          </w:pPr>
          <w:r>
            <w:rPr>
              <w:color w:val="595959" w:themeColor="text1" w:themeTint="A6"/>
              <w:sz w:val="18"/>
              <w:szCs w:val="18"/>
            </w:rPr>
            <w:t xml:space="preserve">* Dots above the diagonal line represent higher yielding traveller categories. They have a higher spend relative to the average for their length of stay. Dots that are furthest above the diagonal are the highest yielding. The size of the dot represents the number of trips taken annually by that traveller category. </w:t>
          </w:r>
        </w:p>
        <w:p w14:paraId="015BD33C" w14:textId="77777777" w:rsidR="00E43BCB" w:rsidRPr="00534448" w:rsidRDefault="00E43BCB" w:rsidP="00E43BCB">
          <w:pPr>
            <w:spacing w:before="0" w:after="0"/>
            <w:ind w:left="170"/>
            <w:rPr>
              <w:color w:val="595959" w:themeColor="text1" w:themeTint="A6"/>
              <w:sz w:val="18"/>
              <w:szCs w:val="18"/>
            </w:rPr>
          </w:pPr>
          <w:r>
            <w:rPr>
              <w:color w:val="595959" w:themeColor="text1" w:themeTint="A6"/>
              <w:sz w:val="18"/>
              <w:szCs w:val="18"/>
            </w:rPr>
            <w:t>S</w:t>
          </w:r>
          <w:r w:rsidRPr="00534448">
            <w:rPr>
              <w:color w:val="595959" w:themeColor="text1" w:themeTint="A6"/>
              <w:sz w:val="18"/>
              <w:szCs w:val="18"/>
            </w:rPr>
            <w:t>ource: Tourism Research Australia</w:t>
          </w:r>
        </w:p>
        <w:p w14:paraId="2259ACF3" w14:textId="07889CA7" w:rsidR="00BD1310" w:rsidRDefault="00BD1310" w:rsidP="00BD1310">
          <w:pPr>
            <w:rPr>
              <w:bCs/>
              <w:sz w:val="26"/>
              <w:szCs w:val="24"/>
            </w:rPr>
          </w:pPr>
        </w:p>
        <w:p w14:paraId="654CB40D" w14:textId="42492CE2" w:rsidR="00BD1310" w:rsidRDefault="00BD1310" w:rsidP="00BD1310">
          <w:pPr>
            <w:rPr>
              <w:bCs/>
              <w:sz w:val="26"/>
              <w:szCs w:val="24"/>
            </w:rPr>
          </w:pPr>
        </w:p>
        <w:p w14:paraId="33ADFC65" w14:textId="246E81F2" w:rsidR="0009491B" w:rsidRDefault="0009491B" w:rsidP="0009491B">
          <w:pPr>
            <w:pStyle w:val="Heading3"/>
          </w:pPr>
          <w:bookmarkStart w:id="63" w:name="_Toc106097684"/>
          <w:r>
            <w:t>International outlook</w:t>
          </w:r>
          <w:bookmarkEnd w:id="63"/>
        </w:p>
        <w:p w14:paraId="14BA4D48" w14:textId="670F319C" w:rsidR="00A475B2" w:rsidRDefault="00A475B2" w:rsidP="00EB42EA">
          <w:r>
            <w:t xml:space="preserve">International tourism is </w:t>
          </w:r>
          <w:r w:rsidR="0009491B">
            <w:t xml:space="preserve">expected </w:t>
          </w:r>
          <w:r>
            <w:t xml:space="preserve">to see </w:t>
          </w:r>
          <w:r w:rsidR="0009491B">
            <w:t>rapid growth initially off a low base</w:t>
          </w:r>
          <w:r>
            <w:t xml:space="preserve">, with </w:t>
          </w:r>
          <w:r w:rsidR="00223909">
            <w:t xml:space="preserve">good </w:t>
          </w:r>
          <w:r w:rsidR="0009491B">
            <w:t>tailwinds</w:t>
          </w:r>
          <w:r>
            <w:t xml:space="preserve"> </w:t>
          </w:r>
          <w:r w:rsidR="0009491B">
            <w:t>support</w:t>
          </w:r>
          <w:r>
            <w:t xml:space="preserve">ing </w:t>
          </w:r>
          <w:r w:rsidR="0009491B">
            <w:t>demand</w:t>
          </w:r>
          <w:r>
            <w:t xml:space="preserve"> growth.</w:t>
          </w:r>
          <w:r w:rsidR="00223909">
            <w:rPr>
              <w:rStyle w:val="FootnoteReference"/>
            </w:rPr>
            <w:footnoteReference w:id="11"/>
          </w:r>
          <w:r>
            <w:t xml:space="preserve"> </w:t>
          </w:r>
          <w:r w:rsidR="0009491B">
            <w:t>Australia’s status as an attractive travel destination remains intact given</w:t>
          </w:r>
          <w:r w:rsidR="00DF0E35">
            <w:t xml:space="preserve"> Australia has benefited from </w:t>
          </w:r>
          <w:r w:rsidR="0009491B">
            <w:t xml:space="preserve">effective handling of </w:t>
          </w:r>
          <w:r w:rsidR="00DF0E35">
            <w:t xml:space="preserve">the </w:t>
          </w:r>
          <w:r w:rsidR="0009491B">
            <w:t xml:space="preserve">pandemic, </w:t>
          </w:r>
          <w:r w:rsidR="00DF0E35">
            <w:t xml:space="preserve">and now boasts </w:t>
          </w:r>
          <w:r w:rsidR="0009491B">
            <w:t>low quarantine requirements</w:t>
          </w:r>
          <w:r w:rsidR="00DF0E35">
            <w:t xml:space="preserve">. This is in addition to Australia’s long-held status as a </w:t>
          </w:r>
          <w:r w:rsidR="0009491B">
            <w:t>clean, welcoming, and aspirational destination</w:t>
          </w:r>
          <w:r w:rsidR="00DF0E35">
            <w:t>. Of course, Australia’s major tourist icons also remain intact, and marketing to revive global enthusiasm to experience these attractions is in place</w:t>
          </w:r>
          <w:r w:rsidR="0009491B">
            <w:t>.</w:t>
          </w:r>
          <w:r w:rsidR="00CC55D9">
            <w:t xml:space="preserve"> </w:t>
          </w:r>
        </w:p>
        <w:p w14:paraId="48326314" w14:textId="4C9D2192" w:rsidR="0009491B" w:rsidRDefault="00223909" w:rsidP="00EB42EA">
          <w:r>
            <w:t xml:space="preserve">With Australia’s border now open to all vaccinated arrivals and support in place to encourage arrivals, the outlook for international tourism is much more positive than it has been at any time over the past 2 years. </w:t>
          </w:r>
          <w:r w:rsidR="00A475B2">
            <w:t>Nevertheless, a full recovery in international tourism is expected to take some time. S</w:t>
          </w:r>
          <w:r w:rsidR="0009491B">
            <w:t>ome factors that may weigh</w:t>
          </w:r>
          <w:r w:rsidR="00A475B2">
            <w:t xml:space="preserve"> in the near</w:t>
          </w:r>
          <w:r w:rsidR="0078481D">
            <w:t xml:space="preserve"> </w:t>
          </w:r>
          <w:r w:rsidR="00A475B2">
            <w:t>term include</w:t>
          </w:r>
          <w:r w:rsidR="0009491B">
            <w:t>:</w:t>
          </w:r>
        </w:p>
        <w:p w14:paraId="401D5CBB" w14:textId="536CD481" w:rsidR="0009491B" w:rsidRDefault="00DF0E35" w:rsidP="00B15427">
          <w:pPr>
            <w:pStyle w:val="ListParagraph"/>
            <w:numPr>
              <w:ilvl w:val="0"/>
              <w:numId w:val="9"/>
            </w:numPr>
            <w:spacing w:before="120" w:after="120"/>
            <w:ind w:left="782" w:hanging="357"/>
            <w:contextualSpacing w:val="0"/>
          </w:pPr>
          <w:r>
            <w:t>Australia’s</w:t>
          </w:r>
          <w:r w:rsidR="00EB42EA">
            <w:t xml:space="preserve"> long-haul status</w:t>
          </w:r>
          <w:r w:rsidR="00E83EB1">
            <w:t>. Australia is</w:t>
          </w:r>
          <w:r>
            <w:t xml:space="preserve"> a long flight from almost all source markets</w:t>
          </w:r>
          <w:r w:rsidR="00E83EB1">
            <w:t xml:space="preserve">. There are some indications that travellers are more wary of taking long-haul flights relative to short-haul flights. This is </w:t>
          </w:r>
          <w:r w:rsidR="00A475B2">
            <w:t>evidenced</w:t>
          </w:r>
          <w:r w:rsidR="00E83EB1">
            <w:t xml:space="preserve"> </w:t>
          </w:r>
          <w:r w:rsidR="003A66C2">
            <w:t xml:space="preserve">by </w:t>
          </w:r>
          <w:r w:rsidR="00E83EB1">
            <w:t xml:space="preserve">global visitation data showing a </w:t>
          </w:r>
          <w:r w:rsidR="004B4CD4">
            <w:t>faster</w:t>
          </w:r>
          <w:r w:rsidR="00E83EB1">
            <w:t xml:space="preserve"> return in international visitation to countries that are closer to their source markets</w:t>
          </w:r>
          <w:r w:rsidR="00882A74">
            <w:t xml:space="preserve">. Being </w:t>
          </w:r>
          <w:r w:rsidR="008F3CD5">
            <w:t xml:space="preserve">a long way from many of our source markets, </w:t>
          </w:r>
          <w:r w:rsidR="00287627">
            <w:t xml:space="preserve">and with more </w:t>
          </w:r>
          <w:r w:rsidR="001724EB">
            <w:t xml:space="preserve">attention </w:t>
          </w:r>
          <w:r w:rsidR="00287627">
            <w:t xml:space="preserve">on </w:t>
          </w:r>
          <w:r w:rsidR="00A475B2">
            <w:t>aviation’s</w:t>
          </w:r>
          <w:r w:rsidR="001724EB">
            <w:t xml:space="preserve"> environmental impacts, </w:t>
          </w:r>
          <w:r w:rsidR="008F3CD5">
            <w:t>Australia is more vulnerab</w:t>
          </w:r>
          <w:r w:rsidR="003F3FB0">
            <w:t>l</w:t>
          </w:r>
          <w:r w:rsidR="008F3CD5">
            <w:t xml:space="preserve">e </w:t>
          </w:r>
          <w:r w:rsidR="003F3FB0">
            <w:t xml:space="preserve">to </w:t>
          </w:r>
          <w:r w:rsidR="006F48B3">
            <w:t xml:space="preserve">declining sentiment towards long-haul </w:t>
          </w:r>
          <w:r w:rsidR="003F3FB0">
            <w:t>flight</w:t>
          </w:r>
          <w:r w:rsidR="006F48B3">
            <w:t>s</w:t>
          </w:r>
          <w:r w:rsidR="003F3FB0">
            <w:t>.</w:t>
          </w:r>
        </w:p>
        <w:p w14:paraId="31AF4142" w14:textId="44E5F174" w:rsidR="0009491B" w:rsidRDefault="00E83EB1" w:rsidP="00B15427">
          <w:pPr>
            <w:pStyle w:val="ListParagraph"/>
            <w:numPr>
              <w:ilvl w:val="0"/>
              <w:numId w:val="9"/>
            </w:numPr>
            <w:spacing w:before="120" w:after="120"/>
            <w:ind w:left="782" w:hanging="357"/>
            <w:contextualSpacing w:val="0"/>
          </w:pPr>
          <w:r>
            <w:t xml:space="preserve">Australia’s </w:t>
          </w:r>
          <w:r w:rsidR="00EB42EA">
            <w:t xml:space="preserve">delayed opening relative to </w:t>
          </w:r>
          <w:r w:rsidR="00DF0E35">
            <w:t>some competitors</w:t>
          </w:r>
          <w:r>
            <w:t>.</w:t>
          </w:r>
          <w:r w:rsidR="008B5BCC">
            <w:t xml:space="preserve"> </w:t>
          </w:r>
          <w:r>
            <w:t>There are i</w:t>
          </w:r>
          <w:r w:rsidR="00DF0E35">
            <w:t xml:space="preserve">ndications that markets that reopened earlier have </w:t>
          </w:r>
          <w:r w:rsidR="008B5BCC">
            <w:t xml:space="preserve">seen increased international visitation. There may have been </w:t>
          </w:r>
          <w:r>
            <w:t>international travellers eager to holiday somewhere as soon as restriction</w:t>
          </w:r>
          <w:r w:rsidR="003A66C2">
            <w:t>s</w:t>
          </w:r>
          <w:r>
            <w:t xml:space="preserve"> ease</w:t>
          </w:r>
          <w:r w:rsidR="003A66C2">
            <w:t>d</w:t>
          </w:r>
          <w:r w:rsidR="008B5BCC">
            <w:t>. Those destinations that were accessible early on may have secured a larger market share.</w:t>
          </w:r>
        </w:p>
        <w:p w14:paraId="7E8CD6E7" w14:textId="77777777" w:rsidR="00B51BCB" w:rsidRDefault="009A6BEE" w:rsidP="00B15427">
          <w:pPr>
            <w:pStyle w:val="ListParagraph"/>
            <w:numPr>
              <w:ilvl w:val="0"/>
              <w:numId w:val="9"/>
            </w:numPr>
            <w:spacing w:before="120" w:after="120"/>
            <w:ind w:left="782" w:hanging="357"/>
            <w:contextualSpacing w:val="0"/>
          </w:pPr>
          <w:r>
            <w:t>S</w:t>
          </w:r>
          <w:r w:rsidR="00EB42EA">
            <w:t>trong international competition</w:t>
          </w:r>
          <w:r>
            <w:t xml:space="preserve">. </w:t>
          </w:r>
          <w:r w:rsidR="00B51BCB">
            <w:t xml:space="preserve">Almost all advanced economies are seeking to rapidly reinvigorate their visitor economies, to restore jobs and earn export revenue, and are very active in visitor attraction. </w:t>
          </w:r>
        </w:p>
        <w:p w14:paraId="74B96473" w14:textId="3103EC4B" w:rsidR="00843778" w:rsidRDefault="00AF21A5" w:rsidP="00B15427">
          <w:pPr>
            <w:pStyle w:val="ListParagraph"/>
            <w:numPr>
              <w:ilvl w:val="0"/>
              <w:numId w:val="9"/>
            </w:numPr>
            <w:spacing w:before="120" w:after="120"/>
            <w:ind w:left="782" w:hanging="357"/>
            <w:contextualSpacing w:val="0"/>
          </w:pPr>
          <w:r>
            <w:t>L</w:t>
          </w:r>
          <w:r w:rsidR="0009491B">
            <w:t xml:space="preserve">ower global </w:t>
          </w:r>
          <w:r>
            <w:t xml:space="preserve">international </w:t>
          </w:r>
          <w:r w:rsidR="0009491B">
            <w:t>travel demand in the near-term</w:t>
          </w:r>
          <w:r>
            <w:t>. Given the lengthy pandemic and the ongoing infections, the number of people willing to travel internationally may be lower in the near term. Moreover, the ongoing presence</w:t>
          </w:r>
          <w:r w:rsidR="0009491B">
            <w:t xml:space="preserve"> </w:t>
          </w:r>
          <w:r>
            <w:t xml:space="preserve">of </w:t>
          </w:r>
          <w:r w:rsidR="0009491B">
            <w:t xml:space="preserve">travel restrictions </w:t>
          </w:r>
          <w:r>
            <w:t>in some markets continues to restrain the rate of growth in outbound travel from those markets</w:t>
          </w:r>
          <w:r w:rsidR="00D349E7">
            <w:t xml:space="preserve"> (notably China)</w:t>
          </w:r>
          <w:r>
            <w:t xml:space="preserve">. </w:t>
          </w:r>
        </w:p>
        <w:p w14:paraId="51245407" w14:textId="23C2CF40" w:rsidR="0009491B" w:rsidRDefault="00843778" w:rsidP="00B15427">
          <w:pPr>
            <w:pStyle w:val="ListParagraph"/>
            <w:numPr>
              <w:ilvl w:val="0"/>
              <w:numId w:val="9"/>
            </w:numPr>
            <w:spacing w:before="120" w:after="120"/>
            <w:ind w:left="782" w:hanging="357"/>
            <w:contextualSpacing w:val="0"/>
          </w:pPr>
          <w:r>
            <w:t>Less international travel in the Asia</w:t>
          </w:r>
          <w:r w:rsidR="003A66C2">
            <w:t>–</w:t>
          </w:r>
          <w:r>
            <w:t>Pacific region</w:t>
          </w:r>
          <w:r w:rsidRPr="00843778">
            <w:t xml:space="preserve"> </w:t>
          </w:r>
          <w:r>
            <w:t>in the near</w:t>
          </w:r>
          <w:r w:rsidR="00991E93">
            <w:t xml:space="preserve"> </w:t>
          </w:r>
          <w:r>
            <w:t>term. The recovery in international travel and air travel in the Asia</w:t>
          </w:r>
          <w:r w:rsidR="00991E93">
            <w:t>–</w:t>
          </w:r>
          <w:r>
            <w:t>Pacific region has generally been slower than other regions.</w:t>
          </w:r>
          <w:r w:rsidR="00476803">
            <w:rPr>
              <w:rStyle w:val="FootnoteReference"/>
            </w:rPr>
            <w:footnoteReference w:id="12"/>
          </w:r>
          <w:r>
            <w:t xml:space="preserve"> Europe has generally been the most advanced, followed by regions such as the Americas and the Middle East. </w:t>
          </w:r>
          <w:r w:rsidR="003F3A89">
            <w:t>While i</w:t>
          </w:r>
          <w:r>
            <w:t>nternational forecasters suggest that the international tourism recovery in the Asia</w:t>
          </w:r>
          <w:r w:rsidR="0097371E">
            <w:t>–</w:t>
          </w:r>
          <w:r>
            <w:t xml:space="preserve">Pacific region will take longer than in other regions, </w:t>
          </w:r>
          <w:r w:rsidR="003F3A89">
            <w:t xml:space="preserve">a full recovery to 2019 levels </w:t>
          </w:r>
          <w:r>
            <w:t xml:space="preserve">is expected to occur </w:t>
          </w:r>
          <w:r w:rsidR="003F3A89">
            <w:t>by around 2025.</w:t>
          </w:r>
          <w:r>
            <w:t xml:space="preserve"> </w:t>
          </w:r>
        </w:p>
        <w:p w14:paraId="5DA05880" w14:textId="42FADE54" w:rsidR="00C17141" w:rsidRDefault="00C17141" w:rsidP="00B15427">
          <w:pPr>
            <w:pStyle w:val="Heading4"/>
            <w:spacing w:before="360"/>
          </w:pPr>
          <w:bookmarkStart w:id="64" w:name="_Ref101968419"/>
          <w:r>
            <w:t>Australia’s global standing (</w:t>
          </w:r>
          <w:r w:rsidR="0052541F">
            <w:t xml:space="preserve">section contributed </w:t>
          </w:r>
          <w:r>
            <w:t>by Tourism Australia)</w:t>
          </w:r>
          <w:bookmarkEnd w:id="64"/>
        </w:p>
        <w:p w14:paraId="5F2E2274" w14:textId="56CCAA61" w:rsidR="00C17141" w:rsidRPr="00C17141" w:rsidRDefault="00C17141" w:rsidP="00C17141">
          <w:pPr>
            <w:rPr>
              <w:rFonts w:ascii="Calibri" w:hAnsi="Calibri"/>
            </w:rPr>
          </w:pPr>
          <w:r w:rsidRPr="00C17141">
            <w:t xml:space="preserve">Australia is a premium and extremely high-quality destination that attracts high yielding international tourists. Being a long-haul destination for most international source markets means that Australia receives a relatively small volume of international visitors </w:t>
          </w:r>
          <w:r>
            <w:t>compared with</w:t>
          </w:r>
          <w:r w:rsidRPr="00C17141">
            <w:t xml:space="preserve"> some of our competitors. </w:t>
          </w:r>
          <w:r>
            <w:t>However, t</w:t>
          </w:r>
          <w:r w:rsidRPr="00C17141">
            <w:t xml:space="preserve">hose visitors spend big while </w:t>
          </w:r>
          <w:r>
            <w:t xml:space="preserve">in Australia </w:t>
          </w:r>
          <w:r w:rsidRPr="00C17141">
            <w:t>and Australia ranks in the top 10 of all international destinations for trip spend</w:t>
          </w:r>
          <w:r>
            <w:t>.</w:t>
          </w:r>
          <w:r>
            <w:rPr>
              <w:rStyle w:val="FootnoteReference"/>
            </w:rPr>
            <w:footnoteReference w:id="13"/>
          </w:r>
          <w:r>
            <w:t xml:space="preserve"> </w:t>
          </w:r>
          <w:r w:rsidRPr="00C17141">
            <w:t>These high</w:t>
          </w:r>
          <w:r w:rsidR="00CC147B">
            <w:t>-</w:t>
          </w:r>
          <w:r w:rsidRPr="00C17141">
            <w:t>yielding visitors are a boon to the Australian visitor economy as they provide additional expenditure that an Australian domestic traveller is unable to replicate. More</w:t>
          </w:r>
          <w:r w:rsidR="00256D19">
            <w:t xml:space="preserve">over, thanks </w:t>
          </w:r>
          <w:r w:rsidRPr="00C17141">
            <w:t xml:space="preserve">to the quality of tourism product </w:t>
          </w:r>
          <w:r w:rsidR="00256D19">
            <w:t>that</w:t>
          </w:r>
          <w:r w:rsidRPr="00C17141">
            <w:t xml:space="preserve"> Australia has to offer these international visitors</w:t>
          </w:r>
          <w:r w:rsidR="00256D19">
            <w:t xml:space="preserve">, many </w:t>
          </w:r>
          <w:r w:rsidRPr="00C17141">
            <w:t xml:space="preserve">are likely to </w:t>
          </w:r>
          <w:r w:rsidR="00256D19">
            <w:t>visit more than once</w:t>
          </w:r>
          <w:r w:rsidRPr="00C17141">
            <w:t>.</w:t>
          </w:r>
        </w:p>
        <w:p w14:paraId="434AF221" w14:textId="195EFC7E" w:rsidR="00C17141" w:rsidRPr="00C17141" w:rsidRDefault="00C17141" w:rsidP="00256D19">
          <w:r w:rsidRPr="00C17141">
            <w:t>However, Australia’s position as a world-class destination for high-yielding international traveller</w:t>
          </w:r>
          <w:r w:rsidR="00256D19">
            <w:t>s</w:t>
          </w:r>
          <w:r w:rsidRPr="00C17141">
            <w:t xml:space="preserve"> is not guaranteed. While both the </w:t>
          </w:r>
          <w:hyperlink r:id="rId55" w:history="1">
            <w:r w:rsidRPr="003C748A">
              <w:rPr>
                <w:rStyle w:val="Hyperlink"/>
              </w:rPr>
              <w:t>World Economic Forum</w:t>
            </w:r>
          </w:hyperlink>
          <w:r w:rsidRPr="00C17141">
            <w:t xml:space="preserve"> and Tourism Australia’s Consumer Demand Project (</w:t>
          </w:r>
          <w:r w:rsidRPr="00256D19">
            <w:t>CDP</w:t>
          </w:r>
          <w:r w:rsidRPr="00C17141">
            <w:t>) rate Australia highly on the core reasons why a tourist would choose a leisure destination</w:t>
          </w:r>
          <w:r w:rsidR="00470D4E">
            <w:t>, a</w:t>
          </w:r>
          <w:r w:rsidRPr="00C17141">
            <w:t xml:space="preserve"> significant number of competitors are equally well </w:t>
          </w:r>
          <w:r w:rsidR="005A515D">
            <w:t>(</w:t>
          </w:r>
          <w:r w:rsidR="001579EE" w:rsidRPr="00C17141">
            <w:t>if not better</w:t>
          </w:r>
          <w:r w:rsidR="001579EE">
            <w:t>)</w:t>
          </w:r>
          <w:r w:rsidR="001579EE" w:rsidRPr="00C17141">
            <w:t xml:space="preserve"> </w:t>
          </w:r>
          <w:r w:rsidRPr="00C17141">
            <w:t xml:space="preserve">ranked, against these same attributes, including </w:t>
          </w:r>
          <w:r w:rsidR="00223909">
            <w:t xml:space="preserve">the United States, </w:t>
          </w:r>
          <w:r w:rsidRPr="00C17141">
            <w:t>New Zealand, Japan</w:t>
          </w:r>
          <w:r w:rsidR="00223909">
            <w:t xml:space="preserve"> and</w:t>
          </w:r>
          <w:r w:rsidRPr="00C17141">
            <w:t xml:space="preserve"> the U</w:t>
          </w:r>
          <w:r w:rsidR="0045022F">
            <w:t xml:space="preserve">nited </w:t>
          </w:r>
          <w:r w:rsidRPr="00C17141">
            <w:t>K</w:t>
          </w:r>
          <w:r w:rsidR="009E740A">
            <w:t>ingdom</w:t>
          </w:r>
          <w:r w:rsidRPr="00C17141">
            <w:t xml:space="preserve">. The global landscape for tourism is </w:t>
          </w:r>
          <w:r w:rsidR="00256D19">
            <w:t xml:space="preserve">also </w:t>
          </w:r>
          <w:r w:rsidRPr="00C17141">
            <w:t xml:space="preserve">expected to become even more competitive as destinations at a city, state, and national level look to reinvigorate their tourism industries as part of their economic recovery strategies following COVID-19. </w:t>
          </w:r>
        </w:p>
        <w:p w14:paraId="2D37B9E0" w14:textId="1BCF9A9F" w:rsidR="00C17141" w:rsidRPr="00C17141" w:rsidRDefault="00C17141" w:rsidP="007974C4">
          <w:r w:rsidRPr="00C17141">
            <w:t>Given this context</w:t>
          </w:r>
          <w:r w:rsidR="009E740A">
            <w:t>,</w:t>
          </w:r>
          <w:r w:rsidRPr="00C17141">
            <w:t xml:space="preserve"> the role for driving ‘top of funnel’ demand via national tourism marketing becomes essential to the overall health of the Australian visitor economy. Key to this health is maintaining Australia’s high </w:t>
          </w:r>
          <w:r w:rsidR="007974C4">
            <w:t>‘</w:t>
          </w:r>
          <w:r w:rsidRPr="00C17141">
            <w:t>visitor consideration</w:t>
          </w:r>
          <w:r w:rsidR="007974C4">
            <w:t>’</w:t>
          </w:r>
          <w:r w:rsidRPr="00C17141">
            <w:t>, a consumer</w:t>
          </w:r>
          <w:r w:rsidR="007974C4">
            <w:t>-</w:t>
          </w:r>
          <w:r w:rsidRPr="00C17141">
            <w:t xml:space="preserve">centric metric measured by the CDP. </w:t>
          </w:r>
          <w:r w:rsidR="003377A6">
            <w:t>Visitor c</w:t>
          </w:r>
          <w:r w:rsidRPr="00C17141">
            <w:t xml:space="preserve">onsideration is a </w:t>
          </w:r>
          <w:r w:rsidR="007974C4" w:rsidRPr="00C17141">
            <w:t>slow-moving</w:t>
          </w:r>
          <w:r w:rsidRPr="00C17141">
            <w:t xml:space="preserve"> metric that is driven by increased consumer understanding </w:t>
          </w:r>
          <w:r w:rsidR="007974C4">
            <w:t xml:space="preserve">of </w:t>
          </w:r>
          <w:r w:rsidRPr="00C17141">
            <w:t xml:space="preserve">the breadth and depth of what a destination has to offer. While marketing is not the only way to increase a destination’s consideration, marketing plays a valuable and proven role in driving consideration </w:t>
          </w:r>
          <w:r w:rsidR="00501EF6">
            <w:t xml:space="preserve">that </w:t>
          </w:r>
          <w:r w:rsidRPr="00C17141">
            <w:t>lead</w:t>
          </w:r>
          <w:r w:rsidR="00E16918">
            <w:t>s</w:t>
          </w:r>
          <w:r w:rsidRPr="00C17141">
            <w:t xml:space="preserve"> to </w:t>
          </w:r>
          <w:r w:rsidR="00E16918" w:rsidRPr="00C17141">
            <w:t xml:space="preserve">international </w:t>
          </w:r>
          <w:r w:rsidRPr="00C17141">
            <w:t>visitation</w:t>
          </w:r>
          <w:r w:rsidR="00490BE4">
            <w:t xml:space="preserve"> to th</w:t>
          </w:r>
          <w:r w:rsidR="00CB5119">
            <w:t>is country</w:t>
          </w:r>
          <w:r w:rsidRPr="00C17141">
            <w:t xml:space="preserve">. </w:t>
          </w:r>
        </w:p>
        <w:p w14:paraId="07D62A6D" w14:textId="67726429" w:rsidR="00C17141" w:rsidRPr="00C17141" w:rsidRDefault="00C17141" w:rsidP="007974C4">
          <w:pPr>
            <w:rPr>
              <w:rFonts w:ascii="Times New Roman" w:eastAsia="Times New Roman" w:hAnsi="Times New Roman" w:cs="Times New Roman"/>
            </w:rPr>
          </w:pPr>
          <w:r w:rsidRPr="00C17141">
            <w:t xml:space="preserve">Australia is now well placed to face this post-COVID competitive context. </w:t>
          </w:r>
          <w:r w:rsidR="007974C4">
            <w:t>T</w:t>
          </w:r>
          <w:r w:rsidR="007974C4" w:rsidRPr="00C17141">
            <w:t>hroughout the pandemic</w:t>
          </w:r>
          <w:r w:rsidR="007974C4">
            <w:t>,</w:t>
          </w:r>
          <w:r w:rsidR="007974C4" w:rsidRPr="00C17141">
            <w:t xml:space="preserve"> </w:t>
          </w:r>
          <w:r w:rsidRPr="00C17141">
            <w:t xml:space="preserve">Tourism Australia has run tactical ‘dreaming’ campaigns in each </w:t>
          </w:r>
          <w:r w:rsidR="007974C4">
            <w:t xml:space="preserve">of </w:t>
          </w:r>
          <w:r w:rsidRPr="00C17141">
            <w:t>the 15</w:t>
          </w:r>
          <w:r w:rsidR="00CB5119">
            <w:t> </w:t>
          </w:r>
          <w:r w:rsidR="007974C4" w:rsidRPr="00C17141">
            <w:t xml:space="preserve">key </w:t>
          </w:r>
          <w:r w:rsidRPr="00C17141">
            <w:t>international markets of importance to maintain consideration of visitation to Australia. More recently</w:t>
          </w:r>
          <w:r w:rsidR="00411791">
            <w:t>,</w:t>
          </w:r>
          <w:r w:rsidRPr="00C17141">
            <w:t xml:space="preserve"> as Australia has ‘opened up’ and as airline capacity returns, Tourism Australia has shifted </w:t>
          </w:r>
          <w:r w:rsidR="00411791">
            <w:t xml:space="preserve">its </w:t>
          </w:r>
          <w:r w:rsidRPr="00C17141">
            <w:t xml:space="preserve">messaging </w:t>
          </w:r>
          <w:r w:rsidR="00411791">
            <w:t xml:space="preserve">and marketing activity </w:t>
          </w:r>
          <w:r w:rsidRPr="00C17141">
            <w:t xml:space="preserve">from dreaming context to consideration driving with the </w:t>
          </w:r>
          <w:r w:rsidRPr="0052541F">
            <w:t>Don’t Go Small Go Australia</w:t>
          </w:r>
          <w:r w:rsidRPr="00C17141">
            <w:t xml:space="preserve"> campaign. The campaign is designed to challenge COVID-19 related international travelling behaviour in many of </w:t>
          </w:r>
          <w:r w:rsidR="00ED24DF">
            <w:t xml:space="preserve">those in </w:t>
          </w:r>
          <w:r w:rsidRPr="00C17141">
            <w:t xml:space="preserve">our key international markets who are holding off on their next long-haul </w:t>
          </w:r>
          <w:r w:rsidR="00411791">
            <w:t>trip</w:t>
          </w:r>
          <w:r w:rsidRPr="00C17141">
            <w:t xml:space="preserve"> and instead choosing to travel shorter distances </w:t>
          </w:r>
          <w:r w:rsidR="009A6E5A">
            <w:t>(</w:t>
          </w:r>
          <w:r w:rsidRPr="00C17141">
            <w:t>destinations within four hours flight or less</w:t>
          </w:r>
          <w:r w:rsidR="009A6E5A">
            <w:t>)</w:t>
          </w:r>
          <w:r w:rsidRPr="00C17141">
            <w:t xml:space="preserve"> for shorter periods of time. The campaign is pushing our international consumers to take a proper holiday to Australia </w:t>
          </w:r>
          <w:r w:rsidR="00716099">
            <w:t>–</w:t>
          </w:r>
          <w:r w:rsidR="009A6E5A">
            <w:t xml:space="preserve"> </w:t>
          </w:r>
          <w:r w:rsidRPr="00C17141">
            <w:t xml:space="preserve">a destination </w:t>
          </w:r>
          <w:r w:rsidR="009A6E5A">
            <w:t>that</w:t>
          </w:r>
          <w:r w:rsidRPr="00C17141">
            <w:t xml:space="preserve"> is </w:t>
          </w:r>
          <w:r w:rsidR="009A6E5A">
            <w:t xml:space="preserve">already </w:t>
          </w:r>
          <w:r w:rsidRPr="00C17141">
            <w:t xml:space="preserve">very high on </w:t>
          </w:r>
          <w:r w:rsidR="009A6E5A">
            <w:t>travellers’</w:t>
          </w:r>
          <w:r w:rsidRPr="00C17141">
            <w:t xml:space="preserve"> consideration list</w:t>
          </w:r>
          <w:r w:rsidR="00716099">
            <w:t>s</w:t>
          </w:r>
          <w:r w:rsidRPr="00C17141">
            <w:t xml:space="preserve">.    </w:t>
          </w:r>
        </w:p>
        <w:p w14:paraId="469A97F8" w14:textId="6972C0E2" w:rsidR="0054064E" w:rsidRDefault="0054064E" w:rsidP="0054064E">
          <w:pPr>
            <w:pStyle w:val="Heading2"/>
            <w:rPr>
              <w:b w:val="0"/>
              <w:color w:val="7A4282" w:themeColor="accent1"/>
              <w:sz w:val="36"/>
              <w:szCs w:val="32"/>
            </w:rPr>
          </w:pPr>
          <w:bookmarkStart w:id="65" w:name="_Toc106097685"/>
          <w:r w:rsidRPr="00A35F50">
            <w:rPr>
              <w:b w:val="0"/>
              <w:color w:val="7A4282" w:themeColor="accent1"/>
              <w:sz w:val="36"/>
              <w:szCs w:val="32"/>
            </w:rPr>
            <w:t>Data source</w:t>
          </w:r>
          <w:r w:rsidR="00983F2A">
            <w:rPr>
              <w:b w:val="0"/>
              <w:color w:val="7A4282" w:themeColor="accent1"/>
              <w:sz w:val="36"/>
              <w:szCs w:val="32"/>
            </w:rPr>
            <w:t>s</w:t>
          </w:r>
          <w:r w:rsidRPr="00A35F50">
            <w:rPr>
              <w:b w:val="0"/>
              <w:color w:val="7A4282" w:themeColor="accent1"/>
              <w:sz w:val="36"/>
              <w:szCs w:val="32"/>
            </w:rPr>
            <w:t xml:space="preserve"> and references</w:t>
          </w:r>
          <w:bookmarkEnd w:id="65"/>
        </w:p>
        <w:p w14:paraId="725E86EC" w14:textId="741B3990" w:rsidR="00D04463" w:rsidRPr="00D04463" w:rsidRDefault="00D04463" w:rsidP="00D04463">
          <w:pPr>
            <w:pStyle w:val="Heading3"/>
            <w:rPr>
              <w:lang w:eastAsia="zh-CN"/>
            </w:rPr>
          </w:pPr>
          <w:bookmarkStart w:id="66" w:name="_Toc106097686"/>
          <w:r>
            <w:rPr>
              <w:lang w:eastAsia="zh-CN"/>
            </w:rPr>
            <w:t>Data sources</w:t>
          </w:r>
          <w:bookmarkEnd w:id="66"/>
        </w:p>
        <w:p w14:paraId="149B34E9" w14:textId="77777777" w:rsidR="00B30036" w:rsidRDefault="00B30036" w:rsidP="00B30036">
          <w:pPr>
            <w:pStyle w:val="Heading4"/>
          </w:pPr>
          <w:r>
            <w:t xml:space="preserve">Australian Bureau of Statistics </w:t>
          </w:r>
        </w:p>
        <w:p w14:paraId="35ADD9D7" w14:textId="64CECF91" w:rsidR="002677F9" w:rsidRDefault="002677F9" w:rsidP="00B30036">
          <w:pPr>
            <w:pStyle w:val="ListParagraph"/>
            <w:numPr>
              <w:ilvl w:val="0"/>
              <w:numId w:val="27"/>
            </w:numPr>
            <w:spacing w:before="0" w:after="160" w:line="256" w:lineRule="auto"/>
          </w:pPr>
          <w:r>
            <w:t xml:space="preserve">International Trade in Goods and Services, Australia – April 2022 </w:t>
          </w:r>
        </w:p>
        <w:p w14:paraId="3EB17FA6" w14:textId="0B577846" w:rsidR="00071948" w:rsidRPr="00071948" w:rsidRDefault="00071948" w:rsidP="00B30036">
          <w:pPr>
            <w:pStyle w:val="ListParagraph"/>
            <w:numPr>
              <w:ilvl w:val="0"/>
              <w:numId w:val="27"/>
            </w:numPr>
            <w:spacing w:before="0" w:after="160" w:line="256" w:lineRule="auto"/>
          </w:pPr>
          <w:r w:rsidRPr="00071948">
            <w:t>Overseas Arrivals and Departures, Australia – March 2022 (</w:t>
          </w:r>
          <w:r>
            <w:t xml:space="preserve">ABS Cat. No. </w:t>
          </w:r>
          <w:r w:rsidRPr="00071948">
            <w:t xml:space="preserve">3401.0) </w:t>
          </w:r>
        </w:p>
        <w:p w14:paraId="1D596231" w14:textId="73004D6E" w:rsidR="00B30036" w:rsidRDefault="00071948" w:rsidP="00071948">
          <w:pPr>
            <w:pStyle w:val="ListParagraph"/>
            <w:numPr>
              <w:ilvl w:val="0"/>
              <w:numId w:val="27"/>
            </w:numPr>
          </w:pPr>
          <w:bookmarkStart w:id="67" w:name="_Hlk104386732"/>
          <w:r w:rsidRPr="00071948">
            <w:t xml:space="preserve">Tourism Satellite Accounts: quarterly tourism labour statistics, Australia, experimental estimates – December 2021 </w:t>
          </w:r>
          <w:r w:rsidR="00B30036">
            <w:t xml:space="preserve"> </w:t>
          </w:r>
        </w:p>
        <w:bookmarkEnd w:id="67"/>
        <w:p w14:paraId="3766DC65" w14:textId="6E449454" w:rsidR="00B30036" w:rsidRDefault="00B30036" w:rsidP="00B30036">
          <w:pPr>
            <w:pStyle w:val="Heading4"/>
          </w:pPr>
          <w:r>
            <w:t>Australian Trade and Investment Commission (Austrade)</w:t>
          </w:r>
        </w:p>
        <w:p w14:paraId="0021DE3B" w14:textId="4ED3AE33" w:rsidR="00B30036" w:rsidRDefault="00B30036" w:rsidP="00B30036">
          <w:pPr>
            <w:pStyle w:val="ListParagraph"/>
            <w:numPr>
              <w:ilvl w:val="0"/>
              <w:numId w:val="27"/>
            </w:numPr>
            <w:spacing w:before="0" w:after="160" w:line="256" w:lineRule="auto"/>
          </w:pPr>
          <w:r w:rsidRPr="003F512C">
            <w:t>Opportunities for the Visitor Economy: A modern, diversified and collaborative path to 2030</w:t>
          </w:r>
          <w:r>
            <w:t>, June 2021</w:t>
          </w:r>
        </w:p>
        <w:p w14:paraId="2E573CD3" w14:textId="27FAFB8F" w:rsidR="00B30036" w:rsidRDefault="00E72669" w:rsidP="00B30036">
          <w:pPr>
            <w:pStyle w:val="ListParagraph"/>
            <w:numPr>
              <w:ilvl w:val="0"/>
              <w:numId w:val="27"/>
            </w:numPr>
            <w:spacing w:before="0" w:after="160" w:line="256" w:lineRule="auto"/>
          </w:pPr>
          <w:r w:rsidRPr="003F512C">
            <w:t>THRIVE 2030 Strategy</w:t>
          </w:r>
          <w:r w:rsidR="00B30036">
            <w:t xml:space="preserve">, </w:t>
          </w:r>
          <w:r>
            <w:t>March 2022</w:t>
          </w:r>
        </w:p>
        <w:p w14:paraId="6988D5E4" w14:textId="22598B02" w:rsidR="00071948" w:rsidRDefault="00071948" w:rsidP="00B30036">
          <w:pPr>
            <w:pStyle w:val="Heading4"/>
          </w:pPr>
          <w:r>
            <w:t>Department of Education, Skills and Employment</w:t>
          </w:r>
          <w:r w:rsidR="00F052B5">
            <w:t xml:space="preserve"> (now </w:t>
          </w:r>
          <w:r w:rsidR="00972302">
            <w:t xml:space="preserve">named </w:t>
          </w:r>
          <w:r w:rsidR="00F052B5">
            <w:t>the Department of Education)</w:t>
          </w:r>
        </w:p>
        <w:p w14:paraId="0F51DB1D" w14:textId="6F6B99BB" w:rsidR="00F052B5" w:rsidRDefault="00F052B5" w:rsidP="00856FDC">
          <w:pPr>
            <w:pStyle w:val="ListParagraph"/>
            <w:numPr>
              <w:ilvl w:val="0"/>
              <w:numId w:val="27"/>
            </w:numPr>
            <w:spacing w:before="0" w:after="160" w:line="256" w:lineRule="auto"/>
          </w:pPr>
          <w:r>
            <w:t>Internally supplied data</w:t>
          </w:r>
        </w:p>
        <w:p w14:paraId="18E7B12D" w14:textId="10FB2F4A" w:rsidR="00856FDC" w:rsidRDefault="00856FDC" w:rsidP="00856FDC">
          <w:pPr>
            <w:pStyle w:val="ListParagraph"/>
            <w:numPr>
              <w:ilvl w:val="0"/>
              <w:numId w:val="27"/>
            </w:numPr>
            <w:spacing w:before="0" w:after="160" w:line="256" w:lineRule="auto"/>
          </w:pPr>
          <w:r w:rsidRPr="0000556B">
            <w:t xml:space="preserve">International </w:t>
          </w:r>
          <w:r>
            <w:t>S</w:t>
          </w:r>
          <w:r w:rsidRPr="0000556B">
            <w:t xml:space="preserve">tudent </w:t>
          </w:r>
          <w:r>
            <w:t>Data – full year</w:t>
          </w:r>
          <w:r w:rsidRPr="0000556B">
            <w:t xml:space="preserve"> data</w:t>
          </w:r>
          <w:r>
            <w:t>, December 2021</w:t>
          </w:r>
        </w:p>
        <w:p w14:paraId="77FBFB61" w14:textId="3B8A52C0" w:rsidR="00856FDC" w:rsidRDefault="00856FDC" w:rsidP="00856FDC">
          <w:pPr>
            <w:pStyle w:val="ListParagraph"/>
            <w:numPr>
              <w:ilvl w:val="0"/>
              <w:numId w:val="27"/>
            </w:numPr>
            <w:spacing w:before="0" w:after="160" w:line="256" w:lineRule="auto"/>
          </w:pPr>
          <w:r>
            <w:t>International Student Data – monthly YTD data, March 2022</w:t>
          </w:r>
        </w:p>
        <w:p w14:paraId="63611240" w14:textId="24155217" w:rsidR="00F052B5" w:rsidRDefault="00F052B5" w:rsidP="00972302">
          <w:pPr>
            <w:pStyle w:val="ListParagraph"/>
            <w:numPr>
              <w:ilvl w:val="0"/>
              <w:numId w:val="27"/>
            </w:numPr>
            <w:spacing w:before="0" w:after="160" w:line="256" w:lineRule="auto"/>
          </w:pPr>
          <w:r>
            <w:t xml:space="preserve">Student visa numbers inside and outside of Australia (data supplied by Department of Home Affairs) </w:t>
          </w:r>
        </w:p>
        <w:p w14:paraId="44956F6F" w14:textId="3D363376" w:rsidR="00F052B5" w:rsidRPr="00856FDC" w:rsidRDefault="00F052B5" w:rsidP="00F052B5">
          <w:pPr>
            <w:pStyle w:val="ListParagraph"/>
            <w:numPr>
              <w:ilvl w:val="0"/>
              <w:numId w:val="27"/>
            </w:numPr>
            <w:spacing w:before="0" w:after="120" w:line="259" w:lineRule="auto"/>
            <w:contextualSpacing w:val="0"/>
            <w:textAlignment w:val="baseline"/>
          </w:pPr>
          <w:r>
            <w:t xml:space="preserve">The </w:t>
          </w:r>
          <w:r w:rsidRPr="003F512C">
            <w:t>Australian Strategy for International Education 2021-2030</w:t>
          </w:r>
          <w:r>
            <w:t>, November 2021</w:t>
          </w:r>
        </w:p>
        <w:p w14:paraId="78D01F0F" w14:textId="5C4C70C2" w:rsidR="00071948" w:rsidRPr="00071948" w:rsidRDefault="00071948" w:rsidP="00071948">
          <w:pPr>
            <w:pStyle w:val="Heading4"/>
          </w:pPr>
          <w:bookmarkStart w:id="68" w:name="_Hlk104386782"/>
          <w:r w:rsidRPr="00071948">
            <w:t xml:space="preserve">Department of Infrastructure, Transport, Regional Development and Communications </w:t>
          </w:r>
        </w:p>
        <w:bookmarkEnd w:id="68"/>
        <w:p w14:paraId="3EF495B6" w14:textId="35E131D3" w:rsidR="00071948" w:rsidRDefault="00071948" w:rsidP="003F512C">
          <w:pPr>
            <w:pStyle w:val="ListParagraph"/>
            <w:numPr>
              <w:ilvl w:val="0"/>
              <w:numId w:val="27"/>
            </w:numPr>
            <w:spacing w:before="0" w:after="160" w:line="256" w:lineRule="auto"/>
          </w:pPr>
          <w:r w:rsidRPr="00071948">
            <w:t>Australia</w:t>
          </w:r>
          <w:r>
            <w:t xml:space="preserve">n </w:t>
          </w:r>
          <w:r w:rsidRPr="00071948">
            <w:t>Domestic Airline Activity—time series</w:t>
          </w:r>
          <w:r>
            <w:t xml:space="preserve">: </w:t>
          </w:r>
          <w:r w:rsidRPr="00071948">
            <w:t>Domestic Totals &amp; Top Routes July 2014–February 2022</w:t>
          </w:r>
        </w:p>
        <w:p w14:paraId="1B4147BE" w14:textId="412D48ED" w:rsidR="00D15D80" w:rsidRDefault="00D15D80" w:rsidP="003F512C">
          <w:pPr>
            <w:pStyle w:val="ListParagraph"/>
            <w:numPr>
              <w:ilvl w:val="0"/>
              <w:numId w:val="27"/>
            </w:numPr>
            <w:spacing w:before="0" w:after="160" w:line="256" w:lineRule="auto"/>
          </w:pPr>
          <w:r>
            <w:t>International</w:t>
          </w:r>
          <w:r w:rsidRPr="00071948">
            <w:t xml:space="preserve"> Airline Activity—time series</w:t>
          </w:r>
          <w:r>
            <w:t xml:space="preserve">: </w:t>
          </w:r>
          <w:r w:rsidRPr="00D15D80">
            <w:t>International airline activity totals - calendar year 2021</w:t>
          </w:r>
        </w:p>
        <w:p w14:paraId="768CBE0E" w14:textId="77777777" w:rsidR="00AD096F" w:rsidRDefault="00AD096F" w:rsidP="00B30036">
          <w:pPr>
            <w:pStyle w:val="Heading4"/>
          </w:pPr>
          <w:r w:rsidRPr="00AD096F">
            <w:t>International A</w:t>
          </w:r>
          <w:r>
            <w:t>ir</w:t>
          </w:r>
          <w:r w:rsidRPr="00AD096F">
            <w:t xml:space="preserve"> Transport </w:t>
          </w:r>
          <w:r>
            <w:t>Association</w:t>
          </w:r>
          <w:r w:rsidRPr="00AD096F">
            <w:t xml:space="preserve"> (IATA)</w:t>
          </w:r>
        </w:p>
        <w:p w14:paraId="57ABB511" w14:textId="6C91F6E0" w:rsidR="00AD096F" w:rsidRDefault="00DF02C2" w:rsidP="00AD096F">
          <w:pPr>
            <w:pStyle w:val="ListParagraph"/>
            <w:numPr>
              <w:ilvl w:val="0"/>
              <w:numId w:val="24"/>
            </w:numPr>
            <w:spacing w:before="0" w:after="0" w:line="240" w:lineRule="auto"/>
          </w:pPr>
          <w:hyperlink r:id="rId56" w:history="1">
            <w:r w:rsidR="00AD096F" w:rsidRPr="00AD096F">
              <w:rPr>
                <w:rStyle w:val="Hyperlink"/>
              </w:rPr>
              <w:t>Net zero 2050: sustainable aviation fuels (iata.org)</w:t>
            </w:r>
          </w:hyperlink>
          <w:r w:rsidR="00AD096F" w:rsidRPr="00AD096F">
            <w:t>, accessed April 2022</w:t>
          </w:r>
        </w:p>
        <w:p w14:paraId="254B5C53" w14:textId="192C4CB3" w:rsidR="00AD096F" w:rsidRDefault="00DF02C2" w:rsidP="00AD096F">
          <w:pPr>
            <w:pStyle w:val="ListParagraph"/>
            <w:numPr>
              <w:ilvl w:val="0"/>
              <w:numId w:val="24"/>
            </w:numPr>
            <w:rPr>
              <w:lang w:eastAsia="zh-CN"/>
            </w:rPr>
          </w:pPr>
          <w:hyperlink r:id="rId57" w:history="1">
            <w:r w:rsidR="00AD096F" w:rsidRPr="00AD096F">
              <w:rPr>
                <w:rStyle w:val="Hyperlink"/>
              </w:rPr>
              <w:t>Passenger Recovery Accelerates in February</w:t>
            </w:r>
          </w:hyperlink>
          <w:r w:rsidR="00AD096F" w:rsidRPr="00AD096F">
            <w:t xml:space="preserve">, accessed April 2022 </w:t>
          </w:r>
        </w:p>
        <w:p w14:paraId="5A52115B" w14:textId="5460EC05" w:rsidR="00B30036" w:rsidRDefault="00B30036" w:rsidP="00B30036">
          <w:pPr>
            <w:pStyle w:val="Heading4"/>
          </w:pPr>
          <w:r>
            <w:t>Reserve Bank of Australia</w:t>
          </w:r>
        </w:p>
        <w:p w14:paraId="1970A70E" w14:textId="464B5FBF" w:rsidR="00B30036" w:rsidRDefault="00B30036" w:rsidP="00B30036">
          <w:pPr>
            <w:pStyle w:val="ListParagraph"/>
            <w:numPr>
              <w:ilvl w:val="0"/>
              <w:numId w:val="26"/>
            </w:numPr>
            <w:spacing w:before="0" w:after="160" w:line="256" w:lineRule="auto"/>
          </w:pPr>
          <w:r>
            <w:t xml:space="preserve">Statement of Monetary Policy, </w:t>
          </w:r>
          <w:r w:rsidR="00E72669">
            <w:t>February 2022, May 2022</w:t>
          </w:r>
        </w:p>
        <w:p w14:paraId="7AE41D80" w14:textId="77777777" w:rsidR="003F512C" w:rsidRDefault="003F512C" w:rsidP="00B30036">
          <w:pPr>
            <w:pStyle w:val="Heading4"/>
          </w:pPr>
          <w:r>
            <w:t>STR</w:t>
          </w:r>
        </w:p>
        <w:p w14:paraId="24AAFFB6" w14:textId="79973583" w:rsidR="003F512C" w:rsidRPr="00071948" w:rsidRDefault="003F512C" w:rsidP="003F512C">
          <w:pPr>
            <w:pStyle w:val="ListParagraph"/>
            <w:numPr>
              <w:ilvl w:val="0"/>
              <w:numId w:val="27"/>
            </w:numPr>
            <w:spacing w:before="0" w:after="160" w:line="256" w:lineRule="auto"/>
          </w:pPr>
          <w:r w:rsidRPr="00071948">
            <w:t>Australia</w:t>
          </w:r>
          <w:r>
            <w:t>n Accommodation Monitor Summary</w:t>
          </w:r>
          <w:r w:rsidRPr="00071948">
            <w:t xml:space="preserve"> – </w:t>
          </w:r>
          <w:r>
            <w:t xml:space="preserve">Financial-year performance: 2019-20, 2020-21 </w:t>
          </w:r>
        </w:p>
        <w:p w14:paraId="14E08A73" w14:textId="77777777" w:rsidR="003F512C" w:rsidRDefault="003F512C" w:rsidP="00B30036">
          <w:pPr>
            <w:pStyle w:val="Heading4"/>
          </w:pPr>
          <w:r>
            <w:t>Tourism Australia</w:t>
          </w:r>
        </w:p>
        <w:p w14:paraId="4255C947" w14:textId="7F55AD11" w:rsidR="003F512C" w:rsidRDefault="003F512C" w:rsidP="00B30036">
          <w:pPr>
            <w:pStyle w:val="ListParagraph"/>
            <w:numPr>
              <w:ilvl w:val="0"/>
              <w:numId w:val="24"/>
            </w:numPr>
            <w:rPr>
              <w:lang w:eastAsia="zh-CN"/>
            </w:rPr>
          </w:pPr>
          <w:r w:rsidRPr="00B30036">
            <w:rPr>
              <w:lang w:eastAsia="zh-CN"/>
            </w:rPr>
            <w:t>Consumer Demand Project</w:t>
          </w:r>
          <w:r w:rsidRPr="00B30036">
            <w:t xml:space="preserve"> </w:t>
          </w:r>
          <w:r>
            <w:t>(CDP) 2021</w:t>
          </w:r>
        </w:p>
        <w:p w14:paraId="37CB84D5" w14:textId="56742FAC" w:rsidR="00B30036" w:rsidRDefault="00B30036" w:rsidP="00B30036">
          <w:pPr>
            <w:pStyle w:val="Heading4"/>
          </w:pPr>
          <w:r>
            <w:t xml:space="preserve">Tourism Research Australia (TRA) </w:t>
          </w:r>
        </w:p>
        <w:p w14:paraId="73AA11DA" w14:textId="69D195E9" w:rsidR="00071948" w:rsidRDefault="00071948" w:rsidP="00B30036">
          <w:pPr>
            <w:pStyle w:val="ListParagraph"/>
            <w:numPr>
              <w:ilvl w:val="0"/>
              <w:numId w:val="25"/>
            </w:numPr>
            <w:spacing w:before="0" w:after="160" w:line="256" w:lineRule="auto"/>
          </w:pPr>
          <w:r>
            <w:t>Accessible Tourism in Victoria and Queensland, January 2018</w:t>
          </w:r>
        </w:p>
        <w:p w14:paraId="15B3AC8F" w14:textId="2350F3EA" w:rsidR="00B30036" w:rsidRDefault="00B30036" w:rsidP="00B30036">
          <w:pPr>
            <w:pStyle w:val="ListParagraph"/>
            <w:numPr>
              <w:ilvl w:val="0"/>
              <w:numId w:val="25"/>
            </w:numPr>
            <w:spacing w:before="0" w:after="160" w:line="256" w:lineRule="auto"/>
          </w:pPr>
          <w:r>
            <w:t>Australian Tourism in 2020, August 2021</w:t>
          </w:r>
        </w:p>
        <w:p w14:paraId="7B1CF882" w14:textId="7596D83D" w:rsidR="00326915" w:rsidRDefault="00326915" w:rsidP="00B30036">
          <w:pPr>
            <w:pStyle w:val="ListParagraph"/>
            <w:numPr>
              <w:ilvl w:val="0"/>
              <w:numId w:val="25"/>
            </w:numPr>
            <w:spacing w:before="0" w:after="160" w:line="256" w:lineRule="auto"/>
          </w:pPr>
          <w:r>
            <w:t>Domestic tourism forecasts 2021-22 to 2025-26</w:t>
          </w:r>
        </w:p>
        <w:p w14:paraId="28EFAC56" w14:textId="6C05EAB6" w:rsidR="00B30036" w:rsidRDefault="00B30036" w:rsidP="00B30036">
          <w:pPr>
            <w:pStyle w:val="ListParagraph"/>
            <w:numPr>
              <w:ilvl w:val="0"/>
              <w:numId w:val="25"/>
            </w:numPr>
            <w:spacing w:before="0" w:after="160" w:line="256" w:lineRule="auto"/>
          </w:pPr>
          <w:r>
            <w:t>National Visitor Survey (NVS) year ending June 2021, September 2021, December 2021</w:t>
          </w:r>
        </w:p>
        <w:p w14:paraId="0DB33689" w14:textId="275EC235" w:rsidR="00B30036" w:rsidRDefault="00B30036" w:rsidP="00B30036">
          <w:pPr>
            <w:pStyle w:val="ListParagraph"/>
            <w:numPr>
              <w:ilvl w:val="0"/>
              <w:numId w:val="25"/>
            </w:numPr>
            <w:spacing w:before="0" w:after="160" w:line="256" w:lineRule="auto"/>
          </w:pPr>
          <w:r>
            <w:t>National Visitor Survey monthly, various editions</w:t>
          </w:r>
        </w:p>
        <w:p w14:paraId="794D2CBD" w14:textId="1B52118C" w:rsidR="00326915" w:rsidRDefault="00326915" w:rsidP="00B30036">
          <w:pPr>
            <w:pStyle w:val="ListParagraph"/>
            <w:numPr>
              <w:ilvl w:val="0"/>
              <w:numId w:val="25"/>
            </w:numPr>
            <w:spacing w:before="0" w:after="160" w:line="256" w:lineRule="auto"/>
          </w:pPr>
          <w:r>
            <w:t>Tourism businesses in Australia: June 2016 to 2021</w:t>
          </w:r>
        </w:p>
        <w:p w14:paraId="3677F4F6" w14:textId="51824237" w:rsidR="00326915" w:rsidRDefault="00326915" w:rsidP="00B30036">
          <w:pPr>
            <w:pStyle w:val="ListParagraph"/>
            <w:numPr>
              <w:ilvl w:val="0"/>
              <w:numId w:val="25"/>
            </w:numPr>
            <w:spacing w:before="0" w:after="160" w:line="256" w:lineRule="auto"/>
          </w:pPr>
          <w:r>
            <w:t>Tourism Investment Monitor 2020-21</w:t>
          </w:r>
        </w:p>
        <w:p w14:paraId="652E544F" w14:textId="7D51A14A" w:rsidR="003F512C" w:rsidRDefault="003F512C" w:rsidP="003F512C">
          <w:pPr>
            <w:pStyle w:val="Heading4"/>
          </w:pPr>
          <w:r>
            <w:t xml:space="preserve">United Nations World Tourism Organisation (UNWTO) </w:t>
          </w:r>
        </w:p>
        <w:p w14:paraId="61FDB33D" w14:textId="459B97F1" w:rsidR="003F512C" w:rsidRPr="003F512C" w:rsidRDefault="003F512C" w:rsidP="003F512C">
          <w:pPr>
            <w:pStyle w:val="ListParagraph"/>
            <w:numPr>
              <w:ilvl w:val="0"/>
              <w:numId w:val="25"/>
            </w:numPr>
            <w:spacing w:before="0" w:after="160" w:line="256" w:lineRule="auto"/>
          </w:pPr>
          <w:r w:rsidRPr="003F512C">
            <w:t>One Planet Vision for a Responsible Recovery of the Tourism Sector</w:t>
          </w:r>
        </w:p>
        <w:p w14:paraId="596E06C9" w14:textId="25A62037" w:rsidR="003F512C" w:rsidRPr="00223909" w:rsidRDefault="003F512C" w:rsidP="003F512C">
          <w:pPr>
            <w:pStyle w:val="ListParagraph"/>
            <w:numPr>
              <w:ilvl w:val="0"/>
              <w:numId w:val="25"/>
            </w:numPr>
            <w:spacing w:before="0" w:after="160" w:line="256" w:lineRule="auto"/>
          </w:pPr>
          <w:r w:rsidRPr="003F512C">
            <w:t>International Tourism Highlights</w:t>
          </w:r>
          <w:r>
            <w:t>, 2020</w:t>
          </w:r>
        </w:p>
        <w:p w14:paraId="621C3811" w14:textId="4FEC6DC5" w:rsidR="00B30036" w:rsidRDefault="00B30036" w:rsidP="00D04463">
          <w:pPr>
            <w:pStyle w:val="Heading3"/>
          </w:pPr>
          <w:bookmarkStart w:id="69" w:name="_Toc106097687"/>
          <w:r>
            <w:t>References</w:t>
          </w:r>
          <w:bookmarkEnd w:id="69"/>
        </w:p>
        <w:p w14:paraId="7194C682" w14:textId="523BD862" w:rsidR="00071948" w:rsidRPr="00B30036" w:rsidRDefault="003F512C" w:rsidP="00071948">
          <w:pPr>
            <w:pStyle w:val="ListParagraph"/>
            <w:numPr>
              <w:ilvl w:val="0"/>
              <w:numId w:val="24"/>
            </w:numPr>
            <w:rPr>
              <w:rFonts w:asciiTheme="majorHAnsi" w:hAnsiTheme="majorHAnsi" w:cs="Calibri"/>
              <w:sz w:val="18"/>
              <w:szCs w:val="18"/>
              <w:shd w:val="clear" w:color="auto" w:fill="FFFFFF"/>
            </w:rPr>
          </w:pPr>
          <w:r>
            <w:t xml:space="preserve">Airbnb, </w:t>
          </w:r>
          <w:hyperlink r:id="rId58" w:history="1">
            <w:r w:rsidR="00071948">
              <w:rPr>
                <w:rStyle w:val="Hyperlink"/>
                <w:sz w:val="18"/>
                <w:szCs w:val="18"/>
              </w:rPr>
              <w:t>Businesses get creative with flexible living policies as remote work becomes more permanent</w:t>
            </w:r>
          </w:hyperlink>
          <w:r w:rsidR="00071948">
            <w:rPr>
              <w:sz w:val="18"/>
              <w:szCs w:val="18"/>
            </w:rPr>
            <w:t>, accessed April 2022</w:t>
          </w:r>
        </w:p>
        <w:p w14:paraId="793C7BC0" w14:textId="326E6E50" w:rsidR="003F512C" w:rsidRPr="00B30036" w:rsidRDefault="003F512C" w:rsidP="003F512C">
          <w:pPr>
            <w:pStyle w:val="ListParagraph"/>
            <w:numPr>
              <w:ilvl w:val="0"/>
              <w:numId w:val="24"/>
            </w:numPr>
            <w:rPr>
              <w:sz w:val="16"/>
              <w:szCs w:val="16"/>
            </w:rPr>
          </w:pPr>
          <w:r w:rsidRPr="00B30036">
            <w:rPr>
              <w:sz w:val="18"/>
              <w:szCs w:val="18"/>
            </w:rPr>
            <w:t>Booking.com</w:t>
          </w:r>
          <w:r>
            <w:rPr>
              <w:sz w:val="18"/>
              <w:szCs w:val="18"/>
            </w:rPr>
            <w:t xml:space="preserve">, </w:t>
          </w:r>
          <w:hyperlink r:id="rId59" w:history="1">
            <w:r w:rsidRPr="00B30036">
              <w:rPr>
                <w:rStyle w:val="Hyperlink"/>
                <w:sz w:val="18"/>
                <w:szCs w:val="18"/>
              </w:rPr>
              <w:t>Sustainable Travel Report</w:t>
            </w:r>
          </w:hyperlink>
          <w:r>
            <w:t xml:space="preserve">, </w:t>
          </w:r>
          <w:r w:rsidR="00AD096F">
            <w:t>April 2022</w:t>
          </w:r>
          <w:r w:rsidRPr="00B30036">
            <w:t xml:space="preserve"> </w:t>
          </w:r>
        </w:p>
        <w:p w14:paraId="34EFB611" w14:textId="17DC6639" w:rsidR="00AD096F" w:rsidRDefault="003F512C" w:rsidP="003F512C">
          <w:pPr>
            <w:pStyle w:val="ListParagraph"/>
            <w:numPr>
              <w:ilvl w:val="0"/>
              <w:numId w:val="24"/>
            </w:numPr>
          </w:pPr>
          <w:r w:rsidRPr="00AD096F">
            <w:t xml:space="preserve">Technavio, </w:t>
          </w:r>
          <w:hyperlink r:id="rId60" w:history="1">
            <w:r w:rsidR="00AD096F" w:rsidRPr="00AD096F">
              <w:rPr>
                <w:rStyle w:val="Hyperlink"/>
              </w:rPr>
              <w:t>Sustainable Tourism Market by Type and Geography – Forecast and Analysis 2021-2025</w:t>
            </w:r>
          </w:hyperlink>
          <w:r w:rsidR="00AD096F">
            <w:t>, November 2021</w:t>
          </w:r>
        </w:p>
        <w:p w14:paraId="677D3241" w14:textId="01F7D6BF" w:rsidR="003F512C" w:rsidRDefault="00AD096F" w:rsidP="00723C3E">
          <w:pPr>
            <w:pStyle w:val="ListParagraph"/>
            <w:numPr>
              <w:ilvl w:val="0"/>
              <w:numId w:val="24"/>
            </w:numPr>
            <w:rPr>
              <w:lang w:eastAsia="zh-CN"/>
            </w:rPr>
          </w:pPr>
          <w:r>
            <w:t xml:space="preserve">World Economic Forum, </w:t>
          </w:r>
          <w:hyperlink r:id="rId61" w:history="1">
            <w:r>
              <w:rPr>
                <w:rStyle w:val="Hyperlink"/>
              </w:rPr>
              <w:t>The Travel &amp; Tourism Competitiveness Report 2019</w:t>
            </w:r>
          </w:hyperlink>
          <w:r>
            <w:t>, September 2019</w:t>
          </w:r>
          <w:r w:rsidR="003F512C" w:rsidRPr="00AD096F">
            <w:t xml:space="preserve"> </w:t>
          </w:r>
        </w:p>
        <w:p w14:paraId="0F184200" w14:textId="6E5026DF" w:rsidR="00723C3E" w:rsidRPr="00723C3E" w:rsidRDefault="00DF02C2" w:rsidP="00723C3E">
          <w:pPr>
            <w:sectPr w:rsidR="00723C3E" w:rsidRPr="00723C3E" w:rsidSect="00B15427">
              <w:type w:val="continuous"/>
              <w:pgSz w:w="11906" w:h="16838"/>
              <w:pgMar w:top="1418" w:right="945" w:bottom="709" w:left="993" w:header="708" w:footer="362" w:gutter="0"/>
              <w:cols w:space="708"/>
              <w:titlePg/>
              <w:docGrid w:linePitch="360"/>
            </w:sectPr>
          </w:pPr>
        </w:p>
      </w:sdtContent>
    </w:sdt>
    <w:p w14:paraId="5F969E26" w14:textId="77777777" w:rsidR="00A35F50" w:rsidRPr="00A35F50" w:rsidRDefault="00A35F50" w:rsidP="0027396B">
      <w:pPr>
        <w:rPr>
          <w:lang w:eastAsia="zh-CN"/>
        </w:rPr>
      </w:pPr>
    </w:p>
    <w:sectPr w:rsidR="00A35F50" w:rsidRPr="00A35F50" w:rsidSect="00501469">
      <w:headerReference w:type="even" r:id="rId62"/>
      <w:headerReference w:type="default" r:id="rId63"/>
      <w:headerReference w:type="first" r:id="rId64"/>
      <w:pgSz w:w="11906" w:h="16838"/>
      <w:pgMar w:top="851" w:right="945" w:bottom="993" w:left="993" w:header="708" w:footer="362"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A7756C" w14:textId="77777777" w:rsidR="00B146B2" w:rsidRDefault="00B146B2" w:rsidP="007B0021">
      <w:r>
        <w:separator/>
      </w:r>
    </w:p>
    <w:p w14:paraId="19506343" w14:textId="77777777" w:rsidR="00B146B2" w:rsidRDefault="00B146B2" w:rsidP="007B0021"/>
  </w:endnote>
  <w:endnote w:type="continuationSeparator" w:id="0">
    <w:p w14:paraId="6CB3B96D" w14:textId="77777777" w:rsidR="00B146B2" w:rsidRDefault="00B146B2" w:rsidP="007B0021">
      <w:r>
        <w:continuationSeparator/>
      </w:r>
    </w:p>
    <w:p w14:paraId="45DD7CF0" w14:textId="77777777" w:rsidR="00B146B2" w:rsidRDefault="00B146B2" w:rsidP="007B00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U Sans BETA Text Medium">
    <w:altName w:val="AU Sans BETA Text Medium"/>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U Sans BETA Text Light">
    <w:altName w:val="AU Sans BETA Text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48C2C3" w14:textId="4CBA230A" w:rsidR="00B146B2" w:rsidRPr="003D0704" w:rsidRDefault="00B146B2" w:rsidP="003D0704">
    <w:pPr>
      <w:pStyle w:val="Footer"/>
      <w:tabs>
        <w:tab w:val="clear" w:pos="4513"/>
        <w:tab w:val="clear" w:pos="9026"/>
        <w:tab w:val="right" w:pos="9923"/>
      </w:tabs>
      <w:spacing w:before="0"/>
      <w:rPr>
        <w:color w:val="7A4282" w:themeColor="accent1"/>
        <w:sz w:val="14"/>
        <w:szCs w:val="14"/>
      </w:rPr>
    </w:pPr>
    <w:r w:rsidRPr="003D0704">
      <w:rPr>
        <w:noProof/>
        <w:color w:val="7A4282" w:themeColor="accent1"/>
        <w:sz w:val="14"/>
        <w:szCs w:val="14"/>
        <w:lang w:eastAsia="en-AU"/>
      </w:rPr>
      <mc:AlternateContent>
        <mc:Choice Requires="wps">
          <w:drawing>
            <wp:anchor distT="0" distB="0" distL="114300" distR="114300" simplePos="0" relativeHeight="251657216" behindDoc="0" locked="0" layoutInCell="1" allowOverlap="1" wp14:anchorId="03F28C4F" wp14:editId="41828F36">
              <wp:simplePos x="0" y="0"/>
              <wp:positionH relativeFrom="column">
                <wp:posOffset>-23495</wp:posOffset>
              </wp:positionH>
              <wp:positionV relativeFrom="paragraph">
                <wp:posOffset>10697</wp:posOffset>
              </wp:positionV>
              <wp:extent cx="6310386" cy="0"/>
              <wp:effectExtent l="0" t="0" r="0" b="0"/>
              <wp:wrapNone/>
              <wp:docPr id="184" name="Straight Connector 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310386"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0A2C44" id="Straight Connector 184" o:spid="_x0000_s1026" alt="&quot;&quot;"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1.85pt,.85pt" to="495.0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" strokecolor="#7a4282 [3204]" strokeweight="1.5pt">
              <v:stroke joinstyle="miter"/>
            </v:line>
          </w:pict>
        </mc:Fallback>
      </mc:AlternateContent>
    </w:r>
    <w:r>
      <w:rPr>
        <w:color w:val="7A4282" w:themeColor="accent1"/>
        <w:sz w:val="14"/>
        <w:szCs w:val="14"/>
      </w:rPr>
      <w:t>State of the Industry 2021</w:t>
    </w:r>
    <w:r>
      <w:rPr>
        <w:color w:val="7A4282" w:themeColor="accent1"/>
        <w:sz w:val="14"/>
        <w:szCs w:val="14"/>
      </w:rPr>
      <w:tab/>
    </w:r>
    <w:r>
      <w:rPr>
        <w:color w:val="7A4282" w:themeColor="accent1"/>
        <w:sz w:val="14"/>
        <w:szCs w:val="14"/>
      </w:rPr>
      <w:fldChar w:fldCharType="begin"/>
    </w:r>
    <w:r>
      <w:rPr>
        <w:color w:val="7A4282" w:themeColor="accent1"/>
        <w:sz w:val="14"/>
        <w:szCs w:val="14"/>
      </w:rPr>
      <w:instrText xml:space="preserve"> PAGE   \* MERGEFORMAT </w:instrText>
    </w:r>
    <w:r>
      <w:rPr>
        <w:color w:val="7A4282" w:themeColor="accent1"/>
        <w:sz w:val="14"/>
        <w:szCs w:val="14"/>
      </w:rPr>
      <w:fldChar w:fldCharType="separate"/>
    </w:r>
    <w:r>
      <w:rPr>
        <w:noProof/>
        <w:color w:val="7A4282" w:themeColor="accent1"/>
        <w:sz w:val="14"/>
        <w:szCs w:val="14"/>
      </w:rPr>
      <w:t>1</w:t>
    </w:r>
    <w:r>
      <w:rPr>
        <w:color w:val="7A4282" w:themeColor="accent1"/>
        <w:sz w:val="14"/>
        <w:szCs w:val="14"/>
      </w:rPr>
      <w:fldChar w:fldCharType="end"/>
    </w:r>
  </w:p>
  <w:p w14:paraId="63F42377" w14:textId="77777777" w:rsidR="00B146B2" w:rsidRDefault="00B146B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4B950" w14:textId="77777777" w:rsidR="00B146B2" w:rsidRPr="003D0704" w:rsidRDefault="00B146B2" w:rsidP="003D0704">
    <w:pPr>
      <w:pStyle w:val="Footer"/>
      <w:tabs>
        <w:tab w:val="clear" w:pos="4513"/>
        <w:tab w:val="clear" w:pos="9026"/>
        <w:tab w:val="center" w:pos="0"/>
        <w:tab w:val="right" w:pos="9923"/>
      </w:tabs>
      <w:spacing w:before="0"/>
      <w:rPr>
        <w:color w:val="7A4282" w:themeColor="accent1"/>
        <w:sz w:val="14"/>
        <w:szCs w:val="14"/>
      </w:rPr>
    </w:pPr>
    <w:r w:rsidRPr="003D0704">
      <w:rPr>
        <w:color w:val="7A4282" w:themeColor="accent1"/>
        <w:sz w:val="14"/>
        <w:szCs w:val="1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C5CFD8" w14:textId="77777777" w:rsidR="00B146B2" w:rsidRDefault="00B146B2" w:rsidP="007B0021">
      <w:r>
        <w:separator/>
      </w:r>
    </w:p>
    <w:p w14:paraId="3DC344A5" w14:textId="77777777" w:rsidR="00B146B2" w:rsidRDefault="00B146B2" w:rsidP="007B0021"/>
  </w:footnote>
  <w:footnote w:type="continuationSeparator" w:id="0">
    <w:p w14:paraId="6F80B151" w14:textId="77777777" w:rsidR="00B146B2" w:rsidRDefault="00B146B2" w:rsidP="007B0021">
      <w:r>
        <w:continuationSeparator/>
      </w:r>
    </w:p>
    <w:p w14:paraId="371F6384" w14:textId="77777777" w:rsidR="00B146B2" w:rsidRDefault="00B146B2" w:rsidP="007B0021"/>
  </w:footnote>
  <w:footnote w:id="1">
    <w:p w14:paraId="4EE23529" w14:textId="73A9CC93" w:rsidR="00B146B2" w:rsidRDefault="00B146B2">
      <w:pPr>
        <w:pStyle w:val="FootnoteText"/>
      </w:pPr>
      <w:r>
        <w:rPr>
          <w:rStyle w:val="FootnoteReference"/>
        </w:rPr>
        <w:footnoteRef/>
      </w:r>
      <w:r>
        <w:t xml:space="preserve"> </w:t>
      </w:r>
      <w:r w:rsidRPr="00C8319A">
        <w:rPr>
          <w:sz w:val="18"/>
          <w:szCs w:val="18"/>
        </w:rPr>
        <w:t xml:space="preserve">See: </w:t>
      </w:r>
      <w:hyperlink r:id="rId1" w:history="1">
        <w:r w:rsidRPr="00C8319A">
          <w:rPr>
            <w:rStyle w:val="Hyperlink"/>
            <w:sz w:val="18"/>
            <w:szCs w:val="18"/>
          </w:rPr>
          <w:t>THRIVE 2030 strategy - Austrade</w:t>
        </w:r>
      </w:hyperlink>
    </w:p>
  </w:footnote>
  <w:footnote w:id="2">
    <w:p w14:paraId="157A87A5" w14:textId="4775D804" w:rsidR="00B146B2" w:rsidRDefault="00B146B2" w:rsidP="001A4516">
      <w:pPr>
        <w:pStyle w:val="FootnoteText"/>
      </w:pPr>
      <w:r>
        <w:rPr>
          <w:rStyle w:val="FootnoteReference"/>
        </w:rPr>
        <w:footnoteRef/>
      </w:r>
      <w:r>
        <w:t xml:space="preserve"> </w:t>
      </w:r>
      <w:r>
        <w:rPr>
          <w:sz w:val="18"/>
          <w:szCs w:val="18"/>
        </w:rPr>
        <w:t>See</w:t>
      </w:r>
      <w:r w:rsidRPr="00E514EC">
        <w:rPr>
          <w:sz w:val="18"/>
          <w:szCs w:val="18"/>
        </w:rPr>
        <w:t xml:space="preserve"> </w:t>
      </w:r>
      <w:hyperlink r:id="rId2" w:history="1">
        <w:r w:rsidRPr="00E514EC">
          <w:rPr>
            <w:rStyle w:val="Hyperlink"/>
            <w:sz w:val="18"/>
            <w:szCs w:val="18"/>
          </w:rPr>
          <w:t>One Planet Vision for a Responsible Recovery of the Tourism Sector | UNWTO</w:t>
        </w:r>
      </w:hyperlink>
      <w:r w:rsidRPr="00E514EC">
        <w:rPr>
          <w:sz w:val="18"/>
          <w:szCs w:val="18"/>
        </w:rPr>
        <w:t>, accessed April 2022.</w:t>
      </w:r>
    </w:p>
  </w:footnote>
  <w:footnote w:id="3">
    <w:p w14:paraId="3A0485B9" w14:textId="79615FEF" w:rsidR="00B146B2" w:rsidRPr="000A23FE" w:rsidRDefault="00B146B2" w:rsidP="000A23FE">
      <w:pPr>
        <w:spacing w:before="0" w:after="0" w:line="240" w:lineRule="auto"/>
        <w:rPr>
          <w:color w:val="0563C1"/>
          <w:u w:val="single"/>
        </w:rPr>
      </w:pPr>
      <w:r>
        <w:rPr>
          <w:rStyle w:val="FootnoteReference"/>
        </w:rPr>
        <w:footnoteRef/>
      </w:r>
      <w:r>
        <w:t xml:space="preserve"> </w:t>
      </w:r>
      <w:r w:rsidRPr="000A23FE">
        <w:rPr>
          <w:sz w:val="18"/>
          <w:szCs w:val="18"/>
        </w:rPr>
        <w:t>For example, the private accommodation booking platform Airbnb reports that stays over 4</w:t>
      </w:r>
      <w:r>
        <w:rPr>
          <w:sz w:val="18"/>
          <w:szCs w:val="18"/>
        </w:rPr>
        <w:t> </w:t>
      </w:r>
      <w:r w:rsidRPr="000A23FE">
        <w:rPr>
          <w:sz w:val="18"/>
          <w:szCs w:val="18"/>
        </w:rPr>
        <w:t>weeks and longer than 3</w:t>
      </w:r>
      <w:r>
        <w:rPr>
          <w:sz w:val="18"/>
          <w:szCs w:val="18"/>
        </w:rPr>
        <w:t> </w:t>
      </w:r>
      <w:r w:rsidRPr="000A23FE">
        <w:rPr>
          <w:sz w:val="18"/>
          <w:szCs w:val="18"/>
        </w:rPr>
        <w:t xml:space="preserve">months have increased during the pandemic period as people take advantage of these more flexible work options: </w:t>
      </w:r>
      <w:hyperlink r:id="rId3" w:history="1">
        <w:r w:rsidRPr="000A23FE">
          <w:rPr>
            <w:rStyle w:val="Hyperlink"/>
            <w:sz w:val="18"/>
            <w:szCs w:val="18"/>
          </w:rPr>
          <w:t>Businesses get creative with flexible living policies as remote work becomes more permanent</w:t>
        </w:r>
      </w:hyperlink>
      <w:r>
        <w:rPr>
          <w:sz w:val="18"/>
          <w:szCs w:val="18"/>
        </w:rPr>
        <w:t>, accessed April 2022.</w:t>
      </w:r>
    </w:p>
  </w:footnote>
  <w:footnote w:id="4">
    <w:p w14:paraId="74B42790" w14:textId="1A766542" w:rsidR="00B146B2" w:rsidRPr="003344F1" w:rsidRDefault="00B146B2">
      <w:pPr>
        <w:pStyle w:val="FootnoteText"/>
        <w:rPr>
          <w:rFonts w:asciiTheme="majorHAnsi" w:hAnsiTheme="majorHAnsi"/>
          <w:color w:val="auto"/>
          <w:sz w:val="18"/>
          <w:szCs w:val="18"/>
        </w:rPr>
      </w:pPr>
      <w:r>
        <w:rPr>
          <w:rStyle w:val="FootnoteReference"/>
        </w:rPr>
        <w:footnoteRef/>
      </w:r>
      <w:r>
        <w:t xml:space="preserve"> </w:t>
      </w:r>
      <w:r w:rsidRPr="00695130">
        <w:rPr>
          <w:sz w:val="18"/>
          <w:szCs w:val="18"/>
        </w:rPr>
        <w:t>See</w:t>
      </w:r>
      <w:r>
        <w:rPr>
          <w:sz w:val="18"/>
          <w:szCs w:val="18"/>
        </w:rPr>
        <w:t xml:space="preserve"> for example, </w:t>
      </w:r>
      <w:r w:rsidRPr="00695130">
        <w:rPr>
          <w:sz w:val="18"/>
          <w:szCs w:val="18"/>
        </w:rPr>
        <w:t xml:space="preserve"> </w:t>
      </w:r>
      <w:hyperlink r:id="rId4" w:history="1">
        <w:r>
          <w:rPr>
            <w:rStyle w:val="Hyperlink"/>
            <w:rFonts w:asciiTheme="majorHAnsi" w:hAnsiTheme="majorHAnsi" w:cs="Calibri"/>
            <w:sz w:val="18"/>
            <w:szCs w:val="18"/>
            <w:shd w:val="clear" w:color="auto" w:fill="FFFFFF"/>
          </w:rPr>
          <w:t>STR Australian Accommodation Monitor 2020-2021</w:t>
        </w:r>
      </w:hyperlink>
      <w:r w:rsidRPr="00695130">
        <w:rPr>
          <w:rFonts w:asciiTheme="majorHAnsi" w:hAnsiTheme="majorHAnsi" w:cs="Calibri"/>
          <w:color w:val="auto"/>
          <w:sz w:val="18"/>
          <w:szCs w:val="18"/>
          <w:shd w:val="clear" w:color="auto" w:fill="FFFFFF"/>
        </w:rPr>
        <w:t>.</w:t>
      </w:r>
      <w:r>
        <w:rPr>
          <w:rFonts w:asciiTheme="majorHAnsi" w:hAnsiTheme="majorHAnsi" w:cs="Calibri"/>
          <w:color w:val="auto"/>
          <w:sz w:val="18"/>
          <w:szCs w:val="18"/>
          <w:shd w:val="clear" w:color="auto" w:fill="FFFFFF"/>
        </w:rPr>
        <w:t xml:space="preserve"> </w:t>
      </w:r>
    </w:p>
  </w:footnote>
  <w:footnote w:id="5">
    <w:p w14:paraId="5EFBAB5B" w14:textId="2E76AFA6" w:rsidR="00B146B2" w:rsidRPr="00695130" w:rsidRDefault="00B146B2">
      <w:pPr>
        <w:pStyle w:val="FootnoteText"/>
        <w:rPr>
          <w:sz w:val="18"/>
          <w:szCs w:val="18"/>
        </w:rPr>
      </w:pPr>
      <w:r>
        <w:rPr>
          <w:rStyle w:val="FootnoteReference"/>
        </w:rPr>
        <w:footnoteRef/>
      </w:r>
      <w:r>
        <w:t xml:space="preserve"> </w:t>
      </w:r>
      <w:r w:rsidRPr="00695130">
        <w:rPr>
          <w:sz w:val="18"/>
          <w:szCs w:val="18"/>
        </w:rPr>
        <w:t xml:space="preserve">Based on projects in the pipeline measured by TRA’s annual </w:t>
      </w:r>
      <w:hyperlink r:id="rId5" w:history="1">
        <w:r w:rsidRPr="007C5583">
          <w:rPr>
            <w:rStyle w:val="Hyperlink"/>
            <w:sz w:val="18"/>
            <w:szCs w:val="18"/>
          </w:rPr>
          <w:t>Tourism Investment Monitor</w:t>
        </w:r>
      </w:hyperlink>
      <w:r w:rsidRPr="00695130">
        <w:rPr>
          <w:sz w:val="18"/>
          <w:szCs w:val="18"/>
        </w:rPr>
        <w:t>.</w:t>
      </w:r>
    </w:p>
  </w:footnote>
  <w:footnote w:id="6">
    <w:p w14:paraId="6F570C4B" w14:textId="11CE4061" w:rsidR="00B146B2" w:rsidRPr="008B5BF0" w:rsidRDefault="00B146B2" w:rsidP="008B5BF0">
      <w:pPr>
        <w:spacing w:before="0" w:after="0" w:line="240" w:lineRule="auto"/>
        <w:rPr>
          <w:sz w:val="18"/>
          <w:szCs w:val="18"/>
        </w:rPr>
      </w:pPr>
      <w:r>
        <w:rPr>
          <w:rStyle w:val="FootnoteReference"/>
        </w:rPr>
        <w:footnoteRef/>
      </w:r>
      <w:r>
        <w:t xml:space="preserve"> </w:t>
      </w:r>
      <w:r w:rsidRPr="008B5BF0">
        <w:rPr>
          <w:sz w:val="18"/>
          <w:szCs w:val="18"/>
        </w:rPr>
        <w:t>Specific programs include</w:t>
      </w:r>
      <w:r>
        <w:rPr>
          <w:sz w:val="18"/>
          <w:szCs w:val="18"/>
        </w:rPr>
        <w:t>d</w:t>
      </w:r>
      <w:r w:rsidRPr="008B5BF0">
        <w:rPr>
          <w:sz w:val="18"/>
          <w:szCs w:val="18"/>
        </w:rPr>
        <w:t xml:space="preserve"> </w:t>
      </w:r>
      <w:r>
        <w:rPr>
          <w:sz w:val="18"/>
          <w:szCs w:val="18"/>
        </w:rPr>
        <w:t xml:space="preserve">the </w:t>
      </w:r>
      <w:r w:rsidRPr="008B5BF0">
        <w:rPr>
          <w:sz w:val="18"/>
          <w:szCs w:val="18"/>
        </w:rPr>
        <w:t>Australian Airline Financial Relief Package, International Aviation Support, Domestic Aviation Network Support, Regional Airline Network Support, Tourism and Aviation Network Support, Regional Airports Screening Infrastructure, International Airports Security Costs Rebate, Domestic Airports Security Costs Support, Retaining Domestic Airline Capability, Regional Airlines Funding Assistance</w:t>
      </w:r>
      <w:r>
        <w:rPr>
          <w:sz w:val="18"/>
          <w:szCs w:val="18"/>
        </w:rPr>
        <w:t xml:space="preserve"> and</w:t>
      </w:r>
      <w:r w:rsidRPr="008B5BF0">
        <w:rPr>
          <w:sz w:val="18"/>
          <w:szCs w:val="18"/>
        </w:rPr>
        <w:t xml:space="preserve"> Aviation Services Accreditation Support.</w:t>
      </w:r>
    </w:p>
  </w:footnote>
  <w:footnote w:id="7">
    <w:p w14:paraId="76770510" w14:textId="78701CBE" w:rsidR="00B146B2" w:rsidRPr="00A362F7" w:rsidRDefault="00B146B2">
      <w:pPr>
        <w:pStyle w:val="FootnoteText"/>
        <w:rPr>
          <w:sz w:val="18"/>
          <w:szCs w:val="18"/>
        </w:rPr>
      </w:pPr>
      <w:r w:rsidRPr="00A362F7">
        <w:rPr>
          <w:rStyle w:val="FootnoteReference"/>
          <w:sz w:val="18"/>
          <w:szCs w:val="18"/>
        </w:rPr>
        <w:footnoteRef/>
      </w:r>
      <w:r w:rsidRPr="00A362F7">
        <w:rPr>
          <w:sz w:val="18"/>
          <w:szCs w:val="18"/>
        </w:rPr>
        <w:t xml:space="preserve"> Subject to confirmation by the incoming government.</w:t>
      </w:r>
    </w:p>
  </w:footnote>
  <w:footnote w:id="8">
    <w:p w14:paraId="5BD03F8A" w14:textId="77777777" w:rsidR="00B146B2" w:rsidRDefault="00B146B2" w:rsidP="00197C85">
      <w:pPr>
        <w:pStyle w:val="FootnoteText"/>
      </w:pPr>
      <w:r>
        <w:rPr>
          <w:rStyle w:val="FootnoteReference"/>
        </w:rPr>
        <w:footnoteRef/>
      </w:r>
      <w:r>
        <w:t xml:space="preserve"> </w:t>
      </w:r>
      <w:r w:rsidRPr="00A362F7">
        <w:rPr>
          <w:sz w:val="18"/>
          <w:szCs w:val="18"/>
        </w:rPr>
        <w:t>Subject to confirmation by the incoming government.</w:t>
      </w:r>
    </w:p>
  </w:footnote>
  <w:footnote w:id="9">
    <w:p w14:paraId="040D212F" w14:textId="77777777" w:rsidR="00B146B2" w:rsidRPr="005243E6" w:rsidRDefault="00B146B2" w:rsidP="00E43BCB">
      <w:pPr>
        <w:spacing w:before="0" w:after="0" w:line="240" w:lineRule="auto"/>
        <w:rPr>
          <w:sz w:val="16"/>
          <w:szCs w:val="16"/>
        </w:rPr>
      </w:pPr>
      <w:r>
        <w:rPr>
          <w:rStyle w:val="FootnoteReference"/>
        </w:rPr>
        <w:footnoteRef/>
      </w:r>
      <w:r>
        <w:t xml:space="preserve"> </w:t>
      </w:r>
      <w:r w:rsidRPr="005243E6">
        <w:rPr>
          <w:sz w:val="16"/>
          <w:szCs w:val="16"/>
        </w:rPr>
        <w:t>Skyscanner has also invested in technologies and innovations that aim to make travel more sustainable in the future, such as sustainable aviation fuel (SAF)</w:t>
      </w:r>
      <w:r>
        <w:rPr>
          <w:sz w:val="16"/>
          <w:szCs w:val="16"/>
        </w:rPr>
        <w:t>, which</w:t>
      </w:r>
      <w:r w:rsidRPr="005243E6">
        <w:rPr>
          <w:sz w:val="16"/>
          <w:szCs w:val="16"/>
        </w:rPr>
        <w:t xml:space="preserve"> use</w:t>
      </w:r>
      <w:r>
        <w:rPr>
          <w:sz w:val="16"/>
          <w:szCs w:val="16"/>
        </w:rPr>
        <w:t>s</w:t>
      </w:r>
      <w:r w:rsidRPr="005243E6">
        <w:rPr>
          <w:sz w:val="16"/>
          <w:szCs w:val="16"/>
        </w:rPr>
        <w:t xml:space="preserve"> sustainable sources such as biomass, waste oil, and green waste, rather than fossil fuel resources to produce fuel. Use of SAF has increased dramatically since it was first trialled in 2016. The transition to using predominantly SAF in the aviation industry is expected to contribute 65% of the reduction in emissions required by aviation to reach the net-zero target by 2050. Source: </w:t>
      </w:r>
      <w:hyperlink r:id="rId6" w:history="1">
        <w:r w:rsidRPr="005243E6">
          <w:rPr>
            <w:rStyle w:val="Hyperlink"/>
            <w:sz w:val="16"/>
            <w:szCs w:val="16"/>
          </w:rPr>
          <w:t>Net zero 2050: sustainable aviation fuels (iata.org)</w:t>
        </w:r>
      </w:hyperlink>
      <w:r w:rsidRPr="005243E6">
        <w:rPr>
          <w:sz w:val="16"/>
          <w:szCs w:val="16"/>
        </w:rPr>
        <w:t>, accessed April 2022</w:t>
      </w:r>
    </w:p>
  </w:footnote>
  <w:footnote w:id="10">
    <w:p w14:paraId="3BF91220" w14:textId="1EF15CCE" w:rsidR="00B146B2" w:rsidRPr="005243E6" w:rsidRDefault="00B146B2" w:rsidP="00BD1310">
      <w:pPr>
        <w:pStyle w:val="FootnoteText"/>
        <w:rPr>
          <w:sz w:val="16"/>
          <w:szCs w:val="16"/>
        </w:rPr>
      </w:pPr>
      <w:r w:rsidRPr="005243E6">
        <w:rPr>
          <w:rStyle w:val="FootnoteReference"/>
          <w:sz w:val="16"/>
          <w:szCs w:val="16"/>
        </w:rPr>
        <w:footnoteRef/>
      </w:r>
      <w:r w:rsidRPr="005243E6">
        <w:rPr>
          <w:sz w:val="16"/>
          <w:szCs w:val="16"/>
        </w:rPr>
        <w:t xml:space="preserve"> </w:t>
      </w:r>
      <w:hyperlink r:id="rId7" w:history="1">
        <w:r w:rsidRPr="005243E6">
          <w:rPr>
            <w:rStyle w:val="Hyperlink"/>
            <w:sz w:val="16"/>
            <w:szCs w:val="16"/>
          </w:rPr>
          <w:t>Opportunities for the Visitor Economy report</w:t>
        </w:r>
      </w:hyperlink>
      <w:r w:rsidRPr="005243E6">
        <w:rPr>
          <w:sz w:val="16"/>
          <w:szCs w:val="16"/>
        </w:rPr>
        <w:t>, 2021, accessed April 2022. Technavio, Global Sustainable Tourism Market 2019-2023, 2020</w:t>
      </w:r>
    </w:p>
  </w:footnote>
  <w:footnote w:id="11">
    <w:p w14:paraId="56663073" w14:textId="18CF2A3C" w:rsidR="00B146B2" w:rsidRDefault="00B146B2">
      <w:pPr>
        <w:pStyle w:val="FootnoteText"/>
      </w:pPr>
      <w:r>
        <w:rPr>
          <w:rStyle w:val="FootnoteReference"/>
        </w:rPr>
        <w:footnoteRef/>
      </w:r>
      <w:r>
        <w:t xml:space="preserve"> </w:t>
      </w:r>
      <w:r w:rsidRPr="00223909">
        <w:rPr>
          <w:sz w:val="18"/>
          <w:szCs w:val="18"/>
        </w:rPr>
        <w:t>Tourism Research Australia did not produce forecasts for international travel in 2021 given the highly uncertain outlook for international tourism at the time.</w:t>
      </w:r>
    </w:p>
  </w:footnote>
  <w:footnote w:id="12">
    <w:p w14:paraId="09A7F229" w14:textId="1E514B2D" w:rsidR="00B146B2" w:rsidRDefault="00B146B2">
      <w:pPr>
        <w:pStyle w:val="FootnoteText"/>
      </w:pPr>
      <w:r>
        <w:rPr>
          <w:rStyle w:val="FootnoteReference"/>
        </w:rPr>
        <w:footnoteRef/>
      </w:r>
      <w:r>
        <w:t xml:space="preserve"> </w:t>
      </w:r>
      <w:r>
        <w:rPr>
          <w:sz w:val="18"/>
          <w:szCs w:val="18"/>
        </w:rPr>
        <w:t>See</w:t>
      </w:r>
      <w:r w:rsidRPr="00476803">
        <w:rPr>
          <w:sz w:val="18"/>
          <w:szCs w:val="18"/>
        </w:rPr>
        <w:t xml:space="preserve"> </w:t>
      </w:r>
      <w:r>
        <w:rPr>
          <w:sz w:val="18"/>
          <w:szCs w:val="18"/>
        </w:rPr>
        <w:t>‘</w:t>
      </w:r>
      <w:hyperlink r:id="rId8" w:history="1">
        <w:r w:rsidRPr="00476803">
          <w:rPr>
            <w:rStyle w:val="Hyperlink"/>
            <w:sz w:val="18"/>
            <w:szCs w:val="18"/>
          </w:rPr>
          <w:t>Passenger Recovery Accelerates in February</w:t>
        </w:r>
      </w:hyperlink>
      <w:r>
        <w:rPr>
          <w:rStyle w:val="Hyperlink"/>
          <w:sz w:val="18"/>
          <w:szCs w:val="18"/>
        </w:rPr>
        <w:t>’</w:t>
      </w:r>
      <w:r w:rsidRPr="00476803">
        <w:rPr>
          <w:sz w:val="18"/>
          <w:szCs w:val="18"/>
        </w:rPr>
        <w:t>, accessed April 2022.</w:t>
      </w:r>
    </w:p>
  </w:footnote>
  <w:footnote w:id="13">
    <w:p w14:paraId="1E7C3D84" w14:textId="2FBDB672" w:rsidR="00B146B2" w:rsidRPr="00C17141" w:rsidRDefault="00B146B2">
      <w:pPr>
        <w:pStyle w:val="FootnoteText"/>
        <w:rPr>
          <w:i/>
          <w:iCs/>
        </w:rPr>
      </w:pPr>
      <w:r>
        <w:rPr>
          <w:rStyle w:val="FootnoteReference"/>
        </w:rPr>
        <w:footnoteRef/>
      </w:r>
      <w:r>
        <w:t xml:space="preserve"> UNWTO 2020, </w:t>
      </w:r>
      <w:r>
        <w:rPr>
          <w:i/>
          <w:iCs/>
        </w:rPr>
        <w:t>International Tourism Highlights.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B786E4" w14:textId="77777777" w:rsidR="00B146B2" w:rsidRDefault="00B146B2" w:rsidP="007B0021">
    <w:pPr>
      <w:pStyle w:val="Header"/>
    </w:pPr>
  </w:p>
  <w:p w14:paraId="1BBE9B97" w14:textId="77777777" w:rsidR="00B146B2" w:rsidRDefault="00B146B2" w:rsidP="007B002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EE38F" w14:textId="77777777" w:rsidR="00B146B2" w:rsidRDefault="00B146B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787020" w14:textId="77777777" w:rsidR="00B146B2" w:rsidRDefault="00B146B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80A9AD" w14:textId="77777777" w:rsidR="00B146B2" w:rsidRDefault="00B146B2" w:rsidP="007B0021">
    <w:pPr>
      <w:pStyle w:val="Header"/>
    </w:pPr>
  </w:p>
  <w:p w14:paraId="37FA2817" w14:textId="77777777" w:rsidR="00B146B2" w:rsidRDefault="00B146B2" w:rsidP="007B002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072F7"/>
    <w:multiLevelType w:val="hybridMultilevel"/>
    <w:tmpl w:val="1ADE30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11C4A0B"/>
    <w:multiLevelType w:val="hybridMultilevel"/>
    <w:tmpl w:val="9DE6FD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24E0A80"/>
    <w:multiLevelType w:val="hybridMultilevel"/>
    <w:tmpl w:val="E76480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2114E9"/>
    <w:multiLevelType w:val="hybridMultilevel"/>
    <w:tmpl w:val="DD129FB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0B061C70"/>
    <w:multiLevelType w:val="hybridMultilevel"/>
    <w:tmpl w:val="43D80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62205B"/>
    <w:multiLevelType w:val="hybridMultilevel"/>
    <w:tmpl w:val="F670D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1D4BB5"/>
    <w:multiLevelType w:val="hybridMultilevel"/>
    <w:tmpl w:val="4A5075F4"/>
    <w:lvl w:ilvl="0" w:tplc="52225C6A">
      <w:start w:val="1"/>
      <w:numFmt w:val="bullet"/>
      <w:pStyle w:val="Indent1"/>
      <w:lvlText w:val=""/>
      <w:lvlJc w:val="left"/>
      <w:pPr>
        <w:tabs>
          <w:tab w:val="num" w:pos="397"/>
        </w:tabs>
        <w:ind w:left="397" w:hanging="397"/>
      </w:pPr>
      <w:rPr>
        <w:rFonts w:ascii="Symbol" w:hAnsi="Symbol" w:hint="default"/>
        <w:b w:val="0"/>
        <w:i w:val="0"/>
      </w:rPr>
    </w:lvl>
    <w:lvl w:ilvl="1" w:tplc="677C9F7E">
      <w:start w:val="1"/>
      <w:numFmt w:val="bullet"/>
      <w:lvlText w:val=""/>
      <w:lvlJc w:val="left"/>
      <w:pPr>
        <w:tabs>
          <w:tab w:val="num" w:pos="1015"/>
        </w:tabs>
        <w:ind w:left="1015" w:hanging="360"/>
      </w:pPr>
      <w:rPr>
        <w:rFonts w:ascii="Symbol" w:hAnsi="Symbol" w:hint="default"/>
        <w:b w:val="0"/>
        <w:i w:val="0"/>
      </w:rPr>
    </w:lvl>
    <w:lvl w:ilvl="2" w:tplc="0C09001B">
      <w:start w:val="1"/>
      <w:numFmt w:val="lowerRoman"/>
      <w:lvlText w:val="%3."/>
      <w:lvlJc w:val="right"/>
      <w:pPr>
        <w:tabs>
          <w:tab w:val="num" w:pos="1735"/>
        </w:tabs>
        <w:ind w:left="1735" w:hanging="180"/>
      </w:pPr>
    </w:lvl>
    <w:lvl w:ilvl="3" w:tplc="0C09000F">
      <w:start w:val="1"/>
      <w:numFmt w:val="decimal"/>
      <w:lvlText w:val="%4."/>
      <w:lvlJc w:val="left"/>
      <w:pPr>
        <w:tabs>
          <w:tab w:val="num" w:pos="2455"/>
        </w:tabs>
        <w:ind w:left="2455" w:hanging="360"/>
      </w:pPr>
    </w:lvl>
    <w:lvl w:ilvl="4" w:tplc="0C090019">
      <w:start w:val="1"/>
      <w:numFmt w:val="lowerLetter"/>
      <w:lvlText w:val="%5."/>
      <w:lvlJc w:val="left"/>
      <w:pPr>
        <w:tabs>
          <w:tab w:val="num" w:pos="3175"/>
        </w:tabs>
        <w:ind w:left="3175" w:hanging="360"/>
      </w:pPr>
    </w:lvl>
    <w:lvl w:ilvl="5" w:tplc="0C09001B">
      <w:start w:val="1"/>
      <w:numFmt w:val="lowerRoman"/>
      <w:lvlText w:val="%6."/>
      <w:lvlJc w:val="right"/>
      <w:pPr>
        <w:tabs>
          <w:tab w:val="num" w:pos="3895"/>
        </w:tabs>
        <w:ind w:left="3895" w:hanging="180"/>
      </w:pPr>
    </w:lvl>
    <w:lvl w:ilvl="6" w:tplc="0C09000F">
      <w:start w:val="1"/>
      <w:numFmt w:val="decimal"/>
      <w:lvlText w:val="%7."/>
      <w:lvlJc w:val="left"/>
      <w:pPr>
        <w:tabs>
          <w:tab w:val="num" w:pos="4615"/>
        </w:tabs>
        <w:ind w:left="4615" w:hanging="360"/>
      </w:pPr>
    </w:lvl>
    <w:lvl w:ilvl="7" w:tplc="0C090019">
      <w:start w:val="1"/>
      <w:numFmt w:val="lowerLetter"/>
      <w:lvlText w:val="%8."/>
      <w:lvlJc w:val="left"/>
      <w:pPr>
        <w:tabs>
          <w:tab w:val="num" w:pos="5335"/>
        </w:tabs>
        <w:ind w:left="5335" w:hanging="360"/>
      </w:pPr>
    </w:lvl>
    <w:lvl w:ilvl="8" w:tplc="0C09001B">
      <w:start w:val="1"/>
      <w:numFmt w:val="lowerRoman"/>
      <w:lvlText w:val="%9."/>
      <w:lvlJc w:val="right"/>
      <w:pPr>
        <w:tabs>
          <w:tab w:val="num" w:pos="6055"/>
        </w:tabs>
        <w:ind w:left="6055" w:hanging="180"/>
      </w:pPr>
    </w:lvl>
  </w:abstractNum>
  <w:abstractNum w:abstractNumId="7" w15:restartNumberingAfterBreak="0">
    <w:nsid w:val="176C3FAD"/>
    <w:multiLevelType w:val="hybridMultilevel"/>
    <w:tmpl w:val="07A47E46"/>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19A45F23"/>
    <w:multiLevelType w:val="multilevel"/>
    <w:tmpl w:val="E124DA12"/>
    <w:lvl w:ilvl="0">
      <w:numFmt w:val="decimal"/>
      <w:pStyle w:val="ListBullet"/>
      <w:lvlText w:val=""/>
      <w:lvlJc w:val="left"/>
      <w:pPr>
        <w:ind w:left="284" w:hanging="284"/>
      </w:pPr>
      <w:rPr>
        <w:rFonts w:ascii="Symbol" w:hAnsi="Symbol" w:hint="default"/>
        <w:color w:val="E7E6E6"/>
      </w:rPr>
    </w:lvl>
    <w:lvl w:ilvl="1">
      <w:numFmt w:val="decimal"/>
      <w:pStyle w:val="ListBullet2"/>
      <w:lvlText w:val="–"/>
      <w:lvlJc w:val="left"/>
      <w:pPr>
        <w:ind w:left="568" w:hanging="284"/>
      </w:pPr>
      <w:rPr>
        <w:rFonts w:ascii="Calibri" w:hAnsi="Calibri" w:cs="Times New Roman" w:hint="default"/>
        <w:color w:val="E7E6E6"/>
      </w:rPr>
    </w:lvl>
    <w:lvl w:ilvl="2">
      <w:numFmt w:val="decimal"/>
      <w:pStyle w:val="ListBullet3"/>
      <w:lvlText w:val="–"/>
      <w:lvlJc w:val="left"/>
      <w:pPr>
        <w:ind w:left="852" w:hanging="284"/>
      </w:pPr>
      <w:rPr>
        <w:rFonts w:ascii="Calibri" w:hAnsi="Calibri" w:cs="Times New Roman" w:hint="default"/>
        <w:color w:val="E7E6E6"/>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abstractNum w:abstractNumId="9" w15:restartNumberingAfterBreak="0">
    <w:nsid w:val="2C9213F7"/>
    <w:multiLevelType w:val="hybridMultilevel"/>
    <w:tmpl w:val="5F8A85A0"/>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10" w15:restartNumberingAfterBreak="0">
    <w:nsid w:val="31C35409"/>
    <w:multiLevelType w:val="hybridMultilevel"/>
    <w:tmpl w:val="415CBD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359023A2"/>
    <w:multiLevelType w:val="hybridMultilevel"/>
    <w:tmpl w:val="CA940F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366E6081"/>
    <w:multiLevelType w:val="hybridMultilevel"/>
    <w:tmpl w:val="F9D61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98E3E59"/>
    <w:multiLevelType w:val="hybridMultilevel"/>
    <w:tmpl w:val="1F58B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0D903CA"/>
    <w:multiLevelType w:val="hybridMultilevel"/>
    <w:tmpl w:val="0E58C170"/>
    <w:lvl w:ilvl="0" w:tplc="16200BEE">
      <w:start w:val="1"/>
      <w:numFmt w:val="bullet"/>
      <w:pStyle w:val="BulletList"/>
      <w:lvlText w:val=""/>
      <w:lvlJc w:val="left"/>
      <w:pPr>
        <w:ind w:left="786" w:hanging="360"/>
      </w:pPr>
      <w:rPr>
        <w:rFonts w:ascii="Symbol" w:hAnsi="Symbol" w:cs="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cs="Wingdings" w:hint="default"/>
      </w:rPr>
    </w:lvl>
    <w:lvl w:ilvl="3" w:tplc="0C090001" w:tentative="1">
      <w:start w:val="1"/>
      <w:numFmt w:val="bullet"/>
      <w:lvlText w:val=""/>
      <w:lvlJc w:val="left"/>
      <w:pPr>
        <w:ind w:left="3240" w:hanging="360"/>
      </w:pPr>
      <w:rPr>
        <w:rFonts w:ascii="Symbol" w:hAnsi="Symbol" w:cs="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cs="Wingdings" w:hint="default"/>
      </w:rPr>
    </w:lvl>
    <w:lvl w:ilvl="6" w:tplc="0C090001" w:tentative="1">
      <w:start w:val="1"/>
      <w:numFmt w:val="bullet"/>
      <w:lvlText w:val=""/>
      <w:lvlJc w:val="left"/>
      <w:pPr>
        <w:ind w:left="5400" w:hanging="360"/>
      </w:pPr>
      <w:rPr>
        <w:rFonts w:ascii="Symbol" w:hAnsi="Symbol" w:cs="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cs="Wingdings" w:hint="default"/>
      </w:rPr>
    </w:lvl>
  </w:abstractNum>
  <w:abstractNum w:abstractNumId="15" w15:restartNumberingAfterBreak="0">
    <w:nsid w:val="4C384B8C"/>
    <w:multiLevelType w:val="hybridMultilevel"/>
    <w:tmpl w:val="13B450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4D643664"/>
    <w:multiLevelType w:val="hybridMultilevel"/>
    <w:tmpl w:val="26FCED0E"/>
    <w:lvl w:ilvl="0" w:tplc="D74C2B72">
      <w:start w:val="1"/>
      <w:numFmt w:val="decimal"/>
      <w:pStyle w:val="NumberedLis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00F0BD7"/>
    <w:multiLevelType w:val="hybridMultilevel"/>
    <w:tmpl w:val="BDAC091C"/>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18" w15:restartNumberingAfterBreak="0">
    <w:nsid w:val="585B6E04"/>
    <w:multiLevelType w:val="multilevel"/>
    <w:tmpl w:val="D4962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D6C3C4D"/>
    <w:multiLevelType w:val="hybridMultilevel"/>
    <w:tmpl w:val="A56E05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B7E1F6F"/>
    <w:multiLevelType w:val="hybridMultilevel"/>
    <w:tmpl w:val="CBFCFA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6F1B28AF"/>
    <w:multiLevelType w:val="hybridMultilevel"/>
    <w:tmpl w:val="39083018"/>
    <w:lvl w:ilvl="0" w:tplc="CAB62ED6">
      <w:start w:val="2022"/>
      <w:numFmt w:val="bullet"/>
      <w:lvlText w:val="-"/>
      <w:lvlJc w:val="left"/>
      <w:pPr>
        <w:ind w:left="720" w:hanging="360"/>
      </w:pPr>
      <w:rPr>
        <w:rFonts w:ascii="Verdana" w:eastAsiaTheme="minorHAnsi" w:hAnsi="Verdan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6527FB2"/>
    <w:multiLevelType w:val="hybridMultilevel"/>
    <w:tmpl w:val="42F40E7E"/>
    <w:lvl w:ilvl="0" w:tplc="64AA38B8">
      <w:start w:val="11"/>
      <w:numFmt w:val="bullet"/>
      <w:lvlText w:val="-"/>
      <w:lvlJc w:val="left"/>
      <w:pPr>
        <w:ind w:left="720" w:hanging="360"/>
      </w:pPr>
      <w:rPr>
        <w:rFonts w:ascii="Verdana" w:eastAsiaTheme="minorHAnsi" w:hAnsi="Verdan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81C20E4"/>
    <w:multiLevelType w:val="hybridMultilevel"/>
    <w:tmpl w:val="EC8A2A1C"/>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24" w15:restartNumberingAfterBreak="0">
    <w:nsid w:val="7C74536A"/>
    <w:multiLevelType w:val="hybridMultilevel"/>
    <w:tmpl w:val="BD84E8D8"/>
    <w:lvl w:ilvl="0" w:tplc="0C090001">
      <w:start w:val="1"/>
      <w:numFmt w:val="bullet"/>
      <w:lvlText w:val=""/>
      <w:lvlJc w:val="left"/>
      <w:pPr>
        <w:ind w:left="795" w:hanging="360"/>
      </w:pPr>
      <w:rPr>
        <w:rFonts w:ascii="Symbol" w:hAnsi="Symbol" w:hint="default"/>
      </w:rPr>
    </w:lvl>
    <w:lvl w:ilvl="1" w:tplc="0C090003">
      <w:start w:val="1"/>
      <w:numFmt w:val="bullet"/>
      <w:lvlText w:val="o"/>
      <w:lvlJc w:val="left"/>
      <w:pPr>
        <w:ind w:left="1515" w:hanging="360"/>
      </w:pPr>
      <w:rPr>
        <w:rFonts w:ascii="Courier New" w:hAnsi="Courier New" w:cs="Courier New" w:hint="default"/>
      </w:rPr>
    </w:lvl>
    <w:lvl w:ilvl="2" w:tplc="0C090005">
      <w:start w:val="1"/>
      <w:numFmt w:val="bullet"/>
      <w:lvlText w:val=""/>
      <w:lvlJc w:val="left"/>
      <w:pPr>
        <w:ind w:left="2235" w:hanging="360"/>
      </w:pPr>
      <w:rPr>
        <w:rFonts w:ascii="Wingdings" w:hAnsi="Wingdings" w:hint="default"/>
      </w:rPr>
    </w:lvl>
    <w:lvl w:ilvl="3" w:tplc="0C090001">
      <w:start w:val="1"/>
      <w:numFmt w:val="bullet"/>
      <w:lvlText w:val=""/>
      <w:lvlJc w:val="left"/>
      <w:pPr>
        <w:ind w:left="2955" w:hanging="360"/>
      </w:pPr>
      <w:rPr>
        <w:rFonts w:ascii="Symbol" w:hAnsi="Symbol" w:hint="default"/>
      </w:rPr>
    </w:lvl>
    <w:lvl w:ilvl="4" w:tplc="0C090003">
      <w:start w:val="1"/>
      <w:numFmt w:val="bullet"/>
      <w:lvlText w:val="o"/>
      <w:lvlJc w:val="left"/>
      <w:pPr>
        <w:ind w:left="3675" w:hanging="360"/>
      </w:pPr>
      <w:rPr>
        <w:rFonts w:ascii="Courier New" w:hAnsi="Courier New" w:cs="Courier New" w:hint="default"/>
      </w:rPr>
    </w:lvl>
    <w:lvl w:ilvl="5" w:tplc="0C090005">
      <w:start w:val="1"/>
      <w:numFmt w:val="bullet"/>
      <w:lvlText w:val=""/>
      <w:lvlJc w:val="left"/>
      <w:pPr>
        <w:ind w:left="4395" w:hanging="360"/>
      </w:pPr>
      <w:rPr>
        <w:rFonts w:ascii="Wingdings" w:hAnsi="Wingdings" w:hint="default"/>
      </w:rPr>
    </w:lvl>
    <w:lvl w:ilvl="6" w:tplc="0C090001">
      <w:start w:val="1"/>
      <w:numFmt w:val="bullet"/>
      <w:lvlText w:val=""/>
      <w:lvlJc w:val="left"/>
      <w:pPr>
        <w:ind w:left="5115" w:hanging="360"/>
      </w:pPr>
      <w:rPr>
        <w:rFonts w:ascii="Symbol" w:hAnsi="Symbol" w:hint="default"/>
      </w:rPr>
    </w:lvl>
    <w:lvl w:ilvl="7" w:tplc="0C090003">
      <w:start w:val="1"/>
      <w:numFmt w:val="bullet"/>
      <w:lvlText w:val="o"/>
      <w:lvlJc w:val="left"/>
      <w:pPr>
        <w:ind w:left="5835" w:hanging="360"/>
      </w:pPr>
      <w:rPr>
        <w:rFonts w:ascii="Courier New" w:hAnsi="Courier New" w:cs="Courier New" w:hint="default"/>
      </w:rPr>
    </w:lvl>
    <w:lvl w:ilvl="8" w:tplc="0C090005">
      <w:start w:val="1"/>
      <w:numFmt w:val="bullet"/>
      <w:lvlText w:val=""/>
      <w:lvlJc w:val="left"/>
      <w:pPr>
        <w:ind w:left="6555" w:hanging="360"/>
      </w:pPr>
      <w:rPr>
        <w:rFonts w:ascii="Wingdings" w:hAnsi="Wingdings" w:hint="default"/>
      </w:rPr>
    </w:lvl>
  </w:abstractNum>
  <w:abstractNum w:abstractNumId="25" w15:restartNumberingAfterBreak="0">
    <w:nsid w:val="7D81106E"/>
    <w:multiLevelType w:val="hybridMultilevel"/>
    <w:tmpl w:val="08761616"/>
    <w:lvl w:ilvl="0" w:tplc="0C090001">
      <w:start w:val="1"/>
      <w:numFmt w:val="bullet"/>
      <w:lvlText w:val=""/>
      <w:lvlJc w:val="left"/>
      <w:pPr>
        <w:ind w:left="1304" w:hanging="360"/>
      </w:pPr>
      <w:rPr>
        <w:rFonts w:ascii="Symbol" w:hAnsi="Symbol" w:hint="default"/>
      </w:rPr>
    </w:lvl>
    <w:lvl w:ilvl="1" w:tplc="0C090003" w:tentative="1">
      <w:start w:val="1"/>
      <w:numFmt w:val="bullet"/>
      <w:lvlText w:val="o"/>
      <w:lvlJc w:val="left"/>
      <w:pPr>
        <w:ind w:left="2024" w:hanging="360"/>
      </w:pPr>
      <w:rPr>
        <w:rFonts w:ascii="Courier New" w:hAnsi="Courier New" w:cs="Courier New" w:hint="default"/>
      </w:rPr>
    </w:lvl>
    <w:lvl w:ilvl="2" w:tplc="0C090005" w:tentative="1">
      <w:start w:val="1"/>
      <w:numFmt w:val="bullet"/>
      <w:lvlText w:val=""/>
      <w:lvlJc w:val="left"/>
      <w:pPr>
        <w:ind w:left="2744" w:hanging="360"/>
      </w:pPr>
      <w:rPr>
        <w:rFonts w:ascii="Wingdings" w:hAnsi="Wingdings" w:hint="default"/>
      </w:rPr>
    </w:lvl>
    <w:lvl w:ilvl="3" w:tplc="0C090001" w:tentative="1">
      <w:start w:val="1"/>
      <w:numFmt w:val="bullet"/>
      <w:lvlText w:val=""/>
      <w:lvlJc w:val="left"/>
      <w:pPr>
        <w:ind w:left="3464" w:hanging="360"/>
      </w:pPr>
      <w:rPr>
        <w:rFonts w:ascii="Symbol" w:hAnsi="Symbol" w:hint="default"/>
      </w:rPr>
    </w:lvl>
    <w:lvl w:ilvl="4" w:tplc="0C090003" w:tentative="1">
      <w:start w:val="1"/>
      <w:numFmt w:val="bullet"/>
      <w:lvlText w:val="o"/>
      <w:lvlJc w:val="left"/>
      <w:pPr>
        <w:ind w:left="4184" w:hanging="360"/>
      </w:pPr>
      <w:rPr>
        <w:rFonts w:ascii="Courier New" w:hAnsi="Courier New" w:cs="Courier New" w:hint="default"/>
      </w:rPr>
    </w:lvl>
    <w:lvl w:ilvl="5" w:tplc="0C090005" w:tentative="1">
      <w:start w:val="1"/>
      <w:numFmt w:val="bullet"/>
      <w:lvlText w:val=""/>
      <w:lvlJc w:val="left"/>
      <w:pPr>
        <w:ind w:left="4904" w:hanging="360"/>
      </w:pPr>
      <w:rPr>
        <w:rFonts w:ascii="Wingdings" w:hAnsi="Wingdings" w:hint="default"/>
      </w:rPr>
    </w:lvl>
    <w:lvl w:ilvl="6" w:tplc="0C090001" w:tentative="1">
      <w:start w:val="1"/>
      <w:numFmt w:val="bullet"/>
      <w:lvlText w:val=""/>
      <w:lvlJc w:val="left"/>
      <w:pPr>
        <w:ind w:left="5624" w:hanging="360"/>
      </w:pPr>
      <w:rPr>
        <w:rFonts w:ascii="Symbol" w:hAnsi="Symbol" w:hint="default"/>
      </w:rPr>
    </w:lvl>
    <w:lvl w:ilvl="7" w:tplc="0C090003" w:tentative="1">
      <w:start w:val="1"/>
      <w:numFmt w:val="bullet"/>
      <w:lvlText w:val="o"/>
      <w:lvlJc w:val="left"/>
      <w:pPr>
        <w:ind w:left="6344" w:hanging="360"/>
      </w:pPr>
      <w:rPr>
        <w:rFonts w:ascii="Courier New" w:hAnsi="Courier New" w:cs="Courier New" w:hint="default"/>
      </w:rPr>
    </w:lvl>
    <w:lvl w:ilvl="8" w:tplc="0C090005" w:tentative="1">
      <w:start w:val="1"/>
      <w:numFmt w:val="bullet"/>
      <w:lvlText w:val=""/>
      <w:lvlJc w:val="left"/>
      <w:pPr>
        <w:ind w:left="7064" w:hanging="360"/>
      </w:pPr>
      <w:rPr>
        <w:rFonts w:ascii="Wingdings" w:hAnsi="Wingdings" w:hint="default"/>
      </w:rPr>
    </w:lvl>
  </w:abstractNum>
  <w:num w:numId="1">
    <w:abstractNumId w:val="14"/>
  </w:num>
  <w:num w:numId="2">
    <w:abstractNumId w:val="16"/>
  </w:num>
  <w:num w:numId="3">
    <w:abstractNumId w:val="7"/>
  </w:num>
  <w:num w:numId="4">
    <w:abstractNumId w:val="9"/>
  </w:num>
  <w:num w:numId="5">
    <w:abstractNumId w:val="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24"/>
  </w:num>
  <w:num w:numId="8">
    <w:abstractNumId w:val="18"/>
  </w:num>
  <w:num w:numId="9">
    <w:abstractNumId w:val="17"/>
  </w:num>
  <w:num w:numId="10">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num>
  <w:num w:numId="12">
    <w:abstractNumId w:val="12"/>
  </w:num>
  <w:num w:numId="13">
    <w:abstractNumId w:val="13"/>
  </w:num>
  <w:num w:numId="14">
    <w:abstractNumId w:val="21"/>
  </w:num>
  <w:num w:numId="15">
    <w:abstractNumId w:val="5"/>
  </w:num>
  <w:num w:numId="16">
    <w:abstractNumId w:val="19"/>
  </w:num>
  <w:num w:numId="17">
    <w:abstractNumId w:val="10"/>
  </w:num>
  <w:num w:numId="18">
    <w:abstractNumId w:val="14"/>
  </w:num>
  <w:num w:numId="19">
    <w:abstractNumId w:val="14"/>
  </w:num>
  <w:num w:numId="20">
    <w:abstractNumId w:val="6"/>
  </w:num>
  <w:num w:numId="21">
    <w:abstractNumId w:val="25"/>
  </w:num>
  <w:num w:numId="22">
    <w:abstractNumId w:val="22"/>
  </w:num>
  <w:num w:numId="23">
    <w:abstractNumId w:val="4"/>
  </w:num>
  <w:num w:numId="24">
    <w:abstractNumId w:val="2"/>
  </w:num>
  <w:num w:numId="25">
    <w:abstractNumId w:val="1"/>
  </w:num>
  <w:num w:numId="26">
    <w:abstractNumId w:val="3"/>
  </w:num>
  <w:num w:numId="27">
    <w:abstractNumId w:val="0"/>
  </w:num>
  <w:num w:numId="28">
    <w:abstractNumId w:val="15"/>
  </w:num>
  <w:num w:numId="29">
    <w:abstractNumId w:val="20"/>
  </w:num>
  <w:num w:numId="30">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hideSpellingErrors/>
  <w:hideGrammaticalErrors/>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7DC2"/>
    <w:rsid w:val="000002F8"/>
    <w:rsid w:val="00000E7A"/>
    <w:rsid w:val="00001BB2"/>
    <w:rsid w:val="00002A9F"/>
    <w:rsid w:val="00005016"/>
    <w:rsid w:val="00005806"/>
    <w:rsid w:val="00007111"/>
    <w:rsid w:val="00007D76"/>
    <w:rsid w:val="00010414"/>
    <w:rsid w:val="00010DED"/>
    <w:rsid w:val="00012536"/>
    <w:rsid w:val="00014A2A"/>
    <w:rsid w:val="00014B48"/>
    <w:rsid w:val="0001591E"/>
    <w:rsid w:val="00015B63"/>
    <w:rsid w:val="00015CBB"/>
    <w:rsid w:val="00015D8A"/>
    <w:rsid w:val="000161D8"/>
    <w:rsid w:val="00022191"/>
    <w:rsid w:val="000244AD"/>
    <w:rsid w:val="0002649D"/>
    <w:rsid w:val="00030923"/>
    <w:rsid w:val="00031CCD"/>
    <w:rsid w:val="0003267F"/>
    <w:rsid w:val="000340BC"/>
    <w:rsid w:val="000350A9"/>
    <w:rsid w:val="0003533D"/>
    <w:rsid w:val="000375E7"/>
    <w:rsid w:val="000379B5"/>
    <w:rsid w:val="00037D51"/>
    <w:rsid w:val="00040441"/>
    <w:rsid w:val="00040F8E"/>
    <w:rsid w:val="000414B5"/>
    <w:rsid w:val="00043348"/>
    <w:rsid w:val="00043B5C"/>
    <w:rsid w:val="00044E06"/>
    <w:rsid w:val="00046194"/>
    <w:rsid w:val="00047C2D"/>
    <w:rsid w:val="00054943"/>
    <w:rsid w:val="00054C5C"/>
    <w:rsid w:val="00055028"/>
    <w:rsid w:val="00061408"/>
    <w:rsid w:val="00062311"/>
    <w:rsid w:val="00063425"/>
    <w:rsid w:val="00065A39"/>
    <w:rsid w:val="00066D88"/>
    <w:rsid w:val="000676CB"/>
    <w:rsid w:val="00071948"/>
    <w:rsid w:val="00071EAF"/>
    <w:rsid w:val="0007203F"/>
    <w:rsid w:val="00073625"/>
    <w:rsid w:val="000743A2"/>
    <w:rsid w:val="0007530B"/>
    <w:rsid w:val="000763B6"/>
    <w:rsid w:val="00076E65"/>
    <w:rsid w:val="0007723D"/>
    <w:rsid w:val="00080EA2"/>
    <w:rsid w:val="00080F1A"/>
    <w:rsid w:val="00081DB2"/>
    <w:rsid w:val="00082358"/>
    <w:rsid w:val="00086B38"/>
    <w:rsid w:val="000870FE"/>
    <w:rsid w:val="00087131"/>
    <w:rsid w:val="00087C83"/>
    <w:rsid w:val="000900D1"/>
    <w:rsid w:val="00090629"/>
    <w:rsid w:val="0009074F"/>
    <w:rsid w:val="000914E4"/>
    <w:rsid w:val="000916CE"/>
    <w:rsid w:val="00092107"/>
    <w:rsid w:val="0009385A"/>
    <w:rsid w:val="000943B5"/>
    <w:rsid w:val="000944A3"/>
    <w:rsid w:val="0009491B"/>
    <w:rsid w:val="00095FA5"/>
    <w:rsid w:val="00097DC3"/>
    <w:rsid w:val="000A15A9"/>
    <w:rsid w:val="000A191D"/>
    <w:rsid w:val="000A23FE"/>
    <w:rsid w:val="000A5409"/>
    <w:rsid w:val="000A5C45"/>
    <w:rsid w:val="000A6327"/>
    <w:rsid w:val="000A7A87"/>
    <w:rsid w:val="000A7E56"/>
    <w:rsid w:val="000B1EC5"/>
    <w:rsid w:val="000B40F6"/>
    <w:rsid w:val="000B672D"/>
    <w:rsid w:val="000B767A"/>
    <w:rsid w:val="000B7FC4"/>
    <w:rsid w:val="000C16D1"/>
    <w:rsid w:val="000C3E82"/>
    <w:rsid w:val="000C5B66"/>
    <w:rsid w:val="000C5F14"/>
    <w:rsid w:val="000C6036"/>
    <w:rsid w:val="000C6EFA"/>
    <w:rsid w:val="000C6FBB"/>
    <w:rsid w:val="000C7093"/>
    <w:rsid w:val="000D1108"/>
    <w:rsid w:val="000D21A6"/>
    <w:rsid w:val="000D3720"/>
    <w:rsid w:val="000D5115"/>
    <w:rsid w:val="000D5AC6"/>
    <w:rsid w:val="000D6A8B"/>
    <w:rsid w:val="000D74DB"/>
    <w:rsid w:val="000E2209"/>
    <w:rsid w:val="000E301B"/>
    <w:rsid w:val="000E52E2"/>
    <w:rsid w:val="000E53A1"/>
    <w:rsid w:val="000E5E06"/>
    <w:rsid w:val="000E6A86"/>
    <w:rsid w:val="000E706B"/>
    <w:rsid w:val="000E7C06"/>
    <w:rsid w:val="000E7E86"/>
    <w:rsid w:val="000F2E56"/>
    <w:rsid w:val="000F3D74"/>
    <w:rsid w:val="000F3EDA"/>
    <w:rsid w:val="000F4C2E"/>
    <w:rsid w:val="000F5504"/>
    <w:rsid w:val="000F5A74"/>
    <w:rsid w:val="000F5BC2"/>
    <w:rsid w:val="000F693F"/>
    <w:rsid w:val="00101BFD"/>
    <w:rsid w:val="0010342B"/>
    <w:rsid w:val="00104054"/>
    <w:rsid w:val="001040B1"/>
    <w:rsid w:val="001059C8"/>
    <w:rsid w:val="00106197"/>
    <w:rsid w:val="001062C4"/>
    <w:rsid w:val="0010664B"/>
    <w:rsid w:val="0010690D"/>
    <w:rsid w:val="00111C8E"/>
    <w:rsid w:val="00111D4D"/>
    <w:rsid w:val="0011225E"/>
    <w:rsid w:val="00115E62"/>
    <w:rsid w:val="001169EC"/>
    <w:rsid w:val="00116A21"/>
    <w:rsid w:val="00117092"/>
    <w:rsid w:val="001207DB"/>
    <w:rsid w:val="00120B2E"/>
    <w:rsid w:val="00121D3C"/>
    <w:rsid w:val="00121FD7"/>
    <w:rsid w:val="001224E2"/>
    <w:rsid w:val="00123695"/>
    <w:rsid w:val="00123B3C"/>
    <w:rsid w:val="00123D78"/>
    <w:rsid w:val="0012425F"/>
    <w:rsid w:val="00125514"/>
    <w:rsid w:val="00126010"/>
    <w:rsid w:val="001276D8"/>
    <w:rsid w:val="001279DD"/>
    <w:rsid w:val="00130680"/>
    <w:rsid w:val="00130C0C"/>
    <w:rsid w:val="00130C10"/>
    <w:rsid w:val="00130EFA"/>
    <w:rsid w:val="001312C6"/>
    <w:rsid w:val="00131B78"/>
    <w:rsid w:val="00135CEA"/>
    <w:rsid w:val="00135F95"/>
    <w:rsid w:val="00137A6E"/>
    <w:rsid w:val="00137C97"/>
    <w:rsid w:val="001417EC"/>
    <w:rsid w:val="00146120"/>
    <w:rsid w:val="00147D40"/>
    <w:rsid w:val="0015725C"/>
    <w:rsid w:val="001579EE"/>
    <w:rsid w:val="00160054"/>
    <w:rsid w:val="00160221"/>
    <w:rsid w:val="001614C6"/>
    <w:rsid w:val="0016168B"/>
    <w:rsid w:val="00161C43"/>
    <w:rsid w:val="00161E40"/>
    <w:rsid w:val="00164B77"/>
    <w:rsid w:val="00164F84"/>
    <w:rsid w:val="0016759A"/>
    <w:rsid w:val="001709A1"/>
    <w:rsid w:val="00170FC8"/>
    <w:rsid w:val="00171E5C"/>
    <w:rsid w:val="001724EB"/>
    <w:rsid w:val="001749FA"/>
    <w:rsid w:val="00180F7D"/>
    <w:rsid w:val="00182963"/>
    <w:rsid w:val="001831E0"/>
    <w:rsid w:val="00183942"/>
    <w:rsid w:val="001840E8"/>
    <w:rsid w:val="00186179"/>
    <w:rsid w:val="001866D7"/>
    <w:rsid w:val="001877F9"/>
    <w:rsid w:val="00187D66"/>
    <w:rsid w:val="0019028D"/>
    <w:rsid w:val="00191680"/>
    <w:rsid w:val="00193E89"/>
    <w:rsid w:val="0019553A"/>
    <w:rsid w:val="00196B33"/>
    <w:rsid w:val="00196D9F"/>
    <w:rsid w:val="00197C60"/>
    <w:rsid w:val="00197C85"/>
    <w:rsid w:val="001A0970"/>
    <w:rsid w:val="001A0B12"/>
    <w:rsid w:val="001A0FB2"/>
    <w:rsid w:val="001A21DF"/>
    <w:rsid w:val="001A250B"/>
    <w:rsid w:val="001A2D71"/>
    <w:rsid w:val="001A4407"/>
    <w:rsid w:val="001A4516"/>
    <w:rsid w:val="001A4A9C"/>
    <w:rsid w:val="001A523F"/>
    <w:rsid w:val="001A5BE0"/>
    <w:rsid w:val="001A5F05"/>
    <w:rsid w:val="001A7529"/>
    <w:rsid w:val="001B08DB"/>
    <w:rsid w:val="001B21C1"/>
    <w:rsid w:val="001B21D0"/>
    <w:rsid w:val="001B3851"/>
    <w:rsid w:val="001B46E4"/>
    <w:rsid w:val="001B63AA"/>
    <w:rsid w:val="001B68FE"/>
    <w:rsid w:val="001B713A"/>
    <w:rsid w:val="001B7957"/>
    <w:rsid w:val="001B7DED"/>
    <w:rsid w:val="001B7FA3"/>
    <w:rsid w:val="001C37D1"/>
    <w:rsid w:val="001C46A2"/>
    <w:rsid w:val="001C53BC"/>
    <w:rsid w:val="001C60D8"/>
    <w:rsid w:val="001C63A8"/>
    <w:rsid w:val="001C67B6"/>
    <w:rsid w:val="001C6E97"/>
    <w:rsid w:val="001C7404"/>
    <w:rsid w:val="001D03BF"/>
    <w:rsid w:val="001D1737"/>
    <w:rsid w:val="001D1BD3"/>
    <w:rsid w:val="001D1FF0"/>
    <w:rsid w:val="001D42C4"/>
    <w:rsid w:val="001D4C13"/>
    <w:rsid w:val="001D6313"/>
    <w:rsid w:val="001E186F"/>
    <w:rsid w:val="001E479D"/>
    <w:rsid w:val="001E594A"/>
    <w:rsid w:val="001E6FA3"/>
    <w:rsid w:val="001E7390"/>
    <w:rsid w:val="001F02E1"/>
    <w:rsid w:val="001F1CC5"/>
    <w:rsid w:val="001F24D6"/>
    <w:rsid w:val="001F2BDE"/>
    <w:rsid w:val="001F50C8"/>
    <w:rsid w:val="001F543C"/>
    <w:rsid w:val="001F603E"/>
    <w:rsid w:val="001F62DB"/>
    <w:rsid w:val="001F6AD2"/>
    <w:rsid w:val="0020342C"/>
    <w:rsid w:val="00203C94"/>
    <w:rsid w:val="002043F3"/>
    <w:rsid w:val="00204BB5"/>
    <w:rsid w:val="00205DA5"/>
    <w:rsid w:val="0021201F"/>
    <w:rsid w:val="00212513"/>
    <w:rsid w:val="0021358A"/>
    <w:rsid w:val="0021479E"/>
    <w:rsid w:val="0021491B"/>
    <w:rsid w:val="00215D89"/>
    <w:rsid w:val="002160D4"/>
    <w:rsid w:val="00220AED"/>
    <w:rsid w:val="00222413"/>
    <w:rsid w:val="00223909"/>
    <w:rsid w:val="00227F1B"/>
    <w:rsid w:val="002302D9"/>
    <w:rsid w:val="0023070D"/>
    <w:rsid w:val="00231103"/>
    <w:rsid w:val="00231B8F"/>
    <w:rsid w:val="00232DBD"/>
    <w:rsid w:val="0023417E"/>
    <w:rsid w:val="0023525E"/>
    <w:rsid w:val="002354FD"/>
    <w:rsid w:val="0023745D"/>
    <w:rsid w:val="00240145"/>
    <w:rsid w:val="0024015A"/>
    <w:rsid w:val="00241061"/>
    <w:rsid w:val="00242E78"/>
    <w:rsid w:val="00242FD2"/>
    <w:rsid w:val="0024332D"/>
    <w:rsid w:val="00243879"/>
    <w:rsid w:val="00245E86"/>
    <w:rsid w:val="00246107"/>
    <w:rsid w:val="002465FA"/>
    <w:rsid w:val="00247B0C"/>
    <w:rsid w:val="00250700"/>
    <w:rsid w:val="00251802"/>
    <w:rsid w:val="00251825"/>
    <w:rsid w:val="00253086"/>
    <w:rsid w:val="00253226"/>
    <w:rsid w:val="002535CA"/>
    <w:rsid w:val="00253F76"/>
    <w:rsid w:val="002550E2"/>
    <w:rsid w:val="00255F85"/>
    <w:rsid w:val="002560A6"/>
    <w:rsid w:val="00256C15"/>
    <w:rsid w:val="00256D19"/>
    <w:rsid w:val="002577BA"/>
    <w:rsid w:val="00257BB3"/>
    <w:rsid w:val="00257D17"/>
    <w:rsid w:val="00261384"/>
    <w:rsid w:val="00261F28"/>
    <w:rsid w:val="002623FB"/>
    <w:rsid w:val="0026420D"/>
    <w:rsid w:val="00264A48"/>
    <w:rsid w:val="00265F7E"/>
    <w:rsid w:val="00266A0D"/>
    <w:rsid w:val="002677F9"/>
    <w:rsid w:val="00267E43"/>
    <w:rsid w:val="00271256"/>
    <w:rsid w:val="0027396B"/>
    <w:rsid w:val="00273D12"/>
    <w:rsid w:val="00273EDD"/>
    <w:rsid w:val="0027403D"/>
    <w:rsid w:val="002745DE"/>
    <w:rsid w:val="002749C0"/>
    <w:rsid w:val="00275E40"/>
    <w:rsid w:val="002803F4"/>
    <w:rsid w:val="002807C8"/>
    <w:rsid w:val="0028112D"/>
    <w:rsid w:val="00282A4A"/>
    <w:rsid w:val="00282C92"/>
    <w:rsid w:val="0028531A"/>
    <w:rsid w:val="0028696F"/>
    <w:rsid w:val="00287627"/>
    <w:rsid w:val="002876BD"/>
    <w:rsid w:val="00290678"/>
    <w:rsid w:val="0029071D"/>
    <w:rsid w:val="00290EEA"/>
    <w:rsid w:val="00293012"/>
    <w:rsid w:val="00293FC8"/>
    <w:rsid w:val="002943B3"/>
    <w:rsid w:val="0029491D"/>
    <w:rsid w:val="0029554D"/>
    <w:rsid w:val="00297187"/>
    <w:rsid w:val="0029724D"/>
    <w:rsid w:val="002A0AC5"/>
    <w:rsid w:val="002A0DC6"/>
    <w:rsid w:val="002A1EE2"/>
    <w:rsid w:val="002A3967"/>
    <w:rsid w:val="002A4DAE"/>
    <w:rsid w:val="002A550E"/>
    <w:rsid w:val="002A6D49"/>
    <w:rsid w:val="002B1610"/>
    <w:rsid w:val="002B3648"/>
    <w:rsid w:val="002B5D51"/>
    <w:rsid w:val="002B6A17"/>
    <w:rsid w:val="002B7D53"/>
    <w:rsid w:val="002C1F51"/>
    <w:rsid w:val="002C52D9"/>
    <w:rsid w:val="002C5FEE"/>
    <w:rsid w:val="002C612C"/>
    <w:rsid w:val="002C6253"/>
    <w:rsid w:val="002C71D0"/>
    <w:rsid w:val="002D150A"/>
    <w:rsid w:val="002D29C2"/>
    <w:rsid w:val="002D2CB2"/>
    <w:rsid w:val="002D6EB5"/>
    <w:rsid w:val="002E0562"/>
    <w:rsid w:val="002E0863"/>
    <w:rsid w:val="002E1127"/>
    <w:rsid w:val="002E19C3"/>
    <w:rsid w:val="002E1C37"/>
    <w:rsid w:val="002E309C"/>
    <w:rsid w:val="002E4073"/>
    <w:rsid w:val="002E5235"/>
    <w:rsid w:val="002E7D8B"/>
    <w:rsid w:val="002F1117"/>
    <w:rsid w:val="002F435A"/>
    <w:rsid w:val="002F43F6"/>
    <w:rsid w:val="00300C20"/>
    <w:rsid w:val="00303129"/>
    <w:rsid w:val="003035C3"/>
    <w:rsid w:val="003048F8"/>
    <w:rsid w:val="00306DE2"/>
    <w:rsid w:val="00306F2B"/>
    <w:rsid w:val="0031034C"/>
    <w:rsid w:val="0031061F"/>
    <w:rsid w:val="00311409"/>
    <w:rsid w:val="003118CF"/>
    <w:rsid w:val="00311AF5"/>
    <w:rsid w:val="00315180"/>
    <w:rsid w:val="00317938"/>
    <w:rsid w:val="003203FC"/>
    <w:rsid w:val="00320FB8"/>
    <w:rsid w:val="0032180F"/>
    <w:rsid w:val="00321E47"/>
    <w:rsid w:val="00322AEE"/>
    <w:rsid w:val="00323EA9"/>
    <w:rsid w:val="00324AA6"/>
    <w:rsid w:val="00324F58"/>
    <w:rsid w:val="003265D5"/>
    <w:rsid w:val="003268E3"/>
    <w:rsid w:val="00326915"/>
    <w:rsid w:val="00326B31"/>
    <w:rsid w:val="003279D6"/>
    <w:rsid w:val="00327AEF"/>
    <w:rsid w:val="003310B7"/>
    <w:rsid w:val="00332AD7"/>
    <w:rsid w:val="00332D19"/>
    <w:rsid w:val="003330B1"/>
    <w:rsid w:val="003344F1"/>
    <w:rsid w:val="00334551"/>
    <w:rsid w:val="00334A46"/>
    <w:rsid w:val="00335599"/>
    <w:rsid w:val="00336399"/>
    <w:rsid w:val="003377A6"/>
    <w:rsid w:val="00337E8C"/>
    <w:rsid w:val="00342801"/>
    <w:rsid w:val="00344F80"/>
    <w:rsid w:val="00345373"/>
    <w:rsid w:val="00345C65"/>
    <w:rsid w:val="00350DD6"/>
    <w:rsid w:val="00351099"/>
    <w:rsid w:val="003523A1"/>
    <w:rsid w:val="003524A6"/>
    <w:rsid w:val="00352DF2"/>
    <w:rsid w:val="00355E3B"/>
    <w:rsid w:val="003571C3"/>
    <w:rsid w:val="0036278D"/>
    <w:rsid w:val="0036482E"/>
    <w:rsid w:val="00370B26"/>
    <w:rsid w:val="00370EAE"/>
    <w:rsid w:val="003726D5"/>
    <w:rsid w:val="0037452D"/>
    <w:rsid w:val="00374D3E"/>
    <w:rsid w:val="00377278"/>
    <w:rsid w:val="00380E71"/>
    <w:rsid w:val="00381375"/>
    <w:rsid w:val="003823CB"/>
    <w:rsid w:val="00384219"/>
    <w:rsid w:val="00385DF9"/>
    <w:rsid w:val="00386231"/>
    <w:rsid w:val="00390F9A"/>
    <w:rsid w:val="003911C8"/>
    <w:rsid w:val="00391BC8"/>
    <w:rsid w:val="00392847"/>
    <w:rsid w:val="00392CE4"/>
    <w:rsid w:val="00393AF4"/>
    <w:rsid w:val="00395BCA"/>
    <w:rsid w:val="00397122"/>
    <w:rsid w:val="003A0832"/>
    <w:rsid w:val="003A0917"/>
    <w:rsid w:val="003A2B49"/>
    <w:rsid w:val="003A3583"/>
    <w:rsid w:val="003A3F5E"/>
    <w:rsid w:val="003A58AB"/>
    <w:rsid w:val="003A5CC6"/>
    <w:rsid w:val="003A616A"/>
    <w:rsid w:val="003A66C2"/>
    <w:rsid w:val="003A733A"/>
    <w:rsid w:val="003A7C78"/>
    <w:rsid w:val="003A7D52"/>
    <w:rsid w:val="003B0046"/>
    <w:rsid w:val="003B151A"/>
    <w:rsid w:val="003B3E6F"/>
    <w:rsid w:val="003B4536"/>
    <w:rsid w:val="003B4E31"/>
    <w:rsid w:val="003B54BC"/>
    <w:rsid w:val="003B5D20"/>
    <w:rsid w:val="003C09CA"/>
    <w:rsid w:val="003C0D5F"/>
    <w:rsid w:val="003C2346"/>
    <w:rsid w:val="003C2703"/>
    <w:rsid w:val="003C3B0A"/>
    <w:rsid w:val="003C4FC5"/>
    <w:rsid w:val="003C5DCC"/>
    <w:rsid w:val="003C748A"/>
    <w:rsid w:val="003C76BF"/>
    <w:rsid w:val="003D0704"/>
    <w:rsid w:val="003D0922"/>
    <w:rsid w:val="003D0ED3"/>
    <w:rsid w:val="003D15A3"/>
    <w:rsid w:val="003D329F"/>
    <w:rsid w:val="003D380F"/>
    <w:rsid w:val="003D45F8"/>
    <w:rsid w:val="003D467F"/>
    <w:rsid w:val="003D49F8"/>
    <w:rsid w:val="003D5952"/>
    <w:rsid w:val="003D65E7"/>
    <w:rsid w:val="003D6DF7"/>
    <w:rsid w:val="003D726D"/>
    <w:rsid w:val="003D7B5A"/>
    <w:rsid w:val="003D7D30"/>
    <w:rsid w:val="003E1B2A"/>
    <w:rsid w:val="003E2E7E"/>
    <w:rsid w:val="003E37F6"/>
    <w:rsid w:val="003E38E3"/>
    <w:rsid w:val="003E3DAD"/>
    <w:rsid w:val="003E4267"/>
    <w:rsid w:val="003E5497"/>
    <w:rsid w:val="003F0041"/>
    <w:rsid w:val="003F2073"/>
    <w:rsid w:val="003F36B2"/>
    <w:rsid w:val="003F3A89"/>
    <w:rsid w:val="003F3FB0"/>
    <w:rsid w:val="003F512C"/>
    <w:rsid w:val="003F6E55"/>
    <w:rsid w:val="004027B0"/>
    <w:rsid w:val="00403114"/>
    <w:rsid w:val="004036FB"/>
    <w:rsid w:val="00404312"/>
    <w:rsid w:val="00404B26"/>
    <w:rsid w:val="00404EE2"/>
    <w:rsid w:val="00405F1E"/>
    <w:rsid w:val="00411380"/>
    <w:rsid w:val="0041140C"/>
    <w:rsid w:val="00411728"/>
    <w:rsid w:val="00411791"/>
    <w:rsid w:val="004122E0"/>
    <w:rsid w:val="00412FDD"/>
    <w:rsid w:val="004138DA"/>
    <w:rsid w:val="00413AE6"/>
    <w:rsid w:val="00414084"/>
    <w:rsid w:val="00415824"/>
    <w:rsid w:val="004163D7"/>
    <w:rsid w:val="00416F56"/>
    <w:rsid w:val="00417A90"/>
    <w:rsid w:val="004208E4"/>
    <w:rsid w:val="004217A8"/>
    <w:rsid w:val="00422211"/>
    <w:rsid w:val="00422411"/>
    <w:rsid w:val="00424FFD"/>
    <w:rsid w:val="00426093"/>
    <w:rsid w:val="004266C9"/>
    <w:rsid w:val="0042679B"/>
    <w:rsid w:val="00427E30"/>
    <w:rsid w:val="0043037D"/>
    <w:rsid w:val="0043062E"/>
    <w:rsid w:val="00432540"/>
    <w:rsid w:val="004346D4"/>
    <w:rsid w:val="00435F43"/>
    <w:rsid w:val="004363C8"/>
    <w:rsid w:val="004368A1"/>
    <w:rsid w:val="004403C8"/>
    <w:rsid w:val="00440AC8"/>
    <w:rsid w:val="00440E22"/>
    <w:rsid w:val="00441398"/>
    <w:rsid w:val="0044547E"/>
    <w:rsid w:val="00447C92"/>
    <w:rsid w:val="0045022F"/>
    <w:rsid w:val="0045192E"/>
    <w:rsid w:val="00455CF9"/>
    <w:rsid w:val="00456830"/>
    <w:rsid w:val="0045707A"/>
    <w:rsid w:val="004577A4"/>
    <w:rsid w:val="00460A41"/>
    <w:rsid w:val="004614D5"/>
    <w:rsid w:val="00461DCB"/>
    <w:rsid w:val="004625B5"/>
    <w:rsid w:val="00462D1D"/>
    <w:rsid w:val="00462D68"/>
    <w:rsid w:val="00464303"/>
    <w:rsid w:val="00464D8D"/>
    <w:rsid w:val="0046564E"/>
    <w:rsid w:val="0046652D"/>
    <w:rsid w:val="00467458"/>
    <w:rsid w:val="00470D4E"/>
    <w:rsid w:val="004711C0"/>
    <w:rsid w:val="004714DC"/>
    <w:rsid w:val="00473425"/>
    <w:rsid w:val="004741AE"/>
    <w:rsid w:val="004758D7"/>
    <w:rsid w:val="004767E6"/>
    <w:rsid w:val="00476803"/>
    <w:rsid w:val="00476BA4"/>
    <w:rsid w:val="00477CED"/>
    <w:rsid w:val="00480A24"/>
    <w:rsid w:val="004820DA"/>
    <w:rsid w:val="0048222B"/>
    <w:rsid w:val="004859DD"/>
    <w:rsid w:val="00486979"/>
    <w:rsid w:val="00486989"/>
    <w:rsid w:val="00490BE4"/>
    <w:rsid w:val="004915A6"/>
    <w:rsid w:val="00492527"/>
    <w:rsid w:val="00493A7F"/>
    <w:rsid w:val="00494233"/>
    <w:rsid w:val="00495F38"/>
    <w:rsid w:val="00495F9F"/>
    <w:rsid w:val="0049626A"/>
    <w:rsid w:val="00496B5D"/>
    <w:rsid w:val="0049786C"/>
    <w:rsid w:val="00497A5C"/>
    <w:rsid w:val="004A0628"/>
    <w:rsid w:val="004A223D"/>
    <w:rsid w:val="004A25C8"/>
    <w:rsid w:val="004A2A40"/>
    <w:rsid w:val="004A352F"/>
    <w:rsid w:val="004A446E"/>
    <w:rsid w:val="004A4485"/>
    <w:rsid w:val="004A5576"/>
    <w:rsid w:val="004A5A5C"/>
    <w:rsid w:val="004A6BC2"/>
    <w:rsid w:val="004A7FA8"/>
    <w:rsid w:val="004B1BEA"/>
    <w:rsid w:val="004B3666"/>
    <w:rsid w:val="004B39F0"/>
    <w:rsid w:val="004B4CD4"/>
    <w:rsid w:val="004B4D6B"/>
    <w:rsid w:val="004B6A1A"/>
    <w:rsid w:val="004C05AE"/>
    <w:rsid w:val="004C06E6"/>
    <w:rsid w:val="004C0AF0"/>
    <w:rsid w:val="004C2DED"/>
    <w:rsid w:val="004C6441"/>
    <w:rsid w:val="004D06AF"/>
    <w:rsid w:val="004D18FE"/>
    <w:rsid w:val="004D3C43"/>
    <w:rsid w:val="004D4014"/>
    <w:rsid w:val="004D4785"/>
    <w:rsid w:val="004D57EA"/>
    <w:rsid w:val="004D626E"/>
    <w:rsid w:val="004D6F59"/>
    <w:rsid w:val="004E065B"/>
    <w:rsid w:val="004E2155"/>
    <w:rsid w:val="004E33B4"/>
    <w:rsid w:val="004E3E06"/>
    <w:rsid w:val="004E4782"/>
    <w:rsid w:val="004E4BC5"/>
    <w:rsid w:val="004E581C"/>
    <w:rsid w:val="004E5CCF"/>
    <w:rsid w:val="004E791B"/>
    <w:rsid w:val="004E7E1E"/>
    <w:rsid w:val="004F14B4"/>
    <w:rsid w:val="004F261A"/>
    <w:rsid w:val="004F36E2"/>
    <w:rsid w:val="004F426F"/>
    <w:rsid w:val="004F47AC"/>
    <w:rsid w:val="004F5139"/>
    <w:rsid w:val="004F5D78"/>
    <w:rsid w:val="004F6582"/>
    <w:rsid w:val="00501469"/>
    <w:rsid w:val="00501EF6"/>
    <w:rsid w:val="00502BAC"/>
    <w:rsid w:val="00504A84"/>
    <w:rsid w:val="00505764"/>
    <w:rsid w:val="00505B78"/>
    <w:rsid w:val="00505CAA"/>
    <w:rsid w:val="0051286C"/>
    <w:rsid w:val="005128C3"/>
    <w:rsid w:val="00512C91"/>
    <w:rsid w:val="00516008"/>
    <w:rsid w:val="005160BF"/>
    <w:rsid w:val="00516284"/>
    <w:rsid w:val="00521E34"/>
    <w:rsid w:val="005224F5"/>
    <w:rsid w:val="0052429A"/>
    <w:rsid w:val="005243E6"/>
    <w:rsid w:val="0052541F"/>
    <w:rsid w:val="005270D9"/>
    <w:rsid w:val="00527265"/>
    <w:rsid w:val="005278CC"/>
    <w:rsid w:val="00531905"/>
    <w:rsid w:val="005319F9"/>
    <w:rsid w:val="00531B2B"/>
    <w:rsid w:val="00531D21"/>
    <w:rsid w:val="00532CB6"/>
    <w:rsid w:val="00533FB4"/>
    <w:rsid w:val="005340D1"/>
    <w:rsid w:val="0053426F"/>
    <w:rsid w:val="00534448"/>
    <w:rsid w:val="00537C5F"/>
    <w:rsid w:val="0054064E"/>
    <w:rsid w:val="0054231C"/>
    <w:rsid w:val="0054781E"/>
    <w:rsid w:val="005504C9"/>
    <w:rsid w:val="00550826"/>
    <w:rsid w:val="005514B7"/>
    <w:rsid w:val="00551AAF"/>
    <w:rsid w:val="0055273A"/>
    <w:rsid w:val="0055395A"/>
    <w:rsid w:val="005562C4"/>
    <w:rsid w:val="005574B6"/>
    <w:rsid w:val="00561542"/>
    <w:rsid w:val="005622B6"/>
    <w:rsid w:val="00562C32"/>
    <w:rsid w:val="00562E6B"/>
    <w:rsid w:val="005636D5"/>
    <w:rsid w:val="00563769"/>
    <w:rsid w:val="005640B8"/>
    <w:rsid w:val="005645C3"/>
    <w:rsid w:val="00565E20"/>
    <w:rsid w:val="005663A7"/>
    <w:rsid w:val="005670C4"/>
    <w:rsid w:val="00567A1A"/>
    <w:rsid w:val="00570313"/>
    <w:rsid w:val="00570645"/>
    <w:rsid w:val="005709BD"/>
    <w:rsid w:val="00571BDC"/>
    <w:rsid w:val="005734C8"/>
    <w:rsid w:val="00573503"/>
    <w:rsid w:val="00575CE7"/>
    <w:rsid w:val="00580823"/>
    <w:rsid w:val="00580955"/>
    <w:rsid w:val="005827F9"/>
    <w:rsid w:val="00583A20"/>
    <w:rsid w:val="005855D1"/>
    <w:rsid w:val="0058703B"/>
    <w:rsid w:val="00590673"/>
    <w:rsid w:val="00590B84"/>
    <w:rsid w:val="00593794"/>
    <w:rsid w:val="005944D5"/>
    <w:rsid w:val="00595A9C"/>
    <w:rsid w:val="00595DE7"/>
    <w:rsid w:val="0059792E"/>
    <w:rsid w:val="005A080C"/>
    <w:rsid w:val="005A0C34"/>
    <w:rsid w:val="005A18D4"/>
    <w:rsid w:val="005A3030"/>
    <w:rsid w:val="005A3B1B"/>
    <w:rsid w:val="005A515D"/>
    <w:rsid w:val="005A5198"/>
    <w:rsid w:val="005A51DC"/>
    <w:rsid w:val="005A5A2E"/>
    <w:rsid w:val="005A6E05"/>
    <w:rsid w:val="005A6EE3"/>
    <w:rsid w:val="005A6F23"/>
    <w:rsid w:val="005B0F97"/>
    <w:rsid w:val="005B16D0"/>
    <w:rsid w:val="005B4842"/>
    <w:rsid w:val="005B4933"/>
    <w:rsid w:val="005B4D99"/>
    <w:rsid w:val="005B4E7E"/>
    <w:rsid w:val="005B639A"/>
    <w:rsid w:val="005B7CB7"/>
    <w:rsid w:val="005C02EC"/>
    <w:rsid w:val="005C1629"/>
    <w:rsid w:val="005C436A"/>
    <w:rsid w:val="005D166F"/>
    <w:rsid w:val="005D371F"/>
    <w:rsid w:val="005D3BCA"/>
    <w:rsid w:val="005D3E5E"/>
    <w:rsid w:val="005D418D"/>
    <w:rsid w:val="005D511A"/>
    <w:rsid w:val="005D52CF"/>
    <w:rsid w:val="005D639B"/>
    <w:rsid w:val="005E10A5"/>
    <w:rsid w:val="005E21F1"/>
    <w:rsid w:val="005E22CC"/>
    <w:rsid w:val="005E2AD3"/>
    <w:rsid w:val="005E33BD"/>
    <w:rsid w:val="005E358F"/>
    <w:rsid w:val="005E4C37"/>
    <w:rsid w:val="005E59F9"/>
    <w:rsid w:val="005E5C76"/>
    <w:rsid w:val="005E719B"/>
    <w:rsid w:val="005F06FD"/>
    <w:rsid w:val="005F419B"/>
    <w:rsid w:val="005F58B6"/>
    <w:rsid w:val="005F6C2B"/>
    <w:rsid w:val="005F7204"/>
    <w:rsid w:val="005F7541"/>
    <w:rsid w:val="005F7D33"/>
    <w:rsid w:val="00601CBB"/>
    <w:rsid w:val="006027B0"/>
    <w:rsid w:val="00606B64"/>
    <w:rsid w:val="006076C3"/>
    <w:rsid w:val="00607B9C"/>
    <w:rsid w:val="00607DC2"/>
    <w:rsid w:val="006117E6"/>
    <w:rsid w:val="00613316"/>
    <w:rsid w:val="00613DDE"/>
    <w:rsid w:val="0061556F"/>
    <w:rsid w:val="00617E26"/>
    <w:rsid w:val="006206BC"/>
    <w:rsid w:val="0062267E"/>
    <w:rsid w:val="00624B6C"/>
    <w:rsid w:val="0062737B"/>
    <w:rsid w:val="006276AD"/>
    <w:rsid w:val="00630C67"/>
    <w:rsid w:val="0063178B"/>
    <w:rsid w:val="00633936"/>
    <w:rsid w:val="0063465D"/>
    <w:rsid w:val="00636086"/>
    <w:rsid w:val="00643247"/>
    <w:rsid w:val="00643A37"/>
    <w:rsid w:val="00643F44"/>
    <w:rsid w:val="00644B36"/>
    <w:rsid w:val="0064592E"/>
    <w:rsid w:val="006474E8"/>
    <w:rsid w:val="00650173"/>
    <w:rsid w:val="006502C7"/>
    <w:rsid w:val="0065148D"/>
    <w:rsid w:val="006528BF"/>
    <w:rsid w:val="006534A4"/>
    <w:rsid w:val="006534CF"/>
    <w:rsid w:val="00653EEB"/>
    <w:rsid w:val="0065400F"/>
    <w:rsid w:val="00654BD9"/>
    <w:rsid w:val="006554C1"/>
    <w:rsid w:val="00657516"/>
    <w:rsid w:val="0065797F"/>
    <w:rsid w:val="00657C41"/>
    <w:rsid w:val="006611ED"/>
    <w:rsid w:val="00662CB0"/>
    <w:rsid w:val="0066365D"/>
    <w:rsid w:val="0066424F"/>
    <w:rsid w:val="006642F8"/>
    <w:rsid w:val="006643AB"/>
    <w:rsid w:val="00664660"/>
    <w:rsid w:val="00664683"/>
    <w:rsid w:val="0067082C"/>
    <w:rsid w:val="00671161"/>
    <w:rsid w:val="006727DD"/>
    <w:rsid w:val="0067384C"/>
    <w:rsid w:val="00673CF2"/>
    <w:rsid w:val="00674454"/>
    <w:rsid w:val="00675B29"/>
    <w:rsid w:val="0067626B"/>
    <w:rsid w:val="0067677F"/>
    <w:rsid w:val="006768C5"/>
    <w:rsid w:val="00676A30"/>
    <w:rsid w:val="00682439"/>
    <w:rsid w:val="00683B10"/>
    <w:rsid w:val="00683D05"/>
    <w:rsid w:val="006850A2"/>
    <w:rsid w:val="00686D35"/>
    <w:rsid w:val="006872D4"/>
    <w:rsid w:val="00687F81"/>
    <w:rsid w:val="006909D7"/>
    <w:rsid w:val="00691193"/>
    <w:rsid w:val="00691562"/>
    <w:rsid w:val="00693E65"/>
    <w:rsid w:val="006948C3"/>
    <w:rsid w:val="00694AAD"/>
    <w:rsid w:val="00695130"/>
    <w:rsid w:val="00695149"/>
    <w:rsid w:val="00695193"/>
    <w:rsid w:val="00695F8A"/>
    <w:rsid w:val="00696F9E"/>
    <w:rsid w:val="00697F14"/>
    <w:rsid w:val="006A1546"/>
    <w:rsid w:val="006A66DE"/>
    <w:rsid w:val="006B2B4E"/>
    <w:rsid w:val="006B3B7E"/>
    <w:rsid w:val="006B3CED"/>
    <w:rsid w:val="006B51AA"/>
    <w:rsid w:val="006B6EAB"/>
    <w:rsid w:val="006C006D"/>
    <w:rsid w:val="006C26C6"/>
    <w:rsid w:val="006C3AC6"/>
    <w:rsid w:val="006C3CC4"/>
    <w:rsid w:val="006C5B77"/>
    <w:rsid w:val="006C5FF9"/>
    <w:rsid w:val="006C711D"/>
    <w:rsid w:val="006D03AC"/>
    <w:rsid w:val="006D09BB"/>
    <w:rsid w:val="006D09D3"/>
    <w:rsid w:val="006D33B7"/>
    <w:rsid w:val="006D68D0"/>
    <w:rsid w:val="006D6A00"/>
    <w:rsid w:val="006D7A6A"/>
    <w:rsid w:val="006E02A4"/>
    <w:rsid w:val="006E086C"/>
    <w:rsid w:val="006E1CFC"/>
    <w:rsid w:val="006E1DE5"/>
    <w:rsid w:val="006E5730"/>
    <w:rsid w:val="006E663F"/>
    <w:rsid w:val="006F1024"/>
    <w:rsid w:val="006F17A8"/>
    <w:rsid w:val="006F48B3"/>
    <w:rsid w:val="006F5CAD"/>
    <w:rsid w:val="006F64A9"/>
    <w:rsid w:val="006F65B6"/>
    <w:rsid w:val="006F7525"/>
    <w:rsid w:val="006F7F93"/>
    <w:rsid w:val="00701F41"/>
    <w:rsid w:val="0070292D"/>
    <w:rsid w:val="0070312E"/>
    <w:rsid w:val="00703B6F"/>
    <w:rsid w:val="007047BB"/>
    <w:rsid w:val="00705BBA"/>
    <w:rsid w:val="00706F74"/>
    <w:rsid w:val="007103DE"/>
    <w:rsid w:val="00710EC7"/>
    <w:rsid w:val="00713401"/>
    <w:rsid w:val="00714380"/>
    <w:rsid w:val="0071510C"/>
    <w:rsid w:val="0071553A"/>
    <w:rsid w:val="00715850"/>
    <w:rsid w:val="00716099"/>
    <w:rsid w:val="007168A5"/>
    <w:rsid w:val="00716AF0"/>
    <w:rsid w:val="00717F75"/>
    <w:rsid w:val="007205E4"/>
    <w:rsid w:val="00722B68"/>
    <w:rsid w:val="00723C3E"/>
    <w:rsid w:val="0072636D"/>
    <w:rsid w:val="007265E2"/>
    <w:rsid w:val="00730676"/>
    <w:rsid w:val="00730DC5"/>
    <w:rsid w:val="007322D7"/>
    <w:rsid w:val="00732984"/>
    <w:rsid w:val="00732B92"/>
    <w:rsid w:val="00733E9F"/>
    <w:rsid w:val="007352A4"/>
    <w:rsid w:val="007362B3"/>
    <w:rsid w:val="00736734"/>
    <w:rsid w:val="00737EC6"/>
    <w:rsid w:val="007403B8"/>
    <w:rsid w:val="00741FE2"/>
    <w:rsid w:val="00742A48"/>
    <w:rsid w:val="00742D23"/>
    <w:rsid w:val="00743806"/>
    <w:rsid w:val="00744032"/>
    <w:rsid w:val="007451BB"/>
    <w:rsid w:val="00746CD5"/>
    <w:rsid w:val="007510DB"/>
    <w:rsid w:val="0075550F"/>
    <w:rsid w:val="0075636A"/>
    <w:rsid w:val="0075639E"/>
    <w:rsid w:val="007568A0"/>
    <w:rsid w:val="00756EDB"/>
    <w:rsid w:val="007603E9"/>
    <w:rsid w:val="00760F3D"/>
    <w:rsid w:val="00761703"/>
    <w:rsid w:val="007637AC"/>
    <w:rsid w:val="00765106"/>
    <w:rsid w:val="0076602B"/>
    <w:rsid w:val="0076622D"/>
    <w:rsid w:val="00770DDD"/>
    <w:rsid w:val="0077211D"/>
    <w:rsid w:val="0077227D"/>
    <w:rsid w:val="007737CA"/>
    <w:rsid w:val="00774485"/>
    <w:rsid w:val="0077525B"/>
    <w:rsid w:val="00775D2B"/>
    <w:rsid w:val="007761E7"/>
    <w:rsid w:val="007764DE"/>
    <w:rsid w:val="00776A9A"/>
    <w:rsid w:val="00777207"/>
    <w:rsid w:val="00780510"/>
    <w:rsid w:val="00780647"/>
    <w:rsid w:val="007817DF"/>
    <w:rsid w:val="00781AC9"/>
    <w:rsid w:val="00782D4B"/>
    <w:rsid w:val="0078424F"/>
    <w:rsid w:val="0078435A"/>
    <w:rsid w:val="007844DA"/>
    <w:rsid w:val="0078481D"/>
    <w:rsid w:val="00787F07"/>
    <w:rsid w:val="00790948"/>
    <w:rsid w:val="007910A7"/>
    <w:rsid w:val="00795127"/>
    <w:rsid w:val="0079548D"/>
    <w:rsid w:val="0079564F"/>
    <w:rsid w:val="00796A98"/>
    <w:rsid w:val="007974C4"/>
    <w:rsid w:val="007A0497"/>
    <w:rsid w:val="007A050E"/>
    <w:rsid w:val="007A05B6"/>
    <w:rsid w:val="007A0A48"/>
    <w:rsid w:val="007A0FC3"/>
    <w:rsid w:val="007A350A"/>
    <w:rsid w:val="007A3C9D"/>
    <w:rsid w:val="007A3D0A"/>
    <w:rsid w:val="007A498E"/>
    <w:rsid w:val="007A61B0"/>
    <w:rsid w:val="007B0021"/>
    <w:rsid w:val="007B00A5"/>
    <w:rsid w:val="007B192A"/>
    <w:rsid w:val="007B1B5F"/>
    <w:rsid w:val="007B1F48"/>
    <w:rsid w:val="007B37EF"/>
    <w:rsid w:val="007B4D67"/>
    <w:rsid w:val="007B5385"/>
    <w:rsid w:val="007C0DFC"/>
    <w:rsid w:val="007C1F2A"/>
    <w:rsid w:val="007C3B43"/>
    <w:rsid w:val="007C3F96"/>
    <w:rsid w:val="007C4273"/>
    <w:rsid w:val="007C5583"/>
    <w:rsid w:val="007C6D03"/>
    <w:rsid w:val="007C7AD4"/>
    <w:rsid w:val="007D2071"/>
    <w:rsid w:val="007D2BC7"/>
    <w:rsid w:val="007D2DA4"/>
    <w:rsid w:val="007D3700"/>
    <w:rsid w:val="007D5098"/>
    <w:rsid w:val="007D56B1"/>
    <w:rsid w:val="007D60EA"/>
    <w:rsid w:val="007D6681"/>
    <w:rsid w:val="007D7EE7"/>
    <w:rsid w:val="007E03D6"/>
    <w:rsid w:val="007E21C4"/>
    <w:rsid w:val="007E2E5D"/>
    <w:rsid w:val="007E5AAA"/>
    <w:rsid w:val="007E7299"/>
    <w:rsid w:val="007E7561"/>
    <w:rsid w:val="007F161D"/>
    <w:rsid w:val="007F21E4"/>
    <w:rsid w:val="007F2AB4"/>
    <w:rsid w:val="007F3B73"/>
    <w:rsid w:val="007F457B"/>
    <w:rsid w:val="007F65F2"/>
    <w:rsid w:val="007F65F8"/>
    <w:rsid w:val="00803884"/>
    <w:rsid w:val="00804411"/>
    <w:rsid w:val="0080613F"/>
    <w:rsid w:val="00806409"/>
    <w:rsid w:val="00806688"/>
    <w:rsid w:val="008073C8"/>
    <w:rsid w:val="00807D54"/>
    <w:rsid w:val="00807F41"/>
    <w:rsid w:val="00810E2F"/>
    <w:rsid w:val="008115DB"/>
    <w:rsid w:val="00812462"/>
    <w:rsid w:val="00812719"/>
    <w:rsid w:val="00812E62"/>
    <w:rsid w:val="00812EEE"/>
    <w:rsid w:val="008138EC"/>
    <w:rsid w:val="00814CFD"/>
    <w:rsid w:val="00816D47"/>
    <w:rsid w:val="00817C14"/>
    <w:rsid w:val="00821AB9"/>
    <w:rsid w:val="008231EC"/>
    <w:rsid w:val="008248C6"/>
    <w:rsid w:val="008259BC"/>
    <w:rsid w:val="00826104"/>
    <w:rsid w:val="008277A2"/>
    <w:rsid w:val="00834058"/>
    <w:rsid w:val="0083432E"/>
    <w:rsid w:val="00836B67"/>
    <w:rsid w:val="008407EC"/>
    <w:rsid w:val="00843778"/>
    <w:rsid w:val="00843ED4"/>
    <w:rsid w:val="00844BF3"/>
    <w:rsid w:val="0084635A"/>
    <w:rsid w:val="00846893"/>
    <w:rsid w:val="008514EC"/>
    <w:rsid w:val="008529DD"/>
    <w:rsid w:val="00856FDC"/>
    <w:rsid w:val="00857A0A"/>
    <w:rsid w:val="008618B9"/>
    <w:rsid w:val="00862E61"/>
    <w:rsid w:val="008631B2"/>
    <w:rsid w:val="00863C1A"/>
    <w:rsid w:val="00864019"/>
    <w:rsid w:val="00864B37"/>
    <w:rsid w:val="00865233"/>
    <w:rsid w:val="00865C98"/>
    <w:rsid w:val="00865CFB"/>
    <w:rsid w:val="00872BA9"/>
    <w:rsid w:val="0087383F"/>
    <w:rsid w:val="008738CC"/>
    <w:rsid w:val="00876252"/>
    <w:rsid w:val="008762AB"/>
    <w:rsid w:val="0087640C"/>
    <w:rsid w:val="008767E1"/>
    <w:rsid w:val="00876F00"/>
    <w:rsid w:val="008779D7"/>
    <w:rsid w:val="00877D9B"/>
    <w:rsid w:val="00880147"/>
    <w:rsid w:val="00880362"/>
    <w:rsid w:val="0088184C"/>
    <w:rsid w:val="008818C1"/>
    <w:rsid w:val="00882A74"/>
    <w:rsid w:val="00883D54"/>
    <w:rsid w:val="00883F86"/>
    <w:rsid w:val="00886A33"/>
    <w:rsid w:val="00886F63"/>
    <w:rsid w:val="00887C7C"/>
    <w:rsid w:val="008901F4"/>
    <w:rsid w:val="00890307"/>
    <w:rsid w:val="00890A2F"/>
    <w:rsid w:val="00890B5E"/>
    <w:rsid w:val="00892625"/>
    <w:rsid w:val="00893970"/>
    <w:rsid w:val="00896367"/>
    <w:rsid w:val="00896825"/>
    <w:rsid w:val="00896DEB"/>
    <w:rsid w:val="008A1BBF"/>
    <w:rsid w:val="008A3831"/>
    <w:rsid w:val="008A386E"/>
    <w:rsid w:val="008A3EFD"/>
    <w:rsid w:val="008A42D8"/>
    <w:rsid w:val="008A7EB7"/>
    <w:rsid w:val="008B002C"/>
    <w:rsid w:val="008B065E"/>
    <w:rsid w:val="008B20D7"/>
    <w:rsid w:val="008B250A"/>
    <w:rsid w:val="008B5295"/>
    <w:rsid w:val="008B5300"/>
    <w:rsid w:val="008B5BCC"/>
    <w:rsid w:val="008B5BF0"/>
    <w:rsid w:val="008B6033"/>
    <w:rsid w:val="008B7AC6"/>
    <w:rsid w:val="008C10C9"/>
    <w:rsid w:val="008C1EDB"/>
    <w:rsid w:val="008C2676"/>
    <w:rsid w:val="008C3938"/>
    <w:rsid w:val="008C7C38"/>
    <w:rsid w:val="008D01F9"/>
    <w:rsid w:val="008D1BD1"/>
    <w:rsid w:val="008D2943"/>
    <w:rsid w:val="008D2A43"/>
    <w:rsid w:val="008D33F2"/>
    <w:rsid w:val="008D4105"/>
    <w:rsid w:val="008D6968"/>
    <w:rsid w:val="008D7B85"/>
    <w:rsid w:val="008D7C52"/>
    <w:rsid w:val="008E09B1"/>
    <w:rsid w:val="008E0B29"/>
    <w:rsid w:val="008E34FF"/>
    <w:rsid w:val="008E659D"/>
    <w:rsid w:val="008E7111"/>
    <w:rsid w:val="008F0FBA"/>
    <w:rsid w:val="008F2091"/>
    <w:rsid w:val="008F21DE"/>
    <w:rsid w:val="008F3378"/>
    <w:rsid w:val="008F3CD5"/>
    <w:rsid w:val="008F3E6A"/>
    <w:rsid w:val="008F4FD7"/>
    <w:rsid w:val="008F59B3"/>
    <w:rsid w:val="008F6B6F"/>
    <w:rsid w:val="008F70A7"/>
    <w:rsid w:val="008F77F6"/>
    <w:rsid w:val="008F7A05"/>
    <w:rsid w:val="00900396"/>
    <w:rsid w:val="00903B61"/>
    <w:rsid w:val="00904581"/>
    <w:rsid w:val="00905121"/>
    <w:rsid w:val="00913192"/>
    <w:rsid w:val="0091490C"/>
    <w:rsid w:val="009151FC"/>
    <w:rsid w:val="00915D5B"/>
    <w:rsid w:val="00916255"/>
    <w:rsid w:val="009169F5"/>
    <w:rsid w:val="00916A15"/>
    <w:rsid w:val="00916C28"/>
    <w:rsid w:val="00916FA8"/>
    <w:rsid w:val="009176F7"/>
    <w:rsid w:val="00917C67"/>
    <w:rsid w:val="00917CEB"/>
    <w:rsid w:val="00921104"/>
    <w:rsid w:val="009212D9"/>
    <w:rsid w:val="00921435"/>
    <w:rsid w:val="00921AB1"/>
    <w:rsid w:val="00921DCD"/>
    <w:rsid w:val="00923694"/>
    <w:rsid w:val="0092401D"/>
    <w:rsid w:val="00924186"/>
    <w:rsid w:val="0092567F"/>
    <w:rsid w:val="0092648B"/>
    <w:rsid w:val="00926AE8"/>
    <w:rsid w:val="009276C4"/>
    <w:rsid w:val="009315BE"/>
    <w:rsid w:val="00933726"/>
    <w:rsid w:val="00934332"/>
    <w:rsid w:val="00935B7E"/>
    <w:rsid w:val="00935CCD"/>
    <w:rsid w:val="00935CF7"/>
    <w:rsid w:val="00936644"/>
    <w:rsid w:val="009419D8"/>
    <w:rsid w:val="00941FD6"/>
    <w:rsid w:val="0094277E"/>
    <w:rsid w:val="00943F8C"/>
    <w:rsid w:val="0094458C"/>
    <w:rsid w:val="0094463A"/>
    <w:rsid w:val="009455C7"/>
    <w:rsid w:val="0094593D"/>
    <w:rsid w:val="009475CF"/>
    <w:rsid w:val="00947928"/>
    <w:rsid w:val="00951286"/>
    <w:rsid w:val="00951C33"/>
    <w:rsid w:val="0095391E"/>
    <w:rsid w:val="00954033"/>
    <w:rsid w:val="00956814"/>
    <w:rsid w:val="0095732C"/>
    <w:rsid w:val="0096197A"/>
    <w:rsid w:val="00961AFE"/>
    <w:rsid w:val="009622DD"/>
    <w:rsid w:val="009625A4"/>
    <w:rsid w:val="0096284A"/>
    <w:rsid w:val="00962D6D"/>
    <w:rsid w:val="0096349C"/>
    <w:rsid w:val="00963AFB"/>
    <w:rsid w:val="00963BBA"/>
    <w:rsid w:val="00964662"/>
    <w:rsid w:val="009655E2"/>
    <w:rsid w:val="0096640D"/>
    <w:rsid w:val="00967EE8"/>
    <w:rsid w:val="009711A8"/>
    <w:rsid w:val="00971441"/>
    <w:rsid w:val="00971507"/>
    <w:rsid w:val="00971683"/>
    <w:rsid w:val="00971B0C"/>
    <w:rsid w:val="00972302"/>
    <w:rsid w:val="0097371E"/>
    <w:rsid w:val="00974485"/>
    <w:rsid w:val="0097531C"/>
    <w:rsid w:val="00981FC6"/>
    <w:rsid w:val="0098333A"/>
    <w:rsid w:val="00983647"/>
    <w:rsid w:val="0098379B"/>
    <w:rsid w:val="00983F2A"/>
    <w:rsid w:val="00984E70"/>
    <w:rsid w:val="009850F5"/>
    <w:rsid w:val="0098514C"/>
    <w:rsid w:val="009851E0"/>
    <w:rsid w:val="009852FF"/>
    <w:rsid w:val="00985C43"/>
    <w:rsid w:val="0098652C"/>
    <w:rsid w:val="00986DBB"/>
    <w:rsid w:val="00987911"/>
    <w:rsid w:val="00991756"/>
    <w:rsid w:val="00991E93"/>
    <w:rsid w:val="00991ED7"/>
    <w:rsid w:val="00995CB7"/>
    <w:rsid w:val="00996148"/>
    <w:rsid w:val="00996476"/>
    <w:rsid w:val="00996B27"/>
    <w:rsid w:val="009A07D1"/>
    <w:rsid w:val="009A0E84"/>
    <w:rsid w:val="009A141D"/>
    <w:rsid w:val="009A26A6"/>
    <w:rsid w:val="009A2B1F"/>
    <w:rsid w:val="009A45A5"/>
    <w:rsid w:val="009A5B1E"/>
    <w:rsid w:val="009A614F"/>
    <w:rsid w:val="009A6524"/>
    <w:rsid w:val="009A6BEE"/>
    <w:rsid w:val="009A6E5A"/>
    <w:rsid w:val="009B08E6"/>
    <w:rsid w:val="009B14FD"/>
    <w:rsid w:val="009B1958"/>
    <w:rsid w:val="009B2FDB"/>
    <w:rsid w:val="009B3CC6"/>
    <w:rsid w:val="009B49A9"/>
    <w:rsid w:val="009B4D0A"/>
    <w:rsid w:val="009B6574"/>
    <w:rsid w:val="009C0126"/>
    <w:rsid w:val="009C0EA1"/>
    <w:rsid w:val="009C52BF"/>
    <w:rsid w:val="009C5723"/>
    <w:rsid w:val="009C58C0"/>
    <w:rsid w:val="009C5B33"/>
    <w:rsid w:val="009C5DBE"/>
    <w:rsid w:val="009C6343"/>
    <w:rsid w:val="009C7162"/>
    <w:rsid w:val="009D2017"/>
    <w:rsid w:val="009D2148"/>
    <w:rsid w:val="009D49D7"/>
    <w:rsid w:val="009D5D64"/>
    <w:rsid w:val="009D6647"/>
    <w:rsid w:val="009D6B24"/>
    <w:rsid w:val="009D70B3"/>
    <w:rsid w:val="009E0231"/>
    <w:rsid w:val="009E11A0"/>
    <w:rsid w:val="009E1750"/>
    <w:rsid w:val="009E1D4B"/>
    <w:rsid w:val="009E2336"/>
    <w:rsid w:val="009E3766"/>
    <w:rsid w:val="009E4E9D"/>
    <w:rsid w:val="009E6DB3"/>
    <w:rsid w:val="009E71FA"/>
    <w:rsid w:val="009E740A"/>
    <w:rsid w:val="009E7858"/>
    <w:rsid w:val="009E7F7E"/>
    <w:rsid w:val="009F0404"/>
    <w:rsid w:val="009F1B8A"/>
    <w:rsid w:val="009F24A7"/>
    <w:rsid w:val="009F324C"/>
    <w:rsid w:val="009F3DC2"/>
    <w:rsid w:val="009F43EA"/>
    <w:rsid w:val="009F4D2B"/>
    <w:rsid w:val="009F55E7"/>
    <w:rsid w:val="009F59DE"/>
    <w:rsid w:val="00A0030D"/>
    <w:rsid w:val="00A00806"/>
    <w:rsid w:val="00A00FAC"/>
    <w:rsid w:val="00A02225"/>
    <w:rsid w:val="00A02EAA"/>
    <w:rsid w:val="00A03684"/>
    <w:rsid w:val="00A05B42"/>
    <w:rsid w:val="00A0657F"/>
    <w:rsid w:val="00A065C1"/>
    <w:rsid w:val="00A07953"/>
    <w:rsid w:val="00A103AD"/>
    <w:rsid w:val="00A103EE"/>
    <w:rsid w:val="00A107EA"/>
    <w:rsid w:val="00A14478"/>
    <w:rsid w:val="00A15988"/>
    <w:rsid w:val="00A16220"/>
    <w:rsid w:val="00A172F6"/>
    <w:rsid w:val="00A179E2"/>
    <w:rsid w:val="00A20890"/>
    <w:rsid w:val="00A20BD8"/>
    <w:rsid w:val="00A21394"/>
    <w:rsid w:val="00A21CB2"/>
    <w:rsid w:val="00A221CA"/>
    <w:rsid w:val="00A2255E"/>
    <w:rsid w:val="00A23012"/>
    <w:rsid w:val="00A2599F"/>
    <w:rsid w:val="00A27F2C"/>
    <w:rsid w:val="00A32771"/>
    <w:rsid w:val="00A32D65"/>
    <w:rsid w:val="00A332F6"/>
    <w:rsid w:val="00A33465"/>
    <w:rsid w:val="00A33D67"/>
    <w:rsid w:val="00A352C7"/>
    <w:rsid w:val="00A35F50"/>
    <w:rsid w:val="00A362F7"/>
    <w:rsid w:val="00A37FD6"/>
    <w:rsid w:val="00A4047E"/>
    <w:rsid w:val="00A40C7F"/>
    <w:rsid w:val="00A41EF7"/>
    <w:rsid w:val="00A427D5"/>
    <w:rsid w:val="00A427F7"/>
    <w:rsid w:val="00A475B2"/>
    <w:rsid w:val="00A518A5"/>
    <w:rsid w:val="00A55016"/>
    <w:rsid w:val="00A55197"/>
    <w:rsid w:val="00A554FB"/>
    <w:rsid w:val="00A55775"/>
    <w:rsid w:val="00A56507"/>
    <w:rsid w:val="00A56C13"/>
    <w:rsid w:val="00A56F0C"/>
    <w:rsid w:val="00A57355"/>
    <w:rsid w:val="00A578E0"/>
    <w:rsid w:val="00A60F99"/>
    <w:rsid w:val="00A623EF"/>
    <w:rsid w:val="00A63E75"/>
    <w:rsid w:val="00A661CE"/>
    <w:rsid w:val="00A661F8"/>
    <w:rsid w:val="00A70891"/>
    <w:rsid w:val="00A714AB"/>
    <w:rsid w:val="00A722B0"/>
    <w:rsid w:val="00A72C56"/>
    <w:rsid w:val="00A72DBC"/>
    <w:rsid w:val="00A74EBF"/>
    <w:rsid w:val="00A752FA"/>
    <w:rsid w:val="00A77A4C"/>
    <w:rsid w:val="00A80680"/>
    <w:rsid w:val="00A83F54"/>
    <w:rsid w:val="00A84A23"/>
    <w:rsid w:val="00A8603F"/>
    <w:rsid w:val="00A9225F"/>
    <w:rsid w:val="00A93DAD"/>
    <w:rsid w:val="00A943C0"/>
    <w:rsid w:val="00A95C94"/>
    <w:rsid w:val="00A960B1"/>
    <w:rsid w:val="00A9793E"/>
    <w:rsid w:val="00A97B77"/>
    <w:rsid w:val="00A97DFD"/>
    <w:rsid w:val="00AA02B0"/>
    <w:rsid w:val="00AA05FC"/>
    <w:rsid w:val="00AA4210"/>
    <w:rsid w:val="00AA5216"/>
    <w:rsid w:val="00AA59E4"/>
    <w:rsid w:val="00AA7327"/>
    <w:rsid w:val="00AB1EF3"/>
    <w:rsid w:val="00AB2D58"/>
    <w:rsid w:val="00AB377C"/>
    <w:rsid w:val="00AB3E9B"/>
    <w:rsid w:val="00AB6315"/>
    <w:rsid w:val="00AB6CC7"/>
    <w:rsid w:val="00AB6F74"/>
    <w:rsid w:val="00AB7581"/>
    <w:rsid w:val="00AB7A61"/>
    <w:rsid w:val="00AC0D4A"/>
    <w:rsid w:val="00AC0E93"/>
    <w:rsid w:val="00AC0F96"/>
    <w:rsid w:val="00AC404E"/>
    <w:rsid w:val="00AC40CD"/>
    <w:rsid w:val="00AC4849"/>
    <w:rsid w:val="00AC54E0"/>
    <w:rsid w:val="00AC6297"/>
    <w:rsid w:val="00AC666C"/>
    <w:rsid w:val="00AC667E"/>
    <w:rsid w:val="00AC70FA"/>
    <w:rsid w:val="00AD096F"/>
    <w:rsid w:val="00AD1725"/>
    <w:rsid w:val="00AD1C16"/>
    <w:rsid w:val="00AD243E"/>
    <w:rsid w:val="00AD3CBF"/>
    <w:rsid w:val="00AD42DC"/>
    <w:rsid w:val="00AD4C69"/>
    <w:rsid w:val="00AD6A63"/>
    <w:rsid w:val="00AD6E05"/>
    <w:rsid w:val="00AE3D08"/>
    <w:rsid w:val="00AE56A8"/>
    <w:rsid w:val="00AE56FA"/>
    <w:rsid w:val="00AE7C63"/>
    <w:rsid w:val="00AF07E1"/>
    <w:rsid w:val="00AF21A5"/>
    <w:rsid w:val="00AF5D79"/>
    <w:rsid w:val="00AF6B58"/>
    <w:rsid w:val="00B018FC"/>
    <w:rsid w:val="00B01DD5"/>
    <w:rsid w:val="00B01F36"/>
    <w:rsid w:val="00B05AE4"/>
    <w:rsid w:val="00B05CA4"/>
    <w:rsid w:val="00B06AE0"/>
    <w:rsid w:val="00B10642"/>
    <w:rsid w:val="00B11FCA"/>
    <w:rsid w:val="00B13E77"/>
    <w:rsid w:val="00B13F32"/>
    <w:rsid w:val="00B146B2"/>
    <w:rsid w:val="00B15025"/>
    <w:rsid w:val="00B152AB"/>
    <w:rsid w:val="00B15427"/>
    <w:rsid w:val="00B15696"/>
    <w:rsid w:val="00B15DD2"/>
    <w:rsid w:val="00B17A3E"/>
    <w:rsid w:val="00B200F4"/>
    <w:rsid w:val="00B201F5"/>
    <w:rsid w:val="00B206D6"/>
    <w:rsid w:val="00B22060"/>
    <w:rsid w:val="00B2342A"/>
    <w:rsid w:val="00B2436E"/>
    <w:rsid w:val="00B24452"/>
    <w:rsid w:val="00B2748A"/>
    <w:rsid w:val="00B30036"/>
    <w:rsid w:val="00B3138A"/>
    <w:rsid w:val="00B34CB6"/>
    <w:rsid w:val="00B35FBD"/>
    <w:rsid w:val="00B414C2"/>
    <w:rsid w:val="00B41691"/>
    <w:rsid w:val="00B41C85"/>
    <w:rsid w:val="00B423D4"/>
    <w:rsid w:val="00B444F4"/>
    <w:rsid w:val="00B45B76"/>
    <w:rsid w:val="00B4729E"/>
    <w:rsid w:val="00B51BCB"/>
    <w:rsid w:val="00B53077"/>
    <w:rsid w:val="00B53B93"/>
    <w:rsid w:val="00B54801"/>
    <w:rsid w:val="00B55358"/>
    <w:rsid w:val="00B5537E"/>
    <w:rsid w:val="00B5575A"/>
    <w:rsid w:val="00B5623C"/>
    <w:rsid w:val="00B57740"/>
    <w:rsid w:val="00B60A2A"/>
    <w:rsid w:val="00B60C80"/>
    <w:rsid w:val="00B611DC"/>
    <w:rsid w:val="00B612B9"/>
    <w:rsid w:val="00B65ED2"/>
    <w:rsid w:val="00B675DB"/>
    <w:rsid w:val="00B67A46"/>
    <w:rsid w:val="00B7018A"/>
    <w:rsid w:val="00B7207B"/>
    <w:rsid w:val="00B72E8E"/>
    <w:rsid w:val="00B7354E"/>
    <w:rsid w:val="00B73BFD"/>
    <w:rsid w:val="00B74D42"/>
    <w:rsid w:val="00B7681B"/>
    <w:rsid w:val="00B76ADF"/>
    <w:rsid w:val="00B7703E"/>
    <w:rsid w:val="00B776C0"/>
    <w:rsid w:val="00B77A0E"/>
    <w:rsid w:val="00B82543"/>
    <w:rsid w:val="00B82AFF"/>
    <w:rsid w:val="00B83A77"/>
    <w:rsid w:val="00B84DE3"/>
    <w:rsid w:val="00B85B91"/>
    <w:rsid w:val="00B85CE8"/>
    <w:rsid w:val="00B907BD"/>
    <w:rsid w:val="00B90977"/>
    <w:rsid w:val="00B90FE1"/>
    <w:rsid w:val="00B94670"/>
    <w:rsid w:val="00B94DB7"/>
    <w:rsid w:val="00B954EC"/>
    <w:rsid w:val="00B9664F"/>
    <w:rsid w:val="00B9688F"/>
    <w:rsid w:val="00B96CEF"/>
    <w:rsid w:val="00B97592"/>
    <w:rsid w:val="00BA10A5"/>
    <w:rsid w:val="00BA3579"/>
    <w:rsid w:val="00BA3814"/>
    <w:rsid w:val="00BA3AAD"/>
    <w:rsid w:val="00BA5276"/>
    <w:rsid w:val="00BA7573"/>
    <w:rsid w:val="00BB0643"/>
    <w:rsid w:val="00BB2036"/>
    <w:rsid w:val="00BB331B"/>
    <w:rsid w:val="00BB3EAD"/>
    <w:rsid w:val="00BB4263"/>
    <w:rsid w:val="00BB540D"/>
    <w:rsid w:val="00BC0857"/>
    <w:rsid w:val="00BC2783"/>
    <w:rsid w:val="00BC2C7D"/>
    <w:rsid w:val="00BC2FD4"/>
    <w:rsid w:val="00BC440B"/>
    <w:rsid w:val="00BC4547"/>
    <w:rsid w:val="00BC480F"/>
    <w:rsid w:val="00BC5C77"/>
    <w:rsid w:val="00BC61E8"/>
    <w:rsid w:val="00BC6626"/>
    <w:rsid w:val="00BD09D7"/>
    <w:rsid w:val="00BD0D48"/>
    <w:rsid w:val="00BD0DD4"/>
    <w:rsid w:val="00BD1310"/>
    <w:rsid w:val="00BD17BD"/>
    <w:rsid w:val="00BD18C8"/>
    <w:rsid w:val="00BD1EB4"/>
    <w:rsid w:val="00BD3BFA"/>
    <w:rsid w:val="00BD43A5"/>
    <w:rsid w:val="00BD4DB2"/>
    <w:rsid w:val="00BD6937"/>
    <w:rsid w:val="00BD6A26"/>
    <w:rsid w:val="00BD6AB5"/>
    <w:rsid w:val="00BE0605"/>
    <w:rsid w:val="00BE0E50"/>
    <w:rsid w:val="00BE1073"/>
    <w:rsid w:val="00BE1801"/>
    <w:rsid w:val="00BE1C64"/>
    <w:rsid w:val="00BE4274"/>
    <w:rsid w:val="00BE5049"/>
    <w:rsid w:val="00BE52CD"/>
    <w:rsid w:val="00BE5F82"/>
    <w:rsid w:val="00BE637A"/>
    <w:rsid w:val="00BE66AE"/>
    <w:rsid w:val="00BE6FFD"/>
    <w:rsid w:val="00BE77C1"/>
    <w:rsid w:val="00BE79A1"/>
    <w:rsid w:val="00BE7E47"/>
    <w:rsid w:val="00BF01F0"/>
    <w:rsid w:val="00BF0337"/>
    <w:rsid w:val="00BF05B9"/>
    <w:rsid w:val="00BF14B5"/>
    <w:rsid w:val="00BF30FC"/>
    <w:rsid w:val="00BF3CF1"/>
    <w:rsid w:val="00BF4800"/>
    <w:rsid w:val="00BF67B5"/>
    <w:rsid w:val="00BF6C25"/>
    <w:rsid w:val="00BF70EE"/>
    <w:rsid w:val="00BF74A8"/>
    <w:rsid w:val="00BF78EC"/>
    <w:rsid w:val="00C018DB"/>
    <w:rsid w:val="00C01C8F"/>
    <w:rsid w:val="00C02339"/>
    <w:rsid w:val="00C02553"/>
    <w:rsid w:val="00C02E50"/>
    <w:rsid w:val="00C04177"/>
    <w:rsid w:val="00C053E6"/>
    <w:rsid w:val="00C06C20"/>
    <w:rsid w:val="00C12131"/>
    <w:rsid w:val="00C13BCC"/>
    <w:rsid w:val="00C15F87"/>
    <w:rsid w:val="00C17141"/>
    <w:rsid w:val="00C20D39"/>
    <w:rsid w:val="00C212D4"/>
    <w:rsid w:val="00C24FE5"/>
    <w:rsid w:val="00C25BC9"/>
    <w:rsid w:val="00C25C5D"/>
    <w:rsid w:val="00C279D9"/>
    <w:rsid w:val="00C27BF9"/>
    <w:rsid w:val="00C3120A"/>
    <w:rsid w:val="00C3141D"/>
    <w:rsid w:val="00C31EAD"/>
    <w:rsid w:val="00C328CA"/>
    <w:rsid w:val="00C32A28"/>
    <w:rsid w:val="00C34210"/>
    <w:rsid w:val="00C344A9"/>
    <w:rsid w:val="00C379EB"/>
    <w:rsid w:val="00C41791"/>
    <w:rsid w:val="00C432FE"/>
    <w:rsid w:val="00C43B02"/>
    <w:rsid w:val="00C43B9B"/>
    <w:rsid w:val="00C43D09"/>
    <w:rsid w:val="00C44557"/>
    <w:rsid w:val="00C447A1"/>
    <w:rsid w:val="00C45177"/>
    <w:rsid w:val="00C455DA"/>
    <w:rsid w:val="00C46D39"/>
    <w:rsid w:val="00C478B0"/>
    <w:rsid w:val="00C479F4"/>
    <w:rsid w:val="00C508B0"/>
    <w:rsid w:val="00C51D29"/>
    <w:rsid w:val="00C52F96"/>
    <w:rsid w:val="00C538E7"/>
    <w:rsid w:val="00C54998"/>
    <w:rsid w:val="00C54B86"/>
    <w:rsid w:val="00C552C5"/>
    <w:rsid w:val="00C5531F"/>
    <w:rsid w:val="00C554F6"/>
    <w:rsid w:val="00C55BEF"/>
    <w:rsid w:val="00C5799F"/>
    <w:rsid w:val="00C6205F"/>
    <w:rsid w:val="00C624DB"/>
    <w:rsid w:val="00C64118"/>
    <w:rsid w:val="00C6538C"/>
    <w:rsid w:val="00C67254"/>
    <w:rsid w:val="00C73D28"/>
    <w:rsid w:val="00C74C81"/>
    <w:rsid w:val="00C74D6B"/>
    <w:rsid w:val="00C752C2"/>
    <w:rsid w:val="00C7798D"/>
    <w:rsid w:val="00C80290"/>
    <w:rsid w:val="00C80ADD"/>
    <w:rsid w:val="00C8190E"/>
    <w:rsid w:val="00C81D6E"/>
    <w:rsid w:val="00C821D8"/>
    <w:rsid w:val="00C823DB"/>
    <w:rsid w:val="00C82CC0"/>
    <w:rsid w:val="00C8319A"/>
    <w:rsid w:val="00C85316"/>
    <w:rsid w:val="00C872FE"/>
    <w:rsid w:val="00C918E3"/>
    <w:rsid w:val="00C93947"/>
    <w:rsid w:val="00C93A84"/>
    <w:rsid w:val="00C94086"/>
    <w:rsid w:val="00C9408F"/>
    <w:rsid w:val="00C94476"/>
    <w:rsid w:val="00C944FE"/>
    <w:rsid w:val="00CA04C3"/>
    <w:rsid w:val="00CA0DF7"/>
    <w:rsid w:val="00CA0FBE"/>
    <w:rsid w:val="00CA1C8F"/>
    <w:rsid w:val="00CA2824"/>
    <w:rsid w:val="00CA314E"/>
    <w:rsid w:val="00CA36FA"/>
    <w:rsid w:val="00CA4897"/>
    <w:rsid w:val="00CA5B30"/>
    <w:rsid w:val="00CA73BB"/>
    <w:rsid w:val="00CA7541"/>
    <w:rsid w:val="00CB0F7F"/>
    <w:rsid w:val="00CB1A69"/>
    <w:rsid w:val="00CB3A5B"/>
    <w:rsid w:val="00CB5119"/>
    <w:rsid w:val="00CB5C35"/>
    <w:rsid w:val="00CC06B1"/>
    <w:rsid w:val="00CC147B"/>
    <w:rsid w:val="00CC18E6"/>
    <w:rsid w:val="00CC2AE3"/>
    <w:rsid w:val="00CC3B38"/>
    <w:rsid w:val="00CC4E05"/>
    <w:rsid w:val="00CC55D9"/>
    <w:rsid w:val="00CC5A2C"/>
    <w:rsid w:val="00CC79A0"/>
    <w:rsid w:val="00CC7C1A"/>
    <w:rsid w:val="00CD0A4F"/>
    <w:rsid w:val="00CD0CE5"/>
    <w:rsid w:val="00CD1BE3"/>
    <w:rsid w:val="00CD2A12"/>
    <w:rsid w:val="00CD34E6"/>
    <w:rsid w:val="00CD38EA"/>
    <w:rsid w:val="00CE1265"/>
    <w:rsid w:val="00CE1514"/>
    <w:rsid w:val="00CE2BFF"/>
    <w:rsid w:val="00CE4C8A"/>
    <w:rsid w:val="00CE56EB"/>
    <w:rsid w:val="00CE65FF"/>
    <w:rsid w:val="00CF0E04"/>
    <w:rsid w:val="00CF34F1"/>
    <w:rsid w:val="00CF3579"/>
    <w:rsid w:val="00CF3792"/>
    <w:rsid w:val="00CF4F9D"/>
    <w:rsid w:val="00CF5077"/>
    <w:rsid w:val="00CF5599"/>
    <w:rsid w:val="00CF6ECD"/>
    <w:rsid w:val="00D00BA5"/>
    <w:rsid w:val="00D00E5D"/>
    <w:rsid w:val="00D011B6"/>
    <w:rsid w:val="00D04463"/>
    <w:rsid w:val="00D05D12"/>
    <w:rsid w:val="00D07CCD"/>
    <w:rsid w:val="00D102D9"/>
    <w:rsid w:val="00D14CA2"/>
    <w:rsid w:val="00D15289"/>
    <w:rsid w:val="00D15D80"/>
    <w:rsid w:val="00D16CF3"/>
    <w:rsid w:val="00D16DF4"/>
    <w:rsid w:val="00D17235"/>
    <w:rsid w:val="00D2066A"/>
    <w:rsid w:val="00D20DCB"/>
    <w:rsid w:val="00D22906"/>
    <w:rsid w:val="00D2786E"/>
    <w:rsid w:val="00D31095"/>
    <w:rsid w:val="00D326E7"/>
    <w:rsid w:val="00D32ACF"/>
    <w:rsid w:val="00D330D3"/>
    <w:rsid w:val="00D336CF"/>
    <w:rsid w:val="00D349E7"/>
    <w:rsid w:val="00D3576A"/>
    <w:rsid w:val="00D36133"/>
    <w:rsid w:val="00D410E2"/>
    <w:rsid w:val="00D42187"/>
    <w:rsid w:val="00D42355"/>
    <w:rsid w:val="00D426B3"/>
    <w:rsid w:val="00D45D00"/>
    <w:rsid w:val="00D5085E"/>
    <w:rsid w:val="00D50C79"/>
    <w:rsid w:val="00D537BF"/>
    <w:rsid w:val="00D53FC8"/>
    <w:rsid w:val="00D5686C"/>
    <w:rsid w:val="00D569AC"/>
    <w:rsid w:val="00D57F7E"/>
    <w:rsid w:val="00D6114B"/>
    <w:rsid w:val="00D628D2"/>
    <w:rsid w:val="00D6433B"/>
    <w:rsid w:val="00D65ECD"/>
    <w:rsid w:val="00D667BD"/>
    <w:rsid w:val="00D66E0B"/>
    <w:rsid w:val="00D67F47"/>
    <w:rsid w:val="00D70435"/>
    <w:rsid w:val="00D71E7A"/>
    <w:rsid w:val="00D73C33"/>
    <w:rsid w:val="00D75E08"/>
    <w:rsid w:val="00D76888"/>
    <w:rsid w:val="00D76AE4"/>
    <w:rsid w:val="00D77981"/>
    <w:rsid w:val="00D8075C"/>
    <w:rsid w:val="00D81967"/>
    <w:rsid w:val="00D82091"/>
    <w:rsid w:val="00D827A9"/>
    <w:rsid w:val="00D83142"/>
    <w:rsid w:val="00D85003"/>
    <w:rsid w:val="00D85A76"/>
    <w:rsid w:val="00D8624F"/>
    <w:rsid w:val="00D86F05"/>
    <w:rsid w:val="00D871C3"/>
    <w:rsid w:val="00D87C7E"/>
    <w:rsid w:val="00D90505"/>
    <w:rsid w:val="00D9060C"/>
    <w:rsid w:val="00D92098"/>
    <w:rsid w:val="00D93830"/>
    <w:rsid w:val="00D945A3"/>
    <w:rsid w:val="00D95C77"/>
    <w:rsid w:val="00D96734"/>
    <w:rsid w:val="00DA1663"/>
    <w:rsid w:val="00DA291E"/>
    <w:rsid w:val="00DA52E1"/>
    <w:rsid w:val="00DA6FF7"/>
    <w:rsid w:val="00DB0770"/>
    <w:rsid w:val="00DB12F6"/>
    <w:rsid w:val="00DB21A7"/>
    <w:rsid w:val="00DB2BA4"/>
    <w:rsid w:val="00DB31D8"/>
    <w:rsid w:val="00DB5725"/>
    <w:rsid w:val="00DB67DA"/>
    <w:rsid w:val="00DB735F"/>
    <w:rsid w:val="00DC3739"/>
    <w:rsid w:val="00DC5B51"/>
    <w:rsid w:val="00DC5E6B"/>
    <w:rsid w:val="00DD24B9"/>
    <w:rsid w:val="00DD263A"/>
    <w:rsid w:val="00DD53D9"/>
    <w:rsid w:val="00DD720F"/>
    <w:rsid w:val="00DE024D"/>
    <w:rsid w:val="00DE1013"/>
    <w:rsid w:val="00DE165A"/>
    <w:rsid w:val="00DE29B9"/>
    <w:rsid w:val="00DE31B4"/>
    <w:rsid w:val="00DF02C2"/>
    <w:rsid w:val="00DF0E35"/>
    <w:rsid w:val="00DF14B5"/>
    <w:rsid w:val="00DF70ED"/>
    <w:rsid w:val="00E01108"/>
    <w:rsid w:val="00E0133D"/>
    <w:rsid w:val="00E01B31"/>
    <w:rsid w:val="00E02DB1"/>
    <w:rsid w:val="00E06942"/>
    <w:rsid w:val="00E10471"/>
    <w:rsid w:val="00E11AD3"/>
    <w:rsid w:val="00E12B56"/>
    <w:rsid w:val="00E141A5"/>
    <w:rsid w:val="00E15874"/>
    <w:rsid w:val="00E16918"/>
    <w:rsid w:val="00E17231"/>
    <w:rsid w:val="00E2018C"/>
    <w:rsid w:val="00E220AE"/>
    <w:rsid w:val="00E22E37"/>
    <w:rsid w:val="00E23E09"/>
    <w:rsid w:val="00E24628"/>
    <w:rsid w:val="00E24CB6"/>
    <w:rsid w:val="00E24D12"/>
    <w:rsid w:val="00E24E9A"/>
    <w:rsid w:val="00E26422"/>
    <w:rsid w:val="00E264BF"/>
    <w:rsid w:val="00E269A8"/>
    <w:rsid w:val="00E30792"/>
    <w:rsid w:val="00E31CCA"/>
    <w:rsid w:val="00E32087"/>
    <w:rsid w:val="00E34FDD"/>
    <w:rsid w:val="00E37822"/>
    <w:rsid w:val="00E37B15"/>
    <w:rsid w:val="00E37F7E"/>
    <w:rsid w:val="00E419B8"/>
    <w:rsid w:val="00E423FF"/>
    <w:rsid w:val="00E42671"/>
    <w:rsid w:val="00E43BCB"/>
    <w:rsid w:val="00E44215"/>
    <w:rsid w:val="00E445C4"/>
    <w:rsid w:val="00E4593C"/>
    <w:rsid w:val="00E46F78"/>
    <w:rsid w:val="00E47305"/>
    <w:rsid w:val="00E514EC"/>
    <w:rsid w:val="00E533A4"/>
    <w:rsid w:val="00E57E9D"/>
    <w:rsid w:val="00E60522"/>
    <w:rsid w:val="00E60CA1"/>
    <w:rsid w:val="00E62095"/>
    <w:rsid w:val="00E63611"/>
    <w:rsid w:val="00E6400A"/>
    <w:rsid w:val="00E640AC"/>
    <w:rsid w:val="00E654FF"/>
    <w:rsid w:val="00E703BD"/>
    <w:rsid w:val="00E7190F"/>
    <w:rsid w:val="00E71919"/>
    <w:rsid w:val="00E72669"/>
    <w:rsid w:val="00E727BB"/>
    <w:rsid w:val="00E72A8B"/>
    <w:rsid w:val="00E7358A"/>
    <w:rsid w:val="00E735C2"/>
    <w:rsid w:val="00E74403"/>
    <w:rsid w:val="00E753FB"/>
    <w:rsid w:val="00E76804"/>
    <w:rsid w:val="00E773D0"/>
    <w:rsid w:val="00E811AB"/>
    <w:rsid w:val="00E83EB1"/>
    <w:rsid w:val="00E85AD8"/>
    <w:rsid w:val="00E86F79"/>
    <w:rsid w:val="00E902C6"/>
    <w:rsid w:val="00E934BC"/>
    <w:rsid w:val="00E93E07"/>
    <w:rsid w:val="00E943D9"/>
    <w:rsid w:val="00E949E0"/>
    <w:rsid w:val="00E95E06"/>
    <w:rsid w:val="00E97E12"/>
    <w:rsid w:val="00EA026A"/>
    <w:rsid w:val="00EA418C"/>
    <w:rsid w:val="00EA4240"/>
    <w:rsid w:val="00EA4350"/>
    <w:rsid w:val="00EA4470"/>
    <w:rsid w:val="00EA4A61"/>
    <w:rsid w:val="00EA4D89"/>
    <w:rsid w:val="00EA5314"/>
    <w:rsid w:val="00EA690F"/>
    <w:rsid w:val="00EB0501"/>
    <w:rsid w:val="00EB34A7"/>
    <w:rsid w:val="00EB3C07"/>
    <w:rsid w:val="00EB40EA"/>
    <w:rsid w:val="00EB42EA"/>
    <w:rsid w:val="00EC0995"/>
    <w:rsid w:val="00EC0AA8"/>
    <w:rsid w:val="00EC1000"/>
    <w:rsid w:val="00EC141C"/>
    <w:rsid w:val="00EC50BE"/>
    <w:rsid w:val="00EC68CF"/>
    <w:rsid w:val="00EC7C80"/>
    <w:rsid w:val="00ED24DF"/>
    <w:rsid w:val="00ED3BC8"/>
    <w:rsid w:val="00ED4A7D"/>
    <w:rsid w:val="00ED55A4"/>
    <w:rsid w:val="00EE0354"/>
    <w:rsid w:val="00EE05FC"/>
    <w:rsid w:val="00EE2497"/>
    <w:rsid w:val="00EE29C4"/>
    <w:rsid w:val="00EE3044"/>
    <w:rsid w:val="00EE3C61"/>
    <w:rsid w:val="00EE4027"/>
    <w:rsid w:val="00EE48C1"/>
    <w:rsid w:val="00EE5575"/>
    <w:rsid w:val="00EE74AF"/>
    <w:rsid w:val="00EE7733"/>
    <w:rsid w:val="00EE78B1"/>
    <w:rsid w:val="00EF0283"/>
    <w:rsid w:val="00EF282A"/>
    <w:rsid w:val="00EF4506"/>
    <w:rsid w:val="00EF4A71"/>
    <w:rsid w:val="00EF6FD6"/>
    <w:rsid w:val="00EF73CC"/>
    <w:rsid w:val="00EF753F"/>
    <w:rsid w:val="00EF7A5C"/>
    <w:rsid w:val="00F002EC"/>
    <w:rsid w:val="00F00CD4"/>
    <w:rsid w:val="00F018BB"/>
    <w:rsid w:val="00F03212"/>
    <w:rsid w:val="00F0399A"/>
    <w:rsid w:val="00F052B5"/>
    <w:rsid w:val="00F067DA"/>
    <w:rsid w:val="00F10427"/>
    <w:rsid w:val="00F13954"/>
    <w:rsid w:val="00F13B7F"/>
    <w:rsid w:val="00F142AF"/>
    <w:rsid w:val="00F178F3"/>
    <w:rsid w:val="00F17944"/>
    <w:rsid w:val="00F216E8"/>
    <w:rsid w:val="00F21837"/>
    <w:rsid w:val="00F21D1C"/>
    <w:rsid w:val="00F2246C"/>
    <w:rsid w:val="00F22653"/>
    <w:rsid w:val="00F226FB"/>
    <w:rsid w:val="00F2342B"/>
    <w:rsid w:val="00F23FEC"/>
    <w:rsid w:val="00F24504"/>
    <w:rsid w:val="00F256CB"/>
    <w:rsid w:val="00F30CB5"/>
    <w:rsid w:val="00F31539"/>
    <w:rsid w:val="00F31E1E"/>
    <w:rsid w:val="00F321B9"/>
    <w:rsid w:val="00F32511"/>
    <w:rsid w:val="00F32BB9"/>
    <w:rsid w:val="00F35DD9"/>
    <w:rsid w:val="00F361A5"/>
    <w:rsid w:val="00F3620A"/>
    <w:rsid w:val="00F363FD"/>
    <w:rsid w:val="00F36B5B"/>
    <w:rsid w:val="00F405D3"/>
    <w:rsid w:val="00F42328"/>
    <w:rsid w:val="00F424A0"/>
    <w:rsid w:val="00F43941"/>
    <w:rsid w:val="00F43DB7"/>
    <w:rsid w:val="00F459DF"/>
    <w:rsid w:val="00F45A2B"/>
    <w:rsid w:val="00F47078"/>
    <w:rsid w:val="00F479ED"/>
    <w:rsid w:val="00F50418"/>
    <w:rsid w:val="00F5111E"/>
    <w:rsid w:val="00F60098"/>
    <w:rsid w:val="00F614A3"/>
    <w:rsid w:val="00F62DE8"/>
    <w:rsid w:val="00F62F29"/>
    <w:rsid w:val="00F634A0"/>
    <w:rsid w:val="00F63C95"/>
    <w:rsid w:val="00F63C9A"/>
    <w:rsid w:val="00F640FF"/>
    <w:rsid w:val="00F646F6"/>
    <w:rsid w:val="00F657B7"/>
    <w:rsid w:val="00F6774D"/>
    <w:rsid w:val="00F75E0E"/>
    <w:rsid w:val="00F77841"/>
    <w:rsid w:val="00F80A4B"/>
    <w:rsid w:val="00F80BC6"/>
    <w:rsid w:val="00F81FCE"/>
    <w:rsid w:val="00F82BEF"/>
    <w:rsid w:val="00F8371E"/>
    <w:rsid w:val="00F85A20"/>
    <w:rsid w:val="00F85AC0"/>
    <w:rsid w:val="00F85D9B"/>
    <w:rsid w:val="00F865D8"/>
    <w:rsid w:val="00F90DE4"/>
    <w:rsid w:val="00F90DE8"/>
    <w:rsid w:val="00F914D0"/>
    <w:rsid w:val="00F92369"/>
    <w:rsid w:val="00F9254B"/>
    <w:rsid w:val="00F9266E"/>
    <w:rsid w:val="00F92915"/>
    <w:rsid w:val="00F93BA9"/>
    <w:rsid w:val="00F94714"/>
    <w:rsid w:val="00F94E38"/>
    <w:rsid w:val="00F95F97"/>
    <w:rsid w:val="00F96CBE"/>
    <w:rsid w:val="00F97D26"/>
    <w:rsid w:val="00FA18CA"/>
    <w:rsid w:val="00FA1C89"/>
    <w:rsid w:val="00FA2159"/>
    <w:rsid w:val="00FA3031"/>
    <w:rsid w:val="00FA380A"/>
    <w:rsid w:val="00FA4175"/>
    <w:rsid w:val="00FA7314"/>
    <w:rsid w:val="00FB0F44"/>
    <w:rsid w:val="00FB14E6"/>
    <w:rsid w:val="00FB1724"/>
    <w:rsid w:val="00FB1F62"/>
    <w:rsid w:val="00FB2B9F"/>
    <w:rsid w:val="00FB2F2C"/>
    <w:rsid w:val="00FB3E48"/>
    <w:rsid w:val="00FB48FC"/>
    <w:rsid w:val="00FB606A"/>
    <w:rsid w:val="00FB6375"/>
    <w:rsid w:val="00FB7BDD"/>
    <w:rsid w:val="00FC1ABB"/>
    <w:rsid w:val="00FC3674"/>
    <w:rsid w:val="00FC3DC8"/>
    <w:rsid w:val="00FC4921"/>
    <w:rsid w:val="00FC4B66"/>
    <w:rsid w:val="00FC4E3F"/>
    <w:rsid w:val="00FC500B"/>
    <w:rsid w:val="00FC6E05"/>
    <w:rsid w:val="00FD0808"/>
    <w:rsid w:val="00FD2AD5"/>
    <w:rsid w:val="00FD2E3F"/>
    <w:rsid w:val="00FD4081"/>
    <w:rsid w:val="00FD5798"/>
    <w:rsid w:val="00FD6F93"/>
    <w:rsid w:val="00FE095D"/>
    <w:rsid w:val="00FE09DD"/>
    <w:rsid w:val="00FE4279"/>
    <w:rsid w:val="00FE5244"/>
    <w:rsid w:val="00FE6B50"/>
    <w:rsid w:val="00FE6D7B"/>
    <w:rsid w:val="00FE77C0"/>
    <w:rsid w:val="00FF0C8D"/>
    <w:rsid w:val="00FF25AF"/>
    <w:rsid w:val="00FF2AB9"/>
    <w:rsid w:val="00FF330E"/>
    <w:rsid w:val="00FF4525"/>
    <w:rsid w:val="00FF5CE5"/>
    <w:rsid w:val="00FF6100"/>
    <w:rsid w:val="00FF77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54C45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3F32"/>
    <w:pPr>
      <w:spacing w:before="200" w:after="200" w:line="300" w:lineRule="exact"/>
    </w:pPr>
    <w:rPr>
      <w:rFonts w:ascii="Verdana" w:hAnsi="Verdana"/>
      <w:color w:val="000000" w:themeColor="text1"/>
      <w:sz w:val="20"/>
      <w:szCs w:val="20"/>
    </w:rPr>
  </w:style>
  <w:style w:type="paragraph" w:styleId="Heading1">
    <w:name w:val="heading 1"/>
    <w:basedOn w:val="CoverPageHeader"/>
    <w:next w:val="Normal"/>
    <w:link w:val="Heading1Char"/>
    <w:uiPriority w:val="9"/>
    <w:qFormat/>
    <w:rsid w:val="00AD6A63"/>
    <w:pPr>
      <w:outlineLvl w:val="0"/>
    </w:pPr>
    <w:rPr>
      <w:rFonts w:eastAsia="SimSun" w:cs="Times New Roman"/>
      <w:b w:val="0"/>
      <w:color w:val="2E1A47"/>
      <w:sz w:val="44"/>
      <w:szCs w:val="44"/>
      <w:lang w:eastAsia="zh-CN"/>
    </w:rPr>
  </w:style>
  <w:style w:type="paragraph" w:styleId="Heading2">
    <w:name w:val="heading 2"/>
    <w:basedOn w:val="Normal"/>
    <w:next w:val="Normal"/>
    <w:link w:val="Heading2Char"/>
    <w:uiPriority w:val="9"/>
    <w:unhideWhenUsed/>
    <w:qFormat/>
    <w:rsid w:val="00C212D4"/>
    <w:pPr>
      <w:keepNext/>
      <w:keepLines/>
      <w:spacing w:before="360" w:after="160" w:line="252" w:lineRule="auto"/>
      <w:outlineLvl w:val="1"/>
    </w:pPr>
    <w:rPr>
      <w:rFonts w:eastAsia="SimSun" w:cs="Times New Roman"/>
      <w:b/>
      <w:color w:val="1E988A"/>
      <w:sz w:val="28"/>
      <w:szCs w:val="26"/>
      <w:lang w:eastAsia="zh-CN"/>
    </w:rPr>
  </w:style>
  <w:style w:type="paragraph" w:styleId="Heading3">
    <w:name w:val="heading 3"/>
    <w:basedOn w:val="Title"/>
    <w:next w:val="Normal"/>
    <w:link w:val="Heading3Char"/>
    <w:uiPriority w:val="9"/>
    <w:unhideWhenUsed/>
    <w:qFormat/>
    <w:rsid w:val="00FC500B"/>
    <w:pPr>
      <w:outlineLvl w:val="2"/>
    </w:pPr>
    <w:rPr>
      <w:b w:val="0"/>
      <w:color w:val="2E1A47" w:themeColor="text2"/>
    </w:rPr>
  </w:style>
  <w:style w:type="paragraph" w:styleId="Heading4">
    <w:name w:val="heading 4"/>
    <w:basedOn w:val="Normal"/>
    <w:next w:val="Normal"/>
    <w:link w:val="Heading4Char"/>
    <w:uiPriority w:val="9"/>
    <w:unhideWhenUsed/>
    <w:qFormat/>
    <w:rsid w:val="002C1F51"/>
    <w:pPr>
      <w:outlineLvl w:val="3"/>
    </w:pPr>
    <w:rPr>
      <w:bCs/>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C3B0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C3B0A"/>
    <w:rPr>
      <w:rFonts w:eastAsiaTheme="minorEastAsia"/>
      <w:lang w:val="en-US"/>
    </w:rPr>
  </w:style>
  <w:style w:type="paragraph" w:styleId="Header">
    <w:name w:val="header"/>
    <w:basedOn w:val="Normal"/>
    <w:link w:val="HeaderChar"/>
    <w:uiPriority w:val="99"/>
    <w:unhideWhenUsed/>
    <w:rsid w:val="003C3B0A"/>
    <w:pPr>
      <w:tabs>
        <w:tab w:val="center" w:pos="4513"/>
        <w:tab w:val="right" w:pos="9026"/>
      </w:tabs>
      <w:spacing w:after="0"/>
    </w:pPr>
  </w:style>
  <w:style w:type="character" w:customStyle="1" w:styleId="HeaderChar">
    <w:name w:val="Header Char"/>
    <w:basedOn w:val="DefaultParagraphFont"/>
    <w:link w:val="Header"/>
    <w:uiPriority w:val="99"/>
    <w:rsid w:val="003C3B0A"/>
  </w:style>
  <w:style w:type="paragraph" w:styleId="Footer">
    <w:name w:val="footer"/>
    <w:basedOn w:val="Normal"/>
    <w:link w:val="FooterChar"/>
    <w:uiPriority w:val="99"/>
    <w:unhideWhenUsed/>
    <w:rsid w:val="003C3B0A"/>
    <w:pPr>
      <w:tabs>
        <w:tab w:val="center" w:pos="4513"/>
        <w:tab w:val="right" w:pos="9026"/>
      </w:tabs>
      <w:spacing w:after="0"/>
    </w:pPr>
  </w:style>
  <w:style w:type="character" w:customStyle="1" w:styleId="FooterChar">
    <w:name w:val="Footer Char"/>
    <w:basedOn w:val="DefaultParagraphFont"/>
    <w:link w:val="Footer"/>
    <w:uiPriority w:val="99"/>
    <w:rsid w:val="003C3B0A"/>
  </w:style>
  <w:style w:type="character" w:customStyle="1" w:styleId="Heading1Char">
    <w:name w:val="Heading 1 Char"/>
    <w:basedOn w:val="DefaultParagraphFont"/>
    <w:link w:val="Heading1"/>
    <w:uiPriority w:val="9"/>
    <w:rsid w:val="00AD6A63"/>
    <w:rPr>
      <w:rFonts w:ascii="Verdana" w:eastAsia="SimSun" w:hAnsi="Verdana" w:cs="Times New Roman"/>
      <w:bCs/>
      <w:color w:val="2E1A47"/>
      <w:sz w:val="44"/>
      <w:szCs w:val="44"/>
      <w:lang w:eastAsia="zh-CN"/>
    </w:rPr>
  </w:style>
  <w:style w:type="character" w:styleId="Strong">
    <w:name w:val="Strong"/>
    <w:aliases w:val="IntroCopy"/>
    <w:uiPriority w:val="22"/>
    <w:qFormat/>
    <w:rsid w:val="00571BDC"/>
    <w:rPr>
      <w:color w:val="7A4282" w:themeColor="accent1"/>
      <w:sz w:val="32"/>
      <w:szCs w:val="32"/>
      <w:lang w:val="pt-PT"/>
    </w:rPr>
  </w:style>
  <w:style w:type="paragraph" w:styleId="Title">
    <w:name w:val="Title"/>
    <w:aliases w:val="SubHeader1"/>
    <w:basedOn w:val="Normal"/>
    <w:next w:val="Normal"/>
    <w:link w:val="TitleChar"/>
    <w:uiPriority w:val="10"/>
    <w:rsid w:val="00921435"/>
    <w:pPr>
      <w:spacing w:before="600" w:line="420" w:lineRule="exact"/>
    </w:pPr>
    <w:rPr>
      <w:b/>
      <w:bCs/>
      <w:sz w:val="32"/>
      <w:szCs w:val="32"/>
    </w:rPr>
  </w:style>
  <w:style w:type="character" w:customStyle="1" w:styleId="TitleChar">
    <w:name w:val="Title Char"/>
    <w:aliases w:val="SubHeader1 Char"/>
    <w:basedOn w:val="DefaultParagraphFont"/>
    <w:link w:val="Title"/>
    <w:uiPriority w:val="10"/>
    <w:rsid w:val="00921435"/>
    <w:rPr>
      <w:rFonts w:ascii="Verdana" w:hAnsi="Verdana"/>
      <w:b/>
      <w:bCs/>
      <w:color w:val="000000" w:themeColor="text1"/>
      <w:sz w:val="32"/>
      <w:szCs w:val="32"/>
    </w:rPr>
  </w:style>
  <w:style w:type="character" w:customStyle="1" w:styleId="Heading2Char">
    <w:name w:val="Heading 2 Char"/>
    <w:basedOn w:val="DefaultParagraphFont"/>
    <w:link w:val="Heading2"/>
    <w:uiPriority w:val="9"/>
    <w:rsid w:val="00C212D4"/>
    <w:rPr>
      <w:rFonts w:ascii="Verdana" w:eastAsia="SimSun" w:hAnsi="Verdana" w:cs="Times New Roman"/>
      <w:b/>
      <w:color w:val="1E988A"/>
      <w:sz w:val="28"/>
      <w:szCs w:val="26"/>
      <w:lang w:eastAsia="zh-CN"/>
    </w:rPr>
  </w:style>
  <w:style w:type="paragraph" w:styleId="ListParagraph">
    <w:name w:val="List Paragraph"/>
    <w:aliases w:val="Bullet point,Bulleted Para,CV text,Dot pt,F5 List Paragraph,FooterText,L,List Paragraph1,List Paragraph11,List Paragraph111,List Paragraph2,Main,Medium Grid 1 - Accent 21,NFP GP Bulleted List,Numbered Paragraph,Recommendation,Table text,列"/>
    <w:basedOn w:val="Normal"/>
    <w:link w:val="ListParagraphChar"/>
    <w:uiPriority w:val="34"/>
    <w:qFormat/>
    <w:rsid w:val="00460A41"/>
    <w:pPr>
      <w:ind w:left="720"/>
      <w:contextualSpacing/>
    </w:pPr>
  </w:style>
  <w:style w:type="paragraph" w:customStyle="1" w:styleId="BulletList">
    <w:name w:val="BulletList"/>
    <w:basedOn w:val="ListParagraph"/>
    <w:link w:val="BulletListChar"/>
    <w:qFormat/>
    <w:rsid w:val="00D93830"/>
    <w:pPr>
      <w:numPr>
        <w:numId w:val="1"/>
      </w:numPr>
      <w:spacing w:before="0"/>
      <w:ind w:left="1080"/>
    </w:pPr>
  </w:style>
  <w:style w:type="paragraph" w:customStyle="1" w:styleId="NumberedList">
    <w:name w:val="NumberedList"/>
    <w:basedOn w:val="ListParagraph"/>
    <w:qFormat/>
    <w:rsid w:val="00F23FEC"/>
    <w:pPr>
      <w:numPr>
        <w:numId w:val="2"/>
      </w:numPr>
      <w:spacing w:before="0"/>
      <w:ind w:left="993" w:hanging="426"/>
    </w:pPr>
  </w:style>
  <w:style w:type="paragraph" w:styleId="Quote">
    <w:name w:val="Quote"/>
    <w:basedOn w:val="Normal"/>
    <w:next w:val="Normal"/>
    <w:link w:val="QuoteChar"/>
    <w:uiPriority w:val="29"/>
    <w:qFormat/>
    <w:rsid w:val="00FC1ABB"/>
    <w:pPr>
      <w:spacing w:after="240" w:line="380" w:lineRule="atLeast"/>
    </w:pPr>
    <w:rPr>
      <w:color w:val="7A4282" w:themeColor="accent1"/>
      <w:sz w:val="28"/>
      <w:szCs w:val="28"/>
    </w:rPr>
  </w:style>
  <w:style w:type="character" w:customStyle="1" w:styleId="QuoteChar">
    <w:name w:val="Quote Char"/>
    <w:basedOn w:val="DefaultParagraphFont"/>
    <w:link w:val="Quote"/>
    <w:uiPriority w:val="29"/>
    <w:rsid w:val="00FC1ABB"/>
    <w:rPr>
      <w:rFonts w:ascii="Verdana" w:hAnsi="Verdana"/>
      <w:color w:val="7A4282" w:themeColor="accent1"/>
      <w:sz w:val="28"/>
      <w:szCs w:val="28"/>
    </w:rPr>
  </w:style>
  <w:style w:type="paragraph" w:customStyle="1" w:styleId="QuoteSource">
    <w:name w:val="QuoteSource"/>
    <w:basedOn w:val="Normal"/>
    <w:rsid w:val="003D0704"/>
    <w:pPr>
      <w:spacing w:before="60" w:after="60" w:line="240" w:lineRule="auto"/>
    </w:pPr>
    <w:rPr>
      <w:sz w:val="16"/>
      <w:szCs w:val="16"/>
    </w:rPr>
  </w:style>
  <w:style w:type="table" w:styleId="TableGrid">
    <w:name w:val="Table Grid"/>
    <w:basedOn w:val="TableNormal"/>
    <w:uiPriority w:val="39"/>
    <w:rsid w:val="00321E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allQuote">
    <w:name w:val="SmallQuote"/>
    <w:basedOn w:val="QuoteSource"/>
    <w:rsid w:val="00FC1ABB"/>
    <w:pPr>
      <w:spacing w:before="200" w:after="240" w:line="320" w:lineRule="atLeast"/>
    </w:pPr>
    <w:rPr>
      <w:b/>
      <w:bCs/>
      <w:color w:val="7A4282" w:themeColor="accent1"/>
      <w:sz w:val="22"/>
      <w:szCs w:val="22"/>
    </w:rPr>
  </w:style>
  <w:style w:type="paragraph" w:customStyle="1" w:styleId="LargeBox">
    <w:name w:val="LargeBox"/>
    <w:basedOn w:val="Normal"/>
    <w:rsid w:val="00DB21A7"/>
    <w:pPr>
      <w:framePr w:w="10206" w:hSpace="284" w:vSpace="284" w:wrap="around" w:vAnchor="text" w:hAnchor="text" w:y="1"/>
      <w:shd w:val="clear" w:color="auto" w:fill="7A4282" w:themeFill="accent1"/>
      <w:spacing w:before="240"/>
      <w:ind w:left="284" w:hanging="284"/>
    </w:pPr>
    <w:rPr>
      <w:color w:val="FFFFFF" w:themeColor="background1"/>
      <w:sz w:val="28"/>
    </w:rPr>
  </w:style>
  <w:style w:type="paragraph" w:customStyle="1" w:styleId="SmallBox">
    <w:name w:val="SmallBox"/>
    <w:basedOn w:val="LargeBox"/>
    <w:rsid w:val="00147D40"/>
    <w:pPr>
      <w:framePr w:w="5103" w:wrap="around"/>
      <w:shd w:val="clear" w:color="auto" w:fill="F1D184" w:themeFill="accent4"/>
    </w:pPr>
    <w:rPr>
      <w:b/>
      <w:sz w:val="22"/>
    </w:rPr>
  </w:style>
  <w:style w:type="paragraph" w:customStyle="1" w:styleId="IntroCopy">
    <w:name w:val="Intro Copy"/>
    <w:basedOn w:val="Normal"/>
    <w:link w:val="IntroCopyChar"/>
    <w:uiPriority w:val="4"/>
    <w:qFormat/>
    <w:rsid w:val="00571BDC"/>
    <w:pPr>
      <w:spacing w:line="420" w:lineRule="exact"/>
    </w:pPr>
    <w:rPr>
      <w:color w:val="7A4282" w:themeColor="accent1"/>
      <w:sz w:val="32"/>
      <w:szCs w:val="32"/>
    </w:rPr>
  </w:style>
  <w:style w:type="character" w:customStyle="1" w:styleId="IntroCopyChar">
    <w:name w:val="Intro Copy Char"/>
    <w:basedOn w:val="DefaultParagraphFont"/>
    <w:link w:val="IntroCopy"/>
    <w:uiPriority w:val="4"/>
    <w:rsid w:val="00571BDC"/>
    <w:rPr>
      <w:rFonts w:ascii="Verdana" w:hAnsi="Verdana"/>
      <w:color w:val="7A4282" w:themeColor="accent1"/>
      <w:sz w:val="32"/>
      <w:szCs w:val="32"/>
    </w:rPr>
  </w:style>
  <w:style w:type="paragraph" w:customStyle="1" w:styleId="CoverPageHeader">
    <w:name w:val="CoverPage Header"/>
    <w:basedOn w:val="Title"/>
    <w:rsid w:val="00F45A2B"/>
    <w:pPr>
      <w:spacing w:after="480" w:line="240" w:lineRule="auto"/>
    </w:pPr>
    <w:rPr>
      <w:color w:val="7A4282" w:themeColor="accent1"/>
      <w:sz w:val="68"/>
      <w:szCs w:val="68"/>
    </w:rPr>
  </w:style>
  <w:style w:type="paragraph" w:customStyle="1" w:styleId="CoverPageSub1">
    <w:name w:val="CoverPage Sub1"/>
    <w:basedOn w:val="Heading1"/>
    <w:rsid w:val="00390F9A"/>
  </w:style>
  <w:style w:type="character" w:customStyle="1" w:styleId="Heading3Char">
    <w:name w:val="Heading 3 Char"/>
    <w:basedOn w:val="DefaultParagraphFont"/>
    <w:link w:val="Heading3"/>
    <w:uiPriority w:val="9"/>
    <w:rsid w:val="00FC500B"/>
    <w:rPr>
      <w:rFonts w:ascii="Verdana" w:hAnsi="Verdana"/>
      <w:bCs/>
      <w:color w:val="2E1A47" w:themeColor="text2"/>
      <w:sz w:val="32"/>
      <w:szCs w:val="32"/>
    </w:rPr>
  </w:style>
  <w:style w:type="character" w:customStyle="1" w:styleId="Heading4Char">
    <w:name w:val="Heading 4 Char"/>
    <w:basedOn w:val="DefaultParagraphFont"/>
    <w:link w:val="Heading4"/>
    <w:uiPriority w:val="9"/>
    <w:rsid w:val="002C1F51"/>
    <w:rPr>
      <w:rFonts w:ascii="Verdana" w:hAnsi="Verdana"/>
      <w:bCs/>
      <w:color w:val="000000" w:themeColor="text1"/>
      <w:sz w:val="26"/>
      <w:szCs w:val="24"/>
    </w:rPr>
  </w:style>
  <w:style w:type="character" w:styleId="Hyperlink">
    <w:name w:val="Hyperlink"/>
    <w:basedOn w:val="DefaultParagraphFont"/>
    <w:uiPriority w:val="99"/>
    <w:unhideWhenUsed/>
    <w:rsid w:val="0092648B"/>
    <w:rPr>
      <w:color w:val="0563C1"/>
      <w:u w:val="single"/>
    </w:rPr>
  </w:style>
  <w:style w:type="character" w:styleId="CommentReference">
    <w:name w:val="annotation reference"/>
    <w:basedOn w:val="DefaultParagraphFont"/>
    <w:uiPriority w:val="99"/>
    <w:semiHidden/>
    <w:unhideWhenUsed/>
    <w:rsid w:val="00C279D9"/>
    <w:rPr>
      <w:sz w:val="16"/>
      <w:szCs w:val="16"/>
    </w:rPr>
  </w:style>
  <w:style w:type="paragraph" w:styleId="CommentText">
    <w:name w:val="annotation text"/>
    <w:basedOn w:val="Normal"/>
    <w:link w:val="CommentTextChar"/>
    <w:uiPriority w:val="99"/>
    <w:unhideWhenUsed/>
    <w:rsid w:val="00C279D9"/>
    <w:pPr>
      <w:spacing w:line="240" w:lineRule="auto"/>
    </w:pPr>
  </w:style>
  <w:style w:type="character" w:customStyle="1" w:styleId="CommentTextChar">
    <w:name w:val="Comment Text Char"/>
    <w:basedOn w:val="DefaultParagraphFont"/>
    <w:link w:val="CommentText"/>
    <w:uiPriority w:val="99"/>
    <w:rsid w:val="00C279D9"/>
    <w:rPr>
      <w:rFonts w:ascii="Verdana" w:hAnsi="Verdana"/>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C279D9"/>
    <w:rPr>
      <w:b/>
      <w:bCs/>
    </w:rPr>
  </w:style>
  <w:style w:type="character" w:customStyle="1" w:styleId="CommentSubjectChar">
    <w:name w:val="Comment Subject Char"/>
    <w:basedOn w:val="CommentTextChar"/>
    <w:link w:val="CommentSubject"/>
    <w:uiPriority w:val="99"/>
    <w:semiHidden/>
    <w:rsid w:val="00C279D9"/>
    <w:rPr>
      <w:rFonts w:ascii="Verdana" w:hAnsi="Verdana"/>
      <w:b/>
      <w:bCs/>
      <w:color w:val="000000" w:themeColor="text1"/>
      <w:sz w:val="20"/>
      <w:szCs w:val="20"/>
    </w:rPr>
  </w:style>
  <w:style w:type="paragraph" w:styleId="BalloonText">
    <w:name w:val="Balloon Text"/>
    <w:basedOn w:val="Normal"/>
    <w:link w:val="BalloonTextChar"/>
    <w:uiPriority w:val="99"/>
    <w:semiHidden/>
    <w:unhideWhenUsed/>
    <w:rsid w:val="00C279D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79D9"/>
    <w:rPr>
      <w:rFonts w:ascii="Segoe UI" w:hAnsi="Segoe UI" w:cs="Segoe UI"/>
      <w:color w:val="000000" w:themeColor="text1"/>
      <w:sz w:val="18"/>
      <w:szCs w:val="18"/>
    </w:rPr>
  </w:style>
  <w:style w:type="character" w:customStyle="1" w:styleId="BulletListChar">
    <w:name w:val="BulletList Char"/>
    <w:basedOn w:val="DefaultParagraphFont"/>
    <w:link w:val="BulletList"/>
    <w:rsid w:val="00D93830"/>
    <w:rPr>
      <w:rFonts w:ascii="Verdana" w:hAnsi="Verdana"/>
      <w:color w:val="000000" w:themeColor="text1"/>
      <w:sz w:val="20"/>
      <w:szCs w:val="20"/>
    </w:rPr>
  </w:style>
  <w:style w:type="paragraph" w:customStyle="1" w:styleId="Heading2White">
    <w:name w:val="Heading 2 White"/>
    <w:basedOn w:val="Heading1"/>
    <w:rsid w:val="00C27BF9"/>
    <w:rPr>
      <w:noProof/>
      <w:color w:val="FFFFFF" w:themeColor="background1"/>
      <w:lang w:eastAsia="en-AU"/>
    </w:rPr>
  </w:style>
  <w:style w:type="character" w:styleId="FollowedHyperlink">
    <w:name w:val="FollowedHyperlink"/>
    <w:basedOn w:val="DefaultParagraphFont"/>
    <w:uiPriority w:val="99"/>
    <w:semiHidden/>
    <w:unhideWhenUsed/>
    <w:rsid w:val="00776A9A"/>
    <w:rPr>
      <w:color w:val="2E1A47" w:themeColor="followedHyperlink"/>
      <w:u w:val="single"/>
    </w:rPr>
  </w:style>
  <w:style w:type="paragraph" w:customStyle="1" w:styleId="Default">
    <w:name w:val="Default"/>
    <w:rsid w:val="00607DC2"/>
    <w:pPr>
      <w:autoSpaceDE w:val="0"/>
      <w:autoSpaceDN w:val="0"/>
      <w:adjustRightInd w:val="0"/>
      <w:spacing w:after="0" w:line="240" w:lineRule="auto"/>
    </w:pPr>
    <w:rPr>
      <w:rFonts w:ascii="Verdana" w:hAnsi="Verdana" w:cs="Verdana"/>
      <w:color w:val="000000"/>
      <w:sz w:val="24"/>
      <w:szCs w:val="24"/>
    </w:rPr>
  </w:style>
  <w:style w:type="paragraph" w:customStyle="1" w:styleId="Pa2">
    <w:name w:val="Pa2"/>
    <w:basedOn w:val="Default"/>
    <w:next w:val="Default"/>
    <w:uiPriority w:val="99"/>
    <w:rsid w:val="00607DC2"/>
    <w:pPr>
      <w:spacing w:line="141" w:lineRule="atLeast"/>
    </w:pPr>
    <w:rPr>
      <w:rFonts w:ascii="AU Sans BETA Text Medium" w:hAnsi="AU Sans BETA Text Medium" w:cstheme="minorBidi"/>
      <w:color w:val="auto"/>
    </w:rPr>
  </w:style>
  <w:style w:type="paragraph" w:customStyle="1" w:styleId="IntroPara">
    <w:name w:val="Intro Para"/>
    <w:basedOn w:val="Normal"/>
    <w:qFormat/>
    <w:rsid w:val="00723C3E"/>
    <w:pPr>
      <w:spacing w:before="0" w:after="440" w:line="252" w:lineRule="auto"/>
    </w:pPr>
    <w:rPr>
      <w:rFonts w:asciiTheme="minorHAnsi" w:eastAsiaTheme="minorEastAsia" w:hAnsiTheme="minorHAnsi"/>
      <w:color w:val="2E1A47" w:themeColor="text2"/>
      <w:sz w:val="24"/>
      <w:szCs w:val="24"/>
      <w:lang w:eastAsia="zh-CN"/>
    </w:rPr>
  </w:style>
  <w:style w:type="character" w:customStyle="1" w:styleId="arrow-up">
    <w:name w:val="arrow-up"/>
    <w:basedOn w:val="DefaultParagraphFont"/>
    <w:rsid w:val="00197C60"/>
  </w:style>
  <w:style w:type="character" w:customStyle="1" w:styleId="small">
    <w:name w:val="small"/>
    <w:basedOn w:val="DefaultParagraphFont"/>
    <w:rsid w:val="00197C60"/>
  </w:style>
  <w:style w:type="character" w:customStyle="1" w:styleId="arrow-down">
    <w:name w:val="arrow-down"/>
    <w:basedOn w:val="DefaultParagraphFont"/>
    <w:rsid w:val="00197C60"/>
  </w:style>
  <w:style w:type="paragraph" w:customStyle="1" w:styleId="small1">
    <w:name w:val="small1"/>
    <w:basedOn w:val="Normal"/>
    <w:rsid w:val="00197C60"/>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no-wrap">
    <w:name w:val="no-wrap"/>
    <w:basedOn w:val="DefaultParagraphFont"/>
    <w:rsid w:val="006768C5"/>
  </w:style>
  <w:style w:type="paragraph" w:styleId="FootnoteText">
    <w:name w:val="footnote text"/>
    <w:basedOn w:val="Normal"/>
    <w:link w:val="FootnoteTextChar"/>
    <w:uiPriority w:val="10"/>
    <w:unhideWhenUsed/>
    <w:rsid w:val="00F62DE8"/>
    <w:pPr>
      <w:spacing w:before="0" w:after="0" w:line="240" w:lineRule="auto"/>
    </w:pPr>
  </w:style>
  <w:style w:type="character" w:customStyle="1" w:styleId="FootnoteTextChar">
    <w:name w:val="Footnote Text Char"/>
    <w:basedOn w:val="DefaultParagraphFont"/>
    <w:link w:val="FootnoteText"/>
    <w:uiPriority w:val="10"/>
    <w:rsid w:val="00F62DE8"/>
    <w:rPr>
      <w:rFonts w:ascii="Verdana" w:hAnsi="Verdana"/>
      <w:color w:val="000000" w:themeColor="text1"/>
      <w:sz w:val="20"/>
      <w:szCs w:val="20"/>
    </w:rPr>
  </w:style>
  <w:style w:type="character" w:styleId="FootnoteReference">
    <w:name w:val="footnote reference"/>
    <w:basedOn w:val="DefaultParagraphFont"/>
    <w:uiPriority w:val="99"/>
    <w:semiHidden/>
    <w:unhideWhenUsed/>
    <w:rsid w:val="00F62DE8"/>
    <w:rPr>
      <w:vertAlign w:val="superscript"/>
    </w:rPr>
  </w:style>
  <w:style w:type="paragraph" w:styleId="NormalWeb">
    <w:name w:val="Normal (Web)"/>
    <w:basedOn w:val="Normal"/>
    <w:uiPriority w:val="99"/>
    <w:unhideWhenUsed/>
    <w:rsid w:val="005E4C37"/>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ListBullet">
    <w:name w:val="List Bullet"/>
    <w:basedOn w:val="Normal"/>
    <w:uiPriority w:val="99"/>
    <w:semiHidden/>
    <w:unhideWhenUsed/>
    <w:rsid w:val="00624B6C"/>
    <w:pPr>
      <w:numPr>
        <w:numId w:val="5"/>
      </w:numPr>
      <w:snapToGrid w:val="0"/>
      <w:spacing w:before="0" w:after="40" w:line="252" w:lineRule="auto"/>
    </w:pPr>
    <w:rPr>
      <w:rFonts w:ascii="Calibri" w:hAnsi="Calibri" w:cs="Calibri"/>
      <w:color w:val="auto"/>
      <w:lang w:eastAsia="zh-CN"/>
    </w:rPr>
  </w:style>
  <w:style w:type="paragraph" w:styleId="ListBullet2">
    <w:name w:val="List Bullet 2"/>
    <w:basedOn w:val="Normal"/>
    <w:uiPriority w:val="99"/>
    <w:semiHidden/>
    <w:unhideWhenUsed/>
    <w:rsid w:val="00624B6C"/>
    <w:pPr>
      <w:numPr>
        <w:ilvl w:val="1"/>
        <w:numId w:val="5"/>
      </w:numPr>
      <w:snapToGrid w:val="0"/>
      <w:spacing w:before="0" w:after="40" w:line="252" w:lineRule="auto"/>
    </w:pPr>
    <w:rPr>
      <w:rFonts w:ascii="Calibri" w:hAnsi="Calibri" w:cs="Calibri"/>
      <w:color w:val="auto"/>
      <w:lang w:eastAsia="zh-CN"/>
    </w:rPr>
  </w:style>
  <w:style w:type="paragraph" w:styleId="ListBullet3">
    <w:name w:val="List Bullet 3"/>
    <w:basedOn w:val="Normal"/>
    <w:uiPriority w:val="99"/>
    <w:semiHidden/>
    <w:unhideWhenUsed/>
    <w:rsid w:val="00624B6C"/>
    <w:pPr>
      <w:numPr>
        <w:ilvl w:val="2"/>
        <w:numId w:val="5"/>
      </w:numPr>
      <w:snapToGrid w:val="0"/>
      <w:spacing w:before="0" w:after="40" w:line="252" w:lineRule="auto"/>
    </w:pPr>
    <w:rPr>
      <w:rFonts w:ascii="Calibri" w:hAnsi="Calibri" w:cs="Calibri"/>
      <w:color w:val="auto"/>
      <w:lang w:eastAsia="zh-CN"/>
    </w:rPr>
  </w:style>
  <w:style w:type="character" w:customStyle="1" w:styleId="ListParagraphChar">
    <w:name w:val="List Paragraph Char"/>
    <w:aliases w:val="Bullet point Char,Bulleted Para Char,CV text Char,Dot pt Char,F5 List Paragraph Char,FooterText Char,L Char,List Paragraph1 Char,List Paragraph11 Char,List Paragraph111 Char,List Paragraph2 Char,Main Char,NFP GP Bulleted List Char"/>
    <w:basedOn w:val="DefaultParagraphFont"/>
    <w:link w:val="ListParagraph"/>
    <w:uiPriority w:val="34"/>
    <w:qFormat/>
    <w:locked/>
    <w:rsid w:val="00355E3B"/>
    <w:rPr>
      <w:rFonts w:ascii="Verdana" w:hAnsi="Verdana"/>
      <w:color w:val="000000" w:themeColor="text1"/>
      <w:sz w:val="20"/>
      <w:szCs w:val="20"/>
    </w:rPr>
  </w:style>
  <w:style w:type="character" w:styleId="Emphasis">
    <w:name w:val="Emphasis"/>
    <w:basedOn w:val="DefaultParagraphFont"/>
    <w:uiPriority w:val="20"/>
    <w:qFormat/>
    <w:rsid w:val="00A9793E"/>
    <w:rPr>
      <w:i/>
      <w:iCs/>
    </w:rPr>
  </w:style>
  <w:style w:type="paragraph" w:styleId="TOCHeading">
    <w:name w:val="TOC Heading"/>
    <w:basedOn w:val="Heading1"/>
    <w:next w:val="Normal"/>
    <w:uiPriority w:val="39"/>
    <w:unhideWhenUsed/>
    <w:qFormat/>
    <w:rsid w:val="0054064E"/>
    <w:pPr>
      <w:keepNext/>
      <w:keepLines/>
      <w:spacing w:before="240" w:after="0" w:line="259" w:lineRule="auto"/>
      <w:outlineLvl w:val="9"/>
    </w:pPr>
    <w:rPr>
      <w:rFonts w:asciiTheme="majorHAnsi" w:eastAsiaTheme="majorEastAsia" w:hAnsiTheme="majorHAnsi" w:cstheme="majorBidi"/>
      <w:bCs w:val="0"/>
      <w:color w:val="5B3161" w:themeColor="accent1" w:themeShade="BF"/>
      <w:sz w:val="32"/>
      <w:szCs w:val="32"/>
      <w:lang w:val="en-US" w:eastAsia="en-US"/>
    </w:rPr>
  </w:style>
  <w:style w:type="paragraph" w:styleId="TOC1">
    <w:name w:val="toc 1"/>
    <w:basedOn w:val="Normal"/>
    <w:next w:val="Normal"/>
    <w:autoRedefine/>
    <w:uiPriority w:val="39"/>
    <w:unhideWhenUsed/>
    <w:rsid w:val="0054064E"/>
    <w:pPr>
      <w:spacing w:after="100"/>
    </w:pPr>
  </w:style>
  <w:style w:type="paragraph" w:styleId="TOC2">
    <w:name w:val="toc 2"/>
    <w:basedOn w:val="Normal"/>
    <w:next w:val="Normal"/>
    <w:autoRedefine/>
    <w:uiPriority w:val="39"/>
    <w:unhideWhenUsed/>
    <w:rsid w:val="0054064E"/>
    <w:pPr>
      <w:spacing w:after="100"/>
      <w:ind w:left="200"/>
    </w:pPr>
  </w:style>
  <w:style w:type="paragraph" w:styleId="TOC3">
    <w:name w:val="toc 3"/>
    <w:basedOn w:val="Normal"/>
    <w:next w:val="Normal"/>
    <w:autoRedefine/>
    <w:uiPriority w:val="39"/>
    <w:unhideWhenUsed/>
    <w:rsid w:val="0054064E"/>
    <w:pPr>
      <w:spacing w:after="100"/>
      <w:ind w:left="400"/>
    </w:pPr>
  </w:style>
  <w:style w:type="character" w:customStyle="1" w:styleId="Indent1Char">
    <w:name w:val="Indent1 Char"/>
    <w:basedOn w:val="DefaultParagraphFont"/>
    <w:link w:val="Indent1"/>
    <w:locked/>
    <w:rsid w:val="00FB6375"/>
    <w:rPr>
      <w:rFonts w:ascii="Arial" w:hAnsi="Arial" w:cs="Arial"/>
    </w:rPr>
  </w:style>
  <w:style w:type="paragraph" w:customStyle="1" w:styleId="Indent1">
    <w:name w:val="Indent1"/>
    <w:basedOn w:val="Normal"/>
    <w:link w:val="Indent1Char"/>
    <w:rsid w:val="00FB6375"/>
    <w:pPr>
      <w:numPr>
        <w:numId w:val="10"/>
      </w:numPr>
      <w:spacing w:before="0" w:after="120" w:line="240" w:lineRule="auto"/>
      <w:jc w:val="both"/>
    </w:pPr>
    <w:rPr>
      <w:rFonts w:ascii="Arial" w:hAnsi="Arial" w:cs="Arial"/>
      <w:color w:val="auto"/>
      <w:sz w:val="22"/>
      <w:szCs w:val="22"/>
    </w:rPr>
  </w:style>
  <w:style w:type="character" w:customStyle="1" w:styleId="apple-converted-space">
    <w:name w:val="apple-converted-space"/>
    <w:basedOn w:val="DefaultParagraphFont"/>
    <w:rsid w:val="002D6EB5"/>
  </w:style>
  <w:style w:type="character" w:styleId="UnresolvedMention">
    <w:name w:val="Unresolved Mention"/>
    <w:basedOn w:val="DefaultParagraphFont"/>
    <w:uiPriority w:val="99"/>
    <w:semiHidden/>
    <w:unhideWhenUsed/>
    <w:rsid w:val="00A943C0"/>
    <w:rPr>
      <w:color w:val="605E5C"/>
      <w:shd w:val="clear" w:color="auto" w:fill="E1DFDD"/>
    </w:rPr>
  </w:style>
  <w:style w:type="paragraph" w:styleId="Revision">
    <w:name w:val="Revision"/>
    <w:hidden/>
    <w:uiPriority w:val="99"/>
    <w:semiHidden/>
    <w:rsid w:val="00DA291E"/>
    <w:pPr>
      <w:spacing w:after="0" w:line="240" w:lineRule="auto"/>
    </w:pPr>
    <w:rPr>
      <w:rFonts w:ascii="Verdana" w:hAnsi="Verdana"/>
      <w:color w:val="000000" w:themeColor="text1"/>
      <w:sz w:val="20"/>
      <w:szCs w:val="20"/>
    </w:rPr>
  </w:style>
  <w:style w:type="paragraph" w:styleId="Caption">
    <w:name w:val="caption"/>
    <w:basedOn w:val="Normal"/>
    <w:next w:val="Normal"/>
    <w:uiPriority w:val="35"/>
    <w:unhideWhenUsed/>
    <w:qFormat/>
    <w:rsid w:val="00324AA6"/>
    <w:pPr>
      <w:spacing w:before="0" w:line="240" w:lineRule="auto"/>
    </w:pPr>
    <w:rPr>
      <w:i/>
      <w:iCs/>
      <w:color w:val="2E1A47" w:themeColor="text2"/>
      <w:sz w:val="18"/>
      <w:szCs w:val="18"/>
    </w:rPr>
  </w:style>
  <w:style w:type="paragraph" w:customStyle="1" w:styleId="CoverTitle">
    <w:name w:val="CoverTitle"/>
    <w:basedOn w:val="Normal"/>
    <w:qFormat/>
    <w:rsid w:val="00275E40"/>
    <w:pPr>
      <w:spacing w:before="0" w:after="0" w:line="240" w:lineRule="auto"/>
    </w:pPr>
    <w:rPr>
      <w:rFonts w:ascii="Arial" w:hAnsi="Arial"/>
      <w:caps/>
      <w:color w:val="FFFFFF" w:themeColor="background1"/>
      <w:sz w:val="66"/>
      <w:szCs w:val="24"/>
    </w:rPr>
  </w:style>
  <w:style w:type="paragraph" w:customStyle="1" w:styleId="CoverSubtitle">
    <w:name w:val="CoverSubtitle"/>
    <w:basedOn w:val="CoverTitle"/>
    <w:qFormat/>
    <w:rsid w:val="00275E40"/>
    <w:rPr>
      <w:sz w:val="40"/>
    </w:rPr>
  </w:style>
  <w:style w:type="paragraph" w:customStyle="1" w:styleId="Note">
    <w:name w:val="Note"/>
    <w:basedOn w:val="Normal"/>
    <w:uiPriority w:val="6"/>
    <w:qFormat/>
    <w:rsid w:val="00275E40"/>
    <w:pPr>
      <w:spacing w:before="0" w:after="160" w:line="240" w:lineRule="atLeast"/>
    </w:pPr>
    <w:rPr>
      <w:rFonts w:ascii="Arial" w:eastAsia="Times New Roman" w:hAnsi="Arial" w:cs="Times New Roman"/>
      <w:sz w:val="16"/>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75566">
      <w:bodyDiv w:val="1"/>
      <w:marLeft w:val="0"/>
      <w:marRight w:val="0"/>
      <w:marTop w:val="0"/>
      <w:marBottom w:val="0"/>
      <w:divBdr>
        <w:top w:val="none" w:sz="0" w:space="0" w:color="auto"/>
        <w:left w:val="none" w:sz="0" w:space="0" w:color="auto"/>
        <w:bottom w:val="none" w:sz="0" w:space="0" w:color="auto"/>
        <w:right w:val="none" w:sz="0" w:space="0" w:color="auto"/>
      </w:divBdr>
    </w:div>
    <w:div w:id="61418393">
      <w:bodyDiv w:val="1"/>
      <w:marLeft w:val="0"/>
      <w:marRight w:val="0"/>
      <w:marTop w:val="0"/>
      <w:marBottom w:val="0"/>
      <w:divBdr>
        <w:top w:val="none" w:sz="0" w:space="0" w:color="auto"/>
        <w:left w:val="none" w:sz="0" w:space="0" w:color="auto"/>
        <w:bottom w:val="none" w:sz="0" w:space="0" w:color="auto"/>
        <w:right w:val="none" w:sz="0" w:space="0" w:color="auto"/>
      </w:divBdr>
    </w:div>
    <w:div w:id="75857595">
      <w:bodyDiv w:val="1"/>
      <w:marLeft w:val="0"/>
      <w:marRight w:val="0"/>
      <w:marTop w:val="0"/>
      <w:marBottom w:val="0"/>
      <w:divBdr>
        <w:top w:val="none" w:sz="0" w:space="0" w:color="auto"/>
        <w:left w:val="none" w:sz="0" w:space="0" w:color="auto"/>
        <w:bottom w:val="none" w:sz="0" w:space="0" w:color="auto"/>
        <w:right w:val="none" w:sz="0" w:space="0" w:color="auto"/>
      </w:divBdr>
    </w:div>
    <w:div w:id="81269766">
      <w:bodyDiv w:val="1"/>
      <w:marLeft w:val="0"/>
      <w:marRight w:val="0"/>
      <w:marTop w:val="0"/>
      <w:marBottom w:val="0"/>
      <w:divBdr>
        <w:top w:val="none" w:sz="0" w:space="0" w:color="auto"/>
        <w:left w:val="none" w:sz="0" w:space="0" w:color="auto"/>
        <w:bottom w:val="none" w:sz="0" w:space="0" w:color="auto"/>
        <w:right w:val="none" w:sz="0" w:space="0" w:color="auto"/>
      </w:divBdr>
    </w:div>
    <w:div w:id="133719584">
      <w:bodyDiv w:val="1"/>
      <w:marLeft w:val="0"/>
      <w:marRight w:val="0"/>
      <w:marTop w:val="0"/>
      <w:marBottom w:val="0"/>
      <w:divBdr>
        <w:top w:val="none" w:sz="0" w:space="0" w:color="auto"/>
        <w:left w:val="none" w:sz="0" w:space="0" w:color="auto"/>
        <w:bottom w:val="none" w:sz="0" w:space="0" w:color="auto"/>
        <w:right w:val="none" w:sz="0" w:space="0" w:color="auto"/>
      </w:divBdr>
    </w:div>
    <w:div w:id="142435167">
      <w:bodyDiv w:val="1"/>
      <w:marLeft w:val="0"/>
      <w:marRight w:val="0"/>
      <w:marTop w:val="0"/>
      <w:marBottom w:val="0"/>
      <w:divBdr>
        <w:top w:val="none" w:sz="0" w:space="0" w:color="auto"/>
        <w:left w:val="none" w:sz="0" w:space="0" w:color="auto"/>
        <w:bottom w:val="none" w:sz="0" w:space="0" w:color="auto"/>
        <w:right w:val="none" w:sz="0" w:space="0" w:color="auto"/>
      </w:divBdr>
    </w:div>
    <w:div w:id="171723513">
      <w:bodyDiv w:val="1"/>
      <w:marLeft w:val="0"/>
      <w:marRight w:val="0"/>
      <w:marTop w:val="0"/>
      <w:marBottom w:val="0"/>
      <w:divBdr>
        <w:top w:val="none" w:sz="0" w:space="0" w:color="auto"/>
        <w:left w:val="none" w:sz="0" w:space="0" w:color="auto"/>
        <w:bottom w:val="none" w:sz="0" w:space="0" w:color="auto"/>
        <w:right w:val="none" w:sz="0" w:space="0" w:color="auto"/>
      </w:divBdr>
    </w:div>
    <w:div w:id="313071319">
      <w:bodyDiv w:val="1"/>
      <w:marLeft w:val="0"/>
      <w:marRight w:val="0"/>
      <w:marTop w:val="0"/>
      <w:marBottom w:val="0"/>
      <w:divBdr>
        <w:top w:val="none" w:sz="0" w:space="0" w:color="auto"/>
        <w:left w:val="none" w:sz="0" w:space="0" w:color="auto"/>
        <w:bottom w:val="none" w:sz="0" w:space="0" w:color="auto"/>
        <w:right w:val="none" w:sz="0" w:space="0" w:color="auto"/>
      </w:divBdr>
    </w:div>
    <w:div w:id="317998134">
      <w:bodyDiv w:val="1"/>
      <w:marLeft w:val="0"/>
      <w:marRight w:val="0"/>
      <w:marTop w:val="0"/>
      <w:marBottom w:val="0"/>
      <w:divBdr>
        <w:top w:val="none" w:sz="0" w:space="0" w:color="auto"/>
        <w:left w:val="none" w:sz="0" w:space="0" w:color="auto"/>
        <w:bottom w:val="none" w:sz="0" w:space="0" w:color="auto"/>
        <w:right w:val="none" w:sz="0" w:space="0" w:color="auto"/>
      </w:divBdr>
    </w:div>
    <w:div w:id="408816660">
      <w:bodyDiv w:val="1"/>
      <w:marLeft w:val="0"/>
      <w:marRight w:val="0"/>
      <w:marTop w:val="0"/>
      <w:marBottom w:val="0"/>
      <w:divBdr>
        <w:top w:val="none" w:sz="0" w:space="0" w:color="auto"/>
        <w:left w:val="none" w:sz="0" w:space="0" w:color="auto"/>
        <w:bottom w:val="none" w:sz="0" w:space="0" w:color="auto"/>
        <w:right w:val="none" w:sz="0" w:space="0" w:color="auto"/>
      </w:divBdr>
    </w:div>
    <w:div w:id="437408287">
      <w:bodyDiv w:val="1"/>
      <w:marLeft w:val="0"/>
      <w:marRight w:val="0"/>
      <w:marTop w:val="0"/>
      <w:marBottom w:val="0"/>
      <w:divBdr>
        <w:top w:val="none" w:sz="0" w:space="0" w:color="auto"/>
        <w:left w:val="none" w:sz="0" w:space="0" w:color="auto"/>
        <w:bottom w:val="none" w:sz="0" w:space="0" w:color="auto"/>
        <w:right w:val="none" w:sz="0" w:space="0" w:color="auto"/>
      </w:divBdr>
    </w:div>
    <w:div w:id="500320754">
      <w:bodyDiv w:val="1"/>
      <w:marLeft w:val="0"/>
      <w:marRight w:val="0"/>
      <w:marTop w:val="0"/>
      <w:marBottom w:val="0"/>
      <w:divBdr>
        <w:top w:val="none" w:sz="0" w:space="0" w:color="auto"/>
        <w:left w:val="none" w:sz="0" w:space="0" w:color="auto"/>
        <w:bottom w:val="none" w:sz="0" w:space="0" w:color="auto"/>
        <w:right w:val="none" w:sz="0" w:space="0" w:color="auto"/>
      </w:divBdr>
    </w:div>
    <w:div w:id="521826657">
      <w:bodyDiv w:val="1"/>
      <w:marLeft w:val="0"/>
      <w:marRight w:val="0"/>
      <w:marTop w:val="0"/>
      <w:marBottom w:val="0"/>
      <w:divBdr>
        <w:top w:val="none" w:sz="0" w:space="0" w:color="auto"/>
        <w:left w:val="none" w:sz="0" w:space="0" w:color="auto"/>
        <w:bottom w:val="none" w:sz="0" w:space="0" w:color="auto"/>
        <w:right w:val="none" w:sz="0" w:space="0" w:color="auto"/>
      </w:divBdr>
    </w:div>
    <w:div w:id="569077935">
      <w:bodyDiv w:val="1"/>
      <w:marLeft w:val="0"/>
      <w:marRight w:val="0"/>
      <w:marTop w:val="0"/>
      <w:marBottom w:val="0"/>
      <w:divBdr>
        <w:top w:val="none" w:sz="0" w:space="0" w:color="auto"/>
        <w:left w:val="none" w:sz="0" w:space="0" w:color="auto"/>
        <w:bottom w:val="none" w:sz="0" w:space="0" w:color="auto"/>
        <w:right w:val="none" w:sz="0" w:space="0" w:color="auto"/>
      </w:divBdr>
    </w:div>
    <w:div w:id="606893073">
      <w:bodyDiv w:val="1"/>
      <w:marLeft w:val="0"/>
      <w:marRight w:val="0"/>
      <w:marTop w:val="0"/>
      <w:marBottom w:val="0"/>
      <w:divBdr>
        <w:top w:val="none" w:sz="0" w:space="0" w:color="auto"/>
        <w:left w:val="none" w:sz="0" w:space="0" w:color="auto"/>
        <w:bottom w:val="none" w:sz="0" w:space="0" w:color="auto"/>
        <w:right w:val="none" w:sz="0" w:space="0" w:color="auto"/>
      </w:divBdr>
    </w:div>
    <w:div w:id="614412297">
      <w:bodyDiv w:val="1"/>
      <w:marLeft w:val="0"/>
      <w:marRight w:val="0"/>
      <w:marTop w:val="0"/>
      <w:marBottom w:val="0"/>
      <w:divBdr>
        <w:top w:val="none" w:sz="0" w:space="0" w:color="auto"/>
        <w:left w:val="none" w:sz="0" w:space="0" w:color="auto"/>
        <w:bottom w:val="none" w:sz="0" w:space="0" w:color="auto"/>
        <w:right w:val="none" w:sz="0" w:space="0" w:color="auto"/>
      </w:divBdr>
    </w:div>
    <w:div w:id="632634087">
      <w:bodyDiv w:val="1"/>
      <w:marLeft w:val="0"/>
      <w:marRight w:val="0"/>
      <w:marTop w:val="0"/>
      <w:marBottom w:val="0"/>
      <w:divBdr>
        <w:top w:val="none" w:sz="0" w:space="0" w:color="auto"/>
        <w:left w:val="none" w:sz="0" w:space="0" w:color="auto"/>
        <w:bottom w:val="none" w:sz="0" w:space="0" w:color="auto"/>
        <w:right w:val="none" w:sz="0" w:space="0" w:color="auto"/>
      </w:divBdr>
    </w:div>
    <w:div w:id="643774909">
      <w:bodyDiv w:val="1"/>
      <w:marLeft w:val="0"/>
      <w:marRight w:val="0"/>
      <w:marTop w:val="0"/>
      <w:marBottom w:val="0"/>
      <w:divBdr>
        <w:top w:val="none" w:sz="0" w:space="0" w:color="auto"/>
        <w:left w:val="none" w:sz="0" w:space="0" w:color="auto"/>
        <w:bottom w:val="none" w:sz="0" w:space="0" w:color="auto"/>
        <w:right w:val="none" w:sz="0" w:space="0" w:color="auto"/>
      </w:divBdr>
    </w:div>
    <w:div w:id="744957277">
      <w:bodyDiv w:val="1"/>
      <w:marLeft w:val="0"/>
      <w:marRight w:val="0"/>
      <w:marTop w:val="0"/>
      <w:marBottom w:val="0"/>
      <w:divBdr>
        <w:top w:val="none" w:sz="0" w:space="0" w:color="auto"/>
        <w:left w:val="none" w:sz="0" w:space="0" w:color="auto"/>
        <w:bottom w:val="none" w:sz="0" w:space="0" w:color="auto"/>
        <w:right w:val="none" w:sz="0" w:space="0" w:color="auto"/>
      </w:divBdr>
    </w:div>
    <w:div w:id="780615565">
      <w:bodyDiv w:val="1"/>
      <w:marLeft w:val="0"/>
      <w:marRight w:val="0"/>
      <w:marTop w:val="0"/>
      <w:marBottom w:val="0"/>
      <w:divBdr>
        <w:top w:val="none" w:sz="0" w:space="0" w:color="auto"/>
        <w:left w:val="none" w:sz="0" w:space="0" w:color="auto"/>
        <w:bottom w:val="none" w:sz="0" w:space="0" w:color="auto"/>
        <w:right w:val="none" w:sz="0" w:space="0" w:color="auto"/>
      </w:divBdr>
    </w:div>
    <w:div w:id="859321984">
      <w:bodyDiv w:val="1"/>
      <w:marLeft w:val="0"/>
      <w:marRight w:val="0"/>
      <w:marTop w:val="0"/>
      <w:marBottom w:val="0"/>
      <w:divBdr>
        <w:top w:val="none" w:sz="0" w:space="0" w:color="auto"/>
        <w:left w:val="none" w:sz="0" w:space="0" w:color="auto"/>
        <w:bottom w:val="none" w:sz="0" w:space="0" w:color="auto"/>
        <w:right w:val="none" w:sz="0" w:space="0" w:color="auto"/>
      </w:divBdr>
    </w:div>
    <w:div w:id="930970091">
      <w:bodyDiv w:val="1"/>
      <w:marLeft w:val="0"/>
      <w:marRight w:val="0"/>
      <w:marTop w:val="0"/>
      <w:marBottom w:val="0"/>
      <w:divBdr>
        <w:top w:val="none" w:sz="0" w:space="0" w:color="auto"/>
        <w:left w:val="none" w:sz="0" w:space="0" w:color="auto"/>
        <w:bottom w:val="none" w:sz="0" w:space="0" w:color="auto"/>
        <w:right w:val="none" w:sz="0" w:space="0" w:color="auto"/>
      </w:divBdr>
    </w:div>
    <w:div w:id="956837019">
      <w:bodyDiv w:val="1"/>
      <w:marLeft w:val="0"/>
      <w:marRight w:val="0"/>
      <w:marTop w:val="0"/>
      <w:marBottom w:val="0"/>
      <w:divBdr>
        <w:top w:val="none" w:sz="0" w:space="0" w:color="auto"/>
        <w:left w:val="none" w:sz="0" w:space="0" w:color="auto"/>
        <w:bottom w:val="none" w:sz="0" w:space="0" w:color="auto"/>
        <w:right w:val="none" w:sz="0" w:space="0" w:color="auto"/>
      </w:divBdr>
    </w:div>
    <w:div w:id="959147900">
      <w:bodyDiv w:val="1"/>
      <w:marLeft w:val="0"/>
      <w:marRight w:val="0"/>
      <w:marTop w:val="0"/>
      <w:marBottom w:val="0"/>
      <w:divBdr>
        <w:top w:val="none" w:sz="0" w:space="0" w:color="auto"/>
        <w:left w:val="none" w:sz="0" w:space="0" w:color="auto"/>
        <w:bottom w:val="none" w:sz="0" w:space="0" w:color="auto"/>
        <w:right w:val="none" w:sz="0" w:space="0" w:color="auto"/>
      </w:divBdr>
    </w:div>
    <w:div w:id="982925272">
      <w:bodyDiv w:val="1"/>
      <w:marLeft w:val="0"/>
      <w:marRight w:val="0"/>
      <w:marTop w:val="0"/>
      <w:marBottom w:val="0"/>
      <w:divBdr>
        <w:top w:val="none" w:sz="0" w:space="0" w:color="auto"/>
        <w:left w:val="none" w:sz="0" w:space="0" w:color="auto"/>
        <w:bottom w:val="none" w:sz="0" w:space="0" w:color="auto"/>
        <w:right w:val="none" w:sz="0" w:space="0" w:color="auto"/>
      </w:divBdr>
    </w:div>
    <w:div w:id="990134847">
      <w:bodyDiv w:val="1"/>
      <w:marLeft w:val="0"/>
      <w:marRight w:val="0"/>
      <w:marTop w:val="0"/>
      <w:marBottom w:val="0"/>
      <w:divBdr>
        <w:top w:val="none" w:sz="0" w:space="0" w:color="auto"/>
        <w:left w:val="none" w:sz="0" w:space="0" w:color="auto"/>
        <w:bottom w:val="none" w:sz="0" w:space="0" w:color="auto"/>
        <w:right w:val="none" w:sz="0" w:space="0" w:color="auto"/>
      </w:divBdr>
    </w:div>
    <w:div w:id="1016923984">
      <w:bodyDiv w:val="1"/>
      <w:marLeft w:val="0"/>
      <w:marRight w:val="0"/>
      <w:marTop w:val="0"/>
      <w:marBottom w:val="0"/>
      <w:divBdr>
        <w:top w:val="none" w:sz="0" w:space="0" w:color="auto"/>
        <w:left w:val="none" w:sz="0" w:space="0" w:color="auto"/>
        <w:bottom w:val="none" w:sz="0" w:space="0" w:color="auto"/>
        <w:right w:val="none" w:sz="0" w:space="0" w:color="auto"/>
      </w:divBdr>
    </w:div>
    <w:div w:id="1152868540">
      <w:bodyDiv w:val="1"/>
      <w:marLeft w:val="0"/>
      <w:marRight w:val="0"/>
      <w:marTop w:val="0"/>
      <w:marBottom w:val="0"/>
      <w:divBdr>
        <w:top w:val="none" w:sz="0" w:space="0" w:color="auto"/>
        <w:left w:val="none" w:sz="0" w:space="0" w:color="auto"/>
        <w:bottom w:val="none" w:sz="0" w:space="0" w:color="auto"/>
        <w:right w:val="none" w:sz="0" w:space="0" w:color="auto"/>
      </w:divBdr>
    </w:div>
    <w:div w:id="1161893246">
      <w:bodyDiv w:val="1"/>
      <w:marLeft w:val="0"/>
      <w:marRight w:val="0"/>
      <w:marTop w:val="0"/>
      <w:marBottom w:val="0"/>
      <w:divBdr>
        <w:top w:val="none" w:sz="0" w:space="0" w:color="auto"/>
        <w:left w:val="none" w:sz="0" w:space="0" w:color="auto"/>
        <w:bottom w:val="none" w:sz="0" w:space="0" w:color="auto"/>
        <w:right w:val="none" w:sz="0" w:space="0" w:color="auto"/>
      </w:divBdr>
    </w:div>
    <w:div w:id="1202012010">
      <w:bodyDiv w:val="1"/>
      <w:marLeft w:val="0"/>
      <w:marRight w:val="0"/>
      <w:marTop w:val="0"/>
      <w:marBottom w:val="0"/>
      <w:divBdr>
        <w:top w:val="none" w:sz="0" w:space="0" w:color="auto"/>
        <w:left w:val="none" w:sz="0" w:space="0" w:color="auto"/>
        <w:bottom w:val="none" w:sz="0" w:space="0" w:color="auto"/>
        <w:right w:val="none" w:sz="0" w:space="0" w:color="auto"/>
      </w:divBdr>
    </w:div>
    <w:div w:id="1210726211">
      <w:bodyDiv w:val="1"/>
      <w:marLeft w:val="0"/>
      <w:marRight w:val="0"/>
      <w:marTop w:val="0"/>
      <w:marBottom w:val="0"/>
      <w:divBdr>
        <w:top w:val="none" w:sz="0" w:space="0" w:color="auto"/>
        <w:left w:val="none" w:sz="0" w:space="0" w:color="auto"/>
        <w:bottom w:val="none" w:sz="0" w:space="0" w:color="auto"/>
        <w:right w:val="none" w:sz="0" w:space="0" w:color="auto"/>
      </w:divBdr>
    </w:div>
    <w:div w:id="1231623342">
      <w:bodyDiv w:val="1"/>
      <w:marLeft w:val="0"/>
      <w:marRight w:val="0"/>
      <w:marTop w:val="0"/>
      <w:marBottom w:val="0"/>
      <w:divBdr>
        <w:top w:val="none" w:sz="0" w:space="0" w:color="auto"/>
        <w:left w:val="none" w:sz="0" w:space="0" w:color="auto"/>
        <w:bottom w:val="none" w:sz="0" w:space="0" w:color="auto"/>
        <w:right w:val="none" w:sz="0" w:space="0" w:color="auto"/>
      </w:divBdr>
    </w:div>
    <w:div w:id="1244410693">
      <w:bodyDiv w:val="1"/>
      <w:marLeft w:val="0"/>
      <w:marRight w:val="0"/>
      <w:marTop w:val="0"/>
      <w:marBottom w:val="0"/>
      <w:divBdr>
        <w:top w:val="none" w:sz="0" w:space="0" w:color="auto"/>
        <w:left w:val="none" w:sz="0" w:space="0" w:color="auto"/>
        <w:bottom w:val="none" w:sz="0" w:space="0" w:color="auto"/>
        <w:right w:val="none" w:sz="0" w:space="0" w:color="auto"/>
      </w:divBdr>
    </w:div>
    <w:div w:id="1291129577">
      <w:bodyDiv w:val="1"/>
      <w:marLeft w:val="0"/>
      <w:marRight w:val="0"/>
      <w:marTop w:val="0"/>
      <w:marBottom w:val="0"/>
      <w:divBdr>
        <w:top w:val="none" w:sz="0" w:space="0" w:color="auto"/>
        <w:left w:val="none" w:sz="0" w:space="0" w:color="auto"/>
        <w:bottom w:val="none" w:sz="0" w:space="0" w:color="auto"/>
        <w:right w:val="none" w:sz="0" w:space="0" w:color="auto"/>
      </w:divBdr>
    </w:div>
    <w:div w:id="1380856612">
      <w:bodyDiv w:val="1"/>
      <w:marLeft w:val="0"/>
      <w:marRight w:val="0"/>
      <w:marTop w:val="0"/>
      <w:marBottom w:val="0"/>
      <w:divBdr>
        <w:top w:val="none" w:sz="0" w:space="0" w:color="auto"/>
        <w:left w:val="none" w:sz="0" w:space="0" w:color="auto"/>
        <w:bottom w:val="none" w:sz="0" w:space="0" w:color="auto"/>
        <w:right w:val="none" w:sz="0" w:space="0" w:color="auto"/>
      </w:divBdr>
    </w:div>
    <w:div w:id="1515265618">
      <w:bodyDiv w:val="1"/>
      <w:marLeft w:val="0"/>
      <w:marRight w:val="0"/>
      <w:marTop w:val="0"/>
      <w:marBottom w:val="0"/>
      <w:divBdr>
        <w:top w:val="none" w:sz="0" w:space="0" w:color="auto"/>
        <w:left w:val="none" w:sz="0" w:space="0" w:color="auto"/>
        <w:bottom w:val="none" w:sz="0" w:space="0" w:color="auto"/>
        <w:right w:val="none" w:sz="0" w:space="0" w:color="auto"/>
      </w:divBdr>
    </w:div>
    <w:div w:id="1575093116">
      <w:bodyDiv w:val="1"/>
      <w:marLeft w:val="0"/>
      <w:marRight w:val="0"/>
      <w:marTop w:val="0"/>
      <w:marBottom w:val="0"/>
      <w:divBdr>
        <w:top w:val="none" w:sz="0" w:space="0" w:color="auto"/>
        <w:left w:val="none" w:sz="0" w:space="0" w:color="auto"/>
        <w:bottom w:val="none" w:sz="0" w:space="0" w:color="auto"/>
        <w:right w:val="none" w:sz="0" w:space="0" w:color="auto"/>
      </w:divBdr>
    </w:div>
    <w:div w:id="1608542075">
      <w:bodyDiv w:val="1"/>
      <w:marLeft w:val="0"/>
      <w:marRight w:val="0"/>
      <w:marTop w:val="0"/>
      <w:marBottom w:val="0"/>
      <w:divBdr>
        <w:top w:val="none" w:sz="0" w:space="0" w:color="auto"/>
        <w:left w:val="none" w:sz="0" w:space="0" w:color="auto"/>
        <w:bottom w:val="none" w:sz="0" w:space="0" w:color="auto"/>
        <w:right w:val="none" w:sz="0" w:space="0" w:color="auto"/>
      </w:divBdr>
    </w:div>
    <w:div w:id="1616717736">
      <w:bodyDiv w:val="1"/>
      <w:marLeft w:val="0"/>
      <w:marRight w:val="0"/>
      <w:marTop w:val="0"/>
      <w:marBottom w:val="0"/>
      <w:divBdr>
        <w:top w:val="none" w:sz="0" w:space="0" w:color="auto"/>
        <w:left w:val="none" w:sz="0" w:space="0" w:color="auto"/>
        <w:bottom w:val="none" w:sz="0" w:space="0" w:color="auto"/>
        <w:right w:val="none" w:sz="0" w:space="0" w:color="auto"/>
      </w:divBdr>
    </w:div>
    <w:div w:id="1618413040">
      <w:bodyDiv w:val="1"/>
      <w:marLeft w:val="0"/>
      <w:marRight w:val="0"/>
      <w:marTop w:val="0"/>
      <w:marBottom w:val="0"/>
      <w:divBdr>
        <w:top w:val="none" w:sz="0" w:space="0" w:color="auto"/>
        <w:left w:val="none" w:sz="0" w:space="0" w:color="auto"/>
        <w:bottom w:val="none" w:sz="0" w:space="0" w:color="auto"/>
        <w:right w:val="none" w:sz="0" w:space="0" w:color="auto"/>
      </w:divBdr>
    </w:div>
    <w:div w:id="1618677182">
      <w:bodyDiv w:val="1"/>
      <w:marLeft w:val="0"/>
      <w:marRight w:val="0"/>
      <w:marTop w:val="0"/>
      <w:marBottom w:val="0"/>
      <w:divBdr>
        <w:top w:val="none" w:sz="0" w:space="0" w:color="auto"/>
        <w:left w:val="none" w:sz="0" w:space="0" w:color="auto"/>
        <w:bottom w:val="none" w:sz="0" w:space="0" w:color="auto"/>
        <w:right w:val="none" w:sz="0" w:space="0" w:color="auto"/>
      </w:divBdr>
    </w:div>
    <w:div w:id="1625885496">
      <w:bodyDiv w:val="1"/>
      <w:marLeft w:val="0"/>
      <w:marRight w:val="0"/>
      <w:marTop w:val="0"/>
      <w:marBottom w:val="0"/>
      <w:divBdr>
        <w:top w:val="none" w:sz="0" w:space="0" w:color="auto"/>
        <w:left w:val="none" w:sz="0" w:space="0" w:color="auto"/>
        <w:bottom w:val="none" w:sz="0" w:space="0" w:color="auto"/>
        <w:right w:val="none" w:sz="0" w:space="0" w:color="auto"/>
      </w:divBdr>
    </w:div>
    <w:div w:id="1658341921">
      <w:bodyDiv w:val="1"/>
      <w:marLeft w:val="0"/>
      <w:marRight w:val="0"/>
      <w:marTop w:val="0"/>
      <w:marBottom w:val="0"/>
      <w:divBdr>
        <w:top w:val="none" w:sz="0" w:space="0" w:color="auto"/>
        <w:left w:val="none" w:sz="0" w:space="0" w:color="auto"/>
        <w:bottom w:val="none" w:sz="0" w:space="0" w:color="auto"/>
        <w:right w:val="none" w:sz="0" w:space="0" w:color="auto"/>
      </w:divBdr>
    </w:div>
    <w:div w:id="1699773821">
      <w:bodyDiv w:val="1"/>
      <w:marLeft w:val="0"/>
      <w:marRight w:val="0"/>
      <w:marTop w:val="0"/>
      <w:marBottom w:val="0"/>
      <w:divBdr>
        <w:top w:val="none" w:sz="0" w:space="0" w:color="auto"/>
        <w:left w:val="none" w:sz="0" w:space="0" w:color="auto"/>
        <w:bottom w:val="none" w:sz="0" w:space="0" w:color="auto"/>
        <w:right w:val="none" w:sz="0" w:space="0" w:color="auto"/>
      </w:divBdr>
    </w:div>
    <w:div w:id="1733842182">
      <w:bodyDiv w:val="1"/>
      <w:marLeft w:val="0"/>
      <w:marRight w:val="0"/>
      <w:marTop w:val="0"/>
      <w:marBottom w:val="0"/>
      <w:divBdr>
        <w:top w:val="none" w:sz="0" w:space="0" w:color="auto"/>
        <w:left w:val="none" w:sz="0" w:space="0" w:color="auto"/>
        <w:bottom w:val="none" w:sz="0" w:space="0" w:color="auto"/>
        <w:right w:val="none" w:sz="0" w:space="0" w:color="auto"/>
      </w:divBdr>
    </w:div>
    <w:div w:id="1803956343">
      <w:bodyDiv w:val="1"/>
      <w:marLeft w:val="0"/>
      <w:marRight w:val="0"/>
      <w:marTop w:val="0"/>
      <w:marBottom w:val="0"/>
      <w:divBdr>
        <w:top w:val="none" w:sz="0" w:space="0" w:color="auto"/>
        <w:left w:val="none" w:sz="0" w:space="0" w:color="auto"/>
        <w:bottom w:val="none" w:sz="0" w:space="0" w:color="auto"/>
        <w:right w:val="none" w:sz="0" w:space="0" w:color="auto"/>
      </w:divBdr>
    </w:div>
    <w:div w:id="1891384363">
      <w:bodyDiv w:val="1"/>
      <w:marLeft w:val="0"/>
      <w:marRight w:val="0"/>
      <w:marTop w:val="0"/>
      <w:marBottom w:val="0"/>
      <w:divBdr>
        <w:top w:val="none" w:sz="0" w:space="0" w:color="auto"/>
        <w:left w:val="none" w:sz="0" w:space="0" w:color="auto"/>
        <w:bottom w:val="none" w:sz="0" w:space="0" w:color="auto"/>
        <w:right w:val="none" w:sz="0" w:space="0" w:color="auto"/>
      </w:divBdr>
    </w:div>
    <w:div w:id="1895583682">
      <w:bodyDiv w:val="1"/>
      <w:marLeft w:val="0"/>
      <w:marRight w:val="0"/>
      <w:marTop w:val="0"/>
      <w:marBottom w:val="0"/>
      <w:divBdr>
        <w:top w:val="none" w:sz="0" w:space="0" w:color="auto"/>
        <w:left w:val="none" w:sz="0" w:space="0" w:color="auto"/>
        <w:bottom w:val="none" w:sz="0" w:space="0" w:color="auto"/>
        <w:right w:val="none" w:sz="0" w:space="0" w:color="auto"/>
      </w:divBdr>
    </w:div>
    <w:div w:id="1900238733">
      <w:bodyDiv w:val="1"/>
      <w:marLeft w:val="0"/>
      <w:marRight w:val="0"/>
      <w:marTop w:val="0"/>
      <w:marBottom w:val="0"/>
      <w:divBdr>
        <w:top w:val="none" w:sz="0" w:space="0" w:color="auto"/>
        <w:left w:val="none" w:sz="0" w:space="0" w:color="auto"/>
        <w:bottom w:val="none" w:sz="0" w:space="0" w:color="auto"/>
        <w:right w:val="none" w:sz="0" w:space="0" w:color="auto"/>
      </w:divBdr>
    </w:div>
    <w:div w:id="1920171719">
      <w:bodyDiv w:val="1"/>
      <w:marLeft w:val="0"/>
      <w:marRight w:val="0"/>
      <w:marTop w:val="0"/>
      <w:marBottom w:val="0"/>
      <w:divBdr>
        <w:top w:val="none" w:sz="0" w:space="0" w:color="auto"/>
        <w:left w:val="none" w:sz="0" w:space="0" w:color="auto"/>
        <w:bottom w:val="none" w:sz="0" w:space="0" w:color="auto"/>
        <w:right w:val="none" w:sz="0" w:space="0" w:color="auto"/>
      </w:divBdr>
    </w:div>
    <w:div w:id="1940914580">
      <w:bodyDiv w:val="1"/>
      <w:marLeft w:val="0"/>
      <w:marRight w:val="0"/>
      <w:marTop w:val="0"/>
      <w:marBottom w:val="0"/>
      <w:divBdr>
        <w:top w:val="none" w:sz="0" w:space="0" w:color="auto"/>
        <w:left w:val="none" w:sz="0" w:space="0" w:color="auto"/>
        <w:bottom w:val="none" w:sz="0" w:space="0" w:color="auto"/>
        <w:right w:val="none" w:sz="0" w:space="0" w:color="auto"/>
      </w:divBdr>
    </w:div>
    <w:div w:id="1973554666">
      <w:bodyDiv w:val="1"/>
      <w:marLeft w:val="0"/>
      <w:marRight w:val="0"/>
      <w:marTop w:val="0"/>
      <w:marBottom w:val="0"/>
      <w:divBdr>
        <w:top w:val="none" w:sz="0" w:space="0" w:color="auto"/>
        <w:left w:val="none" w:sz="0" w:space="0" w:color="auto"/>
        <w:bottom w:val="none" w:sz="0" w:space="0" w:color="auto"/>
        <w:right w:val="none" w:sz="0" w:space="0" w:color="auto"/>
      </w:divBdr>
    </w:div>
    <w:div w:id="1986817687">
      <w:bodyDiv w:val="1"/>
      <w:marLeft w:val="0"/>
      <w:marRight w:val="0"/>
      <w:marTop w:val="0"/>
      <w:marBottom w:val="0"/>
      <w:divBdr>
        <w:top w:val="none" w:sz="0" w:space="0" w:color="auto"/>
        <w:left w:val="none" w:sz="0" w:space="0" w:color="auto"/>
        <w:bottom w:val="none" w:sz="0" w:space="0" w:color="auto"/>
        <w:right w:val="none" w:sz="0" w:space="0" w:color="auto"/>
      </w:divBdr>
    </w:div>
    <w:div w:id="2034110616">
      <w:bodyDiv w:val="1"/>
      <w:marLeft w:val="0"/>
      <w:marRight w:val="0"/>
      <w:marTop w:val="0"/>
      <w:marBottom w:val="0"/>
      <w:divBdr>
        <w:top w:val="none" w:sz="0" w:space="0" w:color="auto"/>
        <w:left w:val="none" w:sz="0" w:space="0" w:color="auto"/>
        <w:bottom w:val="none" w:sz="0" w:space="0" w:color="auto"/>
        <w:right w:val="none" w:sz="0" w:space="0" w:color="auto"/>
      </w:divBdr>
    </w:div>
    <w:div w:id="2113813132">
      <w:bodyDiv w:val="1"/>
      <w:marLeft w:val="0"/>
      <w:marRight w:val="0"/>
      <w:marTop w:val="0"/>
      <w:marBottom w:val="0"/>
      <w:divBdr>
        <w:top w:val="none" w:sz="0" w:space="0" w:color="auto"/>
        <w:left w:val="none" w:sz="0" w:space="0" w:color="auto"/>
        <w:bottom w:val="none" w:sz="0" w:space="0" w:color="auto"/>
        <w:right w:val="none" w:sz="0" w:space="0" w:color="auto"/>
      </w:divBdr>
    </w:div>
    <w:div w:id="2116632631">
      <w:bodyDiv w:val="1"/>
      <w:marLeft w:val="0"/>
      <w:marRight w:val="0"/>
      <w:marTop w:val="0"/>
      <w:marBottom w:val="0"/>
      <w:divBdr>
        <w:top w:val="none" w:sz="0" w:space="0" w:color="auto"/>
        <w:left w:val="none" w:sz="0" w:space="0" w:color="auto"/>
        <w:bottom w:val="none" w:sz="0" w:space="0" w:color="auto"/>
        <w:right w:val="none" w:sz="0" w:space="0" w:color="auto"/>
      </w:divBdr>
      <w:divsChild>
        <w:div w:id="1665350486">
          <w:marLeft w:val="-225"/>
          <w:marRight w:val="-225"/>
          <w:marTop w:val="0"/>
          <w:marBottom w:val="0"/>
          <w:divBdr>
            <w:top w:val="none" w:sz="0" w:space="0" w:color="auto"/>
            <w:left w:val="none" w:sz="0" w:space="0" w:color="auto"/>
            <w:bottom w:val="none" w:sz="0" w:space="0" w:color="auto"/>
            <w:right w:val="none" w:sz="0" w:space="0" w:color="auto"/>
          </w:divBdr>
          <w:divsChild>
            <w:div w:id="69882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257384">
      <w:bodyDiv w:val="1"/>
      <w:marLeft w:val="0"/>
      <w:marRight w:val="0"/>
      <w:marTop w:val="0"/>
      <w:marBottom w:val="0"/>
      <w:divBdr>
        <w:top w:val="none" w:sz="0" w:space="0" w:color="auto"/>
        <w:left w:val="none" w:sz="0" w:space="0" w:color="auto"/>
        <w:bottom w:val="none" w:sz="0" w:space="0" w:color="auto"/>
        <w:right w:val="none" w:sz="0" w:space="0" w:color="auto"/>
      </w:divBdr>
    </w:div>
    <w:div w:id="2129155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3.jpeg"/><Relationship Id="rId34" Type="http://schemas.openxmlformats.org/officeDocument/2006/relationships/chart" Target="charts/chart8.xml"/><Relationship Id="rId42" Type="http://schemas.openxmlformats.org/officeDocument/2006/relationships/image" Target="media/image8.jpg"/><Relationship Id="rId47" Type="http://schemas.openxmlformats.org/officeDocument/2006/relationships/image" Target="media/image9.jpg"/><Relationship Id="rId50" Type="http://schemas.openxmlformats.org/officeDocument/2006/relationships/image" Target="media/image11.jpg"/><Relationship Id="rId55" Type="http://schemas.openxmlformats.org/officeDocument/2006/relationships/hyperlink" Target="https://www.weforum.org/reports/the-travel-tourism-competitiveness-report-2019" TargetMode="External"/><Relationship Id="rId63"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tourism.research@tra.gov.au" TargetMode="External"/><Relationship Id="rId29" Type="http://schemas.openxmlformats.org/officeDocument/2006/relationships/image" Target="media/image6.emf"/><Relationship Id="rId11" Type="http://schemas.openxmlformats.org/officeDocument/2006/relationships/image" Target="media/image1.png"/><Relationship Id="rId24" Type="http://schemas.openxmlformats.org/officeDocument/2006/relationships/image" Target="media/image5.jpg"/><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footer" Target="footer2.xml"/><Relationship Id="rId45" Type="http://schemas.openxmlformats.org/officeDocument/2006/relationships/hyperlink" Target="https://www.austrade.gov.au/news/publications/perceptions-of-australia-s-working-holiday-maker-program-2019-2020" TargetMode="External"/><Relationship Id="rId53" Type="http://schemas.openxmlformats.org/officeDocument/2006/relationships/hyperlink" Target="file:///C:/Users/corrine-rose/AppData/Local/Microsoft/Windows/INetCache/Content.Outlook/2Z3XW8LL/booking.comsustainabletravelreport2022final.pdf" TargetMode="External"/><Relationship Id="rId58" Type="http://schemas.openxmlformats.org/officeDocument/2006/relationships/hyperlink" Target="https://news.airbnb.com/flexible-living-policies/"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weforum.org/reports/the-travel-tourism-competitiveness-report-2019" TargetMode="External"/><Relationship Id="rId19" Type="http://schemas.openxmlformats.org/officeDocument/2006/relationships/chart" Target="charts/chart1.xml"/><Relationship Id="rId14" Type="http://schemas.openxmlformats.org/officeDocument/2006/relationships/hyperlink" Target="http://www.tra.gov.au" TargetMode="External"/><Relationship Id="rId22" Type="http://schemas.openxmlformats.org/officeDocument/2006/relationships/hyperlink" Target="https://www.austrade.gov.au/news/publications/thrive-2030-strategy" TargetMode="External"/><Relationship Id="rId27" Type="http://schemas.openxmlformats.org/officeDocument/2006/relationships/hyperlink" Target="https://www.dese.gov.au/australian-strategy-international-education-2021-2030" TargetMode="External"/><Relationship Id="rId30" Type="http://schemas.openxmlformats.org/officeDocument/2006/relationships/chart" Target="charts/chart5.xml"/><Relationship Id="rId35" Type="http://schemas.openxmlformats.org/officeDocument/2006/relationships/chart" Target="charts/chart9.xml"/><Relationship Id="rId43" Type="http://schemas.openxmlformats.org/officeDocument/2006/relationships/hyperlink" Target="https://www.workinparadise.initiatives.qld.gov.au/" TargetMode="External"/><Relationship Id="rId48" Type="http://schemas.openxmlformats.org/officeDocument/2006/relationships/hyperlink" Target="https://www.tra.gov.au/data-and-research/reports/tourism-investment-monitor-2020-21/tourism-investment-monitor-2020-21" TargetMode="External"/><Relationship Id="rId56" Type="http://schemas.openxmlformats.org/officeDocument/2006/relationships/hyperlink" Target="https://www.iata.org/en/iata-repository/pressroom/fact-sheets/fact-sheet---alternative-fuels/" TargetMode="External"/><Relationship Id="rId64"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chart" Target="charts/chart1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advisory@austrade.gov.au" TargetMode="External"/><Relationship Id="rId25" Type="http://schemas.openxmlformats.org/officeDocument/2006/relationships/chart" Target="charts/chart2.xml"/><Relationship Id="rId33" Type="http://schemas.openxmlformats.org/officeDocument/2006/relationships/chart" Target="charts/chart7.xml"/><Relationship Id="rId38" Type="http://schemas.openxmlformats.org/officeDocument/2006/relationships/footer" Target="footer1.xml"/><Relationship Id="rId46" Type="http://schemas.openxmlformats.org/officeDocument/2006/relationships/hyperlink" Target="https://www.tra.gov.au/data-and-research/reports/tourism-businesses-in-australia-june-2016-to-2021/tourism-businesses-in-australia-june-2016-to-2021" TargetMode="External"/><Relationship Id="rId59" Type="http://schemas.openxmlformats.org/officeDocument/2006/relationships/hyperlink" Target="file:///C:/Users/corrine-rose/AppData/Local/Microsoft/Windows/INetCache/Content.Outlook/2Z3XW8LL/booking.comsustainabletravelreport2022final.pdf" TargetMode="External"/><Relationship Id="rId20" Type="http://schemas.openxmlformats.org/officeDocument/2006/relationships/hyperlink" Target="https://www.tra.gov.au/Archive-TRA-Old-site/Research/View-all-publications/All-Publications/Destination-Visitor-Survey-results/Strategic-regional-research-reports/accessible-tourism-victoria-queensland" TargetMode="External"/><Relationship Id="rId41" Type="http://schemas.openxmlformats.org/officeDocument/2006/relationships/chart" Target="charts/chart12.xml"/><Relationship Id="rId54" Type="http://schemas.openxmlformats.org/officeDocument/2006/relationships/image" Target="media/image13.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tra.gov.au/economic-analysis/state-of-the-industry" TargetMode="External"/><Relationship Id="rId23" Type="http://schemas.openxmlformats.org/officeDocument/2006/relationships/image" Target="media/image4.jpg"/><Relationship Id="rId28" Type="http://schemas.openxmlformats.org/officeDocument/2006/relationships/chart" Target="charts/chart4.xml"/><Relationship Id="rId36" Type="http://schemas.openxmlformats.org/officeDocument/2006/relationships/chart" Target="charts/chart10.xml"/><Relationship Id="rId49" Type="http://schemas.openxmlformats.org/officeDocument/2006/relationships/image" Target="media/image10.jpeg"/><Relationship Id="rId57" Type="http://schemas.openxmlformats.org/officeDocument/2006/relationships/hyperlink" Target="https://www.iata.org/en/pressroom/2022-releases/2022-04-06-02/" TargetMode="External"/><Relationship Id="rId10" Type="http://schemas.openxmlformats.org/officeDocument/2006/relationships/endnotes" Target="endnotes.xml"/><Relationship Id="rId31" Type="http://schemas.openxmlformats.org/officeDocument/2006/relationships/image" Target="media/image7.emf"/><Relationship Id="rId44" Type="http://schemas.openxmlformats.org/officeDocument/2006/relationships/hyperlink" Target="https://www.workinparadise.com.au/" TargetMode="External"/><Relationship Id="rId52" Type="http://schemas.openxmlformats.org/officeDocument/2006/relationships/image" Target="media/image12.jpg"/><Relationship Id="rId60" Type="http://schemas.openxmlformats.org/officeDocument/2006/relationships/hyperlink" Target="https://www.technavio.com/report/sustainable-tourism-market-industry-analysis"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tourism.research@tra.gov.au" TargetMode="External"/><Relationship Id="rId18" Type="http://schemas.openxmlformats.org/officeDocument/2006/relationships/hyperlink" Target="file:///C:/Users/corrine-rose/AppData/Local/Microsoft/Windows/INetCache/Content.Outlook/2Z3XW8LL/pmc.gov.au/%20government/commonwealth-coat-arms" TargetMode="External"/><Relationship Id="rId39"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s://www.iata.org/en/pressroom/2022-releases/2022-04-06-02/" TargetMode="External"/><Relationship Id="rId3" Type="http://schemas.openxmlformats.org/officeDocument/2006/relationships/hyperlink" Target="https://news.airbnb.com/flexible-living-policies/" TargetMode="External"/><Relationship Id="rId7" Type="http://schemas.openxmlformats.org/officeDocument/2006/relationships/hyperlink" Target="https://www.austrade.gov.au/news/publications/opportunities-for-the-visitor-economy-report" TargetMode="External"/><Relationship Id="rId2" Type="http://schemas.openxmlformats.org/officeDocument/2006/relationships/hyperlink" Target="https://www.unwto.org/covid-19-oneplanet-responsible-recovery-initiatives" TargetMode="External"/><Relationship Id="rId1" Type="http://schemas.openxmlformats.org/officeDocument/2006/relationships/hyperlink" Target="https://www.austrade.gov.au/news/publications/thrive-2030-strategy" TargetMode="External"/><Relationship Id="rId6" Type="http://schemas.openxmlformats.org/officeDocument/2006/relationships/hyperlink" Target="https://www.iata.org/en/iata-repository/pressroom/fact-sheets/fact-sheet---alternative-fuels/" TargetMode="External"/><Relationship Id="rId5" Type="http://schemas.openxmlformats.org/officeDocument/2006/relationships/hyperlink" Target="https://www.tra.gov.au/data-and-research/reports/tourism-investment-monitor-2020-21/tourism-investment-monitor-2020-21" TargetMode="External"/><Relationship Id="rId4" Type="http://schemas.openxmlformats.org/officeDocument/2006/relationships/hyperlink" Target="https://str.com/whitepaper/australian-accommodation-monitor-summary-financial-year-performance-2020-202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Austrade\Corporate%20Templates\Website\Austrade%20Brand\Austrade%20Brand%20Website%20Publications.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TRA%20data%20for%20SOI.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Copy%20of%20Copy%20of%20Summary%20Accommodation%20data_SOI.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orrine-rose\OneDrive%20-%20Austrade\Desktop\Data%20for%20State%20of%20Industry.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1.xml"/></Relationships>
</file>

<file path=word/charts/_rels/chart12.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Data%20for%20State%20of%20Industry.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12.xml"/></Relationships>
</file>

<file path=word/charts/_rels/chart13.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Copy%20of%20Trip%20rate%20chart%20(Apr%20Week%204).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13.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orrine-rose\OneDrive%20-%20Austrade\Desktop\Data%20for%20State%20of%20Industry.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IE%20section%20for%20SoI%20.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TRA%20data%20for%20SOI.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TRA%20data%20for%20SOI.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TRA%20data%20for%20SOI.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TRA%20data%20for%20SOI.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8.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TRA%20data%20for%20SOI.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3" Type="http://schemas.openxmlformats.org/officeDocument/2006/relationships/oleObject" Target="file:///\\global.austrade.int\userdata\australia\brisbane\Corrine-Rose\Drafts%20and%20working%20documents\Copy%20of%20Copy%20of%20Summary%20Accommodation%20data_SOI.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86001749781277"/>
          <c:y val="4.2648893993440171E-2"/>
          <c:w val="0.83934772042383587"/>
          <c:h val="0.70038704401080287"/>
        </c:manualLayout>
      </c:layout>
      <c:areaChart>
        <c:grouping val="stacked"/>
        <c:varyColors val="0"/>
        <c:ser>
          <c:idx val="0"/>
          <c:order val="0"/>
          <c:tx>
            <c:strRef>
              <c:f>'Cumulative losses'!$B$1</c:f>
              <c:strCache>
                <c:ptCount val="1"/>
                <c:pt idx="0">
                  <c:v>Day</c:v>
                </c:pt>
              </c:strCache>
            </c:strRef>
          </c:tx>
          <c:spPr>
            <a:solidFill>
              <a:schemeClr val="accent1"/>
            </a:solidFill>
            <a:ln>
              <a:noFill/>
            </a:ln>
            <a:effectLst/>
          </c:spPr>
          <c:cat>
            <c:numRef>
              <c:f>'Cumulative losses'!$A$2:$A$23</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losses'!$B$2:$B$23</c:f>
              <c:numCache>
                <c:formatCode>0.0</c:formatCode>
                <c:ptCount val="22"/>
                <c:pt idx="0">
                  <c:v>0.81253900000000023</c:v>
                </c:pt>
                <c:pt idx="1">
                  <c:v>2.5836850000000005</c:v>
                </c:pt>
                <c:pt idx="2">
                  <c:v>3.7775050000000001</c:v>
                </c:pt>
                <c:pt idx="3">
                  <c:v>4.3389199999999999</c:v>
                </c:pt>
                <c:pt idx="4">
                  <c:v>5.5571650000000004</c:v>
                </c:pt>
                <c:pt idx="5">
                  <c:v>6.7972929999999998</c:v>
                </c:pt>
                <c:pt idx="6">
                  <c:v>7.6234979999999997</c:v>
                </c:pt>
                <c:pt idx="7">
                  <c:v>8.3950499999999995</c:v>
                </c:pt>
                <c:pt idx="8">
                  <c:v>8.9102899999999998</c:v>
                </c:pt>
                <c:pt idx="9">
                  <c:v>9.280777999999998</c:v>
                </c:pt>
                <c:pt idx="10">
                  <c:v>9.7145879999999973</c:v>
                </c:pt>
                <c:pt idx="11">
                  <c:v>10.429363999999998</c:v>
                </c:pt>
                <c:pt idx="12">
                  <c:v>10.783992999999999</c:v>
                </c:pt>
                <c:pt idx="13">
                  <c:v>11.074674</c:v>
                </c:pt>
                <c:pt idx="14">
                  <c:v>11.374312999999999</c:v>
                </c:pt>
                <c:pt idx="15">
                  <c:v>12.101583999999999</c:v>
                </c:pt>
                <c:pt idx="16">
                  <c:v>13.394807999999999</c:v>
                </c:pt>
                <c:pt idx="17">
                  <c:v>15.044204999999998</c:v>
                </c:pt>
                <c:pt idx="18">
                  <c:v>16.073763999999997</c:v>
                </c:pt>
                <c:pt idx="19">
                  <c:v>16.949565</c:v>
                </c:pt>
                <c:pt idx="20">
                  <c:v>17.277180000000001</c:v>
                </c:pt>
                <c:pt idx="21">
                  <c:v>17.671948</c:v>
                </c:pt>
              </c:numCache>
            </c:numRef>
          </c:val>
          <c:extLst>
            <c:ext xmlns:c16="http://schemas.microsoft.com/office/drawing/2014/chart" uri="{C3380CC4-5D6E-409C-BE32-E72D297353CC}">
              <c16:uniqueId val="{00000000-8899-4BAC-AFC5-E49B754BAEC5}"/>
            </c:ext>
          </c:extLst>
        </c:ser>
        <c:ser>
          <c:idx val="1"/>
          <c:order val="1"/>
          <c:tx>
            <c:strRef>
              <c:f>'Cumulative losses'!$C$1</c:f>
              <c:strCache>
                <c:ptCount val="1"/>
                <c:pt idx="0">
                  <c:v>Overnight</c:v>
                </c:pt>
              </c:strCache>
            </c:strRef>
          </c:tx>
          <c:spPr>
            <a:solidFill>
              <a:schemeClr val="accent2"/>
            </a:solidFill>
            <a:ln>
              <a:noFill/>
            </a:ln>
            <a:effectLst/>
          </c:spPr>
          <c:cat>
            <c:numRef>
              <c:f>'Cumulative losses'!$A$2:$A$23</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losses'!$C$2:$C$23</c:f>
              <c:numCache>
                <c:formatCode>0.0</c:formatCode>
                <c:ptCount val="22"/>
                <c:pt idx="0">
                  <c:v>2.5997269999999997</c:v>
                </c:pt>
                <c:pt idx="1">
                  <c:v>9.5948560000000001</c:v>
                </c:pt>
                <c:pt idx="2">
                  <c:v>14.366607</c:v>
                </c:pt>
                <c:pt idx="3">
                  <c:v>18.352495999999999</c:v>
                </c:pt>
                <c:pt idx="4">
                  <c:v>22.111540000000002</c:v>
                </c:pt>
                <c:pt idx="5">
                  <c:v>25.445746</c:v>
                </c:pt>
                <c:pt idx="6">
                  <c:v>29.568580999999998</c:v>
                </c:pt>
                <c:pt idx="7">
                  <c:v>32.560824000000004</c:v>
                </c:pt>
                <c:pt idx="8">
                  <c:v>34.759421000000003</c:v>
                </c:pt>
                <c:pt idx="9">
                  <c:v>35.916866999999996</c:v>
                </c:pt>
                <c:pt idx="10">
                  <c:v>37.438250999999994</c:v>
                </c:pt>
                <c:pt idx="11">
                  <c:v>38.056241999999997</c:v>
                </c:pt>
                <c:pt idx="12">
                  <c:v>38.431103999999998</c:v>
                </c:pt>
                <c:pt idx="13">
                  <c:v>37.930544999999995</c:v>
                </c:pt>
                <c:pt idx="14">
                  <c:v>37.391115999999997</c:v>
                </c:pt>
                <c:pt idx="15">
                  <c:v>38.483219999999996</c:v>
                </c:pt>
                <c:pt idx="16">
                  <c:v>41.565592999999993</c:v>
                </c:pt>
                <c:pt idx="17">
                  <c:v>45.266234999999995</c:v>
                </c:pt>
                <c:pt idx="18">
                  <c:v>49.996084999999994</c:v>
                </c:pt>
                <c:pt idx="19">
                  <c:v>53.986444999999989</c:v>
                </c:pt>
                <c:pt idx="20">
                  <c:v>55.960344999999997</c:v>
                </c:pt>
                <c:pt idx="21">
                  <c:v>56.444669999999988</c:v>
                </c:pt>
              </c:numCache>
            </c:numRef>
          </c:val>
          <c:extLst>
            <c:ext xmlns:c16="http://schemas.microsoft.com/office/drawing/2014/chart" uri="{C3380CC4-5D6E-409C-BE32-E72D297353CC}">
              <c16:uniqueId val="{00000001-8899-4BAC-AFC5-E49B754BAEC5}"/>
            </c:ext>
          </c:extLst>
        </c:ser>
        <c:ser>
          <c:idx val="2"/>
          <c:order val="2"/>
          <c:tx>
            <c:strRef>
              <c:f>'Cumulative losses'!$D$1</c:f>
              <c:strCache>
                <c:ptCount val="1"/>
                <c:pt idx="0">
                  <c:v>International</c:v>
                </c:pt>
              </c:strCache>
            </c:strRef>
          </c:tx>
          <c:spPr>
            <a:solidFill>
              <a:schemeClr val="accent3"/>
            </a:solidFill>
            <a:ln>
              <a:noFill/>
            </a:ln>
            <a:effectLst/>
          </c:spPr>
          <c:cat>
            <c:numRef>
              <c:f>'Cumulative losses'!$A$2:$A$23</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losses'!$D$2:$D$23</c:f>
              <c:numCache>
                <c:formatCode>0.0</c:formatCode>
                <c:ptCount val="22"/>
                <c:pt idx="0">
                  <c:v>1.8604369999999999</c:v>
                </c:pt>
                <c:pt idx="1">
                  <c:v>4.7345820000000005</c:v>
                </c:pt>
                <c:pt idx="2">
                  <c:v>7.2308170000000009</c:v>
                </c:pt>
                <c:pt idx="3">
                  <c:v>9.8511730000000011</c:v>
                </c:pt>
                <c:pt idx="4">
                  <c:v>14.527301999999999</c:v>
                </c:pt>
                <c:pt idx="5">
                  <c:v>17.960476999999997</c:v>
                </c:pt>
                <c:pt idx="6">
                  <c:v>20.848669999999998</c:v>
                </c:pt>
                <c:pt idx="7">
                  <c:v>24.395834000000001</c:v>
                </c:pt>
                <c:pt idx="8">
                  <c:v>27.842752000000001</c:v>
                </c:pt>
                <c:pt idx="9">
                  <c:v>32.087927000000001</c:v>
                </c:pt>
                <c:pt idx="10">
                  <c:v>36.374286999999995</c:v>
                </c:pt>
                <c:pt idx="11">
                  <c:v>40.042707999999998</c:v>
                </c:pt>
                <c:pt idx="12">
                  <c:v>43.700361999999998</c:v>
                </c:pt>
                <c:pt idx="13">
                  <c:v>46.470552000000005</c:v>
                </c:pt>
                <c:pt idx="14">
                  <c:v>48.821593</c:v>
                </c:pt>
                <c:pt idx="15">
                  <c:v>51.307195</c:v>
                </c:pt>
                <c:pt idx="16">
                  <c:v>55.807195</c:v>
                </c:pt>
                <c:pt idx="17">
                  <c:v>59.007195000000003</c:v>
                </c:pt>
                <c:pt idx="18">
                  <c:v>62.208194999999996</c:v>
                </c:pt>
                <c:pt idx="19">
                  <c:v>65.410195000000002</c:v>
                </c:pt>
                <c:pt idx="20">
                  <c:v>68.613195000000005</c:v>
                </c:pt>
                <c:pt idx="21">
                  <c:v>72.389932999999999</c:v>
                </c:pt>
              </c:numCache>
            </c:numRef>
          </c:val>
          <c:extLst>
            <c:ext xmlns:c16="http://schemas.microsoft.com/office/drawing/2014/chart" uri="{C3380CC4-5D6E-409C-BE32-E72D297353CC}">
              <c16:uniqueId val="{00000002-8899-4BAC-AFC5-E49B754BAEC5}"/>
            </c:ext>
          </c:extLst>
        </c:ser>
        <c:dLbls>
          <c:showLegendKey val="0"/>
          <c:showVal val="0"/>
          <c:showCatName val="0"/>
          <c:showSerName val="0"/>
          <c:showPercent val="0"/>
          <c:showBubbleSize val="0"/>
        </c:dLbls>
        <c:axId val="1032490111"/>
        <c:axId val="1032493855"/>
      </c:areaChart>
      <c:dateAx>
        <c:axId val="103249011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2493855"/>
        <c:crosses val="autoZero"/>
        <c:auto val="1"/>
        <c:lblOffset val="100"/>
        <c:baseTimeUnit val="months"/>
        <c:majorUnit val="3"/>
        <c:majorTimeUnit val="months"/>
      </c:dateAx>
      <c:valAx>
        <c:axId val="10324938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32490111"/>
        <c:crosses val="autoZero"/>
        <c:crossBetween val="midCat"/>
      </c:valAx>
      <c:spPr>
        <a:noFill/>
        <a:ln>
          <a:noFill/>
        </a:ln>
        <a:effectLst/>
      </c:spPr>
    </c:plotArea>
    <c:legend>
      <c:legendPos val="b"/>
      <c:layout>
        <c:manualLayout>
          <c:xMode val="edge"/>
          <c:yMode val="edge"/>
          <c:x val="0.32168027607660155"/>
          <c:y val="7.2828559549911687E-2"/>
          <c:w val="0.42079137166677694"/>
          <c:h val="5.34324876057159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212162941515718E-2"/>
          <c:y val="9.6988106348789155E-2"/>
          <c:w val="0.87036082373111434"/>
          <c:h val="0.75642834771577994"/>
        </c:manualLayout>
      </c:layout>
      <c:lineChart>
        <c:grouping val="standard"/>
        <c:varyColors val="0"/>
        <c:ser>
          <c:idx val="0"/>
          <c:order val="0"/>
          <c:tx>
            <c:v>Average daily rate</c:v>
          </c:tx>
          <c:spPr>
            <a:ln w="28575" cap="rnd">
              <a:solidFill>
                <a:schemeClr val="accent1"/>
              </a:solidFill>
              <a:round/>
            </a:ln>
            <a:effectLst/>
          </c:spPr>
          <c:marker>
            <c:symbol val="none"/>
          </c:marker>
          <c:cat>
            <c:numRef>
              <c:f>Sheet1!$F$3:$BG$3</c:f>
              <c:numCache>
                <c:formatCode>mmm\-yy</c:formatCode>
                <c:ptCount val="54"/>
                <c:pt idx="0">
                  <c:v>42917</c:v>
                </c:pt>
                <c:pt idx="1">
                  <c:v>42948</c:v>
                </c:pt>
                <c:pt idx="2">
                  <c:v>42979</c:v>
                </c:pt>
                <c:pt idx="3">
                  <c:v>43009</c:v>
                </c:pt>
                <c:pt idx="4">
                  <c:v>43040</c:v>
                </c:pt>
                <c:pt idx="5">
                  <c:v>43070</c:v>
                </c:pt>
                <c:pt idx="6">
                  <c:v>43101</c:v>
                </c:pt>
                <c:pt idx="7">
                  <c:v>43132</c:v>
                </c:pt>
                <c:pt idx="8">
                  <c:v>43160</c:v>
                </c:pt>
                <c:pt idx="9">
                  <c:v>43191</c:v>
                </c:pt>
                <c:pt idx="10">
                  <c:v>43221</c:v>
                </c:pt>
                <c:pt idx="11">
                  <c:v>43252</c:v>
                </c:pt>
                <c:pt idx="12">
                  <c:v>43282</c:v>
                </c:pt>
                <c:pt idx="13">
                  <c:v>43313</c:v>
                </c:pt>
                <c:pt idx="14">
                  <c:v>43344</c:v>
                </c:pt>
                <c:pt idx="15">
                  <c:v>43374</c:v>
                </c:pt>
                <c:pt idx="16">
                  <c:v>43405</c:v>
                </c:pt>
                <c:pt idx="17">
                  <c:v>43435</c:v>
                </c:pt>
                <c:pt idx="18">
                  <c:v>43466</c:v>
                </c:pt>
                <c:pt idx="19">
                  <c:v>43497</c:v>
                </c:pt>
                <c:pt idx="20">
                  <c:v>43525</c:v>
                </c:pt>
                <c:pt idx="21">
                  <c:v>43556</c:v>
                </c:pt>
                <c:pt idx="22">
                  <c:v>43586</c:v>
                </c:pt>
                <c:pt idx="23">
                  <c:v>43617</c:v>
                </c:pt>
                <c:pt idx="24">
                  <c:v>43647</c:v>
                </c:pt>
                <c:pt idx="25">
                  <c:v>43678</c:v>
                </c:pt>
                <c:pt idx="26">
                  <c:v>43709</c:v>
                </c:pt>
                <c:pt idx="27">
                  <c:v>43739</c:v>
                </c:pt>
                <c:pt idx="28">
                  <c:v>43770</c:v>
                </c:pt>
                <c:pt idx="29">
                  <c:v>43800</c:v>
                </c:pt>
                <c:pt idx="30">
                  <c:v>43831</c:v>
                </c:pt>
                <c:pt idx="31">
                  <c:v>43862</c:v>
                </c:pt>
                <c:pt idx="32">
                  <c:v>43891</c:v>
                </c:pt>
                <c:pt idx="33">
                  <c:v>43922</c:v>
                </c:pt>
                <c:pt idx="34">
                  <c:v>43952</c:v>
                </c:pt>
                <c:pt idx="35">
                  <c:v>43983</c:v>
                </c:pt>
                <c:pt idx="36">
                  <c:v>44013</c:v>
                </c:pt>
                <c:pt idx="37">
                  <c:v>44044</c:v>
                </c:pt>
                <c:pt idx="38">
                  <c:v>44075</c:v>
                </c:pt>
                <c:pt idx="39">
                  <c:v>44105</c:v>
                </c:pt>
                <c:pt idx="40">
                  <c:v>44136</c:v>
                </c:pt>
                <c:pt idx="41">
                  <c:v>44166</c:v>
                </c:pt>
                <c:pt idx="42">
                  <c:v>44197</c:v>
                </c:pt>
                <c:pt idx="43">
                  <c:v>44228</c:v>
                </c:pt>
                <c:pt idx="44">
                  <c:v>44256</c:v>
                </c:pt>
                <c:pt idx="45">
                  <c:v>44287</c:v>
                </c:pt>
                <c:pt idx="46">
                  <c:v>44317</c:v>
                </c:pt>
                <c:pt idx="47">
                  <c:v>44348</c:v>
                </c:pt>
                <c:pt idx="48">
                  <c:v>44378</c:v>
                </c:pt>
                <c:pt idx="49">
                  <c:v>44409</c:v>
                </c:pt>
                <c:pt idx="50">
                  <c:v>44440</c:v>
                </c:pt>
                <c:pt idx="51">
                  <c:v>44470</c:v>
                </c:pt>
                <c:pt idx="52">
                  <c:v>44501</c:v>
                </c:pt>
                <c:pt idx="53">
                  <c:v>44531</c:v>
                </c:pt>
              </c:numCache>
            </c:numRef>
          </c:cat>
          <c:val>
            <c:numRef>
              <c:f>Sheet1!$F$8:$BG$8</c:f>
              <c:numCache>
                <c:formatCode>#,##0;[Black]\-#,##0</c:formatCode>
                <c:ptCount val="54"/>
                <c:pt idx="0">
                  <c:v>177.53378689240549</c:v>
                </c:pt>
                <c:pt idx="1">
                  <c:v>179.01867781218397</c:v>
                </c:pt>
                <c:pt idx="2">
                  <c:v>183.8527004195993</c:v>
                </c:pt>
                <c:pt idx="3">
                  <c:v>191.41347703373441</c:v>
                </c:pt>
                <c:pt idx="4">
                  <c:v>195.36673921757918</c:v>
                </c:pt>
                <c:pt idx="5">
                  <c:v>203.94631607331678</c:v>
                </c:pt>
                <c:pt idx="6">
                  <c:v>195.84493768667519</c:v>
                </c:pt>
                <c:pt idx="7">
                  <c:v>194.22445882677152</c:v>
                </c:pt>
                <c:pt idx="8">
                  <c:v>198.41439390635372</c:v>
                </c:pt>
                <c:pt idx="9">
                  <c:v>184.96397042427205</c:v>
                </c:pt>
                <c:pt idx="10">
                  <c:v>176.37960096766241</c:v>
                </c:pt>
                <c:pt idx="11">
                  <c:v>173.89816039096786</c:v>
                </c:pt>
                <c:pt idx="12">
                  <c:v>176.8610600726953</c:v>
                </c:pt>
                <c:pt idx="13">
                  <c:v>181.09203923541452</c:v>
                </c:pt>
                <c:pt idx="14">
                  <c:v>184.17746773975784</c:v>
                </c:pt>
                <c:pt idx="15">
                  <c:v>193.93809477266842</c:v>
                </c:pt>
                <c:pt idx="16">
                  <c:v>195.4765469198056</c:v>
                </c:pt>
                <c:pt idx="17">
                  <c:v>201.87656628085693</c:v>
                </c:pt>
                <c:pt idx="18">
                  <c:v>201.87656628085693</c:v>
                </c:pt>
                <c:pt idx="19">
                  <c:v>196.45916874692321</c:v>
                </c:pt>
                <c:pt idx="20">
                  <c:v>193.96429340609876</c:v>
                </c:pt>
                <c:pt idx="21">
                  <c:v>188.79596153567977</c:v>
                </c:pt>
                <c:pt idx="22">
                  <c:v>179.65707034482008</c:v>
                </c:pt>
                <c:pt idx="23">
                  <c:v>174.55841540646736</c:v>
                </c:pt>
                <c:pt idx="24" formatCode="General">
                  <c:v>175.68</c:v>
                </c:pt>
                <c:pt idx="25" formatCode="General">
                  <c:v>179.23</c:v>
                </c:pt>
                <c:pt idx="26" formatCode="General">
                  <c:v>180.07</c:v>
                </c:pt>
                <c:pt idx="27" formatCode="General">
                  <c:v>191.02</c:v>
                </c:pt>
                <c:pt idx="28" formatCode="General">
                  <c:v>193.06</c:v>
                </c:pt>
                <c:pt idx="29" formatCode="General">
                  <c:v>200.01</c:v>
                </c:pt>
                <c:pt idx="30" formatCode="General">
                  <c:v>197.45</c:v>
                </c:pt>
                <c:pt idx="31" formatCode="General">
                  <c:v>185.59</c:v>
                </c:pt>
                <c:pt idx="32" formatCode="General">
                  <c:v>172.7</c:v>
                </c:pt>
                <c:pt idx="33" formatCode="General">
                  <c:v>119.21</c:v>
                </c:pt>
                <c:pt idx="34" formatCode="General">
                  <c:v>118.17</c:v>
                </c:pt>
                <c:pt idx="35" formatCode="General">
                  <c:v>131.68</c:v>
                </c:pt>
                <c:pt idx="36" formatCode="General">
                  <c:v>144.44</c:v>
                </c:pt>
                <c:pt idx="37" formatCode="General">
                  <c:v>141.38</c:v>
                </c:pt>
                <c:pt idx="38" formatCode="General">
                  <c:v>148.74</c:v>
                </c:pt>
                <c:pt idx="39" formatCode="General">
                  <c:v>144.44</c:v>
                </c:pt>
                <c:pt idx="40" formatCode="General">
                  <c:v>141.38</c:v>
                </c:pt>
                <c:pt idx="41" formatCode="General">
                  <c:v>148.74</c:v>
                </c:pt>
                <c:pt idx="42" formatCode="General">
                  <c:v>199.35</c:v>
                </c:pt>
                <c:pt idx="43" formatCode="General">
                  <c:v>168.7</c:v>
                </c:pt>
                <c:pt idx="44" formatCode="General">
                  <c:v>172.68</c:v>
                </c:pt>
                <c:pt idx="45" formatCode="General">
                  <c:v>191.83</c:v>
                </c:pt>
                <c:pt idx="46" formatCode="General">
                  <c:v>180.19</c:v>
                </c:pt>
                <c:pt idx="47" formatCode="General">
                  <c:v>186.11</c:v>
                </c:pt>
                <c:pt idx="48" formatCode="General">
                  <c:v>179.67</c:v>
                </c:pt>
                <c:pt idx="49" formatCode="General">
                  <c:v>164.06</c:v>
                </c:pt>
                <c:pt idx="50" formatCode="General">
                  <c:v>170.79</c:v>
                </c:pt>
                <c:pt idx="51" formatCode="General">
                  <c:v>177.7</c:v>
                </c:pt>
                <c:pt idx="52" formatCode="General">
                  <c:v>183.94</c:v>
                </c:pt>
                <c:pt idx="53" formatCode="General">
                  <c:v>225.75</c:v>
                </c:pt>
              </c:numCache>
            </c:numRef>
          </c:val>
          <c:smooth val="0"/>
          <c:extLst>
            <c:ext xmlns:c16="http://schemas.microsoft.com/office/drawing/2014/chart" uri="{C3380CC4-5D6E-409C-BE32-E72D297353CC}">
              <c16:uniqueId val="{00000000-BAA4-40BD-8E0B-E7B38C52E964}"/>
            </c:ext>
          </c:extLst>
        </c:ser>
        <c:ser>
          <c:idx val="1"/>
          <c:order val="1"/>
          <c:tx>
            <c:v>Revenue per available room</c:v>
          </c:tx>
          <c:spPr>
            <a:ln w="28575" cap="rnd">
              <a:solidFill>
                <a:schemeClr val="accent2"/>
              </a:solidFill>
              <a:round/>
            </a:ln>
            <a:effectLst/>
          </c:spPr>
          <c:marker>
            <c:symbol val="none"/>
          </c:marker>
          <c:cat>
            <c:numRef>
              <c:f>Sheet1!$F$3:$BG$3</c:f>
              <c:numCache>
                <c:formatCode>mmm\-yy</c:formatCode>
                <c:ptCount val="54"/>
                <c:pt idx="0">
                  <c:v>42917</c:v>
                </c:pt>
                <c:pt idx="1">
                  <c:v>42948</c:v>
                </c:pt>
                <c:pt idx="2">
                  <c:v>42979</c:v>
                </c:pt>
                <c:pt idx="3">
                  <c:v>43009</c:v>
                </c:pt>
                <c:pt idx="4">
                  <c:v>43040</c:v>
                </c:pt>
                <c:pt idx="5">
                  <c:v>43070</c:v>
                </c:pt>
                <c:pt idx="6">
                  <c:v>43101</c:v>
                </c:pt>
                <c:pt idx="7">
                  <c:v>43132</c:v>
                </c:pt>
                <c:pt idx="8">
                  <c:v>43160</c:v>
                </c:pt>
                <c:pt idx="9">
                  <c:v>43191</c:v>
                </c:pt>
                <c:pt idx="10">
                  <c:v>43221</c:v>
                </c:pt>
                <c:pt idx="11">
                  <c:v>43252</c:v>
                </c:pt>
                <c:pt idx="12">
                  <c:v>43282</c:v>
                </c:pt>
                <c:pt idx="13">
                  <c:v>43313</c:v>
                </c:pt>
                <c:pt idx="14">
                  <c:v>43344</c:v>
                </c:pt>
                <c:pt idx="15">
                  <c:v>43374</c:v>
                </c:pt>
                <c:pt idx="16">
                  <c:v>43405</c:v>
                </c:pt>
                <c:pt idx="17">
                  <c:v>43435</c:v>
                </c:pt>
                <c:pt idx="18">
                  <c:v>43466</c:v>
                </c:pt>
                <c:pt idx="19">
                  <c:v>43497</c:v>
                </c:pt>
                <c:pt idx="20">
                  <c:v>43525</c:v>
                </c:pt>
                <c:pt idx="21">
                  <c:v>43556</c:v>
                </c:pt>
                <c:pt idx="22">
                  <c:v>43586</c:v>
                </c:pt>
                <c:pt idx="23">
                  <c:v>43617</c:v>
                </c:pt>
                <c:pt idx="24">
                  <c:v>43647</c:v>
                </c:pt>
                <c:pt idx="25">
                  <c:v>43678</c:v>
                </c:pt>
                <c:pt idx="26">
                  <c:v>43709</c:v>
                </c:pt>
                <c:pt idx="27">
                  <c:v>43739</c:v>
                </c:pt>
                <c:pt idx="28">
                  <c:v>43770</c:v>
                </c:pt>
                <c:pt idx="29">
                  <c:v>43800</c:v>
                </c:pt>
                <c:pt idx="30">
                  <c:v>43831</c:v>
                </c:pt>
                <c:pt idx="31">
                  <c:v>43862</c:v>
                </c:pt>
                <c:pt idx="32">
                  <c:v>43891</c:v>
                </c:pt>
                <c:pt idx="33">
                  <c:v>43922</c:v>
                </c:pt>
                <c:pt idx="34">
                  <c:v>43952</c:v>
                </c:pt>
                <c:pt idx="35">
                  <c:v>43983</c:v>
                </c:pt>
                <c:pt idx="36">
                  <c:v>44013</c:v>
                </c:pt>
                <c:pt idx="37">
                  <c:v>44044</c:v>
                </c:pt>
                <c:pt idx="38">
                  <c:v>44075</c:v>
                </c:pt>
                <c:pt idx="39">
                  <c:v>44105</c:v>
                </c:pt>
                <c:pt idx="40">
                  <c:v>44136</c:v>
                </c:pt>
                <c:pt idx="41">
                  <c:v>44166</c:v>
                </c:pt>
                <c:pt idx="42">
                  <c:v>44197</c:v>
                </c:pt>
                <c:pt idx="43">
                  <c:v>44228</c:v>
                </c:pt>
                <c:pt idx="44">
                  <c:v>44256</c:v>
                </c:pt>
                <c:pt idx="45">
                  <c:v>44287</c:v>
                </c:pt>
                <c:pt idx="46">
                  <c:v>44317</c:v>
                </c:pt>
                <c:pt idx="47">
                  <c:v>44348</c:v>
                </c:pt>
                <c:pt idx="48">
                  <c:v>44378</c:v>
                </c:pt>
                <c:pt idx="49">
                  <c:v>44409</c:v>
                </c:pt>
                <c:pt idx="50">
                  <c:v>44440</c:v>
                </c:pt>
                <c:pt idx="51">
                  <c:v>44470</c:v>
                </c:pt>
                <c:pt idx="52">
                  <c:v>44501</c:v>
                </c:pt>
                <c:pt idx="53">
                  <c:v>44531</c:v>
                </c:pt>
              </c:numCache>
            </c:numRef>
          </c:cat>
          <c:val>
            <c:numRef>
              <c:f>Sheet1!$F$9:$BG$9</c:f>
              <c:numCache>
                <c:formatCode>#,##0;[Black]\-#,##0</c:formatCode>
                <c:ptCount val="54"/>
                <c:pt idx="0">
                  <c:v>137.17203209510319</c:v>
                </c:pt>
                <c:pt idx="1">
                  <c:v>136.84697978971911</c:v>
                </c:pt>
                <c:pt idx="2">
                  <c:v>141.45660440537111</c:v>
                </c:pt>
                <c:pt idx="3">
                  <c:v>150.95570638571462</c:v>
                </c:pt>
                <c:pt idx="4">
                  <c:v>157.44655117700614</c:v>
                </c:pt>
                <c:pt idx="5">
                  <c:v>150.87391603504818</c:v>
                </c:pt>
                <c:pt idx="6">
                  <c:v>144.74748006120606</c:v>
                </c:pt>
                <c:pt idx="7">
                  <c:v>153.17740214677039</c:v>
                </c:pt>
                <c:pt idx="8">
                  <c:v>154.24997013432147</c:v>
                </c:pt>
                <c:pt idx="9">
                  <c:v>137.55634228322489</c:v>
                </c:pt>
                <c:pt idx="10">
                  <c:v>128.35796738789497</c:v>
                </c:pt>
                <c:pt idx="11">
                  <c:v>122.8645071142397</c:v>
                </c:pt>
                <c:pt idx="12">
                  <c:v>133.78644665561552</c:v>
                </c:pt>
                <c:pt idx="13">
                  <c:v>137.22395467164912</c:v>
                </c:pt>
                <c:pt idx="14">
                  <c:v>137.7383243628814</c:v>
                </c:pt>
                <c:pt idx="15">
                  <c:v>150.2941580709755</c:v>
                </c:pt>
                <c:pt idx="16">
                  <c:v>152.64588384683216</c:v>
                </c:pt>
                <c:pt idx="17">
                  <c:v>143.51352737322992</c:v>
                </c:pt>
                <c:pt idx="18">
                  <c:v>143.51352737322992</c:v>
                </c:pt>
                <c:pt idx="19">
                  <c:v>140.36200675722594</c:v>
                </c:pt>
                <c:pt idx="20">
                  <c:v>147.78364428410526</c:v>
                </c:pt>
                <c:pt idx="21">
                  <c:v>142.07953756429484</c:v>
                </c:pt>
                <c:pt idx="22">
                  <c:v>131.18271072706128</c:v>
                </c:pt>
                <c:pt idx="23">
                  <c:v>123.28935314605427</c:v>
                </c:pt>
                <c:pt idx="24" formatCode="General">
                  <c:v>131.36000000000001</c:v>
                </c:pt>
                <c:pt idx="25" formatCode="General">
                  <c:v>134.86000000000001</c:v>
                </c:pt>
                <c:pt idx="26" formatCode="General">
                  <c:v>132.5</c:v>
                </c:pt>
                <c:pt idx="27" formatCode="General">
                  <c:v>149.30000000000001</c:v>
                </c:pt>
                <c:pt idx="28" formatCode="General">
                  <c:v>150.41999999999999</c:v>
                </c:pt>
                <c:pt idx="29" formatCode="General">
                  <c:v>141.74</c:v>
                </c:pt>
                <c:pt idx="30" formatCode="General">
                  <c:v>138.34</c:v>
                </c:pt>
                <c:pt idx="31" formatCode="General">
                  <c:v>131.49</c:v>
                </c:pt>
                <c:pt idx="32" formatCode="General">
                  <c:v>78.849999999999994</c:v>
                </c:pt>
                <c:pt idx="33" formatCode="General">
                  <c:v>23.58</c:v>
                </c:pt>
                <c:pt idx="34" formatCode="General">
                  <c:v>27.25</c:v>
                </c:pt>
                <c:pt idx="35" formatCode="General">
                  <c:v>42.27</c:v>
                </c:pt>
                <c:pt idx="36" formatCode="General">
                  <c:v>59.95</c:v>
                </c:pt>
                <c:pt idx="37" formatCode="General">
                  <c:v>56.14</c:v>
                </c:pt>
                <c:pt idx="38" formatCode="General">
                  <c:v>65.03</c:v>
                </c:pt>
                <c:pt idx="39" formatCode="General">
                  <c:v>59.95</c:v>
                </c:pt>
                <c:pt idx="40" formatCode="General">
                  <c:v>56.14</c:v>
                </c:pt>
                <c:pt idx="41" formatCode="General">
                  <c:v>65.03</c:v>
                </c:pt>
                <c:pt idx="42" formatCode="General">
                  <c:v>94.88</c:v>
                </c:pt>
                <c:pt idx="43" formatCode="General">
                  <c:v>80.08</c:v>
                </c:pt>
                <c:pt idx="44" formatCode="General">
                  <c:v>96.22</c:v>
                </c:pt>
                <c:pt idx="45" formatCode="General">
                  <c:v>117.42</c:v>
                </c:pt>
                <c:pt idx="46" formatCode="General">
                  <c:v>106.16</c:v>
                </c:pt>
                <c:pt idx="47" formatCode="General">
                  <c:v>94.34</c:v>
                </c:pt>
                <c:pt idx="48" formatCode="General">
                  <c:v>69.17</c:v>
                </c:pt>
                <c:pt idx="49" formatCode="General">
                  <c:v>51.57</c:v>
                </c:pt>
                <c:pt idx="50" formatCode="General">
                  <c:v>64.87</c:v>
                </c:pt>
                <c:pt idx="51" formatCode="General">
                  <c:v>67.87</c:v>
                </c:pt>
                <c:pt idx="52" formatCode="General">
                  <c:v>84.06</c:v>
                </c:pt>
                <c:pt idx="53" formatCode="General">
                  <c:v>120.36</c:v>
                </c:pt>
              </c:numCache>
            </c:numRef>
          </c:val>
          <c:smooth val="0"/>
          <c:extLst>
            <c:ext xmlns:c16="http://schemas.microsoft.com/office/drawing/2014/chart" uri="{C3380CC4-5D6E-409C-BE32-E72D297353CC}">
              <c16:uniqueId val="{00000001-BAA4-40BD-8E0B-E7B38C52E964}"/>
            </c:ext>
          </c:extLst>
        </c:ser>
        <c:dLbls>
          <c:showLegendKey val="0"/>
          <c:showVal val="0"/>
          <c:showCatName val="0"/>
          <c:showSerName val="0"/>
          <c:showPercent val="0"/>
          <c:showBubbleSize val="0"/>
        </c:dLbls>
        <c:smooth val="0"/>
        <c:axId val="743345200"/>
        <c:axId val="743348112"/>
      </c:lineChart>
      <c:dateAx>
        <c:axId val="743345200"/>
        <c:scaling>
          <c:orientation val="minMax"/>
          <c:min val="43252"/>
        </c:scaling>
        <c:delete val="0"/>
        <c:axPos val="b"/>
        <c:numFmt formatCode="mmm\-yy"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43348112"/>
        <c:crosses val="autoZero"/>
        <c:auto val="1"/>
        <c:lblOffset val="100"/>
        <c:baseTimeUnit val="months"/>
        <c:majorUnit val="6"/>
        <c:majorTimeUnit val="months"/>
      </c:dateAx>
      <c:valAx>
        <c:axId val="743348112"/>
        <c:scaling>
          <c:orientation val="minMax"/>
        </c:scaling>
        <c:delete val="0"/>
        <c:axPos val="l"/>
        <c:majorGridlines>
          <c:spPr>
            <a:ln w="9525" cap="flat" cmpd="sng" algn="ctr">
              <a:solidFill>
                <a:schemeClr val="tx1">
                  <a:lumMod val="15000"/>
                  <a:lumOff val="85000"/>
                </a:schemeClr>
              </a:solidFill>
              <a:round/>
            </a:ln>
            <a:effectLst/>
          </c:spPr>
        </c:majorGridlines>
        <c:numFmt formatCode="#,##0;[Black]\-#,##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43345200"/>
        <c:crosses val="autoZero"/>
        <c:crossBetween val="between"/>
      </c:valAx>
      <c:spPr>
        <a:noFill/>
        <a:ln>
          <a:noFill/>
        </a:ln>
        <a:effectLst/>
      </c:spPr>
    </c:plotArea>
    <c:legend>
      <c:legendPos val="t"/>
      <c:layout>
        <c:manualLayout>
          <c:xMode val="edge"/>
          <c:yMode val="edge"/>
          <c:x val="0.13047768607575738"/>
          <c:y val="1.4685362011139774E-2"/>
          <c:w val="0.82509069161197346"/>
          <c:h val="6.954770952439982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120022685606506E-2"/>
          <c:y val="2.2274069915391714E-2"/>
          <c:w val="0.91972989883011247"/>
          <c:h val="0.82636737319336329"/>
        </c:manualLayout>
      </c:layout>
      <c:lineChart>
        <c:grouping val="standard"/>
        <c:varyColors val="0"/>
        <c:ser>
          <c:idx val="0"/>
          <c:order val="0"/>
          <c:tx>
            <c:v>Seats</c:v>
          </c:tx>
          <c:spPr>
            <a:ln w="28575" cap="rnd">
              <a:solidFill>
                <a:schemeClr val="accent1"/>
              </a:solidFill>
              <a:round/>
            </a:ln>
            <a:effectLst/>
          </c:spPr>
          <c:marker>
            <c:symbol val="none"/>
          </c:marker>
          <c:cat>
            <c:numRef>
              <c:f>'Domestic pivot'!$G$39:$G$88</c:f>
              <c:numCache>
                <c:formatCode>mmm\-yy</c:formatCode>
                <c:ptCount val="50"/>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numCache>
            </c:numRef>
          </c:cat>
          <c:val>
            <c:numRef>
              <c:f>'Domestic pivot'!$H$39:$H$88</c:f>
              <c:numCache>
                <c:formatCode>General</c:formatCode>
                <c:ptCount val="50"/>
                <c:pt idx="0">
                  <c:v>5859706</c:v>
                </c:pt>
                <c:pt idx="1">
                  <c:v>5256077</c:v>
                </c:pt>
                <c:pt idx="2">
                  <c:v>5894824</c:v>
                </c:pt>
                <c:pt idx="3">
                  <c:v>5797465</c:v>
                </c:pt>
                <c:pt idx="4">
                  <c:v>5639230</c:v>
                </c:pt>
                <c:pt idx="5">
                  <c:v>5438789</c:v>
                </c:pt>
                <c:pt idx="6">
                  <c:v>6005073</c:v>
                </c:pt>
                <c:pt idx="7">
                  <c:v>5780469</c:v>
                </c:pt>
                <c:pt idx="8">
                  <c:v>5685568</c:v>
                </c:pt>
                <c:pt idx="9">
                  <c:v>6062596</c:v>
                </c:pt>
                <c:pt idx="10">
                  <c:v>5674892</c:v>
                </c:pt>
                <c:pt idx="11">
                  <c:v>5783392</c:v>
                </c:pt>
                <c:pt idx="12">
                  <c:v>5853203</c:v>
                </c:pt>
                <c:pt idx="13">
                  <c:v>5222694</c:v>
                </c:pt>
                <c:pt idx="14">
                  <c:v>5788948</c:v>
                </c:pt>
                <c:pt idx="15">
                  <c:v>5847487</c:v>
                </c:pt>
                <c:pt idx="16">
                  <c:v>5721547</c:v>
                </c:pt>
                <c:pt idx="17">
                  <c:v>5478786</c:v>
                </c:pt>
                <c:pt idx="18">
                  <c:v>6078264</c:v>
                </c:pt>
                <c:pt idx="19">
                  <c:v>5719226</c:v>
                </c:pt>
                <c:pt idx="20">
                  <c:v>5750898</c:v>
                </c:pt>
                <c:pt idx="21">
                  <c:v>6069527</c:v>
                </c:pt>
                <c:pt idx="22">
                  <c:v>5670794</c:v>
                </c:pt>
                <c:pt idx="23">
                  <c:v>5814976</c:v>
                </c:pt>
                <c:pt idx="24">
                  <c:v>5660477</c:v>
                </c:pt>
                <c:pt idx="25">
                  <c:v>5186944</c:v>
                </c:pt>
                <c:pt idx="26">
                  <c:v>4419868</c:v>
                </c:pt>
                <c:pt idx="27">
                  <c:v>321663</c:v>
                </c:pt>
                <c:pt idx="28">
                  <c:v>237882</c:v>
                </c:pt>
                <c:pt idx="29">
                  <c:v>418466</c:v>
                </c:pt>
                <c:pt idx="30">
                  <c:v>806208</c:v>
                </c:pt>
                <c:pt idx="31">
                  <c:v>663214</c:v>
                </c:pt>
                <c:pt idx="32">
                  <c:v>754690</c:v>
                </c:pt>
                <c:pt idx="33">
                  <c:v>976377</c:v>
                </c:pt>
                <c:pt idx="34">
                  <c:v>1189905</c:v>
                </c:pt>
                <c:pt idx="35">
                  <c:v>2665655</c:v>
                </c:pt>
                <c:pt idx="36">
                  <c:v>2116848</c:v>
                </c:pt>
                <c:pt idx="37">
                  <c:v>2081715</c:v>
                </c:pt>
                <c:pt idx="38">
                  <c:v>3565115</c:v>
                </c:pt>
                <c:pt idx="39">
                  <c:v>4325656</c:v>
                </c:pt>
                <c:pt idx="40">
                  <c:v>4292023</c:v>
                </c:pt>
                <c:pt idx="41">
                  <c:v>3107381</c:v>
                </c:pt>
                <c:pt idx="42">
                  <c:v>1971468</c:v>
                </c:pt>
                <c:pt idx="43">
                  <c:v>999962</c:v>
                </c:pt>
                <c:pt idx="44">
                  <c:v>1274503</c:v>
                </c:pt>
                <c:pt idx="45">
                  <c:v>1392359</c:v>
                </c:pt>
                <c:pt idx="46">
                  <c:v>1942060</c:v>
                </c:pt>
                <c:pt idx="47">
                  <c:v>3743095</c:v>
                </c:pt>
                <c:pt idx="48">
                  <c:v>3551541</c:v>
                </c:pt>
                <c:pt idx="49">
                  <c:v>2893511</c:v>
                </c:pt>
              </c:numCache>
            </c:numRef>
          </c:val>
          <c:smooth val="0"/>
          <c:extLst>
            <c:ext xmlns:c16="http://schemas.microsoft.com/office/drawing/2014/chart" uri="{C3380CC4-5D6E-409C-BE32-E72D297353CC}">
              <c16:uniqueId val="{00000000-38B3-4691-B00B-7B6947D0F501}"/>
            </c:ext>
          </c:extLst>
        </c:ser>
        <c:ser>
          <c:idx val="1"/>
          <c:order val="1"/>
          <c:tx>
            <c:v>Revenue passengers</c:v>
          </c:tx>
          <c:spPr>
            <a:ln w="28575" cap="rnd">
              <a:solidFill>
                <a:schemeClr val="accent2"/>
              </a:solidFill>
              <a:round/>
            </a:ln>
            <a:effectLst/>
          </c:spPr>
          <c:marker>
            <c:symbol val="none"/>
          </c:marker>
          <c:cat>
            <c:numRef>
              <c:f>'Domestic pivot'!$G$39:$G$88</c:f>
              <c:numCache>
                <c:formatCode>mmm\-yy</c:formatCode>
                <c:ptCount val="50"/>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numCache>
            </c:numRef>
          </c:cat>
          <c:val>
            <c:numRef>
              <c:f>'Domestic pivot'!$J$39:$J$88</c:f>
              <c:numCache>
                <c:formatCode>General</c:formatCode>
                <c:ptCount val="50"/>
                <c:pt idx="0">
                  <c:v>4645018</c:v>
                </c:pt>
                <c:pt idx="1">
                  <c:v>4140792</c:v>
                </c:pt>
                <c:pt idx="2">
                  <c:v>4756151</c:v>
                </c:pt>
                <c:pt idx="3">
                  <c:v>4621718</c:v>
                </c:pt>
                <c:pt idx="4">
                  <c:v>4415367</c:v>
                </c:pt>
                <c:pt idx="5">
                  <c:v>4286869</c:v>
                </c:pt>
                <c:pt idx="6">
                  <c:v>4938416</c:v>
                </c:pt>
                <c:pt idx="7">
                  <c:v>4680921</c:v>
                </c:pt>
                <c:pt idx="8">
                  <c:v>4589217</c:v>
                </c:pt>
                <c:pt idx="9">
                  <c:v>4976562</c:v>
                </c:pt>
                <c:pt idx="10">
                  <c:v>4748759</c:v>
                </c:pt>
                <c:pt idx="11">
                  <c:v>4686253</c:v>
                </c:pt>
                <c:pt idx="12">
                  <c:v>4627683</c:v>
                </c:pt>
                <c:pt idx="13">
                  <c:v>4106805</c:v>
                </c:pt>
                <c:pt idx="14">
                  <c:v>4611232</c:v>
                </c:pt>
                <c:pt idx="15">
                  <c:v>4658491</c:v>
                </c:pt>
                <c:pt idx="16">
                  <c:v>4415394</c:v>
                </c:pt>
                <c:pt idx="17">
                  <c:v>4253931</c:v>
                </c:pt>
                <c:pt idx="18">
                  <c:v>4922003</c:v>
                </c:pt>
                <c:pt idx="19">
                  <c:v>4679652</c:v>
                </c:pt>
                <c:pt idx="20">
                  <c:v>4680205</c:v>
                </c:pt>
                <c:pt idx="21">
                  <c:v>5105125</c:v>
                </c:pt>
                <c:pt idx="22">
                  <c:v>4778782</c:v>
                </c:pt>
                <c:pt idx="23">
                  <c:v>4791111</c:v>
                </c:pt>
                <c:pt idx="24">
                  <c:v>4649108</c:v>
                </c:pt>
                <c:pt idx="25">
                  <c:v>3962792</c:v>
                </c:pt>
                <c:pt idx="26">
                  <c:v>2759183</c:v>
                </c:pt>
                <c:pt idx="27">
                  <c:v>99217</c:v>
                </c:pt>
                <c:pt idx="28">
                  <c:v>113894</c:v>
                </c:pt>
                <c:pt idx="29">
                  <c:v>258534</c:v>
                </c:pt>
                <c:pt idx="30">
                  <c:v>534434</c:v>
                </c:pt>
                <c:pt idx="31">
                  <c:v>374557</c:v>
                </c:pt>
                <c:pt idx="32">
                  <c:v>445713</c:v>
                </c:pt>
                <c:pt idx="33">
                  <c:v>626089</c:v>
                </c:pt>
                <c:pt idx="34">
                  <c:v>766749</c:v>
                </c:pt>
                <c:pt idx="35">
                  <c:v>1743101</c:v>
                </c:pt>
                <c:pt idx="36">
                  <c:v>1262713</c:v>
                </c:pt>
                <c:pt idx="37">
                  <c:v>1283787</c:v>
                </c:pt>
                <c:pt idx="38">
                  <c:v>2381337</c:v>
                </c:pt>
                <c:pt idx="39">
                  <c:v>3048158</c:v>
                </c:pt>
                <c:pt idx="40">
                  <c:v>2880247</c:v>
                </c:pt>
                <c:pt idx="41">
                  <c:v>1881047</c:v>
                </c:pt>
                <c:pt idx="42">
                  <c:v>1006566</c:v>
                </c:pt>
                <c:pt idx="43">
                  <c:v>465399</c:v>
                </c:pt>
                <c:pt idx="44">
                  <c:v>717266</c:v>
                </c:pt>
                <c:pt idx="45">
                  <c:v>769292</c:v>
                </c:pt>
                <c:pt idx="46">
                  <c:v>1185021</c:v>
                </c:pt>
                <c:pt idx="47">
                  <c:v>2167260</c:v>
                </c:pt>
                <c:pt idx="48">
                  <c:v>2154588</c:v>
                </c:pt>
                <c:pt idx="49">
                  <c:v>2061906</c:v>
                </c:pt>
              </c:numCache>
            </c:numRef>
          </c:val>
          <c:smooth val="0"/>
          <c:extLst>
            <c:ext xmlns:c16="http://schemas.microsoft.com/office/drawing/2014/chart" uri="{C3380CC4-5D6E-409C-BE32-E72D297353CC}">
              <c16:uniqueId val="{00000001-38B3-4691-B00B-7B6947D0F501}"/>
            </c:ext>
          </c:extLst>
        </c:ser>
        <c:dLbls>
          <c:showLegendKey val="0"/>
          <c:showVal val="0"/>
          <c:showCatName val="0"/>
          <c:showSerName val="0"/>
          <c:showPercent val="0"/>
          <c:showBubbleSize val="0"/>
        </c:dLbls>
        <c:smooth val="0"/>
        <c:axId val="1382788175"/>
        <c:axId val="1382798159"/>
      </c:lineChart>
      <c:dateAx>
        <c:axId val="1382788175"/>
        <c:scaling>
          <c:orientation val="minMax"/>
        </c:scaling>
        <c:delete val="0"/>
        <c:axPos val="b"/>
        <c:numFmt formatCode="mmm\-yy"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382798159"/>
        <c:crosses val="autoZero"/>
        <c:auto val="1"/>
        <c:lblOffset val="100"/>
        <c:baseTimeUnit val="months"/>
        <c:majorUnit val="6"/>
        <c:majorTimeUnit val="months"/>
      </c:dateAx>
      <c:valAx>
        <c:axId val="1382798159"/>
        <c:scaling>
          <c:orientation val="minMax"/>
          <c:max val="800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382788175"/>
        <c:crosses val="autoZero"/>
        <c:crossBetween val="between"/>
        <c:majorUnit val="2000000"/>
        <c:dispUnits>
          <c:builtInUnit val="millions"/>
          <c:dispUnitsLbl>
            <c:layout>
              <c:manualLayout>
                <c:xMode val="edge"/>
                <c:yMode val="edge"/>
                <c:x val="8.3773726693539621E-3"/>
                <c:y val="0.38118904861662928"/>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a:t>Millions</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t"/>
      <c:layout>
        <c:manualLayout>
          <c:xMode val="edge"/>
          <c:yMode val="edge"/>
          <c:x val="0.28075112050274076"/>
          <c:y val="4.2995342171264779E-2"/>
          <c:w val="0.45448976299251947"/>
          <c:h val="7.536175050852431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6058315744242"/>
          <c:y val="9.025174382385083E-2"/>
          <c:w val="0.87886006875545053"/>
          <c:h val="0.76938719616569673"/>
        </c:manualLayout>
      </c:layout>
      <c:lineChart>
        <c:grouping val="standard"/>
        <c:varyColors val="0"/>
        <c:ser>
          <c:idx val="1"/>
          <c:order val="0"/>
          <c:tx>
            <c:v>Cafes, restaurants and takeaway food services</c:v>
          </c:tx>
          <c:spPr>
            <a:ln w="28575" cap="rnd">
              <a:solidFill>
                <a:schemeClr val="accent2"/>
              </a:solidFill>
              <a:round/>
            </a:ln>
            <a:effectLst/>
          </c:spPr>
          <c:marker>
            <c:symbol val="none"/>
          </c:marker>
          <c:cat>
            <c:numRef>
              <c:f>'DQ-21 EmpQ filled jobs'!$AB$5:$BS$5</c:f>
              <c:numCache>
                <c:formatCode>mmm\-yyyy</c:formatCode>
                <c:ptCount val="44"/>
                <c:pt idx="0">
                  <c:v>40603</c:v>
                </c:pt>
                <c:pt idx="1">
                  <c:v>40695</c:v>
                </c:pt>
                <c:pt idx="2">
                  <c:v>40787</c:v>
                </c:pt>
                <c:pt idx="3">
                  <c:v>40878</c:v>
                </c:pt>
                <c:pt idx="4">
                  <c:v>40969</c:v>
                </c:pt>
                <c:pt idx="5">
                  <c:v>41061</c:v>
                </c:pt>
                <c:pt idx="6">
                  <c:v>41153</c:v>
                </c:pt>
                <c:pt idx="7">
                  <c:v>41244</c:v>
                </c:pt>
                <c:pt idx="8">
                  <c:v>41334</c:v>
                </c:pt>
                <c:pt idx="9">
                  <c:v>41426</c:v>
                </c:pt>
                <c:pt idx="10">
                  <c:v>41518</c:v>
                </c:pt>
                <c:pt idx="11">
                  <c:v>41609</c:v>
                </c:pt>
                <c:pt idx="12">
                  <c:v>41699</c:v>
                </c:pt>
                <c:pt idx="13">
                  <c:v>41791</c:v>
                </c:pt>
                <c:pt idx="14">
                  <c:v>41883</c:v>
                </c:pt>
                <c:pt idx="15">
                  <c:v>41974</c:v>
                </c:pt>
                <c:pt idx="16">
                  <c:v>42064</c:v>
                </c:pt>
                <c:pt idx="17">
                  <c:v>42156</c:v>
                </c:pt>
                <c:pt idx="18">
                  <c:v>42248</c:v>
                </c:pt>
                <c:pt idx="19">
                  <c:v>42339</c:v>
                </c:pt>
                <c:pt idx="20">
                  <c:v>42430</c:v>
                </c:pt>
                <c:pt idx="21">
                  <c:v>42522</c:v>
                </c:pt>
                <c:pt idx="22">
                  <c:v>42614</c:v>
                </c:pt>
                <c:pt idx="23">
                  <c:v>42705</c:v>
                </c:pt>
                <c:pt idx="24">
                  <c:v>42795</c:v>
                </c:pt>
                <c:pt idx="25">
                  <c:v>42887</c:v>
                </c:pt>
                <c:pt idx="26">
                  <c:v>42979</c:v>
                </c:pt>
                <c:pt idx="27">
                  <c:v>43070</c:v>
                </c:pt>
                <c:pt idx="28">
                  <c:v>43160</c:v>
                </c:pt>
                <c:pt idx="29">
                  <c:v>43252</c:v>
                </c:pt>
                <c:pt idx="30">
                  <c:v>43344</c:v>
                </c:pt>
                <c:pt idx="31">
                  <c:v>43435</c:v>
                </c:pt>
                <c:pt idx="32">
                  <c:v>43525</c:v>
                </c:pt>
                <c:pt idx="33">
                  <c:v>43617</c:v>
                </c:pt>
                <c:pt idx="34">
                  <c:v>43709</c:v>
                </c:pt>
                <c:pt idx="35">
                  <c:v>43800</c:v>
                </c:pt>
                <c:pt idx="36">
                  <c:v>43891</c:v>
                </c:pt>
                <c:pt idx="37">
                  <c:v>43983</c:v>
                </c:pt>
                <c:pt idx="38">
                  <c:v>44075</c:v>
                </c:pt>
                <c:pt idx="39">
                  <c:v>44166</c:v>
                </c:pt>
                <c:pt idx="40">
                  <c:v>44256</c:v>
                </c:pt>
                <c:pt idx="41">
                  <c:v>44348</c:v>
                </c:pt>
                <c:pt idx="42">
                  <c:v>44440</c:v>
                </c:pt>
                <c:pt idx="43">
                  <c:v>44531</c:v>
                </c:pt>
              </c:numCache>
            </c:numRef>
          </c:cat>
          <c:val>
            <c:numRef>
              <c:f>'DQ-21 EmpQ filled jobs'!$AB$9:$BS$9</c:f>
              <c:numCache>
                <c:formatCode>0.0</c:formatCode>
                <c:ptCount val="44"/>
                <c:pt idx="0">
                  <c:v>149.9</c:v>
                </c:pt>
                <c:pt idx="1">
                  <c:v>142.69999999999999</c:v>
                </c:pt>
                <c:pt idx="2">
                  <c:v>148.6</c:v>
                </c:pt>
                <c:pt idx="3">
                  <c:v>155.6</c:v>
                </c:pt>
                <c:pt idx="4">
                  <c:v>152.4</c:v>
                </c:pt>
                <c:pt idx="5">
                  <c:v>149.30000000000001</c:v>
                </c:pt>
                <c:pt idx="6">
                  <c:v>163.69999999999999</c:v>
                </c:pt>
                <c:pt idx="7">
                  <c:v>164.3</c:v>
                </c:pt>
                <c:pt idx="8">
                  <c:v>164.2</c:v>
                </c:pt>
                <c:pt idx="9">
                  <c:v>155.19999999999999</c:v>
                </c:pt>
                <c:pt idx="10">
                  <c:v>163.69999999999999</c:v>
                </c:pt>
                <c:pt idx="11">
                  <c:v>166.5</c:v>
                </c:pt>
                <c:pt idx="12">
                  <c:v>165.5</c:v>
                </c:pt>
                <c:pt idx="13">
                  <c:v>158.1</c:v>
                </c:pt>
                <c:pt idx="14">
                  <c:v>172.5</c:v>
                </c:pt>
                <c:pt idx="15">
                  <c:v>182</c:v>
                </c:pt>
                <c:pt idx="16">
                  <c:v>183</c:v>
                </c:pt>
                <c:pt idx="17">
                  <c:v>179</c:v>
                </c:pt>
                <c:pt idx="18">
                  <c:v>196.4</c:v>
                </c:pt>
                <c:pt idx="19">
                  <c:v>193.7</c:v>
                </c:pt>
                <c:pt idx="20">
                  <c:v>191.1</c:v>
                </c:pt>
                <c:pt idx="21">
                  <c:v>189</c:v>
                </c:pt>
                <c:pt idx="22">
                  <c:v>190.1</c:v>
                </c:pt>
                <c:pt idx="23">
                  <c:v>194.5</c:v>
                </c:pt>
                <c:pt idx="24">
                  <c:v>204</c:v>
                </c:pt>
                <c:pt idx="25">
                  <c:v>202.9</c:v>
                </c:pt>
                <c:pt idx="26">
                  <c:v>215.8</c:v>
                </c:pt>
                <c:pt idx="27">
                  <c:v>219.5</c:v>
                </c:pt>
                <c:pt idx="28">
                  <c:v>212</c:v>
                </c:pt>
                <c:pt idx="29">
                  <c:v>210.6</c:v>
                </c:pt>
                <c:pt idx="30">
                  <c:v>217.6</c:v>
                </c:pt>
                <c:pt idx="31">
                  <c:v>214.2</c:v>
                </c:pt>
                <c:pt idx="32">
                  <c:v>215</c:v>
                </c:pt>
                <c:pt idx="33">
                  <c:v>213.6</c:v>
                </c:pt>
                <c:pt idx="34">
                  <c:v>222.6</c:v>
                </c:pt>
                <c:pt idx="35">
                  <c:v>233.8</c:v>
                </c:pt>
                <c:pt idx="36">
                  <c:v>221.9</c:v>
                </c:pt>
                <c:pt idx="37">
                  <c:v>189.3</c:v>
                </c:pt>
                <c:pt idx="38">
                  <c:v>207.7</c:v>
                </c:pt>
                <c:pt idx="39">
                  <c:v>215.1</c:v>
                </c:pt>
                <c:pt idx="40">
                  <c:v>227.8</c:v>
                </c:pt>
                <c:pt idx="41">
                  <c:v>224.5</c:v>
                </c:pt>
                <c:pt idx="42">
                  <c:v>195.4</c:v>
                </c:pt>
                <c:pt idx="43">
                  <c:v>229.2</c:v>
                </c:pt>
              </c:numCache>
            </c:numRef>
          </c:val>
          <c:smooth val="0"/>
          <c:extLst>
            <c:ext xmlns:c16="http://schemas.microsoft.com/office/drawing/2014/chart" uri="{C3380CC4-5D6E-409C-BE32-E72D297353CC}">
              <c16:uniqueId val="{00000000-E1A1-4860-A03C-9C0D2876396B}"/>
            </c:ext>
          </c:extLst>
        </c:ser>
        <c:ser>
          <c:idx val="4"/>
          <c:order val="1"/>
          <c:tx>
            <c:v>Retail trade</c:v>
          </c:tx>
          <c:spPr>
            <a:ln w="28575" cap="rnd">
              <a:solidFill>
                <a:schemeClr val="accent5"/>
              </a:solidFill>
              <a:round/>
            </a:ln>
            <a:effectLst/>
          </c:spPr>
          <c:marker>
            <c:symbol val="none"/>
          </c:marker>
          <c:cat>
            <c:numRef>
              <c:f>'DQ-21 EmpQ filled jobs'!$AB$5:$BS$5</c:f>
              <c:numCache>
                <c:formatCode>mmm\-yyyy</c:formatCode>
                <c:ptCount val="44"/>
                <c:pt idx="0">
                  <c:v>40603</c:v>
                </c:pt>
                <c:pt idx="1">
                  <c:v>40695</c:v>
                </c:pt>
                <c:pt idx="2">
                  <c:v>40787</c:v>
                </c:pt>
                <c:pt idx="3">
                  <c:v>40878</c:v>
                </c:pt>
                <c:pt idx="4">
                  <c:v>40969</c:v>
                </c:pt>
                <c:pt idx="5">
                  <c:v>41061</c:v>
                </c:pt>
                <c:pt idx="6">
                  <c:v>41153</c:v>
                </c:pt>
                <c:pt idx="7">
                  <c:v>41244</c:v>
                </c:pt>
                <c:pt idx="8">
                  <c:v>41334</c:v>
                </c:pt>
                <c:pt idx="9">
                  <c:v>41426</c:v>
                </c:pt>
                <c:pt idx="10">
                  <c:v>41518</c:v>
                </c:pt>
                <c:pt idx="11">
                  <c:v>41609</c:v>
                </c:pt>
                <c:pt idx="12">
                  <c:v>41699</c:v>
                </c:pt>
                <c:pt idx="13">
                  <c:v>41791</c:v>
                </c:pt>
                <c:pt idx="14">
                  <c:v>41883</c:v>
                </c:pt>
                <c:pt idx="15">
                  <c:v>41974</c:v>
                </c:pt>
                <c:pt idx="16">
                  <c:v>42064</c:v>
                </c:pt>
                <c:pt idx="17">
                  <c:v>42156</c:v>
                </c:pt>
                <c:pt idx="18">
                  <c:v>42248</c:v>
                </c:pt>
                <c:pt idx="19">
                  <c:v>42339</c:v>
                </c:pt>
                <c:pt idx="20">
                  <c:v>42430</c:v>
                </c:pt>
                <c:pt idx="21">
                  <c:v>42522</c:v>
                </c:pt>
                <c:pt idx="22">
                  <c:v>42614</c:v>
                </c:pt>
                <c:pt idx="23">
                  <c:v>42705</c:v>
                </c:pt>
                <c:pt idx="24">
                  <c:v>42795</c:v>
                </c:pt>
                <c:pt idx="25">
                  <c:v>42887</c:v>
                </c:pt>
                <c:pt idx="26">
                  <c:v>42979</c:v>
                </c:pt>
                <c:pt idx="27">
                  <c:v>43070</c:v>
                </c:pt>
                <c:pt idx="28">
                  <c:v>43160</c:v>
                </c:pt>
                <c:pt idx="29">
                  <c:v>43252</c:v>
                </c:pt>
                <c:pt idx="30">
                  <c:v>43344</c:v>
                </c:pt>
                <c:pt idx="31">
                  <c:v>43435</c:v>
                </c:pt>
                <c:pt idx="32">
                  <c:v>43525</c:v>
                </c:pt>
                <c:pt idx="33">
                  <c:v>43617</c:v>
                </c:pt>
                <c:pt idx="34">
                  <c:v>43709</c:v>
                </c:pt>
                <c:pt idx="35">
                  <c:v>43800</c:v>
                </c:pt>
                <c:pt idx="36">
                  <c:v>43891</c:v>
                </c:pt>
                <c:pt idx="37">
                  <c:v>43983</c:v>
                </c:pt>
                <c:pt idx="38">
                  <c:v>44075</c:v>
                </c:pt>
                <c:pt idx="39">
                  <c:v>44166</c:v>
                </c:pt>
                <c:pt idx="40">
                  <c:v>44256</c:v>
                </c:pt>
                <c:pt idx="41">
                  <c:v>44348</c:v>
                </c:pt>
                <c:pt idx="42">
                  <c:v>44440</c:v>
                </c:pt>
                <c:pt idx="43">
                  <c:v>44531</c:v>
                </c:pt>
              </c:numCache>
            </c:numRef>
          </c:cat>
          <c:val>
            <c:numRef>
              <c:f>'DQ-21 EmpQ filled jobs'!$AB$18:$BS$18</c:f>
              <c:numCache>
                <c:formatCode>0.0</c:formatCode>
                <c:ptCount val="44"/>
                <c:pt idx="0">
                  <c:v>105.1</c:v>
                </c:pt>
                <c:pt idx="1">
                  <c:v>105.2</c:v>
                </c:pt>
                <c:pt idx="2">
                  <c:v>104.2</c:v>
                </c:pt>
                <c:pt idx="3">
                  <c:v>108.9</c:v>
                </c:pt>
                <c:pt idx="4">
                  <c:v>104.6</c:v>
                </c:pt>
                <c:pt idx="5">
                  <c:v>102.5</c:v>
                </c:pt>
                <c:pt idx="6">
                  <c:v>104.3</c:v>
                </c:pt>
                <c:pt idx="7">
                  <c:v>108.8</c:v>
                </c:pt>
                <c:pt idx="8">
                  <c:v>106.4</c:v>
                </c:pt>
                <c:pt idx="9">
                  <c:v>105</c:v>
                </c:pt>
                <c:pt idx="10">
                  <c:v>108.9</c:v>
                </c:pt>
                <c:pt idx="11">
                  <c:v>109.1</c:v>
                </c:pt>
                <c:pt idx="12">
                  <c:v>106.2</c:v>
                </c:pt>
                <c:pt idx="13">
                  <c:v>102.6</c:v>
                </c:pt>
                <c:pt idx="14">
                  <c:v>105.1</c:v>
                </c:pt>
                <c:pt idx="15">
                  <c:v>111.6</c:v>
                </c:pt>
                <c:pt idx="16">
                  <c:v>111</c:v>
                </c:pt>
                <c:pt idx="17">
                  <c:v>106</c:v>
                </c:pt>
                <c:pt idx="18">
                  <c:v>108.5</c:v>
                </c:pt>
                <c:pt idx="19">
                  <c:v>113.4</c:v>
                </c:pt>
                <c:pt idx="20">
                  <c:v>112.5</c:v>
                </c:pt>
                <c:pt idx="21">
                  <c:v>109.9</c:v>
                </c:pt>
                <c:pt idx="22">
                  <c:v>112.4</c:v>
                </c:pt>
                <c:pt idx="23">
                  <c:v>117.2</c:v>
                </c:pt>
                <c:pt idx="24">
                  <c:v>111.9</c:v>
                </c:pt>
                <c:pt idx="25">
                  <c:v>109.3</c:v>
                </c:pt>
                <c:pt idx="26">
                  <c:v>115.1</c:v>
                </c:pt>
                <c:pt idx="27">
                  <c:v>119.5</c:v>
                </c:pt>
                <c:pt idx="28">
                  <c:v>117.5</c:v>
                </c:pt>
                <c:pt idx="29">
                  <c:v>115.2</c:v>
                </c:pt>
                <c:pt idx="30">
                  <c:v>120.6</c:v>
                </c:pt>
                <c:pt idx="31">
                  <c:v>126.8</c:v>
                </c:pt>
                <c:pt idx="32">
                  <c:v>122.8</c:v>
                </c:pt>
                <c:pt idx="33">
                  <c:v>119.5</c:v>
                </c:pt>
                <c:pt idx="34">
                  <c:v>117.3</c:v>
                </c:pt>
                <c:pt idx="35">
                  <c:v>121.8</c:v>
                </c:pt>
                <c:pt idx="36">
                  <c:v>119.7</c:v>
                </c:pt>
                <c:pt idx="37">
                  <c:v>117.8</c:v>
                </c:pt>
                <c:pt idx="38">
                  <c:v>114.9</c:v>
                </c:pt>
                <c:pt idx="39">
                  <c:v>114</c:v>
                </c:pt>
                <c:pt idx="40">
                  <c:v>103.8</c:v>
                </c:pt>
                <c:pt idx="41">
                  <c:v>100.9</c:v>
                </c:pt>
                <c:pt idx="42">
                  <c:v>99.2</c:v>
                </c:pt>
                <c:pt idx="43">
                  <c:v>106.9</c:v>
                </c:pt>
              </c:numCache>
            </c:numRef>
          </c:val>
          <c:smooth val="0"/>
          <c:extLst>
            <c:ext xmlns:c16="http://schemas.microsoft.com/office/drawing/2014/chart" uri="{C3380CC4-5D6E-409C-BE32-E72D297353CC}">
              <c16:uniqueId val="{00000001-E1A1-4860-A03C-9C0D2876396B}"/>
            </c:ext>
          </c:extLst>
        </c:ser>
        <c:ser>
          <c:idx val="0"/>
          <c:order val="2"/>
          <c:tx>
            <c:v>Accommodation</c:v>
          </c:tx>
          <c:spPr>
            <a:ln w="28575" cap="rnd">
              <a:solidFill>
                <a:schemeClr val="accent1"/>
              </a:solidFill>
              <a:round/>
            </a:ln>
            <a:effectLst/>
          </c:spPr>
          <c:marker>
            <c:symbol val="none"/>
          </c:marker>
          <c:cat>
            <c:numRef>
              <c:f>'DQ-21 EmpQ filled jobs'!$AB$5:$BS$5</c:f>
              <c:numCache>
                <c:formatCode>mmm\-yyyy</c:formatCode>
                <c:ptCount val="44"/>
                <c:pt idx="0">
                  <c:v>40603</c:v>
                </c:pt>
                <c:pt idx="1">
                  <c:v>40695</c:v>
                </c:pt>
                <c:pt idx="2">
                  <c:v>40787</c:v>
                </c:pt>
                <c:pt idx="3">
                  <c:v>40878</c:v>
                </c:pt>
                <c:pt idx="4">
                  <c:v>40969</c:v>
                </c:pt>
                <c:pt idx="5">
                  <c:v>41061</c:v>
                </c:pt>
                <c:pt idx="6">
                  <c:v>41153</c:v>
                </c:pt>
                <c:pt idx="7">
                  <c:v>41244</c:v>
                </c:pt>
                <c:pt idx="8">
                  <c:v>41334</c:v>
                </c:pt>
                <c:pt idx="9">
                  <c:v>41426</c:v>
                </c:pt>
                <c:pt idx="10">
                  <c:v>41518</c:v>
                </c:pt>
                <c:pt idx="11">
                  <c:v>41609</c:v>
                </c:pt>
                <c:pt idx="12">
                  <c:v>41699</c:v>
                </c:pt>
                <c:pt idx="13">
                  <c:v>41791</c:v>
                </c:pt>
                <c:pt idx="14">
                  <c:v>41883</c:v>
                </c:pt>
                <c:pt idx="15">
                  <c:v>41974</c:v>
                </c:pt>
                <c:pt idx="16">
                  <c:v>42064</c:v>
                </c:pt>
                <c:pt idx="17">
                  <c:v>42156</c:v>
                </c:pt>
                <c:pt idx="18">
                  <c:v>42248</c:v>
                </c:pt>
                <c:pt idx="19">
                  <c:v>42339</c:v>
                </c:pt>
                <c:pt idx="20">
                  <c:v>42430</c:v>
                </c:pt>
                <c:pt idx="21">
                  <c:v>42522</c:v>
                </c:pt>
                <c:pt idx="22">
                  <c:v>42614</c:v>
                </c:pt>
                <c:pt idx="23">
                  <c:v>42705</c:v>
                </c:pt>
                <c:pt idx="24">
                  <c:v>42795</c:v>
                </c:pt>
                <c:pt idx="25">
                  <c:v>42887</c:v>
                </c:pt>
                <c:pt idx="26">
                  <c:v>42979</c:v>
                </c:pt>
                <c:pt idx="27">
                  <c:v>43070</c:v>
                </c:pt>
                <c:pt idx="28">
                  <c:v>43160</c:v>
                </c:pt>
                <c:pt idx="29">
                  <c:v>43252</c:v>
                </c:pt>
                <c:pt idx="30">
                  <c:v>43344</c:v>
                </c:pt>
                <c:pt idx="31">
                  <c:v>43435</c:v>
                </c:pt>
                <c:pt idx="32">
                  <c:v>43525</c:v>
                </c:pt>
                <c:pt idx="33">
                  <c:v>43617</c:v>
                </c:pt>
                <c:pt idx="34">
                  <c:v>43709</c:v>
                </c:pt>
                <c:pt idx="35">
                  <c:v>43800</c:v>
                </c:pt>
                <c:pt idx="36">
                  <c:v>43891</c:v>
                </c:pt>
                <c:pt idx="37">
                  <c:v>43983</c:v>
                </c:pt>
                <c:pt idx="38">
                  <c:v>44075</c:v>
                </c:pt>
                <c:pt idx="39">
                  <c:v>44166</c:v>
                </c:pt>
                <c:pt idx="40">
                  <c:v>44256</c:v>
                </c:pt>
                <c:pt idx="41">
                  <c:v>44348</c:v>
                </c:pt>
                <c:pt idx="42">
                  <c:v>44440</c:v>
                </c:pt>
                <c:pt idx="43">
                  <c:v>44531</c:v>
                </c:pt>
              </c:numCache>
            </c:numRef>
          </c:cat>
          <c:val>
            <c:numRef>
              <c:f>'DQ-21 EmpQ filled jobs'!$AB$8:$BS$8</c:f>
              <c:numCache>
                <c:formatCode>0.0</c:formatCode>
                <c:ptCount val="44"/>
                <c:pt idx="0">
                  <c:v>87.8</c:v>
                </c:pt>
                <c:pt idx="1">
                  <c:v>88.4</c:v>
                </c:pt>
                <c:pt idx="2">
                  <c:v>92.3</c:v>
                </c:pt>
                <c:pt idx="3">
                  <c:v>96.2</c:v>
                </c:pt>
                <c:pt idx="4">
                  <c:v>90.3</c:v>
                </c:pt>
                <c:pt idx="5">
                  <c:v>91.1</c:v>
                </c:pt>
                <c:pt idx="6">
                  <c:v>95.8</c:v>
                </c:pt>
                <c:pt idx="7">
                  <c:v>99.5</c:v>
                </c:pt>
                <c:pt idx="8">
                  <c:v>94.9</c:v>
                </c:pt>
                <c:pt idx="9">
                  <c:v>91.9</c:v>
                </c:pt>
                <c:pt idx="10">
                  <c:v>93.8</c:v>
                </c:pt>
                <c:pt idx="11">
                  <c:v>91.5</c:v>
                </c:pt>
                <c:pt idx="12">
                  <c:v>95.7</c:v>
                </c:pt>
                <c:pt idx="13">
                  <c:v>92.6</c:v>
                </c:pt>
                <c:pt idx="14">
                  <c:v>99.1</c:v>
                </c:pt>
                <c:pt idx="15">
                  <c:v>86.7</c:v>
                </c:pt>
                <c:pt idx="16">
                  <c:v>85.4</c:v>
                </c:pt>
                <c:pt idx="17">
                  <c:v>88.2</c:v>
                </c:pt>
                <c:pt idx="18">
                  <c:v>93.7</c:v>
                </c:pt>
                <c:pt idx="19">
                  <c:v>95</c:v>
                </c:pt>
                <c:pt idx="20">
                  <c:v>93.1</c:v>
                </c:pt>
                <c:pt idx="21">
                  <c:v>91.6</c:v>
                </c:pt>
                <c:pt idx="22">
                  <c:v>93.6</c:v>
                </c:pt>
                <c:pt idx="23">
                  <c:v>91.6</c:v>
                </c:pt>
                <c:pt idx="24">
                  <c:v>94.9</c:v>
                </c:pt>
                <c:pt idx="25">
                  <c:v>88.7</c:v>
                </c:pt>
                <c:pt idx="26">
                  <c:v>90.9</c:v>
                </c:pt>
                <c:pt idx="27">
                  <c:v>97.5</c:v>
                </c:pt>
                <c:pt idx="28">
                  <c:v>93.7</c:v>
                </c:pt>
                <c:pt idx="29">
                  <c:v>89.8</c:v>
                </c:pt>
                <c:pt idx="30">
                  <c:v>85.4</c:v>
                </c:pt>
                <c:pt idx="31">
                  <c:v>86.8</c:v>
                </c:pt>
                <c:pt idx="32">
                  <c:v>89.2</c:v>
                </c:pt>
                <c:pt idx="33">
                  <c:v>86.3</c:v>
                </c:pt>
                <c:pt idx="34">
                  <c:v>93</c:v>
                </c:pt>
                <c:pt idx="35">
                  <c:v>100.9</c:v>
                </c:pt>
                <c:pt idx="36">
                  <c:v>91.9</c:v>
                </c:pt>
                <c:pt idx="37">
                  <c:v>77.599999999999994</c:v>
                </c:pt>
                <c:pt idx="38">
                  <c:v>77.599999999999994</c:v>
                </c:pt>
                <c:pt idx="39">
                  <c:v>80.900000000000006</c:v>
                </c:pt>
                <c:pt idx="40">
                  <c:v>80.900000000000006</c:v>
                </c:pt>
                <c:pt idx="41">
                  <c:v>91</c:v>
                </c:pt>
                <c:pt idx="42">
                  <c:v>82.6</c:v>
                </c:pt>
                <c:pt idx="43">
                  <c:v>94.4</c:v>
                </c:pt>
              </c:numCache>
            </c:numRef>
          </c:val>
          <c:smooth val="0"/>
          <c:extLst>
            <c:ext xmlns:c16="http://schemas.microsoft.com/office/drawing/2014/chart" uri="{C3380CC4-5D6E-409C-BE32-E72D297353CC}">
              <c16:uniqueId val="{00000002-E1A1-4860-A03C-9C0D2876396B}"/>
            </c:ext>
          </c:extLst>
        </c:ser>
        <c:ser>
          <c:idx val="5"/>
          <c:order val="3"/>
          <c:tx>
            <c:v>Education and training</c:v>
          </c:tx>
          <c:spPr>
            <a:ln w="28575" cap="rnd">
              <a:solidFill>
                <a:schemeClr val="accent6"/>
              </a:solidFill>
              <a:round/>
            </a:ln>
            <a:effectLst/>
          </c:spPr>
          <c:marker>
            <c:symbol val="none"/>
          </c:marker>
          <c:cat>
            <c:numRef>
              <c:f>'DQ-21 EmpQ filled jobs'!$AB$5:$BS$5</c:f>
              <c:numCache>
                <c:formatCode>mmm\-yyyy</c:formatCode>
                <c:ptCount val="44"/>
                <c:pt idx="0">
                  <c:v>40603</c:v>
                </c:pt>
                <c:pt idx="1">
                  <c:v>40695</c:v>
                </c:pt>
                <c:pt idx="2">
                  <c:v>40787</c:v>
                </c:pt>
                <c:pt idx="3">
                  <c:v>40878</c:v>
                </c:pt>
                <c:pt idx="4">
                  <c:v>40969</c:v>
                </c:pt>
                <c:pt idx="5">
                  <c:v>41061</c:v>
                </c:pt>
                <c:pt idx="6">
                  <c:v>41153</c:v>
                </c:pt>
                <c:pt idx="7">
                  <c:v>41244</c:v>
                </c:pt>
                <c:pt idx="8">
                  <c:v>41334</c:v>
                </c:pt>
                <c:pt idx="9">
                  <c:v>41426</c:v>
                </c:pt>
                <c:pt idx="10">
                  <c:v>41518</c:v>
                </c:pt>
                <c:pt idx="11">
                  <c:v>41609</c:v>
                </c:pt>
                <c:pt idx="12">
                  <c:v>41699</c:v>
                </c:pt>
                <c:pt idx="13">
                  <c:v>41791</c:v>
                </c:pt>
                <c:pt idx="14">
                  <c:v>41883</c:v>
                </c:pt>
                <c:pt idx="15">
                  <c:v>41974</c:v>
                </c:pt>
                <c:pt idx="16">
                  <c:v>42064</c:v>
                </c:pt>
                <c:pt idx="17">
                  <c:v>42156</c:v>
                </c:pt>
                <c:pt idx="18">
                  <c:v>42248</c:v>
                </c:pt>
                <c:pt idx="19">
                  <c:v>42339</c:v>
                </c:pt>
                <c:pt idx="20">
                  <c:v>42430</c:v>
                </c:pt>
                <c:pt idx="21">
                  <c:v>42522</c:v>
                </c:pt>
                <c:pt idx="22">
                  <c:v>42614</c:v>
                </c:pt>
                <c:pt idx="23">
                  <c:v>42705</c:v>
                </c:pt>
                <c:pt idx="24">
                  <c:v>42795</c:v>
                </c:pt>
                <c:pt idx="25">
                  <c:v>42887</c:v>
                </c:pt>
                <c:pt idx="26">
                  <c:v>42979</c:v>
                </c:pt>
                <c:pt idx="27">
                  <c:v>43070</c:v>
                </c:pt>
                <c:pt idx="28">
                  <c:v>43160</c:v>
                </c:pt>
                <c:pt idx="29">
                  <c:v>43252</c:v>
                </c:pt>
                <c:pt idx="30">
                  <c:v>43344</c:v>
                </c:pt>
                <c:pt idx="31">
                  <c:v>43435</c:v>
                </c:pt>
                <c:pt idx="32">
                  <c:v>43525</c:v>
                </c:pt>
                <c:pt idx="33">
                  <c:v>43617</c:v>
                </c:pt>
                <c:pt idx="34">
                  <c:v>43709</c:v>
                </c:pt>
                <c:pt idx="35">
                  <c:v>43800</c:v>
                </c:pt>
                <c:pt idx="36">
                  <c:v>43891</c:v>
                </c:pt>
                <c:pt idx="37">
                  <c:v>43983</c:v>
                </c:pt>
                <c:pt idx="38">
                  <c:v>44075</c:v>
                </c:pt>
                <c:pt idx="39">
                  <c:v>44166</c:v>
                </c:pt>
                <c:pt idx="40">
                  <c:v>44256</c:v>
                </c:pt>
                <c:pt idx="41">
                  <c:v>44348</c:v>
                </c:pt>
                <c:pt idx="42">
                  <c:v>44440</c:v>
                </c:pt>
                <c:pt idx="43">
                  <c:v>44531</c:v>
                </c:pt>
              </c:numCache>
            </c:numRef>
          </c:cat>
          <c:val>
            <c:numRef>
              <c:f>'DQ-21 EmpQ filled jobs'!$AB$19:$BS$19</c:f>
              <c:numCache>
                <c:formatCode>0.0</c:formatCode>
                <c:ptCount val="44"/>
                <c:pt idx="0">
                  <c:v>41.3</c:v>
                </c:pt>
                <c:pt idx="1">
                  <c:v>42.7</c:v>
                </c:pt>
                <c:pt idx="2">
                  <c:v>40.799999999999997</c:v>
                </c:pt>
                <c:pt idx="3">
                  <c:v>39.4</c:v>
                </c:pt>
                <c:pt idx="4">
                  <c:v>39.299999999999997</c:v>
                </c:pt>
                <c:pt idx="5">
                  <c:v>40.5</c:v>
                </c:pt>
                <c:pt idx="6">
                  <c:v>38.1</c:v>
                </c:pt>
                <c:pt idx="7">
                  <c:v>39.6</c:v>
                </c:pt>
                <c:pt idx="8">
                  <c:v>38.5</c:v>
                </c:pt>
                <c:pt idx="9">
                  <c:v>40.4</c:v>
                </c:pt>
                <c:pt idx="10">
                  <c:v>44.2</c:v>
                </c:pt>
                <c:pt idx="11">
                  <c:v>43.9</c:v>
                </c:pt>
                <c:pt idx="12">
                  <c:v>43.7</c:v>
                </c:pt>
                <c:pt idx="13">
                  <c:v>44.7</c:v>
                </c:pt>
                <c:pt idx="14">
                  <c:v>47.6</c:v>
                </c:pt>
                <c:pt idx="15">
                  <c:v>48.4</c:v>
                </c:pt>
                <c:pt idx="16">
                  <c:v>48.5</c:v>
                </c:pt>
                <c:pt idx="17">
                  <c:v>50</c:v>
                </c:pt>
                <c:pt idx="18">
                  <c:v>53</c:v>
                </c:pt>
                <c:pt idx="19">
                  <c:v>52.8</c:v>
                </c:pt>
                <c:pt idx="20">
                  <c:v>52</c:v>
                </c:pt>
                <c:pt idx="21">
                  <c:v>55.2</c:v>
                </c:pt>
                <c:pt idx="22">
                  <c:v>59.2</c:v>
                </c:pt>
                <c:pt idx="23">
                  <c:v>58.9</c:v>
                </c:pt>
                <c:pt idx="24">
                  <c:v>58.1</c:v>
                </c:pt>
                <c:pt idx="25">
                  <c:v>60.3</c:v>
                </c:pt>
                <c:pt idx="26">
                  <c:v>67</c:v>
                </c:pt>
                <c:pt idx="27">
                  <c:v>67.3</c:v>
                </c:pt>
                <c:pt idx="28">
                  <c:v>66.3</c:v>
                </c:pt>
                <c:pt idx="29">
                  <c:v>67.400000000000006</c:v>
                </c:pt>
                <c:pt idx="30">
                  <c:v>72.8</c:v>
                </c:pt>
                <c:pt idx="31">
                  <c:v>73.599999999999994</c:v>
                </c:pt>
                <c:pt idx="32">
                  <c:v>71.7</c:v>
                </c:pt>
                <c:pt idx="33">
                  <c:v>74</c:v>
                </c:pt>
                <c:pt idx="34">
                  <c:v>75.2</c:v>
                </c:pt>
                <c:pt idx="35">
                  <c:v>75</c:v>
                </c:pt>
                <c:pt idx="36">
                  <c:v>73.900000000000006</c:v>
                </c:pt>
                <c:pt idx="37">
                  <c:v>64.8</c:v>
                </c:pt>
                <c:pt idx="38">
                  <c:v>48.4</c:v>
                </c:pt>
                <c:pt idx="39">
                  <c:v>33.700000000000003</c:v>
                </c:pt>
                <c:pt idx="40">
                  <c:v>16.399999999999999</c:v>
                </c:pt>
                <c:pt idx="41">
                  <c:v>0.6</c:v>
                </c:pt>
                <c:pt idx="42">
                  <c:v>0.5</c:v>
                </c:pt>
                <c:pt idx="43">
                  <c:v>0.5</c:v>
                </c:pt>
              </c:numCache>
            </c:numRef>
          </c:val>
          <c:smooth val="0"/>
          <c:extLst>
            <c:ext xmlns:c16="http://schemas.microsoft.com/office/drawing/2014/chart" uri="{C3380CC4-5D6E-409C-BE32-E72D297353CC}">
              <c16:uniqueId val="{00000003-E1A1-4860-A03C-9C0D2876396B}"/>
            </c:ext>
          </c:extLst>
        </c:ser>
        <c:ser>
          <c:idx val="3"/>
          <c:order val="4"/>
          <c:tx>
            <c:v>Travel agency and information centre services</c:v>
          </c:tx>
          <c:spPr>
            <a:ln w="28575" cap="rnd">
              <a:solidFill>
                <a:schemeClr val="accent4"/>
              </a:solidFill>
              <a:round/>
            </a:ln>
            <a:effectLst/>
          </c:spPr>
          <c:marker>
            <c:symbol val="none"/>
          </c:marker>
          <c:cat>
            <c:numRef>
              <c:f>'DQ-21 EmpQ filled jobs'!$AB$5:$BS$5</c:f>
              <c:numCache>
                <c:formatCode>mmm\-yyyy</c:formatCode>
                <c:ptCount val="44"/>
                <c:pt idx="0">
                  <c:v>40603</c:v>
                </c:pt>
                <c:pt idx="1">
                  <c:v>40695</c:v>
                </c:pt>
                <c:pt idx="2">
                  <c:v>40787</c:v>
                </c:pt>
                <c:pt idx="3">
                  <c:v>40878</c:v>
                </c:pt>
                <c:pt idx="4">
                  <c:v>40969</c:v>
                </c:pt>
                <c:pt idx="5">
                  <c:v>41061</c:v>
                </c:pt>
                <c:pt idx="6">
                  <c:v>41153</c:v>
                </c:pt>
                <c:pt idx="7">
                  <c:v>41244</c:v>
                </c:pt>
                <c:pt idx="8">
                  <c:v>41334</c:v>
                </c:pt>
                <c:pt idx="9">
                  <c:v>41426</c:v>
                </c:pt>
                <c:pt idx="10">
                  <c:v>41518</c:v>
                </c:pt>
                <c:pt idx="11">
                  <c:v>41609</c:v>
                </c:pt>
                <c:pt idx="12">
                  <c:v>41699</c:v>
                </c:pt>
                <c:pt idx="13">
                  <c:v>41791</c:v>
                </c:pt>
                <c:pt idx="14">
                  <c:v>41883</c:v>
                </c:pt>
                <c:pt idx="15">
                  <c:v>41974</c:v>
                </c:pt>
                <c:pt idx="16">
                  <c:v>42064</c:v>
                </c:pt>
                <c:pt idx="17">
                  <c:v>42156</c:v>
                </c:pt>
                <c:pt idx="18">
                  <c:v>42248</c:v>
                </c:pt>
                <c:pt idx="19">
                  <c:v>42339</c:v>
                </c:pt>
                <c:pt idx="20">
                  <c:v>42430</c:v>
                </c:pt>
                <c:pt idx="21">
                  <c:v>42522</c:v>
                </c:pt>
                <c:pt idx="22">
                  <c:v>42614</c:v>
                </c:pt>
                <c:pt idx="23">
                  <c:v>42705</c:v>
                </c:pt>
                <c:pt idx="24">
                  <c:v>42795</c:v>
                </c:pt>
                <c:pt idx="25">
                  <c:v>42887</c:v>
                </c:pt>
                <c:pt idx="26">
                  <c:v>42979</c:v>
                </c:pt>
                <c:pt idx="27">
                  <c:v>43070</c:v>
                </c:pt>
                <c:pt idx="28">
                  <c:v>43160</c:v>
                </c:pt>
                <c:pt idx="29">
                  <c:v>43252</c:v>
                </c:pt>
                <c:pt idx="30">
                  <c:v>43344</c:v>
                </c:pt>
                <c:pt idx="31">
                  <c:v>43435</c:v>
                </c:pt>
                <c:pt idx="32">
                  <c:v>43525</c:v>
                </c:pt>
                <c:pt idx="33">
                  <c:v>43617</c:v>
                </c:pt>
                <c:pt idx="34">
                  <c:v>43709</c:v>
                </c:pt>
                <c:pt idx="35">
                  <c:v>43800</c:v>
                </c:pt>
                <c:pt idx="36">
                  <c:v>43891</c:v>
                </c:pt>
                <c:pt idx="37">
                  <c:v>43983</c:v>
                </c:pt>
                <c:pt idx="38">
                  <c:v>44075</c:v>
                </c:pt>
                <c:pt idx="39">
                  <c:v>44166</c:v>
                </c:pt>
                <c:pt idx="40">
                  <c:v>44256</c:v>
                </c:pt>
                <c:pt idx="41">
                  <c:v>44348</c:v>
                </c:pt>
                <c:pt idx="42">
                  <c:v>44440</c:v>
                </c:pt>
                <c:pt idx="43">
                  <c:v>44531</c:v>
                </c:pt>
              </c:numCache>
            </c:numRef>
          </c:cat>
          <c:val>
            <c:numRef>
              <c:f>'DQ-21 EmpQ filled jobs'!$AB$14:$BS$14</c:f>
              <c:numCache>
                <c:formatCode>0.0</c:formatCode>
                <c:ptCount val="44"/>
                <c:pt idx="0">
                  <c:v>31.9</c:v>
                </c:pt>
                <c:pt idx="1">
                  <c:v>35</c:v>
                </c:pt>
                <c:pt idx="2">
                  <c:v>34.4</c:v>
                </c:pt>
                <c:pt idx="3">
                  <c:v>33</c:v>
                </c:pt>
                <c:pt idx="4">
                  <c:v>33.200000000000003</c:v>
                </c:pt>
                <c:pt idx="5">
                  <c:v>37.1</c:v>
                </c:pt>
                <c:pt idx="6">
                  <c:v>36.799999999999997</c:v>
                </c:pt>
                <c:pt idx="7">
                  <c:v>35.299999999999997</c:v>
                </c:pt>
                <c:pt idx="8">
                  <c:v>34.700000000000003</c:v>
                </c:pt>
                <c:pt idx="9">
                  <c:v>38.1</c:v>
                </c:pt>
                <c:pt idx="10">
                  <c:v>36.700000000000003</c:v>
                </c:pt>
                <c:pt idx="11">
                  <c:v>36.5</c:v>
                </c:pt>
                <c:pt idx="12">
                  <c:v>36.1</c:v>
                </c:pt>
                <c:pt idx="13">
                  <c:v>35.9</c:v>
                </c:pt>
                <c:pt idx="14">
                  <c:v>34.799999999999997</c:v>
                </c:pt>
                <c:pt idx="15">
                  <c:v>33.5</c:v>
                </c:pt>
                <c:pt idx="16">
                  <c:v>35.700000000000003</c:v>
                </c:pt>
                <c:pt idx="17">
                  <c:v>37.200000000000003</c:v>
                </c:pt>
                <c:pt idx="18">
                  <c:v>35.9</c:v>
                </c:pt>
                <c:pt idx="19">
                  <c:v>34.5</c:v>
                </c:pt>
                <c:pt idx="20">
                  <c:v>33.9</c:v>
                </c:pt>
                <c:pt idx="21">
                  <c:v>35.1</c:v>
                </c:pt>
                <c:pt idx="22">
                  <c:v>32.1</c:v>
                </c:pt>
                <c:pt idx="23">
                  <c:v>33.6</c:v>
                </c:pt>
                <c:pt idx="24">
                  <c:v>32.299999999999997</c:v>
                </c:pt>
                <c:pt idx="25">
                  <c:v>35.299999999999997</c:v>
                </c:pt>
                <c:pt idx="26">
                  <c:v>34.700000000000003</c:v>
                </c:pt>
                <c:pt idx="27">
                  <c:v>34.9</c:v>
                </c:pt>
                <c:pt idx="28">
                  <c:v>34.9</c:v>
                </c:pt>
                <c:pt idx="29">
                  <c:v>37.4</c:v>
                </c:pt>
                <c:pt idx="30">
                  <c:v>36.299999999999997</c:v>
                </c:pt>
                <c:pt idx="31">
                  <c:v>35.1</c:v>
                </c:pt>
                <c:pt idx="32">
                  <c:v>34.6</c:v>
                </c:pt>
                <c:pt idx="33">
                  <c:v>35.200000000000003</c:v>
                </c:pt>
                <c:pt idx="34">
                  <c:v>39.5</c:v>
                </c:pt>
                <c:pt idx="35">
                  <c:v>37.6</c:v>
                </c:pt>
                <c:pt idx="36">
                  <c:v>36.200000000000003</c:v>
                </c:pt>
                <c:pt idx="37">
                  <c:v>31.8</c:v>
                </c:pt>
                <c:pt idx="38">
                  <c:v>32.9</c:v>
                </c:pt>
                <c:pt idx="39">
                  <c:v>33.799999999999997</c:v>
                </c:pt>
                <c:pt idx="40">
                  <c:v>34.4</c:v>
                </c:pt>
                <c:pt idx="41">
                  <c:v>34.5</c:v>
                </c:pt>
                <c:pt idx="42">
                  <c:v>31.4</c:v>
                </c:pt>
                <c:pt idx="43">
                  <c:v>35.700000000000003</c:v>
                </c:pt>
              </c:numCache>
            </c:numRef>
          </c:val>
          <c:smooth val="0"/>
          <c:extLst>
            <c:ext xmlns:c16="http://schemas.microsoft.com/office/drawing/2014/chart" uri="{C3380CC4-5D6E-409C-BE32-E72D297353CC}">
              <c16:uniqueId val="{00000004-E1A1-4860-A03C-9C0D2876396B}"/>
            </c:ext>
          </c:extLst>
        </c:ser>
        <c:ser>
          <c:idx val="2"/>
          <c:order val="5"/>
          <c:tx>
            <c:v>Air, water and other transport</c:v>
          </c:tx>
          <c:spPr>
            <a:ln w="28575" cap="rnd">
              <a:solidFill>
                <a:schemeClr val="accent3"/>
              </a:solidFill>
              <a:round/>
            </a:ln>
            <a:effectLst/>
          </c:spPr>
          <c:marker>
            <c:symbol val="none"/>
          </c:marker>
          <c:cat>
            <c:numRef>
              <c:f>'DQ-21 EmpQ filled jobs'!$AB$5:$BS$5</c:f>
              <c:numCache>
                <c:formatCode>mmm\-yyyy</c:formatCode>
                <c:ptCount val="44"/>
                <c:pt idx="0">
                  <c:v>40603</c:v>
                </c:pt>
                <c:pt idx="1">
                  <c:v>40695</c:v>
                </c:pt>
                <c:pt idx="2">
                  <c:v>40787</c:v>
                </c:pt>
                <c:pt idx="3">
                  <c:v>40878</c:v>
                </c:pt>
                <c:pt idx="4">
                  <c:v>40969</c:v>
                </c:pt>
                <c:pt idx="5">
                  <c:v>41061</c:v>
                </c:pt>
                <c:pt idx="6">
                  <c:v>41153</c:v>
                </c:pt>
                <c:pt idx="7">
                  <c:v>41244</c:v>
                </c:pt>
                <c:pt idx="8">
                  <c:v>41334</c:v>
                </c:pt>
                <c:pt idx="9">
                  <c:v>41426</c:v>
                </c:pt>
                <c:pt idx="10">
                  <c:v>41518</c:v>
                </c:pt>
                <c:pt idx="11">
                  <c:v>41609</c:v>
                </c:pt>
                <c:pt idx="12">
                  <c:v>41699</c:v>
                </c:pt>
                <c:pt idx="13">
                  <c:v>41791</c:v>
                </c:pt>
                <c:pt idx="14">
                  <c:v>41883</c:v>
                </c:pt>
                <c:pt idx="15">
                  <c:v>41974</c:v>
                </c:pt>
                <c:pt idx="16">
                  <c:v>42064</c:v>
                </c:pt>
                <c:pt idx="17">
                  <c:v>42156</c:v>
                </c:pt>
                <c:pt idx="18">
                  <c:v>42248</c:v>
                </c:pt>
                <c:pt idx="19">
                  <c:v>42339</c:v>
                </c:pt>
                <c:pt idx="20">
                  <c:v>42430</c:v>
                </c:pt>
                <c:pt idx="21">
                  <c:v>42522</c:v>
                </c:pt>
                <c:pt idx="22">
                  <c:v>42614</c:v>
                </c:pt>
                <c:pt idx="23">
                  <c:v>42705</c:v>
                </c:pt>
                <c:pt idx="24">
                  <c:v>42795</c:v>
                </c:pt>
                <c:pt idx="25">
                  <c:v>42887</c:v>
                </c:pt>
                <c:pt idx="26">
                  <c:v>42979</c:v>
                </c:pt>
                <c:pt idx="27">
                  <c:v>43070</c:v>
                </c:pt>
                <c:pt idx="28">
                  <c:v>43160</c:v>
                </c:pt>
                <c:pt idx="29">
                  <c:v>43252</c:v>
                </c:pt>
                <c:pt idx="30">
                  <c:v>43344</c:v>
                </c:pt>
                <c:pt idx="31">
                  <c:v>43435</c:v>
                </c:pt>
                <c:pt idx="32">
                  <c:v>43525</c:v>
                </c:pt>
                <c:pt idx="33">
                  <c:v>43617</c:v>
                </c:pt>
                <c:pt idx="34">
                  <c:v>43709</c:v>
                </c:pt>
                <c:pt idx="35">
                  <c:v>43800</c:v>
                </c:pt>
                <c:pt idx="36">
                  <c:v>43891</c:v>
                </c:pt>
                <c:pt idx="37">
                  <c:v>43983</c:v>
                </c:pt>
                <c:pt idx="38">
                  <c:v>44075</c:v>
                </c:pt>
                <c:pt idx="39">
                  <c:v>44166</c:v>
                </c:pt>
                <c:pt idx="40">
                  <c:v>44256</c:v>
                </c:pt>
                <c:pt idx="41">
                  <c:v>44348</c:v>
                </c:pt>
                <c:pt idx="42">
                  <c:v>44440</c:v>
                </c:pt>
                <c:pt idx="43">
                  <c:v>44531</c:v>
                </c:pt>
              </c:numCache>
            </c:numRef>
          </c:cat>
          <c:val>
            <c:numRef>
              <c:f>'DQ-21 EmpQ filled jobs'!$AB$13:$BS$13</c:f>
              <c:numCache>
                <c:formatCode>0.0</c:formatCode>
                <c:ptCount val="44"/>
                <c:pt idx="0">
                  <c:v>25.9</c:v>
                </c:pt>
                <c:pt idx="1">
                  <c:v>27</c:v>
                </c:pt>
                <c:pt idx="2">
                  <c:v>26.8</c:v>
                </c:pt>
                <c:pt idx="3">
                  <c:v>26.7</c:v>
                </c:pt>
                <c:pt idx="4">
                  <c:v>28</c:v>
                </c:pt>
                <c:pt idx="5">
                  <c:v>28.8</c:v>
                </c:pt>
                <c:pt idx="6">
                  <c:v>28.6</c:v>
                </c:pt>
                <c:pt idx="7">
                  <c:v>29.9</c:v>
                </c:pt>
                <c:pt idx="8">
                  <c:v>28</c:v>
                </c:pt>
                <c:pt idx="9">
                  <c:v>27.7</c:v>
                </c:pt>
                <c:pt idx="10">
                  <c:v>27.8</c:v>
                </c:pt>
                <c:pt idx="11">
                  <c:v>28.3</c:v>
                </c:pt>
                <c:pt idx="12">
                  <c:v>27.9</c:v>
                </c:pt>
                <c:pt idx="13">
                  <c:v>27.1</c:v>
                </c:pt>
                <c:pt idx="14">
                  <c:v>27.6</c:v>
                </c:pt>
                <c:pt idx="15">
                  <c:v>26.6</c:v>
                </c:pt>
                <c:pt idx="16">
                  <c:v>27.8</c:v>
                </c:pt>
                <c:pt idx="17">
                  <c:v>27.8</c:v>
                </c:pt>
                <c:pt idx="18">
                  <c:v>28.5</c:v>
                </c:pt>
                <c:pt idx="19">
                  <c:v>29.7</c:v>
                </c:pt>
                <c:pt idx="20">
                  <c:v>28.8</c:v>
                </c:pt>
                <c:pt idx="21">
                  <c:v>27.7</c:v>
                </c:pt>
                <c:pt idx="22">
                  <c:v>28.4</c:v>
                </c:pt>
                <c:pt idx="23">
                  <c:v>28.4</c:v>
                </c:pt>
                <c:pt idx="24">
                  <c:v>29</c:v>
                </c:pt>
                <c:pt idx="25">
                  <c:v>28.5</c:v>
                </c:pt>
                <c:pt idx="26">
                  <c:v>30.1</c:v>
                </c:pt>
                <c:pt idx="27">
                  <c:v>31.1</c:v>
                </c:pt>
                <c:pt idx="28">
                  <c:v>31.7</c:v>
                </c:pt>
                <c:pt idx="29">
                  <c:v>30.6</c:v>
                </c:pt>
                <c:pt idx="30">
                  <c:v>32.700000000000003</c:v>
                </c:pt>
                <c:pt idx="31">
                  <c:v>32.799999999999997</c:v>
                </c:pt>
                <c:pt idx="32">
                  <c:v>32.6</c:v>
                </c:pt>
                <c:pt idx="33">
                  <c:v>33</c:v>
                </c:pt>
                <c:pt idx="34">
                  <c:v>34.299999999999997</c:v>
                </c:pt>
                <c:pt idx="35">
                  <c:v>34.799999999999997</c:v>
                </c:pt>
                <c:pt idx="36">
                  <c:v>32.1</c:v>
                </c:pt>
                <c:pt idx="37">
                  <c:v>25.4</c:v>
                </c:pt>
                <c:pt idx="38">
                  <c:v>19.5</c:v>
                </c:pt>
                <c:pt idx="39">
                  <c:v>20.2</c:v>
                </c:pt>
                <c:pt idx="40">
                  <c:v>24.7</c:v>
                </c:pt>
                <c:pt idx="41">
                  <c:v>24.9</c:v>
                </c:pt>
                <c:pt idx="42">
                  <c:v>21.7</c:v>
                </c:pt>
                <c:pt idx="43">
                  <c:v>24.2</c:v>
                </c:pt>
              </c:numCache>
            </c:numRef>
          </c:val>
          <c:smooth val="0"/>
          <c:extLst>
            <c:ext xmlns:c16="http://schemas.microsoft.com/office/drawing/2014/chart" uri="{C3380CC4-5D6E-409C-BE32-E72D297353CC}">
              <c16:uniqueId val="{00000005-E1A1-4860-A03C-9C0D2876396B}"/>
            </c:ext>
          </c:extLst>
        </c:ser>
        <c:dLbls>
          <c:showLegendKey val="0"/>
          <c:showVal val="0"/>
          <c:showCatName val="0"/>
          <c:showSerName val="0"/>
          <c:showPercent val="0"/>
          <c:showBubbleSize val="0"/>
        </c:dLbls>
        <c:smooth val="0"/>
        <c:axId val="988934831"/>
        <c:axId val="988942735"/>
      </c:lineChart>
      <c:dateAx>
        <c:axId val="988934831"/>
        <c:scaling>
          <c:orientation val="minMax"/>
        </c:scaling>
        <c:delete val="0"/>
        <c:axPos val="b"/>
        <c:numFmt formatCode="yyyy" sourceLinked="0"/>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88942735"/>
        <c:crosses val="autoZero"/>
        <c:auto val="1"/>
        <c:lblOffset val="100"/>
        <c:baseTimeUnit val="months"/>
        <c:majorUnit val="1"/>
        <c:majorTimeUnit val="years"/>
      </c:dateAx>
      <c:valAx>
        <c:axId val="9889427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88934831"/>
        <c:crosses val="autoZero"/>
        <c:crossBetween val="between"/>
      </c:valAx>
      <c:spPr>
        <a:noFill/>
        <a:ln>
          <a:noFill/>
        </a:ln>
        <a:effectLst/>
      </c:spPr>
    </c:plotArea>
    <c:legend>
      <c:legendPos val="b"/>
      <c:layout>
        <c:manualLayout>
          <c:xMode val="edge"/>
          <c:yMode val="edge"/>
          <c:x val="8.2515202453625897E-2"/>
          <c:y val="1.1451818129239615E-2"/>
          <c:w val="0.54409211840093019"/>
          <c:h val="0.2697808825838008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828915904845002E-2"/>
          <c:y val="2.1132220049675E-2"/>
          <c:w val="0.82495449479603433"/>
          <c:h val="0.71178706191137864"/>
        </c:manualLayout>
      </c:layout>
      <c:barChart>
        <c:barDir val="col"/>
        <c:grouping val="clustered"/>
        <c:varyColors val="0"/>
        <c:ser>
          <c:idx val="0"/>
          <c:order val="0"/>
          <c:tx>
            <c:strRef>
              <c:f>'CHART 4'!$B$2</c:f>
              <c:strCache>
                <c:ptCount val="1"/>
                <c:pt idx="0">
                  <c:v>Trips (LHS)</c:v>
                </c:pt>
              </c:strCache>
            </c:strRef>
          </c:tx>
          <c:spPr>
            <a:solidFill>
              <a:srgbClr val="7A4282"/>
            </a:solidFill>
            <a:ln>
              <a:solidFill>
                <a:srgbClr val="7A4282"/>
              </a:solidFill>
            </a:ln>
            <a:effectLst/>
          </c:spPr>
          <c:invertIfNegative val="0"/>
          <c:cat>
            <c:numRef>
              <c:f>'CHART 4'!$A$5:$A$30</c:f>
              <c:numCache>
                <c:formatCode>mmm\-yy</c:formatCode>
                <c:ptCount val="26"/>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pt idx="22">
                  <c:v>44562</c:v>
                </c:pt>
                <c:pt idx="23">
                  <c:v>44593</c:v>
                </c:pt>
                <c:pt idx="24">
                  <c:v>44621</c:v>
                </c:pt>
                <c:pt idx="25">
                  <c:v>44652</c:v>
                </c:pt>
              </c:numCache>
            </c:numRef>
          </c:cat>
          <c:val>
            <c:numRef>
              <c:f>'CHART 4'!$B$5:$B$30</c:f>
              <c:numCache>
                <c:formatCode>0.000</c:formatCode>
                <c:ptCount val="26"/>
                <c:pt idx="0">
                  <c:v>6.1159651999999998</c:v>
                </c:pt>
                <c:pt idx="1">
                  <c:v>1.5693406999999999</c:v>
                </c:pt>
                <c:pt idx="2">
                  <c:v>3.0503054999999999</c:v>
                </c:pt>
                <c:pt idx="3">
                  <c:v>5.4075889999999998</c:v>
                </c:pt>
                <c:pt idx="4">
                  <c:v>5.9619999999999997</c:v>
                </c:pt>
                <c:pt idx="5">
                  <c:v>5.1675179</c:v>
                </c:pt>
                <c:pt idx="6">
                  <c:v>5.3653766999999997</c:v>
                </c:pt>
                <c:pt idx="7">
                  <c:v>6.7927207999999997</c:v>
                </c:pt>
                <c:pt idx="8" formatCode="General">
                  <c:v>7.0010000000000003</c:v>
                </c:pt>
                <c:pt idx="9" formatCode="General">
                  <c:v>7.8769999999999998</c:v>
                </c:pt>
                <c:pt idx="10" formatCode="General">
                  <c:v>9.3940000000000001</c:v>
                </c:pt>
                <c:pt idx="11" formatCode="General">
                  <c:v>6.8159999999999998</c:v>
                </c:pt>
                <c:pt idx="12" formatCode="General">
                  <c:v>8.4019999999999992</c:v>
                </c:pt>
                <c:pt idx="13">
                  <c:v>10.1456751</c:v>
                </c:pt>
                <c:pt idx="14">
                  <c:v>8.1777890000000006</c:v>
                </c:pt>
                <c:pt idx="15">
                  <c:v>6.2572736112000005</c:v>
                </c:pt>
                <c:pt idx="16">
                  <c:v>4.9406999999999996</c:v>
                </c:pt>
                <c:pt idx="17">
                  <c:v>3.4306799999999997</c:v>
                </c:pt>
                <c:pt idx="18">
                  <c:v>3.4498319999999998</c:v>
                </c:pt>
                <c:pt idx="19">
                  <c:v>5.2742650000000006</c:v>
                </c:pt>
                <c:pt idx="20">
                  <c:v>7.1545539040000001</c:v>
                </c:pt>
                <c:pt idx="21">
                  <c:v>8.6308359999999986</c:v>
                </c:pt>
                <c:pt idx="22">
                  <c:v>9.2190120000000011</c:v>
                </c:pt>
                <c:pt idx="23">
                  <c:v>7.1020000000000003</c:v>
                </c:pt>
              </c:numCache>
            </c:numRef>
          </c:val>
          <c:extLst>
            <c:ext xmlns:c16="http://schemas.microsoft.com/office/drawing/2014/chart" uri="{C3380CC4-5D6E-409C-BE32-E72D297353CC}">
              <c16:uniqueId val="{00000000-4E1D-44E5-AE55-BCD60E43CABF}"/>
            </c:ext>
          </c:extLst>
        </c:ser>
        <c:dLbls>
          <c:showLegendKey val="0"/>
          <c:showVal val="0"/>
          <c:showCatName val="0"/>
          <c:showSerName val="0"/>
          <c:showPercent val="0"/>
          <c:showBubbleSize val="0"/>
        </c:dLbls>
        <c:gapWidth val="98"/>
        <c:overlap val="-28"/>
        <c:axId val="124390552"/>
        <c:axId val="124677328"/>
      </c:barChart>
      <c:lineChart>
        <c:grouping val="standard"/>
        <c:varyColors val="0"/>
        <c:ser>
          <c:idx val="1"/>
          <c:order val="1"/>
          <c:tx>
            <c:strRef>
              <c:f>'CHART 4'!$C$2</c:f>
              <c:strCache>
                <c:ptCount val="1"/>
                <c:pt idx="0">
                  <c:v>Trip rate (RHS)*</c:v>
                </c:pt>
              </c:strCache>
            </c:strRef>
          </c:tx>
          <c:spPr>
            <a:ln w="28575" cap="rnd">
              <a:solidFill>
                <a:srgbClr val="2E1A47"/>
              </a:solidFill>
              <a:round/>
            </a:ln>
            <a:effectLst/>
          </c:spPr>
          <c:marker>
            <c:symbol val="none"/>
          </c:marker>
          <c:cat>
            <c:numRef>
              <c:f>'CHART 4'!$A$5:$A$30</c:f>
              <c:numCache>
                <c:formatCode>mmm\-yy</c:formatCode>
                <c:ptCount val="26"/>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pt idx="22">
                  <c:v>44562</c:v>
                </c:pt>
                <c:pt idx="23">
                  <c:v>44593</c:v>
                </c:pt>
                <c:pt idx="24">
                  <c:v>44621</c:v>
                </c:pt>
                <c:pt idx="25">
                  <c:v>44652</c:v>
                </c:pt>
              </c:numCache>
            </c:numRef>
          </c:cat>
          <c:val>
            <c:numRef>
              <c:f>'CHART 4'!$C$5:$C$30</c:f>
              <c:numCache>
                <c:formatCode>0.00</c:formatCode>
                <c:ptCount val="26"/>
                <c:pt idx="0">
                  <c:v>24.34</c:v>
                </c:pt>
                <c:pt idx="1">
                  <c:v>9.0499999999999989</c:v>
                </c:pt>
                <c:pt idx="2">
                  <c:v>5.89</c:v>
                </c:pt>
                <c:pt idx="3">
                  <c:v>15.260000000000002</c:v>
                </c:pt>
                <c:pt idx="4">
                  <c:v>19.489999999999998</c:v>
                </c:pt>
                <c:pt idx="5">
                  <c:v>16.309999999999999</c:v>
                </c:pt>
                <c:pt idx="6">
                  <c:v>15.8</c:v>
                </c:pt>
                <c:pt idx="7">
                  <c:v>21.88</c:v>
                </c:pt>
                <c:pt idx="8">
                  <c:v>21.22</c:v>
                </c:pt>
                <c:pt idx="9">
                  <c:v>24.32</c:v>
                </c:pt>
                <c:pt idx="10">
                  <c:v>31.06</c:v>
                </c:pt>
                <c:pt idx="11">
                  <c:v>25.64</c:v>
                </c:pt>
                <c:pt idx="12">
                  <c:v>27.439999999999998</c:v>
                </c:pt>
                <c:pt idx="13">
                  <c:v>32.24</c:v>
                </c:pt>
                <c:pt idx="14">
                  <c:v>28.249999999999996</c:v>
                </c:pt>
                <c:pt idx="15">
                  <c:v>23.54</c:v>
                </c:pt>
                <c:pt idx="16">
                  <c:v>18.13</c:v>
                </c:pt>
                <c:pt idx="17">
                  <c:v>11.459999999999999</c:v>
                </c:pt>
                <c:pt idx="18">
                  <c:v>9.879999999999999</c:v>
                </c:pt>
                <c:pt idx="19">
                  <c:v>13.209999999999999</c:v>
                </c:pt>
                <c:pt idx="20">
                  <c:v>20.71</c:v>
                </c:pt>
                <c:pt idx="21">
                  <c:v>23.87</c:v>
                </c:pt>
                <c:pt idx="22">
                  <c:v>31.830000000000002</c:v>
                </c:pt>
                <c:pt idx="23">
                  <c:v>24.8</c:v>
                </c:pt>
                <c:pt idx="24">
                  <c:v>26.26</c:v>
                </c:pt>
                <c:pt idx="25">
                  <c:v>30.725003505819657</c:v>
                </c:pt>
              </c:numCache>
            </c:numRef>
          </c:val>
          <c:smooth val="0"/>
          <c:extLst>
            <c:ext xmlns:c16="http://schemas.microsoft.com/office/drawing/2014/chart" uri="{C3380CC4-5D6E-409C-BE32-E72D297353CC}">
              <c16:uniqueId val="{00000001-4E1D-44E5-AE55-BCD60E43CABF}"/>
            </c:ext>
          </c:extLst>
        </c:ser>
        <c:dLbls>
          <c:showLegendKey val="0"/>
          <c:showVal val="0"/>
          <c:showCatName val="0"/>
          <c:showSerName val="0"/>
          <c:showPercent val="0"/>
          <c:showBubbleSize val="0"/>
        </c:dLbls>
        <c:marker val="1"/>
        <c:smooth val="0"/>
        <c:axId val="162425936"/>
        <c:axId val="162425552"/>
      </c:lineChart>
      <c:dateAx>
        <c:axId val="124390552"/>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677328"/>
        <c:crosses val="autoZero"/>
        <c:auto val="1"/>
        <c:lblOffset val="100"/>
        <c:baseTimeUnit val="months"/>
        <c:majorUnit val="3"/>
        <c:majorTimeUnit val="months"/>
      </c:dateAx>
      <c:valAx>
        <c:axId val="124677328"/>
        <c:scaling>
          <c:orientation val="minMax"/>
          <c:max val="16"/>
        </c:scaling>
        <c:delete val="0"/>
        <c:axPos val="l"/>
        <c:majorGridlines>
          <c:spPr>
            <a:ln w="9525" cap="flat" cmpd="sng" algn="ctr">
              <a:solidFill>
                <a:schemeClr val="tx1">
                  <a:lumMod val="15000"/>
                  <a:lumOff val="85000"/>
                </a:schemeClr>
              </a:solidFill>
              <a:prstDash val="sysDot"/>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US">
                    <a:latin typeface="Verdana" panose="020B0604030504040204" pitchFamily="34" charset="0"/>
                    <a:ea typeface="Verdana" panose="020B0604030504040204" pitchFamily="34" charset="0"/>
                  </a:rPr>
                  <a:t>Trips</a:t>
                </a:r>
                <a:r>
                  <a:rPr lang="en-US" baseline="0">
                    <a:latin typeface="Verdana" panose="020B0604030504040204" pitchFamily="34" charset="0"/>
                    <a:ea typeface="Verdana" panose="020B0604030504040204" pitchFamily="34" charset="0"/>
                  </a:rPr>
                  <a:t> (millions)</a:t>
                </a:r>
                <a:endParaRPr lang="en-US">
                  <a:latin typeface="Verdana" panose="020B0604030504040204" pitchFamily="34" charset="0"/>
                  <a:ea typeface="Verdana" panose="020B060403050404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4390552"/>
        <c:crosses val="autoZero"/>
        <c:crossBetween val="between"/>
        <c:majorUnit val="4"/>
      </c:valAx>
      <c:valAx>
        <c:axId val="162425552"/>
        <c:scaling>
          <c:orientation val="minMax"/>
          <c:max val="4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n-US">
                    <a:latin typeface="Verdana" panose="020B0604030504040204" pitchFamily="34" charset="0"/>
                    <a:ea typeface="Verdana" panose="020B0604030504040204" pitchFamily="34" charset="0"/>
                  </a:rPr>
                  <a:t>Trip rate (%)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62425936"/>
        <c:crosses val="max"/>
        <c:crossBetween val="between"/>
        <c:majorUnit val="10"/>
      </c:valAx>
      <c:dateAx>
        <c:axId val="162425936"/>
        <c:scaling>
          <c:orientation val="minMax"/>
        </c:scaling>
        <c:delete val="1"/>
        <c:axPos val="b"/>
        <c:numFmt formatCode="mmm\-yy" sourceLinked="1"/>
        <c:majorTickMark val="out"/>
        <c:minorTickMark val="none"/>
        <c:tickLblPos val="nextTo"/>
        <c:crossAx val="162425552"/>
        <c:crosses val="autoZero"/>
        <c:auto val="1"/>
        <c:lblOffset val="100"/>
        <c:baseTimeUnit val="months"/>
      </c:dateAx>
      <c:spPr>
        <a:noFill/>
        <a:ln>
          <a:noFill/>
        </a:ln>
        <a:effectLst/>
      </c:spPr>
    </c:plotArea>
    <c:legend>
      <c:legendPos val="b"/>
      <c:layout>
        <c:manualLayout>
          <c:xMode val="edge"/>
          <c:yMode val="edge"/>
          <c:x val="9.6110318133252201E-2"/>
          <c:y val="2.106703720858422E-2"/>
          <c:w val="0.82265956726755862"/>
          <c:h val="8.952317299860064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1267257220414E-2"/>
          <c:y val="2.4353277496363901E-2"/>
          <c:w val="0.86988361771744516"/>
          <c:h val="0.84881990069712632"/>
        </c:manualLayout>
      </c:layout>
      <c:barChart>
        <c:barDir val="col"/>
        <c:grouping val="stacked"/>
        <c:varyColors val="0"/>
        <c:ser>
          <c:idx val="2"/>
          <c:order val="0"/>
          <c:tx>
            <c:v>VFR</c:v>
          </c:tx>
          <c:spPr>
            <a:solidFill>
              <a:schemeClr val="accent3"/>
            </a:solidFill>
            <a:ln w="9525">
              <a:solidFill>
                <a:schemeClr val="accent3"/>
              </a:solidFill>
            </a:ln>
            <a:effectLst/>
          </c:spPr>
          <c:invertIfNegative val="0"/>
          <c:cat>
            <c:numRef>
              <c:f>OAD!$A$362:$A$385</c:f>
              <c:numCache>
                <c:formatCode>mmm\-yyyy</c:formatCode>
                <c:ptCount val="24"/>
                <c:pt idx="0">
                  <c:v>43922</c:v>
                </c:pt>
                <c:pt idx="1">
                  <c:v>43952</c:v>
                </c:pt>
                <c:pt idx="2">
                  <c:v>43983</c:v>
                </c:pt>
                <c:pt idx="3">
                  <c:v>44013</c:v>
                </c:pt>
                <c:pt idx="4">
                  <c:v>44044</c:v>
                </c:pt>
                <c:pt idx="5">
                  <c:v>44075</c:v>
                </c:pt>
                <c:pt idx="6">
                  <c:v>44105</c:v>
                </c:pt>
                <c:pt idx="7">
                  <c:v>44136</c:v>
                </c:pt>
                <c:pt idx="8">
                  <c:v>44166</c:v>
                </c:pt>
                <c:pt idx="9">
                  <c:v>44197</c:v>
                </c:pt>
                <c:pt idx="10">
                  <c:v>44228</c:v>
                </c:pt>
                <c:pt idx="11">
                  <c:v>44256</c:v>
                </c:pt>
                <c:pt idx="12">
                  <c:v>44287</c:v>
                </c:pt>
                <c:pt idx="13">
                  <c:v>44317</c:v>
                </c:pt>
                <c:pt idx="14">
                  <c:v>44348</c:v>
                </c:pt>
                <c:pt idx="15">
                  <c:v>44378</c:v>
                </c:pt>
                <c:pt idx="16">
                  <c:v>44409</c:v>
                </c:pt>
                <c:pt idx="17">
                  <c:v>44440</c:v>
                </c:pt>
                <c:pt idx="18">
                  <c:v>44470</c:v>
                </c:pt>
                <c:pt idx="19">
                  <c:v>44501</c:v>
                </c:pt>
                <c:pt idx="20">
                  <c:v>44531</c:v>
                </c:pt>
                <c:pt idx="21">
                  <c:v>44562</c:v>
                </c:pt>
                <c:pt idx="22">
                  <c:v>44593</c:v>
                </c:pt>
                <c:pt idx="23">
                  <c:v>44621</c:v>
                </c:pt>
              </c:numCache>
            </c:numRef>
          </c:cat>
          <c:val>
            <c:numRef>
              <c:f>OAD!$L$362:$L$385</c:f>
              <c:numCache>
                <c:formatCode>0;\-0;0;@</c:formatCode>
                <c:ptCount val="24"/>
                <c:pt idx="0">
                  <c:v>810</c:v>
                </c:pt>
                <c:pt idx="1">
                  <c:v>1260</c:v>
                </c:pt>
                <c:pt idx="2">
                  <c:v>1980</c:v>
                </c:pt>
                <c:pt idx="3">
                  <c:v>1430</c:v>
                </c:pt>
                <c:pt idx="4">
                  <c:v>1110</c:v>
                </c:pt>
                <c:pt idx="5">
                  <c:v>1360</c:v>
                </c:pt>
                <c:pt idx="6">
                  <c:v>2420</c:v>
                </c:pt>
                <c:pt idx="7">
                  <c:v>3950</c:v>
                </c:pt>
                <c:pt idx="8">
                  <c:v>5350</c:v>
                </c:pt>
                <c:pt idx="9">
                  <c:v>2810</c:v>
                </c:pt>
                <c:pt idx="10">
                  <c:v>2450</c:v>
                </c:pt>
                <c:pt idx="11">
                  <c:v>3610</c:v>
                </c:pt>
                <c:pt idx="12">
                  <c:v>14520</c:v>
                </c:pt>
                <c:pt idx="13">
                  <c:v>21520</c:v>
                </c:pt>
                <c:pt idx="14">
                  <c:v>21110</c:v>
                </c:pt>
                <c:pt idx="15">
                  <c:v>11000</c:v>
                </c:pt>
                <c:pt idx="16">
                  <c:v>1700</c:v>
                </c:pt>
                <c:pt idx="17">
                  <c:v>970</c:v>
                </c:pt>
                <c:pt idx="18">
                  <c:v>900</c:v>
                </c:pt>
                <c:pt idx="19">
                  <c:v>14020</c:v>
                </c:pt>
                <c:pt idx="20">
                  <c:v>53400</c:v>
                </c:pt>
                <c:pt idx="21">
                  <c:v>33800</c:v>
                </c:pt>
                <c:pt idx="22">
                  <c:v>47680</c:v>
                </c:pt>
                <c:pt idx="23">
                  <c:v>101670</c:v>
                </c:pt>
              </c:numCache>
            </c:numRef>
          </c:val>
          <c:extLst xmlns:c15="http://schemas.microsoft.com/office/drawing/2012/chart">
            <c:ext xmlns:c16="http://schemas.microsoft.com/office/drawing/2014/chart" uri="{C3380CC4-5D6E-409C-BE32-E72D297353CC}">
              <c16:uniqueId val="{00000000-D508-44EA-9E13-D859583D0DD1}"/>
            </c:ext>
          </c:extLst>
        </c:ser>
        <c:ser>
          <c:idx val="3"/>
          <c:order val="1"/>
          <c:tx>
            <c:v>Holiday</c:v>
          </c:tx>
          <c:spPr>
            <a:solidFill>
              <a:schemeClr val="accent2"/>
            </a:solidFill>
            <a:ln w="9525">
              <a:solidFill>
                <a:schemeClr val="accent2"/>
              </a:solidFill>
            </a:ln>
            <a:effectLst/>
          </c:spPr>
          <c:invertIfNegative val="0"/>
          <c:cat>
            <c:numRef>
              <c:f>OAD!$A$362:$A$385</c:f>
              <c:numCache>
                <c:formatCode>mmm\-yyyy</c:formatCode>
                <c:ptCount val="24"/>
                <c:pt idx="0">
                  <c:v>43922</c:v>
                </c:pt>
                <c:pt idx="1">
                  <c:v>43952</c:v>
                </c:pt>
                <c:pt idx="2">
                  <c:v>43983</c:v>
                </c:pt>
                <c:pt idx="3">
                  <c:v>44013</c:v>
                </c:pt>
                <c:pt idx="4">
                  <c:v>44044</c:v>
                </c:pt>
                <c:pt idx="5">
                  <c:v>44075</c:v>
                </c:pt>
                <c:pt idx="6">
                  <c:v>44105</c:v>
                </c:pt>
                <c:pt idx="7">
                  <c:v>44136</c:v>
                </c:pt>
                <c:pt idx="8">
                  <c:v>44166</c:v>
                </c:pt>
                <c:pt idx="9">
                  <c:v>44197</c:v>
                </c:pt>
                <c:pt idx="10">
                  <c:v>44228</c:v>
                </c:pt>
                <c:pt idx="11">
                  <c:v>44256</c:v>
                </c:pt>
                <c:pt idx="12">
                  <c:v>44287</c:v>
                </c:pt>
                <c:pt idx="13">
                  <c:v>44317</c:v>
                </c:pt>
                <c:pt idx="14">
                  <c:v>44348</c:v>
                </c:pt>
                <c:pt idx="15">
                  <c:v>44378</c:v>
                </c:pt>
                <c:pt idx="16">
                  <c:v>44409</c:v>
                </c:pt>
                <c:pt idx="17">
                  <c:v>44440</c:v>
                </c:pt>
                <c:pt idx="18">
                  <c:v>44470</c:v>
                </c:pt>
                <c:pt idx="19">
                  <c:v>44501</c:v>
                </c:pt>
                <c:pt idx="20">
                  <c:v>44531</c:v>
                </c:pt>
                <c:pt idx="21">
                  <c:v>44562</c:v>
                </c:pt>
                <c:pt idx="22">
                  <c:v>44593</c:v>
                </c:pt>
                <c:pt idx="23">
                  <c:v>44621</c:v>
                </c:pt>
              </c:numCache>
            </c:numRef>
          </c:cat>
          <c:val>
            <c:numRef>
              <c:f>OAD!$M$362:$M$385</c:f>
              <c:numCache>
                <c:formatCode>0;\-0;0;@</c:formatCode>
                <c:ptCount val="24"/>
                <c:pt idx="0">
                  <c:v>150</c:v>
                </c:pt>
                <c:pt idx="1">
                  <c:v>120</c:v>
                </c:pt>
                <c:pt idx="2">
                  <c:v>130</c:v>
                </c:pt>
                <c:pt idx="3">
                  <c:v>120</c:v>
                </c:pt>
                <c:pt idx="4">
                  <c:v>50</c:v>
                </c:pt>
                <c:pt idx="5">
                  <c:v>70</c:v>
                </c:pt>
                <c:pt idx="6">
                  <c:v>140</c:v>
                </c:pt>
                <c:pt idx="7">
                  <c:v>290</c:v>
                </c:pt>
                <c:pt idx="8">
                  <c:v>420</c:v>
                </c:pt>
                <c:pt idx="9">
                  <c:v>230</c:v>
                </c:pt>
                <c:pt idx="10">
                  <c:v>180</c:v>
                </c:pt>
                <c:pt idx="11">
                  <c:v>270</c:v>
                </c:pt>
                <c:pt idx="12">
                  <c:v>1970</c:v>
                </c:pt>
                <c:pt idx="13">
                  <c:v>4070</c:v>
                </c:pt>
                <c:pt idx="14">
                  <c:v>5660</c:v>
                </c:pt>
                <c:pt idx="15">
                  <c:v>2670</c:v>
                </c:pt>
                <c:pt idx="16">
                  <c:v>120</c:v>
                </c:pt>
                <c:pt idx="17">
                  <c:v>40</c:v>
                </c:pt>
                <c:pt idx="18">
                  <c:v>50</c:v>
                </c:pt>
                <c:pt idx="19">
                  <c:v>1250</c:v>
                </c:pt>
                <c:pt idx="20">
                  <c:v>4860</c:v>
                </c:pt>
                <c:pt idx="21">
                  <c:v>3690</c:v>
                </c:pt>
                <c:pt idx="22">
                  <c:v>5760</c:v>
                </c:pt>
                <c:pt idx="23">
                  <c:v>21450</c:v>
                </c:pt>
              </c:numCache>
            </c:numRef>
          </c:val>
          <c:extLst>
            <c:ext xmlns:c16="http://schemas.microsoft.com/office/drawing/2014/chart" uri="{C3380CC4-5D6E-409C-BE32-E72D297353CC}">
              <c16:uniqueId val="{00000001-D508-44EA-9E13-D859583D0DD1}"/>
            </c:ext>
          </c:extLst>
        </c:ser>
        <c:ser>
          <c:idx val="1"/>
          <c:order val="2"/>
          <c:tx>
            <c:v>Business, convention/conference and employment</c:v>
          </c:tx>
          <c:spPr>
            <a:solidFill>
              <a:schemeClr val="accent4"/>
            </a:solidFill>
            <a:ln>
              <a:solidFill>
                <a:schemeClr val="accent4"/>
              </a:solidFill>
            </a:ln>
            <a:effectLst/>
          </c:spPr>
          <c:invertIfNegative val="0"/>
          <c:cat>
            <c:numRef>
              <c:f>OAD!$A$362:$A$385</c:f>
              <c:numCache>
                <c:formatCode>mmm\-yyyy</c:formatCode>
                <c:ptCount val="24"/>
                <c:pt idx="0">
                  <c:v>43922</c:v>
                </c:pt>
                <c:pt idx="1">
                  <c:v>43952</c:v>
                </c:pt>
                <c:pt idx="2">
                  <c:v>43983</c:v>
                </c:pt>
                <c:pt idx="3">
                  <c:v>44013</c:v>
                </c:pt>
                <c:pt idx="4">
                  <c:v>44044</c:v>
                </c:pt>
                <c:pt idx="5">
                  <c:v>44075</c:v>
                </c:pt>
                <c:pt idx="6">
                  <c:v>44105</c:v>
                </c:pt>
                <c:pt idx="7">
                  <c:v>44136</c:v>
                </c:pt>
                <c:pt idx="8">
                  <c:v>44166</c:v>
                </c:pt>
                <c:pt idx="9">
                  <c:v>44197</c:v>
                </c:pt>
                <c:pt idx="10">
                  <c:v>44228</c:v>
                </c:pt>
                <c:pt idx="11">
                  <c:v>44256</c:v>
                </c:pt>
                <c:pt idx="12">
                  <c:v>44287</c:v>
                </c:pt>
                <c:pt idx="13">
                  <c:v>44317</c:v>
                </c:pt>
                <c:pt idx="14">
                  <c:v>44348</c:v>
                </c:pt>
                <c:pt idx="15">
                  <c:v>44378</c:v>
                </c:pt>
                <c:pt idx="16">
                  <c:v>44409</c:v>
                </c:pt>
                <c:pt idx="17">
                  <c:v>44440</c:v>
                </c:pt>
                <c:pt idx="18">
                  <c:v>44470</c:v>
                </c:pt>
                <c:pt idx="19">
                  <c:v>44501</c:v>
                </c:pt>
                <c:pt idx="20">
                  <c:v>44531</c:v>
                </c:pt>
                <c:pt idx="21">
                  <c:v>44562</c:v>
                </c:pt>
                <c:pt idx="22">
                  <c:v>44593</c:v>
                </c:pt>
                <c:pt idx="23">
                  <c:v>44621</c:v>
                </c:pt>
              </c:numCache>
            </c:numRef>
          </c:cat>
          <c:val>
            <c:numRef>
              <c:f>OAD!$R$362:$R$385</c:f>
              <c:numCache>
                <c:formatCode>0;\-0;0;@</c:formatCode>
                <c:ptCount val="24"/>
                <c:pt idx="0">
                  <c:v>310</c:v>
                </c:pt>
                <c:pt idx="1">
                  <c:v>590</c:v>
                </c:pt>
                <c:pt idx="2">
                  <c:v>1120</c:v>
                </c:pt>
                <c:pt idx="3">
                  <c:v>880</c:v>
                </c:pt>
                <c:pt idx="4">
                  <c:v>900</c:v>
                </c:pt>
                <c:pt idx="5">
                  <c:v>1330</c:v>
                </c:pt>
                <c:pt idx="6">
                  <c:v>2100</c:v>
                </c:pt>
                <c:pt idx="7">
                  <c:v>1980</c:v>
                </c:pt>
                <c:pt idx="8">
                  <c:v>1730</c:v>
                </c:pt>
                <c:pt idx="9">
                  <c:v>2820</c:v>
                </c:pt>
                <c:pt idx="10">
                  <c:v>2070</c:v>
                </c:pt>
                <c:pt idx="11">
                  <c:v>2950</c:v>
                </c:pt>
                <c:pt idx="12">
                  <c:v>4380</c:v>
                </c:pt>
                <c:pt idx="13">
                  <c:v>8280</c:v>
                </c:pt>
                <c:pt idx="14">
                  <c:v>6930</c:v>
                </c:pt>
                <c:pt idx="15">
                  <c:v>3040</c:v>
                </c:pt>
                <c:pt idx="16">
                  <c:v>2530</c:v>
                </c:pt>
                <c:pt idx="17">
                  <c:v>1950</c:v>
                </c:pt>
                <c:pt idx="18">
                  <c:v>2420</c:v>
                </c:pt>
                <c:pt idx="19">
                  <c:v>3320</c:v>
                </c:pt>
                <c:pt idx="20">
                  <c:v>4910</c:v>
                </c:pt>
                <c:pt idx="21">
                  <c:v>6650</c:v>
                </c:pt>
                <c:pt idx="22">
                  <c:v>9960</c:v>
                </c:pt>
                <c:pt idx="23">
                  <c:v>23690</c:v>
                </c:pt>
              </c:numCache>
            </c:numRef>
          </c:val>
          <c:extLst>
            <c:ext xmlns:c16="http://schemas.microsoft.com/office/drawing/2014/chart" uri="{C3380CC4-5D6E-409C-BE32-E72D297353CC}">
              <c16:uniqueId val="{00000002-D508-44EA-9E13-D859583D0DD1}"/>
            </c:ext>
          </c:extLst>
        </c:ser>
        <c:ser>
          <c:idx val="5"/>
          <c:order val="4"/>
          <c:tx>
            <c:v>Education</c:v>
          </c:tx>
          <c:spPr>
            <a:solidFill>
              <a:schemeClr val="accent1"/>
            </a:solidFill>
            <a:ln w="9525">
              <a:solidFill>
                <a:schemeClr val="accent1"/>
              </a:solidFill>
            </a:ln>
            <a:effectLst/>
          </c:spPr>
          <c:invertIfNegative val="0"/>
          <c:cat>
            <c:numRef>
              <c:f>OAD!$A$362:$A$385</c:f>
              <c:numCache>
                <c:formatCode>mmm\-yyyy</c:formatCode>
                <c:ptCount val="24"/>
                <c:pt idx="0">
                  <c:v>43922</c:v>
                </c:pt>
                <c:pt idx="1">
                  <c:v>43952</c:v>
                </c:pt>
                <c:pt idx="2">
                  <c:v>43983</c:v>
                </c:pt>
                <c:pt idx="3">
                  <c:v>44013</c:v>
                </c:pt>
                <c:pt idx="4">
                  <c:v>44044</c:v>
                </c:pt>
                <c:pt idx="5">
                  <c:v>44075</c:v>
                </c:pt>
                <c:pt idx="6">
                  <c:v>44105</c:v>
                </c:pt>
                <c:pt idx="7">
                  <c:v>44136</c:v>
                </c:pt>
                <c:pt idx="8">
                  <c:v>44166</c:v>
                </c:pt>
                <c:pt idx="9">
                  <c:v>44197</c:v>
                </c:pt>
                <c:pt idx="10">
                  <c:v>44228</c:v>
                </c:pt>
                <c:pt idx="11">
                  <c:v>44256</c:v>
                </c:pt>
                <c:pt idx="12">
                  <c:v>44287</c:v>
                </c:pt>
                <c:pt idx="13">
                  <c:v>44317</c:v>
                </c:pt>
                <c:pt idx="14">
                  <c:v>44348</c:v>
                </c:pt>
                <c:pt idx="15">
                  <c:v>44378</c:v>
                </c:pt>
                <c:pt idx="16">
                  <c:v>44409</c:v>
                </c:pt>
                <c:pt idx="17">
                  <c:v>44440</c:v>
                </c:pt>
                <c:pt idx="18">
                  <c:v>44470</c:v>
                </c:pt>
                <c:pt idx="19">
                  <c:v>44501</c:v>
                </c:pt>
                <c:pt idx="20">
                  <c:v>44531</c:v>
                </c:pt>
                <c:pt idx="21">
                  <c:v>44562</c:v>
                </c:pt>
                <c:pt idx="22">
                  <c:v>44593</c:v>
                </c:pt>
                <c:pt idx="23">
                  <c:v>44621</c:v>
                </c:pt>
              </c:numCache>
            </c:numRef>
          </c:cat>
          <c:val>
            <c:numRef>
              <c:f>OAD!$O$362:$O$385</c:f>
              <c:numCache>
                <c:formatCode>0;\-0;0;@</c:formatCode>
                <c:ptCount val="24"/>
                <c:pt idx="0">
                  <c:v>30</c:v>
                </c:pt>
                <c:pt idx="1">
                  <c:v>60</c:v>
                </c:pt>
                <c:pt idx="2">
                  <c:v>90</c:v>
                </c:pt>
                <c:pt idx="3">
                  <c:v>100</c:v>
                </c:pt>
                <c:pt idx="4">
                  <c:v>70</c:v>
                </c:pt>
                <c:pt idx="5">
                  <c:v>100</c:v>
                </c:pt>
                <c:pt idx="6">
                  <c:v>140</c:v>
                </c:pt>
                <c:pt idx="7">
                  <c:v>90</c:v>
                </c:pt>
                <c:pt idx="8">
                  <c:v>200</c:v>
                </c:pt>
                <c:pt idx="9">
                  <c:v>450</c:v>
                </c:pt>
                <c:pt idx="10">
                  <c:v>440</c:v>
                </c:pt>
                <c:pt idx="11">
                  <c:v>220</c:v>
                </c:pt>
                <c:pt idx="12">
                  <c:v>210</c:v>
                </c:pt>
                <c:pt idx="13">
                  <c:v>340</c:v>
                </c:pt>
                <c:pt idx="14">
                  <c:v>320</c:v>
                </c:pt>
                <c:pt idx="15">
                  <c:v>490</c:v>
                </c:pt>
                <c:pt idx="16">
                  <c:v>140</c:v>
                </c:pt>
                <c:pt idx="17">
                  <c:v>60</c:v>
                </c:pt>
                <c:pt idx="18">
                  <c:v>80</c:v>
                </c:pt>
                <c:pt idx="19">
                  <c:v>240</c:v>
                </c:pt>
                <c:pt idx="20">
                  <c:v>5410</c:v>
                </c:pt>
                <c:pt idx="21">
                  <c:v>6120</c:v>
                </c:pt>
                <c:pt idx="22">
                  <c:v>13130</c:v>
                </c:pt>
                <c:pt idx="23">
                  <c:v>9040</c:v>
                </c:pt>
              </c:numCache>
            </c:numRef>
          </c:val>
          <c:extLst>
            <c:ext xmlns:c16="http://schemas.microsoft.com/office/drawing/2014/chart" uri="{C3380CC4-5D6E-409C-BE32-E72D297353CC}">
              <c16:uniqueId val="{00000003-D508-44EA-9E13-D859583D0DD1}"/>
            </c:ext>
          </c:extLst>
        </c:ser>
        <c:dLbls>
          <c:showLegendKey val="0"/>
          <c:showVal val="0"/>
          <c:showCatName val="0"/>
          <c:showSerName val="0"/>
          <c:showPercent val="0"/>
          <c:showBubbleSize val="0"/>
        </c:dLbls>
        <c:gapWidth val="150"/>
        <c:overlap val="100"/>
        <c:axId val="696179839"/>
        <c:axId val="696178591"/>
        <c:extLst>
          <c:ext xmlns:c15="http://schemas.microsoft.com/office/drawing/2012/chart" uri="{02D57815-91ED-43cb-92C2-25804820EDAC}">
            <c15:filteredBarSeries>
              <c15:ser>
                <c:idx val="4"/>
                <c:order val="3"/>
                <c:tx>
                  <c:v>Employment</c:v>
                </c:tx>
                <c:spPr>
                  <a:solidFill>
                    <a:schemeClr val="accent6"/>
                  </a:solidFill>
                  <a:ln>
                    <a:solidFill>
                      <a:schemeClr val="accent6"/>
                    </a:solidFill>
                  </a:ln>
                  <a:effectLst/>
                </c:spPr>
                <c:invertIfNegative val="0"/>
                <c:cat>
                  <c:numRef>
                    <c:extLst>
                      <c:ext uri="{02D57815-91ED-43cb-92C2-25804820EDAC}">
                        <c15:formulaRef>
                          <c15:sqref>OAD!$A$362:$A$385</c15:sqref>
                        </c15:formulaRef>
                      </c:ext>
                    </c:extLst>
                    <c:numCache>
                      <c:formatCode>mmm\-yyyy</c:formatCode>
                      <c:ptCount val="24"/>
                      <c:pt idx="0">
                        <c:v>43922</c:v>
                      </c:pt>
                      <c:pt idx="1">
                        <c:v>43952</c:v>
                      </c:pt>
                      <c:pt idx="2">
                        <c:v>43983</c:v>
                      </c:pt>
                      <c:pt idx="3">
                        <c:v>44013</c:v>
                      </c:pt>
                      <c:pt idx="4">
                        <c:v>44044</c:v>
                      </c:pt>
                      <c:pt idx="5">
                        <c:v>44075</c:v>
                      </c:pt>
                      <c:pt idx="6">
                        <c:v>44105</c:v>
                      </c:pt>
                      <c:pt idx="7">
                        <c:v>44136</c:v>
                      </c:pt>
                      <c:pt idx="8">
                        <c:v>44166</c:v>
                      </c:pt>
                      <c:pt idx="9">
                        <c:v>44197</c:v>
                      </c:pt>
                      <c:pt idx="10">
                        <c:v>44228</c:v>
                      </c:pt>
                      <c:pt idx="11">
                        <c:v>44256</c:v>
                      </c:pt>
                      <c:pt idx="12">
                        <c:v>44287</c:v>
                      </c:pt>
                      <c:pt idx="13">
                        <c:v>44317</c:v>
                      </c:pt>
                      <c:pt idx="14">
                        <c:v>44348</c:v>
                      </c:pt>
                      <c:pt idx="15">
                        <c:v>44378</c:v>
                      </c:pt>
                      <c:pt idx="16">
                        <c:v>44409</c:v>
                      </c:pt>
                      <c:pt idx="17">
                        <c:v>44440</c:v>
                      </c:pt>
                      <c:pt idx="18">
                        <c:v>44470</c:v>
                      </c:pt>
                      <c:pt idx="19">
                        <c:v>44501</c:v>
                      </c:pt>
                      <c:pt idx="20">
                        <c:v>44531</c:v>
                      </c:pt>
                      <c:pt idx="21">
                        <c:v>44562</c:v>
                      </c:pt>
                      <c:pt idx="22">
                        <c:v>44593</c:v>
                      </c:pt>
                      <c:pt idx="23">
                        <c:v>44621</c:v>
                      </c:pt>
                    </c:numCache>
                  </c:numRef>
                </c:cat>
                <c:val>
                  <c:numRef>
                    <c:extLst>
                      <c:ext uri="{02D57815-91ED-43cb-92C2-25804820EDAC}">
                        <c15:formulaRef>
                          <c15:sqref>OAD!$N$362:$N$384</c15:sqref>
                        </c15:formulaRef>
                      </c:ext>
                    </c:extLst>
                    <c:numCache>
                      <c:formatCode>0;\-0;0;@</c:formatCode>
                      <c:ptCount val="23"/>
                      <c:pt idx="0">
                        <c:v>160</c:v>
                      </c:pt>
                      <c:pt idx="1">
                        <c:v>280</c:v>
                      </c:pt>
                      <c:pt idx="2">
                        <c:v>570</c:v>
                      </c:pt>
                      <c:pt idx="3">
                        <c:v>450</c:v>
                      </c:pt>
                      <c:pt idx="4">
                        <c:v>480</c:v>
                      </c:pt>
                      <c:pt idx="5">
                        <c:v>790</c:v>
                      </c:pt>
                      <c:pt idx="6">
                        <c:v>1160</c:v>
                      </c:pt>
                      <c:pt idx="7">
                        <c:v>1120</c:v>
                      </c:pt>
                      <c:pt idx="8">
                        <c:v>1110</c:v>
                      </c:pt>
                      <c:pt idx="9">
                        <c:v>1450</c:v>
                      </c:pt>
                      <c:pt idx="10">
                        <c:v>1140</c:v>
                      </c:pt>
                      <c:pt idx="11">
                        <c:v>1800</c:v>
                      </c:pt>
                      <c:pt idx="12">
                        <c:v>2040</c:v>
                      </c:pt>
                      <c:pt idx="13">
                        <c:v>2650</c:v>
                      </c:pt>
                      <c:pt idx="14">
                        <c:v>2630</c:v>
                      </c:pt>
                      <c:pt idx="15">
                        <c:v>1520</c:v>
                      </c:pt>
                      <c:pt idx="16">
                        <c:v>1800</c:v>
                      </c:pt>
                      <c:pt idx="17">
                        <c:v>1440</c:v>
                      </c:pt>
                      <c:pt idx="18">
                        <c:v>1870</c:v>
                      </c:pt>
                      <c:pt idx="19">
                        <c:v>1780</c:v>
                      </c:pt>
                      <c:pt idx="20">
                        <c:v>2630</c:v>
                      </c:pt>
                      <c:pt idx="21">
                        <c:v>3770</c:v>
                      </c:pt>
                      <c:pt idx="22">
                        <c:v>4320</c:v>
                      </c:pt>
                    </c:numCache>
                  </c:numRef>
                </c:val>
                <c:extLst>
                  <c:ext xmlns:c16="http://schemas.microsoft.com/office/drawing/2014/chart" uri="{C3380CC4-5D6E-409C-BE32-E72D297353CC}">
                    <c16:uniqueId val="{00000004-D508-44EA-9E13-D859583D0DD1}"/>
                  </c:ext>
                </c:extLst>
              </c15:ser>
            </c15:filteredBarSeries>
          </c:ext>
        </c:extLst>
      </c:barChart>
      <c:dateAx>
        <c:axId val="696179839"/>
        <c:scaling>
          <c:orientation val="minMax"/>
          <c:max val="44621"/>
        </c:scaling>
        <c:delete val="0"/>
        <c:axPos val="b"/>
        <c:numFmt formatCode="mmm\-yy" sourceLinked="0"/>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96178591"/>
        <c:crosses val="autoZero"/>
        <c:auto val="1"/>
        <c:lblOffset val="100"/>
        <c:baseTimeUnit val="months"/>
        <c:majorUnit val="3"/>
        <c:majorTimeUnit val="months"/>
      </c:dateAx>
      <c:valAx>
        <c:axId val="69617859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96179839"/>
        <c:crosses val="autoZero"/>
        <c:crossBetween val="between"/>
        <c:majorUnit val="50000"/>
        <c:dispUnits>
          <c:builtInUnit val="thousands"/>
          <c:dispUnitsLbl>
            <c:layout>
              <c:manualLayout>
                <c:xMode val="edge"/>
                <c:yMode val="edge"/>
                <c:x val="1.6985138004246285E-3"/>
                <c:y val="0.3605007098110552"/>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Arrivals ('000)</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layout>
        <c:manualLayout>
          <c:xMode val="edge"/>
          <c:yMode val="edge"/>
          <c:x val="4.7743309725161866E-2"/>
          <c:y val="4.5299162445458639E-2"/>
          <c:w val="0.95017033602794732"/>
          <c:h val="0.1288973870304428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89877446421559"/>
          <c:y val="3.9753374023513331E-2"/>
          <c:w val="0.85900411267489196"/>
          <c:h val="0.76146236158350034"/>
        </c:manualLayout>
      </c:layout>
      <c:lineChart>
        <c:grouping val="standard"/>
        <c:varyColors val="0"/>
        <c:ser>
          <c:idx val="0"/>
          <c:order val="0"/>
          <c:tx>
            <c:strRef>
              <c:f>'Chart data'!$F$1</c:f>
              <c:strCache>
                <c:ptCount val="1"/>
                <c:pt idx="0">
                  <c:v>Onshore</c:v>
                </c:pt>
              </c:strCache>
            </c:strRef>
          </c:tx>
          <c:spPr>
            <a:ln w="28575" cap="rnd">
              <a:solidFill>
                <a:schemeClr val="accent1"/>
              </a:solidFill>
              <a:round/>
            </a:ln>
            <a:effectLst/>
          </c:spPr>
          <c:marker>
            <c:symbol val="none"/>
          </c:marker>
          <c:cat>
            <c:numRef>
              <c:f>'Chart data'!$E$2:$E$100</c:f>
              <c:numCache>
                <c:formatCode>m/d/yyyy</c:formatCode>
                <c:ptCount val="99"/>
                <c:pt idx="0">
                  <c:v>44669</c:v>
                </c:pt>
                <c:pt idx="1">
                  <c:v>44662</c:v>
                </c:pt>
                <c:pt idx="2">
                  <c:v>44655</c:v>
                </c:pt>
                <c:pt idx="3">
                  <c:v>44648</c:v>
                </c:pt>
                <c:pt idx="4">
                  <c:v>44641</c:v>
                </c:pt>
                <c:pt idx="5">
                  <c:v>44634</c:v>
                </c:pt>
                <c:pt idx="6">
                  <c:v>44620</c:v>
                </c:pt>
                <c:pt idx="7">
                  <c:v>44613</c:v>
                </c:pt>
                <c:pt idx="8">
                  <c:v>44606</c:v>
                </c:pt>
                <c:pt idx="9">
                  <c:v>44599</c:v>
                </c:pt>
                <c:pt idx="10">
                  <c:v>44585</c:v>
                </c:pt>
                <c:pt idx="11">
                  <c:v>44578</c:v>
                </c:pt>
                <c:pt idx="12">
                  <c:v>44550</c:v>
                </c:pt>
                <c:pt idx="13">
                  <c:v>44543</c:v>
                </c:pt>
                <c:pt idx="14">
                  <c:v>44536</c:v>
                </c:pt>
                <c:pt idx="15">
                  <c:v>44529</c:v>
                </c:pt>
                <c:pt idx="16">
                  <c:v>44522</c:v>
                </c:pt>
                <c:pt idx="17">
                  <c:v>44515</c:v>
                </c:pt>
                <c:pt idx="18">
                  <c:v>44508</c:v>
                </c:pt>
                <c:pt idx="19">
                  <c:v>44501</c:v>
                </c:pt>
                <c:pt idx="20">
                  <c:v>44494</c:v>
                </c:pt>
                <c:pt idx="21">
                  <c:v>44487</c:v>
                </c:pt>
                <c:pt idx="22">
                  <c:v>44480</c:v>
                </c:pt>
                <c:pt idx="23">
                  <c:v>44473</c:v>
                </c:pt>
                <c:pt idx="24">
                  <c:v>44466</c:v>
                </c:pt>
                <c:pt idx="25">
                  <c:v>44459</c:v>
                </c:pt>
                <c:pt idx="26">
                  <c:v>44452</c:v>
                </c:pt>
                <c:pt idx="27">
                  <c:v>44445</c:v>
                </c:pt>
                <c:pt idx="28">
                  <c:v>44438</c:v>
                </c:pt>
                <c:pt idx="29">
                  <c:v>44431</c:v>
                </c:pt>
                <c:pt idx="30">
                  <c:v>44424</c:v>
                </c:pt>
                <c:pt idx="31">
                  <c:v>44417</c:v>
                </c:pt>
                <c:pt idx="32">
                  <c:v>44410</c:v>
                </c:pt>
                <c:pt idx="33">
                  <c:v>44403</c:v>
                </c:pt>
                <c:pt idx="34">
                  <c:v>44396</c:v>
                </c:pt>
                <c:pt idx="35">
                  <c:v>44389</c:v>
                </c:pt>
                <c:pt idx="36">
                  <c:v>44382</c:v>
                </c:pt>
                <c:pt idx="37">
                  <c:v>44375</c:v>
                </c:pt>
                <c:pt idx="38">
                  <c:v>44368</c:v>
                </c:pt>
                <c:pt idx="39">
                  <c:v>44361</c:v>
                </c:pt>
                <c:pt idx="40">
                  <c:v>44354</c:v>
                </c:pt>
                <c:pt idx="41">
                  <c:v>44347</c:v>
                </c:pt>
                <c:pt idx="42">
                  <c:v>44340</c:v>
                </c:pt>
                <c:pt idx="43">
                  <c:v>44333</c:v>
                </c:pt>
                <c:pt idx="44">
                  <c:v>44326</c:v>
                </c:pt>
                <c:pt idx="45">
                  <c:v>44312</c:v>
                </c:pt>
                <c:pt idx="46">
                  <c:v>44305</c:v>
                </c:pt>
                <c:pt idx="47">
                  <c:v>44298</c:v>
                </c:pt>
                <c:pt idx="48">
                  <c:v>44292</c:v>
                </c:pt>
                <c:pt idx="49">
                  <c:v>44284</c:v>
                </c:pt>
                <c:pt idx="50">
                  <c:v>44277</c:v>
                </c:pt>
                <c:pt idx="51">
                  <c:v>44270</c:v>
                </c:pt>
                <c:pt idx="52">
                  <c:v>44262</c:v>
                </c:pt>
                <c:pt idx="53">
                  <c:v>44255</c:v>
                </c:pt>
                <c:pt idx="54">
                  <c:v>44248</c:v>
                </c:pt>
                <c:pt idx="55">
                  <c:v>44241</c:v>
                </c:pt>
                <c:pt idx="56">
                  <c:v>44234</c:v>
                </c:pt>
                <c:pt idx="57">
                  <c:v>44227</c:v>
                </c:pt>
                <c:pt idx="58">
                  <c:v>44222</c:v>
                </c:pt>
                <c:pt idx="59">
                  <c:v>44206</c:v>
                </c:pt>
                <c:pt idx="60">
                  <c:v>44185</c:v>
                </c:pt>
                <c:pt idx="61">
                  <c:v>44178</c:v>
                </c:pt>
                <c:pt idx="62">
                  <c:v>44171</c:v>
                </c:pt>
                <c:pt idx="63">
                  <c:v>44164</c:v>
                </c:pt>
                <c:pt idx="64">
                  <c:v>44157</c:v>
                </c:pt>
                <c:pt idx="65">
                  <c:v>44150</c:v>
                </c:pt>
                <c:pt idx="66">
                  <c:v>44143</c:v>
                </c:pt>
                <c:pt idx="67">
                  <c:v>44136</c:v>
                </c:pt>
                <c:pt idx="68">
                  <c:v>44129</c:v>
                </c:pt>
                <c:pt idx="69">
                  <c:v>44122</c:v>
                </c:pt>
                <c:pt idx="70">
                  <c:v>44116</c:v>
                </c:pt>
                <c:pt idx="71">
                  <c:v>44109</c:v>
                </c:pt>
                <c:pt idx="72">
                  <c:v>44101</c:v>
                </c:pt>
                <c:pt idx="73">
                  <c:v>44094</c:v>
                </c:pt>
                <c:pt idx="74">
                  <c:v>44087</c:v>
                </c:pt>
                <c:pt idx="75">
                  <c:v>44080</c:v>
                </c:pt>
                <c:pt idx="76">
                  <c:v>44073</c:v>
                </c:pt>
                <c:pt idx="77">
                  <c:v>44066</c:v>
                </c:pt>
                <c:pt idx="78">
                  <c:v>44059</c:v>
                </c:pt>
                <c:pt idx="79">
                  <c:v>44052</c:v>
                </c:pt>
                <c:pt idx="80">
                  <c:v>44045</c:v>
                </c:pt>
                <c:pt idx="81">
                  <c:v>44038</c:v>
                </c:pt>
                <c:pt idx="82">
                  <c:v>44031</c:v>
                </c:pt>
                <c:pt idx="83">
                  <c:v>44024</c:v>
                </c:pt>
                <c:pt idx="84">
                  <c:v>44017</c:v>
                </c:pt>
                <c:pt idx="85">
                  <c:v>44010</c:v>
                </c:pt>
                <c:pt idx="86">
                  <c:v>44003</c:v>
                </c:pt>
                <c:pt idx="87">
                  <c:v>43996</c:v>
                </c:pt>
                <c:pt idx="88">
                  <c:v>43989</c:v>
                </c:pt>
                <c:pt idx="89">
                  <c:v>43982</c:v>
                </c:pt>
                <c:pt idx="90">
                  <c:v>43975</c:v>
                </c:pt>
                <c:pt idx="91">
                  <c:v>43968</c:v>
                </c:pt>
                <c:pt idx="92">
                  <c:v>43961</c:v>
                </c:pt>
                <c:pt idx="93">
                  <c:v>43954</c:v>
                </c:pt>
                <c:pt idx="94">
                  <c:v>43947</c:v>
                </c:pt>
                <c:pt idx="95">
                  <c:v>43940</c:v>
                </c:pt>
                <c:pt idx="96">
                  <c:v>43933</c:v>
                </c:pt>
                <c:pt idx="97">
                  <c:v>43926</c:v>
                </c:pt>
                <c:pt idx="98">
                  <c:v>43919</c:v>
                </c:pt>
              </c:numCache>
            </c:numRef>
          </c:cat>
          <c:val>
            <c:numRef>
              <c:f>'Chart data'!$F$2:$F$100</c:f>
              <c:numCache>
                <c:formatCode>General</c:formatCode>
                <c:ptCount val="99"/>
                <c:pt idx="0">
                  <c:v>333.41300000000001</c:v>
                </c:pt>
                <c:pt idx="1">
                  <c:v>332.61500000000001</c:v>
                </c:pt>
                <c:pt idx="2">
                  <c:v>331.22300000000001</c:v>
                </c:pt>
                <c:pt idx="3">
                  <c:v>330.38499999999999</c:v>
                </c:pt>
                <c:pt idx="4">
                  <c:v>328.71800000000002</c:v>
                </c:pt>
                <c:pt idx="5">
                  <c:v>380.52800000000002</c:v>
                </c:pt>
                <c:pt idx="6">
                  <c:v>373.03199999999998</c:v>
                </c:pt>
                <c:pt idx="7">
                  <c:v>363.464</c:v>
                </c:pt>
                <c:pt idx="8">
                  <c:v>350.67099999999999</c:v>
                </c:pt>
                <c:pt idx="9">
                  <c:v>337.97</c:v>
                </c:pt>
                <c:pt idx="10">
                  <c:v>325.46499999999997</c:v>
                </c:pt>
                <c:pt idx="11">
                  <c:v>318.99900000000002</c:v>
                </c:pt>
                <c:pt idx="12">
                  <c:v>299.82299999999998</c:v>
                </c:pt>
                <c:pt idx="13">
                  <c:v>290.31400000000002</c:v>
                </c:pt>
                <c:pt idx="14">
                  <c:v>293.125</c:v>
                </c:pt>
                <c:pt idx="15">
                  <c:v>296.62799999999999</c:v>
                </c:pt>
                <c:pt idx="16">
                  <c:v>298.43700000000001</c:v>
                </c:pt>
                <c:pt idx="17">
                  <c:v>300.81599999999997</c:v>
                </c:pt>
                <c:pt idx="18">
                  <c:v>301.82600000000002</c:v>
                </c:pt>
                <c:pt idx="19">
                  <c:v>302.84399999999999</c:v>
                </c:pt>
                <c:pt idx="20">
                  <c:v>304.75200000000001</c:v>
                </c:pt>
                <c:pt idx="21">
                  <c:v>306.32499999999999</c:v>
                </c:pt>
                <c:pt idx="22">
                  <c:v>307.86</c:v>
                </c:pt>
                <c:pt idx="23">
                  <c:v>308.80200000000002</c:v>
                </c:pt>
                <c:pt idx="24">
                  <c:v>312.154</c:v>
                </c:pt>
                <c:pt idx="25">
                  <c:v>313.99299999999999</c:v>
                </c:pt>
                <c:pt idx="26">
                  <c:v>321.76100000000002</c:v>
                </c:pt>
                <c:pt idx="27">
                  <c:v>327.18900000000002</c:v>
                </c:pt>
                <c:pt idx="28">
                  <c:v>350.858</c:v>
                </c:pt>
                <c:pt idx="29">
                  <c:v>355.05</c:v>
                </c:pt>
                <c:pt idx="30">
                  <c:v>358.47</c:v>
                </c:pt>
                <c:pt idx="31">
                  <c:v>360.70800000000003</c:v>
                </c:pt>
                <c:pt idx="32">
                  <c:v>361.04199999999997</c:v>
                </c:pt>
                <c:pt idx="33">
                  <c:v>363.87400000000002</c:v>
                </c:pt>
                <c:pt idx="34">
                  <c:v>363.72699999999998</c:v>
                </c:pt>
                <c:pt idx="35">
                  <c:v>365.161</c:v>
                </c:pt>
                <c:pt idx="36">
                  <c:v>366.197</c:v>
                </c:pt>
                <c:pt idx="37">
                  <c:v>367.238</c:v>
                </c:pt>
                <c:pt idx="38">
                  <c:v>367.38900000000001</c:v>
                </c:pt>
                <c:pt idx="39">
                  <c:v>367.18299999999999</c:v>
                </c:pt>
                <c:pt idx="40">
                  <c:v>368.09</c:v>
                </c:pt>
                <c:pt idx="41">
                  <c:v>369.45299999999997</c:v>
                </c:pt>
                <c:pt idx="42">
                  <c:v>369.18099999999998</c:v>
                </c:pt>
                <c:pt idx="43">
                  <c:v>369.09800000000001</c:v>
                </c:pt>
                <c:pt idx="44">
                  <c:v>368.72199999999998</c:v>
                </c:pt>
                <c:pt idx="45">
                  <c:v>367.85500000000002</c:v>
                </c:pt>
                <c:pt idx="46">
                  <c:v>369.97899999999998</c:v>
                </c:pt>
                <c:pt idx="47">
                  <c:v>369.74099999999999</c:v>
                </c:pt>
                <c:pt idx="48">
                  <c:v>369.29300000000001</c:v>
                </c:pt>
                <c:pt idx="49">
                  <c:v>371.00200000000001</c:v>
                </c:pt>
                <c:pt idx="50">
                  <c:v>370.875</c:v>
                </c:pt>
                <c:pt idx="51">
                  <c:v>428.41199999999998</c:v>
                </c:pt>
                <c:pt idx="52">
                  <c:v>431.61099999999999</c:v>
                </c:pt>
                <c:pt idx="53">
                  <c:v>434.63799999999998</c:v>
                </c:pt>
                <c:pt idx="54">
                  <c:v>434.99200000000002</c:v>
                </c:pt>
                <c:pt idx="55">
                  <c:v>435.19200000000001</c:v>
                </c:pt>
                <c:pt idx="56">
                  <c:v>435.01799999999997</c:v>
                </c:pt>
                <c:pt idx="57">
                  <c:v>437.41300000000001</c:v>
                </c:pt>
                <c:pt idx="58">
                  <c:v>437.678</c:v>
                </c:pt>
                <c:pt idx="59">
                  <c:v>438.68700000000001</c:v>
                </c:pt>
                <c:pt idx="60">
                  <c:v>447.19600000000003</c:v>
                </c:pt>
                <c:pt idx="61">
                  <c:v>449.72800000000001</c:v>
                </c:pt>
                <c:pt idx="62">
                  <c:v>452.78899999999999</c:v>
                </c:pt>
                <c:pt idx="63">
                  <c:v>456.34500000000003</c:v>
                </c:pt>
                <c:pt idx="64">
                  <c:v>458.71800000000002</c:v>
                </c:pt>
                <c:pt idx="65">
                  <c:v>460.94600000000003</c:v>
                </c:pt>
                <c:pt idx="66">
                  <c:v>461.36200000000002</c:v>
                </c:pt>
                <c:pt idx="67">
                  <c:v>460.90800000000002</c:v>
                </c:pt>
                <c:pt idx="68">
                  <c:v>462.28899999999999</c:v>
                </c:pt>
                <c:pt idx="69">
                  <c:v>462.41399999999999</c:v>
                </c:pt>
                <c:pt idx="70">
                  <c:v>462.07100000000003</c:v>
                </c:pt>
                <c:pt idx="71">
                  <c:v>461.26600000000002</c:v>
                </c:pt>
                <c:pt idx="72">
                  <c:v>467.392</c:v>
                </c:pt>
                <c:pt idx="73">
                  <c:v>470.68599999999998</c:v>
                </c:pt>
                <c:pt idx="74">
                  <c:v>478.964</c:v>
                </c:pt>
                <c:pt idx="75">
                  <c:v>482.66399999999999</c:v>
                </c:pt>
                <c:pt idx="76">
                  <c:v>510.50400000000002</c:v>
                </c:pt>
                <c:pt idx="77">
                  <c:v>515.94000000000005</c:v>
                </c:pt>
                <c:pt idx="78">
                  <c:v>520.79600000000005</c:v>
                </c:pt>
                <c:pt idx="79">
                  <c:v>525.20799999999997</c:v>
                </c:pt>
                <c:pt idx="80">
                  <c:v>528.13</c:v>
                </c:pt>
                <c:pt idx="81">
                  <c:v>534.54499999999996</c:v>
                </c:pt>
                <c:pt idx="82">
                  <c:v>537.51599999999996</c:v>
                </c:pt>
                <c:pt idx="83">
                  <c:v>540.68899999999996</c:v>
                </c:pt>
                <c:pt idx="84">
                  <c:v>543.11199999999997</c:v>
                </c:pt>
                <c:pt idx="85">
                  <c:v>546.29999999999995</c:v>
                </c:pt>
                <c:pt idx="86">
                  <c:v>551.83199999999999</c:v>
                </c:pt>
                <c:pt idx="87">
                  <c:v>552.76300000000003</c:v>
                </c:pt>
                <c:pt idx="88">
                  <c:v>553.822</c:v>
                </c:pt>
                <c:pt idx="89">
                  <c:v>555.18899999999996</c:v>
                </c:pt>
                <c:pt idx="90">
                  <c:v>554.99300000000005</c:v>
                </c:pt>
                <c:pt idx="91">
                  <c:v>554.49</c:v>
                </c:pt>
                <c:pt idx="92">
                  <c:v>554.46500000000003</c:v>
                </c:pt>
                <c:pt idx="93">
                  <c:v>554.35900000000004</c:v>
                </c:pt>
                <c:pt idx="94">
                  <c:v>554.72799999999995</c:v>
                </c:pt>
                <c:pt idx="95">
                  <c:v>555.36400000000003</c:v>
                </c:pt>
                <c:pt idx="96">
                  <c:v>556.673</c:v>
                </c:pt>
                <c:pt idx="97">
                  <c:v>559.28399999999999</c:v>
                </c:pt>
                <c:pt idx="98">
                  <c:v>564.20500000000004</c:v>
                </c:pt>
              </c:numCache>
            </c:numRef>
          </c:val>
          <c:smooth val="0"/>
          <c:extLst>
            <c:ext xmlns:c16="http://schemas.microsoft.com/office/drawing/2014/chart" uri="{C3380CC4-5D6E-409C-BE32-E72D297353CC}">
              <c16:uniqueId val="{00000000-1D16-46FC-8942-DAD910E78309}"/>
            </c:ext>
          </c:extLst>
        </c:ser>
        <c:ser>
          <c:idx val="1"/>
          <c:order val="1"/>
          <c:tx>
            <c:strRef>
              <c:f>'Chart data'!$G$1</c:f>
              <c:strCache>
                <c:ptCount val="1"/>
                <c:pt idx="0">
                  <c:v>Offshore</c:v>
                </c:pt>
              </c:strCache>
            </c:strRef>
          </c:tx>
          <c:spPr>
            <a:ln w="28575" cap="rnd">
              <a:solidFill>
                <a:schemeClr val="accent2"/>
              </a:solidFill>
              <a:round/>
            </a:ln>
            <a:effectLst/>
          </c:spPr>
          <c:marker>
            <c:symbol val="none"/>
          </c:marker>
          <c:cat>
            <c:numRef>
              <c:f>'Chart data'!$E$2:$E$100</c:f>
              <c:numCache>
                <c:formatCode>m/d/yyyy</c:formatCode>
                <c:ptCount val="99"/>
                <c:pt idx="0">
                  <c:v>44669</c:v>
                </c:pt>
                <c:pt idx="1">
                  <c:v>44662</c:v>
                </c:pt>
                <c:pt idx="2">
                  <c:v>44655</c:v>
                </c:pt>
                <c:pt idx="3">
                  <c:v>44648</c:v>
                </c:pt>
                <c:pt idx="4">
                  <c:v>44641</c:v>
                </c:pt>
                <c:pt idx="5">
                  <c:v>44634</c:v>
                </c:pt>
                <c:pt idx="6">
                  <c:v>44620</c:v>
                </c:pt>
                <c:pt idx="7">
                  <c:v>44613</c:v>
                </c:pt>
                <c:pt idx="8">
                  <c:v>44606</c:v>
                </c:pt>
                <c:pt idx="9">
                  <c:v>44599</c:v>
                </c:pt>
                <c:pt idx="10">
                  <c:v>44585</c:v>
                </c:pt>
                <c:pt idx="11">
                  <c:v>44578</c:v>
                </c:pt>
                <c:pt idx="12">
                  <c:v>44550</c:v>
                </c:pt>
                <c:pt idx="13">
                  <c:v>44543</c:v>
                </c:pt>
                <c:pt idx="14">
                  <c:v>44536</c:v>
                </c:pt>
                <c:pt idx="15">
                  <c:v>44529</c:v>
                </c:pt>
                <c:pt idx="16">
                  <c:v>44522</c:v>
                </c:pt>
                <c:pt idx="17">
                  <c:v>44515</c:v>
                </c:pt>
                <c:pt idx="18">
                  <c:v>44508</c:v>
                </c:pt>
                <c:pt idx="19">
                  <c:v>44501</c:v>
                </c:pt>
                <c:pt idx="20">
                  <c:v>44494</c:v>
                </c:pt>
                <c:pt idx="21">
                  <c:v>44487</c:v>
                </c:pt>
                <c:pt idx="22">
                  <c:v>44480</c:v>
                </c:pt>
                <c:pt idx="23">
                  <c:v>44473</c:v>
                </c:pt>
                <c:pt idx="24">
                  <c:v>44466</c:v>
                </c:pt>
                <c:pt idx="25">
                  <c:v>44459</c:v>
                </c:pt>
                <c:pt idx="26">
                  <c:v>44452</c:v>
                </c:pt>
                <c:pt idx="27">
                  <c:v>44445</c:v>
                </c:pt>
                <c:pt idx="28">
                  <c:v>44438</c:v>
                </c:pt>
                <c:pt idx="29">
                  <c:v>44431</c:v>
                </c:pt>
                <c:pt idx="30">
                  <c:v>44424</c:v>
                </c:pt>
                <c:pt idx="31">
                  <c:v>44417</c:v>
                </c:pt>
                <c:pt idx="32">
                  <c:v>44410</c:v>
                </c:pt>
                <c:pt idx="33">
                  <c:v>44403</c:v>
                </c:pt>
                <c:pt idx="34">
                  <c:v>44396</c:v>
                </c:pt>
                <c:pt idx="35">
                  <c:v>44389</c:v>
                </c:pt>
                <c:pt idx="36">
                  <c:v>44382</c:v>
                </c:pt>
                <c:pt idx="37">
                  <c:v>44375</c:v>
                </c:pt>
                <c:pt idx="38">
                  <c:v>44368</c:v>
                </c:pt>
                <c:pt idx="39">
                  <c:v>44361</c:v>
                </c:pt>
                <c:pt idx="40">
                  <c:v>44354</c:v>
                </c:pt>
                <c:pt idx="41">
                  <c:v>44347</c:v>
                </c:pt>
                <c:pt idx="42">
                  <c:v>44340</c:v>
                </c:pt>
                <c:pt idx="43">
                  <c:v>44333</c:v>
                </c:pt>
                <c:pt idx="44">
                  <c:v>44326</c:v>
                </c:pt>
                <c:pt idx="45">
                  <c:v>44312</c:v>
                </c:pt>
                <c:pt idx="46">
                  <c:v>44305</c:v>
                </c:pt>
                <c:pt idx="47">
                  <c:v>44298</c:v>
                </c:pt>
                <c:pt idx="48">
                  <c:v>44292</c:v>
                </c:pt>
                <c:pt idx="49">
                  <c:v>44284</c:v>
                </c:pt>
                <c:pt idx="50">
                  <c:v>44277</c:v>
                </c:pt>
                <c:pt idx="51">
                  <c:v>44270</c:v>
                </c:pt>
                <c:pt idx="52">
                  <c:v>44262</c:v>
                </c:pt>
                <c:pt idx="53">
                  <c:v>44255</c:v>
                </c:pt>
                <c:pt idx="54">
                  <c:v>44248</c:v>
                </c:pt>
                <c:pt idx="55">
                  <c:v>44241</c:v>
                </c:pt>
                <c:pt idx="56">
                  <c:v>44234</c:v>
                </c:pt>
                <c:pt idx="57">
                  <c:v>44227</c:v>
                </c:pt>
                <c:pt idx="58">
                  <c:v>44222</c:v>
                </c:pt>
                <c:pt idx="59">
                  <c:v>44206</c:v>
                </c:pt>
                <c:pt idx="60">
                  <c:v>44185</c:v>
                </c:pt>
                <c:pt idx="61">
                  <c:v>44178</c:v>
                </c:pt>
                <c:pt idx="62">
                  <c:v>44171</c:v>
                </c:pt>
                <c:pt idx="63">
                  <c:v>44164</c:v>
                </c:pt>
                <c:pt idx="64">
                  <c:v>44157</c:v>
                </c:pt>
                <c:pt idx="65">
                  <c:v>44150</c:v>
                </c:pt>
                <c:pt idx="66">
                  <c:v>44143</c:v>
                </c:pt>
                <c:pt idx="67">
                  <c:v>44136</c:v>
                </c:pt>
                <c:pt idx="68">
                  <c:v>44129</c:v>
                </c:pt>
                <c:pt idx="69">
                  <c:v>44122</c:v>
                </c:pt>
                <c:pt idx="70">
                  <c:v>44116</c:v>
                </c:pt>
                <c:pt idx="71">
                  <c:v>44109</c:v>
                </c:pt>
                <c:pt idx="72">
                  <c:v>44101</c:v>
                </c:pt>
                <c:pt idx="73">
                  <c:v>44094</c:v>
                </c:pt>
                <c:pt idx="74">
                  <c:v>44087</c:v>
                </c:pt>
                <c:pt idx="75">
                  <c:v>44080</c:v>
                </c:pt>
                <c:pt idx="76">
                  <c:v>44073</c:v>
                </c:pt>
                <c:pt idx="77">
                  <c:v>44066</c:v>
                </c:pt>
                <c:pt idx="78">
                  <c:v>44059</c:v>
                </c:pt>
                <c:pt idx="79">
                  <c:v>44052</c:v>
                </c:pt>
                <c:pt idx="80">
                  <c:v>44045</c:v>
                </c:pt>
                <c:pt idx="81">
                  <c:v>44038</c:v>
                </c:pt>
                <c:pt idx="82">
                  <c:v>44031</c:v>
                </c:pt>
                <c:pt idx="83">
                  <c:v>44024</c:v>
                </c:pt>
                <c:pt idx="84">
                  <c:v>44017</c:v>
                </c:pt>
                <c:pt idx="85">
                  <c:v>44010</c:v>
                </c:pt>
                <c:pt idx="86">
                  <c:v>44003</c:v>
                </c:pt>
                <c:pt idx="87">
                  <c:v>43996</c:v>
                </c:pt>
                <c:pt idx="88">
                  <c:v>43989</c:v>
                </c:pt>
                <c:pt idx="89">
                  <c:v>43982</c:v>
                </c:pt>
                <c:pt idx="90">
                  <c:v>43975</c:v>
                </c:pt>
                <c:pt idx="91">
                  <c:v>43968</c:v>
                </c:pt>
                <c:pt idx="92">
                  <c:v>43961</c:v>
                </c:pt>
                <c:pt idx="93">
                  <c:v>43954</c:v>
                </c:pt>
                <c:pt idx="94">
                  <c:v>43947</c:v>
                </c:pt>
                <c:pt idx="95">
                  <c:v>43940</c:v>
                </c:pt>
                <c:pt idx="96">
                  <c:v>43933</c:v>
                </c:pt>
                <c:pt idx="97">
                  <c:v>43926</c:v>
                </c:pt>
                <c:pt idx="98">
                  <c:v>43919</c:v>
                </c:pt>
              </c:numCache>
            </c:numRef>
          </c:cat>
          <c:val>
            <c:numRef>
              <c:f>'Chart data'!$G$2:$G$100</c:f>
              <c:numCache>
                <c:formatCode>General</c:formatCode>
                <c:ptCount val="99"/>
                <c:pt idx="0">
                  <c:v>96.153000000000006</c:v>
                </c:pt>
                <c:pt idx="1">
                  <c:v>96.43</c:v>
                </c:pt>
                <c:pt idx="2">
                  <c:v>96.016999999999996</c:v>
                </c:pt>
                <c:pt idx="3">
                  <c:v>95.177000000000007</c:v>
                </c:pt>
                <c:pt idx="4">
                  <c:v>98.463999999999999</c:v>
                </c:pt>
                <c:pt idx="5">
                  <c:v>122.515</c:v>
                </c:pt>
                <c:pt idx="6">
                  <c:v>128.92500000000001</c:v>
                </c:pt>
                <c:pt idx="7">
                  <c:v>135.512</c:v>
                </c:pt>
                <c:pt idx="8">
                  <c:v>143.45699999999999</c:v>
                </c:pt>
                <c:pt idx="9">
                  <c:v>150.05199999999999</c:v>
                </c:pt>
                <c:pt idx="10">
                  <c:v>156.05500000000001</c:v>
                </c:pt>
                <c:pt idx="11">
                  <c:v>156.15700000000001</c:v>
                </c:pt>
                <c:pt idx="12">
                  <c:v>166.846</c:v>
                </c:pt>
                <c:pt idx="13">
                  <c:v>171.834</c:v>
                </c:pt>
                <c:pt idx="14">
                  <c:v>168.251</c:v>
                </c:pt>
                <c:pt idx="15">
                  <c:v>165.58199999999999</c:v>
                </c:pt>
                <c:pt idx="16">
                  <c:v>162.75399999999999</c:v>
                </c:pt>
                <c:pt idx="17">
                  <c:v>162.25700000000001</c:v>
                </c:pt>
                <c:pt idx="18">
                  <c:v>161.04</c:v>
                </c:pt>
                <c:pt idx="19">
                  <c:v>159.846</c:v>
                </c:pt>
                <c:pt idx="20">
                  <c:v>159.06200000000001</c:v>
                </c:pt>
                <c:pt idx="21">
                  <c:v>158.21199999999999</c:v>
                </c:pt>
                <c:pt idx="22">
                  <c:v>157.36600000000001</c:v>
                </c:pt>
                <c:pt idx="23">
                  <c:v>156.46600000000001</c:v>
                </c:pt>
                <c:pt idx="24">
                  <c:v>157.02000000000001</c:v>
                </c:pt>
                <c:pt idx="25">
                  <c:v>160.18700000000001</c:v>
                </c:pt>
                <c:pt idx="26">
                  <c:v>160.30699999999999</c:v>
                </c:pt>
                <c:pt idx="27">
                  <c:v>160.10400000000001</c:v>
                </c:pt>
                <c:pt idx="28">
                  <c:v>172.11199999999999</c:v>
                </c:pt>
                <c:pt idx="29">
                  <c:v>173.45500000000001</c:v>
                </c:pt>
                <c:pt idx="30">
                  <c:v>173.31200000000001</c:v>
                </c:pt>
                <c:pt idx="31">
                  <c:v>173.14099999999999</c:v>
                </c:pt>
                <c:pt idx="32">
                  <c:v>173.10900000000001</c:v>
                </c:pt>
                <c:pt idx="33">
                  <c:v>173.16800000000001</c:v>
                </c:pt>
                <c:pt idx="34">
                  <c:v>172.21</c:v>
                </c:pt>
                <c:pt idx="35">
                  <c:v>171.00899999999999</c:v>
                </c:pt>
                <c:pt idx="36">
                  <c:v>169.84299999999999</c:v>
                </c:pt>
                <c:pt idx="37">
                  <c:v>169.15600000000001</c:v>
                </c:pt>
                <c:pt idx="38">
                  <c:v>168.364</c:v>
                </c:pt>
                <c:pt idx="39">
                  <c:v>167.69399999999999</c:v>
                </c:pt>
                <c:pt idx="40">
                  <c:v>166.95500000000001</c:v>
                </c:pt>
                <c:pt idx="41">
                  <c:v>166.98400000000001</c:v>
                </c:pt>
                <c:pt idx="42">
                  <c:v>166.12799999999999</c:v>
                </c:pt>
                <c:pt idx="43">
                  <c:v>165.678</c:v>
                </c:pt>
                <c:pt idx="44">
                  <c:v>165.251</c:v>
                </c:pt>
                <c:pt idx="45">
                  <c:v>164.066</c:v>
                </c:pt>
                <c:pt idx="46">
                  <c:v>163.816</c:v>
                </c:pt>
                <c:pt idx="47">
                  <c:v>162.78800000000001</c:v>
                </c:pt>
                <c:pt idx="48">
                  <c:v>161.62799999999999</c:v>
                </c:pt>
                <c:pt idx="49">
                  <c:v>161.886</c:v>
                </c:pt>
                <c:pt idx="50">
                  <c:v>161.29400000000001</c:v>
                </c:pt>
                <c:pt idx="51">
                  <c:v>192.495</c:v>
                </c:pt>
                <c:pt idx="52">
                  <c:v>191.01900000000001</c:v>
                </c:pt>
                <c:pt idx="53">
                  <c:v>190.02799999999999</c:v>
                </c:pt>
                <c:pt idx="54">
                  <c:v>188.203</c:v>
                </c:pt>
                <c:pt idx="55">
                  <c:v>186.74600000000001</c:v>
                </c:pt>
                <c:pt idx="56">
                  <c:v>184.51599999999999</c:v>
                </c:pt>
                <c:pt idx="57">
                  <c:v>183.17699999999999</c:v>
                </c:pt>
                <c:pt idx="58">
                  <c:v>181.304</c:v>
                </c:pt>
                <c:pt idx="59">
                  <c:v>175.441</c:v>
                </c:pt>
                <c:pt idx="60">
                  <c:v>168.51300000000001</c:v>
                </c:pt>
                <c:pt idx="61">
                  <c:v>165.06200000000001</c:v>
                </c:pt>
                <c:pt idx="62">
                  <c:v>161.27099999999999</c:v>
                </c:pt>
                <c:pt idx="63">
                  <c:v>158.16499999999999</c:v>
                </c:pt>
                <c:pt idx="64">
                  <c:v>153.953</c:v>
                </c:pt>
                <c:pt idx="65">
                  <c:v>151.00800000000001</c:v>
                </c:pt>
                <c:pt idx="66">
                  <c:v>148.726</c:v>
                </c:pt>
                <c:pt idx="67">
                  <c:v>146.501</c:v>
                </c:pt>
                <c:pt idx="68">
                  <c:v>145.05000000000001</c:v>
                </c:pt>
                <c:pt idx="69">
                  <c:v>143.625</c:v>
                </c:pt>
                <c:pt idx="70">
                  <c:v>142.101</c:v>
                </c:pt>
                <c:pt idx="71">
                  <c:v>140.47499999999999</c:v>
                </c:pt>
                <c:pt idx="72">
                  <c:v>140.036</c:v>
                </c:pt>
                <c:pt idx="73">
                  <c:v>140.19900000000001</c:v>
                </c:pt>
                <c:pt idx="74">
                  <c:v>139.33699999999999</c:v>
                </c:pt>
                <c:pt idx="75">
                  <c:v>137.18299999999999</c:v>
                </c:pt>
                <c:pt idx="76">
                  <c:v>146.02500000000001</c:v>
                </c:pt>
                <c:pt idx="77">
                  <c:v>144.798</c:v>
                </c:pt>
                <c:pt idx="78">
                  <c:v>142.43100000000001</c:v>
                </c:pt>
                <c:pt idx="79">
                  <c:v>139.84200000000001</c:v>
                </c:pt>
                <c:pt idx="80">
                  <c:v>134.88</c:v>
                </c:pt>
                <c:pt idx="81">
                  <c:v>133.88200000000001</c:v>
                </c:pt>
                <c:pt idx="82">
                  <c:v>133.18899999999999</c:v>
                </c:pt>
                <c:pt idx="83">
                  <c:v>131.274</c:v>
                </c:pt>
                <c:pt idx="84">
                  <c:v>129.54400000000001</c:v>
                </c:pt>
                <c:pt idx="85">
                  <c:v>127.875</c:v>
                </c:pt>
                <c:pt idx="86">
                  <c:v>130.01400000000001</c:v>
                </c:pt>
                <c:pt idx="87">
                  <c:v>130.36099999999999</c:v>
                </c:pt>
                <c:pt idx="88">
                  <c:v>129.55500000000001</c:v>
                </c:pt>
                <c:pt idx="89">
                  <c:v>129.749</c:v>
                </c:pt>
                <c:pt idx="90">
                  <c:v>129.18899999999999</c:v>
                </c:pt>
                <c:pt idx="91">
                  <c:v>129.56700000000001</c:v>
                </c:pt>
                <c:pt idx="92">
                  <c:v>129.96700000000001</c:v>
                </c:pt>
                <c:pt idx="93">
                  <c:v>130.00700000000001</c:v>
                </c:pt>
                <c:pt idx="94">
                  <c:v>129.92699999999999</c:v>
                </c:pt>
                <c:pt idx="95">
                  <c:v>130.434</c:v>
                </c:pt>
                <c:pt idx="96">
                  <c:v>130.20599999999999</c:v>
                </c:pt>
                <c:pt idx="97">
                  <c:v>128.24799999999999</c:v>
                </c:pt>
                <c:pt idx="98">
                  <c:v>124.63200000000001</c:v>
                </c:pt>
              </c:numCache>
            </c:numRef>
          </c:val>
          <c:smooth val="0"/>
          <c:extLst>
            <c:ext xmlns:c16="http://schemas.microsoft.com/office/drawing/2014/chart" uri="{C3380CC4-5D6E-409C-BE32-E72D297353CC}">
              <c16:uniqueId val="{00000001-1D16-46FC-8942-DAD910E78309}"/>
            </c:ext>
          </c:extLst>
        </c:ser>
        <c:ser>
          <c:idx val="2"/>
          <c:order val="2"/>
          <c:tx>
            <c:strRef>
              <c:f>'Chart data'!$H$1</c:f>
              <c:strCache>
                <c:ptCount val="1"/>
                <c:pt idx="0">
                  <c:v>Total</c:v>
                </c:pt>
              </c:strCache>
            </c:strRef>
          </c:tx>
          <c:spPr>
            <a:ln w="28575" cap="rnd">
              <a:solidFill>
                <a:schemeClr val="accent3"/>
              </a:solidFill>
              <a:round/>
            </a:ln>
            <a:effectLst/>
          </c:spPr>
          <c:marker>
            <c:symbol val="none"/>
          </c:marker>
          <c:cat>
            <c:numRef>
              <c:f>'Chart data'!$E$2:$E$100</c:f>
              <c:numCache>
                <c:formatCode>m/d/yyyy</c:formatCode>
                <c:ptCount val="99"/>
                <c:pt idx="0">
                  <c:v>44669</c:v>
                </c:pt>
                <c:pt idx="1">
                  <c:v>44662</c:v>
                </c:pt>
                <c:pt idx="2">
                  <c:v>44655</c:v>
                </c:pt>
                <c:pt idx="3">
                  <c:v>44648</c:v>
                </c:pt>
                <c:pt idx="4">
                  <c:v>44641</c:v>
                </c:pt>
                <c:pt idx="5">
                  <c:v>44634</c:v>
                </c:pt>
                <c:pt idx="6">
                  <c:v>44620</c:v>
                </c:pt>
                <c:pt idx="7">
                  <c:v>44613</c:v>
                </c:pt>
                <c:pt idx="8">
                  <c:v>44606</c:v>
                </c:pt>
                <c:pt idx="9">
                  <c:v>44599</c:v>
                </c:pt>
                <c:pt idx="10">
                  <c:v>44585</c:v>
                </c:pt>
                <c:pt idx="11">
                  <c:v>44578</c:v>
                </c:pt>
                <c:pt idx="12">
                  <c:v>44550</c:v>
                </c:pt>
                <c:pt idx="13">
                  <c:v>44543</c:v>
                </c:pt>
                <c:pt idx="14">
                  <c:v>44536</c:v>
                </c:pt>
                <c:pt idx="15">
                  <c:v>44529</c:v>
                </c:pt>
                <c:pt idx="16">
                  <c:v>44522</c:v>
                </c:pt>
                <c:pt idx="17">
                  <c:v>44515</c:v>
                </c:pt>
                <c:pt idx="18">
                  <c:v>44508</c:v>
                </c:pt>
                <c:pt idx="19">
                  <c:v>44501</c:v>
                </c:pt>
                <c:pt idx="20">
                  <c:v>44494</c:v>
                </c:pt>
                <c:pt idx="21">
                  <c:v>44487</c:v>
                </c:pt>
                <c:pt idx="22">
                  <c:v>44480</c:v>
                </c:pt>
                <c:pt idx="23">
                  <c:v>44473</c:v>
                </c:pt>
                <c:pt idx="24">
                  <c:v>44466</c:v>
                </c:pt>
                <c:pt idx="25">
                  <c:v>44459</c:v>
                </c:pt>
                <c:pt idx="26">
                  <c:v>44452</c:v>
                </c:pt>
                <c:pt idx="27">
                  <c:v>44445</c:v>
                </c:pt>
                <c:pt idx="28">
                  <c:v>44438</c:v>
                </c:pt>
                <c:pt idx="29">
                  <c:v>44431</c:v>
                </c:pt>
                <c:pt idx="30">
                  <c:v>44424</c:v>
                </c:pt>
                <c:pt idx="31">
                  <c:v>44417</c:v>
                </c:pt>
                <c:pt idx="32">
                  <c:v>44410</c:v>
                </c:pt>
                <c:pt idx="33">
                  <c:v>44403</c:v>
                </c:pt>
                <c:pt idx="34">
                  <c:v>44396</c:v>
                </c:pt>
                <c:pt idx="35">
                  <c:v>44389</c:v>
                </c:pt>
                <c:pt idx="36">
                  <c:v>44382</c:v>
                </c:pt>
                <c:pt idx="37">
                  <c:v>44375</c:v>
                </c:pt>
                <c:pt idx="38">
                  <c:v>44368</c:v>
                </c:pt>
                <c:pt idx="39">
                  <c:v>44361</c:v>
                </c:pt>
                <c:pt idx="40">
                  <c:v>44354</c:v>
                </c:pt>
                <c:pt idx="41">
                  <c:v>44347</c:v>
                </c:pt>
                <c:pt idx="42">
                  <c:v>44340</c:v>
                </c:pt>
                <c:pt idx="43">
                  <c:v>44333</c:v>
                </c:pt>
                <c:pt idx="44">
                  <c:v>44326</c:v>
                </c:pt>
                <c:pt idx="45">
                  <c:v>44312</c:v>
                </c:pt>
                <c:pt idx="46">
                  <c:v>44305</c:v>
                </c:pt>
                <c:pt idx="47">
                  <c:v>44298</c:v>
                </c:pt>
                <c:pt idx="48">
                  <c:v>44292</c:v>
                </c:pt>
                <c:pt idx="49">
                  <c:v>44284</c:v>
                </c:pt>
                <c:pt idx="50">
                  <c:v>44277</c:v>
                </c:pt>
                <c:pt idx="51">
                  <c:v>44270</c:v>
                </c:pt>
                <c:pt idx="52">
                  <c:v>44262</c:v>
                </c:pt>
                <c:pt idx="53">
                  <c:v>44255</c:v>
                </c:pt>
                <c:pt idx="54">
                  <c:v>44248</c:v>
                </c:pt>
                <c:pt idx="55">
                  <c:v>44241</c:v>
                </c:pt>
                <c:pt idx="56">
                  <c:v>44234</c:v>
                </c:pt>
                <c:pt idx="57">
                  <c:v>44227</c:v>
                </c:pt>
                <c:pt idx="58">
                  <c:v>44222</c:v>
                </c:pt>
                <c:pt idx="59">
                  <c:v>44206</c:v>
                </c:pt>
                <c:pt idx="60">
                  <c:v>44185</c:v>
                </c:pt>
                <c:pt idx="61">
                  <c:v>44178</c:v>
                </c:pt>
                <c:pt idx="62">
                  <c:v>44171</c:v>
                </c:pt>
                <c:pt idx="63">
                  <c:v>44164</c:v>
                </c:pt>
                <c:pt idx="64">
                  <c:v>44157</c:v>
                </c:pt>
                <c:pt idx="65">
                  <c:v>44150</c:v>
                </c:pt>
                <c:pt idx="66">
                  <c:v>44143</c:v>
                </c:pt>
                <c:pt idx="67">
                  <c:v>44136</c:v>
                </c:pt>
                <c:pt idx="68">
                  <c:v>44129</c:v>
                </c:pt>
                <c:pt idx="69">
                  <c:v>44122</c:v>
                </c:pt>
                <c:pt idx="70">
                  <c:v>44116</c:v>
                </c:pt>
                <c:pt idx="71">
                  <c:v>44109</c:v>
                </c:pt>
                <c:pt idx="72">
                  <c:v>44101</c:v>
                </c:pt>
                <c:pt idx="73">
                  <c:v>44094</c:v>
                </c:pt>
                <c:pt idx="74">
                  <c:v>44087</c:v>
                </c:pt>
                <c:pt idx="75">
                  <c:v>44080</c:v>
                </c:pt>
                <c:pt idx="76">
                  <c:v>44073</c:v>
                </c:pt>
                <c:pt idx="77">
                  <c:v>44066</c:v>
                </c:pt>
                <c:pt idx="78">
                  <c:v>44059</c:v>
                </c:pt>
                <c:pt idx="79">
                  <c:v>44052</c:v>
                </c:pt>
                <c:pt idx="80">
                  <c:v>44045</c:v>
                </c:pt>
                <c:pt idx="81">
                  <c:v>44038</c:v>
                </c:pt>
                <c:pt idx="82">
                  <c:v>44031</c:v>
                </c:pt>
                <c:pt idx="83">
                  <c:v>44024</c:v>
                </c:pt>
                <c:pt idx="84">
                  <c:v>44017</c:v>
                </c:pt>
                <c:pt idx="85">
                  <c:v>44010</c:v>
                </c:pt>
                <c:pt idx="86">
                  <c:v>44003</c:v>
                </c:pt>
                <c:pt idx="87">
                  <c:v>43996</c:v>
                </c:pt>
                <c:pt idx="88">
                  <c:v>43989</c:v>
                </c:pt>
                <c:pt idx="89">
                  <c:v>43982</c:v>
                </c:pt>
                <c:pt idx="90">
                  <c:v>43975</c:v>
                </c:pt>
                <c:pt idx="91">
                  <c:v>43968</c:v>
                </c:pt>
                <c:pt idx="92">
                  <c:v>43961</c:v>
                </c:pt>
                <c:pt idx="93">
                  <c:v>43954</c:v>
                </c:pt>
                <c:pt idx="94">
                  <c:v>43947</c:v>
                </c:pt>
                <c:pt idx="95">
                  <c:v>43940</c:v>
                </c:pt>
                <c:pt idx="96">
                  <c:v>43933</c:v>
                </c:pt>
                <c:pt idx="97">
                  <c:v>43926</c:v>
                </c:pt>
                <c:pt idx="98">
                  <c:v>43919</c:v>
                </c:pt>
              </c:numCache>
            </c:numRef>
          </c:cat>
          <c:val>
            <c:numRef>
              <c:f>'Chart data'!$H$2:$H$100</c:f>
              <c:numCache>
                <c:formatCode>General</c:formatCode>
                <c:ptCount val="99"/>
                <c:pt idx="0">
                  <c:v>429.56599999999997</c:v>
                </c:pt>
                <c:pt idx="1">
                  <c:v>429.04500000000002</c:v>
                </c:pt>
                <c:pt idx="2">
                  <c:v>427.24</c:v>
                </c:pt>
                <c:pt idx="3">
                  <c:v>425.56200000000001</c:v>
                </c:pt>
                <c:pt idx="4">
                  <c:v>427.18200000000002</c:v>
                </c:pt>
                <c:pt idx="5">
                  <c:v>503.04300000000001</c:v>
                </c:pt>
                <c:pt idx="6">
                  <c:v>501.95699999999999</c:v>
                </c:pt>
                <c:pt idx="7">
                  <c:v>498.976</c:v>
                </c:pt>
                <c:pt idx="8">
                  <c:v>494.12799999999999</c:v>
                </c:pt>
                <c:pt idx="9">
                  <c:v>488.02199999999999</c:v>
                </c:pt>
                <c:pt idx="10">
                  <c:v>481.52</c:v>
                </c:pt>
                <c:pt idx="11">
                  <c:v>475.15600000000001</c:v>
                </c:pt>
                <c:pt idx="12">
                  <c:v>466.66899999999998</c:v>
                </c:pt>
                <c:pt idx="13">
                  <c:v>462.14800000000002</c:v>
                </c:pt>
                <c:pt idx="14">
                  <c:v>461.37599999999998</c:v>
                </c:pt>
                <c:pt idx="15">
                  <c:v>462.21</c:v>
                </c:pt>
                <c:pt idx="16">
                  <c:v>461.19099999999997</c:v>
                </c:pt>
                <c:pt idx="17">
                  <c:v>463.07299999999998</c:v>
                </c:pt>
                <c:pt idx="18">
                  <c:v>462.86599999999999</c:v>
                </c:pt>
                <c:pt idx="19">
                  <c:v>462.69</c:v>
                </c:pt>
                <c:pt idx="20">
                  <c:v>463.81400000000002</c:v>
                </c:pt>
                <c:pt idx="21">
                  <c:v>464.53699999999998</c:v>
                </c:pt>
                <c:pt idx="22">
                  <c:v>465.226</c:v>
                </c:pt>
                <c:pt idx="23">
                  <c:v>465.26799999999997</c:v>
                </c:pt>
                <c:pt idx="24">
                  <c:v>469.17399999999998</c:v>
                </c:pt>
                <c:pt idx="25">
                  <c:v>474.18</c:v>
                </c:pt>
                <c:pt idx="26">
                  <c:v>482.06799999999998</c:v>
                </c:pt>
                <c:pt idx="27">
                  <c:v>487.29300000000001</c:v>
                </c:pt>
                <c:pt idx="28">
                  <c:v>522.97</c:v>
                </c:pt>
                <c:pt idx="29">
                  <c:v>528.505</c:v>
                </c:pt>
                <c:pt idx="30">
                  <c:v>531.78200000000004</c:v>
                </c:pt>
                <c:pt idx="31">
                  <c:v>533.84900000000005</c:v>
                </c:pt>
                <c:pt idx="32">
                  <c:v>534.15099999999995</c:v>
                </c:pt>
                <c:pt idx="33">
                  <c:v>537.04200000000003</c:v>
                </c:pt>
                <c:pt idx="34">
                  <c:v>535.93700000000001</c:v>
                </c:pt>
                <c:pt idx="35">
                  <c:v>536.16999999999996</c:v>
                </c:pt>
                <c:pt idx="36">
                  <c:v>536.04</c:v>
                </c:pt>
                <c:pt idx="37">
                  <c:v>536.39400000000001</c:v>
                </c:pt>
                <c:pt idx="38">
                  <c:v>535.75300000000004</c:v>
                </c:pt>
                <c:pt idx="39">
                  <c:v>534.87699999999995</c:v>
                </c:pt>
                <c:pt idx="40">
                  <c:v>535.04499999999996</c:v>
                </c:pt>
                <c:pt idx="41">
                  <c:v>536.43700000000001</c:v>
                </c:pt>
                <c:pt idx="42">
                  <c:v>535.30899999999997</c:v>
                </c:pt>
                <c:pt idx="43">
                  <c:v>534.77599999999995</c:v>
                </c:pt>
                <c:pt idx="44">
                  <c:v>533.97299999999996</c:v>
                </c:pt>
                <c:pt idx="45">
                  <c:v>531.92100000000005</c:v>
                </c:pt>
                <c:pt idx="46">
                  <c:v>533.79499999999996</c:v>
                </c:pt>
                <c:pt idx="47">
                  <c:v>532.529</c:v>
                </c:pt>
                <c:pt idx="48">
                  <c:v>530.92100000000005</c:v>
                </c:pt>
                <c:pt idx="49">
                  <c:v>532.88800000000003</c:v>
                </c:pt>
                <c:pt idx="50">
                  <c:v>532.16899999999998</c:v>
                </c:pt>
                <c:pt idx="51">
                  <c:v>620.90700000000004</c:v>
                </c:pt>
                <c:pt idx="52">
                  <c:v>622.63</c:v>
                </c:pt>
                <c:pt idx="53">
                  <c:v>624.66600000000005</c:v>
                </c:pt>
                <c:pt idx="54">
                  <c:v>623.19500000000005</c:v>
                </c:pt>
                <c:pt idx="55">
                  <c:v>621.93799999999999</c:v>
                </c:pt>
                <c:pt idx="56">
                  <c:v>619.53399999999999</c:v>
                </c:pt>
                <c:pt idx="57">
                  <c:v>620.59</c:v>
                </c:pt>
                <c:pt idx="58">
                  <c:v>618.98199999999997</c:v>
                </c:pt>
                <c:pt idx="59">
                  <c:v>614.12800000000004</c:v>
                </c:pt>
                <c:pt idx="60">
                  <c:v>615.70899999999995</c:v>
                </c:pt>
                <c:pt idx="61">
                  <c:v>614.79</c:v>
                </c:pt>
                <c:pt idx="62">
                  <c:v>614.05999999999995</c:v>
                </c:pt>
                <c:pt idx="63">
                  <c:v>614.51</c:v>
                </c:pt>
                <c:pt idx="64">
                  <c:v>612.67100000000005</c:v>
                </c:pt>
                <c:pt idx="65">
                  <c:v>611.95399999999995</c:v>
                </c:pt>
                <c:pt idx="66">
                  <c:v>610.08799999999997</c:v>
                </c:pt>
                <c:pt idx="67">
                  <c:v>607.40899999999999</c:v>
                </c:pt>
                <c:pt idx="68">
                  <c:v>607.33900000000006</c:v>
                </c:pt>
                <c:pt idx="69">
                  <c:v>606.03899999999999</c:v>
                </c:pt>
                <c:pt idx="70">
                  <c:v>604.17200000000003</c:v>
                </c:pt>
                <c:pt idx="71">
                  <c:v>601.74099999999999</c:v>
                </c:pt>
                <c:pt idx="72">
                  <c:v>607.428</c:v>
                </c:pt>
                <c:pt idx="73">
                  <c:v>610.88499999999999</c:v>
                </c:pt>
                <c:pt idx="74">
                  <c:v>618.30100000000004</c:v>
                </c:pt>
                <c:pt idx="75">
                  <c:v>619.84699999999998</c:v>
                </c:pt>
                <c:pt idx="76">
                  <c:v>656.529</c:v>
                </c:pt>
                <c:pt idx="77">
                  <c:v>660.73800000000006</c:v>
                </c:pt>
                <c:pt idx="78">
                  <c:v>663.22699999999998</c:v>
                </c:pt>
                <c:pt idx="79">
                  <c:v>665.05</c:v>
                </c:pt>
                <c:pt idx="80">
                  <c:v>663.01</c:v>
                </c:pt>
                <c:pt idx="81">
                  <c:v>668.42700000000002</c:v>
                </c:pt>
                <c:pt idx="82">
                  <c:v>670.70500000000004</c:v>
                </c:pt>
                <c:pt idx="83">
                  <c:v>671.96299999999997</c:v>
                </c:pt>
                <c:pt idx="84">
                  <c:v>672.65599999999995</c:v>
                </c:pt>
                <c:pt idx="85">
                  <c:v>674.17499999999995</c:v>
                </c:pt>
                <c:pt idx="86">
                  <c:v>681.846</c:v>
                </c:pt>
                <c:pt idx="87">
                  <c:v>683.12400000000002</c:v>
                </c:pt>
                <c:pt idx="88">
                  <c:v>683.37699999999995</c:v>
                </c:pt>
                <c:pt idx="89">
                  <c:v>684.93799999999999</c:v>
                </c:pt>
                <c:pt idx="90">
                  <c:v>684.18200000000002</c:v>
                </c:pt>
                <c:pt idx="91">
                  <c:v>684.05700000000002</c:v>
                </c:pt>
                <c:pt idx="92">
                  <c:v>684.43200000000002</c:v>
                </c:pt>
                <c:pt idx="93">
                  <c:v>684.36599999999999</c:v>
                </c:pt>
                <c:pt idx="94">
                  <c:v>684.65499999999997</c:v>
                </c:pt>
                <c:pt idx="95">
                  <c:v>685.798</c:v>
                </c:pt>
                <c:pt idx="96">
                  <c:v>686.87900000000002</c:v>
                </c:pt>
                <c:pt idx="97">
                  <c:v>687.53200000000004</c:v>
                </c:pt>
                <c:pt idx="98">
                  <c:v>688.83699999999999</c:v>
                </c:pt>
              </c:numCache>
            </c:numRef>
          </c:val>
          <c:smooth val="0"/>
          <c:extLst>
            <c:ext xmlns:c16="http://schemas.microsoft.com/office/drawing/2014/chart" uri="{C3380CC4-5D6E-409C-BE32-E72D297353CC}">
              <c16:uniqueId val="{00000002-1D16-46FC-8942-DAD910E78309}"/>
            </c:ext>
          </c:extLst>
        </c:ser>
        <c:dLbls>
          <c:showLegendKey val="0"/>
          <c:showVal val="0"/>
          <c:showCatName val="0"/>
          <c:showSerName val="0"/>
          <c:showPercent val="0"/>
          <c:showBubbleSize val="0"/>
        </c:dLbls>
        <c:smooth val="0"/>
        <c:axId val="254291295"/>
        <c:axId val="254301279"/>
      </c:lineChart>
      <c:dateAx>
        <c:axId val="254291295"/>
        <c:scaling>
          <c:orientation val="minMax"/>
        </c:scaling>
        <c:delete val="0"/>
        <c:axPos val="b"/>
        <c:numFmt formatCode="mmm\-yy" sourceLinked="0"/>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54301279"/>
        <c:crosses val="autoZero"/>
        <c:auto val="1"/>
        <c:lblOffset val="100"/>
        <c:baseTimeUnit val="days"/>
        <c:majorUnit val="3"/>
        <c:majorTimeUnit val="months"/>
        <c:minorUnit val="2"/>
        <c:minorTimeUnit val="months"/>
      </c:dateAx>
      <c:valAx>
        <c:axId val="254301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('000)</a:t>
                </a:r>
              </a:p>
            </c:rich>
          </c:tx>
          <c:layout>
            <c:manualLayout>
              <c:xMode val="edge"/>
              <c:yMode val="edge"/>
              <c:x val="1.6018306636155607E-2"/>
              <c:y val="0.310738579241959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54291295"/>
        <c:crosses val="autoZero"/>
        <c:crossBetween val="between"/>
        <c:majorUnit val="200"/>
      </c:valAx>
      <c:spPr>
        <a:noFill/>
        <a:ln>
          <a:noFill/>
        </a:ln>
        <a:effectLst/>
      </c:spPr>
    </c:plotArea>
    <c:legend>
      <c:legendPos val="b"/>
      <c:layout>
        <c:manualLayout>
          <c:xMode val="edge"/>
          <c:yMode val="edge"/>
          <c:x val="0.25379626759253521"/>
          <c:y val="5.0911801705260204E-2"/>
          <c:w val="0.59233968179606844"/>
          <c:h val="6.44540308043395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5285334316488"/>
          <c:y val="2.1086254629130264E-2"/>
          <c:w val="0.81995804036201159"/>
          <c:h val="0.77092016040367839"/>
        </c:manualLayout>
      </c:layout>
      <c:lineChart>
        <c:grouping val="standard"/>
        <c:varyColors val="0"/>
        <c:ser>
          <c:idx val="0"/>
          <c:order val="0"/>
          <c:tx>
            <c:v>Overnight (LHS*)</c:v>
          </c:tx>
          <c:spPr>
            <a:ln w="28575" cap="rnd">
              <a:solidFill>
                <a:schemeClr val="accent1"/>
              </a:solidFill>
              <a:round/>
            </a:ln>
            <a:effectLst/>
          </c:spPr>
          <c:marker>
            <c:symbol val="none"/>
          </c:marker>
          <c:cat>
            <c:numRef>
              <c:f>'ON and DT'!$D$79:$D$102</c:f>
              <c:numCache>
                <c:formatCode>mmm\-yy</c:formatCode>
                <c:ptCount val="24"/>
                <c:pt idx="0">
                  <c:v>42430</c:v>
                </c:pt>
                <c:pt idx="1">
                  <c:v>42522</c:v>
                </c:pt>
                <c:pt idx="2">
                  <c:v>42614</c:v>
                </c:pt>
                <c:pt idx="3">
                  <c:v>42705</c:v>
                </c:pt>
                <c:pt idx="4">
                  <c:v>42795</c:v>
                </c:pt>
                <c:pt idx="5">
                  <c:v>42887</c:v>
                </c:pt>
                <c:pt idx="6">
                  <c:v>42979</c:v>
                </c:pt>
                <c:pt idx="7">
                  <c:v>43070</c:v>
                </c:pt>
                <c:pt idx="8">
                  <c:v>43160</c:v>
                </c:pt>
                <c:pt idx="9">
                  <c:v>43252</c:v>
                </c:pt>
                <c:pt idx="10">
                  <c:v>43344</c:v>
                </c:pt>
                <c:pt idx="11">
                  <c:v>43435</c:v>
                </c:pt>
                <c:pt idx="12">
                  <c:v>43525</c:v>
                </c:pt>
                <c:pt idx="13">
                  <c:v>43617</c:v>
                </c:pt>
                <c:pt idx="14">
                  <c:v>43709</c:v>
                </c:pt>
                <c:pt idx="15">
                  <c:v>43800</c:v>
                </c:pt>
                <c:pt idx="16">
                  <c:v>43891</c:v>
                </c:pt>
                <c:pt idx="17">
                  <c:v>43983</c:v>
                </c:pt>
                <c:pt idx="18">
                  <c:v>44075</c:v>
                </c:pt>
                <c:pt idx="19">
                  <c:v>44166</c:v>
                </c:pt>
                <c:pt idx="20">
                  <c:v>44256</c:v>
                </c:pt>
                <c:pt idx="21">
                  <c:v>44348</c:v>
                </c:pt>
                <c:pt idx="22">
                  <c:v>44440</c:v>
                </c:pt>
                <c:pt idx="23">
                  <c:v>44531</c:v>
                </c:pt>
              </c:numCache>
            </c:numRef>
          </c:cat>
          <c:val>
            <c:numRef>
              <c:f>'ON and DT'!$B$79:$B$102</c:f>
              <c:numCache>
                <c:formatCode>#,##0</c:formatCode>
                <c:ptCount val="24"/>
                <c:pt idx="0">
                  <c:v>58090</c:v>
                </c:pt>
                <c:pt idx="1">
                  <c:v>58662</c:v>
                </c:pt>
                <c:pt idx="2">
                  <c:v>59574</c:v>
                </c:pt>
                <c:pt idx="3">
                  <c:v>60981</c:v>
                </c:pt>
                <c:pt idx="4">
                  <c:v>61538</c:v>
                </c:pt>
                <c:pt idx="5">
                  <c:v>62186</c:v>
                </c:pt>
                <c:pt idx="6">
                  <c:v>63575</c:v>
                </c:pt>
                <c:pt idx="7">
                  <c:v>64627</c:v>
                </c:pt>
                <c:pt idx="8">
                  <c:v>65252</c:v>
                </c:pt>
                <c:pt idx="9">
                  <c:v>67575</c:v>
                </c:pt>
                <c:pt idx="10">
                  <c:v>69841</c:v>
                </c:pt>
                <c:pt idx="11">
                  <c:v>71811</c:v>
                </c:pt>
                <c:pt idx="12">
                  <c:v>74549</c:v>
                </c:pt>
                <c:pt idx="13">
                  <c:v>77476</c:v>
                </c:pt>
                <c:pt idx="14">
                  <c:v>79116</c:v>
                </c:pt>
                <c:pt idx="15">
                  <c:v>80692</c:v>
                </c:pt>
                <c:pt idx="16">
                  <c:v>78752</c:v>
                </c:pt>
                <c:pt idx="17">
                  <c:v>63008</c:v>
                </c:pt>
                <c:pt idx="18">
                  <c:v>51890</c:v>
                </c:pt>
                <c:pt idx="19">
                  <c:v>45642</c:v>
                </c:pt>
                <c:pt idx="20">
                  <c:v>45650</c:v>
                </c:pt>
                <c:pt idx="21">
                  <c:v>61342</c:v>
                </c:pt>
                <c:pt idx="22">
                  <c:v>60947</c:v>
                </c:pt>
                <c:pt idx="23">
                  <c:v>60747</c:v>
                </c:pt>
              </c:numCache>
            </c:numRef>
          </c:val>
          <c:smooth val="0"/>
          <c:extLst>
            <c:ext xmlns:c16="http://schemas.microsoft.com/office/drawing/2014/chart" uri="{C3380CC4-5D6E-409C-BE32-E72D297353CC}">
              <c16:uniqueId val="{00000000-EF90-4193-A78A-42B70EBB17A1}"/>
            </c:ext>
          </c:extLst>
        </c:ser>
        <c:dLbls>
          <c:showLegendKey val="0"/>
          <c:showVal val="0"/>
          <c:showCatName val="0"/>
          <c:showSerName val="0"/>
          <c:showPercent val="0"/>
          <c:showBubbleSize val="0"/>
        </c:dLbls>
        <c:marker val="1"/>
        <c:smooth val="0"/>
        <c:axId val="634446159"/>
        <c:axId val="634446575"/>
      </c:lineChart>
      <c:lineChart>
        <c:grouping val="standard"/>
        <c:varyColors val="0"/>
        <c:ser>
          <c:idx val="1"/>
          <c:order val="1"/>
          <c:tx>
            <c:v>Day trip (RHS**)</c:v>
          </c:tx>
          <c:spPr>
            <a:ln w="28575" cap="rnd">
              <a:solidFill>
                <a:schemeClr val="accent2"/>
              </a:solidFill>
              <a:round/>
            </a:ln>
            <a:effectLst/>
          </c:spPr>
          <c:marker>
            <c:symbol val="none"/>
          </c:marker>
          <c:cat>
            <c:numRef>
              <c:f>'ON and DT'!$D$79:$D$102</c:f>
              <c:numCache>
                <c:formatCode>mmm\-yy</c:formatCode>
                <c:ptCount val="24"/>
                <c:pt idx="0">
                  <c:v>42430</c:v>
                </c:pt>
                <c:pt idx="1">
                  <c:v>42522</c:v>
                </c:pt>
                <c:pt idx="2">
                  <c:v>42614</c:v>
                </c:pt>
                <c:pt idx="3">
                  <c:v>42705</c:v>
                </c:pt>
                <c:pt idx="4">
                  <c:v>42795</c:v>
                </c:pt>
                <c:pt idx="5">
                  <c:v>42887</c:v>
                </c:pt>
                <c:pt idx="6">
                  <c:v>42979</c:v>
                </c:pt>
                <c:pt idx="7">
                  <c:v>43070</c:v>
                </c:pt>
                <c:pt idx="8">
                  <c:v>43160</c:v>
                </c:pt>
                <c:pt idx="9">
                  <c:v>43252</c:v>
                </c:pt>
                <c:pt idx="10">
                  <c:v>43344</c:v>
                </c:pt>
                <c:pt idx="11">
                  <c:v>43435</c:v>
                </c:pt>
                <c:pt idx="12">
                  <c:v>43525</c:v>
                </c:pt>
                <c:pt idx="13">
                  <c:v>43617</c:v>
                </c:pt>
                <c:pt idx="14">
                  <c:v>43709</c:v>
                </c:pt>
                <c:pt idx="15">
                  <c:v>43800</c:v>
                </c:pt>
                <c:pt idx="16">
                  <c:v>43891</c:v>
                </c:pt>
                <c:pt idx="17">
                  <c:v>43983</c:v>
                </c:pt>
                <c:pt idx="18">
                  <c:v>44075</c:v>
                </c:pt>
                <c:pt idx="19">
                  <c:v>44166</c:v>
                </c:pt>
                <c:pt idx="20">
                  <c:v>44256</c:v>
                </c:pt>
                <c:pt idx="21">
                  <c:v>44348</c:v>
                </c:pt>
                <c:pt idx="22">
                  <c:v>44440</c:v>
                </c:pt>
                <c:pt idx="23">
                  <c:v>44531</c:v>
                </c:pt>
              </c:numCache>
            </c:numRef>
          </c:cat>
          <c:val>
            <c:numRef>
              <c:f>'ON and DT'!$C$79:$C$102</c:f>
              <c:numCache>
                <c:formatCode>#,##0</c:formatCode>
                <c:ptCount val="24"/>
                <c:pt idx="0">
                  <c:v>18834</c:v>
                </c:pt>
                <c:pt idx="1">
                  <c:v>19180</c:v>
                </c:pt>
                <c:pt idx="2">
                  <c:v>19213</c:v>
                </c:pt>
                <c:pt idx="3">
                  <c:v>19763</c:v>
                </c:pt>
                <c:pt idx="4">
                  <c:v>19533</c:v>
                </c:pt>
                <c:pt idx="5">
                  <c:v>19644</c:v>
                </c:pt>
                <c:pt idx="6">
                  <c:v>20445</c:v>
                </c:pt>
                <c:pt idx="7">
                  <c:v>20578</c:v>
                </c:pt>
                <c:pt idx="8">
                  <c:v>20919</c:v>
                </c:pt>
                <c:pt idx="9">
                  <c:v>21573</c:v>
                </c:pt>
                <c:pt idx="10">
                  <c:v>21971</c:v>
                </c:pt>
                <c:pt idx="11">
                  <c:v>22421</c:v>
                </c:pt>
                <c:pt idx="12">
                  <c:v>23523</c:v>
                </c:pt>
                <c:pt idx="13">
                  <c:v>24321</c:v>
                </c:pt>
                <c:pt idx="14">
                  <c:v>25286</c:v>
                </c:pt>
                <c:pt idx="15">
                  <c:v>26338</c:v>
                </c:pt>
                <c:pt idx="16">
                  <c:v>25863</c:v>
                </c:pt>
                <c:pt idx="17">
                  <c:v>22344</c:v>
                </c:pt>
                <c:pt idx="18">
                  <c:v>19059</c:v>
                </c:pt>
                <c:pt idx="19">
                  <c:v>17433</c:v>
                </c:pt>
                <c:pt idx="20">
                  <c:v>16742</c:v>
                </c:pt>
                <c:pt idx="21">
                  <c:v>18943</c:v>
                </c:pt>
                <c:pt idx="22">
                  <c:v>18257</c:v>
                </c:pt>
                <c:pt idx="23">
                  <c:v>18284</c:v>
                </c:pt>
              </c:numCache>
            </c:numRef>
          </c:val>
          <c:smooth val="0"/>
          <c:extLst>
            <c:ext xmlns:c16="http://schemas.microsoft.com/office/drawing/2014/chart" uri="{C3380CC4-5D6E-409C-BE32-E72D297353CC}">
              <c16:uniqueId val="{00000001-EF90-4193-A78A-42B70EBB17A1}"/>
            </c:ext>
          </c:extLst>
        </c:ser>
        <c:dLbls>
          <c:showLegendKey val="0"/>
          <c:showVal val="0"/>
          <c:showCatName val="0"/>
          <c:showSerName val="0"/>
          <c:showPercent val="0"/>
          <c:showBubbleSize val="0"/>
        </c:dLbls>
        <c:marker val="1"/>
        <c:smooth val="0"/>
        <c:axId val="1330311263"/>
        <c:axId val="1339724927"/>
      </c:lineChart>
      <c:dateAx>
        <c:axId val="634446159"/>
        <c:scaling>
          <c:orientation val="minMax"/>
        </c:scaling>
        <c:delete val="0"/>
        <c:axPos val="b"/>
        <c:numFmt formatCode="yyyy" sourceLinked="0"/>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34446575"/>
        <c:crosses val="autoZero"/>
        <c:auto val="1"/>
        <c:lblOffset val="100"/>
        <c:baseTimeUnit val="months"/>
        <c:majorUnit val="1"/>
        <c:majorTimeUnit val="years"/>
      </c:dateAx>
      <c:valAx>
        <c:axId val="634446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34446159"/>
        <c:crosses val="autoZero"/>
        <c:crossBetween val="between"/>
        <c:majorUnit val="20000"/>
        <c:dispUnits>
          <c:builtInUnit val="thousands"/>
        </c:dispUnits>
      </c:valAx>
      <c:valAx>
        <c:axId val="1339724927"/>
        <c:scaling>
          <c:orientation val="minMax"/>
          <c:max val="500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330311263"/>
        <c:crosses val="max"/>
        <c:crossBetween val="between"/>
        <c:majorUnit val="10000"/>
        <c:dispUnits>
          <c:builtInUnit val="thousands"/>
          <c:dispUnitsLbl>
            <c:layout>
              <c:manualLayout>
                <c:xMode val="edge"/>
                <c:yMode val="edge"/>
                <c:x val="0.96620949973226589"/>
                <c:y val="0.33756116251891871"/>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100"/>
                    <a:t>$billion</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dateAx>
        <c:axId val="1330311263"/>
        <c:scaling>
          <c:orientation val="minMax"/>
        </c:scaling>
        <c:delete val="1"/>
        <c:axPos val="b"/>
        <c:numFmt formatCode="mmm\-yy" sourceLinked="1"/>
        <c:majorTickMark val="out"/>
        <c:minorTickMark val="none"/>
        <c:tickLblPos val="nextTo"/>
        <c:crossAx val="1339724927"/>
        <c:crosses val="autoZero"/>
        <c:auto val="1"/>
        <c:lblOffset val="100"/>
        <c:baseTimeUnit val="months"/>
      </c:dateAx>
      <c:spPr>
        <a:noFill/>
        <a:ln>
          <a:noFill/>
        </a:ln>
        <a:effectLst/>
      </c:spPr>
    </c:plotArea>
    <c:legend>
      <c:legendPos val="b"/>
      <c:layout>
        <c:manualLayout>
          <c:xMode val="edge"/>
          <c:yMode val="edge"/>
          <c:x val="0.22438925903492832"/>
          <c:y val="2.9931173857505104E-2"/>
          <c:w val="0.62034059287739529"/>
          <c:h val="5.464464669189078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856946908335196E-2"/>
          <c:y val="3.4893146647015483E-2"/>
          <c:w val="0.85643954959438817"/>
          <c:h val="0.8215041289162659"/>
        </c:manualLayout>
      </c:layout>
      <c:areaChart>
        <c:grouping val="stacked"/>
        <c:varyColors val="0"/>
        <c:ser>
          <c:idx val="1"/>
          <c:order val="0"/>
          <c:tx>
            <c:strRef>
              <c:f>'Cumulative losses'!$C$38</c:f>
              <c:strCache>
                <c:ptCount val="1"/>
                <c:pt idx="0">
                  <c:v>Intrastate</c:v>
                </c:pt>
              </c:strCache>
            </c:strRef>
          </c:tx>
          <c:spPr>
            <a:solidFill>
              <a:schemeClr val="accent2"/>
            </a:solidFill>
            <a:ln>
              <a:noFill/>
            </a:ln>
            <a:effectLst/>
          </c:spPr>
          <c:cat>
            <c:numRef>
              <c:f>'Cumulative losses'!$A$39:$A$60</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losses'!$C$39:$C$60</c:f>
              <c:numCache>
                <c:formatCode>#,##0.0</c:formatCode>
                <c:ptCount val="22"/>
                <c:pt idx="0">
                  <c:v>1.165</c:v>
                </c:pt>
                <c:pt idx="1">
                  <c:v>4.3650000000000002</c:v>
                </c:pt>
                <c:pt idx="2">
                  <c:v>6.1059999999999999</c:v>
                </c:pt>
                <c:pt idx="3">
                  <c:v>7.2519999999999998</c:v>
                </c:pt>
                <c:pt idx="4">
                  <c:v>7.46</c:v>
                </c:pt>
                <c:pt idx="5">
                  <c:v>7.44</c:v>
                </c:pt>
                <c:pt idx="6">
                  <c:v>7.5149999999999997</c:v>
                </c:pt>
                <c:pt idx="7">
                  <c:v>6.61</c:v>
                </c:pt>
                <c:pt idx="8">
                  <c:v>6.04</c:v>
                </c:pt>
                <c:pt idx="9">
                  <c:v>5.6980000000000004</c:v>
                </c:pt>
                <c:pt idx="10">
                  <c:v>4.923</c:v>
                </c:pt>
                <c:pt idx="11">
                  <c:v>4.49</c:v>
                </c:pt>
                <c:pt idx="12">
                  <c:v>4.1920000000000002</c:v>
                </c:pt>
                <c:pt idx="13">
                  <c:v>3.698</c:v>
                </c:pt>
                <c:pt idx="14">
                  <c:v>3.3755250000000001</c:v>
                </c:pt>
                <c:pt idx="15">
                  <c:v>3.6255250000000001</c:v>
                </c:pt>
                <c:pt idx="16">
                  <c:v>4.1644189999999996</c:v>
                </c:pt>
                <c:pt idx="17">
                  <c:v>4.6707359999999998</c:v>
                </c:pt>
                <c:pt idx="18">
                  <c:v>5.5297739999999997</c:v>
                </c:pt>
                <c:pt idx="19">
                  <c:v>5.5280190000000005</c:v>
                </c:pt>
                <c:pt idx="20">
                  <c:v>4.7867110000000004</c:v>
                </c:pt>
                <c:pt idx="21">
                  <c:v>3.586516</c:v>
                </c:pt>
              </c:numCache>
            </c:numRef>
          </c:val>
          <c:extLst>
            <c:ext xmlns:c16="http://schemas.microsoft.com/office/drawing/2014/chart" uri="{C3380CC4-5D6E-409C-BE32-E72D297353CC}">
              <c16:uniqueId val="{00000000-76FF-4E50-A6AA-934CA5620185}"/>
            </c:ext>
          </c:extLst>
        </c:ser>
        <c:ser>
          <c:idx val="0"/>
          <c:order val="1"/>
          <c:tx>
            <c:strRef>
              <c:f>'Cumulative losses'!$B$38</c:f>
              <c:strCache>
                <c:ptCount val="1"/>
                <c:pt idx="0">
                  <c:v>Interstate</c:v>
                </c:pt>
              </c:strCache>
            </c:strRef>
          </c:tx>
          <c:spPr>
            <a:solidFill>
              <a:schemeClr val="accent1"/>
            </a:solidFill>
            <a:ln>
              <a:noFill/>
            </a:ln>
            <a:effectLst/>
          </c:spPr>
          <c:cat>
            <c:numRef>
              <c:f>'Cumulative losses'!$A$39:$A$60</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losses'!$B$39:$B$60</c:f>
              <c:numCache>
                <c:formatCode>General</c:formatCode>
                <c:ptCount val="22"/>
                <c:pt idx="0">
                  <c:v>1.4350000000000001</c:v>
                </c:pt>
                <c:pt idx="1">
                  <c:v>5.2309999999999999</c:v>
                </c:pt>
                <c:pt idx="2">
                  <c:v>8.2620000000000005</c:v>
                </c:pt>
                <c:pt idx="3">
                  <c:v>11.101000000000001</c:v>
                </c:pt>
                <c:pt idx="4">
                  <c:v>14.651999999999999</c:v>
                </c:pt>
                <c:pt idx="5">
                  <c:v>18.006</c:v>
                </c:pt>
                <c:pt idx="6">
                  <c:v>22.053000000000001</c:v>
                </c:pt>
                <c:pt idx="7">
                  <c:v>25.951000000000001</c:v>
                </c:pt>
                <c:pt idx="8">
                  <c:v>28.721</c:v>
                </c:pt>
                <c:pt idx="9">
                  <c:v>30.221</c:v>
                </c:pt>
                <c:pt idx="10">
                  <c:v>32.517000000000003</c:v>
                </c:pt>
                <c:pt idx="11">
                  <c:v>33.567999999999998</c:v>
                </c:pt>
                <c:pt idx="12">
                  <c:v>34.241999999999997</c:v>
                </c:pt>
                <c:pt idx="13">
                  <c:v>34.235999999999997</c:v>
                </c:pt>
                <c:pt idx="14">
                  <c:v>34.019044999999998</c:v>
                </c:pt>
                <c:pt idx="15">
                  <c:v>34.860045</c:v>
                </c:pt>
                <c:pt idx="16">
                  <c:v>37.403523</c:v>
                </c:pt>
                <c:pt idx="17">
                  <c:v>40.597847999999999</c:v>
                </c:pt>
                <c:pt idx="18">
                  <c:v>44.467797999999995</c:v>
                </c:pt>
                <c:pt idx="19">
                  <c:v>48.459911999999996</c:v>
                </c:pt>
                <c:pt idx="20">
                  <c:v>51.175119999999993</c:v>
                </c:pt>
                <c:pt idx="21">
                  <c:v>52.859639999999992</c:v>
                </c:pt>
              </c:numCache>
            </c:numRef>
          </c:val>
          <c:extLst>
            <c:ext xmlns:c16="http://schemas.microsoft.com/office/drawing/2014/chart" uri="{C3380CC4-5D6E-409C-BE32-E72D297353CC}">
              <c16:uniqueId val="{00000001-76FF-4E50-A6AA-934CA5620185}"/>
            </c:ext>
          </c:extLst>
        </c:ser>
        <c:dLbls>
          <c:showLegendKey val="0"/>
          <c:showVal val="0"/>
          <c:showCatName val="0"/>
          <c:showSerName val="0"/>
          <c:showPercent val="0"/>
          <c:showBubbleSize val="0"/>
        </c:dLbls>
        <c:axId val="1014510271"/>
        <c:axId val="1014498207"/>
      </c:areaChart>
      <c:dateAx>
        <c:axId val="1014510271"/>
        <c:scaling>
          <c:orientation val="minMax"/>
        </c:scaling>
        <c:delete val="0"/>
        <c:axPos val="b"/>
        <c:numFmt formatCode="mmm\-yy"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4498207"/>
        <c:crosses val="autoZero"/>
        <c:auto val="1"/>
        <c:lblOffset val="100"/>
        <c:baseTimeUnit val="months"/>
        <c:majorUnit val="3"/>
        <c:majorTimeUnit val="months"/>
      </c:dateAx>
      <c:valAx>
        <c:axId val="10144982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4510271"/>
        <c:crosses val="autoZero"/>
        <c:crossBetween val="midCat"/>
      </c:valAx>
      <c:spPr>
        <a:noFill/>
        <a:ln>
          <a:noFill/>
        </a:ln>
        <a:effectLst/>
      </c:spPr>
    </c:plotArea>
    <c:legend>
      <c:legendPos val="b"/>
      <c:layout>
        <c:manualLayout>
          <c:xMode val="edge"/>
          <c:yMode val="edge"/>
          <c:x val="0.35613726566188947"/>
          <c:y val="3.945821674515905E-2"/>
          <c:w val="0.28340331040467592"/>
          <c:h val="5.077089345732235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98934481571405E-2"/>
          <c:y val="2.9391723294862112E-2"/>
          <c:w val="0.86276983798077866"/>
          <c:h val="0.82112077086254631"/>
        </c:manualLayout>
      </c:layout>
      <c:areaChart>
        <c:grouping val="stacked"/>
        <c:varyColors val="0"/>
        <c:ser>
          <c:idx val="1"/>
          <c:order val="0"/>
          <c:tx>
            <c:strRef>
              <c:f>'Cumulative losses'!$C$67</c:f>
              <c:strCache>
                <c:ptCount val="1"/>
                <c:pt idx="0">
                  <c:v>Regional Australia</c:v>
                </c:pt>
              </c:strCache>
            </c:strRef>
          </c:tx>
          <c:spPr>
            <a:solidFill>
              <a:schemeClr val="accent2"/>
            </a:solidFill>
            <a:ln>
              <a:noFill/>
            </a:ln>
            <a:effectLst/>
          </c:spPr>
          <c:cat>
            <c:numRef>
              <c:f>'Cumulative losses'!$A$68:$A$89</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losses'!$C$68:$C$89</c:f>
              <c:numCache>
                <c:formatCode>#,##0.0</c:formatCode>
                <c:ptCount val="22"/>
                <c:pt idx="0">
                  <c:v>1.113</c:v>
                </c:pt>
                <c:pt idx="1">
                  <c:v>4.7089999999999996</c:v>
                </c:pt>
                <c:pt idx="2">
                  <c:v>6.8449999999999998</c:v>
                </c:pt>
                <c:pt idx="3">
                  <c:v>8.2690000000000001</c:v>
                </c:pt>
                <c:pt idx="4">
                  <c:v>9.3610000000000007</c:v>
                </c:pt>
                <c:pt idx="5">
                  <c:v>10.374000000000001</c:v>
                </c:pt>
                <c:pt idx="6">
                  <c:v>11.762</c:v>
                </c:pt>
                <c:pt idx="7">
                  <c:v>11.965</c:v>
                </c:pt>
                <c:pt idx="8">
                  <c:v>12.002000000000001</c:v>
                </c:pt>
                <c:pt idx="9">
                  <c:v>12.048</c:v>
                </c:pt>
                <c:pt idx="10">
                  <c:v>11.689</c:v>
                </c:pt>
                <c:pt idx="11">
                  <c:v>11.32</c:v>
                </c:pt>
                <c:pt idx="12">
                  <c:v>10.813000000000001</c:v>
                </c:pt>
                <c:pt idx="13">
                  <c:v>9.9269999999999996</c:v>
                </c:pt>
                <c:pt idx="14">
                  <c:v>9.2639999999999993</c:v>
                </c:pt>
                <c:pt idx="15">
                  <c:v>9.3729999999999993</c:v>
                </c:pt>
                <c:pt idx="16">
                  <c:v>10.207000000000001</c:v>
                </c:pt>
                <c:pt idx="17">
                  <c:v>11.529185999999999</c:v>
                </c:pt>
                <c:pt idx="18">
                  <c:v>13.579587</c:v>
                </c:pt>
                <c:pt idx="19">
                  <c:v>14.836163999999998</c:v>
                </c:pt>
                <c:pt idx="20">
                  <c:v>14.951163999999999</c:v>
                </c:pt>
                <c:pt idx="21">
                  <c:v>14.404899999999998</c:v>
                </c:pt>
              </c:numCache>
            </c:numRef>
          </c:val>
          <c:extLst>
            <c:ext xmlns:c16="http://schemas.microsoft.com/office/drawing/2014/chart" uri="{C3380CC4-5D6E-409C-BE32-E72D297353CC}">
              <c16:uniqueId val="{00000000-B96E-4439-B032-57F67EA977CB}"/>
            </c:ext>
          </c:extLst>
        </c:ser>
        <c:ser>
          <c:idx val="0"/>
          <c:order val="1"/>
          <c:tx>
            <c:strRef>
              <c:f>'Cumulative losses'!$B$67</c:f>
              <c:strCache>
                <c:ptCount val="1"/>
                <c:pt idx="0">
                  <c:v>Capital cities</c:v>
                </c:pt>
              </c:strCache>
            </c:strRef>
          </c:tx>
          <c:spPr>
            <a:solidFill>
              <a:schemeClr val="accent1"/>
            </a:solidFill>
            <a:ln>
              <a:noFill/>
            </a:ln>
            <a:effectLst/>
          </c:spPr>
          <c:cat>
            <c:numRef>
              <c:f>'Cumulative losses'!$A$68:$A$89</c:f>
              <c:numCache>
                <c:formatCode>mmm\-yy</c:formatCode>
                <c:ptCount val="22"/>
                <c:pt idx="0">
                  <c:v>43891</c:v>
                </c:pt>
                <c:pt idx="1">
                  <c:v>43922</c:v>
                </c:pt>
                <c:pt idx="2">
                  <c:v>43952</c:v>
                </c:pt>
                <c:pt idx="3">
                  <c:v>43983</c:v>
                </c:pt>
                <c:pt idx="4">
                  <c:v>44013</c:v>
                </c:pt>
                <c:pt idx="5">
                  <c:v>44044</c:v>
                </c:pt>
                <c:pt idx="6">
                  <c:v>44075</c:v>
                </c:pt>
                <c:pt idx="7">
                  <c:v>44105</c:v>
                </c:pt>
                <c:pt idx="8">
                  <c:v>44136</c:v>
                </c:pt>
                <c:pt idx="9">
                  <c:v>44166</c:v>
                </c:pt>
                <c:pt idx="10">
                  <c:v>44197</c:v>
                </c:pt>
                <c:pt idx="11">
                  <c:v>44228</c:v>
                </c:pt>
                <c:pt idx="12">
                  <c:v>44256</c:v>
                </c:pt>
                <c:pt idx="13">
                  <c:v>44287</c:v>
                </c:pt>
                <c:pt idx="14">
                  <c:v>44317</c:v>
                </c:pt>
                <c:pt idx="15">
                  <c:v>44348</c:v>
                </c:pt>
                <c:pt idx="16">
                  <c:v>44378</c:v>
                </c:pt>
                <c:pt idx="17">
                  <c:v>44409</c:v>
                </c:pt>
                <c:pt idx="18">
                  <c:v>44440</c:v>
                </c:pt>
                <c:pt idx="19">
                  <c:v>44470</c:v>
                </c:pt>
                <c:pt idx="20">
                  <c:v>44501</c:v>
                </c:pt>
                <c:pt idx="21">
                  <c:v>44531</c:v>
                </c:pt>
              </c:numCache>
            </c:numRef>
          </c:cat>
          <c:val>
            <c:numRef>
              <c:f>'Cumulative losses'!$B$68:$B$89</c:f>
              <c:numCache>
                <c:formatCode>#,##0.0</c:formatCode>
                <c:ptCount val="22"/>
                <c:pt idx="0">
                  <c:v>1.486</c:v>
                </c:pt>
                <c:pt idx="1">
                  <c:v>4.8849999999999998</c:v>
                </c:pt>
                <c:pt idx="2">
                  <c:v>7.52</c:v>
                </c:pt>
                <c:pt idx="3">
                  <c:v>10.081</c:v>
                </c:pt>
                <c:pt idx="4">
                  <c:v>12.747999999999999</c:v>
                </c:pt>
                <c:pt idx="5">
                  <c:v>15.069000000000001</c:v>
                </c:pt>
                <c:pt idx="6">
                  <c:v>17.803999999999998</c:v>
                </c:pt>
                <c:pt idx="7">
                  <c:v>20.593</c:v>
                </c:pt>
                <c:pt idx="8">
                  <c:v>22.756</c:v>
                </c:pt>
                <c:pt idx="9">
                  <c:v>23.867000000000001</c:v>
                </c:pt>
                <c:pt idx="10">
                  <c:v>25.747</c:v>
                </c:pt>
                <c:pt idx="11">
                  <c:v>26.734000000000002</c:v>
                </c:pt>
                <c:pt idx="12">
                  <c:v>27.614999999999998</c:v>
                </c:pt>
                <c:pt idx="13">
                  <c:v>28</c:v>
                </c:pt>
                <c:pt idx="14">
                  <c:v>28.123000000000001</c:v>
                </c:pt>
                <c:pt idx="15">
                  <c:v>29.106000000000002</c:v>
                </c:pt>
                <c:pt idx="16">
                  <c:v>31.353999999999999</c:v>
                </c:pt>
                <c:pt idx="17">
                  <c:v>33.732455999999999</c:v>
                </c:pt>
                <c:pt idx="18">
                  <c:v>36.411904999999997</c:v>
                </c:pt>
                <c:pt idx="19">
                  <c:v>39.145688999999997</c:v>
                </c:pt>
                <c:pt idx="20">
                  <c:v>41.004688999999999</c:v>
                </c:pt>
                <c:pt idx="21">
                  <c:v>42.035277000000001</c:v>
                </c:pt>
              </c:numCache>
            </c:numRef>
          </c:val>
          <c:extLst>
            <c:ext xmlns:c16="http://schemas.microsoft.com/office/drawing/2014/chart" uri="{C3380CC4-5D6E-409C-BE32-E72D297353CC}">
              <c16:uniqueId val="{00000001-B96E-4439-B032-57F67EA977CB}"/>
            </c:ext>
          </c:extLst>
        </c:ser>
        <c:dLbls>
          <c:showLegendKey val="0"/>
          <c:showVal val="0"/>
          <c:showCatName val="0"/>
          <c:showSerName val="0"/>
          <c:showPercent val="0"/>
          <c:showBubbleSize val="0"/>
        </c:dLbls>
        <c:axId val="1111963039"/>
        <c:axId val="1111958047"/>
      </c:areaChart>
      <c:dateAx>
        <c:axId val="1111963039"/>
        <c:scaling>
          <c:orientation val="minMax"/>
        </c:scaling>
        <c:delete val="0"/>
        <c:axPos val="b"/>
        <c:numFmt formatCode="mmm\-yy"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111958047"/>
        <c:crosses val="autoZero"/>
        <c:auto val="1"/>
        <c:lblOffset val="100"/>
        <c:baseTimeUnit val="months"/>
        <c:majorUnit val="3"/>
        <c:majorTimeUnit val="months"/>
      </c:dateAx>
      <c:valAx>
        <c:axId val="11119580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1963039"/>
        <c:crosses val="autoZero"/>
        <c:crossBetween val="midCat"/>
      </c:valAx>
      <c:spPr>
        <a:noFill/>
        <a:ln>
          <a:noFill/>
        </a:ln>
        <a:effectLst/>
      </c:spPr>
    </c:plotArea>
    <c:legend>
      <c:legendPos val="b"/>
      <c:layout>
        <c:manualLayout>
          <c:xMode val="edge"/>
          <c:yMode val="edge"/>
          <c:x val="0.25255390444615478"/>
          <c:y val="4.7582230412687776E-2"/>
          <c:w val="0.43292009282485344"/>
          <c:h val="5.433591987442246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83648270591287"/>
          <c:y val="3.0903239367806298E-2"/>
          <c:w val="0.79324976686462734"/>
          <c:h val="0.84026841718937673"/>
        </c:manualLayout>
      </c:layout>
      <c:lineChart>
        <c:grouping val="standard"/>
        <c:varyColors val="0"/>
        <c:ser>
          <c:idx val="1"/>
          <c:order val="1"/>
          <c:tx>
            <c:v>Self drive (LHS)</c:v>
          </c:tx>
          <c:spPr>
            <a:ln w="28575" cap="rnd">
              <a:solidFill>
                <a:schemeClr val="accent2"/>
              </a:solidFill>
              <a:round/>
            </a:ln>
            <a:effectLst/>
          </c:spPr>
          <c:marker>
            <c:symbol val="none"/>
          </c:marker>
          <c:cat>
            <c:numRef>
              <c:f>transport!$A$8:$A$39</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transport!$D$8:$D$39</c:f>
              <c:numCache>
                <c:formatCode>#,##0</c:formatCode>
                <c:ptCount val="32"/>
                <c:pt idx="0">
                  <c:v>57107</c:v>
                </c:pt>
                <c:pt idx="1">
                  <c:v>58791</c:v>
                </c:pt>
                <c:pt idx="2">
                  <c:v>59712</c:v>
                </c:pt>
                <c:pt idx="3">
                  <c:v>61554</c:v>
                </c:pt>
                <c:pt idx="4">
                  <c:v>62055</c:v>
                </c:pt>
                <c:pt idx="5">
                  <c:v>62291</c:v>
                </c:pt>
                <c:pt idx="6">
                  <c:v>63251</c:v>
                </c:pt>
                <c:pt idx="7">
                  <c:v>63791</c:v>
                </c:pt>
                <c:pt idx="8">
                  <c:v>65140</c:v>
                </c:pt>
                <c:pt idx="9">
                  <c:v>65131</c:v>
                </c:pt>
                <c:pt idx="10">
                  <c:v>65694</c:v>
                </c:pt>
                <c:pt idx="11">
                  <c:v>66480</c:v>
                </c:pt>
                <c:pt idx="12">
                  <c:v>66963</c:v>
                </c:pt>
                <c:pt idx="13">
                  <c:v>68593</c:v>
                </c:pt>
                <c:pt idx="14">
                  <c:v>70683</c:v>
                </c:pt>
                <c:pt idx="15">
                  <c:v>72314</c:v>
                </c:pt>
                <c:pt idx="16">
                  <c:v>72610</c:v>
                </c:pt>
                <c:pt idx="17">
                  <c:v>73908</c:v>
                </c:pt>
                <c:pt idx="18">
                  <c:v>74746</c:v>
                </c:pt>
                <c:pt idx="19">
                  <c:v>76033</c:v>
                </c:pt>
                <c:pt idx="20">
                  <c:v>79145</c:v>
                </c:pt>
                <c:pt idx="21">
                  <c:v>82555</c:v>
                </c:pt>
                <c:pt idx="22">
                  <c:v>84492</c:v>
                </c:pt>
                <c:pt idx="23">
                  <c:v>85274</c:v>
                </c:pt>
                <c:pt idx="24">
                  <c:v>81510</c:v>
                </c:pt>
                <c:pt idx="25">
                  <c:v>68694</c:v>
                </c:pt>
                <c:pt idx="26">
                  <c:v>63404</c:v>
                </c:pt>
                <c:pt idx="27">
                  <c:v>61369</c:v>
                </c:pt>
                <c:pt idx="28">
                  <c:v>63804</c:v>
                </c:pt>
                <c:pt idx="29">
                  <c:v>74042</c:v>
                </c:pt>
                <c:pt idx="30">
                  <c:v>69237</c:v>
                </c:pt>
                <c:pt idx="31">
                  <c:v>68422</c:v>
                </c:pt>
              </c:numCache>
            </c:numRef>
          </c:val>
          <c:smooth val="0"/>
          <c:extLst>
            <c:ext xmlns:c16="http://schemas.microsoft.com/office/drawing/2014/chart" uri="{C3380CC4-5D6E-409C-BE32-E72D297353CC}">
              <c16:uniqueId val="{00000000-9EC3-4A49-8375-0DE8580517AB}"/>
            </c:ext>
          </c:extLst>
        </c:ser>
        <c:dLbls>
          <c:showLegendKey val="0"/>
          <c:showVal val="0"/>
          <c:showCatName val="0"/>
          <c:showSerName val="0"/>
          <c:showPercent val="0"/>
          <c:showBubbleSize val="0"/>
        </c:dLbls>
        <c:marker val="1"/>
        <c:smooth val="0"/>
        <c:axId val="1091311407"/>
        <c:axId val="1091305583"/>
      </c:lineChart>
      <c:lineChart>
        <c:grouping val="standard"/>
        <c:varyColors val="0"/>
        <c:ser>
          <c:idx val="0"/>
          <c:order val="0"/>
          <c:tx>
            <c:v>Aircraft (RHS)</c:v>
          </c:tx>
          <c:spPr>
            <a:ln w="28575" cap="rnd">
              <a:solidFill>
                <a:schemeClr val="accent1"/>
              </a:solidFill>
              <a:round/>
            </a:ln>
            <a:effectLst/>
          </c:spPr>
          <c:marker>
            <c:symbol val="none"/>
          </c:marker>
          <c:cat>
            <c:numRef>
              <c:f>transport!$A$8:$A$39</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transport!$C$8:$C$39</c:f>
              <c:numCache>
                <c:formatCode>#,##0</c:formatCode>
                <c:ptCount val="32"/>
                <c:pt idx="0">
                  <c:v>18583</c:v>
                </c:pt>
                <c:pt idx="1">
                  <c:v>19238</c:v>
                </c:pt>
                <c:pt idx="2">
                  <c:v>19702</c:v>
                </c:pt>
                <c:pt idx="3">
                  <c:v>20540</c:v>
                </c:pt>
                <c:pt idx="4">
                  <c:v>20682</c:v>
                </c:pt>
                <c:pt idx="5">
                  <c:v>20726</c:v>
                </c:pt>
                <c:pt idx="6">
                  <c:v>21057</c:v>
                </c:pt>
                <c:pt idx="7">
                  <c:v>21133</c:v>
                </c:pt>
                <c:pt idx="8">
                  <c:v>21100</c:v>
                </c:pt>
                <c:pt idx="9">
                  <c:v>21135</c:v>
                </c:pt>
                <c:pt idx="10">
                  <c:v>21124</c:v>
                </c:pt>
                <c:pt idx="11">
                  <c:v>21480</c:v>
                </c:pt>
                <c:pt idx="12">
                  <c:v>21791</c:v>
                </c:pt>
                <c:pt idx="13">
                  <c:v>21982</c:v>
                </c:pt>
                <c:pt idx="14">
                  <c:v>22861</c:v>
                </c:pt>
                <c:pt idx="15">
                  <c:v>23339</c:v>
                </c:pt>
                <c:pt idx="16">
                  <c:v>23454</c:v>
                </c:pt>
                <c:pt idx="17">
                  <c:v>24617</c:v>
                </c:pt>
                <c:pt idx="18">
                  <c:v>24879</c:v>
                </c:pt>
                <c:pt idx="19">
                  <c:v>25286</c:v>
                </c:pt>
                <c:pt idx="20">
                  <c:v>26261</c:v>
                </c:pt>
                <c:pt idx="21">
                  <c:v>26760</c:v>
                </c:pt>
                <c:pt idx="22">
                  <c:v>27473</c:v>
                </c:pt>
                <c:pt idx="23">
                  <c:v>28399</c:v>
                </c:pt>
                <c:pt idx="24">
                  <c:v>27177</c:v>
                </c:pt>
                <c:pt idx="25">
                  <c:v>20567</c:v>
                </c:pt>
                <c:pt idx="26">
                  <c:v>14378</c:v>
                </c:pt>
                <c:pt idx="27">
                  <c:v>9113</c:v>
                </c:pt>
                <c:pt idx="28">
                  <c:v>7305</c:v>
                </c:pt>
                <c:pt idx="29">
                  <c:v>11618</c:v>
                </c:pt>
                <c:pt idx="30">
                  <c:v>12108</c:v>
                </c:pt>
                <c:pt idx="31">
                  <c:v>12306</c:v>
                </c:pt>
              </c:numCache>
            </c:numRef>
          </c:val>
          <c:smooth val="0"/>
          <c:extLst>
            <c:ext xmlns:c16="http://schemas.microsoft.com/office/drawing/2014/chart" uri="{C3380CC4-5D6E-409C-BE32-E72D297353CC}">
              <c16:uniqueId val="{00000001-9EC3-4A49-8375-0DE8580517AB}"/>
            </c:ext>
          </c:extLst>
        </c:ser>
        <c:dLbls>
          <c:showLegendKey val="0"/>
          <c:showVal val="0"/>
          <c:showCatName val="0"/>
          <c:showSerName val="0"/>
          <c:showPercent val="0"/>
          <c:showBubbleSize val="0"/>
        </c:dLbls>
        <c:marker val="1"/>
        <c:smooth val="0"/>
        <c:axId val="1488877295"/>
        <c:axId val="1488864815"/>
      </c:lineChart>
      <c:dateAx>
        <c:axId val="1091311407"/>
        <c:scaling>
          <c:orientation val="minMax"/>
        </c:scaling>
        <c:delete val="0"/>
        <c:axPos val="b"/>
        <c:numFmt formatCode="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91305583"/>
        <c:crosses val="autoZero"/>
        <c:auto val="1"/>
        <c:lblOffset val="100"/>
        <c:baseTimeUnit val="months"/>
        <c:majorUnit val="1"/>
        <c:majorTimeUnit val="years"/>
      </c:dateAx>
      <c:valAx>
        <c:axId val="10913055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91311407"/>
        <c:crosses val="autoZero"/>
        <c:crossBetween val="between"/>
        <c:majorUnit val="25000"/>
        <c:dispUnits>
          <c:builtInUnit val="thousands"/>
          <c:dispUnitsLbl>
            <c:layout>
              <c:manualLayout>
                <c:xMode val="edge"/>
                <c:yMode val="edge"/>
                <c:x val="4.4500809838663316E-3"/>
                <c:y val="0.36633802291301265"/>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Trips (millions)</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valAx>
        <c:axId val="1488864815"/>
        <c:scaling>
          <c:orientation val="minMax"/>
          <c:max val="400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88877295"/>
        <c:crosses val="max"/>
        <c:crossBetween val="between"/>
        <c:majorUnit val="10000"/>
        <c:dispUnits>
          <c:builtInUnit val="thousands"/>
          <c:dispUnitsLbl>
            <c:layout>
              <c:manualLayout>
                <c:xMode val="edge"/>
                <c:yMode val="edge"/>
                <c:x val="0.9462330231873286"/>
                <c:y val="0.34315010386734834"/>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Trips (millions)</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dateAx>
        <c:axId val="1488877295"/>
        <c:scaling>
          <c:orientation val="minMax"/>
        </c:scaling>
        <c:delete val="1"/>
        <c:axPos val="b"/>
        <c:numFmt formatCode="mmm\-yy" sourceLinked="1"/>
        <c:majorTickMark val="out"/>
        <c:minorTickMark val="none"/>
        <c:tickLblPos val="nextTo"/>
        <c:crossAx val="1488864815"/>
        <c:crosses val="autoZero"/>
        <c:auto val="1"/>
        <c:lblOffset val="100"/>
        <c:baseTimeUnit val="months"/>
      </c:dateAx>
      <c:spPr>
        <a:noFill/>
        <a:ln>
          <a:noFill/>
        </a:ln>
        <a:effectLst/>
      </c:spPr>
    </c:plotArea>
    <c:legend>
      <c:legendPos val="b"/>
      <c:layout>
        <c:manualLayout>
          <c:xMode val="edge"/>
          <c:yMode val="edge"/>
          <c:x val="0.26904240936774998"/>
          <c:y val="4.0029718507408801E-2"/>
          <c:w val="0.49091354277799071"/>
          <c:h val="5.317709693871203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02270600489451E-2"/>
          <c:y val="0.18945495774841986"/>
          <c:w val="0.82196637966638686"/>
          <c:h val="0.68536854695295002"/>
        </c:manualLayout>
      </c:layout>
      <c:lineChart>
        <c:grouping val="standard"/>
        <c:varyColors val="0"/>
        <c:ser>
          <c:idx val="0"/>
          <c:order val="0"/>
          <c:tx>
            <c:strRef>
              <c:f>Accommodation!$N$103</c:f>
              <c:strCache>
                <c:ptCount val="1"/>
                <c:pt idx="0">
                  <c:v>Hotel, motel, guest house, bed &amp; breakfast, hostel (LHS)</c:v>
                </c:pt>
              </c:strCache>
            </c:strRef>
          </c:tx>
          <c:spPr>
            <a:ln w="28575" cap="rnd">
              <a:solidFill>
                <a:schemeClr val="accent1"/>
              </a:solidFill>
              <a:round/>
            </a:ln>
            <a:effectLst/>
          </c:spPr>
          <c:marker>
            <c:symbol val="none"/>
          </c:marker>
          <c:cat>
            <c:numRef>
              <c:f>Accommodation!$M$104:$M$135</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Accommodation!$N$104:$N$135</c:f>
              <c:numCache>
                <c:formatCode>#,##0</c:formatCode>
                <c:ptCount val="32"/>
                <c:pt idx="0">
                  <c:v>28992</c:v>
                </c:pt>
                <c:pt idx="1">
                  <c:v>29358</c:v>
                </c:pt>
                <c:pt idx="2">
                  <c:v>29376</c:v>
                </c:pt>
                <c:pt idx="3">
                  <c:v>30175</c:v>
                </c:pt>
                <c:pt idx="4">
                  <c:v>30486</c:v>
                </c:pt>
                <c:pt idx="5">
                  <c:v>30793</c:v>
                </c:pt>
                <c:pt idx="6">
                  <c:v>31518</c:v>
                </c:pt>
                <c:pt idx="7">
                  <c:v>31621</c:v>
                </c:pt>
                <c:pt idx="8">
                  <c:v>31705</c:v>
                </c:pt>
                <c:pt idx="9">
                  <c:v>31594</c:v>
                </c:pt>
                <c:pt idx="10">
                  <c:v>31738</c:v>
                </c:pt>
                <c:pt idx="11">
                  <c:v>32251</c:v>
                </c:pt>
                <c:pt idx="12">
                  <c:v>32896</c:v>
                </c:pt>
                <c:pt idx="13">
                  <c:v>33741</c:v>
                </c:pt>
                <c:pt idx="14">
                  <c:v>35040</c:v>
                </c:pt>
                <c:pt idx="15">
                  <c:v>35737</c:v>
                </c:pt>
                <c:pt idx="16">
                  <c:v>35704</c:v>
                </c:pt>
                <c:pt idx="17">
                  <c:v>36242</c:v>
                </c:pt>
                <c:pt idx="18">
                  <c:v>36425</c:v>
                </c:pt>
                <c:pt idx="19">
                  <c:v>37077</c:v>
                </c:pt>
                <c:pt idx="20">
                  <c:v>38268</c:v>
                </c:pt>
                <c:pt idx="21">
                  <c:v>39375</c:v>
                </c:pt>
                <c:pt idx="22">
                  <c:v>40075</c:v>
                </c:pt>
                <c:pt idx="23">
                  <c:v>40571</c:v>
                </c:pt>
                <c:pt idx="24">
                  <c:v>38430</c:v>
                </c:pt>
                <c:pt idx="25">
                  <c:v>29656</c:v>
                </c:pt>
                <c:pt idx="26">
                  <c:v>23412</c:v>
                </c:pt>
                <c:pt idx="27">
                  <c:v>19283</c:v>
                </c:pt>
                <c:pt idx="28">
                  <c:v>19137</c:v>
                </c:pt>
                <c:pt idx="29">
                  <c:v>25442</c:v>
                </c:pt>
                <c:pt idx="30">
                  <c:v>24327</c:v>
                </c:pt>
                <c:pt idx="31">
                  <c:v>23672</c:v>
                </c:pt>
              </c:numCache>
            </c:numRef>
          </c:val>
          <c:smooth val="0"/>
          <c:extLst>
            <c:ext xmlns:c16="http://schemas.microsoft.com/office/drawing/2014/chart" uri="{C3380CC4-5D6E-409C-BE32-E72D297353CC}">
              <c16:uniqueId val="{00000000-76D9-4CFB-98CC-473BA541ACEF}"/>
            </c:ext>
          </c:extLst>
        </c:ser>
        <c:ser>
          <c:idx val="3"/>
          <c:order val="3"/>
          <c:tx>
            <c:strRef>
              <c:f>Accommodation!$Q$103</c:f>
              <c:strCache>
                <c:ptCount val="1"/>
                <c:pt idx="0">
                  <c:v>Private property - own or friends/relatives (LHS)</c:v>
                </c:pt>
              </c:strCache>
            </c:strRef>
          </c:tx>
          <c:spPr>
            <a:ln w="28575" cap="rnd">
              <a:solidFill>
                <a:schemeClr val="accent4"/>
              </a:solidFill>
              <a:round/>
            </a:ln>
            <a:effectLst/>
          </c:spPr>
          <c:marker>
            <c:symbol val="none"/>
          </c:marker>
          <c:cat>
            <c:numRef>
              <c:f>Accommodation!$M$104:$M$135</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Accommodation!$Q$104:$Q$135</c:f>
              <c:numCache>
                <c:formatCode>#,##0</c:formatCode>
                <c:ptCount val="32"/>
                <c:pt idx="0">
                  <c:v>34280</c:v>
                </c:pt>
                <c:pt idx="1">
                  <c:v>35730</c:v>
                </c:pt>
                <c:pt idx="2">
                  <c:v>36528</c:v>
                </c:pt>
                <c:pt idx="3">
                  <c:v>37454</c:v>
                </c:pt>
                <c:pt idx="4">
                  <c:v>37759</c:v>
                </c:pt>
                <c:pt idx="5">
                  <c:v>37543</c:v>
                </c:pt>
                <c:pt idx="6">
                  <c:v>37811</c:v>
                </c:pt>
                <c:pt idx="7">
                  <c:v>38317</c:v>
                </c:pt>
                <c:pt idx="8">
                  <c:v>38974</c:v>
                </c:pt>
                <c:pt idx="9">
                  <c:v>38849</c:v>
                </c:pt>
                <c:pt idx="10">
                  <c:v>39132</c:v>
                </c:pt>
                <c:pt idx="11">
                  <c:v>39756</c:v>
                </c:pt>
                <c:pt idx="12">
                  <c:v>39845</c:v>
                </c:pt>
                <c:pt idx="13">
                  <c:v>40706</c:v>
                </c:pt>
                <c:pt idx="14">
                  <c:v>41770</c:v>
                </c:pt>
                <c:pt idx="15">
                  <c:v>42309</c:v>
                </c:pt>
                <c:pt idx="16">
                  <c:v>42792</c:v>
                </c:pt>
                <c:pt idx="17">
                  <c:v>43764</c:v>
                </c:pt>
                <c:pt idx="18">
                  <c:v>44340</c:v>
                </c:pt>
                <c:pt idx="19">
                  <c:v>44995</c:v>
                </c:pt>
                <c:pt idx="20">
                  <c:v>46859</c:v>
                </c:pt>
                <c:pt idx="21">
                  <c:v>48933</c:v>
                </c:pt>
                <c:pt idx="22">
                  <c:v>50006</c:v>
                </c:pt>
                <c:pt idx="23">
                  <c:v>50866</c:v>
                </c:pt>
                <c:pt idx="24">
                  <c:v>48797</c:v>
                </c:pt>
                <c:pt idx="25">
                  <c:v>41224</c:v>
                </c:pt>
                <c:pt idx="26">
                  <c:v>36573</c:v>
                </c:pt>
                <c:pt idx="27">
                  <c:v>33408</c:v>
                </c:pt>
                <c:pt idx="28">
                  <c:v>32957</c:v>
                </c:pt>
                <c:pt idx="29">
                  <c:v>37627</c:v>
                </c:pt>
                <c:pt idx="30">
                  <c:v>35158</c:v>
                </c:pt>
                <c:pt idx="31">
                  <c:v>35002</c:v>
                </c:pt>
              </c:numCache>
            </c:numRef>
          </c:val>
          <c:smooth val="0"/>
          <c:extLst>
            <c:ext xmlns:c16="http://schemas.microsoft.com/office/drawing/2014/chart" uri="{C3380CC4-5D6E-409C-BE32-E72D297353CC}">
              <c16:uniqueId val="{00000001-76D9-4CFB-98CC-473BA541ACEF}"/>
            </c:ext>
          </c:extLst>
        </c:ser>
        <c:dLbls>
          <c:showLegendKey val="0"/>
          <c:showVal val="0"/>
          <c:showCatName val="0"/>
          <c:showSerName val="0"/>
          <c:showPercent val="0"/>
          <c:showBubbleSize val="0"/>
        </c:dLbls>
        <c:marker val="1"/>
        <c:smooth val="0"/>
        <c:axId val="1488899759"/>
        <c:axId val="1488885615"/>
      </c:lineChart>
      <c:lineChart>
        <c:grouping val="standard"/>
        <c:varyColors val="0"/>
        <c:ser>
          <c:idx val="1"/>
          <c:order val="1"/>
          <c:tx>
            <c:strRef>
              <c:f>Accommodation!$O$103</c:f>
              <c:strCache>
                <c:ptCount val="1"/>
                <c:pt idx="0">
                  <c:v>Rented house (RHS)</c:v>
                </c:pt>
              </c:strCache>
            </c:strRef>
          </c:tx>
          <c:spPr>
            <a:ln w="28575" cap="rnd">
              <a:solidFill>
                <a:schemeClr val="accent2"/>
              </a:solidFill>
              <a:round/>
            </a:ln>
            <a:effectLst/>
          </c:spPr>
          <c:marker>
            <c:symbol val="none"/>
          </c:marker>
          <c:cat>
            <c:numRef>
              <c:f>Accommodation!$M$104:$M$135</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Accommodation!$O$104:$O$135</c:f>
              <c:numCache>
                <c:formatCode>#,##0</c:formatCode>
                <c:ptCount val="32"/>
                <c:pt idx="0">
                  <c:v>6011</c:v>
                </c:pt>
                <c:pt idx="1">
                  <c:v>6012</c:v>
                </c:pt>
                <c:pt idx="2">
                  <c:v>5865</c:v>
                </c:pt>
                <c:pt idx="3">
                  <c:v>5743</c:v>
                </c:pt>
                <c:pt idx="4">
                  <c:v>5794</c:v>
                </c:pt>
                <c:pt idx="5">
                  <c:v>5819</c:v>
                </c:pt>
                <c:pt idx="6">
                  <c:v>6085</c:v>
                </c:pt>
                <c:pt idx="7">
                  <c:v>6321</c:v>
                </c:pt>
                <c:pt idx="8">
                  <c:v>6529</c:v>
                </c:pt>
                <c:pt idx="9">
                  <c:v>6662</c:v>
                </c:pt>
                <c:pt idx="10">
                  <c:v>6662</c:v>
                </c:pt>
                <c:pt idx="11">
                  <c:v>6695</c:v>
                </c:pt>
                <c:pt idx="12">
                  <c:v>6709</c:v>
                </c:pt>
                <c:pt idx="13">
                  <c:v>6855</c:v>
                </c:pt>
                <c:pt idx="14">
                  <c:v>7069</c:v>
                </c:pt>
                <c:pt idx="15">
                  <c:v>7597</c:v>
                </c:pt>
                <c:pt idx="16">
                  <c:v>7845</c:v>
                </c:pt>
                <c:pt idx="17">
                  <c:v>8070</c:v>
                </c:pt>
                <c:pt idx="18">
                  <c:v>8377</c:v>
                </c:pt>
                <c:pt idx="19">
                  <c:v>8656</c:v>
                </c:pt>
                <c:pt idx="20">
                  <c:v>9099</c:v>
                </c:pt>
                <c:pt idx="21">
                  <c:v>9502</c:v>
                </c:pt>
                <c:pt idx="22">
                  <c:v>9472</c:v>
                </c:pt>
                <c:pt idx="23">
                  <c:v>9219</c:v>
                </c:pt>
                <c:pt idx="24">
                  <c:v>8651</c:v>
                </c:pt>
                <c:pt idx="25">
                  <c:v>6854</c:v>
                </c:pt>
                <c:pt idx="26">
                  <c:v>6496</c:v>
                </c:pt>
                <c:pt idx="27">
                  <c:v>6354</c:v>
                </c:pt>
                <c:pt idx="28">
                  <c:v>6799</c:v>
                </c:pt>
                <c:pt idx="29">
                  <c:v>8494</c:v>
                </c:pt>
                <c:pt idx="30">
                  <c:v>7841</c:v>
                </c:pt>
                <c:pt idx="31">
                  <c:v>7615</c:v>
                </c:pt>
              </c:numCache>
            </c:numRef>
          </c:val>
          <c:smooth val="0"/>
          <c:extLst>
            <c:ext xmlns:c16="http://schemas.microsoft.com/office/drawing/2014/chart" uri="{C3380CC4-5D6E-409C-BE32-E72D297353CC}">
              <c16:uniqueId val="{00000002-76D9-4CFB-98CC-473BA541ACEF}"/>
            </c:ext>
          </c:extLst>
        </c:ser>
        <c:ser>
          <c:idx val="2"/>
          <c:order val="2"/>
          <c:tx>
            <c:strRef>
              <c:f>Accommodation!$P$103</c:f>
              <c:strCache>
                <c:ptCount val="1"/>
                <c:pt idx="0">
                  <c:v>Caravan or campground (commercial or non-commercial) (RHS)</c:v>
                </c:pt>
              </c:strCache>
            </c:strRef>
          </c:tx>
          <c:spPr>
            <a:ln w="28575" cap="rnd">
              <a:solidFill>
                <a:schemeClr val="accent3"/>
              </a:solidFill>
              <a:round/>
            </a:ln>
            <a:effectLst/>
          </c:spPr>
          <c:marker>
            <c:symbol val="none"/>
          </c:marker>
          <c:cat>
            <c:numRef>
              <c:f>Accommodation!$M$104:$M$135</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Accommodation!$P$104:$P$135</c:f>
              <c:numCache>
                <c:formatCode>#,##0</c:formatCode>
                <c:ptCount val="32"/>
                <c:pt idx="0">
                  <c:v>10068</c:v>
                </c:pt>
                <c:pt idx="1">
                  <c:v>10334</c:v>
                </c:pt>
                <c:pt idx="2">
                  <c:v>10671</c:v>
                </c:pt>
                <c:pt idx="3">
                  <c:v>11208</c:v>
                </c:pt>
                <c:pt idx="4">
                  <c:v>11333</c:v>
                </c:pt>
                <c:pt idx="5">
                  <c:v>11399</c:v>
                </c:pt>
                <c:pt idx="6">
                  <c:v>11490</c:v>
                </c:pt>
                <c:pt idx="7">
                  <c:v>11636</c:v>
                </c:pt>
                <c:pt idx="8">
                  <c:v>12046</c:v>
                </c:pt>
                <c:pt idx="9">
                  <c:v>12218</c:v>
                </c:pt>
                <c:pt idx="10">
                  <c:v>12244</c:v>
                </c:pt>
                <c:pt idx="11">
                  <c:v>12098</c:v>
                </c:pt>
                <c:pt idx="12">
                  <c:v>11916</c:v>
                </c:pt>
                <c:pt idx="13">
                  <c:v>11905</c:v>
                </c:pt>
                <c:pt idx="14">
                  <c:v>12149</c:v>
                </c:pt>
                <c:pt idx="15">
                  <c:v>12443</c:v>
                </c:pt>
                <c:pt idx="16">
                  <c:v>12286</c:v>
                </c:pt>
                <c:pt idx="17">
                  <c:v>12786</c:v>
                </c:pt>
                <c:pt idx="18">
                  <c:v>13095</c:v>
                </c:pt>
                <c:pt idx="19">
                  <c:v>13149</c:v>
                </c:pt>
                <c:pt idx="20">
                  <c:v>13380</c:v>
                </c:pt>
                <c:pt idx="21">
                  <c:v>13820</c:v>
                </c:pt>
                <c:pt idx="22">
                  <c:v>14197</c:v>
                </c:pt>
                <c:pt idx="23">
                  <c:v>14450</c:v>
                </c:pt>
                <c:pt idx="24">
                  <c:v>14040</c:v>
                </c:pt>
                <c:pt idx="25">
                  <c:v>11421</c:v>
                </c:pt>
                <c:pt idx="26">
                  <c:v>10852</c:v>
                </c:pt>
                <c:pt idx="27">
                  <c:v>10815</c:v>
                </c:pt>
                <c:pt idx="28">
                  <c:v>11487</c:v>
                </c:pt>
                <c:pt idx="29">
                  <c:v>13859</c:v>
                </c:pt>
                <c:pt idx="30">
                  <c:v>13322</c:v>
                </c:pt>
                <c:pt idx="31">
                  <c:v>12956</c:v>
                </c:pt>
              </c:numCache>
            </c:numRef>
          </c:val>
          <c:smooth val="0"/>
          <c:extLst>
            <c:ext xmlns:c16="http://schemas.microsoft.com/office/drawing/2014/chart" uri="{C3380CC4-5D6E-409C-BE32-E72D297353CC}">
              <c16:uniqueId val="{00000003-76D9-4CFB-98CC-473BA541ACEF}"/>
            </c:ext>
          </c:extLst>
        </c:ser>
        <c:ser>
          <c:idx val="4"/>
          <c:order val="4"/>
          <c:tx>
            <c:strRef>
              <c:f>Accommodation!$R$103</c:f>
              <c:strCache>
                <c:ptCount val="1"/>
                <c:pt idx="0">
                  <c:v>Other private property including Airbnb (RHS)</c:v>
                </c:pt>
              </c:strCache>
            </c:strRef>
          </c:tx>
          <c:spPr>
            <a:ln w="28575" cap="rnd">
              <a:solidFill>
                <a:schemeClr val="accent5"/>
              </a:solidFill>
              <a:round/>
            </a:ln>
            <a:effectLst/>
          </c:spPr>
          <c:marker>
            <c:symbol val="none"/>
          </c:marker>
          <c:cat>
            <c:numRef>
              <c:f>Accommodation!$M$104:$M$135</c:f>
              <c:numCache>
                <c:formatCode>mmm\-yy</c:formatCode>
                <c:ptCount val="32"/>
                <c:pt idx="0">
                  <c:v>41699</c:v>
                </c:pt>
                <c:pt idx="1">
                  <c:v>41791</c:v>
                </c:pt>
                <c:pt idx="2">
                  <c:v>41883</c:v>
                </c:pt>
                <c:pt idx="3">
                  <c:v>41974</c:v>
                </c:pt>
                <c:pt idx="4">
                  <c:v>42064</c:v>
                </c:pt>
                <c:pt idx="5">
                  <c:v>42156</c:v>
                </c:pt>
                <c:pt idx="6">
                  <c:v>42248</c:v>
                </c:pt>
                <c:pt idx="7">
                  <c:v>42339</c:v>
                </c:pt>
                <c:pt idx="8">
                  <c:v>42430</c:v>
                </c:pt>
                <c:pt idx="9">
                  <c:v>42522</c:v>
                </c:pt>
                <c:pt idx="10">
                  <c:v>42614</c:v>
                </c:pt>
                <c:pt idx="11">
                  <c:v>42705</c:v>
                </c:pt>
                <c:pt idx="12">
                  <c:v>42795</c:v>
                </c:pt>
                <c:pt idx="13">
                  <c:v>42887</c:v>
                </c:pt>
                <c:pt idx="14">
                  <c:v>42979</c:v>
                </c:pt>
                <c:pt idx="15">
                  <c:v>43070</c:v>
                </c:pt>
                <c:pt idx="16">
                  <c:v>43160</c:v>
                </c:pt>
                <c:pt idx="17">
                  <c:v>43252</c:v>
                </c:pt>
                <c:pt idx="18">
                  <c:v>43344</c:v>
                </c:pt>
                <c:pt idx="19">
                  <c:v>43435</c:v>
                </c:pt>
                <c:pt idx="20">
                  <c:v>43525</c:v>
                </c:pt>
                <c:pt idx="21">
                  <c:v>43617</c:v>
                </c:pt>
                <c:pt idx="22">
                  <c:v>43709</c:v>
                </c:pt>
                <c:pt idx="23">
                  <c:v>43800</c:v>
                </c:pt>
                <c:pt idx="24">
                  <c:v>43891</c:v>
                </c:pt>
                <c:pt idx="25">
                  <c:v>43983</c:v>
                </c:pt>
                <c:pt idx="26">
                  <c:v>44075</c:v>
                </c:pt>
                <c:pt idx="27">
                  <c:v>44166</c:v>
                </c:pt>
                <c:pt idx="28">
                  <c:v>44256</c:v>
                </c:pt>
                <c:pt idx="29">
                  <c:v>44348</c:v>
                </c:pt>
                <c:pt idx="30">
                  <c:v>44440</c:v>
                </c:pt>
                <c:pt idx="31">
                  <c:v>44531</c:v>
                </c:pt>
              </c:numCache>
            </c:numRef>
          </c:cat>
          <c:val>
            <c:numRef>
              <c:f>Accommodation!$R$104:$R$135</c:f>
              <c:numCache>
                <c:formatCode>#,##0</c:formatCode>
                <c:ptCount val="32"/>
                <c:pt idx="0">
                  <c:v>1938</c:v>
                </c:pt>
                <c:pt idx="1">
                  <c:v>2371</c:v>
                </c:pt>
                <c:pt idx="2">
                  <c:v>2869</c:v>
                </c:pt>
                <c:pt idx="3">
                  <c:v>3573</c:v>
                </c:pt>
                <c:pt idx="4">
                  <c:v>3380</c:v>
                </c:pt>
                <c:pt idx="5">
                  <c:v>3203</c:v>
                </c:pt>
                <c:pt idx="6">
                  <c:v>2779</c:v>
                </c:pt>
                <c:pt idx="7">
                  <c:v>2334</c:v>
                </c:pt>
                <c:pt idx="8">
                  <c:v>2201</c:v>
                </c:pt>
                <c:pt idx="9">
                  <c:v>2305</c:v>
                </c:pt>
                <c:pt idx="10">
                  <c:v>2422</c:v>
                </c:pt>
                <c:pt idx="11">
                  <c:v>2540</c:v>
                </c:pt>
                <c:pt idx="12">
                  <c:v>2709</c:v>
                </c:pt>
                <c:pt idx="13">
                  <c:v>2599</c:v>
                </c:pt>
                <c:pt idx="14">
                  <c:v>2795</c:v>
                </c:pt>
                <c:pt idx="15">
                  <c:v>2991</c:v>
                </c:pt>
                <c:pt idx="16">
                  <c:v>3176</c:v>
                </c:pt>
                <c:pt idx="17">
                  <c:v>3434</c:v>
                </c:pt>
                <c:pt idx="18">
                  <c:v>3742</c:v>
                </c:pt>
                <c:pt idx="19">
                  <c:v>3826</c:v>
                </c:pt>
                <c:pt idx="20">
                  <c:v>4224</c:v>
                </c:pt>
                <c:pt idx="21">
                  <c:v>4443</c:v>
                </c:pt>
                <c:pt idx="22">
                  <c:v>4754</c:v>
                </c:pt>
                <c:pt idx="23">
                  <c:v>5248</c:v>
                </c:pt>
                <c:pt idx="24">
                  <c:v>5157</c:v>
                </c:pt>
                <c:pt idx="25">
                  <c:v>4604</c:v>
                </c:pt>
                <c:pt idx="26">
                  <c:v>3984</c:v>
                </c:pt>
                <c:pt idx="27">
                  <c:v>3567</c:v>
                </c:pt>
                <c:pt idx="28">
                  <c:v>3791</c:v>
                </c:pt>
                <c:pt idx="29">
                  <c:v>4630</c:v>
                </c:pt>
                <c:pt idx="30">
                  <c:v>4628</c:v>
                </c:pt>
                <c:pt idx="31">
                  <c:v>5149</c:v>
                </c:pt>
              </c:numCache>
            </c:numRef>
          </c:val>
          <c:smooth val="0"/>
          <c:extLst>
            <c:ext xmlns:c16="http://schemas.microsoft.com/office/drawing/2014/chart" uri="{C3380CC4-5D6E-409C-BE32-E72D297353CC}">
              <c16:uniqueId val="{00000004-76D9-4CFB-98CC-473BA541ACEF}"/>
            </c:ext>
          </c:extLst>
        </c:ser>
        <c:dLbls>
          <c:showLegendKey val="0"/>
          <c:showVal val="0"/>
          <c:showCatName val="0"/>
          <c:showSerName val="0"/>
          <c:showPercent val="0"/>
          <c:showBubbleSize val="0"/>
        </c:dLbls>
        <c:marker val="1"/>
        <c:smooth val="0"/>
        <c:axId val="1555601087"/>
        <c:axId val="1555619391"/>
      </c:lineChart>
      <c:dateAx>
        <c:axId val="1488899759"/>
        <c:scaling>
          <c:orientation val="minMax"/>
        </c:scaling>
        <c:delete val="0"/>
        <c:axPos val="b"/>
        <c:numFmt formatCode="yyyy" sourceLinked="0"/>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88885615"/>
        <c:crosses val="autoZero"/>
        <c:auto val="1"/>
        <c:lblOffset val="100"/>
        <c:baseTimeUnit val="months"/>
        <c:majorUnit val="1"/>
        <c:majorTimeUnit val="years"/>
      </c:dateAx>
      <c:valAx>
        <c:axId val="14888856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88899759"/>
        <c:crosses val="autoZero"/>
        <c:crossBetween val="between"/>
        <c:majorUnit val="20000"/>
        <c:dispUnits>
          <c:builtInUnit val="thousands"/>
          <c:dispUnitsLbl>
            <c:layout>
              <c:manualLayout>
                <c:xMode val="edge"/>
                <c:yMode val="edge"/>
                <c:x val="9.5933324752017074E-3"/>
                <c:y val="0.38363185018029416"/>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Trips (millions)</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valAx>
        <c:axId val="1555619391"/>
        <c:scaling>
          <c:orientation val="minMax"/>
          <c:max val="300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555601087"/>
        <c:crosses val="max"/>
        <c:crossBetween val="between"/>
        <c:majorUnit val="10000"/>
        <c:dispUnits>
          <c:builtInUnit val="thousands"/>
          <c:dispUnitsLbl>
            <c:layout>
              <c:manualLayout>
                <c:xMode val="edge"/>
                <c:yMode val="edge"/>
                <c:x val="0.96065850809868314"/>
                <c:y val="0.39589801025038424"/>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Trips (millions)</a:t>
                  </a:r>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dateAx>
        <c:axId val="1555601087"/>
        <c:scaling>
          <c:orientation val="minMax"/>
        </c:scaling>
        <c:delete val="1"/>
        <c:axPos val="b"/>
        <c:numFmt formatCode="mmm\-yy" sourceLinked="1"/>
        <c:majorTickMark val="out"/>
        <c:minorTickMark val="none"/>
        <c:tickLblPos val="nextTo"/>
        <c:crossAx val="1555619391"/>
        <c:crosses val="autoZero"/>
        <c:auto val="1"/>
        <c:lblOffset val="100"/>
        <c:baseTimeUnit val="months"/>
      </c:dateAx>
      <c:spPr>
        <a:noFill/>
        <a:ln>
          <a:noFill/>
        </a:ln>
        <a:effectLst/>
      </c:spPr>
    </c:plotArea>
    <c:legend>
      <c:legendPos val="b"/>
      <c:layout>
        <c:manualLayout>
          <c:xMode val="edge"/>
          <c:yMode val="edge"/>
          <c:x val="6.4128808189418601E-2"/>
          <c:y val="5.1085413588907273E-3"/>
          <c:w val="0.74077486127091396"/>
          <c:h val="0.30749112297315345"/>
        </c:manualLayout>
      </c:layout>
      <c:overlay val="0"/>
      <c:spPr>
        <a:noFill/>
        <a:ln>
          <a:noFill/>
        </a:ln>
        <a:effectLst/>
      </c:spPr>
      <c:txPr>
        <a:bodyPr rot="0" spcFirstLastPara="1" vertOverflow="ellipsis" vert="horz" wrap="square" anchor="t" anchorCtr="0"/>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63820132531281"/>
          <c:y val="4.1422275929539593E-2"/>
          <c:w val="0.86996998580919016"/>
          <c:h val="0.80368696903541259"/>
        </c:manualLayout>
      </c:layout>
      <c:lineChart>
        <c:grouping val="standard"/>
        <c:varyColors val="0"/>
        <c:ser>
          <c:idx val="0"/>
          <c:order val="0"/>
          <c:spPr>
            <a:ln w="28575" cap="rnd">
              <a:solidFill>
                <a:schemeClr val="accent1"/>
              </a:solidFill>
              <a:round/>
            </a:ln>
            <a:effectLst/>
          </c:spPr>
          <c:marker>
            <c:symbol val="none"/>
          </c:marker>
          <c:cat>
            <c:numRef>
              <c:f>Sheet1!$F$3:$BG$3</c:f>
              <c:numCache>
                <c:formatCode>mmm\-yy</c:formatCode>
                <c:ptCount val="54"/>
                <c:pt idx="0">
                  <c:v>42917</c:v>
                </c:pt>
                <c:pt idx="1">
                  <c:v>42948</c:v>
                </c:pt>
                <c:pt idx="2">
                  <c:v>42979</c:v>
                </c:pt>
                <c:pt idx="3">
                  <c:v>43009</c:v>
                </c:pt>
                <c:pt idx="4">
                  <c:v>43040</c:v>
                </c:pt>
                <c:pt idx="5">
                  <c:v>43070</c:v>
                </c:pt>
                <c:pt idx="6">
                  <c:v>43101</c:v>
                </c:pt>
                <c:pt idx="7">
                  <c:v>43132</c:v>
                </c:pt>
                <c:pt idx="8">
                  <c:v>43160</c:v>
                </c:pt>
                <c:pt idx="9">
                  <c:v>43191</c:v>
                </c:pt>
                <c:pt idx="10">
                  <c:v>43221</c:v>
                </c:pt>
                <c:pt idx="11">
                  <c:v>43252</c:v>
                </c:pt>
                <c:pt idx="12">
                  <c:v>43282</c:v>
                </c:pt>
                <c:pt idx="13">
                  <c:v>43313</c:v>
                </c:pt>
                <c:pt idx="14">
                  <c:v>43344</c:v>
                </c:pt>
                <c:pt idx="15">
                  <c:v>43374</c:v>
                </c:pt>
                <c:pt idx="16">
                  <c:v>43405</c:v>
                </c:pt>
                <c:pt idx="17">
                  <c:v>43435</c:v>
                </c:pt>
                <c:pt idx="18">
                  <c:v>43466</c:v>
                </c:pt>
                <c:pt idx="19">
                  <c:v>43497</c:v>
                </c:pt>
                <c:pt idx="20">
                  <c:v>43525</c:v>
                </c:pt>
                <c:pt idx="21">
                  <c:v>43556</c:v>
                </c:pt>
                <c:pt idx="22">
                  <c:v>43586</c:v>
                </c:pt>
                <c:pt idx="23">
                  <c:v>43617</c:v>
                </c:pt>
                <c:pt idx="24">
                  <c:v>43647</c:v>
                </c:pt>
                <c:pt idx="25">
                  <c:v>43678</c:v>
                </c:pt>
                <c:pt idx="26">
                  <c:v>43709</c:v>
                </c:pt>
                <c:pt idx="27">
                  <c:v>43739</c:v>
                </c:pt>
                <c:pt idx="28">
                  <c:v>43770</c:v>
                </c:pt>
                <c:pt idx="29">
                  <c:v>43800</c:v>
                </c:pt>
                <c:pt idx="30">
                  <c:v>43831</c:v>
                </c:pt>
                <c:pt idx="31">
                  <c:v>43862</c:v>
                </c:pt>
                <c:pt idx="32">
                  <c:v>43891</c:v>
                </c:pt>
                <c:pt idx="33">
                  <c:v>43922</c:v>
                </c:pt>
                <c:pt idx="34">
                  <c:v>43952</c:v>
                </c:pt>
                <c:pt idx="35">
                  <c:v>43983</c:v>
                </c:pt>
                <c:pt idx="36">
                  <c:v>44013</c:v>
                </c:pt>
                <c:pt idx="37">
                  <c:v>44044</c:v>
                </c:pt>
                <c:pt idx="38">
                  <c:v>44075</c:v>
                </c:pt>
                <c:pt idx="39">
                  <c:v>44105</c:v>
                </c:pt>
                <c:pt idx="40">
                  <c:v>44136</c:v>
                </c:pt>
                <c:pt idx="41">
                  <c:v>44166</c:v>
                </c:pt>
                <c:pt idx="42">
                  <c:v>44197</c:v>
                </c:pt>
                <c:pt idx="43">
                  <c:v>44228</c:v>
                </c:pt>
                <c:pt idx="44">
                  <c:v>44256</c:v>
                </c:pt>
                <c:pt idx="45">
                  <c:v>44287</c:v>
                </c:pt>
                <c:pt idx="46">
                  <c:v>44317</c:v>
                </c:pt>
                <c:pt idx="47">
                  <c:v>44348</c:v>
                </c:pt>
                <c:pt idx="48">
                  <c:v>44378</c:v>
                </c:pt>
                <c:pt idx="49">
                  <c:v>44409</c:v>
                </c:pt>
                <c:pt idx="50">
                  <c:v>44440</c:v>
                </c:pt>
                <c:pt idx="51">
                  <c:v>44470</c:v>
                </c:pt>
                <c:pt idx="52">
                  <c:v>44501</c:v>
                </c:pt>
                <c:pt idx="53">
                  <c:v>44531</c:v>
                </c:pt>
              </c:numCache>
            </c:numRef>
          </c:cat>
          <c:val>
            <c:numRef>
              <c:f>Sheet1!$F$7:$BG$7</c:f>
              <c:numCache>
                <c:formatCode>#,##0;[Black]\-#,##0</c:formatCode>
                <c:ptCount val="54"/>
                <c:pt idx="0">
                  <c:v>77.265310731098424</c:v>
                </c:pt>
                <c:pt idx="1">
                  <c:v>76.442850244537638</c:v>
                </c:pt>
                <c:pt idx="2">
                  <c:v>76.940183137115</c:v>
                </c:pt>
                <c:pt idx="3">
                  <c:v>78.863677064447472</c:v>
                </c:pt>
                <c:pt idx="4">
                  <c:v>80.590253902768225</c:v>
                </c:pt>
                <c:pt idx="5">
                  <c:v>73.977269577554139</c:v>
                </c:pt>
                <c:pt idx="6">
                  <c:v>73.909227254462905</c:v>
                </c:pt>
                <c:pt idx="7">
                  <c:v>78.866175286084356</c:v>
                </c:pt>
                <c:pt idx="8">
                  <c:v>77.741320625721997</c:v>
                </c:pt>
                <c:pt idx="9">
                  <c:v>74.369263358532422</c:v>
                </c:pt>
                <c:pt idx="10">
                  <c:v>72.773703242149992</c:v>
                </c:pt>
                <c:pt idx="11">
                  <c:v>70.653137927398802</c:v>
                </c:pt>
                <c:pt idx="12">
                  <c:v>75.644942193960176</c:v>
                </c:pt>
                <c:pt idx="13">
                  <c:v>75.775807291706442</c:v>
                </c:pt>
                <c:pt idx="14">
                  <c:v>74.785654322007076</c:v>
                </c:pt>
                <c:pt idx="15">
                  <c:v>77.495944387382096</c:v>
                </c:pt>
                <c:pt idx="16">
                  <c:v>78.089103911506712</c:v>
                </c:pt>
                <c:pt idx="17">
                  <c:v>71.089740635656284</c:v>
                </c:pt>
                <c:pt idx="18">
                  <c:v>71.089740635656284</c:v>
                </c:pt>
                <c:pt idx="19">
                  <c:v>71.445892626186819</c:v>
                </c:pt>
                <c:pt idx="20">
                  <c:v>76.191159562906705</c:v>
                </c:pt>
                <c:pt idx="21">
                  <c:v>75.25560208418112</c:v>
                </c:pt>
                <c:pt idx="22">
                  <c:v>73.018395811130162</c:v>
                </c:pt>
                <c:pt idx="23">
                  <c:v>70.629280667431189</c:v>
                </c:pt>
                <c:pt idx="24" formatCode="General">
                  <c:v>74.8</c:v>
                </c:pt>
                <c:pt idx="25" formatCode="General">
                  <c:v>75.2</c:v>
                </c:pt>
                <c:pt idx="26" formatCode="General">
                  <c:v>73.599999999999994</c:v>
                </c:pt>
                <c:pt idx="27" formatCode="General">
                  <c:v>78.2</c:v>
                </c:pt>
                <c:pt idx="28" formatCode="General">
                  <c:v>77.900000000000006</c:v>
                </c:pt>
                <c:pt idx="29" formatCode="General">
                  <c:v>70.900000000000006</c:v>
                </c:pt>
                <c:pt idx="30" formatCode="General">
                  <c:v>70.099999999999994</c:v>
                </c:pt>
                <c:pt idx="31" formatCode="General">
                  <c:v>70.8</c:v>
                </c:pt>
                <c:pt idx="32" formatCode="General">
                  <c:v>45.7</c:v>
                </c:pt>
                <c:pt idx="33" formatCode="General">
                  <c:v>19.8</c:v>
                </c:pt>
                <c:pt idx="34" formatCode="General">
                  <c:v>23.1</c:v>
                </c:pt>
                <c:pt idx="35" formatCode="General">
                  <c:v>32.1</c:v>
                </c:pt>
                <c:pt idx="36" formatCode="General">
                  <c:v>41.5</c:v>
                </c:pt>
                <c:pt idx="37" formatCode="General">
                  <c:v>39.700000000000003</c:v>
                </c:pt>
                <c:pt idx="38" formatCode="General">
                  <c:v>43.7</c:v>
                </c:pt>
                <c:pt idx="39" formatCode="General">
                  <c:v>41.5</c:v>
                </c:pt>
                <c:pt idx="40" formatCode="General">
                  <c:v>39.700000000000003</c:v>
                </c:pt>
                <c:pt idx="41" formatCode="General">
                  <c:v>43.7</c:v>
                </c:pt>
                <c:pt idx="42" formatCode="General">
                  <c:v>47.6</c:v>
                </c:pt>
                <c:pt idx="43" formatCode="General">
                  <c:v>47.5</c:v>
                </c:pt>
                <c:pt idx="44" formatCode="General">
                  <c:v>55.7</c:v>
                </c:pt>
                <c:pt idx="45" formatCode="General">
                  <c:v>61.2</c:v>
                </c:pt>
                <c:pt idx="46" formatCode="General">
                  <c:v>58.9</c:v>
                </c:pt>
                <c:pt idx="47" formatCode="General">
                  <c:v>50.7</c:v>
                </c:pt>
                <c:pt idx="48" formatCode="General">
                  <c:v>38.5</c:v>
                </c:pt>
                <c:pt idx="49" formatCode="General">
                  <c:v>31.4</c:v>
                </c:pt>
                <c:pt idx="50" formatCode="General">
                  <c:v>38</c:v>
                </c:pt>
                <c:pt idx="51" formatCode="General">
                  <c:v>38.200000000000003</c:v>
                </c:pt>
                <c:pt idx="52" formatCode="General">
                  <c:v>45.7</c:v>
                </c:pt>
                <c:pt idx="53" formatCode="General">
                  <c:v>53.3</c:v>
                </c:pt>
              </c:numCache>
            </c:numRef>
          </c:val>
          <c:smooth val="0"/>
          <c:extLst>
            <c:ext xmlns:c16="http://schemas.microsoft.com/office/drawing/2014/chart" uri="{C3380CC4-5D6E-409C-BE32-E72D297353CC}">
              <c16:uniqueId val="{00000000-4E21-4546-ADFA-843B25C63EC2}"/>
            </c:ext>
          </c:extLst>
        </c:ser>
        <c:dLbls>
          <c:showLegendKey val="0"/>
          <c:showVal val="0"/>
          <c:showCatName val="0"/>
          <c:showSerName val="0"/>
          <c:showPercent val="0"/>
          <c:showBubbleSize val="0"/>
        </c:dLbls>
        <c:smooth val="0"/>
        <c:axId val="743345200"/>
        <c:axId val="743348112"/>
      </c:lineChart>
      <c:dateAx>
        <c:axId val="743345200"/>
        <c:scaling>
          <c:orientation val="minMax"/>
          <c:min val="43252"/>
        </c:scaling>
        <c:delete val="0"/>
        <c:axPos val="b"/>
        <c:numFmt formatCode="mmm\-yy"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43348112"/>
        <c:crosses val="autoZero"/>
        <c:auto val="1"/>
        <c:lblOffset val="100"/>
        <c:baseTimeUnit val="months"/>
        <c:majorUnit val="6"/>
        <c:majorTimeUnit val="months"/>
      </c:dateAx>
      <c:valAx>
        <c:axId val="74334811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Black]\-#,##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43345200"/>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0.03428</cdr:x>
      <cdr:y>0.84486</cdr:y>
    </cdr:from>
    <cdr:to>
      <cdr:x>0.93357</cdr:x>
      <cdr:y>1</cdr:y>
    </cdr:to>
    <cdr:sp macro="" textlink="">
      <cdr:nvSpPr>
        <cdr:cNvPr id="2" name="TextBox 1">
          <a:extLst xmlns:a="http://schemas.openxmlformats.org/drawingml/2006/main">
            <a:ext uri="{FF2B5EF4-FFF2-40B4-BE49-F238E27FC236}">
              <a16:creationId xmlns:a16="http://schemas.microsoft.com/office/drawing/2014/main" id="{DE6020B1-9148-4A86-BE50-57ABC45688FF}"/>
            </a:ext>
          </a:extLst>
        </cdr:cNvPr>
        <cdr:cNvSpPr txBox="1"/>
      </cdr:nvSpPr>
      <cdr:spPr>
        <a:xfrm xmlns:a="http://schemas.openxmlformats.org/drawingml/2006/main">
          <a:off x="211562" y="2688335"/>
          <a:ext cx="5550598" cy="49364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 The summing of individual months may result in slight differences due to rounding and weighting variations.</a:t>
          </a:r>
        </a:p>
        <a:p xmlns:a="http://schemas.openxmlformats.org/drawingml/2006/main">
          <a:r>
            <a:rPr lang="en-AU" sz="900">
              <a:solidFill>
                <a:schemeClr val="tx1">
                  <a:lumMod val="65000"/>
                  <a:lumOff val="35000"/>
                </a:schemeClr>
              </a:solidFill>
            </a:rPr>
            <a:t>Source: Tourism Research Australia</a:t>
          </a:r>
        </a:p>
      </cdr:txBody>
    </cdr:sp>
  </cdr:relSizeAnchor>
  <cdr:relSizeAnchor xmlns:cdr="http://schemas.openxmlformats.org/drawingml/2006/chartDrawing">
    <cdr:from>
      <cdr:x>0.01564</cdr:x>
      <cdr:y>0.18952</cdr:y>
    </cdr:from>
    <cdr:to>
      <cdr:x>0.04805</cdr:x>
      <cdr:y>0.51173</cdr:y>
    </cdr:to>
    <cdr:sp macro="" textlink="">
      <cdr:nvSpPr>
        <cdr:cNvPr id="3" name="TextBox 1">
          <a:extLst xmlns:a="http://schemas.openxmlformats.org/drawingml/2006/main">
            <a:ext uri="{FF2B5EF4-FFF2-40B4-BE49-F238E27FC236}">
              <a16:creationId xmlns:a16="http://schemas.microsoft.com/office/drawing/2014/main" id="{C214DA85-AEC3-4391-853B-E1FFEA21B393}"/>
            </a:ext>
          </a:extLst>
        </cdr:cNvPr>
        <cdr:cNvSpPr txBox="1"/>
      </cdr:nvSpPr>
      <cdr:spPr>
        <a:xfrm xmlns:a="http://schemas.openxmlformats.org/drawingml/2006/main">
          <a:off x="96520" y="599440"/>
          <a:ext cx="200036" cy="1019142"/>
        </a:xfrm>
        <a:prstGeom xmlns:a="http://schemas.openxmlformats.org/drawingml/2006/main" prst="rect">
          <a:avLst/>
        </a:prstGeom>
      </cdr:spPr>
      <cdr:txBody>
        <a:bodyPr xmlns:a="http://schemas.openxmlformats.org/drawingml/2006/main" vert="vert270" wrap="square" l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solidFill>
                <a:schemeClr val="tx1">
                  <a:lumMod val="65000"/>
                  <a:lumOff val="35000"/>
                </a:schemeClr>
              </a:solidFill>
            </a:rPr>
            <a:t>$billion</a:t>
          </a:r>
        </a:p>
      </cdr:txBody>
    </cdr:sp>
  </cdr:relSizeAnchor>
</c:userShapes>
</file>

<file path=word/drawings/drawing10.xml><?xml version="1.0" encoding="utf-8"?>
<c:userShapes xmlns:c="http://schemas.openxmlformats.org/drawingml/2006/chart">
  <cdr:relSizeAnchor xmlns:cdr="http://schemas.openxmlformats.org/drawingml/2006/chartDrawing">
    <cdr:from>
      <cdr:x>0.08347</cdr:x>
      <cdr:y>0.9054</cdr:y>
    </cdr:from>
    <cdr:to>
      <cdr:x>0.50771</cdr:x>
      <cdr:y>0.99483</cdr:y>
    </cdr:to>
    <cdr:sp macro="" textlink="">
      <cdr:nvSpPr>
        <cdr:cNvPr id="2" name="TextBox 1">
          <a:extLst xmlns:a="http://schemas.openxmlformats.org/drawingml/2006/main">
            <a:ext uri="{FF2B5EF4-FFF2-40B4-BE49-F238E27FC236}">
              <a16:creationId xmlns:a16="http://schemas.microsoft.com/office/drawing/2014/main" id="{2CCF0F69-4A75-4360-A9D9-FC9C0E521304}"/>
            </a:ext>
          </a:extLst>
        </cdr:cNvPr>
        <cdr:cNvSpPr txBox="1"/>
      </cdr:nvSpPr>
      <cdr:spPr>
        <a:xfrm xmlns:a="http://schemas.openxmlformats.org/drawingml/2006/main">
          <a:off x="498475" y="2782662"/>
          <a:ext cx="2533650" cy="274864"/>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r>
            <a:rPr lang="en-AU" sz="900">
              <a:solidFill>
                <a:schemeClr val="tx1">
                  <a:lumMod val="65000"/>
                  <a:lumOff val="35000"/>
                </a:schemeClr>
              </a:solidFill>
            </a:rPr>
            <a:t>Source: STR </a:t>
          </a:r>
        </a:p>
      </cdr:txBody>
    </cdr:sp>
  </cdr:relSizeAnchor>
  <cdr:relSizeAnchor xmlns:cdr="http://schemas.openxmlformats.org/drawingml/2006/chartDrawing">
    <cdr:from>
      <cdr:x>0.00372</cdr:x>
      <cdr:y>0.19215</cdr:y>
    </cdr:from>
    <cdr:to>
      <cdr:x>0.03608</cdr:x>
      <cdr:y>0.79029</cdr:y>
    </cdr:to>
    <cdr:sp macro="" textlink="">
      <cdr:nvSpPr>
        <cdr:cNvPr id="4" name="TextBox 3">
          <a:extLst xmlns:a="http://schemas.openxmlformats.org/drawingml/2006/main">
            <a:ext uri="{FF2B5EF4-FFF2-40B4-BE49-F238E27FC236}">
              <a16:creationId xmlns:a16="http://schemas.microsoft.com/office/drawing/2014/main" id="{62C941C0-3938-4223-8653-BE1B3344BC5F}"/>
            </a:ext>
          </a:extLst>
        </cdr:cNvPr>
        <cdr:cNvSpPr txBox="1"/>
      </cdr:nvSpPr>
      <cdr:spPr>
        <a:xfrm xmlns:a="http://schemas.openxmlformats.org/drawingml/2006/main">
          <a:off x="30131" y="813204"/>
          <a:ext cx="262114" cy="2531408"/>
        </a:xfrm>
        <a:prstGeom xmlns:a="http://schemas.openxmlformats.org/drawingml/2006/main" prst="rect">
          <a:avLst/>
        </a:prstGeom>
      </cdr:spPr>
      <cdr:txBody>
        <a:bodyPr xmlns:a="http://schemas.openxmlformats.org/drawingml/2006/main" vertOverflow="clip" vert="vert270" wrap="square" rtlCol="0" anchor="ctr"/>
        <a:lstStyle xmlns:a="http://schemas.openxmlformats.org/drawingml/2006/main"/>
        <a:p xmlns:a="http://schemas.openxmlformats.org/drawingml/2006/main">
          <a:pPr algn="ctr"/>
          <a:r>
            <a:rPr lang="en-AU" sz="1050">
              <a:solidFill>
                <a:schemeClr val="tx1">
                  <a:lumMod val="65000"/>
                  <a:lumOff val="35000"/>
                </a:schemeClr>
              </a:solidFill>
            </a:rPr>
            <a:t>Rate </a:t>
          </a:r>
          <a:r>
            <a:rPr lang="en-AU" sz="1050">
              <a:solidFill>
                <a:schemeClr val="tx1">
                  <a:lumMod val="75000"/>
                  <a:lumOff val="25000"/>
                </a:schemeClr>
              </a:solidFill>
            </a:rPr>
            <a:t>($)</a:t>
          </a:r>
        </a:p>
      </cdr:txBody>
    </cdr:sp>
  </cdr:relSizeAnchor>
</c:userShapes>
</file>

<file path=word/drawings/drawing11.xml><?xml version="1.0" encoding="utf-8"?>
<c:userShapes xmlns:c="http://schemas.openxmlformats.org/drawingml/2006/chart">
  <cdr:relSizeAnchor xmlns:cdr="http://schemas.openxmlformats.org/drawingml/2006/chartDrawing">
    <cdr:from>
      <cdr:x>0.04198</cdr:x>
      <cdr:y>0.9459</cdr:y>
    </cdr:from>
    <cdr:to>
      <cdr:x>0.9985</cdr:x>
      <cdr:y>0.99859</cdr:y>
    </cdr:to>
    <cdr:sp macro="" textlink="">
      <cdr:nvSpPr>
        <cdr:cNvPr id="2" name="TextBox 1">
          <a:extLst xmlns:a="http://schemas.openxmlformats.org/drawingml/2006/main">
            <a:ext uri="{FF2B5EF4-FFF2-40B4-BE49-F238E27FC236}">
              <a16:creationId xmlns:a16="http://schemas.microsoft.com/office/drawing/2014/main" id="{473B62BA-22E7-4108-A392-49D4B5941213}"/>
            </a:ext>
          </a:extLst>
        </cdr:cNvPr>
        <cdr:cNvSpPr txBox="1"/>
      </cdr:nvSpPr>
      <cdr:spPr>
        <a:xfrm xmlns:a="http://schemas.openxmlformats.org/drawingml/2006/main">
          <a:off x="266700" y="3352800"/>
          <a:ext cx="6076950" cy="186772"/>
        </a:xfrm>
        <a:prstGeom xmlns:a="http://schemas.openxmlformats.org/drawingml/2006/main" prst="rect">
          <a:avLst/>
        </a:prstGeom>
      </cdr:spPr>
      <cdr:txBody>
        <a:bodyPr xmlns:a="http://schemas.openxmlformats.org/drawingml/2006/main" vertOverflow="clip" wrap="square" lIns="0" rIns="0" bIns="0" rtlCol="0"/>
        <a:lstStyle xmlns:a="http://schemas.openxmlformats.org/drawingml/2006/main"/>
        <a:p xmlns:a="http://schemas.openxmlformats.org/drawingml/2006/main">
          <a:r>
            <a:rPr lang="en-AU" sz="900">
              <a:solidFill>
                <a:schemeClr val="tx1">
                  <a:lumMod val="65000"/>
                  <a:lumOff val="35000"/>
                </a:schemeClr>
              </a:solidFill>
            </a:rPr>
            <a:t>Source: </a:t>
          </a:r>
          <a:r>
            <a:rPr lang="en-AU" sz="900" b="0" i="0">
              <a:solidFill>
                <a:schemeClr val="tx1">
                  <a:lumMod val="65000"/>
                  <a:lumOff val="35000"/>
                </a:schemeClr>
              </a:solidFill>
              <a:effectLst/>
              <a:latin typeface="+mn-lt"/>
              <a:ea typeface="+mn-ea"/>
              <a:cs typeface="+mn-cs"/>
            </a:rPr>
            <a:t> Department of Infrastructure, Transport, Regional Development and Communications (</a:t>
          </a:r>
          <a:r>
            <a:rPr lang="en-AU" sz="900">
              <a:solidFill>
                <a:schemeClr val="tx1">
                  <a:lumMod val="65000"/>
                  <a:lumOff val="35000"/>
                </a:schemeClr>
              </a:solidFill>
            </a:rPr>
            <a:t>BITRE)</a:t>
          </a:r>
        </a:p>
      </cdr:txBody>
    </cdr:sp>
  </cdr:relSizeAnchor>
</c:userShapes>
</file>

<file path=word/drawings/drawing12.xml><?xml version="1.0" encoding="utf-8"?>
<c:userShapes xmlns:c="http://schemas.openxmlformats.org/drawingml/2006/chart">
  <cdr:relSizeAnchor xmlns:cdr="http://schemas.openxmlformats.org/drawingml/2006/chartDrawing">
    <cdr:from>
      <cdr:x>0.06404</cdr:x>
      <cdr:y>0.91957</cdr:y>
    </cdr:from>
    <cdr:to>
      <cdr:x>0.99619</cdr:x>
      <cdr:y>1</cdr:y>
    </cdr:to>
    <cdr:sp macro="" textlink="">
      <cdr:nvSpPr>
        <cdr:cNvPr id="2" name="TextBox 1">
          <a:extLst xmlns:a="http://schemas.openxmlformats.org/drawingml/2006/main">
            <a:ext uri="{FF2B5EF4-FFF2-40B4-BE49-F238E27FC236}">
              <a16:creationId xmlns:a16="http://schemas.microsoft.com/office/drawing/2014/main" id="{88E99C56-691A-4EAE-A2A5-E3BFED2E11A6}"/>
            </a:ext>
          </a:extLst>
        </cdr:cNvPr>
        <cdr:cNvSpPr txBox="1"/>
      </cdr:nvSpPr>
      <cdr:spPr>
        <a:xfrm xmlns:a="http://schemas.openxmlformats.org/drawingml/2006/main">
          <a:off x="405637" y="4029075"/>
          <a:ext cx="5904340" cy="352425"/>
        </a:xfrm>
        <a:prstGeom xmlns:a="http://schemas.openxmlformats.org/drawingml/2006/main" prst="rect">
          <a:avLst/>
        </a:prstGeom>
      </cdr:spPr>
      <cdr:txBody>
        <a:bodyPr xmlns:a="http://schemas.openxmlformats.org/drawingml/2006/main" vertOverflow="clip" wrap="square" bIns="0"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AU" sz="900">
              <a:solidFill>
                <a:schemeClr val="tx1">
                  <a:lumMod val="65000"/>
                  <a:lumOff val="35000"/>
                </a:schemeClr>
              </a:solidFill>
            </a:rPr>
            <a:t>Source: ABS</a:t>
          </a:r>
          <a:r>
            <a:rPr lang="en-AU" sz="900">
              <a:solidFill>
                <a:schemeClr val="tx1">
                  <a:lumMod val="65000"/>
                  <a:lumOff val="35000"/>
                </a:schemeClr>
              </a:solidFill>
              <a:effectLst/>
              <a:latin typeface="+mn-lt"/>
              <a:ea typeface="+mn-ea"/>
              <a:cs typeface="+mn-cs"/>
            </a:rPr>
            <a:t>, Tourism Satellite Accounts: quarterly tourism labour statistics, Australia, experimental estimates – December 2021 </a:t>
          </a:r>
        </a:p>
        <a:p xmlns:a="http://schemas.openxmlformats.org/drawingml/2006/main">
          <a:endParaRPr lang="en-AU" sz="900">
            <a:solidFill>
              <a:schemeClr val="tx1">
                <a:lumMod val="65000"/>
                <a:lumOff val="35000"/>
              </a:schemeClr>
            </a:solidFill>
          </a:endParaRPr>
        </a:p>
      </cdr:txBody>
    </cdr:sp>
  </cdr:relSizeAnchor>
  <cdr:relSizeAnchor xmlns:cdr="http://schemas.openxmlformats.org/drawingml/2006/chartDrawing">
    <cdr:from>
      <cdr:x>0.00449</cdr:x>
      <cdr:y>0.30493</cdr:y>
    </cdr:from>
    <cdr:to>
      <cdr:x>0.03913</cdr:x>
      <cdr:y>0.53477</cdr:y>
    </cdr:to>
    <cdr:sp macro="" textlink="">
      <cdr:nvSpPr>
        <cdr:cNvPr id="3" name="TextBox 2">
          <a:extLst xmlns:a="http://schemas.openxmlformats.org/drawingml/2006/main">
            <a:ext uri="{FF2B5EF4-FFF2-40B4-BE49-F238E27FC236}">
              <a16:creationId xmlns:a16="http://schemas.microsoft.com/office/drawing/2014/main" id="{A12AB590-A853-4495-9EC2-9025B06C7B73}"/>
            </a:ext>
          </a:extLst>
        </cdr:cNvPr>
        <cdr:cNvSpPr txBox="1"/>
      </cdr:nvSpPr>
      <cdr:spPr>
        <a:xfrm xmlns:a="http://schemas.openxmlformats.org/drawingml/2006/main">
          <a:off x="28420" y="1295400"/>
          <a:ext cx="219230" cy="976383"/>
        </a:xfrm>
        <a:prstGeom xmlns:a="http://schemas.openxmlformats.org/drawingml/2006/main" prst="rect">
          <a:avLst/>
        </a:prstGeom>
      </cdr:spPr>
      <cdr:txBody>
        <a:bodyPr xmlns:a="http://schemas.openxmlformats.org/drawingml/2006/main" vertOverflow="clip" vert="vert270" wrap="square" rIns="0" bIns="0" rtlCol="0"/>
        <a:lstStyle xmlns:a="http://schemas.openxmlformats.org/drawingml/2006/main"/>
        <a:p xmlns:a="http://schemas.openxmlformats.org/drawingml/2006/main">
          <a:r>
            <a:rPr lang="en-AU" sz="1000">
              <a:solidFill>
                <a:schemeClr val="tx1">
                  <a:lumMod val="65000"/>
                  <a:lumOff val="35000"/>
                </a:schemeClr>
              </a:solidFill>
            </a:rPr>
            <a:t>Jobs ('000)</a:t>
          </a:r>
        </a:p>
      </cdr:txBody>
    </cdr:sp>
  </cdr:relSizeAnchor>
  <cdr:relSizeAnchor xmlns:cdr="http://schemas.openxmlformats.org/drawingml/2006/chartDrawing">
    <cdr:from>
      <cdr:x>0.17807</cdr:x>
      <cdr:y>0.0145</cdr:y>
    </cdr:from>
    <cdr:to>
      <cdr:x>0.20315</cdr:x>
      <cdr:y>0.05713</cdr:y>
    </cdr:to>
    <cdr:sp macro="" textlink="">
      <cdr:nvSpPr>
        <cdr:cNvPr id="4" name="TextBox 1">
          <a:extLst xmlns:a="http://schemas.openxmlformats.org/drawingml/2006/main">
            <a:ext uri="{FF2B5EF4-FFF2-40B4-BE49-F238E27FC236}">
              <a16:creationId xmlns:a16="http://schemas.microsoft.com/office/drawing/2014/main" id="{AA267580-826E-40D2-8689-4925862EED20}"/>
            </a:ext>
          </a:extLst>
        </cdr:cNvPr>
        <cdr:cNvSpPr txBox="1"/>
      </cdr:nvSpPr>
      <cdr:spPr>
        <a:xfrm xmlns:a="http://schemas.openxmlformats.org/drawingml/2006/main">
          <a:off x="1127126" y="61595"/>
          <a:ext cx="158750" cy="181092"/>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000">
              <a:solidFill>
                <a:schemeClr val="tx1">
                  <a:lumMod val="65000"/>
                  <a:lumOff val="35000"/>
                </a:schemeClr>
              </a:solidFill>
            </a:rPr>
            <a:t>é</a:t>
          </a:r>
        </a:p>
      </cdr:txBody>
    </cdr:sp>
  </cdr:relSizeAnchor>
</c:userShapes>
</file>

<file path=word/drawings/drawing13.xml><?xml version="1.0" encoding="utf-8"?>
<c:userShapes xmlns:c="http://schemas.openxmlformats.org/drawingml/2006/chart">
  <cdr:relSizeAnchor xmlns:cdr="http://schemas.openxmlformats.org/drawingml/2006/chartDrawing">
    <cdr:from>
      <cdr:x>0.07364</cdr:x>
      <cdr:y>0.81176</cdr:y>
    </cdr:from>
    <cdr:to>
      <cdr:x>0.95607</cdr:x>
      <cdr:y>0.99799</cdr:y>
    </cdr:to>
    <cdr:sp macro="" textlink="">
      <cdr:nvSpPr>
        <cdr:cNvPr id="2" name="TextBox 1">
          <a:extLst xmlns:a="http://schemas.openxmlformats.org/drawingml/2006/main">
            <a:ext uri="{FF2B5EF4-FFF2-40B4-BE49-F238E27FC236}">
              <a16:creationId xmlns:a16="http://schemas.microsoft.com/office/drawing/2014/main" id="{5576C37D-7874-429C-859B-B024DD3A6CCA}"/>
            </a:ext>
          </a:extLst>
        </cdr:cNvPr>
        <cdr:cNvSpPr txBox="1"/>
      </cdr:nvSpPr>
      <cdr:spPr>
        <a:xfrm xmlns:a="http://schemas.openxmlformats.org/drawingml/2006/main">
          <a:off x="542926" y="3286125"/>
          <a:ext cx="6505575" cy="753848"/>
        </a:xfrm>
        <a:prstGeom xmlns:a="http://schemas.openxmlformats.org/drawingml/2006/main" prst="rect">
          <a:avLst/>
        </a:prstGeom>
      </cdr:spPr>
      <cdr:txBody>
        <a:bodyPr xmlns:a="http://schemas.openxmlformats.org/drawingml/2006/main" vertOverflow="clip" wrap="square" lIns="0" tIns="0" rIns="0" bIns="0" rtlCol="0" anchor="b"/>
        <a:lstStyle xmlns:a="http://schemas.openxmlformats.org/drawingml/2006/main"/>
        <a:p xmlns:a="http://schemas.openxmlformats.org/drawingml/2006/main">
          <a:r>
            <a:rPr lang="en-AU" sz="900">
              <a:solidFill>
                <a:schemeClr val="tx1">
                  <a:lumMod val="65000"/>
                  <a:lumOff val="35000"/>
                </a:schemeClr>
              </a:solidFill>
              <a:latin typeface="Verdana" panose="020B0604030504040204" pitchFamily="34" charset="0"/>
              <a:ea typeface="Verdana" panose="020B0604030504040204" pitchFamily="34" charset="0"/>
            </a:rPr>
            <a:t>* The trip rate for April 2022 tells us 30.7% of NVS respondents interviewed reported taking one or more overnight trips in the preceding 28 days (the reference period). The return date will have been in March for some of these trips. The trip estimate of 7.1 million for the month of February refers to overnight trips returned from in that month.</a:t>
          </a:r>
        </a:p>
        <a:p xmlns:a="http://schemas.openxmlformats.org/drawingml/2006/main">
          <a:r>
            <a:rPr lang="en-AU" sz="900">
              <a:solidFill>
                <a:schemeClr val="tx1">
                  <a:lumMod val="65000"/>
                  <a:lumOff val="35000"/>
                </a:schemeClr>
              </a:solidFill>
              <a:latin typeface="Verdana" panose="020B0604030504040204" pitchFamily="34" charset="0"/>
              <a:ea typeface="Verdana" panose="020B0604030504040204" pitchFamily="34" charset="0"/>
            </a:rPr>
            <a:t>Source: Tourism Research Australia</a:t>
          </a:r>
        </a:p>
      </cdr:txBody>
    </cdr:sp>
  </cdr:relSizeAnchor>
</c:userShapes>
</file>

<file path=word/drawings/drawing2.xml><?xml version="1.0" encoding="utf-8"?>
<c:userShapes xmlns:c="http://schemas.openxmlformats.org/drawingml/2006/chart">
  <cdr:relSizeAnchor xmlns:cdr="http://schemas.openxmlformats.org/drawingml/2006/chartDrawing">
    <cdr:from>
      <cdr:x>0.04501</cdr:x>
      <cdr:y>0.94022</cdr:y>
    </cdr:from>
    <cdr:to>
      <cdr:x>0.98017</cdr:x>
      <cdr:y>1</cdr:y>
    </cdr:to>
    <cdr:sp macro="" textlink="">
      <cdr:nvSpPr>
        <cdr:cNvPr id="2" name="TextBox 1">
          <a:extLst xmlns:a="http://schemas.openxmlformats.org/drawingml/2006/main">
            <a:ext uri="{FF2B5EF4-FFF2-40B4-BE49-F238E27FC236}">
              <a16:creationId xmlns:a16="http://schemas.microsoft.com/office/drawing/2014/main" id="{AB2E3CEA-4751-4C8D-BAC4-59F61ABC8FCA}"/>
            </a:ext>
          </a:extLst>
        </cdr:cNvPr>
        <cdr:cNvSpPr txBox="1"/>
      </cdr:nvSpPr>
      <cdr:spPr>
        <a:xfrm xmlns:a="http://schemas.openxmlformats.org/drawingml/2006/main">
          <a:off x="284899" y="3295650"/>
          <a:ext cx="5919263" cy="2095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Source: ABS, Overseas Arrivals and Departures</a:t>
          </a:r>
          <a:r>
            <a:rPr lang="en-AU" sz="700">
              <a:solidFill>
                <a:schemeClr val="tx1">
                  <a:lumMod val="65000"/>
                  <a:lumOff val="35000"/>
                </a:schemeClr>
              </a:solidFill>
            </a:rPr>
            <a:t>,</a:t>
          </a:r>
          <a:r>
            <a:rPr lang="en-AU" sz="1000" b="0" i="0">
              <a:solidFill>
                <a:schemeClr val="tx1">
                  <a:lumMod val="65000"/>
                  <a:lumOff val="35000"/>
                </a:schemeClr>
              </a:solidFill>
              <a:effectLst/>
              <a:latin typeface="+mn-lt"/>
              <a:ea typeface="+mn-ea"/>
              <a:cs typeface="+mn-cs"/>
            </a:rPr>
            <a:t> Australia – March 2022 (cat. no. 3401.0)</a:t>
          </a:r>
          <a:endParaRPr lang="en-AU" sz="900">
            <a:solidFill>
              <a:schemeClr val="tx1">
                <a:lumMod val="65000"/>
                <a:lumOff val="35000"/>
              </a:schemeClr>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0.07656</cdr:x>
      <cdr:y>0.89053</cdr:y>
    </cdr:from>
    <cdr:to>
      <cdr:x>0.97165</cdr:x>
      <cdr:y>1</cdr:y>
    </cdr:to>
    <cdr:sp macro="" textlink="">
      <cdr:nvSpPr>
        <cdr:cNvPr id="2" name="TextBox 1">
          <a:extLst xmlns:a="http://schemas.openxmlformats.org/drawingml/2006/main">
            <a:ext uri="{FF2B5EF4-FFF2-40B4-BE49-F238E27FC236}">
              <a16:creationId xmlns:a16="http://schemas.microsoft.com/office/drawing/2014/main" id="{261DFB53-8697-4797-A4D8-4FECE46A7094}"/>
            </a:ext>
          </a:extLst>
        </cdr:cNvPr>
        <cdr:cNvSpPr txBox="1"/>
      </cdr:nvSpPr>
      <cdr:spPr>
        <a:xfrm xmlns:a="http://schemas.openxmlformats.org/drawingml/2006/main">
          <a:off x="463064" y="2867025"/>
          <a:ext cx="5413861" cy="3524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Source: Department of Education, Skills</a:t>
          </a:r>
          <a:r>
            <a:rPr lang="en-AU" sz="900" baseline="0">
              <a:solidFill>
                <a:schemeClr val="tx1">
                  <a:lumMod val="65000"/>
                  <a:lumOff val="35000"/>
                </a:schemeClr>
              </a:solidFill>
            </a:rPr>
            <a:t> and Employment (now named the Department of Education). Data supplied by the Department of Home Affairs</a:t>
          </a:r>
          <a:endParaRPr lang="en-AU" sz="900">
            <a:solidFill>
              <a:schemeClr val="tx1">
                <a:lumMod val="65000"/>
                <a:lumOff val="35000"/>
              </a:schemeClr>
            </a:solidFill>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0.06936</cdr:x>
      <cdr:y>0.84988</cdr:y>
    </cdr:from>
    <cdr:to>
      <cdr:x>0.6659</cdr:x>
      <cdr:y>1</cdr:y>
    </cdr:to>
    <cdr:sp macro="" textlink="">
      <cdr:nvSpPr>
        <cdr:cNvPr id="2" name="TextBox 1">
          <a:extLst xmlns:a="http://schemas.openxmlformats.org/drawingml/2006/main">
            <a:ext uri="{FF2B5EF4-FFF2-40B4-BE49-F238E27FC236}">
              <a16:creationId xmlns:a16="http://schemas.microsoft.com/office/drawing/2014/main" id="{4595C23C-300E-463B-B4B8-8F38669E8BA2}"/>
            </a:ext>
          </a:extLst>
        </cdr:cNvPr>
        <cdr:cNvSpPr txBox="1"/>
      </cdr:nvSpPr>
      <cdr:spPr>
        <a:xfrm xmlns:a="http://schemas.openxmlformats.org/drawingml/2006/main">
          <a:off x="395071" y="3343276"/>
          <a:ext cx="3397862" cy="5905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900">
              <a:solidFill>
                <a:schemeClr val="tx1">
                  <a:lumMod val="65000"/>
                  <a:lumOff val="35000"/>
                </a:schemeClr>
              </a:solidFill>
            </a:rPr>
            <a:t>* Left-hand side axis</a:t>
          </a:r>
        </a:p>
        <a:p xmlns:a="http://schemas.openxmlformats.org/drawingml/2006/main">
          <a:r>
            <a:rPr lang="en-AU" sz="900">
              <a:solidFill>
                <a:schemeClr val="tx1">
                  <a:lumMod val="65000"/>
                  <a:lumOff val="35000"/>
                </a:schemeClr>
              </a:solidFill>
            </a:rPr>
            <a:t>**Right-hand</a:t>
          </a:r>
          <a:r>
            <a:rPr lang="en-AU" sz="900" baseline="0">
              <a:solidFill>
                <a:schemeClr val="tx1">
                  <a:lumMod val="65000"/>
                  <a:lumOff val="35000"/>
                </a:schemeClr>
              </a:solidFill>
            </a:rPr>
            <a:t> side axis</a:t>
          </a:r>
          <a:endParaRPr lang="en-AU" sz="900">
            <a:solidFill>
              <a:schemeClr val="tx1">
                <a:lumMod val="65000"/>
                <a:lumOff val="35000"/>
              </a:schemeClr>
            </a:solidFill>
          </a:endParaRPr>
        </a:p>
        <a:p xmlns:a="http://schemas.openxmlformats.org/drawingml/2006/main">
          <a:r>
            <a:rPr lang="en-AU" sz="900">
              <a:solidFill>
                <a:schemeClr val="tx1">
                  <a:lumMod val="65000"/>
                  <a:lumOff val="35000"/>
                </a:schemeClr>
              </a:solidFill>
            </a:rPr>
            <a:t>Source: Tourism Research Australia</a:t>
          </a:r>
        </a:p>
      </cdr:txBody>
    </cdr:sp>
  </cdr:relSizeAnchor>
  <cdr:relSizeAnchor xmlns:cdr="http://schemas.openxmlformats.org/drawingml/2006/chartDrawing">
    <cdr:from>
      <cdr:x>0.00557</cdr:x>
      <cdr:y>0.30495</cdr:y>
    </cdr:from>
    <cdr:to>
      <cdr:x>0.05407</cdr:x>
      <cdr:y>0.46247</cdr:y>
    </cdr:to>
    <cdr:sp macro="" textlink="">
      <cdr:nvSpPr>
        <cdr:cNvPr id="4" name="TextBox 3">
          <a:extLst xmlns:a="http://schemas.openxmlformats.org/drawingml/2006/main">
            <a:ext uri="{FF2B5EF4-FFF2-40B4-BE49-F238E27FC236}">
              <a16:creationId xmlns:a16="http://schemas.microsoft.com/office/drawing/2014/main" id="{7195A0F1-501C-477C-A927-AA8A66FB24BF}"/>
            </a:ext>
          </a:extLst>
        </cdr:cNvPr>
        <cdr:cNvSpPr txBox="1"/>
      </cdr:nvSpPr>
      <cdr:spPr>
        <a:xfrm xmlns:a="http://schemas.openxmlformats.org/drawingml/2006/main">
          <a:off x="31726" y="1199620"/>
          <a:ext cx="276254" cy="619655"/>
        </a:xfrm>
        <a:prstGeom xmlns:a="http://schemas.openxmlformats.org/drawingml/2006/main" prst="rect">
          <a:avLst/>
        </a:prstGeom>
      </cdr:spPr>
      <cdr:txBody>
        <a:bodyPr xmlns:a="http://schemas.openxmlformats.org/drawingml/2006/main" vertOverflow="clip" vert="vert270" wrap="square" lIns="0" rIns="0" rtlCol="0"/>
        <a:lstStyle xmlns:a="http://schemas.openxmlformats.org/drawingml/2006/main"/>
        <a:p xmlns:a="http://schemas.openxmlformats.org/drawingml/2006/main">
          <a:r>
            <a:rPr lang="en-AU" sz="1100">
              <a:solidFill>
                <a:schemeClr val="tx1">
                  <a:lumMod val="65000"/>
                  <a:lumOff val="35000"/>
                </a:schemeClr>
              </a:solidFill>
            </a:rPr>
            <a:t>$billion</a:t>
          </a:r>
        </a:p>
      </cdr:txBody>
    </cdr:sp>
  </cdr:relSizeAnchor>
</c:userShapes>
</file>

<file path=word/drawings/drawing5.xml><?xml version="1.0" encoding="utf-8"?>
<c:userShapes xmlns:c="http://schemas.openxmlformats.org/drawingml/2006/chart">
  <cdr:relSizeAnchor xmlns:cdr="http://schemas.openxmlformats.org/drawingml/2006/chartDrawing">
    <cdr:from>
      <cdr:x>0.05402</cdr:x>
      <cdr:y>0.93967</cdr:y>
    </cdr:from>
    <cdr:to>
      <cdr:x>0.60925</cdr:x>
      <cdr:y>0.99246</cdr:y>
    </cdr:to>
    <cdr:sp macro="" textlink="">
      <cdr:nvSpPr>
        <cdr:cNvPr id="2" name="TextBox 1">
          <a:extLst xmlns:a="http://schemas.openxmlformats.org/drawingml/2006/main">
            <a:ext uri="{FF2B5EF4-FFF2-40B4-BE49-F238E27FC236}">
              <a16:creationId xmlns:a16="http://schemas.microsoft.com/office/drawing/2014/main" id="{E2AA5462-B234-4BF2-AE66-000AB9B94AFF}"/>
            </a:ext>
          </a:extLst>
        </cdr:cNvPr>
        <cdr:cNvSpPr txBox="1"/>
      </cdr:nvSpPr>
      <cdr:spPr>
        <a:xfrm xmlns:a="http://schemas.openxmlformats.org/drawingml/2006/main">
          <a:off x="317500" y="3956050"/>
          <a:ext cx="3263006" cy="2222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Source: Tourism Research Australia</a:t>
          </a:r>
        </a:p>
      </cdr:txBody>
    </cdr:sp>
  </cdr:relSizeAnchor>
  <cdr:relSizeAnchor xmlns:cdr="http://schemas.openxmlformats.org/drawingml/2006/chartDrawing">
    <cdr:from>
      <cdr:x>0.00542</cdr:x>
      <cdr:y>0.25624</cdr:y>
    </cdr:from>
    <cdr:to>
      <cdr:x>0.03878</cdr:x>
      <cdr:y>0.5268</cdr:y>
    </cdr:to>
    <cdr:sp macro="" textlink="">
      <cdr:nvSpPr>
        <cdr:cNvPr id="3" name="TextBox 1">
          <a:extLst xmlns:a="http://schemas.openxmlformats.org/drawingml/2006/main">
            <a:ext uri="{FF2B5EF4-FFF2-40B4-BE49-F238E27FC236}">
              <a16:creationId xmlns:a16="http://schemas.microsoft.com/office/drawing/2014/main" id="{258DEE98-C360-4F8F-8505-C833B789B452}"/>
            </a:ext>
          </a:extLst>
        </cdr:cNvPr>
        <cdr:cNvSpPr txBox="1"/>
      </cdr:nvSpPr>
      <cdr:spPr>
        <a:xfrm xmlns:a="http://schemas.openxmlformats.org/drawingml/2006/main">
          <a:off x="32512" y="965200"/>
          <a:ext cx="200025" cy="1019175"/>
        </a:xfrm>
        <a:prstGeom xmlns:a="http://schemas.openxmlformats.org/drawingml/2006/main" prst="rect">
          <a:avLst/>
        </a:prstGeom>
      </cdr:spPr>
      <cdr:txBody>
        <a:bodyPr xmlns:a="http://schemas.openxmlformats.org/drawingml/2006/main" vert="vert270" wrap="square" l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solidFill>
                <a:schemeClr val="tx1">
                  <a:lumMod val="65000"/>
                  <a:lumOff val="35000"/>
                </a:schemeClr>
              </a:solidFill>
            </a:rPr>
            <a:t>$billion</a:t>
          </a:r>
        </a:p>
      </cdr:txBody>
    </cdr:sp>
  </cdr:relSizeAnchor>
</c:userShapes>
</file>

<file path=word/drawings/drawing6.xml><?xml version="1.0" encoding="utf-8"?>
<c:userShapes xmlns:c="http://schemas.openxmlformats.org/drawingml/2006/chart">
  <cdr:relSizeAnchor xmlns:cdr="http://schemas.openxmlformats.org/drawingml/2006/chartDrawing">
    <cdr:from>
      <cdr:x>0.04486</cdr:x>
      <cdr:y>0.93058</cdr:y>
    </cdr:from>
    <cdr:to>
      <cdr:x>0.62846</cdr:x>
      <cdr:y>0.98704</cdr:y>
    </cdr:to>
    <cdr:sp macro="" textlink="">
      <cdr:nvSpPr>
        <cdr:cNvPr id="2" name="TextBox 1">
          <a:extLst xmlns:a="http://schemas.openxmlformats.org/drawingml/2006/main">
            <a:ext uri="{FF2B5EF4-FFF2-40B4-BE49-F238E27FC236}">
              <a16:creationId xmlns:a16="http://schemas.microsoft.com/office/drawing/2014/main" id="{6A18B2D0-D273-4C81-949A-7D681E5DE552}"/>
            </a:ext>
          </a:extLst>
        </cdr:cNvPr>
        <cdr:cNvSpPr txBox="1"/>
      </cdr:nvSpPr>
      <cdr:spPr>
        <a:xfrm xmlns:a="http://schemas.openxmlformats.org/drawingml/2006/main">
          <a:off x="250825" y="3660734"/>
          <a:ext cx="3263006" cy="22209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Source: Tourism Research Australia</a:t>
          </a:r>
        </a:p>
      </cdr:txBody>
    </cdr:sp>
  </cdr:relSizeAnchor>
  <cdr:relSizeAnchor xmlns:cdr="http://schemas.openxmlformats.org/drawingml/2006/chartDrawing">
    <cdr:from>
      <cdr:x>0</cdr:x>
      <cdr:y>0.32768</cdr:y>
    </cdr:from>
    <cdr:to>
      <cdr:x>0.03578</cdr:x>
      <cdr:y>0.58676</cdr:y>
    </cdr:to>
    <cdr:sp macro="" textlink="">
      <cdr:nvSpPr>
        <cdr:cNvPr id="3" name="TextBox 1">
          <a:extLst xmlns:a="http://schemas.openxmlformats.org/drawingml/2006/main">
            <a:ext uri="{FF2B5EF4-FFF2-40B4-BE49-F238E27FC236}">
              <a16:creationId xmlns:a16="http://schemas.microsoft.com/office/drawing/2014/main" id="{258DEE98-C360-4F8F-8505-C833B789B452}"/>
            </a:ext>
          </a:extLst>
        </cdr:cNvPr>
        <cdr:cNvSpPr txBox="1"/>
      </cdr:nvSpPr>
      <cdr:spPr>
        <a:xfrm xmlns:a="http://schemas.openxmlformats.org/drawingml/2006/main">
          <a:off x="0" y="1289050"/>
          <a:ext cx="200025" cy="1019175"/>
        </a:xfrm>
        <a:prstGeom xmlns:a="http://schemas.openxmlformats.org/drawingml/2006/main" prst="rect">
          <a:avLst/>
        </a:prstGeom>
      </cdr:spPr>
      <cdr:txBody>
        <a:bodyPr xmlns:a="http://schemas.openxmlformats.org/drawingml/2006/main" vert="vert270" wrap="square" l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solidFill>
                <a:schemeClr val="tx1">
                  <a:lumMod val="65000"/>
                  <a:lumOff val="35000"/>
                </a:schemeClr>
              </a:solidFill>
            </a:rPr>
            <a:t>$billion</a:t>
          </a:r>
        </a:p>
      </cdr:txBody>
    </cdr:sp>
  </cdr:relSizeAnchor>
</c:userShapes>
</file>

<file path=word/drawings/drawing7.xml><?xml version="1.0" encoding="utf-8"?>
<c:userShapes xmlns:c="http://schemas.openxmlformats.org/drawingml/2006/chart">
  <cdr:relSizeAnchor xmlns:cdr="http://schemas.openxmlformats.org/drawingml/2006/chartDrawing">
    <cdr:from>
      <cdr:x>0.08737</cdr:x>
      <cdr:y>0.94175</cdr:y>
    </cdr:from>
    <cdr:to>
      <cdr:x>0.659</cdr:x>
      <cdr:y>0.99088</cdr:y>
    </cdr:to>
    <cdr:sp macro="" textlink="">
      <cdr:nvSpPr>
        <cdr:cNvPr id="2" name="TextBox 1">
          <a:extLst xmlns:a="http://schemas.openxmlformats.org/drawingml/2006/main">
            <a:ext uri="{FF2B5EF4-FFF2-40B4-BE49-F238E27FC236}">
              <a16:creationId xmlns:a16="http://schemas.microsoft.com/office/drawing/2014/main" id="{2D104B4B-002C-4F96-BAC5-D21C975E46D4}"/>
            </a:ext>
          </a:extLst>
        </cdr:cNvPr>
        <cdr:cNvSpPr txBox="1"/>
      </cdr:nvSpPr>
      <cdr:spPr>
        <a:xfrm xmlns:a="http://schemas.openxmlformats.org/drawingml/2006/main">
          <a:off x="498475" y="4260850"/>
          <a:ext cx="3261441" cy="2222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Source: Tourism Research Australia</a:t>
          </a:r>
        </a:p>
      </cdr:txBody>
    </cdr:sp>
  </cdr:relSizeAnchor>
</c:userShapes>
</file>

<file path=word/drawings/drawing8.xml><?xml version="1.0" encoding="utf-8"?>
<c:userShapes xmlns:c="http://schemas.openxmlformats.org/drawingml/2006/chart">
  <cdr:relSizeAnchor xmlns:cdr="http://schemas.openxmlformats.org/drawingml/2006/chartDrawing">
    <cdr:from>
      <cdr:x>0.05806</cdr:x>
      <cdr:y>0.94843</cdr:y>
    </cdr:from>
    <cdr:to>
      <cdr:x>0.51685</cdr:x>
      <cdr:y>0.99413</cdr:y>
    </cdr:to>
    <cdr:sp macro="" textlink="">
      <cdr:nvSpPr>
        <cdr:cNvPr id="2" name="TextBox 1">
          <a:extLst xmlns:a="http://schemas.openxmlformats.org/drawingml/2006/main">
            <a:ext uri="{FF2B5EF4-FFF2-40B4-BE49-F238E27FC236}">
              <a16:creationId xmlns:a16="http://schemas.microsoft.com/office/drawing/2014/main" id="{83F8643D-A8AC-4143-84A5-834D8390F073}"/>
            </a:ext>
          </a:extLst>
        </cdr:cNvPr>
        <cdr:cNvSpPr txBox="1"/>
      </cdr:nvSpPr>
      <cdr:spPr>
        <a:xfrm xmlns:a="http://schemas.openxmlformats.org/drawingml/2006/main">
          <a:off x="412750" y="4613275"/>
          <a:ext cx="3261441" cy="2222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900">
              <a:solidFill>
                <a:schemeClr val="tx1">
                  <a:lumMod val="65000"/>
                  <a:lumOff val="35000"/>
                </a:schemeClr>
              </a:solidFill>
            </a:rPr>
            <a:t>Source: Tourism Research Australia</a:t>
          </a:r>
        </a:p>
      </cdr:txBody>
    </cdr:sp>
  </cdr:relSizeAnchor>
</c:userShapes>
</file>

<file path=word/drawings/drawing9.xml><?xml version="1.0" encoding="utf-8"?>
<c:userShapes xmlns:c="http://schemas.openxmlformats.org/drawingml/2006/chart">
  <cdr:relSizeAnchor xmlns:cdr="http://schemas.openxmlformats.org/drawingml/2006/chartDrawing">
    <cdr:from>
      <cdr:x>0.08347</cdr:x>
      <cdr:y>0.91786</cdr:y>
    </cdr:from>
    <cdr:to>
      <cdr:x>0.50771</cdr:x>
      <cdr:y>0.99483</cdr:y>
    </cdr:to>
    <cdr:sp macro="" textlink="">
      <cdr:nvSpPr>
        <cdr:cNvPr id="2" name="TextBox 1">
          <a:extLst xmlns:a="http://schemas.openxmlformats.org/drawingml/2006/main">
            <a:ext uri="{FF2B5EF4-FFF2-40B4-BE49-F238E27FC236}">
              <a16:creationId xmlns:a16="http://schemas.microsoft.com/office/drawing/2014/main" id="{2CCF0F69-4A75-4360-A9D9-FC9C0E521304}"/>
            </a:ext>
          </a:extLst>
        </cdr:cNvPr>
        <cdr:cNvSpPr txBox="1"/>
      </cdr:nvSpPr>
      <cdr:spPr>
        <a:xfrm xmlns:a="http://schemas.openxmlformats.org/drawingml/2006/main">
          <a:off x="577738" y="3507509"/>
          <a:ext cx="2936377" cy="294135"/>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r>
            <a:rPr lang="en-AU" sz="900">
              <a:solidFill>
                <a:schemeClr val="tx1">
                  <a:lumMod val="65000"/>
                  <a:lumOff val="35000"/>
                </a:schemeClr>
              </a:solidFill>
            </a:rPr>
            <a:t>Source: STR</a:t>
          </a:r>
        </a:p>
      </cdr:txBody>
    </cdr:sp>
  </cdr:relSizeAnchor>
  <cdr:relSizeAnchor xmlns:cdr="http://schemas.openxmlformats.org/drawingml/2006/chartDrawing">
    <cdr:from>
      <cdr:x>0.00372</cdr:x>
      <cdr:y>0.19215</cdr:y>
    </cdr:from>
    <cdr:to>
      <cdr:x>0.04364</cdr:x>
      <cdr:y>0.79029</cdr:y>
    </cdr:to>
    <cdr:sp macro="" textlink="">
      <cdr:nvSpPr>
        <cdr:cNvPr id="4" name="TextBox 3">
          <a:extLst xmlns:a="http://schemas.openxmlformats.org/drawingml/2006/main">
            <a:ext uri="{FF2B5EF4-FFF2-40B4-BE49-F238E27FC236}">
              <a16:creationId xmlns:a16="http://schemas.microsoft.com/office/drawing/2014/main" id="{62C941C0-3938-4223-8653-BE1B3344BC5F}"/>
            </a:ext>
          </a:extLst>
        </cdr:cNvPr>
        <cdr:cNvSpPr txBox="1"/>
      </cdr:nvSpPr>
      <cdr:spPr>
        <a:xfrm xmlns:a="http://schemas.openxmlformats.org/drawingml/2006/main">
          <a:off x="23546" y="587503"/>
          <a:ext cx="252679" cy="1828828"/>
        </a:xfrm>
        <a:prstGeom xmlns:a="http://schemas.openxmlformats.org/drawingml/2006/main" prst="rect">
          <a:avLst/>
        </a:prstGeom>
      </cdr:spPr>
      <cdr:txBody>
        <a:bodyPr xmlns:a="http://schemas.openxmlformats.org/drawingml/2006/main" vertOverflow="clip" vert="vert270" wrap="square" rtlCol="0" anchor="ctr"/>
        <a:lstStyle xmlns:a="http://schemas.openxmlformats.org/drawingml/2006/main"/>
        <a:p xmlns:a="http://schemas.openxmlformats.org/drawingml/2006/main">
          <a:pPr algn="ctr"/>
          <a:r>
            <a:rPr lang="en-AU" sz="1050">
              <a:solidFill>
                <a:schemeClr val="tx1">
                  <a:lumMod val="65000"/>
                  <a:lumOff val="35000"/>
                </a:schemeClr>
              </a:solidFill>
            </a:rPr>
            <a:t>Occupancy rate (%)</a:t>
          </a:r>
        </a:p>
      </cdr:txBody>
    </cdr:sp>
  </cdr:relSizeAnchor>
</c:userShapes>
</file>

<file path=word/theme/theme1.xml><?xml version="1.0" encoding="utf-8"?>
<a:theme xmlns:a="http://schemas.openxmlformats.org/drawingml/2006/main" name="Austrade">
  <a:themeElements>
    <a:clrScheme name="Austrade">
      <a:dk1>
        <a:srgbClr val="000000"/>
      </a:dk1>
      <a:lt1>
        <a:sysClr val="window" lastClr="FFFFFF"/>
      </a:lt1>
      <a:dk2>
        <a:srgbClr val="2E1A47"/>
      </a:dk2>
      <a:lt2>
        <a:srgbClr val="1E988A"/>
      </a:lt2>
      <a:accent1>
        <a:srgbClr val="7A4282"/>
      </a:accent1>
      <a:accent2>
        <a:srgbClr val="2E1A47"/>
      </a:accent2>
      <a:accent3>
        <a:srgbClr val="1E988A"/>
      </a:accent3>
      <a:accent4>
        <a:srgbClr val="F1D184"/>
      </a:accent4>
      <a:accent5>
        <a:srgbClr val="877B77"/>
      </a:accent5>
      <a:accent6>
        <a:srgbClr val="E4E1DC"/>
      </a:accent6>
      <a:hlink>
        <a:srgbClr val="2E1A47"/>
      </a:hlink>
      <a:folHlink>
        <a:srgbClr val="2E1A47"/>
      </a:folHlink>
    </a:clrScheme>
    <a:fontScheme name="Austrad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Austrade" id="{B81E4F4F-1983-42C4-94AF-E5F032ED062C}" vid="{34FFB722-9E4F-471D-B97E-885BFC42BAA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40647222-2946-43a9-b085-8543e3fe5c40" xsi:nil="true"/>
    <lcf76f155ced4ddcb4097134ff3c332f xmlns="103968f7-a140-40bc-af5d-e4e4d6db7724">
      <Terms xmlns="http://schemas.microsoft.com/office/infopath/2007/PartnerControls"/>
    </lcf76f155ced4ddcb4097134ff3c332f>
    <EL2_x0020_validator xmlns="103968f7-a140-40bc-af5d-e4e4d6db7724">
      <UserInfo>
        <DisplayName/>
        <AccountId xsi:nil="true"/>
        <AccountType/>
      </UserInfo>
    </EL2_x0020_validator>
    <Subject_x0020_matter_x0020_expert xmlns="103968f7-a140-40bc-af5d-e4e4d6db7724">
      <UserInfo>
        <DisplayName/>
        <AccountId xsi:nil="true"/>
        <AccountType/>
      </UserInfo>
    </Subject_x0020_matter_x0020_expert>
    <Operational_x0020_Description xmlns="103968f7-a140-40bc-af5d-e4e4d6db7724" xsi:nil="true"/>
    <Product xmlns="103968f7-a140-40bc-af5d-e4e4d6db7724">TRA</Product>
    <Content xmlns="103968f7-a140-40bc-af5d-e4e4d6db7724">State of the industry</Content>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F9A0684D8558846B55032CD2DDE5189" ma:contentTypeVersion="15" ma:contentTypeDescription="Create a new document." ma:contentTypeScope="" ma:versionID="21cd35b038ea35219e1af64c34111378">
  <xsd:schema xmlns:xsd="http://www.w3.org/2001/XMLSchema" xmlns:xs="http://www.w3.org/2001/XMLSchema" xmlns:p="http://schemas.microsoft.com/office/2006/metadata/properties" xmlns:ns2="103968f7-a140-40bc-af5d-e4e4d6db7724" xmlns:ns3="40647222-2946-43a9-b085-8543e3fe5c40" targetNamespace="http://schemas.microsoft.com/office/2006/metadata/properties" ma:root="true" ma:fieldsID="ac19afc6ca94b7b63e786f1ee582f204" ns2:_="" ns3:_="">
    <xsd:import namespace="103968f7-a140-40bc-af5d-e4e4d6db7724"/>
    <xsd:import namespace="40647222-2946-43a9-b085-8543e3fe5c40"/>
    <xsd:element name="properties">
      <xsd:complexType>
        <xsd:sequence>
          <xsd:element name="documentManagement">
            <xsd:complexType>
              <xsd:all>
                <xsd:element ref="ns2:MediaServiceMetadata" minOccurs="0"/>
                <xsd:element ref="ns2:MediaServiceFastMetadata" minOccurs="0"/>
                <xsd:element ref="ns2:Content"/>
                <xsd:element ref="ns2:EL2_x0020_validator" minOccurs="0"/>
                <xsd:element ref="ns2:Operational_x0020_Description" minOccurs="0"/>
                <xsd:element ref="ns2:Product"/>
                <xsd:element ref="ns2:Subject_x0020_matter_x0020_expert"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3968f7-a140-40bc-af5d-e4e4d6db77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Content" ma:index="10" ma:displayName="Content" ma:description="Choose the relevant product" ma:format="Dropdown" ma:internalName="Content">
      <xsd:simpleType>
        <xsd:restriction base="dms:Choice">
          <xsd:enumeration value="About us"/>
          <xsd:enumeration value="AGA FAQs"/>
          <xsd:enumeration value="Articles"/>
          <xsd:enumeration value="Benchmark report"/>
          <xsd:enumeration value="Buy from Australia"/>
          <xsd:enumeration value="Content management"/>
          <xsd:enumeration value="Exporting to India"/>
          <xsd:enumeration value="Governance"/>
          <xsd:enumeration value="Grants"/>
          <xsd:enumeration value="Invest in Australia"/>
          <xsd:enumeration value="Landing pads"/>
          <xsd:enumeration value="IVS quarterly"/>
          <xsd:enumeration value="NVS monthly snapshot"/>
          <xsd:enumeration value="NVS quarterly"/>
          <xsd:enumeration value="Schedule"/>
          <xsd:enumeration value="Selling online overseas"/>
          <xsd:enumeration value="Services page"/>
          <xsd:enumeration value="State of the industry"/>
          <xsd:enumeration value="Team processes"/>
          <xsd:enumeration value="Template"/>
          <xsd:enumeration value="Tourism businesses"/>
          <xsd:enumeration value="Tourism satellite account"/>
          <xsd:enumeration value="Tourism scenarios"/>
          <xsd:enumeration value="User research"/>
          <xsd:enumeration value="Visitor economy"/>
        </xsd:restriction>
      </xsd:simpleType>
    </xsd:element>
    <xsd:element name="EL2_x0020_validator" ma:index="11" nillable="true" ma:displayName="EL2 validator" ma:list="UserInfo" ma:SharePointGroup="0" ma:internalName="EL2_x0020_valid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Operational_x0020_Description" ma:index="12" nillable="true" ma:displayName="Operational Description" ma:internalName="Operational_x0020_Description">
      <xsd:simpleType>
        <xsd:restriction base="dms:Note">
          <xsd:maxLength value="255"/>
        </xsd:restriction>
      </xsd:simpleType>
    </xsd:element>
    <xsd:element name="Product" ma:index="13" ma:displayName="Product" ma:format="Dropdown" ma:internalName="Product">
      <xsd:simpleType>
        <xsd:union memberTypes="dms:Text">
          <xsd:simpleType>
            <xsd:restriction base="dms:Choice">
              <xsd:enumeration value="AustradeGovAu"/>
              <xsd:enumeration value="CMS"/>
              <xsd:enumeration value="EMP"/>
              <xsd:enumeration value="Governance"/>
              <xsd:enumeration value="Team admin"/>
              <xsd:enumeration value="TRA"/>
            </xsd:restriction>
          </xsd:simpleType>
        </xsd:union>
      </xsd:simpleType>
    </xsd:element>
    <xsd:element name="Subject_x0020_matter_x0020_expert" ma:index="14" nillable="true" ma:displayName="Subject matter expert" ma:list="UserInfo" ma:SharePointGroup="0" ma:internalName="Subject_x0020_matter_x0020_expert"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735d107-6f3a-4882-a73a-9dce38ae0c6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0647222-2946-43a9-b085-8543e3fe5c40"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6d536df3-2459-4b2c-9aa6-05efe823b684}" ma:internalName="TaxCatchAll" ma:showField="CatchAllData" ma:web="40647222-2946-43a9-b085-8543e3fe5c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CABF944-022C-4692-9B43-06A2CEB685A9}">
  <ds:schemaRefs>
    <ds:schemaRef ds:uri="http://schemas.openxmlformats.org/officeDocument/2006/bibliography"/>
  </ds:schemaRefs>
</ds:datastoreItem>
</file>

<file path=customXml/itemProps2.xml><?xml version="1.0" encoding="utf-8"?>
<ds:datastoreItem xmlns:ds="http://schemas.openxmlformats.org/officeDocument/2006/customXml" ds:itemID="{38FE75B8-1135-4512-93FA-FCDD832F13E7}">
  <ds:schemaRefs>
    <ds:schemaRef ds:uri="http://schemas.microsoft.com/office/2006/documentManagement/types"/>
    <ds:schemaRef ds:uri="http://purl.org/dc/dcmitype/"/>
    <ds:schemaRef ds:uri="http://schemas.openxmlformats.org/package/2006/metadata/core-properties"/>
    <ds:schemaRef ds:uri="40647222-2946-43a9-b085-8543e3fe5c40"/>
    <ds:schemaRef ds:uri="http://purl.org/dc/terms/"/>
    <ds:schemaRef ds:uri="http://schemas.microsoft.com/office/infopath/2007/PartnerControls"/>
    <ds:schemaRef ds:uri="http://purl.org/dc/elements/1.1/"/>
    <ds:schemaRef ds:uri="103968f7-a140-40bc-af5d-e4e4d6db7724"/>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1EFDA419-6733-483D-ABCC-A84EEDE3704E}">
  <ds:schemaRefs>
    <ds:schemaRef ds:uri="http://schemas.microsoft.com/sharepoint/v3/contenttype/forms"/>
  </ds:schemaRefs>
</ds:datastoreItem>
</file>

<file path=customXml/itemProps4.xml><?xml version="1.0" encoding="utf-8"?>
<ds:datastoreItem xmlns:ds="http://schemas.openxmlformats.org/officeDocument/2006/customXml" ds:itemID="{6B4B8B24-3775-4259-B54C-5F16212695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3968f7-a140-40bc-af5d-e4e4d6db7724"/>
    <ds:schemaRef ds:uri="40647222-2946-43a9-b085-8543e3fe5c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Austrade Brand Website Publications.dotx</Template>
  <TotalTime>0</TotalTime>
  <Pages>3</Pages>
  <Words>15235</Words>
  <Characters>86846</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State of the Industry 2021</vt:lpstr>
    </vt:vector>
  </TitlesOfParts>
  <Company/>
  <LinksUpToDate>false</LinksUpToDate>
  <CharactersWithSpaces>101878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of the Industry 2021</dc:title>
  <dc:subject/>
  <dc:creator/>
  <cp:keywords/>
  <dc:description/>
  <cp:lastModifiedBy/>
  <cp:revision>1</cp:revision>
  <dcterms:created xsi:type="dcterms:W3CDTF">2022-06-14T06:08:00Z</dcterms:created>
  <dcterms:modified xsi:type="dcterms:W3CDTF">2022-06-14T06:08:00Z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0x0101003F9A0684D8558846B55032CD2DDE5189</vt:lpwstr>
  </property>
  <property fmtid="{D5CDD505-2E9C-101B-9397-08002B2CF9AE}" pid="3" name="_dlc_DocIdItemGuid">
    <vt:lpwstr>b057ee34-d895-4e57-856e-6fe28dee8a93</vt:lpwstr>
  </property>
  <property fmtid="{D5CDD505-2E9C-101B-9397-08002B2CF9AE}" pid="4" name="Protective Markings">
    <vt:lpwstr>297;#Official|ed976144-09e7-4a77-bbac-fb46d62c835a</vt:lpwstr>
  </property>
  <property fmtid="{D5CDD505-2E9C-101B-9397-08002B2CF9AE}" pid="5" name="MediaServiceImageTags">
    <vt:lpwstr/>
  </property>
</Properties>
</file>