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51BF4" w14:textId="77777777" w:rsidR="00EE2C36" w:rsidRPr="008048CC" w:rsidRDefault="00EE2C36" w:rsidP="0062331E">
      <w:pPr>
        <w:pStyle w:val="Title"/>
      </w:pPr>
    </w:p>
    <w:p w14:paraId="3E94358F" w14:textId="574B3455" w:rsidR="008048CC" w:rsidRDefault="00891BF6" w:rsidP="00CF6285">
      <w:pPr>
        <w:pStyle w:val="Title"/>
        <w:sectPr w:rsidR="008048CC" w:rsidSect="00CF10C4">
          <w:headerReference w:type="even" r:id="rId8"/>
          <w:headerReference w:type="default" r:id="rId9"/>
          <w:headerReference w:type="first" r:id="rId10"/>
          <w:pgSz w:w="11906" w:h="16838" w:code="9"/>
          <w:pgMar w:top="1440" w:right="1440" w:bottom="1440" w:left="1440" w:header="0" w:footer="709" w:gutter="0"/>
          <w:cols w:space="708"/>
          <w:titlePg/>
          <w:docGrid w:linePitch="360"/>
        </w:sectPr>
      </w:pPr>
      <w:r>
        <w:t>Travel by australians</w:t>
      </w:r>
      <w:r>
        <w:br/>
      </w:r>
    </w:p>
    <w:p w14:paraId="6F2B62EE" w14:textId="77777777" w:rsidR="00233C95" w:rsidRDefault="00233C95" w:rsidP="006F00FD">
      <w:pPr>
        <w:pStyle w:val="Note"/>
        <w:spacing w:after="0"/>
        <w:rPr>
          <w:sz w:val="24"/>
          <w:szCs w:val="24"/>
        </w:rPr>
      </w:pPr>
    </w:p>
    <w:p w14:paraId="7EA03E3B" w14:textId="77777777" w:rsidR="009E5880" w:rsidRPr="006F00FD" w:rsidRDefault="009E5880" w:rsidP="006F00FD">
      <w:pPr>
        <w:pStyle w:val="Note"/>
        <w:spacing w:after="0"/>
        <w:rPr>
          <w:sz w:val="24"/>
          <w:szCs w:val="24"/>
        </w:rPr>
      </w:pPr>
      <w:r w:rsidRPr="006F00FD">
        <w:rPr>
          <w:sz w:val="24"/>
          <w:szCs w:val="24"/>
        </w:rPr>
        <w:t>Year Ending September 2020</w:t>
      </w:r>
    </w:p>
    <w:tbl>
      <w:tblPr>
        <w:tblStyle w:val="LightList-Accent5"/>
        <w:tblpPr w:leftFromText="180" w:rightFromText="180" w:vertAnchor="text" w:horzAnchor="margin" w:tblpY="112"/>
        <w:tblW w:w="9617" w:type="dxa"/>
        <w:tblBorders>
          <w:top w:val="none" w:sz="0" w:space="0" w:color="auto"/>
          <w:left w:val="none" w:sz="0" w:space="0" w:color="auto"/>
          <w:right w:val="none" w:sz="0" w:space="0" w:color="auto"/>
          <w:insideH w:val="single" w:sz="6" w:space="0" w:color="ACA6A2" w:themeColor="accent5"/>
        </w:tblBorders>
        <w:tblLook w:val="06A0" w:firstRow="1" w:lastRow="0" w:firstColumn="1" w:lastColumn="0" w:noHBand="1" w:noVBand="1"/>
        <w:tblCaption w:val="Year Ending September 2020 Results"/>
      </w:tblPr>
      <w:tblGrid>
        <w:gridCol w:w="1602"/>
        <w:gridCol w:w="1603"/>
        <w:gridCol w:w="1603"/>
        <w:gridCol w:w="1603"/>
        <w:gridCol w:w="1602"/>
        <w:gridCol w:w="1604"/>
      </w:tblGrid>
      <w:tr w:rsidR="009E5880" w14:paraId="554A9903" w14:textId="77777777" w:rsidTr="00CB3A27">
        <w:trPr>
          <w:cnfStyle w:val="100000000000" w:firstRow="1" w:lastRow="0" w:firstColumn="0" w:lastColumn="0" w:oddVBand="0" w:evenVBand="0" w:oddHBand="0" w:evenHBand="0" w:firstRowFirstColumn="0" w:firstRowLastColumn="0" w:lastRowFirstColumn="0" w:lastRowLastColumn="0"/>
          <w:trHeight w:val="768"/>
          <w:tblHeader/>
        </w:trPr>
        <w:tc>
          <w:tcPr>
            <w:cnfStyle w:val="001000000000" w:firstRow="0" w:lastRow="0" w:firstColumn="1" w:lastColumn="0" w:oddVBand="0" w:evenVBand="0" w:oddHBand="0" w:evenHBand="0" w:firstRowFirstColumn="0" w:firstRowLastColumn="0" w:lastRowFirstColumn="0" w:lastRowLastColumn="0"/>
            <w:tcW w:w="3205" w:type="dxa"/>
            <w:gridSpan w:val="2"/>
          </w:tcPr>
          <w:p w14:paraId="64806C2C" w14:textId="77777777" w:rsidR="009E5880" w:rsidRPr="00B17926" w:rsidRDefault="009E5880" w:rsidP="00C57877">
            <w:pPr>
              <w:rPr>
                <w:b/>
                <w:sz w:val="24"/>
              </w:rPr>
            </w:pPr>
            <w:r w:rsidRPr="00041B38">
              <w:rPr>
                <w:b/>
                <w:sz w:val="24"/>
              </w:rPr>
              <w:t>OVERNIGHT SPEND</w:t>
            </w:r>
          </w:p>
        </w:tc>
        <w:tc>
          <w:tcPr>
            <w:tcW w:w="3206" w:type="dxa"/>
            <w:gridSpan w:val="2"/>
          </w:tcPr>
          <w:p w14:paraId="2DC2AEE0" w14:textId="77777777" w:rsidR="009E5880" w:rsidRPr="00B17926" w:rsidRDefault="009E5880" w:rsidP="00C57877">
            <w:pPr>
              <w:cnfStyle w:val="100000000000" w:firstRow="1" w:lastRow="0" w:firstColumn="0" w:lastColumn="0" w:oddVBand="0" w:evenVBand="0" w:oddHBand="0" w:evenHBand="0" w:firstRowFirstColumn="0" w:firstRowLastColumn="0" w:lastRowFirstColumn="0" w:lastRowLastColumn="0"/>
              <w:rPr>
                <w:b/>
                <w:sz w:val="24"/>
              </w:rPr>
            </w:pPr>
            <w:r w:rsidRPr="00041B38">
              <w:rPr>
                <w:b/>
                <w:sz w:val="24"/>
              </w:rPr>
              <w:t>OVERNIGHT TRIPS</w:t>
            </w:r>
          </w:p>
        </w:tc>
        <w:tc>
          <w:tcPr>
            <w:tcW w:w="3206" w:type="dxa"/>
            <w:gridSpan w:val="2"/>
          </w:tcPr>
          <w:p w14:paraId="20BB8784" w14:textId="77777777" w:rsidR="009E5880" w:rsidRPr="00B17926" w:rsidRDefault="009E5880" w:rsidP="00C57877">
            <w:pPr>
              <w:cnfStyle w:val="100000000000" w:firstRow="1" w:lastRow="0" w:firstColumn="0" w:lastColumn="0" w:oddVBand="0" w:evenVBand="0" w:oddHBand="0" w:evenHBand="0" w:firstRowFirstColumn="0" w:firstRowLastColumn="0" w:lastRowFirstColumn="0" w:lastRowLastColumn="0"/>
              <w:rPr>
                <w:b/>
                <w:sz w:val="24"/>
              </w:rPr>
            </w:pPr>
            <w:r w:rsidRPr="00041B38">
              <w:rPr>
                <w:b/>
                <w:sz w:val="24"/>
              </w:rPr>
              <w:t>NIGHTS</w:t>
            </w:r>
          </w:p>
        </w:tc>
      </w:tr>
      <w:tr w:rsidR="009E5880" w14:paraId="64BE6B2C" w14:textId="77777777" w:rsidTr="00CB3A27">
        <w:trPr>
          <w:cnfStyle w:val="100000000000" w:firstRow="1" w:lastRow="0" w:firstColumn="0" w:lastColumn="0" w:oddVBand="0" w:evenVBand="0" w:oddHBand="0" w:evenHBand="0" w:firstRowFirstColumn="0" w:firstRowLastColumn="0" w:lastRowFirstColumn="0" w:lastRowLastColumn="0"/>
          <w:trHeight w:val="745"/>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DDBD9" w:themeFill="accent5" w:themeFillTint="66"/>
          </w:tcPr>
          <w:p w14:paraId="29DCDB90" w14:textId="77777777" w:rsidR="009E5880" w:rsidRPr="00615278" w:rsidRDefault="009E5880" w:rsidP="00C57877">
            <w:pPr>
              <w:rPr>
                <w:b/>
                <w:color w:val="auto"/>
              </w:rPr>
            </w:pPr>
            <w:r w:rsidRPr="00615278">
              <w:rPr>
                <w:b/>
                <w:color w:val="auto"/>
              </w:rPr>
              <w:t>FIGURE</w:t>
            </w:r>
          </w:p>
        </w:tc>
        <w:tc>
          <w:tcPr>
            <w:tcW w:w="1602"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18DFE421"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603" w:type="dxa"/>
            <w:tcBorders>
              <w:left w:val="single" w:sz="4" w:space="0" w:color="auto"/>
            </w:tcBorders>
            <w:shd w:val="clear" w:color="auto" w:fill="DDDBD9" w:themeFill="accent5" w:themeFillTint="66"/>
          </w:tcPr>
          <w:p w14:paraId="603F7E08"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602"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7ED2F403"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602" w:type="dxa"/>
            <w:tcBorders>
              <w:left w:val="single" w:sz="4" w:space="0" w:color="auto"/>
            </w:tcBorders>
            <w:shd w:val="clear" w:color="auto" w:fill="DDDBD9" w:themeFill="accent5" w:themeFillTint="66"/>
          </w:tcPr>
          <w:p w14:paraId="7DE801A2"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603" w:type="dxa"/>
            <w:shd w:val="clear" w:color="auto" w:fill="DDDBD9" w:themeFill="accent5" w:themeFillTint="66"/>
          </w:tcPr>
          <w:p w14:paraId="4893AF71"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r>
      <w:tr w:rsidR="009E5880" w:rsidRPr="005C0907" w14:paraId="2907B6CB" w14:textId="77777777" w:rsidTr="00CB3A27">
        <w:trPr>
          <w:cnfStyle w:val="100000000000" w:firstRow="1" w:lastRow="0" w:firstColumn="0" w:lastColumn="0" w:oddVBand="0" w:evenVBand="0" w:oddHBand="0" w:evenHBand="0" w:firstRowFirstColumn="0" w:firstRowLastColumn="0" w:lastRowFirstColumn="0" w:lastRowLastColumn="0"/>
          <w:trHeight w:val="768"/>
          <w:tblHeader/>
        </w:trPr>
        <w:tc>
          <w:tcPr>
            <w:cnfStyle w:val="001000000000" w:firstRow="0" w:lastRow="0" w:firstColumn="1" w:lastColumn="0" w:oddVBand="0" w:evenVBand="0" w:oddHBand="0" w:evenHBand="0" w:firstRowFirstColumn="0" w:firstRowLastColumn="0" w:lastRowFirstColumn="0" w:lastRowLastColumn="0"/>
            <w:tcW w:w="1602" w:type="dxa"/>
          </w:tcPr>
          <w:p w14:paraId="7822711D" w14:textId="77777777" w:rsidR="009E5880" w:rsidRPr="00CB3A27" w:rsidRDefault="002F6D4D" w:rsidP="00C57877">
            <w:pPr>
              <w:rPr>
                <w:color w:val="auto"/>
              </w:rPr>
            </w:pPr>
            <w:r w:rsidRPr="00CB3A27">
              <w:rPr>
                <w:color w:val="auto"/>
              </w:rPr>
              <w:t>$51.9</w:t>
            </w:r>
            <w:r w:rsidR="009E5880" w:rsidRPr="00CB3A27">
              <w:rPr>
                <w:color w:val="auto"/>
              </w:rPr>
              <w:t xml:space="preserve"> billion</w:t>
            </w:r>
          </w:p>
        </w:tc>
        <w:tc>
          <w:tcPr>
            <w:tcW w:w="1602" w:type="dxa"/>
            <w:tcBorders>
              <w:top w:val="single" w:sz="6" w:space="0" w:color="ACA6A2" w:themeColor="accent5"/>
              <w:bottom w:val="single" w:sz="8" w:space="0" w:color="ACA6A2" w:themeColor="accent5"/>
              <w:right w:val="single" w:sz="4" w:space="0" w:color="auto"/>
            </w:tcBorders>
          </w:tcPr>
          <w:p w14:paraId="5C5A6895" w14:textId="77777777" w:rsidR="009E5880" w:rsidRPr="00CB3A27" w:rsidRDefault="002F6D4D" w:rsidP="00C57877">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Down 34</w:t>
            </w:r>
            <w:r w:rsidR="009E5880" w:rsidRPr="00CB3A27">
              <w:rPr>
                <w:color w:val="auto"/>
              </w:rPr>
              <w:t>%</w:t>
            </w:r>
          </w:p>
        </w:tc>
        <w:tc>
          <w:tcPr>
            <w:tcW w:w="1603" w:type="dxa"/>
            <w:tcBorders>
              <w:left w:val="single" w:sz="4" w:space="0" w:color="auto"/>
            </w:tcBorders>
          </w:tcPr>
          <w:p w14:paraId="136B107F" w14:textId="77777777" w:rsidR="009E5880" w:rsidRPr="00CB3A27" w:rsidRDefault="002F6D4D" w:rsidP="00C57877">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80.3</w:t>
            </w:r>
            <w:r w:rsidR="009E5880" w:rsidRPr="00CB3A27">
              <w:rPr>
                <w:color w:val="auto"/>
              </w:rPr>
              <w:t xml:space="preserve"> million</w:t>
            </w:r>
          </w:p>
        </w:tc>
        <w:tc>
          <w:tcPr>
            <w:tcW w:w="1602" w:type="dxa"/>
            <w:tcBorders>
              <w:top w:val="single" w:sz="6" w:space="0" w:color="ACA6A2" w:themeColor="accent5"/>
              <w:bottom w:val="single" w:sz="8" w:space="0" w:color="ACA6A2" w:themeColor="accent5"/>
              <w:right w:val="single" w:sz="4" w:space="0" w:color="auto"/>
            </w:tcBorders>
          </w:tcPr>
          <w:p w14:paraId="0D648EFD" w14:textId="77777777" w:rsidR="009E5880" w:rsidRPr="00CB3A27" w:rsidRDefault="002F6D4D" w:rsidP="00C57877">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Down 31</w:t>
            </w:r>
            <w:r w:rsidR="009E5880" w:rsidRPr="00CB3A27">
              <w:rPr>
                <w:color w:val="auto"/>
              </w:rPr>
              <w:t>%</w:t>
            </w:r>
          </w:p>
        </w:tc>
        <w:tc>
          <w:tcPr>
            <w:tcW w:w="1602" w:type="dxa"/>
            <w:tcBorders>
              <w:left w:val="single" w:sz="4" w:space="0" w:color="auto"/>
            </w:tcBorders>
          </w:tcPr>
          <w:p w14:paraId="65CE31E3" w14:textId="77777777" w:rsidR="009E5880" w:rsidRPr="00CB3A27" w:rsidRDefault="002F6D4D" w:rsidP="00C57877">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300.0</w:t>
            </w:r>
            <w:r w:rsidR="009E5880" w:rsidRPr="00CB3A27">
              <w:rPr>
                <w:color w:val="auto"/>
              </w:rPr>
              <w:t xml:space="preserve"> million</w:t>
            </w:r>
          </w:p>
        </w:tc>
        <w:tc>
          <w:tcPr>
            <w:tcW w:w="1603" w:type="dxa"/>
          </w:tcPr>
          <w:p w14:paraId="325CB139" w14:textId="77777777" w:rsidR="009E5880" w:rsidRPr="00CB3A27" w:rsidRDefault="002F6D4D" w:rsidP="00C57877">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Down 27</w:t>
            </w:r>
            <w:r w:rsidR="009E5880" w:rsidRPr="00CB3A27">
              <w:rPr>
                <w:color w:val="auto"/>
              </w:rPr>
              <w:t>%</w:t>
            </w:r>
          </w:p>
        </w:tc>
      </w:tr>
    </w:tbl>
    <w:p w14:paraId="15A84425" w14:textId="77777777" w:rsidR="00DE64FC" w:rsidRPr="005C0907" w:rsidRDefault="009E5880" w:rsidP="006F00FD">
      <w:pPr>
        <w:pStyle w:val="Note"/>
        <w:spacing w:after="0"/>
        <w:rPr>
          <w:sz w:val="24"/>
          <w:szCs w:val="24"/>
        </w:rPr>
      </w:pPr>
      <w:r w:rsidRPr="005C0907">
        <w:rPr>
          <w:sz w:val="24"/>
          <w:szCs w:val="24"/>
        </w:rPr>
        <w:t>September Quarter 2020</w:t>
      </w:r>
    </w:p>
    <w:tbl>
      <w:tblPr>
        <w:tblStyle w:val="LightList-Accent5"/>
        <w:tblpPr w:leftFromText="180" w:rightFromText="180" w:vertAnchor="text" w:horzAnchor="margin" w:tblpY="112"/>
        <w:tblW w:w="9632" w:type="dxa"/>
        <w:tblBorders>
          <w:top w:val="none" w:sz="0" w:space="0" w:color="auto"/>
          <w:left w:val="none" w:sz="0" w:space="0" w:color="auto"/>
          <w:right w:val="none" w:sz="0" w:space="0" w:color="auto"/>
          <w:insideH w:val="single" w:sz="6" w:space="0" w:color="ACA6A2" w:themeColor="accent5"/>
        </w:tblBorders>
        <w:tblLook w:val="06A0" w:firstRow="1" w:lastRow="0" w:firstColumn="1" w:lastColumn="0" w:noHBand="1" w:noVBand="1"/>
        <w:tblCaption w:val="September Quarter 2020 Results"/>
      </w:tblPr>
      <w:tblGrid>
        <w:gridCol w:w="1605"/>
        <w:gridCol w:w="1605"/>
        <w:gridCol w:w="1606"/>
        <w:gridCol w:w="1605"/>
        <w:gridCol w:w="1605"/>
        <w:gridCol w:w="1606"/>
      </w:tblGrid>
      <w:tr w:rsidR="00B17926" w:rsidRPr="005C0907" w14:paraId="63408999" w14:textId="77777777" w:rsidTr="00CB3A27">
        <w:trPr>
          <w:cnfStyle w:val="100000000000" w:firstRow="1" w:lastRow="0" w:firstColumn="0" w:lastColumn="0" w:oddVBand="0" w:evenVBand="0" w:oddHBand="0" w:evenHBand="0" w:firstRowFirstColumn="0" w:firstRowLastColumn="0" w:lastRowFirstColumn="0" w:lastRowLastColumn="0"/>
          <w:trHeight w:val="759"/>
          <w:tblHeader/>
        </w:trPr>
        <w:tc>
          <w:tcPr>
            <w:cnfStyle w:val="001000000000" w:firstRow="0" w:lastRow="0" w:firstColumn="1" w:lastColumn="0" w:oddVBand="0" w:evenVBand="0" w:oddHBand="0" w:evenHBand="0" w:firstRowFirstColumn="0" w:firstRowLastColumn="0" w:lastRowFirstColumn="0" w:lastRowLastColumn="0"/>
            <w:tcW w:w="3210" w:type="dxa"/>
            <w:gridSpan w:val="2"/>
          </w:tcPr>
          <w:p w14:paraId="734B0186" w14:textId="77777777" w:rsidR="00B17926" w:rsidRPr="005C0907" w:rsidRDefault="00041B38" w:rsidP="00B17926">
            <w:pPr>
              <w:rPr>
                <w:b/>
                <w:sz w:val="24"/>
              </w:rPr>
            </w:pPr>
            <w:r w:rsidRPr="005C0907">
              <w:rPr>
                <w:b/>
                <w:sz w:val="24"/>
              </w:rPr>
              <w:t>OVERNIGHT SPEND</w:t>
            </w:r>
          </w:p>
        </w:tc>
        <w:tc>
          <w:tcPr>
            <w:tcW w:w="3211" w:type="dxa"/>
            <w:gridSpan w:val="2"/>
          </w:tcPr>
          <w:p w14:paraId="1F8679D4" w14:textId="77777777" w:rsidR="00B17926" w:rsidRPr="005C0907" w:rsidRDefault="00041B38" w:rsidP="00B17926">
            <w:pPr>
              <w:cnfStyle w:val="100000000000" w:firstRow="1" w:lastRow="0" w:firstColumn="0" w:lastColumn="0" w:oddVBand="0" w:evenVBand="0" w:oddHBand="0" w:evenHBand="0" w:firstRowFirstColumn="0" w:firstRowLastColumn="0" w:lastRowFirstColumn="0" w:lastRowLastColumn="0"/>
              <w:rPr>
                <w:b/>
                <w:sz w:val="24"/>
              </w:rPr>
            </w:pPr>
            <w:r w:rsidRPr="005C0907">
              <w:rPr>
                <w:b/>
                <w:sz w:val="24"/>
              </w:rPr>
              <w:t>OVERNIGHT TRIPS</w:t>
            </w:r>
          </w:p>
        </w:tc>
        <w:tc>
          <w:tcPr>
            <w:tcW w:w="3211" w:type="dxa"/>
            <w:gridSpan w:val="2"/>
          </w:tcPr>
          <w:p w14:paraId="04FC6F25" w14:textId="77777777" w:rsidR="00B17926" w:rsidRPr="005C0907" w:rsidRDefault="00041B38" w:rsidP="00B17926">
            <w:pPr>
              <w:cnfStyle w:val="100000000000" w:firstRow="1" w:lastRow="0" w:firstColumn="0" w:lastColumn="0" w:oddVBand="0" w:evenVBand="0" w:oddHBand="0" w:evenHBand="0" w:firstRowFirstColumn="0" w:firstRowLastColumn="0" w:lastRowFirstColumn="0" w:lastRowLastColumn="0"/>
              <w:rPr>
                <w:b/>
                <w:sz w:val="24"/>
              </w:rPr>
            </w:pPr>
            <w:r w:rsidRPr="005C0907">
              <w:rPr>
                <w:b/>
                <w:sz w:val="24"/>
              </w:rPr>
              <w:t>NIGHTS</w:t>
            </w:r>
          </w:p>
        </w:tc>
      </w:tr>
      <w:tr w:rsidR="00DE64FC" w:rsidRPr="005C0907" w14:paraId="77FA9016" w14:textId="77777777" w:rsidTr="00CB3A27">
        <w:trPr>
          <w:cnfStyle w:val="100000000000" w:firstRow="1" w:lastRow="0" w:firstColumn="0" w:lastColumn="0" w:oddVBand="0" w:evenVBand="0" w:oddHBand="0" w:evenHBand="0" w:firstRowFirstColumn="0" w:firstRowLastColumn="0" w:lastRowFirstColumn="0" w:lastRowLastColumn="0"/>
          <w:trHeight w:val="736"/>
          <w:tblHeader/>
        </w:trPr>
        <w:tc>
          <w:tcPr>
            <w:cnfStyle w:val="001000000000" w:firstRow="0" w:lastRow="0" w:firstColumn="1" w:lastColumn="0" w:oddVBand="0" w:evenVBand="0" w:oddHBand="0" w:evenHBand="0" w:firstRowFirstColumn="0" w:firstRowLastColumn="0" w:lastRowFirstColumn="0" w:lastRowLastColumn="0"/>
            <w:tcW w:w="1605" w:type="dxa"/>
            <w:shd w:val="clear" w:color="auto" w:fill="DDDBD9" w:themeFill="accent5" w:themeFillTint="66"/>
          </w:tcPr>
          <w:p w14:paraId="3DEBA466" w14:textId="77777777" w:rsidR="00B17926" w:rsidRPr="00615278" w:rsidRDefault="00B17926" w:rsidP="00CF10C4">
            <w:pPr>
              <w:rPr>
                <w:b/>
                <w:color w:val="auto"/>
              </w:rPr>
            </w:pPr>
            <w:r w:rsidRPr="00615278">
              <w:rPr>
                <w:b/>
                <w:color w:val="auto"/>
              </w:rPr>
              <w:t>FIGURE</w:t>
            </w:r>
          </w:p>
        </w:tc>
        <w:tc>
          <w:tcPr>
            <w:tcW w:w="1605"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140EB386" w14:textId="77777777" w:rsidR="00B17926" w:rsidRPr="00615278" w:rsidRDefault="00B17926" w:rsidP="00CF10C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606" w:type="dxa"/>
            <w:tcBorders>
              <w:left w:val="single" w:sz="4" w:space="0" w:color="auto"/>
            </w:tcBorders>
            <w:shd w:val="clear" w:color="auto" w:fill="DDDBD9" w:themeFill="accent5" w:themeFillTint="66"/>
          </w:tcPr>
          <w:p w14:paraId="1309E6B0" w14:textId="77777777" w:rsidR="00B17926" w:rsidRPr="00615278" w:rsidRDefault="00B17926" w:rsidP="00CF10C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605"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7DE39A97" w14:textId="77777777" w:rsidR="00B17926" w:rsidRPr="00615278" w:rsidRDefault="00B17926" w:rsidP="00CF10C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605" w:type="dxa"/>
            <w:tcBorders>
              <w:left w:val="single" w:sz="4" w:space="0" w:color="auto"/>
            </w:tcBorders>
            <w:shd w:val="clear" w:color="auto" w:fill="DDDBD9" w:themeFill="accent5" w:themeFillTint="66"/>
          </w:tcPr>
          <w:p w14:paraId="1FAE9CF3" w14:textId="77777777" w:rsidR="00B17926" w:rsidRPr="00615278" w:rsidRDefault="00B17926" w:rsidP="00CF10C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606" w:type="dxa"/>
            <w:shd w:val="clear" w:color="auto" w:fill="DDDBD9" w:themeFill="accent5" w:themeFillTint="66"/>
          </w:tcPr>
          <w:p w14:paraId="08C7E721" w14:textId="77777777" w:rsidR="00B17926" w:rsidRPr="00615278" w:rsidRDefault="00B17926" w:rsidP="00CF10C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r>
      <w:tr w:rsidR="00DE64FC" w:rsidRPr="005C0907" w14:paraId="1FAAA289" w14:textId="77777777" w:rsidTr="00CB3A27">
        <w:trPr>
          <w:cnfStyle w:val="100000000000" w:firstRow="1" w:lastRow="0" w:firstColumn="0" w:lastColumn="0" w:oddVBand="0" w:evenVBand="0" w:oddHBand="0" w:evenHBand="0" w:firstRowFirstColumn="0" w:firstRowLastColumn="0" w:lastRowFirstColumn="0" w:lastRowLastColumn="0"/>
          <w:trHeight w:val="759"/>
          <w:tblHeader/>
        </w:trPr>
        <w:tc>
          <w:tcPr>
            <w:cnfStyle w:val="001000000000" w:firstRow="0" w:lastRow="0" w:firstColumn="1" w:lastColumn="0" w:oddVBand="0" w:evenVBand="0" w:oddHBand="0" w:evenHBand="0" w:firstRowFirstColumn="0" w:firstRowLastColumn="0" w:lastRowFirstColumn="0" w:lastRowLastColumn="0"/>
            <w:tcW w:w="1605" w:type="dxa"/>
          </w:tcPr>
          <w:p w14:paraId="6276978C" w14:textId="77777777" w:rsidR="00B17926" w:rsidRPr="00CB3A27" w:rsidRDefault="002F6D4D" w:rsidP="00CF10C4">
            <w:pPr>
              <w:rPr>
                <w:color w:val="auto"/>
              </w:rPr>
            </w:pPr>
            <w:r w:rsidRPr="00CB3A27">
              <w:rPr>
                <w:color w:val="auto"/>
              </w:rPr>
              <w:t>$9.7</w:t>
            </w:r>
            <w:r w:rsidR="009B3C9B" w:rsidRPr="00CB3A27">
              <w:rPr>
                <w:color w:val="auto"/>
              </w:rPr>
              <w:t xml:space="preserve"> billion</w:t>
            </w:r>
          </w:p>
        </w:tc>
        <w:tc>
          <w:tcPr>
            <w:tcW w:w="1605" w:type="dxa"/>
            <w:tcBorders>
              <w:top w:val="single" w:sz="6" w:space="0" w:color="ACA6A2" w:themeColor="accent5"/>
              <w:bottom w:val="single" w:sz="8" w:space="0" w:color="ACA6A2" w:themeColor="accent5"/>
              <w:right w:val="single" w:sz="4" w:space="0" w:color="auto"/>
            </w:tcBorders>
          </w:tcPr>
          <w:p w14:paraId="7AA0C3ED" w14:textId="77777777" w:rsidR="00B17926" w:rsidRPr="00CB3A27" w:rsidRDefault="002F6D4D" w:rsidP="00CF10C4">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Down 53</w:t>
            </w:r>
            <w:r w:rsidR="009B3C9B" w:rsidRPr="00CB3A27">
              <w:rPr>
                <w:color w:val="auto"/>
              </w:rPr>
              <w:t>%</w:t>
            </w:r>
          </w:p>
        </w:tc>
        <w:tc>
          <w:tcPr>
            <w:tcW w:w="1606" w:type="dxa"/>
            <w:tcBorders>
              <w:left w:val="single" w:sz="4" w:space="0" w:color="auto"/>
            </w:tcBorders>
          </w:tcPr>
          <w:p w14:paraId="048954C9" w14:textId="77777777" w:rsidR="00B17926" w:rsidRPr="00CB3A27" w:rsidRDefault="002F6D4D" w:rsidP="00CF10C4">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16.5</w:t>
            </w:r>
            <w:r w:rsidR="009B3C9B" w:rsidRPr="00CB3A27">
              <w:rPr>
                <w:color w:val="auto"/>
              </w:rPr>
              <w:t xml:space="preserve"> million</w:t>
            </w:r>
          </w:p>
        </w:tc>
        <w:tc>
          <w:tcPr>
            <w:tcW w:w="1605" w:type="dxa"/>
            <w:tcBorders>
              <w:top w:val="single" w:sz="6" w:space="0" w:color="ACA6A2" w:themeColor="accent5"/>
              <w:bottom w:val="single" w:sz="8" w:space="0" w:color="ACA6A2" w:themeColor="accent5"/>
              <w:right w:val="single" w:sz="4" w:space="0" w:color="auto"/>
            </w:tcBorders>
          </w:tcPr>
          <w:p w14:paraId="238655E6" w14:textId="77777777" w:rsidR="00B17926" w:rsidRPr="00CB3A27" w:rsidRDefault="002F6D4D" w:rsidP="00CF10C4">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Down 42</w:t>
            </w:r>
            <w:r w:rsidR="009B3C9B" w:rsidRPr="00CB3A27">
              <w:rPr>
                <w:color w:val="auto"/>
              </w:rPr>
              <w:t>%</w:t>
            </w:r>
          </w:p>
        </w:tc>
        <w:tc>
          <w:tcPr>
            <w:tcW w:w="1605" w:type="dxa"/>
            <w:tcBorders>
              <w:left w:val="single" w:sz="4" w:space="0" w:color="auto"/>
            </w:tcBorders>
          </w:tcPr>
          <w:p w14:paraId="739A18D7" w14:textId="1798EF01" w:rsidR="00B17926" w:rsidRPr="00CB3A27" w:rsidRDefault="002F6D4D" w:rsidP="00CF10C4">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62.</w:t>
            </w:r>
            <w:r w:rsidR="0020204C" w:rsidRPr="00CB3A27">
              <w:rPr>
                <w:color w:val="auto"/>
              </w:rPr>
              <w:t>2</w:t>
            </w:r>
            <w:r w:rsidR="009B3C9B" w:rsidRPr="00CB3A27">
              <w:rPr>
                <w:color w:val="auto"/>
              </w:rPr>
              <w:t xml:space="preserve"> million</w:t>
            </w:r>
          </w:p>
        </w:tc>
        <w:tc>
          <w:tcPr>
            <w:tcW w:w="1606" w:type="dxa"/>
          </w:tcPr>
          <w:p w14:paraId="79B7EA76" w14:textId="77777777" w:rsidR="00B17926" w:rsidRPr="00CB3A27" w:rsidRDefault="002F6D4D" w:rsidP="00CF10C4">
            <w:pPr>
              <w:cnfStyle w:val="100000000000" w:firstRow="1" w:lastRow="0" w:firstColumn="0" w:lastColumn="0" w:oddVBand="0" w:evenVBand="0" w:oddHBand="0" w:evenHBand="0" w:firstRowFirstColumn="0" w:firstRowLastColumn="0" w:lastRowFirstColumn="0" w:lastRowLastColumn="0"/>
              <w:rPr>
                <w:color w:val="auto"/>
              </w:rPr>
            </w:pPr>
            <w:r w:rsidRPr="00CB3A27">
              <w:rPr>
                <w:color w:val="auto"/>
              </w:rPr>
              <w:t>Down 40</w:t>
            </w:r>
            <w:r w:rsidR="009B3C9B" w:rsidRPr="00CB3A27">
              <w:rPr>
                <w:color w:val="auto"/>
              </w:rPr>
              <w:t>%</w:t>
            </w:r>
          </w:p>
        </w:tc>
      </w:tr>
    </w:tbl>
    <w:p w14:paraId="37064914" w14:textId="77777777" w:rsidR="00574C7C" w:rsidRPr="005C0907" w:rsidRDefault="00574C7C" w:rsidP="00574C7C"/>
    <w:p w14:paraId="00F71990" w14:textId="50A9548F" w:rsidR="00574C7C" w:rsidRPr="005C0907" w:rsidRDefault="00574C7C" w:rsidP="00574C7C">
      <w:r w:rsidRPr="005C0907">
        <w:t xml:space="preserve">Results for the year ending September 2020 continue to show the impacts of a year devastated by bushfires and the COVID-19 pandemic. Domestic overnight trips fell 31% to 80.3 million resulting in a decline in spend of 34% or </w:t>
      </w:r>
      <w:r w:rsidR="00A64AA5" w:rsidRPr="005C0907">
        <w:t xml:space="preserve">$27.2 billion to </w:t>
      </w:r>
      <w:r w:rsidRPr="005C0907">
        <w:t>$51.9 billion.</w:t>
      </w:r>
    </w:p>
    <w:p w14:paraId="229C5D51" w14:textId="1360BFAA" w:rsidR="00574C7C" w:rsidRPr="005C0907" w:rsidRDefault="00574C7C" w:rsidP="00574C7C">
      <w:r w:rsidRPr="005C0907">
        <w:t xml:space="preserve">With intrastate travel leading the way, September quarter 2020 showed some encouraging signs </w:t>
      </w:r>
      <w:r w:rsidR="00FC7182" w:rsidRPr="005C0907">
        <w:t>relative</w:t>
      </w:r>
      <w:r w:rsidRPr="005C0907">
        <w:t xml:space="preserve"> to June quarter 2020. While spend was down 53% or </w:t>
      </w:r>
      <w:r w:rsidR="00A64AA5" w:rsidRPr="005C0907">
        <w:t xml:space="preserve">$11.1 billion to </w:t>
      </w:r>
      <w:r w:rsidRPr="005C0907">
        <w:t xml:space="preserve">$9.7 billion and overnight trips </w:t>
      </w:r>
      <w:r w:rsidR="00FC7182" w:rsidRPr="005C0907">
        <w:t>fell</w:t>
      </w:r>
      <w:r w:rsidRPr="005C0907">
        <w:t xml:space="preserve"> 42% to 16.5 million this was a marked improvement on the 80% </w:t>
      </w:r>
      <w:r w:rsidR="00FC7182" w:rsidRPr="005C0907">
        <w:t xml:space="preserve">and 67% </w:t>
      </w:r>
      <w:r w:rsidRPr="005C0907">
        <w:t>fall</w:t>
      </w:r>
      <w:r w:rsidR="00FC7182" w:rsidRPr="005C0907">
        <w:t>s</w:t>
      </w:r>
      <w:r w:rsidRPr="005C0907">
        <w:t xml:space="preserve"> in spend and overnight trips in the June quarter. </w:t>
      </w:r>
    </w:p>
    <w:p w14:paraId="63B4A226" w14:textId="0E74B948" w:rsidR="00574C7C" w:rsidRPr="005C0907" w:rsidRDefault="00F67B1F" w:rsidP="00574C7C">
      <w:r w:rsidRPr="005C0907">
        <w:t xml:space="preserve">Larger declines in spend </w:t>
      </w:r>
      <w:r w:rsidR="00FC7182" w:rsidRPr="005C0907">
        <w:t xml:space="preserve">than trips </w:t>
      </w:r>
      <w:r w:rsidRPr="005C0907">
        <w:t>continued to be observed in the September quarter</w:t>
      </w:r>
      <w:r w:rsidR="00FB0CF5" w:rsidRPr="005C0907">
        <w:t>.</w:t>
      </w:r>
      <w:r w:rsidRPr="005C0907">
        <w:t xml:space="preserve"> </w:t>
      </w:r>
      <w:r w:rsidR="00FB0CF5" w:rsidRPr="005C0907">
        <w:t xml:space="preserve">This </w:t>
      </w:r>
      <w:r w:rsidR="003852F2" w:rsidRPr="005C0907">
        <w:t>can be</w:t>
      </w:r>
      <w:r w:rsidR="00FB0CF5" w:rsidRPr="005C0907">
        <w:t xml:space="preserve"> </w:t>
      </w:r>
      <w:r w:rsidRPr="005C0907">
        <w:t xml:space="preserve">attributed to </w:t>
      </w:r>
      <w:r w:rsidR="00FB0CF5" w:rsidRPr="005C0907">
        <w:t xml:space="preserve">continued </w:t>
      </w:r>
      <w:r w:rsidRPr="005C0907">
        <w:t>b</w:t>
      </w:r>
      <w:r w:rsidR="00574C7C" w:rsidRPr="005C0907">
        <w:t>order closures negatively impact</w:t>
      </w:r>
      <w:r w:rsidR="00FB0CF5" w:rsidRPr="005C0907">
        <w:t>ing</w:t>
      </w:r>
      <w:r w:rsidR="00574C7C" w:rsidRPr="005C0907">
        <w:t xml:space="preserve"> the lucrative interstate market</w:t>
      </w:r>
      <w:r w:rsidR="00FB0CF5" w:rsidRPr="005C0907">
        <w:t>,</w:t>
      </w:r>
      <w:r w:rsidR="00574C7C" w:rsidRPr="005C0907">
        <w:t xml:space="preserve"> a second wave of COVID-19 in Victoria stifl</w:t>
      </w:r>
      <w:r w:rsidR="00FB0CF5" w:rsidRPr="005C0907">
        <w:t>ing</w:t>
      </w:r>
      <w:r w:rsidR="00574C7C" w:rsidRPr="005C0907">
        <w:t xml:space="preserve"> improvement at the national level</w:t>
      </w:r>
      <w:r w:rsidR="00FB0CF5" w:rsidRPr="005C0907">
        <w:t xml:space="preserve"> and s</w:t>
      </w:r>
      <w:r w:rsidR="00574C7C" w:rsidRPr="005C0907">
        <w:t>ocial distancing measures limit</w:t>
      </w:r>
      <w:r w:rsidR="00FB0CF5" w:rsidRPr="005C0907">
        <w:t>ing</w:t>
      </w:r>
      <w:r w:rsidR="00574C7C" w:rsidRPr="005C0907">
        <w:t xml:space="preserve"> the capacity for travellers to undertake a range of activities. </w:t>
      </w:r>
    </w:p>
    <w:p w14:paraId="23BD7A37" w14:textId="5B418866" w:rsidR="00574C7C" w:rsidRDefault="00574C7C" w:rsidP="00574C7C">
      <w:r w:rsidRPr="005C0907">
        <w:t>Year to date (January – September 2020) losses for domestic overnight travel amount to $28.8 billion. Adding to this losses of $7.3 billion for domestic day travel sees a total loss of $36.1 billion for domestic tourism when compared to the same period in 2019 (Table 1).</w:t>
      </w:r>
      <w:r w:rsidR="00FB0CF5" w:rsidRPr="005C0907">
        <w:t xml:space="preserve"> Additionally, international travel observed losses of </w:t>
      </w:r>
      <w:r w:rsidR="000E4029" w:rsidRPr="005C0907">
        <w:t>68</w:t>
      </w:r>
      <w:r w:rsidR="00FB0CF5" w:rsidRPr="005C0907">
        <w:t>%</w:t>
      </w:r>
      <w:r w:rsidR="000E4029" w:rsidRPr="005C0907">
        <w:t xml:space="preserve"> or $23</w:t>
      </w:r>
      <w:r w:rsidR="00FB0CF5" w:rsidRPr="005C0907">
        <w:t xml:space="preserve"> billion, bringing the overall loss for Australian tourism </w:t>
      </w:r>
      <w:r w:rsidR="000E4029" w:rsidRPr="005C0907">
        <w:t>in the year to date to $59.1</w:t>
      </w:r>
      <w:r w:rsidR="00FB0CF5" w:rsidRPr="005C0907">
        <w:t xml:space="preserve"> billion.</w:t>
      </w:r>
      <w:r w:rsidR="00FB0CF5">
        <w:t xml:space="preserve"> </w:t>
      </w:r>
    </w:p>
    <w:p w14:paraId="4B372F59" w14:textId="77777777" w:rsidR="00233C95" w:rsidRDefault="00233C95" w:rsidP="00574C7C">
      <w:pPr>
        <w:rPr>
          <w:b/>
        </w:rPr>
      </w:pPr>
    </w:p>
    <w:p w14:paraId="19AB18EE" w14:textId="77777777" w:rsidR="009E5632" w:rsidRPr="006F00FD" w:rsidRDefault="009E5632" w:rsidP="00233C95">
      <w:pPr>
        <w:spacing w:after="0"/>
        <w:rPr>
          <w:b/>
        </w:rPr>
      </w:pPr>
      <w:r w:rsidRPr="006F00FD">
        <w:rPr>
          <w:b/>
        </w:rPr>
        <w:lastRenderedPageBreak/>
        <w:t>TABLE 1: DOMESTIC TRAVEL, JANUARY TO SEPTEMBER</w:t>
      </w:r>
    </w:p>
    <w:tbl>
      <w:tblPr>
        <w:tblStyle w:val="TableGrid"/>
        <w:tblW w:w="9430" w:type="dxa"/>
        <w:tblInd w:w="133" w:type="dxa"/>
        <w:tblLook w:val="04A0" w:firstRow="1" w:lastRow="0" w:firstColumn="1" w:lastColumn="0" w:noHBand="0" w:noVBand="1"/>
        <w:tblCaption w:val="Table 1: Domestic travel, January September spend and visitors"/>
        <w:tblDescription w:val="Spend for overnight trips was down 48% from $60.3 billion in 2019 to $31.5 billion in 2020. &#10;Spend for day trips was down 38% from $19.3 billion in 2019 to $12.0 billion in 2020. &#10;Total domestic spend was down 45% from $79.6 billion in 2019 to $43.5 billion in 2020. &#10;Overnight visitors were down 42% from 88.0 million in 2019 to 50.8 million in 2020.&#10;Day trip visitors were down 37% from 186.2 million in 2019 to 116.6 million in 2020.&#10;Total domestic visitors were down 39% from 274.2 million in 2019 to 167.4 million in 2020."/>
      </w:tblPr>
      <w:tblGrid>
        <w:gridCol w:w="2257"/>
        <w:gridCol w:w="2390"/>
        <w:gridCol w:w="2391"/>
        <w:gridCol w:w="2392"/>
      </w:tblGrid>
      <w:tr w:rsidR="00CF6285" w14:paraId="52092EE5" w14:textId="77777777" w:rsidTr="00CB3A27">
        <w:trPr>
          <w:trHeight w:val="553"/>
          <w:tblHeader/>
        </w:trPr>
        <w:tc>
          <w:tcPr>
            <w:tcW w:w="9430" w:type="dxa"/>
            <w:gridSpan w:val="4"/>
          </w:tcPr>
          <w:p w14:paraId="00943D88" w14:textId="73AFEF5A" w:rsidR="00CF6285" w:rsidRPr="006F00FD" w:rsidRDefault="00CF6285" w:rsidP="00CF6285">
            <w:pPr>
              <w:pStyle w:val="Heading1"/>
              <w:outlineLvl w:val="0"/>
              <w:rPr>
                <w:sz w:val="24"/>
                <w:szCs w:val="24"/>
              </w:rPr>
            </w:pPr>
            <w:r w:rsidRPr="006F00FD">
              <w:rPr>
                <w:sz w:val="24"/>
                <w:szCs w:val="24"/>
              </w:rPr>
              <w:t>spend ($ billions)</w:t>
            </w:r>
          </w:p>
        </w:tc>
      </w:tr>
      <w:tr w:rsidR="00CF6285" w14:paraId="63D10407" w14:textId="77777777" w:rsidTr="00CB3A27">
        <w:trPr>
          <w:trHeight w:val="553"/>
          <w:tblHeader/>
        </w:trPr>
        <w:tc>
          <w:tcPr>
            <w:tcW w:w="2257" w:type="dxa"/>
          </w:tcPr>
          <w:p w14:paraId="5B337919" w14:textId="77777777" w:rsidR="00CF6285" w:rsidRPr="006F00FD" w:rsidRDefault="00CF6285" w:rsidP="006F00FD">
            <w:pPr>
              <w:pStyle w:val="Heading1"/>
              <w:outlineLvl w:val="0"/>
              <w:rPr>
                <w:sz w:val="24"/>
                <w:szCs w:val="24"/>
              </w:rPr>
            </w:pPr>
          </w:p>
        </w:tc>
        <w:tc>
          <w:tcPr>
            <w:tcW w:w="2390" w:type="dxa"/>
          </w:tcPr>
          <w:p w14:paraId="60B9890D" w14:textId="02C9308C" w:rsidR="00CF6285" w:rsidRPr="006F00FD" w:rsidRDefault="00CF6285" w:rsidP="006F00FD">
            <w:pPr>
              <w:pStyle w:val="Heading1"/>
              <w:outlineLvl w:val="0"/>
              <w:rPr>
                <w:sz w:val="24"/>
                <w:szCs w:val="24"/>
              </w:rPr>
            </w:pPr>
            <w:r w:rsidRPr="006F00FD">
              <w:rPr>
                <w:sz w:val="24"/>
                <w:szCs w:val="24"/>
              </w:rPr>
              <w:t>2019</w:t>
            </w:r>
          </w:p>
        </w:tc>
        <w:tc>
          <w:tcPr>
            <w:tcW w:w="2391" w:type="dxa"/>
          </w:tcPr>
          <w:p w14:paraId="48CB90D0" w14:textId="7B581FC2" w:rsidR="00CF6285" w:rsidRPr="006F00FD" w:rsidRDefault="00CF6285" w:rsidP="006F00FD">
            <w:pPr>
              <w:pStyle w:val="Heading1"/>
              <w:outlineLvl w:val="0"/>
              <w:rPr>
                <w:sz w:val="24"/>
                <w:szCs w:val="24"/>
              </w:rPr>
            </w:pPr>
            <w:r w:rsidRPr="006F00FD">
              <w:rPr>
                <w:sz w:val="24"/>
                <w:szCs w:val="24"/>
              </w:rPr>
              <w:t>2020</w:t>
            </w:r>
          </w:p>
        </w:tc>
        <w:tc>
          <w:tcPr>
            <w:tcW w:w="2392" w:type="dxa"/>
          </w:tcPr>
          <w:p w14:paraId="447F5447" w14:textId="6A013715" w:rsidR="00CF6285" w:rsidRPr="006F00FD" w:rsidRDefault="00CF6285" w:rsidP="006F00FD">
            <w:pPr>
              <w:pStyle w:val="Heading1"/>
              <w:outlineLvl w:val="0"/>
              <w:rPr>
                <w:sz w:val="24"/>
                <w:szCs w:val="24"/>
              </w:rPr>
            </w:pPr>
            <w:r w:rsidRPr="006F00FD">
              <w:rPr>
                <w:sz w:val="24"/>
                <w:szCs w:val="24"/>
              </w:rPr>
              <w:t>Change</w:t>
            </w:r>
          </w:p>
        </w:tc>
      </w:tr>
      <w:tr w:rsidR="009E5632" w14:paraId="0DF1CD11" w14:textId="77777777" w:rsidTr="00CB3A27">
        <w:trPr>
          <w:trHeight w:val="553"/>
          <w:tblHeader/>
        </w:trPr>
        <w:tc>
          <w:tcPr>
            <w:tcW w:w="2257" w:type="dxa"/>
          </w:tcPr>
          <w:p w14:paraId="64947162" w14:textId="2FAB2F15" w:rsidR="009E5632" w:rsidRPr="006F00FD" w:rsidRDefault="009E5632" w:rsidP="006F00FD">
            <w:pPr>
              <w:pStyle w:val="Heading1"/>
              <w:outlineLvl w:val="0"/>
              <w:rPr>
                <w:sz w:val="24"/>
                <w:szCs w:val="24"/>
              </w:rPr>
            </w:pPr>
            <w:r w:rsidRPr="006F00FD">
              <w:rPr>
                <w:sz w:val="24"/>
                <w:szCs w:val="24"/>
              </w:rPr>
              <w:t>Overnight</w:t>
            </w:r>
          </w:p>
        </w:tc>
        <w:tc>
          <w:tcPr>
            <w:tcW w:w="2390" w:type="dxa"/>
          </w:tcPr>
          <w:p w14:paraId="2DCEAB92" w14:textId="402F49B5"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60.3</w:t>
            </w:r>
          </w:p>
        </w:tc>
        <w:tc>
          <w:tcPr>
            <w:tcW w:w="2391" w:type="dxa"/>
          </w:tcPr>
          <w:p w14:paraId="6C98DA40" w14:textId="712B767F"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31.5</w:t>
            </w:r>
          </w:p>
        </w:tc>
        <w:tc>
          <w:tcPr>
            <w:tcW w:w="2392" w:type="dxa"/>
          </w:tcPr>
          <w:p w14:paraId="3EF9BDC4" w14:textId="42CB83C5"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-48</w:t>
            </w:r>
            <w:r w:rsidR="00D90A77">
              <w:rPr>
                <w:rFonts w:ascii="Trade Gothic LT Std" w:hAnsi="Trade Gothic LT Std" w:cs="Trade Gothic LT Std"/>
                <w:b/>
                <w:color w:val="000000"/>
                <w:sz w:val="24"/>
                <w:szCs w:val="24"/>
              </w:rPr>
              <w:t>%</w:t>
            </w:r>
          </w:p>
        </w:tc>
      </w:tr>
      <w:tr w:rsidR="009E5632" w14:paraId="26EB1F63" w14:textId="77777777" w:rsidTr="00CB3A27">
        <w:trPr>
          <w:trHeight w:val="553"/>
          <w:tblHeader/>
        </w:trPr>
        <w:tc>
          <w:tcPr>
            <w:tcW w:w="2257" w:type="dxa"/>
          </w:tcPr>
          <w:p w14:paraId="1054B5E2" w14:textId="553A02BB" w:rsidR="009E5632" w:rsidRPr="006F00FD" w:rsidRDefault="009E5632" w:rsidP="006F00FD">
            <w:pPr>
              <w:pStyle w:val="Heading1"/>
              <w:outlineLvl w:val="0"/>
              <w:rPr>
                <w:sz w:val="24"/>
                <w:szCs w:val="24"/>
              </w:rPr>
            </w:pPr>
            <w:r w:rsidRPr="006F00FD">
              <w:rPr>
                <w:sz w:val="24"/>
                <w:szCs w:val="24"/>
              </w:rPr>
              <w:t>Day Trip</w:t>
            </w:r>
          </w:p>
        </w:tc>
        <w:tc>
          <w:tcPr>
            <w:tcW w:w="2390" w:type="dxa"/>
          </w:tcPr>
          <w:p w14:paraId="1CD25521" w14:textId="33247E2D"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19.3</w:t>
            </w:r>
          </w:p>
        </w:tc>
        <w:tc>
          <w:tcPr>
            <w:tcW w:w="2391" w:type="dxa"/>
          </w:tcPr>
          <w:p w14:paraId="4C18850A" w14:textId="4AD09595"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12.0</w:t>
            </w:r>
          </w:p>
        </w:tc>
        <w:tc>
          <w:tcPr>
            <w:tcW w:w="2392" w:type="dxa"/>
          </w:tcPr>
          <w:p w14:paraId="63B4B75C" w14:textId="5DD3EC97"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-38</w:t>
            </w:r>
            <w:r w:rsidR="00D90A77">
              <w:rPr>
                <w:rFonts w:ascii="Trade Gothic LT Std" w:hAnsi="Trade Gothic LT Std" w:cs="Trade Gothic LT Std"/>
                <w:b/>
                <w:color w:val="000000"/>
                <w:sz w:val="24"/>
                <w:szCs w:val="24"/>
              </w:rPr>
              <w:t>%</w:t>
            </w:r>
          </w:p>
        </w:tc>
      </w:tr>
      <w:tr w:rsidR="009E5632" w14:paraId="61C818A0" w14:textId="77777777" w:rsidTr="00CB3A27">
        <w:trPr>
          <w:trHeight w:val="553"/>
          <w:tblHeader/>
        </w:trPr>
        <w:tc>
          <w:tcPr>
            <w:tcW w:w="2257" w:type="dxa"/>
          </w:tcPr>
          <w:p w14:paraId="251FE013" w14:textId="2D87B26D" w:rsidR="009E5632" w:rsidRPr="006F00FD" w:rsidRDefault="009E5632" w:rsidP="006F00FD">
            <w:pPr>
              <w:pStyle w:val="Heading1"/>
              <w:outlineLvl w:val="0"/>
              <w:rPr>
                <w:sz w:val="24"/>
                <w:szCs w:val="24"/>
              </w:rPr>
            </w:pPr>
            <w:r w:rsidRPr="006F00FD">
              <w:rPr>
                <w:sz w:val="24"/>
                <w:szCs w:val="24"/>
              </w:rPr>
              <w:t>Total</w:t>
            </w:r>
          </w:p>
        </w:tc>
        <w:tc>
          <w:tcPr>
            <w:tcW w:w="2390" w:type="dxa"/>
          </w:tcPr>
          <w:p w14:paraId="52E3FAD7" w14:textId="1A095E6A"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79.6</w:t>
            </w:r>
          </w:p>
        </w:tc>
        <w:tc>
          <w:tcPr>
            <w:tcW w:w="2391" w:type="dxa"/>
          </w:tcPr>
          <w:p w14:paraId="0F1ADDF4" w14:textId="3F075D94"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43.5</w:t>
            </w:r>
          </w:p>
        </w:tc>
        <w:tc>
          <w:tcPr>
            <w:tcW w:w="2392" w:type="dxa"/>
          </w:tcPr>
          <w:p w14:paraId="14C196EF" w14:textId="6B9175F4"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-45</w:t>
            </w:r>
            <w:r w:rsidR="00D90A77">
              <w:rPr>
                <w:rFonts w:ascii="Trade Gothic LT Std" w:hAnsi="Trade Gothic LT Std" w:cs="Trade Gothic LT Std"/>
                <w:b/>
                <w:color w:val="000000"/>
                <w:sz w:val="24"/>
                <w:szCs w:val="24"/>
              </w:rPr>
              <w:t>%</w:t>
            </w:r>
          </w:p>
        </w:tc>
      </w:tr>
      <w:tr w:rsidR="009E5632" w14:paraId="29968469" w14:textId="77777777" w:rsidTr="00CB3A27">
        <w:trPr>
          <w:trHeight w:val="553"/>
          <w:tblHeader/>
        </w:trPr>
        <w:tc>
          <w:tcPr>
            <w:tcW w:w="9430" w:type="dxa"/>
            <w:gridSpan w:val="4"/>
          </w:tcPr>
          <w:p w14:paraId="4CE5DE85" w14:textId="78EC2D98" w:rsidR="009E5632" w:rsidRPr="005C0907" w:rsidRDefault="009E5632" w:rsidP="006F00FD">
            <w:pPr>
              <w:pStyle w:val="Heading1"/>
              <w:outlineLvl w:val="0"/>
              <w:rPr>
                <w:sz w:val="24"/>
                <w:szCs w:val="24"/>
              </w:rPr>
            </w:pPr>
            <w:r w:rsidRPr="005C0907">
              <w:rPr>
                <w:sz w:val="24"/>
                <w:szCs w:val="24"/>
              </w:rPr>
              <w:t>Visitors (millions)</w:t>
            </w:r>
          </w:p>
        </w:tc>
      </w:tr>
      <w:tr w:rsidR="009E5632" w14:paraId="1B8DCCA3" w14:textId="77777777" w:rsidTr="00CB3A27">
        <w:trPr>
          <w:trHeight w:val="553"/>
          <w:tblHeader/>
        </w:trPr>
        <w:tc>
          <w:tcPr>
            <w:tcW w:w="2257" w:type="dxa"/>
          </w:tcPr>
          <w:p w14:paraId="6A6D6AD5" w14:textId="77777777" w:rsidR="009E5632" w:rsidRPr="006F00FD" w:rsidRDefault="009E5632" w:rsidP="006F00FD">
            <w:pPr>
              <w:pStyle w:val="Heading1"/>
              <w:outlineLvl w:val="0"/>
              <w:rPr>
                <w:sz w:val="24"/>
                <w:szCs w:val="24"/>
              </w:rPr>
            </w:pPr>
          </w:p>
        </w:tc>
        <w:tc>
          <w:tcPr>
            <w:tcW w:w="2390" w:type="dxa"/>
          </w:tcPr>
          <w:p w14:paraId="02A85B27" w14:textId="29F03BF1" w:rsidR="009E5632" w:rsidRPr="005C0907" w:rsidRDefault="009E5632" w:rsidP="006F00FD">
            <w:pPr>
              <w:pStyle w:val="Heading1"/>
              <w:outlineLvl w:val="0"/>
              <w:rPr>
                <w:sz w:val="24"/>
                <w:szCs w:val="24"/>
              </w:rPr>
            </w:pPr>
            <w:r w:rsidRPr="005C0907">
              <w:rPr>
                <w:sz w:val="24"/>
                <w:szCs w:val="24"/>
              </w:rPr>
              <w:t>2019</w:t>
            </w:r>
          </w:p>
        </w:tc>
        <w:tc>
          <w:tcPr>
            <w:tcW w:w="2391" w:type="dxa"/>
          </w:tcPr>
          <w:p w14:paraId="0FBD9E9E" w14:textId="00386545" w:rsidR="009E5632" w:rsidRPr="005C0907" w:rsidRDefault="009E5632" w:rsidP="006F00FD">
            <w:pPr>
              <w:pStyle w:val="Heading1"/>
              <w:outlineLvl w:val="0"/>
              <w:rPr>
                <w:sz w:val="24"/>
                <w:szCs w:val="24"/>
              </w:rPr>
            </w:pPr>
            <w:r w:rsidRPr="005C0907">
              <w:rPr>
                <w:sz w:val="24"/>
                <w:szCs w:val="24"/>
              </w:rPr>
              <w:t>2020</w:t>
            </w:r>
          </w:p>
        </w:tc>
        <w:tc>
          <w:tcPr>
            <w:tcW w:w="2392" w:type="dxa"/>
          </w:tcPr>
          <w:p w14:paraId="787AD6C2" w14:textId="7F50DA76" w:rsidR="009E5632" w:rsidRPr="005C0907" w:rsidRDefault="009E5632" w:rsidP="006F00FD">
            <w:pPr>
              <w:pStyle w:val="Heading1"/>
              <w:outlineLvl w:val="0"/>
              <w:rPr>
                <w:sz w:val="24"/>
                <w:szCs w:val="24"/>
              </w:rPr>
            </w:pPr>
            <w:r w:rsidRPr="005C0907">
              <w:rPr>
                <w:sz w:val="24"/>
                <w:szCs w:val="24"/>
              </w:rPr>
              <w:t>Change</w:t>
            </w:r>
          </w:p>
        </w:tc>
      </w:tr>
      <w:tr w:rsidR="009E5632" w14:paraId="5C5BCF1E" w14:textId="77777777" w:rsidTr="00CB3A27">
        <w:trPr>
          <w:trHeight w:val="553"/>
          <w:tblHeader/>
        </w:trPr>
        <w:tc>
          <w:tcPr>
            <w:tcW w:w="2257" w:type="dxa"/>
          </w:tcPr>
          <w:p w14:paraId="0E627FCC" w14:textId="2A26C163" w:rsidR="009E5632" w:rsidRPr="006F00FD" w:rsidRDefault="009E5632" w:rsidP="006F00FD">
            <w:pPr>
              <w:pStyle w:val="Heading1"/>
              <w:outlineLvl w:val="0"/>
              <w:rPr>
                <w:sz w:val="24"/>
                <w:szCs w:val="24"/>
              </w:rPr>
            </w:pPr>
            <w:r w:rsidRPr="006F00FD">
              <w:rPr>
                <w:sz w:val="24"/>
                <w:szCs w:val="24"/>
              </w:rPr>
              <w:t>Overnight</w:t>
            </w:r>
          </w:p>
        </w:tc>
        <w:tc>
          <w:tcPr>
            <w:tcW w:w="2390" w:type="dxa"/>
          </w:tcPr>
          <w:p w14:paraId="73CD6BCE" w14:textId="10C1B6B2"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88.0</w:t>
            </w:r>
          </w:p>
        </w:tc>
        <w:tc>
          <w:tcPr>
            <w:tcW w:w="2391" w:type="dxa"/>
          </w:tcPr>
          <w:p w14:paraId="2AADAE9B" w14:textId="0CB74DFE"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50.8</w:t>
            </w:r>
          </w:p>
        </w:tc>
        <w:tc>
          <w:tcPr>
            <w:tcW w:w="2392" w:type="dxa"/>
          </w:tcPr>
          <w:p w14:paraId="64103205" w14:textId="2C337358"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-42</w:t>
            </w:r>
            <w:r w:rsidR="00D90A77">
              <w:rPr>
                <w:rFonts w:ascii="Trade Gothic LT Std" w:hAnsi="Trade Gothic LT Std" w:cs="Trade Gothic LT Std"/>
                <w:b/>
                <w:color w:val="000000"/>
                <w:sz w:val="24"/>
                <w:szCs w:val="24"/>
              </w:rPr>
              <w:t>%</w:t>
            </w:r>
          </w:p>
        </w:tc>
      </w:tr>
      <w:tr w:rsidR="009E5632" w14:paraId="2B4D7439" w14:textId="77777777" w:rsidTr="00CB3A27">
        <w:trPr>
          <w:trHeight w:val="568"/>
          <w:tblHeader/>
        </w:trPr>
        <w:tc>
          <w:tcPr>
            <w:tcW w:w="2257" w:type="dxa"/>
          </w:tcPr>
          <w:p w14:paraId="4925A1EA" w14:textId="2BD5CE01" w:rsidR="009E5632" w:rsidRPr="006F00FD" w:rsidRDefault="009E5632" w:rsidP="006F00FD">
            <w:pPr>
              <w:pStyle w:val="Heading1"/>
              <w:outlineLvl w:val="0"/>
              <w:rPr>
                <w:sz w:val="24"/>
                <w:szCs w:val="24"/>
              </w:rPr>
            </w:pPr>
            <w:r w:rsidRPr="006F00FD">
              <w:rPr>
                <w:sz w:val="24"/>
                <w:szCs w:val="24"/>
              </w:rPr>
              <w:t>Day Trip</w:t>
            </w:r>
          </w:p>
        </w:tc>
        <w:tc>
          <w:tcPr>
            <w:tcW w:w="2390" w:type="dxa"/>
          </w:tcPr>
          <w:p w14:paraId="43C17D0D" w14:textId="3301E2FC"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186.2</w:t>
            </w:r>
          </w:p>
        </w:tc>
        <w:tc>
          <w:tcPr>
            <w:tcW w:w="2391" w:type="dxa"/>
          </w:tcPr>
          <w:p w14:paraId="70E73CE7" w14:textId="6A6DBA02"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116.6</w:t>
            </w:r>
          </w:p>
        </w:tc>
        <w:tc>
          <w:tcPr>
            <w:tcW w:w="2392" w:type="dxa"/>
          </w:tcPr>
          <w:p w14:paraId="72185A4F" w14:textId="69420A3F"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-37</w:t>
            </w:r>
            <w:r w:rsidR="00D90A77">
              <w:rPr>
                <w:rFonts w:ascii="Trade Gothic LT Std" w:hAnsi="Trade Gothic LT Std" w:cs="Trade Gothic LT Std"/>
                <w:b/>
                <w:color w:val="000000"/>
                <w:sz w:val="24"/>
                <w:szCs w:val="24"/>
              </w:rPr>
              <w:t>%</w:t>
            </w:r>
          </w:p>
        </w:tc>
      </w:tr>
      <w:tr w:rsidR="009E5632" w14:paraId="11100C0E" w14:textId="77777777" w:rsidTr="00CB3A27">
        <w:trPr>
          <w:trHeight w:val="553"/>
          <w:tblHeader/>
        </w:trPr>
        <w:tc>
          <w:tcPr>
            <w:tcW w:w="2257" w:type="dxa"/>
          </w:tcPr>
          <w:p w14:paraId="55707B5C" w14:textId="444CCA70" w:rsidR="009E5632" w:rsidRPr="006F00FD" w:rsidRDefault="009E5632" w:rsidP="006F00FD">
            <w:pPr>
              <w:pStyle w:val="Heading1"/>
              <w:outlineLvl w:val="0"/>
              <w:rPr>
                <w:sz w:val="24"/>
                <w:szCs w:val="24"/>
              </w:rPr>
            </w:pPr>
            <w:r w:rsidRPr="006F00FD">
              <w:rPr>
                <w:sz w:val="24"/>
                <w:szCs w:val="24"/>
              </w:rPr>
              <w:t>Total</w:t>
            </w:r>
          </w:p>
        </w:tc>
        <w:tc>
          <w:tcPr>
            <w:tcW w:w="2390" w:type="dxa"/>
          </w:tcPr>
          <w:p w14:paraId="57394B4B" w14:textId="5F9F1FA1"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274.2</w:t>
            </w:r>
          </w:p>
        </w:tc>
        <w:tc>
          <w:tcPr>
            <w:tcW w:w="2391" w:type="dxa"/>
          </w:tcPr>
          <w:p w14:paraId="4C0A520A" w14:textId="768D4D6F"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167.4</w:t>
            </w:r>
          </w:p>
        </w:tc>
        <w:tc>
          <w:tcPr>
            <w:tcW w:w="2392" w:type="dxa"/>
          </w:tcPr>
          <w:p w14:paraId="42FA22A6" w14:textId="258FEF5A" w:rsidR="009E5632" w:rsidRPr="005C0907" w:rsidRDefault="009E5632" w:rsidP="006F00FD">
            <w:pPr>
              <w:pStyle w:val="Heading1"/>
              <w:outlineLvl w:val="0"/>
              <w:rPr>
                <w:sz w:val="24"/>
                <w:szCs w:val="24"/>
              </w:rPr>
            </w:pPr>
            <w:r w:rsidRPr="005C0907">
              <w:rPr>
                <w:rFonts w:ascii="Trade Gothic LT Std" w:hAnsi="Trade Gothic LT Std" w:cs="Trade Gothic LT Std"/>
                <w:b/>
                <w:color w:val="000000"/>
                <w:sz w:val="24"/>
                <w:szCs w:val="24"/>
              </w:rPr>
              <w:t>-39</w:t>
            </w:r>
            <w:r w:rsidR="00D90A77">
              <w:rPr>
                <w:rFonts w:ascii="Trade Gothic LT Std" w:hAnsi="Trade Gothic LT Std" w:cs="Trade Gothic LT Std"/>
                <w:b/>
                <w:color w:val="000000"/>
                <w:sz w:val="24"/>
                <w:szCs w:val="24"/>
              </w:rPr>
              <w:t>%</w:t>
            </w:r>
          </w:p>
        </w:tc>
      </w:tr>
    </w:tbl>
    <w:p w14:paraId="1E89CD59" w14:textId="77777777" w:rsidR="00135A9A" w:rsidRDefault="00135A9A" w:rsidP="00135A9A"/>
    <w:p w14:paraId="401B02D5" w14:textId="77777777" w:rsidR="00C47B66" w:rsidRDefault="00C47B66" w:rsidP="00C47B66">
      <w:pPr>
        <w:rPr>
          <w:rFonts w:ascii="Verdana" w:hAnsi="Verdana"/>
        </w:rPr>
      </w:pPr>
      <w:r>
        <w:rPr>
          <w:rFonts w:ascii="Verdana" w:hAnsi="Verdana"/>
        </w:rPr>
        <w:t>In a boost to tourism operators across the nation, early national data on domestic overnight trip rates suggest there will be a noticeable improvement in the December quarter 2020 (Figure 1). While this is likely to extend through the peak Christmas and New Year holiday season in many areas, an impact can be expected from the onset of a COVID-19 outbreak in Sydney leading into Christmas.</w:t>
      </w:r>
    </w:p>
    <w:p w14:paraId="2C449A12" w14:textId="6696E900" w:rsidR="00135A9A" w:rsidRDefault="00135A9A" w:rsidP="00C47B66">
      <w:pPr>
        <w:spacing w:after="0"/>
        <w:rPr>
          <w:b/>
          <w:vertAlign w:val="superscript"/>
        </w:rPr>
      </w:pPr>
      <w:r w:rsidRPr="00135A9A">
        <w:rPr>
          <w:b/>
        </w:rPr>
        <w:t>FIGURE 1: DOMESTIC</w:t>
      </w:r>
      <w:r>
        <w:rPr>
          <w:b/>
        </w:rPr>
        <w:t xml:space="preserve"> OVERNIGHT TRIPS AND TRIP RATES, JANUARY TO </w:t>
      </w:r>
      <w:r w:rsidR="008B5D41">
        <w:rPr>
          <w:b/>
        </w:rPr>
        <w:t>DEC</w:t>
      </w:r>
      <w:r w:rsidR="001933DE">
        <w:rPr>
          <w:b/>
        </w:rPr>
        <w:t>EM</w:t>
      </w:r>
      <w:r>
        <w:rPr>
          <w:b/>
        </w:rPr>
        <w:t>BER 2020</w:t>
      </w:r>
      <w:r w:rsidR="00C47B66">
        <w:rPr>
          <w:b/>
          <w:vertAlign w:val="superscript"/>
        </w:rPr>
        <w:t>1</w:t>
      </w:r>
      <w:r w:rsidR="008B5D41">
        <w:rPr>
          <w:noProof/>
          <w:lang w:eastAsia="en-AU"/>
        </w:rPr>
        <w:drawing>
          <wp:inline distT="0" distB="0" distL="0" distR="0" wp14:anchorId="397E9A63" wp14:editId="38329ABE">
            <wp:extent cx="5981700" cy="3276600"/>
            <wp:effectExtent l="0" t="0" r="0" b="0"/>
            <wp:docPr id="6" name="Chart 6" descr="The number of overnight trips taken declined from January through to April and then began increasing in May through to July before settling. The trip rate fell steeply between January and May and increased again in June and July followed with a slight decline in August and September. A large jump in trip rate is expected in October, with thr trip trip rate expected to plateau in November and December. Neither overnight trips nor the trip rate has returned to January levels.    " title="Figure 1 DOMESTIC OVERNIGHT TRIPS AND TRIP RATES, JANUARY TO DECEMBER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758FC6" w14:textId="0A247BA1" w:rsidR="00C47B66" w:rsidRPr="00C47B66" w:rsidRDefault="00C47B66" w:rsidP="00135A9A">
      <w:pPr>
        <w:rPr>
          <w:sz w:val="16"/>
          <w:szCs w:val="16"/>
        </w:rPr>
      </w:pPr>
      <w:r w:rsidRPr="00C47B66">
        <w:rPr>
          <w:sz w:val="16"/>
          <w:szCs w:val="16"/>
          <w:vertAlign w:val="superscript"/>
        </w:rPr>
        <w:t xml:space="preserve">1 </w:t>
      </w:r>
      <w:r w:rsidRPr="00C47B66">
        <w:rPr>
          <w:sz w:val="16"/>
          <w:szCs w:val="16"/>
        </w:rPr>
        <w:t>The trip rate for December is based on interviews undertaken in week 1 and week 2 only.</w:t>
      </w:r>
      <w:bookmarkStart w:id="0" w:name="_GoBack"/>
      <w:bookmarkEnd w:id="0"/>
    </w:p>
    <w:p w14:paraId="48B3C410" w14:textId="77777777" w:rsidR="006F00FD" w:rsidRDefault="006F00FD" w:rsidP="006F00FD">
      <w:pPr>
        <w:pStyle w:val="Heading3"/>
      </w:pPr>
      <w:r>
        <w:t xml:space="preserve">INTERSTATE and INTRASTATE TRAVEL </w:t>
      </w:r>
    </w:p>
    <w:p w14:paraId="23C22640" w14:textId="310EC391" w:rsidR="00F953CA" w:rsidRDefault="006F00FD">
      <w:r w:rsidRPr="00991968">
        <w:t xml:space="preserve">During the September quarter 2020, </w:t>
      </w:r>
      <w:r w:rsidR="00477459">
        <w:t xml:space="preserve">there were </w:t>
      </w:r>
      <w:r w:rsidRPr="00991968">
        <w:t>changes made to border closures and restrictions</w:t>
      </w:r>
      <w:r w:rsidR="00477459">
        <w:t>.</w:t>
      </w:r>
      <w:r w:rsidRPr="00991968">
        <w:t xml:space="preserve"> </w:t>
      </w:r>
      <w:r w:rsidR="00477459">
        <w:t xml:space="preserve">These saw </w:t>
      </w:r>
      <w:r w:rsidRPr="00991968">
        <w:t xml:space="preserve">most states and territories </w:t>
      </w:r>
      <w:r w:rsidR="00477459" w:rsidRPr="00991968">
        <w:t>eas</w:t>
      </w:r>
      <w:r w:rsidR="00477459">
        <w:t>e</w:t>
      </w:r>
      <w:r w:rsidR="00477459" w:rsidRPr="00991968">
        <w:t xml:space="preserve"> </w:t>
      </w:r>
      <w:r w:rsidRPr="00991968">
        <w:t>restrictions to varying degrees allowing increased travel movements</w:t>
      </w:r>
      <w:r w:rsidR="00477459">
        <w:t xml:space="preserve"> particularly within state borders</w:t>
      </w:r>
      <w:r w:rsidRPr="00991968">
        <w:t>.</w:t>
      </w:r>
    </w:p>
    <w:p w14:paraId="400DC261" w14:textId="7C47074E" w:rsidR="00F36466" w:rsidRDefault="00124FCE" w:rsidP="00781BDD">
      <w:r>
        <w:t>This led to</w:t>
      </w:r>
      <w:r w:rsidR="00E44B79">
        <w:t xml:space="preserve"> </w:t>
      </w:r>
      <w:r w:rsidR="00F953CA">
        <w:t xml:space="preserve">improved results </w:t>
      </w:r>
      <w:r>
        <w:t xml:space="preserve">in the </w:t>
      </w:r>
      <w:r w:rsidR="00F953CA">
        <w:t xml:space="preserve">September quarter 2020 </w:t>
      </w:r>
      <w:r>
        <w:t xml:space="preserve">that </w:t>
      </w:r>
      <w:r w:rsidR="00F953CA">
        <w:t xml:space="preserve">were driven by intrastate travel. </w:t>
      </w:r>
      <w:r w:rsidR="00F36466" w:rsidRPr="00F36466">
        <w:t>In</w:t>
      </w:r>
      <w:r w:rsidR="00F36466">
        <w:t xml:space="preserve"> many states including QLD, </w:t>
      </w:r>
      <w:r w:rsidR="00F36466" w:rsidRPr="00F36466">
        <w:t>WA, TA</w:t>
      </w:r>
      <w:r w:rsidR="00F36466">
        <w:t>S and NT intrastate trips and</w:t>
      </w:r>
      <w:r w:rsidR="00477459">
        <w:t>/or</w:t>
      </w:r>
      <w:r w:rsidR="00F36466" w:rsidRPr="00F36466">
        <w:t xml:space="preserve"> spend were </w:t>
      </w:r>
      <w:r w:rsidR="00C743C5">
        <w:t xml:space="preserve">on par or </w:t>
      </w:r>
      <w:r w:rsidR="00F36466" w:rsidRPr="00F36466">
        <w:t xml:space="preserve">up in September quarter 2020. </w:t>
      </w:r>
      <w:r w:rsidR="00477459">
        <w:t>In contrast, t</w:t>
      </w:r>
      <w:r w:rsidR="00477459" w:rsidRPr="00F36466">
        <w:t xml:space="preserve">he </w:t>
      </w:r>
      <w:r w:rsidR="00F36466" w:rsidRPr="00F36466">
        <w:t xml:space="preserve">large domestic tourism markets of Victoria (with its second wave lockdown) and NSW </w:t>
      </w:r>
      <w:r w:rsidR="00477459">
        <w:t>continued</w:t>
      </w:r>
      <w:r w:rsidR="00F36466" w:rsidRPr="00F36466">
        <w:t xml:space="preserve"> to see large falls in intrastate trips a</w:t>
      </w:r>
      <w:r w:rsidR="00F36466">
        <w:t xml:space="preserve">nd spend in September </w:t>
      </w:r>
      <w:r w:rsidR="00812FAB">
        <w:t xml:space="preserve">quarter </w:t>
      </w:r>
      <w:r w:rsidR="00F36466">
        <w:t xml:space="preserve">2020 (Figure </w:t>
      </w:r>
      <w:r w:rsidR="00135A9A">
        <w:t>2</w:t>
      </w:r>
      <w:r w:rsidR="00F36466">
        <w:t>).</w:t>
      </w:r>
    </w:p>
    <w:p w14:paraId="41FB9222" w14:textId="7EC41542" w:rsidR="00F953CA" w:rsidRDefault="00F953CA" w:rsidP="00781BDD">
      <w:r>
        <w:t>While nationally intrastate trips still fell 2</w:t>
      </w:r>
      <w:r w:rsidR="00D151BD">
        <w:t>0</w:t>
      </w:r>
      <w:r>
        <w:t xml:space="preserve">% or </w:t>
      </w:r>
      <w:r w:rsidR="00D151BD">
        <w:t>3.6</w:t>
      </w:r>
      <w:r>
        <w:t xml:space="preserve"> million and spend </w:t>
      </w:r>
      <w:r w:rsidR="00477459">
        <w:t xml:space="preserve">was down </w:t>
      </w:r>
      <w:r>
        <w:t xml:space="preserve">by </w:t>
      </w:r>
      <w:r w:rsidR="00695431">
        <w:t xml:space="preserve">just </w:t>
      </w:r>
      <w:r w:rsidR="00D151BD">
        <w:t>2</w:t>
      </w:r>
      <w:r>
        <w:t>% or $2</w:t>
      </w:r>
      <w:r w:rsidR="00D151BD">
        <w:t>03</w:t>
      </w:r>
      <w:r>
        <w:t xml:space="preserve"> </w:t>
      </w:r>
      <w:r w:rsidR="00D151BD">
        <w:t>m</w:t>
      </w:r>
      <w:r>
        <w:t xml:space="preserve">illion, these declines were much less than those observed for interstate travel. Interstate trips were down </w:t>
      </w:r>
      <w:r w:rsidRPr="00135A9A">
        <w:t xml:space="preserve">83% or </w:t>
      </w:r>
      <w:r w:rsidR="00695431" w:rsidRPr="00135A9A">
        <w:t xml:space="preserve">8.2 million to </w:t>
      </w:r>
      <w:r w:rsidRPr="00135A9A">
        <w:t>1.7 million</w:t>
      </w:r>
      <w:r>
        <w:t xml:space="preserve"> and spend 8</w:t>
      </w:r>
      <w:r w:rsidR="00D151BD">
        <w:t>7</w:t>
      </w:r>
      <w:r>
        <w:t xml:space="preserve">% or </w:t>
      </w:r>
      <w:r w:rsidR="001933DE">
        <w:t>$</w:t>
      </w:r>
      <w:r w:rsidR="00D151BD">
        <w:t>10.9</w:t>
      </w:r>
      <w:r>
        <w:t xml:space="preserve"> billion</w:t>
      </w:r>
      <w:r w:rsidR="00D151BD">
        <w:t xml:space="preserve"> to $1.6 billion</w:t>
      </w:r>
      <w:r>
        <w:t xml:space="preserve">. </w:t>
      </w:r>
    </w:p>
    <w:p w14:paraId="7592F6DC" w14:textId="5A5411A1" w:rsidR="00755C72" w:rsidRDefault="006F00FD" w:rsidP="00233C95">
      <w:pPr>
        <w:rPr>
          <w:sz w:val="16"/>
          <w:szCs w:val="16"/>
        </w:rPr>
      </w:pPr>
      <w:r w:rsidRPr="00135A9A">
        <w:rPr>
          <w:b/>
        </w:rPr>
        <w:t>FIGURE</w:t>
      </w:r>
      <w:r w:rsidR="00135A9A" w:rsidRPr="00135A9A">
        <w:rPr>
          <w:b/>
        </w:rPr>
        <w:t xml:space="preserve"> 2</w:t>
      </w:r>
      <w:r w:rsidRPr="00135A9A">
        <w:rPr>
          <w:b/>
        </w:rPr>
        <w:t xml:space="preserve">: </w:t>
      </w:r>
      <w:r w:rsidR="00A87EA7" w:rsidRPr="00135A9A">
        <w:rPr>
          <w:b/>
        </w:rPr>
        <w:t xml:space="preserve">INTRASTATE </w:t>
      </w:r>
      <w:r w:rsidR="00C743C5" w:rsidRPr="00135A9A">
        <w:rPr>
          <w:b/>
        </w:rPr>
        <w:t xml:space="preserve">PER CENT </w:t>
      </w:r>
      <w:r w:rsidR="00A87EA7" w:rsidRPr="00135A9A">
        <w:rPr>
          <w:b/>
        </w:rPr>
        <w:t>CHANGES</w:t>
      </w:r>
      <w:r w:rsidR="00A87EA7">
        <w:rPr>
          <w:b/>
        </w:rPr>
        <w:t xml:space="preserve"> IN </w:t>
      </w:r>
      <w:r w:rsidR="004851E6">
        <w:rPr>
          <w:b/>
        </w:rPr>
        <w:t xml:space="preserve">OVERNIGHT </w:t>
      </w:r>
      <w:r w:rsidR="00A87EA7">
        <w:rPr>
          <w:b/>
        </w:rPr>
        <w:t>TRIPS AND SPEND</w:t>
      </w:r>
      <w:r w:rsidR="004851E6">
        <w:rPr>
          <w:b/>
        </w:rPr>
        <w:t>,</w:t>
      </w:r>
      <w:r w:rsidR="00781BDD">
        <w:rPr>
          <w:b/>
        </w:rPr>
        <w:t xml:space="preserve"> BY STATE,</w:t>
      </w:r>
      <w:r w:rsidR="004851E6">
        <w:rPr>
          <w:b/>
        </w:rPr>
        <w:t xml:space="preserve"> SEPTEMBER QUARTER 2020</w:t>
      </w:r>
      <w:r w:rsidR="004601F9">
        <w:rPr>
          <w:b/>
          <w:vertAlign w:val="superscript"/>
        </w:rPr>
        <w:t>2</w:t>
      </w:r>
      <w:r w:rsidR="00A87EA7">
        <w:rPr>
          <w:noProof/>
          <w:lang w:eastAsia="en-AU"/>
        </w:rPr>
        <w:drawing>
          <wp:inline distT="0" distB="0" distL="0" distR="0" wp14:anchorId="539E66F0" wp14:editId="1FA7E86A">
            <wp:extent cx="5973510" cy="3909879"/>
            <wp:effectExtent l="0" t="0" r="8255" b="14605"/>
            <wp:docPr id="11" name="Chart 11" descr="This figure shows the change in overnight trips and spend for the September quarter 2020. &#10;New South Wales saw a 17% decline in trips and 19% decline in spend compared to September quarter 2019.&#10;Victoria saw a 73% decline in trips and 79% decline in spend compared to September quarter 2019.&#10;Queensland saw no change in trips and a 10% increase in spend compared to September quarter 2019.&#10;South Australia saw no change in trips and a 12% decline in spend compared to September quarter 2019.&#10;Western Australia saw a 7% increase in trips and a 5% increase in spend compared to September quarter 2019.&#10;Tasmania saw a 53% increase in trips and a 47% increase in spend compared to September quarter 2019.&#10;Northern Territory saw a 16% increase in trips and a 32% increase in spend compared to September quarter 2019." title="Figure 2 Intrastate per cent changes in overnight trips and spend, by state, September Quarter 2020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601F9">
        <w:rPr>
          <w:sz w:val="16"/>
          <w:szCs w:val="16"/>
          <w:vertAlign w:val="superscript"/>
        </w:rPr>
        <w:t>2</w:t>
      </w:r>
      <w:r w:rsidR="00781BDD" w:rsidRPr="00593CA6">
        <w:rPr>
          <w:sz w:val="16"/>
          <w:szCs w:val="16"/>
          <w:vertAlign w:val="superscript"/>
        </w:rPr>
        <w:t xml:space="preserve"> </w:t>
      </w:r>
      <w:r w:rsidR="00781BDD" w:rsidRPr="00593CA6">
        <w:rPr>
          <w:sz w:val="16"/>
          <w:szCs w:val="16"/>
        </w:rPr>
        <w:t xml:space="preserve">Due to </w:t>
      </w:r>
      <w:r w:rsidR="00593CA6">
        <w:rPr>
          <w:sz w:val="16"/>
          <w:szCs w:val="16"/>
        </w:rPr>
        <w:t>an insufficient sample</w:t>
      </w:r>
      <w:r w:rsidR="00781BDD" w:rsidRPr="00593CA6">
        <w:rPr>
          <w:sz w:val="16"/>
          <w:szCs w:val="16"/>
        </w:rPr>
        <w:t xml:space="preserve"> of intrastate visitors</w:t>
      </w:r>
      <w:r w:rsidR="00755C72">
        <w:rPr>
          <w:sz w:val="16"/>
          <w:szCs w:val="16"/>
        </w:rPr>
        <w:t xml:space="preserve">, </w:t>
      </w:r>
      <w:r w:rsidR="00781BDD" w:rsidRPr="00593CA6">
        <w:rPr>
          <w:sz w:val="16"/>
          <w:szCs w:val="16"/>
        </w:rPr>
        <w:t xml:space="preserve">the ACT is </w:t>
      </w:r>
      <w:r w:rsidR="00755C72">
        <w:rPr>
          <w:sz w:val="16"/>
          <w:szCs w:val="16"/>
        </w:rPr>
        <w:t>not shown.</w:t>
      </w:r>
    </w:p>
    <w:p w14:paraId="6147DF39" w14:textId="77777777" w:rsidR="006F00FD" w:rsidRDefault="006F00FD" w:rsidP="006F00FD">
      <w:pPr>
        <w:pStyle w:val="Heading3"/>
      </w:pPr>
      <w:r>
        <w:t>Capital Cities and Regional Travel</w:t>
      </w:r>
    </w:p>
    <w:p w14:paraId="0015E45F" w14:textId="38C88649" w:rsidR="00D33271" w:rsidRDefault="006F00FD" w:rsidP="00D33271">
      <w:pPr>
        <w:pStyle w:val="CommentText"/>
      </w:pPr>
      <w:r>
        <w:t xml:space="preserve">Although </w:t>
      </w:r>
      <w:r w:rsidR="00B1065F">
        <w:t xml:space="preserve">there were </w:t>
      </w:r>
      <w:r>
        <w:t xml:space="preserve">still declines in the September quarter 2020, regional areas continued to fare better than capital cities </w:t>
      </w:r>
      <w:r w:rsidR="004265F4">
        <w:t xml:space="preserve">(Figure </w:t>
      </w:r>
      <w:r w:rsidR="00135A9A">
        <w:t>3</w:t>
      </w:r>
      <w:r w:rsidR="0060587C">
        <w:t>)</w:t>
      </w:r>
      <w:r>
        <w:t xml:space="preserve">. </w:t>
      </w:r>
      <w:r w:rsidR="00D33271" w:rsidRPr="00135A9A">
        <w:t xml:space="preserve">Regional areas have not only benefited from being less reliant on interstate travel but </w:t>
      </w:r>
      <w:r w:rsidR="003339C7">
        <w:t xml:space="preserve">from </w:t>
      </w:r>
      <w:r w:rsidR="00D33271" w:rsidRPr="00135A9A">
        <w:t xml:space="preserve">those in capital city population centres looking to enjoy a break in their home state as COVID-19 constraints continue to ease. </w:t>
      </w:r>
    </w:p>
    <w:p w14:paraId="1D4B8A51" w14:textId="232FD65F" w:rsidR="006F00FD" w:rsidRDefault="006F00FD" w:rsidP="00233C95">
      <w:pPr>
        <w:spacing w:line="240" w:lineRule="auto"/>
      </w:pPr>
      <w:r w:rsidRPr="00D33271">
        <w:t>Overall, overnight trips to regional areas declined 29% to 12.3 million and spend fell 32% to $7.4 billion</w:t>
      </w:r>
      <w:r w:rsidR="00B6316F" w:rsidRPr="00D33271">
        <w:t xml:space="preserve"> in September quarter 2020</w:t>
      </w:r>
      <w:r w:rsidRPr="00D33271">
        <w:t>. In comparison, overnight trips to capital cities fell 63% to 4.6 million and spend was down 77% to $2.3 billion.</w:t>
      </w:r>
    </w:p>
    <w:p w14:paraId="5068F4EC" w14:textId="51A24C66" w:rsidR="00BA300B" w:rsidRDefault="006F00FD" w:rsidP="006F00FD">
      <w:pPr>
        <w:rPr>
          <w:b/>
        </w:rPr>
      </w:pPr>
      <w:r w:rsidRPr="00D33271">
        <w:rPr>
          <w:b/>
        </w:rPr>
        <w:t xml:space="preserve">FIGURE </w:t>
      </w:r>
      <w:r w:rsidR="00135A9A">
        <w:rPr>
          <w:b/>
        </w:rPr>
        <w:t>3</w:t>
      </w:r>
      <w:r w:rsidRPr="00D33271">
        <w:rPr>
          <w:b/>
        </w:rPr>
        <w:t xml:space="preserve">: </w:t>
      </w:r>
      <w:r w:rsidR="00695431" w:rsidRPr="00D33271">
        <w:rPr>
          <w:b/>
        </w:rPr>
        <w:t xml:space="preserve">PER CENT CHANGE IN </w:t>
      </w:r>
      <w:r w:rsidR="00BA300B" w:rsidRPr="00D33271">
        <w:rPr>
          <w:b/>
        </w:rPr>
        <w:t>OVERNIGHT TRIPS</w:t>
      </w:r>
      <w:r w:rsidR="00BA300B">
        <w:rPr>
          <w:b/>
        </w:rPr>
        <w:t xml:space="preserve"> TO CAPITAL CITIES AND REGIONAL AREAS, JUNE AND SEPTEMBER QUARTERS 2020</w:t>
      </w:r>
      <w:r w:rsidR="00BA300B">
        <w:rPr>
          <w:noProof/>
          <w:lang w:eastAsia="en-AU"/>
        </w:rPr>
        <w:drawing>
          <wp:inline distT="0" distB="0" distL="0" distR="0" wp14:anchorId="06BD8C49" wp14:editId="068F975F">
            <wp:extent cx="5969000" cy="3327400"/>
            <wp:effectExtent l="0" t="0" r="12700" b="6350"/>
            <wp:docPr id="1" name="Chart 1" descr="Regional trips were consistently less impacted than trips to capital cities in both the June and September quarters 2020.&#10;Sydney - down 78% in June and 69% in September&#10;Regional New South Wales - down 63% in June and 24% in September&#10;Melbourne - down 86% in June and 93% in September&#10;Regional Victoria - down 67% in June and 73% in September&#10;Brisbane and Gold Coast - down 77% in June and 42% in September&#10;Regional Queensland - down 60% in June and 21% in September&#10;Adelaide - down 84% in June and 66% in September&#10;Regional South Australia - down 44% in June and 11% in September&#10;Perth - down 56% in June and 43% in September&#10;Regional Western Australia - down 44% in June and up 6% in September&#10;Tasmania - down 83% in June and 18% in September&#10;Northern Territory - down 73% in June and 51% in September&#10;ACT - down 73% in June and 59% in September.&#10;&#10;&#10;&#10;&#10;"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53707F" w14:textId="77777777" w:rsidR="00FD5D79" w:rsidRDefault="00FD5D79" w:rsidP="00FD5D79">
      <w:pPr>
        <w:pStyle w:val="Heading3"/>
      </w:pPr>
      <w:r>
        <w:t xml:space="preserve">Purpose of Visit  </w:t>
      </w:r>
    </w:p>
    <w:p w14:paraId="660F9DAA" w14:textId="588CFCB0" w:rsidR="00FD5D79" w:rsidRPr="00D33271" w:rsidRDefault="00FD5D79" w:rsidP="00FD5D79">
      <w:r w:rsidRPr="00D33271">
        <w:t>Although the impacts of COVID-19 continue to be significant across all reasons for travel, the September quarter showed</w:t>
      </w:r>
      <w:r w:rsidRPr="00D84F63">
        <w:t xml:space="preserve"> improvement in comparison to the June quarter 2020.  While holiday travel still saw a fall of </w:t>
      </w:r>
      <w:r w:rsidRPr="00D33271">
        <w:t>32% in overnight trips (3.</w:t>
      </w:r>
      <w:r w:rsidR="00D33271" w:rsidRPr="00D33271">
        <w:t>4</w:t>
      </w:r>
      <w:r w:rsidRPr="00D33271">
        <w:t xml:space="preserve"> million) and a fall of 4</w:t>
      </w:r>
      <w:r w:rsidR="00F061C0" w:rsidRPr="00D33271">
        <w:t>6</w:t>
      </w:r>
      <w:r w:rsidRPr="00D33271">
        <w:t>% in spend ($4.</w:t>
      </w:r>
      <w:r w:rsidR="00F061C0" w:rsidRPr="00D33271">
        <w:t>7</w:t>
      </w:r>
      <w:r w:rsidRPr="00D33271">
        <w:t xml:space="preserve"> billion)</w:t>
      </w:r>
      <w:r w:rsidR="00812FAB" w:rsidRPr="00D33271">
        <w:t>,</w:t>
      </w:r>
      <w:r w:rsidRPr="00D33271">
        <w:t xml:space="preserve"> this was a much better result than the 78% and 87% fall</w:t>
      </w:r>
      <w:r w:rsidR="00812FAB" w:rsidRPr="00D33271">
        <w:t>s</w:t>
      </w:r>
      <w:r w:rsidRPr="00D33271">
        <w:t xml:space="preserve"> in </w:t>
      </w:r>
      <w:r w:rsidR="00812FAB" w:rsidRPr="00D33271">
        <w:t xml:space="preserve">overnight trips and </w:t>
      </w:r>
      <w:r w:rsidRPr="00D33271">
        <w:t xml:space="preserve">spend observed in the June quarter. </w:t>
      </w:r>
    </w:p>
    <w:p w14:paraId="0A15451F" w14:textId="7AEAA4C3" w:rsidR="00FD5D79" w:rsidRDefault="00FD5D79" w:rsidP="00FD5D79">
      <w:r w:rsidRPr="00D33271">
        <w:t xml:space="preserve">During the January to September </w:t>
      </w:r>
      <w:r w:rsidR="004265F4" w:rsidRPr="00D33271">
        <w:t xml:space="preserve">2020 </w:t>
      </w:r>
      <w:r w:rsidRPr="00D33271">
        <w:t>period domestic overnight spend fell 48% to $31.5 billion. This included losses of 44% or $1</w:t>
      </w:r>
      <w:r w:rsidR="009A7A6F" w:rsidRPr="00D33271">
        <w:t>2.8</w:t>
      </w:r>
      <w:r w:rsidRPr="00D33271">
        <w:t xml:space="preserve"> billion for holiday, </w:t>
      </w:r>
      <w:r w:rsidR="009A7A6F" w:rsidRPr="00D33271">
        <w:t>50</w:t>
      </w:r>
      <w:r w:rsidRPr="00D33271">
        <w:t>% or $</w:t>
      </w:r>
      <w:r w:rsidR="009A7A6F" w:rsidRPr="00D33271">
        <w:t>5.8</w:t>
      </w:r>
      <w:r w:rsidRPr="00D33271">
        <w:t xml:space="preserve"> billion for </w:t>
      </w:r>
      <w:r w:rsidR="0060587C">
        <w:t xml:space="preserve">those visiting friends </w:t>
      </w:r>
      <w:r w:rsidR="00400145">
        <w:t>and</w:t>
      </w:r>
      <w:r w:rsidR="0060587C">
        <w:t xml:space="preserve"> family (</w:t>
      </w:r>
      <w:r w:rsidRPr="00D33271">
        <w:t>VFR</w:t>
      </w:r>
      <w:r w:rsidR="0060587C">
        <w:t>)</w:t>
      </w:r>
      <w:r w:rsidRPr="00D33271">
        <w:t xml:space="preserve"> and 5</w:t>
      </w:r>
      <w:r w:rsidR="009A7A6F" w:rsidRPr="00D33271">
        <w:t>6</w:t>
      </w:r>
      <w:r w:rsidRPr="00D33271">
        <w:t>% or $9.</w:t>
      </w:r>
      <w:r w:rsidR="009A7A6F" w:rsidRPr="00D33271">
        <w:t>4</w:t>
      </w:r>
      <w:r w:rsidRPr="00D33271">
        <w:t xml:space="preserve"> billion for business (Figure</w:t>
      </w:r>
      <w:r w:rsidR="004265F4" w:rsidRPr="00D84F63">
        <w:t xml:space="preserve"> </w:t>
      </w:r>
      <w:r w:rsidR="0060587C">
        <w:t>4</w:t>
      </w:r>
      <w:r w:rsidRPr="00D84F63">
        <w:t>).</w:t>
      </w:r>
    </w:p>
    <w:p w14:paraId="25FEDE2F" w14:textId="16495A59" w:rsidR="00734555" w:rsidRDefault="00FD5D79">
      <w:r w:rsidRPr="003D5168">
        <w:rPr>
          <w:b/>
        </w:rPr>
        <w:t>FIGURE</w:t>
      </w:r>
      <w:r w:rsidR="004265F4">
        <w:rPr>
          <w:b/>
        </w:rPr>
        <w:t xml:space="preserve"> </w:t>
      </w:r>
      <w:r w:rsidR="0060587C">
        <w:rPr>
          <w:b/>
        </w:rPr>
        <w:t>4</w:t>
      </w:r>
      <w:r w:rsidR="00D375B3">
        <w:rPr>
          <w:b/>
        </w:rPr>
        <w:t xml:space="preserve">: CHANGE IN DOMESTIC OVERNIGHT </w:t>
      </w:r>
      <w:r w:rsidR="002727BD">
        <w:rPr>
          <w:b/>
        </w:rPr>
        <w:t xml:space="preserve">TRIPS AND </w:t>
      </w:r>
      <w:r w:rsidR="00D375B3">
        <w:rPr>
          <w:b/>
        </w:rPr>
        <w:t>SPEND, JANUARY TO SEPTEMBER 2020</w:t>
      </w:r>
      <w:r w:rsidR="00734555">
        <w:rPr>
          <w:noProof/>
          <w:lang w:eastAsia="en-AU"/>
        </w:rPr>
        <w:drawing>
          <wp:inline distT="0" distB="0" distL="0" distR="0" wp14:anchorId="1D5BE2AC" wp14:editId="0212AAF0">
            <wp:extent cx="5969000" cy="2882900"/>
            <wp:effectExtent l="0" t="0" r="12700" b="12700"/>
            <wp:docPr id="9" name="Chart 9" descr="Figure 4 provides the change in overnight trips in spend by reason for travel for the period January to September 2020.&#10;Holiday travel saw a decrease of 15.4 million in overnight trips and $12.8 billion in spend compared to the same period in 2019. &#10;Travel to visit friends and family saw a decrease of 12.3 million in overnight trips and $5.8 billion in spend compared to the same period in 2019. &#10;Business travel saw a decrease of 8.9 million in overnight trips and $9.4 billion in spend compared to the same period in 2019. " title="Figure 4 Change in domestic overnight trips and spend, January to September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10EABA" w14:textId="77777777" w:rsidR="004B6C4A" w:rsidRDefault="007659F6" w:rsidP="004B6C4A">
      <w:pPr>
        <w:pStyle w:val="Heading3"/>
      </w:pPr>
      <w:r>
        <w:t>STATE OF RESIDENCE</w:t>
      </w:r>
    </w:p>
    <w:p w14:paraId="41543EA4" w14:textId="1B8C9D06" w:rsidR="004128A9" w:rsidRPr="004128A9" w:rsidRDefault="00166466" w:rsidP="004B6C4A">
      <w:r>
        <w:t xml:space="preserve">Due to the varied </w:t>
      </w:r>
      <w:r w:rsidR="004128A9">
        <w:t>border restrictions</w:t>
      </w:r>
      <w:r>
        <w:t xml:space="preserve"> across Australia,</w:t>
      </w:r>
      <w:r w:rsidR="004128A9">
        <w:t xml:space="preserve"> </w:t>
      </w:r>
      <w:r>
        <w:t xml:space="preserve">the ability of </w:t>
      </w:r>
      <w:r w:rsidR="00B87DAC">
        <w:t xml:space="preserve">those </w:t>
      </w:r>
      <w:r>
        <w:t xml:space="preserve">from different states and territories </w:t>
      </w:r>
      <w:r w:rsidR="00B87DAC">
        <w:t xml:space="preserve">to travel domestically </w:t>
      </w:r>
      <w:r>
        <w:t>has been</w:t>
      </w:r>
      <w:r w:rsidR="004128A9">
        <w:t xml:space="preserve"> impacte</w:t>
      </w:r>
      <w:r w:rsidR="00696B8E">
        <w:t>d</w:t>
      </w:r>
      <w:r>
        <w:t xml:space="preserve"> differently</w:t>
      </w:r>
      <w:r w:rsidR="00696B8E">
        <w:t xml:space="preserve">. </w:t>
      </w:r>
      <w:r w:rsidR="004128A9">
        <w:t xml:space="preserve">In the year to date (January to September 2020) </w:t>
      </w:r>
      <w:r>
        <w:t xml:space="preserve">Victorians have </w:t>
      </w:r>
      <w:r w:rsidR="00B87DAC">
        <w:t xml:space="preserve">had </w:t>
      </w:r>
      <w:r>
        <w:t xml:space="preserve">the largest decline in </w:t>
      </w:r>
      <w:r w:rsidR="00B87DAC">
        <w:t xml:space="preserve">the </w:t>
      </w:r>
      <w:r>
        <w:t xml:space="preserve">taking </w:t>
      </w:r>
      <w:r w:rsidR="00B87DAC">
        <w:t xml:space="preserve">of </w:t>
      </w:r>
      <w:r>
        <w:t>both overnight</w:t>
      </w:r>
      <w:r w:rsidR="004B6C4A">
        <w:t xml:space="preserve"> (-5</w:t>
      </w:r>
      <w:r w:rsidR="00D84F63">
        <w:t>6</w:t>
      </w:r>
      <w:r w:rsidR="004B6C4A">
        <w:t>%)</w:t>
      </w:r>
      <w:r>
        <w:t xml:space="preserve"> and day </w:t>
      </w:r>
      <w:r w:rsidR="00B87DAC">
        <w:t>trips</w:t>
      </w:r>
      <w:r w:rsidR="0060587C">
        <w:t xml:space="preserve"> (-51%)</w:t>
      </w:r>
      <w:r w:rsidR="004B6C4A">
        <w:t xml:space="preserve">. This is largely due to the lockdown imposed on Victorians as a result of a second wave of COVID-19. In comparison, </w:t>
      </w:r>
      <w:r w:rsidR="003B0773">
        <w:t>with</w:t>
      </w:r>
      <w:r w:rsidR="004B6C4A">
        <w:t xml:space="preserve"> less rigorous restrictions </w:t>
      </w:r>
      <w:r w:rsidR="00A868FF">
        <w:t xml:space="preserve">on intrastate travel Western Australians and Northern Territorians have seen the lowest rate of decline in overnight trips (-25%) and </w:t>
      </w:r>
      <w:r w:rsidR="004B6C4A">
        <w:t xml:space="preserve">South Australians the lowest </w:t>
      </w:r>
      <w:r w:rsidR="00B87DAC">
        <w:t xml:space="preserve">rate </w:t>
      </w:r>
      <w:r w:rsidR="004B6C4A">
        <w:t xml:space="preserve">of decline in day </w:t>
      </w:r>
      <w:r w:rsidR="00B87DAC">
        <w:t>trips</w:t>
      </w:r>
      <w:r w:rsidR="0060587C">
        <w:t xml:space="preserve"> (-21%)</w:t>
      </w:r>
      <w:r w:rsidR="00B87DAC">
        <w:t xml:space="preserve"> </w:t>
      </w:r>
      <w:r w:rsidR="004B6C4A">
        <w:t xml:space="preserve">(Figure </w:t>
      </w:r>
      <w:r w:rsidR="0060587C">
        <w:t>5</w:t>
      </w:r>
      <w:r w:rsidR="004B6C4A">
        <w:t>).</w:t>
      </w:r>
    </w:p>
    <w:p w14:paraId="3FFB5CF6" w14:textId="48409D10" w:rsidR="007659F6" w:rsidRDefault="007659F6">
      <w:r w:rsidRPr="00695758">
        <w:rPr>
          <w:b/>
        </w:rPr>
        <w:t xml:space="preserve">FIGURE </w:t>
      </w:r>
      <w:r w:rsidR="0060587C">
        <w:rPr>
          <w:b/>
        </w:rPr>
        <w:t>5</w:t>
      </w:r>
      <w:r w:rsidRPr="00695758">
        <w:rPr>
          <w:b/>
        </w:rPr>
        <w:t xml:space="preserve">: </w:t>
      </w:r>
      <w:r w:rsidR="00A62D0E" w:rsidRPr="00695758">
        <w:rPr>
          <w:b/>
        </w:rPr>
        <w:t xml:space="preserve">PER CENT </w:t>
      </w:r>
      <w:r w:rsidRPr="00695758">
        <w:rPr>
          <w:b/>
        </w:rPr>
        <w:t>CHANGE IN OVERNIGHT AND DAY TRIPS BY</w:t>
      </w:r>
      <w:r>
        <w:rPr>
          <w:b/>
        </w:rPr>
        <w:t xml:space="preserve"> STATE OF RESIDENCE, JANUARY TO SEPTEMBER 2020</w:t>
      </w:r>
      <w:r w:rsidR="00A75946" w:rsidRPr="00A75946">
        <w:rPr>
          <w:noProof/>
          <w:lang w:eastAsia="en-AU"/>
        </w:rPr>
        <w:t xml:space="preserve"> </w:t>
      </w:r>
      <w:r w:rsidR="00A75946">
        <w:rPr>
          <w:noProof/>
          <w:lang w:eastAsia="en-AU"/>
        </w:rPr>
        <w:drawing>
          <wp:inline distT="0" distB="0" distL="0" distR="0" wp14:anchorId="0690CF61" wp14:editId="5617BF14">
            <wp:extent cx="5803900" cy="2419350"/>
            <wp:effectExtent l="0" t="0" r="6350" b="0"/>
            <wp:docPr id="10" name="Chart 10" descr="Overnight trips decreased 42% for those resising in New South Wales, 56% for those residing in Victoria, 35% for those residing in Queensland, 36% for those residing in South Australia, 25% for those residing in Western Australia, 35% for those residing in Tasmania, 25% for those residing in Northern Territory and 49% for those residing in the ACT. &#10;Day trips decreased 35% for those residing in New South Wales, 51% for those residing in Victoria, 33% for those residing in Queensland, 21% for those residing in South Australia, 30% for those residing in WA, 39% for those residing in Tasmania, 39% for those residing in the Northern Territory and 25% for those residing in the ACT." title="Figure 6 per cent change in overnight and day trips by state of residence, January to September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AC5E54" w14:textId="77777777" w:rsidR="00FD5D79" w:rsidRDefault="00FD5D79" w:rsidP="00FD5D79">
      <w:pPr>
        <w:pStyle w:val="Heading3"/>
      </w:pPr>
      <w:r>
        <w:t xml:space="preserve">AccomModation </w:t>
      </w:r>
    </w:p>
    <w:p w14:paraId="3CAB83FF" w14:textId="0D2325A7" w:rsidR="00FD5D79" w:rsidRPr="009660B9" w:rsidRDefault="00FD5D79" w:rsidP="00FD5D79">
      <w:r w:rsidRPr="009660B9">
        <w:t>Visitor nights fell 27% for the year ending September 2020 and 40% or 41.4 million nights for the September quarter 202</w:t>
      </w:r>
      <w:r w:rsidR="00F8040B" w:rsidRPr="009660B9">
        <w:t xml:space="preserve">0. </w:t>
      </w:r>
      <w:r w:rsidR="002B2127" w:rsidRPr="009660B9">
        <w:t>Due to their reliance on interstate and business travel, h</w:t>
      </w:r>
      <w:r w:rsidRPr="009660B9">
        <w:t xml:space="preserve">otels, motels and resorts </w:t>
      </w:r>
      <w:r w:rsidR="00F8040B" w:rsidRPr="009660B9">
        <w:t xml:space="preserve">observed the largest decline </w:t>
      </w:r>
      <w:r w:rsidR="00F061C0" w:rsidRPr="009660B9">
        <w:t xml:space="preserve">in the </w:t>
      </w:r>
      <w:r w:rsidRPr="009660B9">
        <w:t>September</w:t>
      </w:r>
      <w:r w:rsidR="006C15DD" w:rsidRPr="009660B9">
        <w:t xml:space="preserve"> quarter</w:t>
      </w:r>
      <w:r w:rsidRPr="009660B9">
        <w:t xml:space="preserve"> 2020, with a </w:t>
      </w:r>
      <w:r w:rsidR="006C15DD" w:rsidRPr="009660B9">
        <w:t xml:space="preserve">fall in nights of </w:t>
      </w:r>
      <w:r w:rsidRPr="009660B9">
        <w:t>58% or 16.0 mi</w:t>
      </w:r>
      <w:r w:rsidR="006C15DD" w:rsidRPr="009660B9">
        <w:t>llion</w:t>
      </w:r>
      <w:r w:rsidR="00F8040B" w:rsidRPr="009660B9">
        <w:t>, down</w:t>
      </w:r>
      <w:r w:rsidRPr="009660B9">
        <w:t xml:space="preserve"> to 11.8 million. </w:t>
      </w:r>
    </w:p>
    <w:p w14:paraId="1AF3B26B" w14:textId="56EA0839" w:rsidR="00FD5D79" w:rsidRPr="009660B9" w:rsidRDefault="00FD5D79" w:rsidP="00FD5D79">
      <w:r w:rsidRPr="009660B9">
        <w:t xml:space="preserve">Nights spent in rented apartments and units were down 23% or 1.8 million to 5.9 million, </w:t>
      </w:r>
      <w:r w:rsidR="00B87DAC" w:rsidRPr="009660B9">
        <w:t xml:space="preserve">while </w:t>
      </w:r>
      <w:r w:rsidR="0060587C">
        <w:t>nights spent</w:t>
      </w:r>
      <w:r w:rsidR="00B87DAC" w:rsidRPr="009660B9">
        <w:t xml:space="preserve"> </w:t>
      </w:r>
      <w:r w:rsidRPr="009660B9">
        <w:t>in caravan parks and commercial camping grounds fell 35% or 3.6 million to 6.5 million</w:t>
      </w:r>
      <w:r w:rsidR="00B87DAC" w:rsidRPr="009660B9">
        <w:t xml:space="preserve">. There was also a 39% or 12.4 million fall in </w:t>
      </w:r>
      <w:r w:rsidRPr="009660B9">
        <w:t xml:space="preserve">nights </w:t>
      </w:r>
      <w:r w:rsidR="00B87DAC" w:rsidRPr="009660B9">
        <w:t xml:space="preserve">spent </w:t>
      </w:r>
      <w:r w:rsidRPr="009660B9">
        <w:t>at a friend or relative</w:t>
      </w:r>
      <w:r w:rsidR="00B87DAC" w:rsidRPr="009660B9">
        <w:t>s property</w:t>
      </w:r>
      <w:r w:rsidRPr="009660B9">
        <w:t xml:space="preserve"> (Figure</w:t>
      </w:r>
      <w:r w:rsidR="002B2127" w:rsidRPr="009660B9">
        <w:t xml:space="preserve"> </w:t>
      </w:r>
      <w:r w:rsidR="0060587C">
        <w:t>6</w:t>
      </w:r>
      <w:r w:rsidRPr="009660B9">
        <w:t xml:space="preserve">). </w:t>
      </w:r>
    </w:p>
    <w:p w14:paraId="45CD80EC" w14:textId="3B5F6B79" w:rsidR="008008A5" w:rsidRDefault="00BB2F87" w:rsidP="00FD5D79">
      <w:r w:rsidRPr="009660B9">
        <w:rPr>
          <w:b/>
        </w:rPr>
        <w:t xml:space="preserve">FIGURE </w:t>
      </w:r>
      <w:r w:rsidR="0060587C">
        <w:rPr>
          <w:b/>
        </w:rPr>
        <w:t>6</w:t>
      </w:r>
      <w:r w:rsidRPr="009660B9">
        <w:rPr>
          <w:b/>
        </w:rPr>
        <w:t xml:space="preserve">: </w:t>
      </w:r>
      <w:r w:rsidR="004C2D3F">
        <w:rPr>
          <w:b/>
        </w:rPr>
        <w:t xml:space="preserve">PER CENT </w:t>
      </w:r>
      <w:r w:rsidRPr="009660B9">
        <w:rPr>
          <w:b/>
        </w:rPr>
        <w:t xml:space="preserve">CHANGE IN </w:t>
      </w:r>
      <w:r w:rsidR="002B2127" w:rsidRPr="009660B9">
        <w:rPr>
          <w:b/>
        </w:rPr>
        <w:t>NIGHTS</w:t>
      </w:r>
      <w:r w:rsidR="002B2127">
        <w:rPr>
          <w:b/>
        </w:rPr>
        <w:t xml:space="preserve"> BY ACCOMMODATION TYPE</w:t>
      </w:r>
      <w:r w:rsidRPr="000275C8">
        <w:rPr>
          <w:b/>
        </w:rPr>
        <w:t xml:space="preserve">, </w:t>
      </w:r>
      <w:r w:rsidR="002B2127">
        <w:rPr>
          <w:b/>
        </w:rPr>
        <w:t xml:space="preserve">YEAR ENDING </w:t>
      </w:r>
      <w:r w:rsidRPr="000275C8">
        <w:rPr>
          <w:b/>
        </w:rPr>
        <w:t xml:space="preserve">SEPTEMBER </w:t>
      </w:r>
      <w:r w:rsidR="002B2127">
        <w:rPr>
          <w:b/>
        </w:rPr>
        <w:t xml:space="preserve">AND SEPTEMBER </w:t>
      </w:r>
      <w:r w:rsidRPr="000275C8">
        <w:rPr>
          <w:b/>
        </w:rPr>
        <w:t>QUARTER 2020</w:t>
      </w:r>
      <w:r w:rsidR="008008A5">
        <w:rPr>
          <w:noProof/>
          <w:lang w:eastAsia="en-AU"/>
        </w:rPr>
        <w:drawing>
          <wp:inline distT="0" distB="0" distL="0" distR="0" wp14:anchorId="161FDA48" wp14:editId="17EF6BA7">
            <wp:extent cx="5899150" cy="2546350"/>
            <wp:effectExtent l="0" t="0" r="6350" b="6350"/>
            <wp:docPr id="14" name="Chart 14" descr="Figure 6 provides the change in overnight trips for the periods year ending September 2020 and September quarter 2020.&#10;Nights spent in hotels and resorts decreased 39%  for the year ending September 2020 and 58% in the September quarter 2020 compared to the same periods last year.&#10;Nights spent in rented apartments and units decreased 27% for the year ending September 2020 and 23% in the September quarter 2020 compared to the same periods last year.&#10;Nights spent in caravan parks or camping decreased 23% for the year ending September 2020 and 35% in the September quarter 2020 compared to the same periods last year.&#10;Nights spent satying at the property of a friend or relative decreased 24% for the year ending September 2020 and 39% in the September quarter 2020 compared to the same periods last year." title="Figure 6 per cent change in nights by accommodation type, year ending September and September quarter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F7FB98" w14:textId="77777777" w:rsidR="007846D7" w:rsidRDefault="007846D7" w:rsidP="007846D7">
      <w:pPr>
        <w:pStyle w:val="Heading3"/>
      </w:pPr>
      <w:r>
        <w:t>ACTIVITIES</w:t>
      </w:r>
    </w:p>
    <w:p w14:paraId="4A7BDC1F" w14:textId="77C8E550" w:rsidR="007846D7" w:rsidRPr="009660B9" w:rsidRDefault="007846D7" w:rsidP="007846D7">
      <w:r w:rsidRPr="009660B9">
        <w:t xml:space="preserve">COVID-19 </w:t>
      </w:r>
      <w:r w:rsidR="00B87DAC" w:rsidRPr="009660B9">
        <w:t xml:space="preserve">continued </w:t>
      </w:r>
      <w:r w:rsidRPr="009660B9">
        <w:t>to have an impact on the travel activities undertaken in the September quarter 2020. As seen in June quarter 2020, overnight trips involving outdoor activities fared better. Participation in these types of activities ranged from decline</w:t>
      </w:r>
      <w:r w:rsidR="00630076" w:rsidRPr="009660B9">
        <w:t>s</w:t>
      </w:r>
      <w:r w:rsidRPr="009660B9">
        <w:t xml:space="preserve"> of 27% for visiting beaches and national and state parks to increases of 11% for cycling and 15% for surfing compared to the September quarter 2019. In contrast, overnight trips involving activities impacted more by social distancing measures showed larger decline</w:t>
      </w:r>
      <w:r w:rsidR="00812FAB" w:rsidRPr="009660B9">
        <w:t>s</w:t>
      </w:r>
      <w:r w:rsidRPr="009660B9">
        <w:t xml:space="preserve">. </w:t>
      </w:r>
      <w:r w:rsidR="00812FAB" w:rsidRPr="009660B9">
        <w:t>T</w:t>
      </w:r>
      <w:r w:rsidRPr="009660B9">
        <w:t xml:space="preserve">hese ranged from 57% for dining out to declines of 92% for attending the theatre, concerts, festivals and events (Figure </w:t>
      </w:r>
      <w:r w:rsidR="0060587C">
        <w:t>7</w:t>
      </w:r>
      <w:r w:rsidRPr="009660B9">
        <w:t>).</w:t>
      </w:r>
    </w:p>
    <w:p w14:paraId="0CB86C4E" w14:textId="7112147D" w:rsidR="007846D7" w:rsidRDefault="007846D7" w:rsidP="007846D7">
      <w:r w:rsidRPr="009660B9">
        <w:rPr>
          <w:b/>
        </w:rPr>
        <w:t xml:space="preserve">FIGURE </w:t>
      </w:r>
      <w:r w:rsidR="0060587C">
        <w:rPr>
          <w:b/>
        </w:rPr>
        <w:t>7</w:t>
      </w:r>
      <w:r w:rsidRPr="009660B9">
        <w:rPr>
          <w:b/>
        </w:rPr>
        <w:t>: PER</w:t>
      </w:r>
      <w:r w:rsidR="00D258E7" w:rsidRPr="009660B9">
        <w:rPr>
          <w:b/>
        </w:rPr>
        <w:t xml:space="preserve"> </w:t>
      </w:r>
      <w:r w:rsidRPr="009660B9">
        <w:rPr>
          <w:b/>
        </w:rPr>
        <w:t>CENT CHANGE IN OVERNIGHT TRIP ACTIVITIES, SEPTEMBER QUARTER 2020</w:t>
      </w:r>
      <w:r>
        <w:rPr>
          <w:noProof/>
          <w:lang w:eastAsia="en-AU"/>
        </w:rPr>
        <w:drawing>
          <wp:inline distT="0" distB="0" distL="0" distR="0" wp14:anchorId="1A1F940D" wp14:editId="748523BB">
            <wp:extent cx="5956300" cy="4921250"/>
            <wp:effectExtent l="0" t="0" r="6350" b="12700"/>
            <wp:docPr id="5" name="Chart 5" descr="Three activities saw a drop over 90%. These were theatre and concerts down 92%, festivals and events down 92% and cinema down 91%. The remaining activities were; organised sporting events down 84%, casinos down 81%, markets down 68%, theme parks down 67%, museum and art galleries down 61%, pubs and clubs down 61%, dining out down 57%, heritage sites down 53%, guided tours down 42%, exercise down 36%, beach down 27%, national and state parks down 27%, golf down 22%, bushwalking down 16%, farm visits down 14%, fishing down 8%, cycling up 11% and surfing up 15%." title="Figur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503EC3" w14:textId="0C1A466A" w:rsidR="00A870C8" w:rsidRDefault="00A870C8" w:rsidP="00A870C8">
      <w:pPr>
        <w:pStyle w:val="Heading3"/>
      </w:pPr>
      <w:r>
        <w:t>TRAVEL MODE</w:t>
      </w:r>
    </w:p>
    <w:p w14:paraId="018018C9" w14:textId="77777777" w:rsidR="00A870C8" w:rsidRDefault="00A870C8" w:rsidP="00A870C8">
      <w:r>
        <w:t xml:space="preserve">When compared with the same period in 2019, the two quarters hardest hit by the COVID-19 pandemic (June and September 2020) have seen a significant change in the travel modes used for domestic overnight trips. Travel by self-drive vehicle accounted for 90% (24 million) of all domestic overnight trips in the June and September 2020 quarters up from 72% on the same period in 2019. In contrast, overnight trips involving air travel accounted for only 7% (1.8 million) in the June and September 2020 quarters, down from 25% in 2019.  </w:t>
      </w:r>
    </w:p>
    <w:p w14:paraId="4B72158D" w14:textId="77777777" w:rsidR="00614502" w:rsidRDefault="00614502">
      <w:pPr>
        <w:rPr>
          <w:rFonts w:asciiTheme="majorHAnsi" w:eastAsiaTheme="majorEastAsia" w:hAnsiTheme="majorHAnsi" w:cstheme="majorBidi"/>
          <w:bCs/>
          <w:caps/>
          <w:color w:val="008BB6"/>
        </w:rPr>
      </w:pPr>
      <w:r>
        <w:br w:type="page"/>
      </w:r>
    </w:p>
    <w:p w14:paraId="1210721D" w14:textId="255F133F" w:rsidR="00FD5D79" w:rsidRPr="00991968" w:rsidRDefault="00FD5D79" w:rsidP="00FD5D79">
      <w:pPr>
        <w:pStyle w:val="Heading3"/>
      </w:pPr>
      <w:r w:rsidRPr="00991968">
        <w:t xml:space="preserve">STATES AND TERRITORIES </w:t>
      </w:r>
    </w:p>
    <w:p w14:paraId="1BF681B4" w14:textId="5DA8E4F0" w:rsidR="00FD5D79" w:rsidRDefault="00FD5D79" w:rsidP="00FD5D79">
      <w:pPr>
        <w:autoSpaceDE w:val="0"/>
        <w:autoSpaceDN w:val="0"/>
        <w:adjustRightInd w:val="0"/>
        <w:spacing w:before="40" w:after="40" w:line="191" w:lineRule="atLeast"/>
      </w:pPr>
      <w:r w:rsidRPr="00991968">
        <w:t>With COVID-19 effects from March 2020 onwards, all states and territories had a fall in overnight visitors and spend for the</w:t>
      </w:r>
      <w:r>
        <w:t xml:space="preserve"> year ending September 2020 (Figure</w:t>
      </w:r>
      <w:r w:rsidR="00781BDD">
        <w:t xml:space="preserve"> </w:t>
      </w:r>
      <w:r w:rsidR="0060587C">
        <w:t>8</w:t>
      </w:r>
      <w:r w:rsidRPr="00991968">
        <w:t>).</w:t>
      </w:r>
    </w:p>
    <w:p w14:paraId="72974AAD" w14:textId="77777777" w:rsidR="00614502" w:rsidRDefault="00614502">
      <w:pPr>
        <w:rPr>
          <w:b/>
        </w:rPr>
      </w:pPr>
    </w:p>
    <w:p w14:paraId="14B54989" w14:textId="1CD5199D" w:rsidR="00FD5D79" w:rsidRPr="00781BDD" w:rsidRDefault="00781BDD">
      <w:pPr>
        <w:rPr>
          <w:vertAlign w:val="superscript"/>
        </w:rPr>
      </w:pPr>
      <w:r>
        <w:rPr>
          <w:b/>
        </w:rPr>
        <w:t xml:space="preserve">FIGURE </w:t>
      </w:r>
      <w:r w:rsidR="0060587C">
        <w:rPr>
          <w:b/>
        </w:rPr>
        <w:t>8</w:t>
      </w:r>
      <w:r w:rsidRPr="000275C8">
        <w:rPr>
          <w:b/>
        </w:rPr>
        <w:t xml:space="preserve">: </w:t>
      </w:r>
      <w:r>
        <w:rPr>
          <w:b/>
        </w:rPr>
        <w:t>OVENIGHT TRIPS AND SPEND BY STATE, YE SEPTEMBER 2020</w:t>
      </w:r>
      <w:r w:rsidR="00614502">
        <w:rPr>
          <w:b/>
          <w:vertAlign w:val="superscript"/>
        </w:rPr>
        <w:t>3</w:t>
      </w:r>
    </w:p>
    <w:p w14:paraId="0C1A18DE" w14:textId="68DC9D60" w:rsidR="002A104D" w:rsidRDefault="002A104D" w:rsidP="002A104D">
      <w:pPr>
        <w:spacing w:after="0"/>
      </w:pPr>
      <w:r>
        <w:rPr>
          <w:noProof/>
          <w:lang w:eastAsia="en-AU"/>
        </w:rPr>
        <w:drawing>
          <wp:inline distT="0" distB="0" distL="0" distR="0" wp14:anchorId="728E6555" wp14:editId="22BC0DAC">
            <wp:extent cx="5484425" cy="2438400"/>
            <wp:effectExtent l="0" t="0" r="2540" b="0"/>
            <wp:docPr id="8" name="Picture 8" descr="An image of Australia that shows the number of visitors and spend in each state or Territory.&#10;New South Wales - 26.6 million visitors and $15.3 billion spend&#10;Victoria -  17.2 million visitors and $9.7 billion spend&#10;Queensland - 18.5 million visitors and $13.0 billion spend&#10;South Australia - 6.0 million visitors and $3.5 billion spend&#10;Western Australia - 9.0 million visitors and $6.3 billion spend&#10;Tasmania - 2.3 million visitors and $2.1 billion spend&#10;Northern Territory - 1.1 million visitors and $1.0 billion spend&#10;ACT - 1.9 million visitors and $1.0 billion spend" title="FIGURE 8: OVENIGHT TRIPS AND SPEND BY STATE, YE SEPT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9281" cy="2440559"/>
                    </a:xfrm>
                    <a:prstGeom prst="rect">
                      <a:avLst/>
                    </a:prstGeom>
                  </pic:spPr>
                </pic:pic>
              </a:graphicData>
            </a:graphic>
          </wp:inline>
        </w:drawing>
      </w:r>
    </w:p>
    <w:p w14:paraId="22481432" w14:textId="4CA758F3" w:rsidR="002A104D" w:rsidRPr="00A308FE" w:rsidRDefault="002A104D" w:rsidP="00D86412">
      <w:r>
        <w:rPr>
          <w:sz w:val="16"/>
          <w:szCs w:val="16"/>
          <w:vertAlign w:val="superscript"/>
        </w:rPr>
        <w:t>3</w:t>
      </w:r>
      <w:r w:rsidRPr="00781BDD">
        <w:rPr>
          <w:sz w:val="16"/>
          <w:szCs w:val="16"/>
        </w:rPr>
        <w:t xml:space="preserve"> The sum of the total number of visitors for each state will be greater than the total number of visitors for Australia due to individuals who visited more than one state. </w:t>
      </w:r>
    </w:p>
    <w:sectPr w:rsidR="002A104D" w:rsidRPr="00A308FE" w:rsidSect="00414B78">
      <w:type w:val="continuous"/>
      <w:pgSz w:w="11906" w:h="16838" w:code="9"/>
      <w:pgMar w:top="1440" w:right="1440" w:bottom="1440" w:left="1440"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4B1FE" w14:textId="77777777" w:rsidR="00CD7B58" w:rsidRDefault="00CD7B58" w:rsidP="00E072F0">
      <w:r>
        <w:separator/>
      </w:r>
    </w:p>
  </w:endnote>
  <w:endnote w:type="continuationSeparator" w:id="0">
    <w:p w14:paraId="0F675E1D" w14:textId="77777777" w:rsidR="00CD7B58" w:rsidRDefault="00CD7B58" w:rsidP="00E0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Light">
    <w:altName w:val="Trade Gothic LT Std Light"/>
    <w:panose1 w:val="00000000000000000000"/>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Trade Gothic LT Std">
    <w:altName w:val="Trade Gothic LT St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D956B" w14:textId="77777777" w:rsidR="00CD7B58" w:rsidRDefault="00CD7B58" w:rsidP="00E072F0">
      <w:r>
        <w:separator/>
      </w:r>
    </w:p>
  </w:footnote>
  <w:footnote w:type="continuationSeparator" w:id="0">
    <w:p w14:paraId="63E0B68C" w14:textId="77777777" w:rsidR="00CD7B58" w:rsidRDefault="00CD7B58" w:rsidP="00E07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72FCC" w14:textId="0261A6BE" w:rsidR="003B0773" w:rsidRPr="00414B78" w:rsidRDefault="003B0773" w:rsidP="00F23989">
    <w:pPr>
      <w:tabs>
        <w:tab w:val="center" w:pos="4513"/>
        <w:tab w:val="right" w:pos="9026"/>
      </w:tabs>
      <w:spacing w:after="0" w:line="240" w:lineRule="auto"/>
      <w:rPr>
        <w:color w:val="ACA6A2" w:themeColor="accent5"/>
        <w:sz w:val="36"/>
        <w:szCs w:val="36"/>
      </w:rPr>
    </w:pPr>
    <w:r w:rsidRPr="00414B78">
      <w:rPr>
        <w:noProof/>
        <w:lang w:eastAsia="en-AU"/>
      </w:rPr>
      <mc:AlternateContent>
        <mc:Choice Requires="wps">
          <w:drawing>
            <wp:inline distT="0" distB="0" distL="0" distR="0" wp14:anchorId="1184DE2C" wp14:editId="54F9BC7F">
              <wp:extent cx="712800" cy="694800"/>
              <wp:effectExtent l="0" t="0" r="0" b="0"/>
              <wp:docPr id="3" name="Rectangle 3" title="Page number"/>
              <wp:cNvGraphicFramePr/>
              <a:graphic xmlns:a="http://schemas.openxmlformats.org/drawingml/2006/main">
                <a:graphicData uri="http://schemas.microsoft.com/office/word/2010/wordprocessingShape">
                  <wps:wsp>
                    <wps:cNvSpPr/>
                    <wps:spPr>
                      <a:xfrm>
                        <a:off x="0" y="0"/>
                        <a:ext cx="712800" cy="694800"/>
                      </a:xfrm>
                      <a:prstGeom prst="rect">
                        <a:avLst/>
                      </a:prstGeom>
                      <a:solidFill>
                        <a:srgbClr val="ACA6A2"/>
                      </a:solidFill>
                      <a:ln w="25400" cap="flat" cmpd="sng" algn="ctr">
                        <a:noFill/>
                        <a:prstDash val="solid"/>
                      </a:ln>
                      <a:effectLst/>
                    </wps:spPr>
                    <wps:txbx>
                      <w:txbxContent>
                        <w:p w14:paraId="4CF10280" w14:textId="0BC12D01" w:rsidR="00741347" w:rsidRDefault="00741347" w:rsidP="00741347">
                          <w:pPr>
                            <w:jc w:val="center"/>
                          </w:pPr>
                          <w:r w:rsidRPr="00414B78">
                            <w:rPr>
                              <w:color w:val="FFFFFF" w:themeColor="background1"/>
                              <w:sz w:val="36"/>
                              <w:szCs w:val="36"/>
                            </w:rPr>
                            <w:fldChar w:fldCharType="begin"/>
                          </w:r>
                          <w:r w:rsidRPr="00414B78">
                            <w:rPr>
                              <w:color w:val="FFFFFF" w:themeColor="background1"/>
                              <w:sz w:val="36"/>
                              <w:szCs w:val="36"/>
                            </w:rPr>
                            <w:instrText xml:space="preserve"> PAGE   \* MERGEFORMAT </w:instrText>
                          </w:r>
                          <w:r w:rsidRPr="00414B78">
                            <w:rPr>
                              <w:color w:val="FFFFFF" w:themeColor="background1"/>
                              <w:sz w:val="36"/>
                              <w:szCs w:val="36"/>
                            </w:rPr>
                            <w:fldChar w:fldCharType="separate"/>
                          </w:r>
                          <w:r>
                            <w:rPr>
                              <w:noProof/>
                              <w:color w:val="FFFFFF" w:themeColor="background1"/>
                              <w:sz w:val="36"/>
                              <w:szCs w:val="36"/>
                            </w:rPr>
                            <w:t>2</w:t>
                          </w:r>
                          <w:r w:rsidRPr="00414B78">
                            <w:rPr>
                              <w:noProof/>
                              <w:color w:val="FFFFFF" w:themeColor="background1"/>
                              <w:sz w:val="36"/>
                              <w:szCs w:val="3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84DE2C" id="Rectangle 3" o:spid="_x0000_s1026" alt="Title: Page number" style="width:56.15pt;height:5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" fillcolor="#aca6a2" stroked="f" strokeweight="2pt">
              <v:textbox>
                <w:txbxContent>
                  <w:p w14:paraId="4CF10280" w14:textId="0BC12D01" w:rsidR="00741347" w:rsidRDefault="00741347" w:rsidP="00741347">
                    <w:pPr>
                      <w:jc w:val="center"/>
                    </w:pPr>
                    <w:r w:rsidRPr="00414B78">
                      <w:rPr>
                        <w:color w:val="FFFFFF" w:themeColor="background1"/>
                        <w:sz w:val="36"/>
                        <w:szCs w:val="36"/>
                      </w:rPr>
                      <w:fldChar w:fldCharType="begin"/>
                    </w:r>
                    <w:r w:rsidRPr="00414B78">
                      <w:rPr>
                        <w:color w:val="FFFFFF" w:themeColor="background1"/>
                        <w:sz w:val="36"/>
                        <w:szCs w:val="36"/>
                      </w:rPr>
                      <w:instrText xml:space="preserve"> PAGE   \* MERGEFORMAT </w:instrText>
                    </w:r>
                    <w:r w:rsidRPr="00414B78">
                      <w:rPr>
                        <w:color w:val="FFFFFF" w:themeColor="background1"/>
                        <w:sz w:val="36"/>
                        <w:szCs w:val="36"/>
                      </w:rPr>
                      <w:fldChar w:fldCharType="separate"/>
                    </w:r>
                    <w:r>
                      <w:rPr>
                        <w:noProof/>
                        <w:color w:val="FFFFFF" w:themeColor="background1"/>
                        <w:sz w:val="36"/>
                        <w:szCs w:val="36"/>
                      </w:rPr>
                      <w:t>2</w:t>
                    </w:r>
                    <w:r w:rsidRPr="00414B78">
                      <w:rPr>
                        <w:noProof/>
                        <w:color w:val="FFFFFF" w:themeColor="background1"/>
                        <w:sz w:val="36"/>
                        <w:szCs w:val="36"/>
                      </w:rPr>
                      <w:fldChar w:fldCharType="end"/>
                    </w:r>
                  </w:p>
                </w:txbxContent>
              </v:textbox>
              <w10:anchorlock/>
            </v:rect>
          </w:pict>
        </mc:Fallback>
      </mc:AlternateContent>
    </w:r>
  </w:p>
  <w:p w14:paraId="2F717463" w14:textId="77777777" w:rsidR="003B0773" w:rsidRDefault="003B0773" w:rsidP="007C2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361C2" w14:textId="77468A15" w:rsidR="003B0773" w:rsidRPr="00C136FE" w:rsidRDefault="003B0773" w:rsidP="00F23989">
    <w:pPr>
      <w:pStyle w:val="Header"/>
      <w:ind w:left="-567"/>
      <w:rPr>
        <w:color w:val="ACA6A2" w:themeColor="accent5"/>
        <w:sz w:val="36"/>
        <w:szCs w:val="36"/>
      </w:rPr>
    </w:pPr>
    <w:r>
      <w:rPr>
        <w:noProof/>
        <w:lang w:eastAsia="en-AU"/>
      </w:rPr>
      <mc:AlternateContent>
        <mc:Choice Requires="wps">
          <w:drawing>
            <wp:inline distT="0" distB="0" distL="0" distR="0" wp14:anchorId="4913F565" wp14:editId="23248C1D">
              <wp:extent cx="714375" cy="695325"/>
              <wp:effectExtent l="0" t="0" r="9525" b="9525"/>
              <wp:docPr id="2" name="Rectangle 2" title="Page number"/>
              <wp:cNvGraphicFramePr/>
              <a:graphic xmlns:a="http://schemas.openxmlformats.org/drawingml/2006/main">
                <a:graphicData uri="http://schemas.microsoft.com/office/word/2010/wordprocessingShape">
                  <wps:wsp>
                    <wps:cNvSpPr/>
                    <wps:spPr>
                      <a:xfrm>
                        <a:off x="0" y="0"/>
                        <a:ext cx="714375" cy="695325"/>
                      </a:xfrm>
                      <a:prstGeom prst="rect">
                        <a:avLst/>
                      </a:prstGeom>
                      <a:solidFill>
                        <a:srgbClr val="ACA6A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4844E" w14:textId="4C1FFE0A" w:rsidR="00741347" w:rsidRDefault="00741347" w:rsidP="00741347">
                          <w:pPr>
                            <w:jc w:val="center"/>
                          </w:pPr>
                          <w:r w:rsidRPr="00CF10C4">
                            <w:rPr>
                              <w:color w:val="FFFFFF" w:themeColor="background1"/>
                              <w:sz w:val="36"/>
                              <w:szCs w:val="36"/>
                            </w:rPr>
                            <w:fldChar w:fldCharType="begin"/>
                          </w:r>
                          <w:r w:rsidRPr="00CF10C4">
                            <w:rPr>
                              <w:color w:val="FFFFFF" w:themeColor="background1"/>
                              <w:sz w:val="36"/>
                              <w:szCs w:val="36"/>
                            </w:rPr>
                            <w:instrText xml:space="preserve"> PAGE   \* MERGEFORMAT </w:instrText>
                          </w:r>
                          <w:r w:rsidRPr="00CF10C4">
                            <w:rPr>
                              <w:color w:val="FFFFFF" w:themeColor="background1"/>
                              <w:sz w:val="36"/>
                              <w:szCs w:val="36"/>
                            </w:rPr>
                            <w:fldChar w:fldCharType="separate"/>
                          </w:r>
                          <w:r>
                            <w:rPr>
                              <w:noProof/>
                              <w:color w:val="FFFFFF" w:themeColor="background1"/>
                              <w:sz w:val="36"/>
                              <w:szCs w:val="36"/>
                            </w:rPr>
                            <w:t>7</w:t>
                          </w:r>
                          <w:r w:rsidRPr="00CF10C4">
                            <w:rPr>
                              <w:noProof/>
                              <w:color w:val="FFFFFF" w:themeColor="background1"/>
                              <w:sz w:val="36"/>
                              <w:szCs w:val="3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13F565" id="Rectangle 2" o:spid="_x0000_s1027" alt="Title: Page number" style="width:56.25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" fillcolor="#aca6a2" stroked="f" strokeweight="2pt">
              <v:textbox>
                <w:txbxContent>
                  <w:p w14:paraId="7914844E" w14:textId="4C1FFE0A" w:rsidR="00741347" w:rsidRDefault="00741347" w:rsidP="00741347">
                    <w:pPr>
                      <w:jc w:val="center"/>
                    </w:pPr>
                    <w:r w:rsidRPr="00CF10C4">
                      <w:rPr>
                        <w:color w:val="FFFFFF" w:themeColor="background1"/>
                        <w:sz w:val="36"/>
                        <w:szCs w:val="36"/>
                      </w:rPr>
                      <w:fldChar w:fldCharType="begin"/>
                    </w:r>
                    <w:r w:rsidRPr="00CF10C4">
                      <w:rPr>
                        <w:color w:val="FFFFFF" w:themeColor="background1"/>
                        <w:sz w:val="36"/>
                        <w:szCs w:val="36"/>
                      </w:rPr>
                      <w:instrText xml:space="preserve"> PAGE   \* MERGEFORMAT </w:instrText>
                    </w:r>
                    <w:r w:rsidRPr="00CF10C4">
                      <w:rPr>
                        <w:color w:val="FFFFFF" w:themeColor="background1"/>
                        <w:sz w:val="36"/>
                        <w:szCs w:val="36"/>
                      </w:rPr>
                      <w:fldChar w:fldCharType="separate"/>
                    </w:r>
                    <w:r>
                      <w:rPr>
                        <w:noProof/>
                        <w:color w:val="FFFFFF" w:themeColor="background1"/>
                        <w:sz w:val="36"/>
                        <w:szCs w:val="36"/>
                      </w:rPr>
                      <w:t>7</w:t>
                    </w:r>
                    <w:r w:rsidRPr="00CF10C4">
                      <w:rPr>
                        <w:noProof/>
                        <w:color w:val="FFFFFF" w:themeColor="background1"/>
                        <w:sz w:val="36"/>
                        <w:szCs w:val="36"/>
                      </w:rPr>
                      <w:fldChar w:fldCharType="end"/>
                    </w:r>
                  </w:p>
                </w:txbxContent>
              </v:textbox>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1629" w14:textId="77777777" w:rsidR="003B0773" w:rsidRDefault="003B0773">
    <w:pPr>
      <w:pStyle w:val="Header"/>
    </w:pPr>
    <w:r>
      <w:rPr>
        <w:noProof/>
        <w:lang w:eastAsia="en-AU"/>
      </w:rPr>
      <w:drawing>
        <wp:anchor distT="0" distB="0" distL="114300" distR="114300" simplePos="0" relativeHeight="251658752" behindDoc="0" locked="0" layoutInCell="1" allowOverlap="1" wp14:anchorId="191A0E65" wp14:editId="0DCF0D65">
          <wp:simplePos x="0" y="0"/>
          <wp:positionH relativeFrom="column">
            <wp:posOffset>-914400</wp:posOffset>
          </wp:positionH>
          <wp:positionV relativeFrom="paragraph">
            <wp:posOffset>0</wp:posOffset>
          </wp:positionV>
          <wp:extent cx="7566500" cy="1454297"/>
          <wp:effectExtent l="0" t="0" r="0" b="0"/>
          <wp:wrapNone/>
          <wp:docPr id="7" name="Picture 7" descr="Banner with the Australian Government Austrade and Tourism Research Australia logos." title="Austrade and Tourism Research Australia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500" cy="14542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A7EE8"/>
    <w:multiLevelType w:val="hybridMultilevel"/>
    <w:tmpl w:val="69F2E714"/>
    <w:lvl w:ilvl="0" w:tplc="899EEEA4">
      <w:start w:val="1"/>
      <w:numFmt w:val="bullet"/>
      <w:pStyle w:val="ListParagraph"/>
      <w:lvlText w:val=""/>
      <w:lvlJc w:val="left"/>
      <w:pPr>
        <w:ind w:left="720" w:hanging="360"/>
      </w:pPr>
      <w:rPr>
        <w:rFonts w:ascii="Wingdings" w:hAnsi="Wingdings" w:hint="default"/>
        <w:color w:val="D4D71E" w:themeColor="accent3"/>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F43A0E"/>
    <w:multiLevelType w:val="hybridMultilevel"/>
    <w:tmpl w:val="CC4AC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FA27E4"/>
    <w:multiLevelType w:val="hybridMultilevel"/>
    <w:tmpl w:val="2CA4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357B3D"/>
    <w:multiLevelType w:val="hybridMultilevel"/>
    <w:tmpl w:val="5DAE58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484A19"/>
    <w:multiLevelType w:val="hybridMultilevel"/>
    <w:tmpl w:val="BB0C754C"/>
    <w:lvl w:ilvl="0" w:tplc="78B8CA2C">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evenAndOddHeaders/>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26"/>
    <w:rsid w:val="00000D86"/>
    <w:rsid w:val="00020480"/>
    <w:rsid w:val="000370FE"/>
    <w:rsid w:val="00041B38"/>
    <w:rsid w:val="00042CAB"/>
    <w:rsid w:val="00045A17"/>
    <w:rsid w:val="00065CEA"/>
    <w:rsid w:val="00070896"/>
    <w:rsid w:val="0007447B"/>
    <w:rsid w:val="000751A6"/>
    <w:rsid w:val="000875F3"/>
    <w:rsid w:val="000B0534"/>
    <w:rsid w:val="000C4434"/>
    <w:rsid w:val="000E4029"/>
    <w:rsid w:val="000E6F61"/>
    <w:rsid w:val="00100BD8"/>
    <w:rsid w:val="00102DFF"/>
    <w:rsid w:val="00110E56"/>
    <w:rsid w:val="00111C40"/>
    <w:rsid w:val="00124FCE"/>
    <w:rsid w:val="00127FED"/>
    <w:rsid w:val="00135A9A"/>
    <w:rsid w:val="001458AA"/>
    <w:rsid w:val="00155470"/>
    <w:rsid w:val="00166466"/>
    <w:rsid w:val="001933DE"/>
    <w:rsid w:val="00193F07"/>
    <w:rsid w:val="001A4443"/>
    <w:rsid w:val="001B7A72"/>
    <w:rsid w:val="001C0B22"/>
    <w:rsid w:val="001C7872"/>
    <w:rsid w:val="001E22EE"/>
    <w:rsid w:val="001E2C20"/>
    <w:rsid w:val="001F12D8"/>
    <w:rsid w:val="001F3CC3"/>
    <w:rsid w:val="00201562"/>
    <w:rsid w:val="0020204C"/>
    <w:rsid w:val="0020702C"/>
    <w:rsid w:val="00207E9D"/>
    <w:rsid w:val="00210EC0"/>
    <w:rsid w:val="00223C0A"/>
    <w:rsid w:val="00224FD9"/>
    <w:rsid w:val="00233C95"/>
    <w:rsid w:val="002376EE"/>
    <w:rsid w:val="00243A7B"/>
    <w:rsid w:val="002641F3"/>
    <w:rsid w:val="002727BD"/>
    <w:rsid w:val="00274E17"/>
    <w:rsid w:val="002A104D"/>
    <w:rsid w:val="002B2127"/>
    <w:rsid w:val="002D7772"/>
    <w:rsid w:val="002F1777"/>
    <w:rsid w:val="002F6D4D"/>
    <w:rsid w:val="00307F82"/>
    <w:rsid w:val="00310B93"/>
    <w:rsid w:val="003339C7"/>
    <w:rsid w:val="0034108E"/>
    <w:rsid w:val="003414FC"/>
    <w:rsid w:val="0034531C"/>
    <w:rsid w:val="00355255"/>
    <w:rsid w:val="00365CD8"/>
    <w:rsid w:val="003852F2"/>
    <w:rsid w:val="003B0773"/>
    <w:rsid w:val="003B654F"/>
    <w:rsid w:val="003B727C"/>
    <w:rsid w:val="003F59B0"/>
    <w:rsid w:val="003F7E5F"/>
    <w:rsid w:val="00400145"/>
    <w:rsid w:val="00401BAA"/>
    <w:rsid w:val="004128A9"/>
    <w:rsid w:val="00414B78"/>
    <w:rsid w:val="004265F4"/>
    <w:rsid w:val="004314A6"/>
    <w:rsid w:val="00443ED9"/>
    <w:rsid w:val="00446B61"/>
    <w:rsid w:val="004601F9"/>
    <w:rsid w:val="0046073A"/>
    <w:rsid w:val="004659A7"/>
    <w:rsid w:val="004663BF"/>
    <w:rsid w:val="00471A47"/>
    <w:rsid w:val="00477459"/>
    <w:rsid w:val="004833B4"/>
    <w:rsid w:val="004851E6"/>
    <w:rsid w:val="004A26A8"/>
    <w:rsid w:val="004A369C"/>
    <w:rsid w:val="004A6F39"/>
    <w:rsid w:val="004B6C4A"/>
    <w:rsid w:val="004C2D3F"/>
    <w:rsid w:val="004D1D07"/>
    <w:rsid w:val="004D5E44"/>
    <w:rsid w:val="004E0D47"/>
    <w:rsid w:val="004E7FF3"/>
    <w:rsid w:val="005026BA"/>
    <w:rsid w:val="00513157"/>
    <w:rsid w:val="0053129C"/>
    <w:rsid w:val="00544106"/>
    <w:rsid w:val="00546874"/>
    <w:rsid w:val="005561EB"/>
    <w:rsid w:val="0057041B"/>
    <w:rsid w:val="00574C7C"/>
    <w:rsid w:val="00577C7F"/>
    <w:rsid w:val="00586ECE"/>
    <w:rsid w:val="00593CA6"/>
    <w:rsid w:val="005943DC"/>
    <w:rsid w:val="005978D8"/>
    <w:rsid w:val="005C0907"/>
    <w:rsid w:val="005C36B0"/>
    <w:rsid w:val="005D04C0"/>
    <w:rsid w:val="005D2C8F"/>
    <w:rsid w:val="005E1C35"/>
    <w:rsid w:val="005F0A92"/>
    <w:rsid w:val="005F51CD"/>
    <w:rsid w:val="005F7665"/>
    <w:rsid w:val="00601689"/>
    <w:rsid w:val="0060587C"/>
    <w:rsid w:val="006134D7"/>
    <w:rsid w:val="00614502"/>
    <w:rsid w:val="00615278"/>
    <w:rsid w:val="00617377"/>
    <w:rsid w:val="00620C80"/>
    <w:rsid w:val="0062331E"/>
    <w:rsid w:val="00630076"/>
    <w:rsid w:val="0063661C"/>
    <w:rsid w:val="0063672B"/>
    <w:rsid w:val="006469AB"/>
    <w:rsid w:val="00663CA9"/>
    <w:rsid w:val="0069356F"/>
    <w:rsid w:val="00695431"/>
    <w:rsid w:val="00695758"/>
    <w:rsid w:val="00696B8E"/>
    <w:rsid w:val="006C15DD"/>
    <w:rsid w:val="006E7233"/>
    <w:rsid w:val="006E7C7D"/>
    <w:rsid w:val="006F00FD"/>
    <w:rsid w:val="006F0DFC"/>
    <w:rsid w:val="006F3F5E"/>
    <w:rsid w:val="00707AA0"/>
    <w:rsid w:val="00720162"/>
    <w:rsid w:val="00734555"/>
    <w:rsid w:val="00741347"/>
    <w:rsid w:val="00744455"/>
    <w:rsid w:val="00755C72"/>
    <w:rsid w:val="007659F6"/>
    <w:rsid w:val="00781BDD"/>
    <w:rsid w:val="007846D7"/>
    <w:rsid w:val="00796D22"/>
    <w:rsid w:val="00797F14"/>
    <w:rsid w:val="007C000C"/>
    <w:rsid w:val="007C2A11"/>
    <w:rsid w:val="007C38FA"/>
    <w:rsid w:val="007D50DC"/>
    <w:rsid w:val="007D6F24"/>
    <w:rsid w:val="008008A5"/>
    <w:rsid w:val="008048CC"/>
    <w:rsid w:val="00812FAB"/>
    <w:rsid w:val="0082161B"/>
    <w:rsid w:val="00837B34"/>
    <w:rsid w:val="00843175"/>
    <w:rsid w:val="008533AB"/>
    <w:rsid w:val="0086500E"/>
    <w:rsid w:val="00891BF6"/>
    <w:rsid w:val="00891E92"/>
    <w:rsid w:val="008A3B74"/>
    <w:rsid w:val="008A4740"/>
    <w:rsid w:val="008B5D41"/>
    <w:rsid w:val="008C56F4"/>
    <w:rsid w:val="008E4510"/>
    <w:rsid w:val="008E65DE"/>
    <w:rsid w:val="008F0E82"/>
    <w:rsid w:val="008F3EB1"/>
    <w:rsid w:val="008F77DB"/>
    <w:rsid w:val="0090517C"/>
    <w:rsid w:val="00912E5C"/>
    <w:rsid w:val="009251A8"/>
    <w:rsid w:val="0092532D"/>
    <w:rsid w:val="00934C55"/>
    <w:rsid w:val="0093732B"/>
    <w:rsid w:val="009660B9"/>
    <w:rsid w:val="00991968"/>
    <w:rsid w:val="009956A3"/>
    <w:rsid w:val="009A7A6F"/>
    <w:rsid w:val="009B3C9B"/>
    <w:rsid w:val="009C3F90"/>
    <w:rsid w:val="009C4B8D"/>
    <w:rsid w:val="009D1774"/>
    <w:rsid w:val="009D7088"/>
    <w:rsid w:val="009E5632"/>
    <w:rsid w:val="009E5880"/>
    <w:rsid w:val="00A00689"/>
    <w:rsid w:val="00A20CF7"/>
    <w:rsid w:val="00A231D1"/>
    <w:rsid w:val="00A308FE"/>
    <w:rsid w:val="00A31308"/>
    <w:rsid w:val="00A37106"/>
    <w:rsid w:val="00A375F5"/>
    <w:rsid w:val="00A50217"/>
    <w:rsid w:val="00A5769C"/>
    <w:rsid w:val="00A6163B"/>
    <w:rsid w:val="00A62B3C"/>
    <w:rsid w:val="00A62D0E"/>
    <w:rsid w:val="00A64AA5"/>
    <w:rsid w:val="00A75946"/>
    <w:rsid w:val="00A7595D"/>
    <w:rsid w:val="00A868FF"/>
    <w:rsid w:val="00A870C8"/>
    <w:rsid w:val="00A87EA7"/>
    <w:rsid w:val="00AA7C0A"/>
    <w:rsid w:val="00AB27D9"/>
    <w:rsid w:val="00AC0439"/>
    <w:rsid w:val="00AD228F"/>
    <w:rsid w:val="00B00909"/>
    <w:rsid w:val="00B0422F"/>
    <w:rsid w:val="00B1065F"/>
    <w:rsid w:val="00B14425"/>
    <w:rsid w:val="00B17926"/>
    <w:rsid w:val="00B21EBF"/>
    <w:rsid w:val="00B363D2"/>
    <w:rsid w:val="00B378D3"/>
    <w:rsid w:val="00B41406"/>
    <w:rsid w:val="00B50E50"/>
    <w:rsid w:val="00B545BF"/>
    <w:rsid w:val="00B6316F"/>
    <w:rsid w:val="00B76E4B"/>
    <w:rsid w:val="00B802DB"/>
    <w:rsid w:val="00B87DAC"/>
    <w:rsid w:val="00BA2F14"/>
    <w:rsid w:val="00BA300B"/>
    <w:rsid w:val="00BA3156"/>
    <w:rsid w:val="00BA7124"/>
    <w:rsid w:val="00BB1294"/>
    <w:rsid w:val="00BB2F87"/>
    <w:rsid w:val="00BC582C"/>
    <w:rsid w:val="00BC6990"/>
    <w:rsid w:val="00BD3140"/>
    <w:rsid w:val="00BD3C43"/>
    <w:rsid w:val="00BE593F"/>
    <w:rsid w:val="00C008A9"/>
    <w:rsid w:val="00C01279"/>
    <w:rsid w:val="00C020AF"/>
    <w:rsid w:val="00C136FE"/>
    <w:rsid w:val="00C47B66"/>
    <w:rsid w:val="00C57877"/>
    <w:rsid w:val="00C61F64"/>
    <w:rsid w:val="00C743C5"/>
    <w:rsid w:val="00C83A53"/>
    <w:rsid w:val="00C869F3"/>
    <w:rsid w:val="00CB3A27"/>
    <w:rsid w:val="00CC4245"/>
    <w:rsid w:val="00CC49B4"/>
    <w:rsid w:val="00CD7B58"/>
    <w:rsid w:val="00CF10C4"/>
    <w:rsid w:val="00CF3A19"/>
    <w:rsid w:val="00CF4C5C"/>
    <w:rsid w:val="00CF6285"/>
    <w:rsid w:val="00D11097"/>
    <w:rsid w:val="00D151BD"/>
    <w:rsid w:val="00D258E7"/>
    <w:rsid w:val="00D33271"/>
    <w:rsid w:val="00D375B3"/>
    <w:rsid w:val="00D40108"/>
    <w:rsid w:val="00D57C07"/>
    <w:rsid w:val="00D84F63"/>
    <w:rsid w:val="00D86412"/>
    <w:rsid w:val="00D90A77"/>
    <w:rsid w:val="00D96EC3"/>
    <w:rsid w:val="00DA123D"/>
    <w:rsid w:val="00DA22E1"/>
    <w:rsid w:val="00DA343A"/>
    <w:rsid w:val="00DB47D5"/>
    <w:rsid w:val="00DC5DB4"/>
    <w:rsid w:val="00DD6D85"/>
    <w:rsid w:val="00DE07EB"/>
    <w:rsid w:val="00DE09BB"/>
    <w:rsid w:val="00DE64FC"/>
    <w:rsid w:val="00DF5DCC"/>
    <w:rsid w:val="00E0107A"/>
    <w:rsid w:val="00E072F0"/>
    <w:rsid w:val="00E25BE0"/>
    <w:rsid w:val="00E44B79"/>
    <w:rsid w:val="00E47269"/>
    <w:rsid w:val="00E53BD7"/>
    <w:rsid w:val="00E55997"/>
    <w:rsid w:val="00E61080"/>
    <w:rsid w:val="00E65D62"/>
    <w:rsid w:val="00E8725E"/>
    <w:rsid w:val="00E90481"/>
    <w:rsid w:val="00E919D6"/>
    <w:rsid w:val="00EA0052"/>
    <w:rsid w:val="00EA5E28"/>
    <w:rsid w:val="00EB19EC"/>
    <w:rsid w:val="00EE2C36"/>
    <w:rsid w:val="00EE6937"/>
    <w:rsid w:val="00EF504E"/>
    <w:rsid w:val="00F00DEE"/>
    <w:rsid w:val="00F03E09"/>
    <w:rsid w:val="00F061C0"/>
    <w:rsid w:val="00F119B2"/>
    <w:rsid w:val="00F23989"/>
    <w:rsid w:val="00F26FDA"/>
    <w:rsid w:val="00F36466"/>
    <w:rsid w:val="00F3791F"/>
    <w:rsid w:val="00F47B0A"/>
    <w:rsid w:val="00F537B4"/>
    <w:rsid w:val="00F56CF5"/>
    <w:rsid w:val="00F67B1F"/>
    <w:rsid w:val="00F70D0A"/>
    <w:rsid w:val="00F8040B"/>
    <w:rsid w:val="00F80CBB"/>
    <w:rsid w:val="00F94A91"/>
    <w:rsid w:val="00F953CA"/>
    <w:rsid w:val="00FA3D84"/>
    <w:rsid w:val="00FA5F86"/>
    <w:rsid w:val="00FB0CF5"/>
    <w:rsid w:val="00FB6D68"/>
    <w:rsid w:val="00FC5EF4"/>
    <w:rsid w:val="00FC7182"/>
    <w:rsid w:val="00FD47E3"/>
    <w:rsid w:val="00FD5D79"/>
    <w:rsid w:val="00FD735C"/>
    <w:rsid w:val="00FE2F16"/>
    <w:rsid w:val="00FF2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F7CAA6"/>
  <w15:docId w15:val="{42E269B3-2F64-443A-BF08-E33A2A1E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B78"/>
    <w:rPr>
      <w:sz w:val="20"/>
      <w:szCs w:val="20"/>
    </w:rPr>
  </w:style>
  <w:style w:type="paragraph" w:styleId="Heading1">
    <w:name w:val="heading 1"/>
    <w:basedOn w:val="Normal"/>
    <w:next w:val="Normal"/>
    <w:link w:val="Heading1Char"/>
    <w:autoRedefine/>
    <w:uiPriority w:val="9"/>
    <w:qFormat/>
    <w:rsid w:val="00CF6285"/>
    <w:pPr>
      <w:keepNext/>
      <w:keepLines/>
      <w:spacing w:before="120" w:after="120" w:line="240" w:lineRule="auto"/>
      <w:jc w:val="center"/>
      <w:outlineLvl w:val="0"/>
    </w:pPr>
    <w:rPr>
      <w:rFonts w:ascii="Arial Narrow" w:eastAsiaTheme="majorEastAsia" w:hAnsi="Arial Narrow" w:cstheme="majorBidi"/>
      <w:bCs/>
      <w:caps/>
      <w:color w:val="008BB6"/>
      <w:sz w:val="36"/>
      <w:szCs w:val="36"/>
    </w:rPr>
  </w:style>
  <w:style w:type="paragraph" w:styleId="Heading2">
    <w:name w:val="heading 2"/>
    <w:basedOn w:val="Normal"/>
    <w:next w:val="Normal"/>
    <w:link w:val="Heading2Char"/>
    <w:autoRedefine/>
    <w:uiPriority w:val="9"/>
    <w:unhideWhenUsed/>
    <w:qFormat/>
    <w:rsid w:val="00CF10C4"/>
    <w:pPr>
      <w:keepNext/>
      <w:keepLines/>
      <w:spacing w:before="200" w:after="0"/>
      <w:outlineLvl w:val="1"/>
    </w:pPr>
    <w:rPr>
      <w:rFonts w:ascii="Arial Narrow" w:eastAsiaTheme="majorEastAsia" w:hAnsi="Arial Narrow" w:cstheme="majorBidi"/>
      <w:bCs/>
      <w:caps/>
      <w:color w:val="ACA6A2"/>
      <w:sz w:val="30"/>
      <w:szCs w:val="30"/>
    </w:rPr>
  </w:style>
  <w:style w:type="paragraph" w:styleId="Heading3">
    <w:name w:val="heading 3"/>
    <w:basedOn w:val="Normal"/>
    <w:next w:val="Normal"/>
    <w:link w:val="Heading3Char"/>
    <w:autoRedefine/>
    <w:uiPriority w:val="9"/>
    <w:unhideWhenUsed/>
    <w:qFormat/>
    <w:rsid w:val="00CF10C4"/>
    <w:pPr>
      <w:keepNext/>
      <w:keepLines/>
      <w:spacing w:before="200" w:after="0"/>
      <w:outlineLvl w:val="2"/>
    </w:pPr>
    <w:rPr>
      <w:rFonts w:asciiTheme="majorHAnsi" w:eastAsiaTheme="majorEastAsia" w:hAnsiTheme="majorHAnsi" w:cstheme="majorBidi"/>
      <w:bCs/>
      <w:caps/>
      <w:color w:val="008BB6"/>
    </w:rPr>
  </w:style>
  <w:style w:type="paragraph" w:styleId="Heading4">
    <w:name w:val="heading 4"/>
    <w:basedOn w:val="Heading3"/>
    <w:next w:val="Normal"/>
    <w:link w:val="Heading4Char"/>
    <w:autoRedefine/>
    <w:uiPriority w:val="9"/>
    <w:unhideWhenUsed/>
    <w:qFormat/>
    <w:rsid w:val="00CF10C4"/>
    <w:pPr>
      <w:outlineLvl w:val="3"/>
    </w:pPr>
    <w:rPr>
      <w:caps w:val="0"/>
      <w:color w:val="ACA6A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285"/>
    <w:rPr>
      <w:rFonts w:ascii="Arial Narrow" w:eastAsiaTheme="majorEastAsia" w:hAnsi="Arial Narrow" w:cstheme="majorBidi"/>
      <w:bCs/>
      <w:caps/>
      <w:color w:val="008BB6"/>
      <w:sz w:val="36"/>
      <w:szCs w:val="36"/>
    </w:rPr>
  </w:style>
  <w:style w:type="character" w:customStyle="1" w:styleId="Heading2Char">
    <w:name w:val="Heading 2 Char"/>
    <w:basedOn w:val="DefaultParagraphFont"/>
    <w:link w:val="Heading2"/>
    <w:uiPriority w:val="9"/>
    <w:rsid w:val="00CF10C4"/>
    <w:rPr>
      <w:rFonts w:ascii="Arial Narrow" w:eastAsiaTheme="majorEastAsia" w:hAnsi="Arial Narrow" w:cstheme="majorBidi"/>
      <w:bCs/>
      <w:caps/>
      <w:color w:val="ACA6A2"/>
      <w:sz w:val="30"/>
      <w:szCs w:val="30"/>
    </w:rPr>
  </w:style>
  <w:style w:type="character" w:customStyle="1" w:styleId="Heading3Char">
    <w:name w:val="Heading 3 Char"/>
    <w:basedOn w:val="DefaultParagraphFont"/>
    <w:link w:val="Heading3"/>
    <w:uiPriority w:val="9"/>
    <w:rsid w:val="00CF10C4"/>
    <w:rPr>
      <w:rFonts w:asciiTheme="majorHAnsi" w:eastAsiaTheme="majorEastAsia" w:hAnsiTheme="majorHAnsi" w:cstheme="majorBidi"/>
      <w:bCs/>
      <w:caps/>
      <w:color w:val="008BB6"/>
      <w:sz w:val="20"/>
      <w:szCs w:val="20"/>
    </w:rPr>
  </w:style>
  <w:style w:type="character" w:customStyle="1" w:styleId="Heading4Char">
    <w:name w:val="Heading 4 Char"/>
    <w:basedOn w:val="DefaultParagraphFont"/>
    <w:link w:val="Heading4"/>
    <w:uiPriority w:val="9"/>
    <w:rsid w:val="00CF10C4"/>
    <w:rPr>
      <w:rFonts w:asciiTheme="majorHAnsi" w:eastAsiaTheme="majorEastAsia" w:hAnsiTheme="majorHAnsi" w:cstheme="majorBidi"/>
      <w:bCs/>
      <w:color w:val="ACA6A2"/>
      <w:sz w:val="20"/>
      <w:szCs w:val="20"/>
    </w:rPr>
  </w:style>
  <w:style w:type="table" w:styleId="TableGrid">
    <w:name w:val="Table Grid"/>
    <w:basedOn w:val="TableNormal"/>
    <w:uiPriority w:val="59"/>
    <w:rsid w:val="0063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72F0"/>
    <w:pPr>
      <w:keepNext/>
      <w:spacing w:line="240" w:lineRule="auto"/>
    </w:pPr>
    <w:rPr>
      <w:bCs/>
      <w:caps/>
      <w:color w:val="ACA6A2" w:themeColor="accent5"/>
    </w:rPr>
  </w:style>
  <w:style w:type="paragraph" w:customStyle="1" w:styleId="Note">
    <w:name w:val="Note"/>
    <w:basedOn w:val="Normal"/>
    <w:link w:val="NoteChar"/>
    <w:qFormat/>
    <w:rsid w:val="00E072F0"/>
    <w:pPr>
      <w:spacing w:before="120"/>
    </w:pPr>
    <w:rPr>
      <w:color w:val="ACA6A2" w:themeColor="accent5"/>
      <w:sz w:val="16"/>
      <w:szCs w:val="16"/>
    </w:rPr>
  </w:style>
  <w:style w:type="table" w:styleId="LightShading-Accent4">
    <w:name w:val="Light Shading Accent 4"/>
    <w:basedOn w:val="TableNormal"/>
    <w:uiPriority w:val="60"/>
    <w:rsid w:val="0063661C"/>
    <w:pPr>
      <w:spacing w:after="0" w:line="240" w:lineRule="auto"/>
    </w:pPr>
    <w:rPr>
      <w:color w:val="006788" w:themeColor="accent4" w:themeShade="BF"/>
    </w:rPr>
    <w:tblPr>
      <w:tblStyleRowBandSize w:val="1"/>
      <w:tblStyleColBandSize w:val="1"/>
      <w:tblBorders>
        <w:top w:val="single" w:sz="8" w:space="0" w:color="008BB6" w:themeColor="accent4"/>
        <w:bottom w:val="single" w:sz="8" w:space="0" w:color="008BB6" w:themeColor="accent4"/>
      </w:tblBorders>
    </w:tblPr>
    <w:tblStylePr w:type="firstRow">
      <w:pPr>
        <w:spacing w:before="0" w:after="0" w:line="240" w:lineRule="auto"/>
      </w:pPr>
      <w:rPr>
        <w:b/>
        <w:bCs/>
      </w:rPr>
      <w:tblPr/>
      <w:tcPr>
        <w:tcBorders>
          <w:top w:val="single" w:sz="8" w:space="0" w:color="008BB6" w:themeColor="accent4"/>
          <w:left w:val="nil"/>
          <w:bottom w:val="single" w:sz="8" w:space="0" w:color="008BB6" w:themeColor="accent4"/>
          <w:right w:val="nil"/>
          <w:insideH w:val="nil"/>
          <w:insideV w:val="nil"/>
        </w:tcBorders>
      </w:tcPr>
    </w:tblStylePr>
    <w:tblStylePr w:type="lastRow">
      <w:pPr>
        <w:spacing w:before="0" w:after="0" w:line="240" w:lineRule="auto"/>
      </w:pPr>
      <w:rPr>
        <w:b/>
        <w:bCs/>
      </w:rPr>
      <w:tblPr/>
      <w:tcPr>
        <w:tcBorders>
          <w:top w:val="single" w:sz="8" w:space="0" w:color="008BB6" w:themeColor="accent4"/>
          <w:left w:val="nil"/>
          <w:bottom w:val="single" w:sz="8" w:space="0" w:color="008BB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EBFF" w:themeFill="accent4" w:themeFillTint="3F"/>
      </w:tcPr>
    </w:tblStylePr>
    <w:tblStylePr w:type="band1Horz">
      <w:tblPr/>
      <w:tcPr>
        <w:tcBorders>
          <w:left w:val="nil"/>
          <w:right w:val="nil"/>
          <w:insideH w:val="nil"/>
          <w:insideV w:val="nil"/>
        </w:tcBorders>
        <w:shd w:val="clear" w:color="auto" w:fill="ADEBFF" w:themeFill="accent4" w:themeFillTint="3F"/>
      </w:tcPr>
    </w:tblStylePr>
  </w:style>
  <w:style w:type="character" w:customStyle="1" w:styleId="NoteChar">
    <w:name w:val="Note Char"/>
    <w:basedOn w:val="DefaultParagraphFont"/>
    <w:link w:val="Note"/>
    <w:rsid w:val="00E072F0"/>
    <w:rPr>
      <w:color w:val="ACA6A2" w:themeColor="accent5"/>
      <w:sz w:val="16"/>
      <w:szCs w:val="16"/>
    </w:rPr>
  </w:style>
  <w:style w:type="table" w:styleId="LightList-Accent4">
    <w:name w:val="Light List Accent 4"/>
    <w:basedOn w:val="TableNormal"/>
    <w:uiPriority w:val="61"/>
    <w:rsid w:val="0063661C"/>
    <w:pPr>
      <w:spacing w:after="0" w:line="240" w:lineRule="auto"/>
    </w:pPr>
    <w:tblPr>
      <w:tblStyleRowBandSize w:val="1"/>
      <w:tblStyleColBandSize w:val="1"/>
      <w:tblBorders>
        <w:top w:val="single" w:sz="8" w:space="0" w:color="008BB6" w:themeColor="accent4"/>
        <w:left w:val="single" w:sz="8" w:space="0" w:color="008BB6" w:themeColor="accent4"/>
        <w:bottom w:val="single" w:sz="8" w:space="0" w:color="008BB6" w:themeColor="accent4"/>
        <w:right w:val="single" w:sz="8" w:space="0" w:color="008BB6" w:themeColor="accent4"/>
      </w:tblBorders>
    </w:tblPr>
    <w:tblStylePr w:type="firstRow">
      <w:pPr>
        <w:spacing w:before="0" w:after="0" w:line="240" w:lineRule="auto"/>
      </w:pPr>
      <w:rPr>
        <w:b/>
        <w:bCs/>
        <w:color w:val="FFFFFF" w:themeColor="background1"/>
      </w:rPr>
      <w:tblPr/>
      <w:tcPr>
        <w:shd w:val="clear" w:color="auto" w:fill="008BB6" w:themeFill="accent4"/>
      </w:tcPr>
    </w:tblStylePr>
    <w:tblStylePr w:type="lastRow">
      <w:pPr>
        <w:spacing w:before="0" w:after="0" w:line="240" w:lineRule="auto"/>
      </w:pPr>
      <w:rPr>
        <w:b/>
        <w:bCs/>
      </w:rPr>
      <w:tblPr/>
      <w:tcPr>
        <w:tcBorders>
          <w:top w:val="double" w:sz="6" w:space="0" w:color="008BB6" w:themeColor="accent4"/>
          <w:left w:val="single" w:sz="8" w:space="0" w:color="008BB6" w:themeColor="accent4"/>
          <w:bottom w:val="single" w:sz="8" w:space="0" w:color="008BB6" w:themeColor="accent4"/>
          <w:right w:val="single" w:sz="8" w:space="0" w:color="008BB6" w:themeColor="accent4"/>
        </w:tcBorders>
      </w:tcPr>
    </w:tblStylePr>
    <w:tblStylePr w:type="firstCol">
      <w:rPr>
        <w:b/>
        <w:bCs/>
      </w:rPr>
    </w:tblStylePr>
    <w:tblStylePr w:type="lastCol">
      <w:rPr>
        <w:b/>
        <w:bCs/>
      </w:rPr>
    </w:tblStylePr>
    <w:tblStylePr w:type="band1Vert">
      <w:tblPr/>
      <w:tcPr>
        <w:tcBorders>
          <w:top w:val="single" w:sz="8" w:space="0" w:color="008BB6" w:themeColor="accent4"/>
          <w:left w:val="single" w:sz="8" w:space="0" w:color="008BB6" w:themeColor="accent4"/>
          <w:bottom w:val="single" w:sz="8" w:space="0" w:color="008BB6" w:themeColor="accent4"/>
          <w:right w:val="single" w:sz="8" w:space="0" w:color="008BB6" w:themeColor="accent4"/>
        </w:tcBorders>
      </w:tcPr>
    </w:tblStylePr>
    <w:tblStylePr w:type="band1Horz">
      <w:tblPr/>
      <w:tcPr>
        <w:tcBorders>
          <w:top w:val="single" w:sz="8" w:space="0" w:color="008BB6" w:themeColor="accent4"/>
          <w:left w:val="single" w:sz="8" w:space="0" w:color="008BB6" w:themeColor="accent4"/>
          <w:bottom w:val="single" w:sz="8" w:space="0" w:color="008BB6" w:themeColor="accent4"/>
          <w:right w:val="single" w:sz="8" w:space="0" w:color="008BB6" w:themeColor="accent4"/>
        </w:tcBorders>
      </w:tcPr>
    </w:tblStylePr>
  </w:style>
  <w:style w:type="table" w:styleId="LightList-Accent5">
    <w:name w:val="Light List Accent 5"/>
    <w:aliases w:val="TRA"/>
    <w:basedOn w:val="TableNormal"/>
    <w:uiPriority w:val="61"/>
    <w:rsid w:val="003F7E5F"/>
    <w:pPr>
      <w:spacing w:before="120" w:after="120" w:line="240" w:lineRule="auto"/>
    </w:pPr>
    <w:rPr>
      <w:sz w:val="18"/>
    </w:rPr>
    <w:tblPr>
      <w:tblStyleRowBandSize w:val="1"/>
      <w:tblStyleColBandSize w:val="1"/>
      <w:tblBorders>
        <w:top w:val="single" w:sz="8" w:space="0" w:color="ACA6A2" w:themeColor="accent5"/>
        <w:left w:val="single" w:sz="8" w:space="0" w:color="ACA6A2" w:themeColor="accent5"/>
        <w:bottom w:val="single" w:sz="8" w:space="0" w:color="ACA6A2" w:themeColor="accent5"/>
        <w:right w:val="single" w:sz="8" w:space="0" w:color="ACA6A2" w:themeColor="accent5"/>
      </w:tblBorders>
    </w:tblPr>
    <w:tblStylePr w:type="firstRow">
      <w:pPr>
        <w:wordWrap/>
        <w:spacing w:beforeLines="0" w:before="120" w:beforeAutospacing="0" w:afterLines="0" w:after="120" w:afterAutospacing="0" w:line="240" w:lineRule="auto"/>
      </w:pPr>
      <w:rPr>
        <w:rFonts w:ascii="Arial" w:hAnsi="Arial"/>
        <w:b w:val="0"/>
        <w:bCs/>
        <w:color w:val="FFFFFF" w:themeColor="background1"/>
        <w:sz w:val="22"/>
      </w:rPr>
      <w:tblPr/>
      <w:tcPr>
        <w:shd w:val="clear" w:color="auto" w:fill="ACA6A2" w:themeFill="accent5"/>
      </w:tcPr>
    </w:tblStylePr>
    <w:tblStylePr w:type="lastRow">
      <w:pPr>
        <w:wordWrap/>
        <w:spacing w:beforeLines="0" w:before="120" w:beforeAutospacing="0" w:afterLines="0" w:after="120" w:afterAutospacing="0" w:line="240" w:lineRule="auto"/>
      </w:pPr>
      <w:rPr>
        <w:rFonts w:ascii="Arial" w:hAnsi="Arial"/>
        <w:b w:val="0"/>
        <w:bCs/>
        <w:sz w:val="18"/>
      </w:rPr>
      <w:tblPr/>
      <w:tcPr>
        <w:shd w:val="clear" w:color="auto" w:fill="ACA6A2" w:themeFill="accent5"/>
      </w:tcPr>
    </w:tblStylePr>
    <w:tblStylePr w:type="firstCol">
      <w:rPr>
        <w:rFonts w:ascii="Arial" w:hAnsi="Arial"/>
        <w:b w:val="0"/>
        <w:bCs/>
        <w:sz w:val="18"/>
      </w:rPr>
    </w:tblStylePr>
    <w:tblStylePr w:type="lastCol">
      <w:rPr>
        <w:rFonts w:ascii="Arial" w:hAnsi="Arial"/>
        <w:b w:val="0"/>
        <w:bCs/>
        <w:sz w:val="18"/>
      </w:rPr>
    </w:tblStylePr>
    <w:tblStylePr w:type="band1Vert">
      <w:rPr>
        <w:rFonts w:ascii="Arial" w:hAnsi="Arial"/>
        <w:sz w:val="18"/>
      </w:rPr>
      <w:tblPr/>
      <w:tcPr>
        <w:shd w:val="clear" w:color="auto" w:fill="DEDBD5" w:themeFill="background2"/>
      </w:tcPr>
    </w:tblStylePr>
    <w:tblStylePr w:type="band1Horz">
      <w:rPr>
        <w:rFonts w:ascii="Arial" w:hAnsi="Arial"/>
        <w:sz w:val="18"/>
      </w:rPr>
    </w:tblStylePr>
    <w:tblStylePr w:type="band2Horz">
      <w:rPr>
        <w:rFonts w:ascii="Arial" w:hAnsi="Arial"/>
        <w:sz w:val="18"/>
      </w:rPr>
      <w:tblPr/>
      <w:tcPr>
        <w:shd w:val="clear" w:color="auto" w:fill="DEDBD5" w:themeFill="background2"/>
      </w:tcPr>
    </w:tblStylePr>
  </w:style>
  <w:style w:type="paragraph" w:styleId="Header">
    <w:name w:val="header"/>
    <w:basedOn w:val="Normal"/>
    <w:link w:val="HeaderChar"/>
    <w:uiPriority w:val="99"/>
    <w:unhideWhenUsed/>
    <w:rsid w:val="003F7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E5F"/>
  </w:style>
  <w:style w:type="paragraph" w:styleId="Footer">
    <w:name w:val="footer"/>
    <w:basedOn w:val="Normal"/>
    <w:link w:val="FooterChar"/>
    <w:uiPriority w:val="99"/>
    <w:unhideWhenUsed/>
    <w:rsid w:val="003F7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E5F"/>
  </w:style>
  <w:style w:type="paragraph" w:styleId="Title">
    <w:name w:val="Title"/>
    <w:basedOn w:val="Normal"/>
    <w:next w:val="Normal"/>
    <w:link w:val="TitleChar"/>
    <w:autoRedefine/>
    <w:uiPriority w:val="10"/>
    <w:qFormat/>
    <w:rsid w:val="0062331E"/>
    <w:pPr>
      <w:spacing w:after="240" w:line="240" w:lineRule="auto"/>
    </w:pPr>
    <w:rPr>
      <w:rFonts w:ascii="Arial Narrow" w:eastAsiaTheme="majorEastAsia" w:hAnsi="Arial Narrow" w:cstheme="majorBidi"/>
      <w:b/>
      <w:caps/>
      <w:color w:val="ACA6A2"/>
      <w:spacing w:val="5"/>
      <w:kern w:val="28"/>
      <w:sz w:val="72"/>
      <w:szCs w:val="72"/>
    </w:rPr>
  </w:style>
  <w:style w:type="character" w:customStyle="1" w:styleId="TitleChar">
    <w:name w:val="Title Char"/>
    <w:basedOn w:val="DefaultParagraphFont"/>
    <w:link w:val="Title"/>
    <w:uiPriority w:val="10"/>
    <w:rsid w:val="0062331E"/>
    <w:rPr>
      <w:rFonts w:ascii="Arial Narrow" w:eastAsiaTheme="majorEastAsia" w:hAnsi="Arial Narrow" w:cstheme="majorBidi"/>
      <w:b/>
      <w:caps/>
      <w:color w:val="ACA6A2"/>
      <w:spacing w:val="5"/>
      <w:kern w:val="28"/>
      <w:sz w:val="72"/>
      <w:szCs w:val="72"/>
    </w:rPr>
  </w:style>
  <w:style w:type="paragraph" w:styleId="ListParagraph">
    <w:name w:val="List Paragraph"/>
    <w:basedOn w:val="Normal"/>
    <w:uiPriority w:val="34"/>
    <w:qFormat/>
    <w:rsid w:val="005D2C8F"/>
    <w:pPr>
      <w:numPr>
        <w:numId w:val="4"/>
      </w:numPr>
      <w:spacing w:line="240" w:lineRule="auto"/>
      <w:contextualSpacing/>
    </w:pPr>
    <w:rPr>
      <w:rFonts w:cstheme="minorHAnsi"/>
    </w:rPr>
  </w:style>
  <w:style w:type="paragraph" w:styleId="BalloonText">
    <w:name w:val="Balloon Text"/>
    <w:basedOn w:val="Normal"/>
    <w:link w:val="BalloonTextChar"/>
    <w:uiPriority w:val="99"/>
    <w:semiHidden/>
    <w:unhideWhenUsed/>
    <w:rsid w:val="00A37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5F5"/>
    <w:rPr>
      <w:rFonts w:ascii="Tahoma" w:hAnsi="Tahoma" w:cs="Tahoma"/>
      <w:sz w:val="16"/>
      <w:szCs w:val="16"/>
    </w:rPr>
  </w:style>
  <w:style w:type="paragraph" w:customStyle="1" w:styleId="Tablecolumnheading">
    <w:name w:val="Table/column heading"/>
    <w:basedOn w:val="Normal"/>
    <w:link w:val="TablecolumnheadingChar"/>
    <w:qFormat/>
    <w:rsid w:val="00E61080"/>
    <w:pPr>
      <w:framePr w:hSpace="180" w:wrap="around" w:vAnchor="text" w:hAnchor="margin" w:y="112"/>
      <w:spacing w:before="120" w:after="120" w:line="240" w:lineRule="auto"/>
    </w:pPr>
    <w:rPr>
      <w:rFonts w:ascii="Arial" w:hAnsi="Arial"/>
      <w:b/>
      <w:bCs/>
      <w:color w:val="FFFFFF" w:themeColor="background1"/>
    </w:rPr>
  </w:style>
  <w:style w:type="character" w:customStyle="1" w:styleId="TablecolumnheadingChar">
    <w:name w:val="Table/column heading Char"/>
    <w:basedOn w:val="DefaultParagraphFont"/>
    <w:link w:val="Tablecolumnheading"/>
    <w:rsid w:val="00E61080"/>
    <w:rPr>
      <w:rFonts w:ascii="Arial" w:hAnsi="Arial"/>
      <w:b/>
      <w:bCs/>
      <w:color w:val="FFFFFF" w:themeColor="background1"/>
      <w:sz w:val="20"/>
      <w:szCs w:val="20"/>
    </w:rPr>
  </w:style>
  <w:style w:type="paragraph" w:customStyle="1" w:styleId="Default">
    <w:name w:val="Default"/>
    <w:rsid w:val="005943DC"/>
    <w:pPr>
      <w:autoSpaceDE w:val="0"/>
      <w:autoSpaceDN w:val="0"/>
      <w:adjustRightInd w:val="0"/>
      <w:spacing w:after="0" w:line="240" w:lineRule="auto"/>
    </w:pPr>
    <w:rPr>
      <w:rFonts w:ascii="Trade Gothic LT Std Light" w:hAnsi="Trade Gothic LT Std Light" w:cs="Trade Gothic LT Std Light"/>
      <w:color w:val="000000"/>
      <w:sz w:val="24"/>
      <w:szCs w:val="24"/>
    </w:rPr>
  </w:style>
  <w:style w:type="paragraph" w:customStyle="1" w:styleId="Pa4">
    <w:name w:val="Pa4"/>
    <w:basedOn w:val="Default"/>
    <w:next w:val="Default"/>
    <w:uiPriority w:val="99"/>
    <w:rsid w:val="00A308FE"/>
    <w:pPr>
      <w:spacing w:line="191" w:lineRule="atLeast"/>
    </w:pPr>
    <w:rPr>
      <w:rFonts w:cstheme="minorBidi"/>
      <w:color w:val="auto"/>
    </w:rPr>
  </w:style>
  <w:style w:type="paragraph" w:customStyle="1" w:styleId="Pa12">
    <w:name w:val="Pa12"/>
    <w:basedOn w:val="Default"/>
    <w:next w:val="Default"/>
    <w:uiPriority w:val="99"/>
    <w:rsid w:val="00991968"/>
    <w:pPr>
      <w:spacing w:line="241" w:lineRule="atLeast"/>
    </w:pPr>
    <w:rPr>
      <w:rFonts w:ascii="TradeGothic" w:hAnsi="TradeGothic" w:cstheme="minorBidi"/>
      <w:color w:val="auto"/>
    </w:rPr>
  </w:style>
  <w:style w:type="character" w:styleId="CommentReference">
    <w:name w:val="annotation reference"/>
    <w:basedOn w:val="DefaultParagraphFont"/>
    <w:uiPriority w:val="99"/>
    <w:semiHidden/>
    <w:unhideWhenUsed/>
    <w:rsid w:val="00045A17"/>
    <w:rPr>
      <w:sz w:val="16"/>
      <w:szCs w:val="16"/>
    </w:rPr>
  </w:style>
  <w:style w:type="paragraph" w:styleId="CommentText">
    <w:name w:val="annotation text"/>
    <w:basedOn w:val="Normal"/>
    <w:link w:val="CommentTextChar"/>
    <w:uiPriority w:val="99"/>
    <w:semiHidden/>
    <w:unhideWhenUsed/>
    <w:rsid w:val="00045A17"/>
    <w:pPr>
      <w:spacing w:line="240" w:lineRule="auto"/>
    </w:pPr>
  </w:style>
  <w:style w:type="character" w:customStyle="1" w:styleId="CommentTextChar">
    <w:name w:val="Comment Text Char"/>
    <w:basedOn w:val="DefaultParagraphFont"/>
    <w:link w:val="CommentText"/>
    <w:uiPriority w:val="99"/>
    <w:semiHidden/>
    <w:rsid w:val="00045A17"/>
    <w:rPr>
      <w:sz w:val="20"/>
      <w:szCs w:val="20"/>
    </w:rPr>
  </w:style>
  <w:style w:type="paragraph" w:styleId="CommentSubject">
    <w:name w:val="annotation subject"/>
    <w:basedOn w:val="CommentText"/>
    <w:next w:val="CommentText"/>
    <w:link w:val="CommentSubjectChar"/>
    <w:uiPriority w:val="99"/>
    <w:semiHidden/>
    <w:unhideWhenUsed/>
    <w:rsid w:val="00045A17"/>
    <w:rPr>
      <w:b/>
      <w:bCs/>
    </w:rPr>
  </w:style>
  <w:style w:type="character" w:customStyle="1" w:styleId="CommentSubjectChar">
    <w:name w:val="Comment Subject Char"/>
    <w:basedOn w:val="CommentTextChar"/>
    <w:link w:val="CommentSubject"/>
    <w:uiPriority w:val="99"/>
    <w:semiHidden/>
    <w:rsid w:val="00045A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0929">
      <w:bodyDiv w:val="1"/>
      <w:marLeft w:val="0"/>
      <w:marRight w:val="0"/>
      <w:marTop w:val="0"/>
      <w:marBottom w:val="0"/>
      <w:divBdr>
        <w:top w:val="none" w:sz="0" w:space="0" w:color="auto"/>
        <w:left w:val="none" w:sz="0" w:space="0" w:color="auto"/>
        <w:bottom w:val="none" w:sz="0" w:space="0" w:color="auto"/>
        <w:right w:val="none" w:sz="0" w:space="0" w:color="auto"/>
      </w:divBdr>
    </w:div>
    <w:div w:id="773941895">
      <w:bodyDiv w:val="1"/>
      <w:marLeft w:val="0"/>
      <w:marRight w:val="0"/>
      <w:marTop w:val="0"/>
      <w:marBottom w:val="0"/>
      <w:divBdr>
        <w:top w:val="none" w:sz="0" w:space="0" w:color="auto"/>
        <w:left w:val="none" w:sz="0" w:space="0" w:color="auto"/>
        <w:bottom w:val="none" w:sz="0" w:space="0" w:color="auto"/>
        <w:right w:val="none" w:sz="0" w:space="0" w:color="auto"/>
      </w:divBdr>
    </w:div>
    <w:div w:id="1412703802">
      <w:bodyDiv w:val="1"/>
      <w:marLeft w:val="0"/>
      <w:marRight w:val="0"/>
      <w:marTop w:val="0"/>
      <w:marBottom w:val="0"/>
      <w:divBdr>
        <w:top w:val="none" w:sz="0" w:space="0" w:color="auto"/>
        <w:left w:val="none" w:sz="0" w:space="0" w:color="auto"/>
        <w:bottom w:val="none" w:sz="0" w:space="0" w:color="auto"/>
        <w:right w:val="none" w:sz="0" w:space="0" w:color="auto"/>
      </w:divBdr>
    </w:div>
    <w:div w:id="1604454419">
      <w:bodyDiv w:val="1"/>
      <w:marLeft w:val="0"/>
      <w:marRight w:val="0"/>
      <w:marTop w:val="0"/>
      <w:marBottom w:val="0"/>
      <w:divBdr>
        <w:top w:val="none" w:sz="0" w:space="0" w:color="auto"/>
        <w:left w:val="none" w:sz="0" w:space="0" w:color="auto"/>
        <w:bottom w:val="none" w:sz="0" w:space="0" w:color="auto"/>
        <w:right w:val="none" w:sz="0" w:space="0" w:color="auto"/>
      </w:divBdr>
    </w:div>
    <w:div w:id="1672873657">
      <w:bodyDiv w:val="1"/>
      <w:marLeft w:val="0"/>
      <w:marRight w:val="0"/>
      <w:marTop w:val="0"/>
      <w:marBottom w:val="0"/>
      <w:divBdr>
        <w:top w:val="none" w:sz="0" w:space="0" w:color="auto"/>
        <w:left w:val="none" w:sz="0" w:space="0" w:color="auto"/>
        <w:bottom w:val="none" w:sz="0" w:space="0" w:color="auto"/>
        <w:right w:val="none" w:sz="0" w:space="0" w:color="auto"/>
      </w:divBdr>
    </w:div>
    <w:div w:id="1742216034">
      <w:bodyDiv w:val="1"/>
      <w:marLeft w:val="0"/>
      <w:marRight w:val="0"/>
      <w:marTop w:val="0"/>
      <w:marBottom w:val="0"/>
      <w:divBdr>
        <w:top w:val="none" w:sz="0" w:space="0" w:color="auto"/>
        <w:left w:val="none" w:sz="0" w:space="0" w:color="auto"/>
        <w:bottom w:val="none" w:sz="0" w:space="0" w:color="auto"/>
        <w:right w:val="none" w:sz="0" w:space="0" w:color="auto"/>
      </w:divBdr>
    </w:div>
    <w:div w:id="1791243589">
      <w:bodyDiv w:val="1"/>
      <w:marLeft w:val="0"/>
      <w:marRight w:val="0"/>
      <w:marTop w:val="0"/>
      <w:marBottom w:val="0"/>
      <w:divBdr>
        <w:top w:val="none" w:sz="0" w:space="0" w:color="auto"/>
        <w:left w:val="none" w:sz="0" w:space="0" w:color="auto"/>
        <w:bottom w:val="none" w:sz="0" w:space="0" w:color="auto"/>
        <w:right w:val="none" w:sz="0" w:space="0" w:color="auto"/>
      </w:divBdr>
    </w:div>
    <w:div w:id="20666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TRA\Outreach%20and%20Regional%20Research\Administration\TRA%20Corporate%20Style\Templates\TRA_SimpleWordTemplate_March201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Monthly%20Releases\September%202020\Chart%2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essica-BarrittEyles\Desktop\NVS%20Qtrl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essica-BarrittEyles\Desktop\NVS%20Qtrl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essica-BarrittEyles\OneDrive%20-%20Austrade\Desktop\Data%20for%20Figures%20-%20Sept%20Qtr%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essica-BarrittEyles\Desktop\NVS%20Qtrl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essica-BarrittEyles\OneDrive%20-%20Austrade\Desktop\Data%20for%20Figures%20-%20Sept%20Qtr%20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essica-BarrittEyles\Desktop\NVS%20Qtrly.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4'!$B$2</c:f>
              <c:strCache>
                <c:ptCount val="1"/>
                <c:pt idx="0">
                  <c:v>Trips</c:v>
                </c:pt>
              </c:strCache>
            </c:strRef>
          </c:tx>
          <c:spPr>
            <a:solidFill>
              <a:srgbClr val="C9DB2F"/>
            </a:solidFill>
            <a:ln>
              <a:noFill/>
            </a:ln>
            <a:effectLst/>
          </c:spPr>
          <c:invertIfNegative val="0"/>
          <c:cat>
            <c:strRef>
              <c:f>'CHART 4'!$A$3:$A$14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'CHART 4'!$B$3:$B$14</c:f>
              <c:numCache>
                <c:formatCode>General</c:formatCode>
                <c:ptCount val="12"/>
                <c:pt idx="0">
                  <c:v>10.656873900000001</c:v>
                </c:pt>
                <c:pt idx="1">
                  <c:v>7.5481081999999997</c:v>
                </c:pt>
                <c:pt idx="2">
                  <c:v>6.1159651999999998</c:v>
                </c:pt>
                <c:pt idx="3">
                  <c:v>1.5693406999999999</c:v>
                </c:pt>
                <c:pt idx="4">
                  <c:v>3.0503054999999999</c:v>
                </c:pt>
                <c:pt idx="5">
                  <c:v>5.4075889999999998</c:v>
                </c:pt>
                <c:pt idx="6">
                  <c:v>5.9631472000000008</c:v>
                </c:pt>
                <c:pt idx="7">
                  <c:v>5.1675179</c:v>
                </c:pt>
                <c:pt idx="8">
                  <c:v>5.3653766999999997</c:v>
                </c:pt>
              </c:numCache>
            </c:numRef>
          </c:val>
        </c:ser>
        <c:dLbls>
          <c:showLegendKey val="0"/>
          <c:showVal val="0"/>
          <c:showCatName val="0"/>
          <c:showSerName val="0"/>
          <c:showPercent val="0"/>
          <c:showBubbleSize val="0"/>
        </c:dLbls>
        <c:gapWidth val="98"/>
        <c:overlap val="-28"/>
        <c:axId val="268029872"/>
        <c:axId val="268026736"/>
      </c:barChart>
      <c:lineChart>
        <c:grouping val="standard"/>
        <c:varyColors val="0"/>
        <c:ser>
          <c:idx val="1"/>
          <c:order val="1"/>
          <c:tx>
            <c:strRef>
              <c:f>'CHART 4'!$C$2</c:f>
              <c:strCache>
                <c:ptCount val="1"/>
                <c:pt idx="0">
                  <c:v>Trip Rate</c:v>
                </c:pt>
              </c:strCache>
            </c:strRef>
          </c:tx>
          <c:spPr>
            <a:ln w="28575" cap="rnd">
              <a:solidFill>
                <a:srgbClr val="007FA3"/>
              </a:solidFill>
              <a:round/>
            </a:ln>
            <a:effectLst/>
          </c:spPr>
          <c:marker>
            <c:symbol val="none"/>
          </c:marker>
          <c:cat>
            <c:strRef>
              <c:f>'CHART 4'!$A$3:$A$14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'CHART 4'!$C$3:$C$14</c:f>
              <c:numCache>
                <c:formatCode>0.00</c:formatCode>
                <c:ptCount val="12"/>
                <c:pt idx="0">
                  <c:v>35.642939753969088</c:v>
                </c:pt>
                <c:pt idx="1">
                  <c:v>28.136419001218027</c:v>
                </c:pt>
                <c:pt idx="2">
                  <c:v>24.337779447679882</c:v>
                </c:pt>
                <c:pt idx="3">
                  <c:v>9.0523338048090523</c:v>
                </c:pt>
                <c:pt idx="4">
                  <c:v>5.8878944889307583</c:v>
                </c:pt>
                <c:pt idx="5">
                  <c:v>15.258936528369146</c:v>
                </c:pt>
                <c:pt idx="6">
                  <c:v>19.490806223479488</c:v>
                </c:pt>
                <c:pt idx="7">
                  <c:v>16.308769274430045</c:v>
                </c:pt>
                <c:pt idx="8">
                  <c:v>15.800930048481252</c:v>
                </c:pt>
                <c:pt idx="9">
                  <c:v>21.875293014533518</c:v>
                </c:pt>
                <c:pt idx="10">
                  <c:v>21.22</c:v>
                </c:pt>
                <c:pt idx="11" formatCode="General">
                  <c:v>22.71</c:v>
                </c:pt>
              </c:numCache>
            </c:numRef>
          </c:val>
          <c:smooth val="0"/>
        </c:ser>
        <c:dLbls>
          <c:showLegendKey val="0"/>
          <c:showVal val="0"/>
          <c:showCatName val="0"/>
          <c:showSerName val="0"/>
          <c:showPercent val="0"/>
          <c:showBubbleSize val="0"/>
        </c:dLbls>
        <c:marker val="1"/>
        <c:smooth val="0"/>
        <c:axId val="268023600"/>
        <c:axId val="268030656"/>
      </c:lineChart>
      <c:catAx>
        <c:axId val="26802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026736"/>
        <c:crosses val="autoZero"/>
        <c:auto val="1"/>
        <c:lblAlgn val="ctr"/>
        <c:lblOffset val="100"/>
        <c:noMultiLvlLbl val="0"/>
      </c:catAx>
      <c:valAx>
        <c:axId val="268026736"/>
        <c:scaling>
          <c:orientation val="minMax"/>
          <c:max val="1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029872"/>
        <c:crosses val="autoZero"/>
        <c:crossBetween val="between"/>
        <c:majorUnit val="2"/>
      </c:valAx>
      <c:valAx>
        <c:axId val="2680306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 cent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023600"/>
        <c:crosses val="max"/>
        <c:crossBetween val="between"/>
      </c:valAx>
      <c:catAx>
        <c:axId val="268023600"/>
        <c:scaling>
          <c:orientation val="minMax"/>
        </c:scaling>
        <c:delete val="1"/>
        <c:axPos val="b"/>
        <c:numFmt formatCode="General" sourceLinked="1"/>
        <c:majorTickMark val="out"/>
        <c:minorTickMark val="none"/>
        <c:tickLblPos val="nextTo"/>
        <c:crossAx val="26803065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'[NVS Qtrly.xlsx]Intra_Inter'!$M$29</c:f>
              <c:strCache>
                <c:ptCount val="1"/>
                <c:pt idx="0">
                  <c:v>Trips</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Qtrly.xlsx]Intra_Inter'!$L$30:$L$36</c:f>
              <c:strCache>
                <c:ptCount val="7"/>
                <c:pt idx="0">
                  <c:v>NSW</c:v>
                </c:pt>
                <c:pt idx="1">
                  <c:v>VIC</c:v>
                </c:pt>
                <c:pt idx="2">
                  <c:v>QLD</c:v>
                </c:pt>
                <c:pt idx="3">
                  <c:v>SA</c:v>
                </c:pt>
                <c:pt idx="4">
                  <c:v>WA</c:v>
                </c:pt>
                <c:pt idx="5">
                  <c:v>TAS</c:v>
                </c:pt>
                <c:pt idx="6">
                  <c:v>NT</c:v>
                </c:pt>
              </c:strCache>
            </c:strRef>
          </c:cat>
          <c:val>
            <c:numRef>
              <c:f>'[NVS Qtrly.xlsx]Intra_Inter'!$M$30:$M$36</c:f>
              <c:numCache>
                <c:formatCode>General</c:formatCode>
                <c:ptCount val="7"/>
                <c:pt idx="0">
                  <c:v>-17</c:v>
                </c:pt>
                <c:pt idx="1">
                  <c:v>-73</c:v>
                </c:pt>
                <c:pt idx="2">
                  <c:v>0</c:v>
                </c:pt>
                <c:pt idx="3">
                  <c:v>0</c:v>
                </c:pt>
                <c:pt idx="4">
                  <c:v>7</c:v>
                </c:pt>
                <c:pt idx="5">
                  <c:v>53</c:v>
                </c:pt>
                <c:pt idx="6">
                  <c:v>16</c:v>
                </c:pt>
              </c:numCache>
            </c:numRef>
          </c:val>
        </c:ser>
        <c:ser>
          <c:idx val="1"/>
          <c:order val="1"/>
          <c:tx>
            <c:strRef>
              <c:f>'[NVS Qtrly.xlsx]Intra_Inter'!$N$29</c:f>
              <c:strCache>
                <c:ptCount val="1"/>
                <c:pt idx="0">
                  <c:v>Spend</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Qtrly.xlsx]Intra_Inter'!$L$30:$L$36</c:f>
              <c:strCache>
                <c:ptCount val="7"/>
                <c:pt idx="0">
                  <c:v>NSW</c:v>
                </c:pt>
                <c:pt idx="1">
                  <c:v>VIC</c:v>
                </c:pt>
                <c:pt idx="2">
                  <c:v>QLD</c:v>
                </c:pt>
                <c:pt idx="3">
                  <c:v>SA</c:v>
                </c:pt>
                <c:pt idx="4">
                  <c:v>WA</c:v>
                </c:pt>
                <c:pt idx="5">
                  <c:v>TAS</c:v>
                </c:pt>
                <c:pt idx="6">
                  <c:v>NT</c:v>
                </c:pt>
              </c:strCache>
            </c:strRef>
          </c:cat>
          <c:val>
            <c:numRef>
              <c:f>'[NVS Qtrly.xlsx]Intra_Inter'!$N$30:$N$36</c:f>
              <c:numCache>
                <c:formatCode>General</c:formatCode>
                <c:ptCount val="7"/>
                <c:pt idx="0">
                  <c:v>-19</c:v>
                </c:pt>
                <c:pt idx="1">
                  <c:v>-79</c:v>
                </c:pt>
                <c:pt idx="2">
                  <c:v>10</c:v>
                </c:pt>
                <c:pt idx="3">
                  <c:v>-12</c:v>
                </c:pt>
                <c:pt idx="4">
                  <c:v>5</c:v>
                </c:pt>
                <c:pt idx="5">
                  <c:v>47</c:v>
                </c:pt>
                <c:pt idx="6">
                  <c:v>32</c:v>
                </c:pt>
              </c:numCache>
            </c:numRef>
          </c:val>
        </c:ser>
        <c:dLbls>
          <c:showLegendKey val="0"/>
          <c:showVal val="0"/>
          <c:showCatName val="0"/>
          <c:showSerName val="0"/>
          <c:showPercent val="0"/>
          <c:showBubbleSize val="0"/>
        </c:dLbls>
        <c:gapWidth val="219"/>
        <c:overlap val="-27"/>
        <c:axId val="268030264"/>
        <c:axId val="268027912"/>
      </c:barChart>
      <c:catAx>
        <c:axId val="2680302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027912"/>
        <c:crosses val="autoZero"/>
        <c:auto val="1"/>
        <c:lblAlgn val="ctr"/>
        <c:lblOffset val="100"/>
        <c:noMultiLvlLbl val="0"/>
      </c:catAx>
      <c:valAx>
        <c:axId val="268027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030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'[NVS Qtrly.xlsx]Regional'!$L$36</c:f>
              <c:strCache>
                <c:ptCount val="1"/>
                <c:pt idx="0">
                  <c:v>June</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Qtrly.xlsx]Regional'!$K$37:$K$49</c:f>
              <c:strCache>
                <c:ptCount val="13"/>
                <c:pt idx="0">
                  <c:v>Sydney</c:v>
                </c:pt>
                <c:pt idx="1">
                  <c:v>Regional NSW</c:v>
                </c:pt>
                <c:pt idx="2">
                  <c:v>Melbourne</c:v>
                </c:pt>
                <c:pt idx="3">
                  <c:v>Regional VIC</c:v>
                </c:pt>
                <c:pt idx="4">
                  <c:v>Brisbane/Gold Coast</c:v>
                </c:pt>
                <c:pt idx="5">
                  <c:v>Regional QLD</c:v>
                </c:pt>
                <c:pt idx="6">
                  <c:v>Adelaide</c:v>
                </c:pt>
                <c:pt idx="7">
                  <c:v>Regional SA</c:v>
                </c:pt>
                <c:pt idx="8">
                  <c:v>Perth</c:v>
                </c:pt>
                <c:pt idx="9">
                  <c:v>Regional WA</c:v>
                </c:pt>
                <c:pt idx="10">
                  <c:v>TAS</c:v>
                </c:pt>
                <c:pt idx="11">
                  <c:v>NT</c:v>
                </c:pt>
                <c:pt idx="12">
                  <c:v>ACT</c:v>
                </c:pt>
              </c:strCache>
            </c:strRef>
          </c:cat>
          <c:val>
            <c:numRef>
              <c:f>'[NVS Qtrly.xlsx]Regional'!$L$37:$L$49</c:f>
              <c:numCache>
                <c:formatCode>General</c:formatCode>
                <c:ptCount val="13"/>
                <c:pt idx="0">
                  <c:v>-78</c:v>
                </c:pt>
                <c:pt idx="1">
                  <c:v>-63</c:v>
                </c:pt>
                <c:pt idx="2">
                  <c:v>-86</c:v>
                </c:pt>
                <c:pt idx="3">
                  <c:v>-67</c:v>
                </c:pt>
                <c:pt idx="4">
                  <c:v>-77</c:v>
                </c:pt>
                <c:pt idx="5">
                  <c:v>-60</c:v>
                </c:pt>
                <c:pt idx="6">
                  <c:v>-84</c:v>
                </c:pt>
                <c:pt idx="7">
                  <c:v>-44</c:v>
                </c:pt>
                <c:pt idx="8">
                  <c:v>-56</c:v>
                </c:pt>
                <c:pt idx="9">
                  <c:v>-44</c:v>
                </c:pt>
                <c:pt idx="10">
                  <c:v>-83</c:v>
                </c:pt>
                <c:pt idx="11">
                  <c:v>-73</c:v>
                </c:pt>
                <c:pt idx="12">
                  <c:v>-73</c:v>
                </c:pt>
              </c:numCache>
            </c:numRef>
          </c:val>
        </c:ser>
        <c:ser>
          <c:idx val="1"/>
          <c:order val="1"/>
          <c:tx>
            <c:strRef>
              <c:f>'[NVS Qtrly.xlsx]Regional'!$M$36</c:f>
              <c:strCache>
                <c:ptCount val="1"/>
                <c:pt idx="0">
                  <c:v>September</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Qtrly.xlsx]Regional'!$K$37:$K$49</c:f>
              <c:strCache>
                <c:ptCount val="13"/>
                <c:pt idx="0">
                  <c:v>Sydney</c:v>
                </c:pt>
                <c:pt idx="1">
                  <c:v>Regional NSW</c:v>
                </c:pt>
                <c:pt idx="2">
                  <c:v>Melbourne</c:v>
                </c:pt>
                <c:pt idx="3">
                  <c:v>Regional VIC</c:v>
                </c:pt>
                <c:pt idx="4">
                  <c:v>Brisbane/Gold Coast</c:v>
                </c:pt>
                <c:pt idx="5">
                  <c:v>Regional QLD</c:v>
                </c:pt>
                <c:pt idx="6">
                  <c:v>Adelaide</c:v>
                </c:pt>
                <c:pt idx="7">
                  <c:v>Regional SA</c:v>
                </c:pt>
                <c:pt idx="8">
                  <c:v>Perth</c:v>
                </c:pt>
                <c:pt idx="9">
                  <c:v>Regional WA</c:v>
                </c:pt>
                <c:pt idx="10">
                  <c:v>TAS</c:v>
                </c:pt>
                <c:pt idx="11">
                  <c:v>NT</c:v>
                </c:pt>
                <c:pt idx="12">
                  <c:v>ACT</c:v>
                </c:pt>
              </c:strCache>
            </c:strRef>
          </c:cat>
          <c:val>
            <c:numRef>
              <c:f>'[NVS Qtrly.xlsx]Regional'!$M$37:$M$49</c:f>
              <c:numCache>
                <c:formatCode>General</c:formatCode>
                <c:ptCount val="13"/>
                <c:pt idx="0">
                  <c:v>-69</c:v>
                </c:pt>
                <c:pt idx="1">
                  <c:v>-24</c:v>
                </c:pt>
                <c:pt idx="2">
                  <c:v>-93</c:v>
                </c:pt>
                <c:pt idx="3">
                  <c:v>-73</c:v>
                </c:pt>
                <c:pt idx="4">
                  <c:v>-42</c:v>
                </c:pt>
                <c:pt idx="5">
                  <c:v>-21</c:v>
                </c:pt>
                <c:pt idx="6">
                  <c:v>-66</c:v>
                </c:pt>
                <c:pt idx="7">
                  <c:v>-11</c:v>
                </c:pt>
                <c:pt idx="8">
                  <c:v>-43</c:v>
                </c:pt>
                <c:pt idx="9">
                  <c:v>6</c:v>
                </c:pt>
                <c:pt idx="10">
                  <c:v>-18</c:v>
                </c:pt>
                <c:pt idx="11">
                  <c:v>-51</c:v>
                </c:pt>
                <c:pt idx="12">
                  <c:v>-59</c:v>
                </c:pt>
              </c:numCache>
            </c:numRef>
          </c:val>
        </c:ser>
        <c:dLbls>
          <c:showLegendKey val="0"/>
          <c:showVal val="0"/>
          <c:showCatName val="0"/>
          <c:showSerName val="0"/>
          <c:showPercent val="0"/>
          <c:showBubbleSize val="0"/>
        </c:dLbls>
        <c:gapWidth val="219"/>
        <c:overlap val="-27"/>
        <c:axId val="268031048"/>
        <c:axId val="268024384"/>
      </c:barChart>
      <c:catAx>
        <c:axId val="2680310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68024384"/>
        <c:crosses val="autoZero"/>
        <c:auto val="1"/>
        <c:lblAlgn val="ctr"/>
        <c:lblOffset val="300"/>
        <c:noMultiLvlLbl val="0"/>
      </c:catAx>
      <c:valAx>
        <c:axId val="26802438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68031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5'!$C$2</c:f>
              <c:strCache>
                <c:ptCount val="1"/>
                <c:pt idx="0">
                  <c:v>Trips</c:v>
                </c:pt>
              </c:strCache>
            </c:strRef>
          </c:tx>
          <c:spPr>
            <a:solidFill>
              <a:srgbClr val="C9DB2F"/>
            </a:solidFill>
            <a:ln>
              <a:noFill/>
            </a:ln>
            <a:effectLst/>
          </c:spPr>
          <c:invertIfNegative val="0"/>
          <c:dLbls>
            <c:dLbl>
              <c:idx val="0"/>
              <c:layout/>
              <c:tx>
                <c:rich>
                  <a:bodyPr/>
                  <a:lstStyle/>
                  <a:p>
                    <a:fld id="{9C5C5540-1B93-45EE-A362-EBD03674DC00}" type="VALUE">
                      <a:rPr lang="en-US"/>
                      <a:pPr/>
                      <a:t>[VALUE]</a:t>
                    </a:fld>
                    <a:r>
                      <a:rPr lang="en-US"/>
                      <a:t>M</a:t>
                    </a:r>
                  </a:p>
                  <a:p>
                    <a:r>
                      <a:rPr lang="en-US"/>
                      <a:t>44%</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EE7BC145-A7B4-4CAF-9E03-D09DD3C0645E}" type="VALUE">
                      <a:rPr lang="en-US"/>
                      <a:pPr/>
                      <a:t>[VALUE]</a:t>
                    </a:fld>
                    <a:r>
                      <a:rPr lang="en-US"/>
                      <a:t>M</a:t>
                    </a:r>
                  </a:p>
                  <a:p>
                    <a:r>
                      <a:rPr lang="en-US"/>
                      <a:t>-42%</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65F5E7A5-5A36-4318-91AE-BD7532B9C7D5}" type="VALUE">
                      <a:rPr lang="en-US"/>
                      <a:pPr/>
                      <a:t>[VALUE]</a:t>
                    </a:fld>
                    <a:r>
                      <a:rPr lang="en-US"/>
                      <a:t>M</a:t>
                    </a:r>
                  </a:p>
                  <a:p>
                    <a:r>
                      <a:rPr lang="en-US"/>
                      <a:t>-44%</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5'!$B$3:$B$5</c:f>
              <c:strCache>
                <c:ptCount val="3"/>
                <c:pt idx="0">
                  <c:v>Holiday </c:v>
                </c:pt>
                <c:pt idx="1">
                  <c:v>VFR</c:v>
                </c:pt>
                <c:pt idx="2">
                  <c:v>Business</c:v>
                </c:pt>
              </c:strCache>
            </c:strRef>
          </c:cat>
          <c:val>
            <c:numRef>
              <c:f>'Figure 5'!$C$3:$C$5</c:f>
              <c:numCache>
                <c:formatCode>General</c:formatCode>
                <c:ptCount val="3"/>
                <c:pt idx="0">
                  <c:v>-15.4</c:v>
                </c:pt>
                <c:pt idx="1">
                  <c:v>-12.3</c:v>
                </c:pt>
                <c:pt idx="2">
                  <c:v>-8.9</c:v>
                </c:pt>
              </c:numCache>
            </c:numRef>
          </c:val>
        </c:ser>
        <c:ser>
          <c:idx val="1"/>
          <c:order val="1"/>
          <c:tx>
            <c:strRef>
              <c:f>'Figure 5'!$D$2</c:f>
              <c:strCache>
                <c:ptCount val="1"/>
                <c:pt idx="0">
                  <c:v>Spend</c:v>
                </c:pt>
              </c:strCache>
            </c:strRef>
          </c:tx>
          <c:spPr>
            <a:solidFill>
              <a:srgbClr val="007FA3"/>
            </a:solidFill>
            <a:ln>
              <a:noFill/>
            </a:ln>
            <a:effectLst/>
          </c:spPr>
          <c:invertIfNegative val="0"/>
          <c:dLbls>
            <c:dLbl>
              <c:idx val="0"/>
              <c:layout/>
              <c:tx>
                <c:rich>
                  <a:bodyPr/>
                  <a:lstStyle/>
                  <a:p>
                    <a:r>
                      <a:rPr lang="en-US"/>
                      <a:t>-$12.8B</a:t>
                    </a:r>
                  </a:p>
                  <a:p>
                    <a:r>
                      <a:rPr lang="en-US"/>
                      <a:t>-44%</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-$5.8B</a:t>
                    </a:r>
                  </a:p>
                  <a:p>
                    <a:r>
                      <a:rPr lang="en-US"/>
                      <a:t>-50%</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-$9.4B</a:t>
                    </a:r>
                  </a:p>
                  <a:p>
                    <a:r>
                      <a:rPr lang="en-US"/>
                      <a:t>-56%</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5'!$B$3:$B$5</c:f>
              <c:strCache>
                <c:ptCount val="3"/>
                <c:pt idx="0">
                  <c:v>Holiday </c:v>
                </c:pt>
                <c:pt idx="1">
                  <c:v>VFR</c:v>
                </c:pt>
                <c:pt idx="2">
                  <c:v>Business</c:v>
                </c:pt>
              </c:strCache>
            </c:strRef>
          </c:cat>
          <c:val>
            <c:numRef>
              <c:f>'Figure 5'!$D$3:$D$5</c:f>
              <c:numCache>
                <c:formatCode>General</c:formatCode>
                <c:ptCount val="3"/>
                <c:pt idx="0">
                  <c:v>-12.8</c:v>
                </c:pt>
                <c:pt idx="1">
                  <c:v>-5.8</c:v>
                </c:pt>
                <c:pt idx="2">
                  <c:v>-9.4</c:v>
                </c:pt>
              </c:numCache>
            </c:numRef>
          </c:val>
        </c:ser>
        <c:dLbls>
          <c:showLegendKey val="0"/>
          <c:showVal val="0"/>
          <c:showCatName val="0"/>
          <c:showSerName val="0"/>
          <c:showPercent val="0"/>
          <c:showBubbleSize val="0"/>
        </c:dLbls>
        <c:gapWidth val="219"/>
        <c:overlap val="-27"/>
        <c:axId val="268513040"/>
        <c:axId val="268514608"/>
      </c:barChart>
      <c:catAx>
        <c:axId val="2685130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514608"/>
        <c:crosses val="autoZero"/>
        <c:auto val="1"/>
        <c:lblAlgn val="ctr"/>
        <c:lblOffset val="100"/>
        <c:noMultiLvlLbl val="0"/>
      </c:catAx>
      <c:valAx>
        <c:axId val="26851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513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'[NVS Qtrly.xlsx]Origin'!$C$28</c:f>
              <c:strCache>
                <c:ptCount val="1"/>
                <c:pt idx="0">
                  <c:v>Overnight</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Qtrly.xlsx]Origin'!$B$29:$B$36</c:f>
              <c:strCache>
                <c:ptCount val="8"/>
                <c:pt idx="0">
                  <c:v>NSW</c:v>
                </c:pt>
                <c:pt idx="1">
                  <c:v>VIC</c:v>
                </c:pt>
                <c:pt idx="2">
                  <c:v>QLD</c:v>
                </c:pt>
                <c:pt idx="3">
                  <c:v>SA</c:v>
                </c:pt>
                <c:pt idx="4">
                  <c:v>WA</c:v>
                </c:pt>
                <c:pt idx="5">
                  <c:v>TAS</c:v>
                </c:pt>
                <c:pt idx="6">
                  <c:v>NT</c:v>
                </c:pt>
                <c:pt idx="7">
                  <c:v>ACT</c:v>
                </c:pt>
              </c:strCache>
            </c:strRef>
          </c:cat>
          <c:val>
            <c:numRef>
              <c:f>'[NVS Qtrly.xlsx]Origin'!$C$29:$C$36</c:f>
              <c:numCache>
                <c:formatCode>General</c:formatCode>
                <c:ptCount val="8"/>
                <c:pt idx="0">
                  <c:v>-42</c:v>
                </c:pt>
                <c:pt idx="1">
                  <c:v>-56</c:v>
                </c:pt>
                <c:pt idx="2">
                  <c:v>-35</c:v>
                </c:pt>
                <c:pt idx="3">
                  <c:v>-36</c:v>
                </c:pt>
                <c:pt idx="4">
                  <c:v>-25</c:v>
                </c:pt>
                <c:pt idx="5">
                  <c:v>-35</c:v>
                </c:pt>
                <c:pt idx="6">
                  <c:v>-25</c:v>
                </c:pt>
                <c:pt idx="7">
                  <c:v>-49</c:v>
                </c:pt>
              </c:numCache>
            </c:numRef>
          </c:val>
        </c:ser>
        <c:ser>
          <c:idx val="1"/>
          <c:order val="1"/>
          <c:tx>
            <c:strRef>
              <c:f>'[NVS Qtrly.xlsx]Origin'!$D$28</c:f>
              <c:strCache>
                <c:ptCount val="1"/>
                <c:pt idx="0">
                  <c:v>Day trip</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Qtrly.xlsx]Origin'!$B$29:$B$36</c:f>
              <c:strCache>
                <c:ptCount val="8"/>
                <c:pt idx="0">
                  <c:v>NSW</c:v>
                </c:pt>
                <c:pt idx="1">
                  <c:v>VIC</c:v>
                </c:pt>
                <c:pt idx="2">
                  <c:v>QLD</c:v>
                </c:pt>
                <c:pt idx="3">
                  <c:v>SA</c:v>
                </c:pt>
                <c:pt idx="4">
                  <c:v>WA</c:v>
                </c:pt>
                <c:pt idx="5">
                  <c:v>TAS</c:v>
                </c:pt>
                <c:pt idx="6">
                  <c:v>NT</c:v>
                </c:pt>
                <c:pt idx="7">
                  <c:v>ACT</c:v>
                </c:pt>
              </c:strCache>
            </c:strRef>
          </c:cat>
          <c:val>
            <c:numRef>
              <c:f>'[NVS Qtrly.xlsx]Origin'!$D$29:$D$36</c:f>
              <c:numCache>
                <c:formatCode>General</c:formatCode>
                <c:ptCount val="8"/>
                <c:pt idx="0">
                  <c:v>-35</c:v>
                </c:pt>
                <c:pt idx="1">
                  <c:v>-51</c:v>
                </c:pt>
                <c:pt idx="2">
                  <c:v>-33</c:v>
                </c:pt>
                <c:pt idx="3">
                  <c:v>-21</c:v>
                </c:pt>
                <c:pt idx="4">
                  <c:v>-30</c:v>
                </c:pt>
                <c:pt idx="5">
                  <c:v>-39</c:v>
                </c:pt>
                <c:pt idx="6">
                  <c:v>-39</c:v>
                </c:pt>
                <c:pt idx="7">
                  <c:v>-25</c:v>
                </c:pt>
              </c:numCache>
            </c:numRef>
          </c:val>
        </c:ser>
        <c:dLbls>
          <c:showLegendKey val="0"/>
          <c:showVal val="0"/>
          <c:showCatName val="0"/>
          <c:showSerName val="0"/>
          <c:showPercent val="0"/>
          <c:showBubbleSize val="0"/>
        </c:dLbls>
        <c:gapWidth val="219"/>
        <c:overlap val="-27"/>
        <c:axId val="268515000"/>
        <c:axId val="268512648"/>
      </c:barChart>
      <c:catAx>
        <c:axId val="2685150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512648"/>
        <c:crosses val="autoZero"/>
        <c:auto val="1"/>
        <c:lblAlgn val="ctr"/>
        <c:lblOffset val="300"/>
        <c:noMultiLvlLbl val="0"/>
      </c:catAx>
      <c:valAx>
        <c:axId val="268512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515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7'!$C$2</c:f>
              <c:strCache>
                <c:ptCount val="1"/>
                <c:pt idx="0">
                  <c:v>Year</c:v>
                </c:pt>
              </c:strCache>
            </c:strRef>
          </c:tx>
          <c:spPr>
            <a:solidFill>
              <a:srgbClr val="C9DB2F"/>
            </a:solidFill>
            <a:ln>
              <a:noFill/>
            </a:ln>
            <a:effectLst/>
          </c:spPr>
          <c:invertIfNegative val="0"/>
          <c:dLbls>
            <c:dLbl>
              <c:idx val="0"/>
              <c:layout/>
              <c:tx>
                <c:rich>
                  <a:bodyPr/>
                  <a:lstStyle/>
                  <a:p>
                    <a:fld id="{9498570F-4EA7-4EFF-8723-3900C0072E39}" type="VALUE">
                      <a:rPr lang="en-US"/>
                      <a:pPr/>
                      <a:t>[VALUE]</a:t>
                    </a:fld>
                    <a:r>
                      <a:rPr lang="en-US"/>
                      <a:t>%</a:t>
                    </a:r>
                  </a:p>
                  <a:p>
                    <a:r>
                      <a:rPr lang="en-US"/>
                      <a:t>-39.2M</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0DE1B3B0-4608-41D9-B010-A2484DF8C80A}" type="VALUE">
                      <a:rPr lang="en-US"/>
                      <a:pPr/>
                      <a:t>[VALUE]</a:t>
                    </a:fld>
                    <a:r>
                      <a:rPr lang="en-US"/>
                      <a:t>%</a:t>
                    </a:r>
                  </a:p>
                  <a:p>
                    <a:r>
                      <a:rPr lang="en-US"/>
                      <a:t>-9.8M</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5E2EA36D-687E-401E-B860-E771EA7178BB}" type="VALUE">
                      <a:rPr lang="en-US"/>
                      <a:pPr/>
                      <a:t>[VALUE]</a:t>
                    </a:fld>
                    <a:r>
                      <a:rPr lang="en-US"/>
                      <a:t>%</a:t>
                    </a:r>
                  </a:p>
                  <a:p>
                    <a:r>
                      <a:rPr lang="en-US"/>
                      <a:t>-7.9M</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tx>
                <c:rich>
                  <a:bodyPr/>
                  <a:lstStyle/>
                  <a:p>
                    <a:fld id="{9257821E-2268-4821-86F8-6A4BAA9298C9}" type="VALUE">
                      <a:rPr lang="en-US"/>
                      <a:pPr/>
                      <a:t>[VALUE]</a:t>
                    </a:fld>
                    <a:r>
                      <a:rPr lang="en-US"/>
                      <a:t>%</a:t>
                    </a:r>
                  </a:p>
                  <a:p>
                    <a:r>
                      <a:rPr lang="en-US"/>
                      <a:t>-33.5M</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7'!$B$3:$B$6</c:f>
              <c:strCache>
                <c:ptCount val="4"/>
                <c:pt idx="0">
                  <c:v>Hotel and Resort</c:v>
                </c:pt>
                <c:pt idx="1">
                  <c:v>Rented Apartment/Unit</c:v>
                </c:pt>
                <c:pt idx="2">
                  <c:v>Caravan Park or Camping</c:v>
                </c:pt>
                <c:pt idx="3">
                  <c:v>Friends or Relatives Property</c:v>
                </c:pt>
              </c:strCache>
            </c:strRef>
          </c:cat>
          <c:val>
            <c:numRef>
              <c:f>'Figure 7'!$C$3:$C$6</c:f>
              <c:numCache>
                <c:formatCode>General</c:formatCode>
                <c:ptCount val="4"/>
                <c:pt idx="0">
                  <c:v>-39</c:v>
                </c:pt>
                <c:pt idx="1">
                  <c:v>-27</c:v>
                </c:pt>
                <c:pt idx="2">
                  <c:v>-23</c:v>
                </c:pt>
                <c:pt idx="3">
                  <c:v>-24</c:v>
                </c:pt>
              </c:numCache>
            </c:numRef>
          </c:val>
        </c:ser>
        <c:ser>
          <c:idx val="1"/>
          <c:order val="1"/>
          <c:tx>
            <c:strRef>
              <c:f>'Figure 7'!$D$2</c:f>
              <c:strCache>
                <c:ptCount val="1"/>
                <c:pt idx="0">
                  <c:v>Quarter</c:v>
                </c:pt>
              </c:strCache>
            </c:strRef>
          </c:tx>
          <c:spPr>
            <a:solidFill>
              <a:srgbClr val="007FA3"/>
            </a:solidFill>
            <a:ln>
              <a:noFill/>
            </a:ln>
            <a:effectLst/>
          </c:spPr>
          <c:invertIfNegative val="0"/>
          <c:dLbls>
            <c:dLbl>
              <c:idx val="0"/>
              <c:layout/>
              <c:tx>
                <c:rich>
                  <a:bodyPr/>
                  <a:lstStyle/>
                  <a:p>
                    <a:fld id="{FEF63A61-2DE5-46C7-8CF4-A0AB906A8783}" type="VALUE">
                      <a:rPr lang="en-US"/>
                      <a:pPr/>
                      <a:t>[VALUE]</a:t>
                    </a:fld>
                    <a:r>
                      <a:rPr lang="en-US"/>
                      <a:t>%</a:t>
                    </a:r>
                  </a:p>
                  <a:p>
                    <a:r>
                      <a:rPr lang="en-US"/>
                      <a:t>-16.0M</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E80ECF1F-944E-469C-A3DB-4199D3D92400}" type="VALUE">
                      <a:rPr lang="en-US"/>
                      <a:pPr/>
                      <a:t>[VALUE]</a:t>
                    </a:fld>
                    <a:r>
                      <a:rPr lang="en-US"/>
                      <a:t>%</a:t>
                    </a:r>
                  </a:p>
                  <a:p>
                    <a:r>
                      <a:rPr lang="en-US"/>
                      <a:t>-1.8M</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BF29A69A-97E1-4FB2-B80E-4D1FCA6FAFE1}" type="VALUE">
                      <a:rPr lang="en-US"/>
                      <a:pPr/>
                      <a:t>[VALUE]</a:t>
                    </a:fld>
                    <a:r>
                      <a:rPr lang="en-US"/>
                      <a:t>%</a:t>
                    </a:r>
                  </a:p>
                  <a:p>
                    <a:r>
                      <a:rPr lang="en-US"/>
                      <a:t>-3.6M</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tx>
                <c:rich>
                  <a:bodyPr/>
                  <a:lstStyle/>
                  <a:p>
                    <a:fld id="{69103395-D652-40D5-8672-4A4BA0A9D007}" type="VALUE">
                      <a:rPr lang="en-US"/>
                      <a:pPr/>
                      <a:t>[VALUE]</a:t>
                    </a:fld>
                    <a:r>
                      <a:rPr lang="en-US"/>
                      <a:t>%</a:t>
                    </a:r>
                  </a:p>
                  <a:p>
                    <a:r>
                      <a:rPr lang="en-US"/>
                      <a:t>-12.4M</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7'!$B$3:$B$6</c:f>
              <c:strCache>
                <c:ptCount val="4"/>
                <c:pt idx="0">
                  <c:v>Hotel and Resort</c:v>
                </c:pt>
                <c:pt idx="1">
                  <c:v>Rented Apartment/Unit</c:v>
                </c:pt>
                <c:pt idx="2">
                  <c:v>Caravan Park or Camping</c:v>
                </c:pt>
                <c:pt idx="3">
                  <c:v>Friends or Relatives Property</c:v>
                </c:pt>
              </c:strCache>
            </c:strRef>
          </c:cat>
          <c:val>
            <c:numRef>
              <c:f>'Figure 7'!$D$3:$D$6</c:f>
              <c:numCache>
                <c:formatCode>General</c:formatCode>
                <c:ptCount val="4"/>
                <c:pt idx="0">
                  <c:v>-58</c:v>
                </c:pt>
                <c:pt idx="1">
                  <c:v>-23</c:v>
                </c:pt>
                <c:pt idx="2">
                  <c:v>-35</c:v>
                </c:pt>
                <c:pt idx="3">
                  <c:v>-39</c:v>
                </c:pt>
              </c:numCache>
            </c:numRef>
          </c:val>
        </c:ser>
        <c:dLbls>
          <c:showLegendKey val="0"/>
          <c:showVal val="0"/>
          <c:showCatName val="0"/>
          <c:showSerName val="0"/>
          <c:showPercent val="0"/>
          <c:showBubbleSize val="0"/>
        </c:dLbls>
        <c:gapWidth val="219"/>
        <c:overlap val="-27"/>
        <c:axId val="268517352"/>
        <c:axId val="268516176"/>
      </c:barChart>
      <c:catAx>
        <c:axId val="2685173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516176"/>
        <c:crosses val="autoZero"/>
        <c:auto val="1"/>
        <c:lblAlgn val="ctr"/>
        <c:lblOffset val="100"/>
        <c:noMultiLvlLbl val="0"/>
      </c:catAx>
      <c:valAx>
        <c:axId val="26851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517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'[NVS Qtrly.xlsx]Activities'!$E$130</c:f>
              <c:strCache>
                <c:ptCount val="1"/>
              </c:strCache>
            </c:strRef>
          </c:tx>
          <c:spPr>
            <a:solidFill>
              <a:srgbClr val="C9DB2F"/>
            </a:solidFill>
            <a:ln>
              <a:noFill/>
            </a:ln>
            <a:effectLst/>
          </c:spPr>
          <c:invertIfNegative val="0"/>
          <c:dPt>
            <c:idx val="13"/>
            <c:invertIfNegative val="0"/>
            <c:bubble3D val="0"/>
            <c:spPr>
              <a:solidFill>
                <a:srgbClr val="007FA3"/>
              </a:solidFill>
              <a:ln>
                <a:noFill/>
              </a:ln>
              <a:effectLst/>
            </c:spPr>
          </c:dPt>
          <c:dPt>
            <c:idx val="14"/>
            <c:invertIfNegative val="0"/>
            <c:bubble3D val="0"/>
            <c:spPr>
              <a:solidFill>
                <a:srgbClr val="007FA3"/>
              </a:solidFill>
              <a:ln>
                <a:noFill/>
              </a:ln>
              <a:effectLst/>
            </c:spPr>
          </c:dPt>
          <c:dPt>
            <c:idx val="15"/>
            <c:invertIfNegative val="0"/>
            <c:bubble3D val="0"/>
            <c:spPr>
              <a:solidFill>
                <a:srgbClr val="007FA3"/>
              </a:solidFill>
              <a:ln>
                <a:noFill/>
              </a:ln>
              <a:effectLst/>
            </c:spPr>
          </c:dPt>
          <c:dPt>
            <c:idx val="16"/>
            <c:invertIfNegative val="0"/>
            <c:bubble3D val="0"/>
            <c:spPr>
              <a:solidFill>
                <a:srgbClr val="007FA3"/>
              </a:solidFill>
              <a:ln>
                <a:noFill/>
              </a:ln>
              <a:effectLst/>
            </c:spPr>
          </c:dPt>
          <c:dPt>
            <c:idx val="17"/>
            <c:invertIfNegative val="0"/>
            <c:bubble3D val="0"/>
            <c:spPr>
              <a:solidFill>
                <a:srgbClr val="007FA3"/>
              </a:solidFill>
              <a:ln>
                <a:noFill/>
              </a:ln>
              <a:effectLst/>
            </c:spPr>
          </c:dPt>
          <c:dPt>
            <c:idx val="18"/>
            <c:invertIfNegative val="0"/>
            <c:bubble3D val="0"/>
            <c:spPr>
              <a:solidFill>
                <a:srgbClr val="007FA3"/>
              </a:solidFill>
              <a:ln>
                <a:noFill/>
              </a:ln>
              <a:effectLst/>
            </c:spPr>
          </c:dPt>
          <c:dPt>
            <c:idx val="19"/>
            <c:invertIfNegative val="0"/>
            <c:bubble3D val="0"/>
            <c:spPr>
              <a:solidFill>
                <a:srgbClr val="007FA3"/>
              </a:solidFill>
              <a:ln>
                <a:noFill/>
              </a:ln>
              <a:effectLst/>
            </c:spPr>
          </c:dPt>
          <c:dPt>
            <c:idx val="20"/>
            <c:invertIfNegative val="0"/>
            <c:bubble3D val="0"/>
            <c:spPr>
              <a:solidFill>
                <a:srgbClr val="007FA3"/>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'[NVS Qtrly.xlsx]Activities'!$D$131:$D$151</c:f>
              <c:strCache>
                <c:ptCount val="21"/>
                <c:pt idx="0">
                  <c:v>Theatre/concerts</c:v>
                </c:pt>
                <c:pt idx="1">
                  <c:v>Festivals/events</c:v>
                </c:pt>
                <c:pt idx="2">
                  <c:v>Cinema</c:v>
                </c:pt>
                <c:pt idx="3">
                  <c:v>Organised sporting event</c:v>
                </c:pt>
                <c:pt idx="4">
                  <c:v>Casino</c:v>
                </c:pt>
                <c:pt idx="5">
                  <c:v>Markets</c:v>
                </c:pt>
                <c:pt idx="6">
                  <c:v>Theme parks</c:v>
                </c:pt>
                <c:pt idx="7">
                  <c:v>Museum/Art Gallery</c:v>
                </c:pt>
                <c:pt idx="8">
                  <c:v>Pubs/clubs</c:v>
                </c:pt>
                <c:pt idx="9">
                  <c:v>Dine out</c:v>
                </c:pt>
                <c:pt idx="10">
                  <c:v>Heritage sites</c:v>
                </c:pt>
                <c:pt idx="11">
                  <c:v>Guided tours</c:v>
                </c:pt>
                <c:pt idx="12">
                  <c:v>Exercise</c:v>
                </c:pt>
                <c:pt idx="13">
                  <c:v>Beach</c:v>
                </c:pt>
                <c:pt idx="14">
                  <c:v>National/state parks</c:v>
                </c:pt>
                <c:pt idx="15">
                  <c:v>Golf</c:v>
                </c:pt>
                <c:pt idx="16">
                  <c:v>Bushwalking</c:v>
                </c:pt>
                <c:pt idx="17">
                  <c:v>Farm visits</c:v>
                </c:pt>
                <c:pt idx="18">
                  <c:v>Fishing</c:v>
                </c:pt>
                <c:pt idx="19">
                  <c:v>Cycling</c:v>
                </c:pt>
                <c:pt idx="20">
                  <c:v>Surfing</c:v>
                </c:pt>
              </c:strCache>
            </c:strRef>
          </c:cat>
          <c:val>
            <c:numRef>
              <c:f>'[NVS Qtrly.xlsx]Activities'!$E$131:$E$151</c:f>
              <c:numCache>
                <c:formatCode>General</c:formatCode>
                <c:ptCount val="21"/>
                <c:pt idx="0">
                  <c:v>-92</c:v>
                </c:pt>
                <c:pt idx="1">
                  <c:v>-92</c:v>
                </c:pt>
                <c:pt idx="2">
                  <c:v>-91</c:v>
                </c:pt>
                <c:pt idx="3">
                  <c:v>-84</c:v>
                </c:pt>
                <c:pt idx="4">
                  <c:v>-81</c:v>
                </c:pt>
                <c:pt idx="5">
                  <c:v>-68</c:v>
                </c:pt>
                <c:pt idx="6">
                  <c:v>-67</c:v>
                </c:pt>
                <c:pt idx="7">
                  <c:v>-61</c:v>
                </c:pt>
                <c:pt idx="8">
                  <c:v>-61</c:v>
                </c:pt>
                <c:pt idx="9">
                  <c:v>-57</c:v>
                </c:pt>
                <c:pt idx="10">
                  <c:v>-53</c:v>
                </c:pt>
                <c:pt idx="11">
                  <c:v>-42</c:v>
                </c:pt>
                <c:pt idx="12">
                  <c:v>-36</c:v>
                </c:pt>
                <c:pt idx="13">
                  <c:v>-27</c:v>
                </c:pt>
                <c:pt idx="14">
                  <c:v>-27</c:v>
                </c:pt>
                <c:pt idx="15">
                  <c:v>-22</c:v>
                </c:pt>
                <c:pt idx="16">
                  <c:v>-16</c:v>
                </c:pt>
                <c:pt idx="17">
                  <c:v>-14</c:v>
                </c:pt>
                <c:pt idx="18">
                  <c:v>-8</c:v>
                </c:pt>
                <c:pt idx="19">
                  <c:v>11</c:v>
                </c:pt>
                <c:pt idx="20">
                  <c:v>15</c:v>
                </c:pt>
              </c:numCache>
            </c:numRef>
          </c:val>
        </c:ser>
        <c:dLbls>
          <c:showLegendKey val="0"/>
          <c:showVal val="0"/>
          <c:showCatName val="0"/>
          <c:showSerName val="0"/>
          <c:showPercent val="0"/>
          <c:showBubbleSize val="0"/>
        </c:dLbls>
        <c:gapWidth val="60"/>
        <c:axId val="268513432"/>
        <c:axId val="268515784"/>
      </c:barChart>
      <c:catAx>
        <c:axId val="26851343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68515784"/>
        <c:crosses val="autoZero"/>
        <c:auto val="1"/>
        <c:lblAlgn val="ctr"/>
        <c:lblOffset val="100"/>
        <c:noMultiLvlLbl val="0"/>
      </c:catAx>
      <c:valAx>
        <c:axId val="26851578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513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RA_Style_2013">
  <a:themeElements>
    <a:clrScheme name="TRA 2013 Style">
      <a:dk1>
        <a:sysClr val="windowText" lastClr="000000"/>
      </a:dk1>
      <a:lt1>
        <a:sysClr val="window" lastClr="FFFFFF"/>
      </a:lt1>
      <a:dk2>
        <a:srgbClr val="008BB6"/>
      </a:dk2>
      <a:lt2>
        <a:srgbClr val="DEDBD5"/>
      </a:lt2>
      <a:accent1>
        <a:srgbClr val="F4D450"/>
      </a:accent1>
      <a:accent2>
        <a:srgbClr val="F04B54"/>
      </a:accent2>
      <a:accent3>
        <a:srgbClr val="D4D71E"/>
      </a:accent3>
      <a:accent4>
        <a:srgbClr val="008BB6"/>
      </a:accent4>
      <a:accent5>
        <a:srgbClr val="ACA6A2"/>
      </a:accent5>
      <a:accent6>
        <a:srgbClr val="6AB2A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552E-229F-4389-80BD-C35E2D7A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TRA_SimpleWordTemplate_March2014</Template>
  <TotalTime>884</TotalTime>
  <Pages>7</Pages>
  <Words>1278</Words>
  <Characters>7291</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Document title</vt:lpstr>
      <vt:lpstr>        INTERSTATE and INTRASTATE TRAVEL </vt:lpstr>
      <vt:lpstr>        Capital Cities and Regional Travel</vt:lpstr>
      <vt:lpstr>        Purpose of Visit  </vt:lpstr>
      <vt:lpstr>        STATE OF RESIDENCE</vt:lpstr>
      <vt:lpstr>        AccomModation </vt:lpstr>
      <vt:lpstr>        ACTIVITIES</vt:lpstr>
      <vt:lpstr>        TRAVEL MODE</vt:lpstr>
      <vt:lpstr>        STATES AND TERRITORIES </vt:lpstr>
    </vt:vector>
  </TitlesOfParts>
  <Company>Department of the Prime Minister and Cabinet</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Andrea-Seselja (Canberra)</dc:creator>
  <cp:lastModifiedBy>Jessica-BarrittEyles</cp:lastModifiedBy>
  <cp:revision>49</cp:revision>
  <cp:lastPrinted>2017-06-06T00:57:00Z</cp:lastPrinted>
  <dcterms:created xsi:type="dcterms:W3CDTF">2020-12-21T03:52:00Z</dcterms:created>
  <dcterms:modified xsi:type="dcterms:W3CDTF">2021-01-11T04:59:00Z</dcterms:modified>
</cp:coreProperties>
</file>