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0B73" w14:textId="77777777" w:rsidR="00544F35" w:rsidRPr="00D204C3" w:rsidRDefault="0010593E" w:rsidP="00223B43">
      <w:pPr>
        <w:pStyle w:val="Spacer-cover"/>
      </w:pPr>
      <w:r w:rsidRPr="00D204C3">
        <w:rPr>
          <w:noProof/>
          <w:lang w:eastAsia="en-AU"/>
        </w:rPr>
        <w:drawing>
          <wp:anchor distT="0" distB="0" distL="114300" distR="114300" simplePos="0" relativeHeight="251660288" behindDoc="1" locked="1" layoutInCell="1" allowOverlap="1" wp14:anchorId="39904319" wp14:editId="52B34E80">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544F35" w:rsidRPr="00D204C3">
        <w:rPr>
          <w:noProof/>
          <w:lang w:eastAsia="en-AU"/>
        </w:rPr>
        <w:drawing>
          <wp:anchor distT="0" distB="0" distL="114300" distR="114300" simplePos="0" relativeHeight="251658240" behindDoc="1" locked="1" layoutInCell="1" allowOverlap="1" wp14:anchorId="171B8711" wp14:editId="39423628">
            <wp:simplePos x="0" y="0"/>
            <wp:positionH relativeFrom="page">
              <wp:posOffset>288290</wp:posOffset>
            </wp:positionH>
            <wp:positionV relativeFrom="page">
              <wp:posOffset>288290</wp:posOffset>
            </wp:positionV>
            <wp:extent cx="6984000" cy="2232000"/>
            <wp:effectExtent l="0" t="0" r="762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0" cy="2232000"/>
                    </a:xfrm>
                    <a:prstGeom prst="rect">
                      <a:avLst/>
                    </a:prstGeom>
                  </pic:spPr>
                </pic:pic>
              </a:graphicData>
            </a:graphic>
            <wp14:sizeRelH relativeFrom="margin">
              <wp14:pctWidth>0</wp14:pctWidth>
            </wp14:sizeRelH>
            <wp14:sizeRelV relativeFrom="margin">
              <wp14:pctHeight>0</wp14:pctHeight>
            </wp14:sizeRelV>
          </wp:anchor>
        </w:drawing>
      </w:r>
    </w:p>
    <w:p w14:paraId="16A51BAA" w14:textId="4FA949CB" w:rsidR="00B96FF7" w:rsidRPr="00D204C3" w:rsidRDefault="00BA2A4E" w:rsidP="00223B43">
      <w:pPr>
        <w:pStyle w:val="Title"/>
      </w:pPr>
      <w:r>
        <w:t>N</w:t>
      </w:r>
      <w:r w:rsidR="00E2779A">
        <w:t xml:space="preserve">ATIONAL VISITOR SURVEY RESULTS </w:t>
      </w:r>
      <w:r w:rsidR="00CB03FC">
        <w:t>JUNE</w:t>
      </w:r>
      <w:r w:rsidR="00E2779A">
        <w:t xml:space="preserve"> QUARTER 2022</w:t>
      </w:r>
    </w:p>
    <w:p w14:paraId="736744A6" w14:textId="77777777" w:rsidR="00165E47" w:rsidRPr="00D204C3" w:rsidRDefault="00165E47" w:rsidP="00572276">
      <w:pPr>
        <w:pStyle w:val="Heading2"/>
        <w:rPr>
          <w:sz w:val="2"/>
          <w:szCs w:val="2"/>
        </w:rPr>
      </w:pPr>
    </w:p>
    <w:p w14:paraId="4153463A" w14:textId="0BE34926" w:rsidR="00DE4FC6" w:rsidRDefault="00DE4FC6" w:rsidP="00734CC5">
      <w:pPr>
        <w:pStyle w:val="Quote"/>
        <w:spacing w:after="120"/>
        <w:ind w:right="0"/>
      </w:pPr>
      <w:bookmarkStart w:id="0" w:name="_Hlk97281665"/>
      <w:r w:rsidRPr="00D204C3">
        <w:rPr>
          <w:b/>
          <w:bCs/>
        </w:rPr>
        <w:t xml:space="preserve">Note: </w:t>
      </w:r>
      <w:r>
        <w:t>S</w:t>
      </w:r>
      <w:r w:rsidRPr="00D204C3">
        <w:t>ummary results for</w:t>
      </w:r>
      <w:r>
        <w:t xml:space="preserve"> the June 2022 quarter, and the year ending June 2022, are compared to the June 2019 quarter, and the year ending June 2019 unless stated otherwise. </w:t>
      </w:r>
      <w:bookmarkEnd w:id="0"/>
    </w:p>
    <w:p w14:paraId="30D11728" w14:textId="528E8A0F" w:rsidR="00584BF4" w:rsidRDefault="00584BF4" w:rsidP="00734CC5">
      <w:pPr>
        <w:pStyle w:val="Heading2"/>
        <w:spacing w:before="160"/>
      </w:pPr>
      <w:r w:rsidRPr="00D204C3">
        <w:t xml:space="preserve">Year ending </w:t>
      </w:r>
      <w:r>
        <w:t>June 2022</w:t>
      </w:r>
    </w:p>
    <w:p w14:paraId="60723577" w14:textId="4EE77C40" w:rsidR="00584BF4" w:rsidRDefault="00A070B8" w:rsidP="00584BF4">
      <w:r>
        <w:rPr>
          <w:noProof/>
        </w:rPr>
        <w:drawing>
          <wp:inline distT="0" distB="0" distL="0" distR="0" wp14:anchorId="21969598" wp14:editId="4D14C272">
            <wp:extent cx="6120130" cy="594360"/>
            <wp:effectExtent l="0" t="0" r="0" b="0"/>
            <wp:docPr id="12" name="Picture 12" descr="Year ending June 2022&#10;&#10;Overnight spend - $69 billion. Down 11% on 2019.&#10;&#10;Overnight trips - 85.8 million. Down 24% on 2019.&#10;&#10;Nights - 327.2 million. Down 18% 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Year ending June 2022&#10;&#10;Overnight spend - $69 billion. Down 11% on 2019.&#10;&#10;Overnight trips - 85.8 million. Down 24% on 2019.&#10;&#10;Nights - 327.2 million. Down 18% on 2019."/>
                    <pic:cNvPicPr/>
                  </pic:nvPicPr>
                  <pic:blipFill>
                    <a:blip r:embed="rId15"/>
                    <a:stretch>
                      <a:fillRect/>
                    </a:stretch>
                  </pic:blipFill>
                  <pic:spPr>
                    <a:xfrm>
                      <a:off x="0" y="0"/>
                      <a:ext cx="6120130" cy="594360"/>
                    </a:xfrm>
                    <a:prstGeom prst="rect">
                      <a:avLst/>
                    </a:prstGeom>
                  </pic:spPr>
                </pic:pic>
              </a:graphicData>
            </a:graphic>
          </wp:inline>
        </w:drawing>
      </w:r>
    </w:p>
    <w:p w14:paraId="72D2B742" w14:textId="5E93BDE6" w:rsidR="00BC4677" w:rsidRPr="00BC4677" w:rsidRDefault="00584BF4" w:rsidP="00A070B8">
      <w:pPr>
        <w:pStyle w:val="Heading2"/>
        <w:spacing w:before="160"/>
      </w:pPr>
      <w:r>
        <w:t>June</w:t>
      </w:r>
      <w:r w:rsidRPr="00D204C3">
        <w:t xml:space="preserve"> quarter 202</w:t>
      </w:r>
      <w:r>
        <w:t>2</w:t>
      </w:r>
    </w:p>
    <w:p w14:paraId="79909955" w14:textId="285E2891" w:rsidR="00584BF4" w:rsidRDefault="00A070B8" w:rsidP="00584BF4">
      <w:r>
        <w:rPr>
          <w:noProof/>
        </w:rPr>
        <w:drawing>
          <wp:inline distT="0" distB="0" distL="0" distR="0" wp14:anchorId="3F46FACC" wp14:editId="1D09D9DC">
            <wp:extent cx="6120130" cy="596265"/>
            <wp:effectExtent l="0" t="0" r="0" b="0"/>
            <wp:docPr id="13" name="Picture 13" descr="June quarter 2022&#10;&#10;Overnight spend - $25.3 billion. Up 29% on 2019.&#10;&#10;Overnight trips - 28.3 million. Down 6% on 2019.&#10;&#10;Nights - 99.6 million. Down 2% 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June quarter 2022&#10;&#10;Overnight spend - $25.3 billion. Up 29% on 2019.&#10;&#10;Overnight trips - 28.3 million. Down 6% on 2019.&#10;&#10;Nights - 99.6 million. Down 2% on 2019."/>
                    <pic:cNvPicPr/>
                  </pic:nvPicPr>
                  <pic:blipFill>
                    <a:blip r:embed="rId16"/>
                    <a:stretch>
                      <a:fillRect/>
                    </a:stretch>
                  </pic:blipFill>
                  <pic:spPr>
                    <a:xfrm>
                      <a:off x="0" y="0"/>
                      <a:ext cx="6120130" cy="596265"/>
                    </a:xfrm>
                    <a:prstGeom prst="rect">
                      <a:avLst/>
                    </a:prstGeom>
                  </pic:spPr>
                </pic:pic>
              </a:graphicData>
            </a:graphic>
          </wp:inline>
        </w:drawing>
      </w:r>
    </w:p>
    <w:p w14:paraId="0F411251" w14:textId="17FE7A91" w:rsidR="00E721A4" w:rsidRDefault="00E721A4" w:rsidP="00A070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956"/>
      </w:tblGrid>
      <w:tr w:rsidR="005A6F07" w14:paraId="552CE606" w14:textId="77777777" w:rsidTr="00734CC5">
        <w:tc>
          <w:tcPr>
            <w:tcW w:w="9628" w:type="dxa"/>
            <w:gridSpan w:val="2"/>
          </w:tcPr>
          <w:p w14:paraId="56A00D59" w14:textId="78AECA7A" w:rsidR="005A6F07" w:rsidRPr="005A6F07" w:rsidRDefault="005A6F07" w:rsidP="005A6F07">
            <w:pPr>
              <w:pStyle w:val="Heading2"/>
              <w:spacing w:before="0" w:after="0"/>
              <w:outlineLvl w:val="1"/>
            </w:pPr>
            <w:r>
              <w:t>June</w:t>
            </w:r>
            <w:r w:rsidRPr="00477089">
              <w:t xml:space="preserve"> </w:t>
            </w:r>
            <w:r>
              <w:t>results show strong recovery from COVID-19</w:t>
            </w:r>
          </w:p>
        </w:tc>
      </w:tr>
      <w:tr w:rsidR="005A6F07" w14:paraId="621A04EA" w14:textId="77777777" w:rsidTr="00504D0B">
        <w:tc>
          <w:tcPr>
            <w:tcW w:w="5245" w:type="dxa"/>
          </w:tcPr>
          <w:p w14:paraId="49D547CF" w14:textId="77777777" w:rsidR="005A6F07" w:rsidRDefault="005A6F07" w:rsidP="005A6F07"/>
          <w:p w14:paraId="1AF6A25E" w14:textId="1630BA9A" w:rsidR="005A6F07" w:rsidRDefault="005A6F07" w:rsidP="005A6F07">
            <w:r>
              <w:t>The June quarter 2022 saw domestic tourism continue to recover from pre-pandemic levels, supported by Easter and the school holiday period.</w:t>
            </w:r>
          </w:p>
          <w:p w14:paraId="667356B9" w14:textId="77777777" w:rsidR="005A6F07" w:rsidRDefault="005A6F07" w:rsidP="005A6F07"/>
          <w:p w14:paraId="02BFA6DA" w14:textId="76512E17" w:rsidR="005A6F07" w:rsidRDefault="005A6F07" w:rsidP="005A6F07">
            <w:r>
              <w:t>Spend exceeded pre-pandemic levels by 29%</w:t>
            </w:r>
            <w:r w:rsidR="00131618">
              <w:t>;</w:t>
            </w:r>
            <w:r>
              <w:t xml:space="preserve"> however, overnight trips and nights spent away </w:t>
            </w:r>
            <w:r w:rsidR="009634C1">
              <w:t>were</w:t>
            </w:r>
            <w:r>
              <w:t xml:space="preserve"> still slightly down when compared to pre-pandemic levels (down 6% and 2% respectively).</w:t>
            </w:r>
          </w:p>
          <w:p w14:paraId="41179A9B" w14:textId="77777777" w:rsidR="005A6F07" w:rsidRDefault="005A6F07" w:rsidP="005A6F07"/>
          <w:p w14:paraId="7D90C973" w14:textId="0D709D3D" w:rsidR="005A6F07" w:rsidRDefault="005A6F07" w:rsidP="005A6F07">
            <w:r>
              <w:t xml:space="preserve">The forward-looking overnight domestic trip rate indicator (Figure 1) continued to show positive signs for the visitor economy in July and August 2022. Results were significantly higher than the comparable periods in 2021 and 2020. This is largely due to the widespread lockdowns impacting these periods in both comparative years.  </w:t>
            </w:r>
          </w:p>
        </w:tc>
        <w:tc>
          <w:tcPr>
            <w:tcW w:w="4383" w:type="dxa"/>
          </w:tcPr>
          <w:p w14:paraId="793E830A" w14:textId="77777777" w:rsidR="005A6F07" w:rsidRDefault="005A6F07" w:rsidP="005A6F07">
            <w:pPr>
              <w:rPr>
                <w:b/>
                <w:bCs/>
              </w:rPr>
            </w:pPr>
          </w:p>
          <w:p w14:paraId="2A55604F" w14:textId="0BF43A59" w:rsidR="005A6F07" w:rsidRDefault="005A6F07" w:rsidP="005A6F07">
            <w:pPr>
              <w:rPr>
                <w:b/>
                <w:bCs/>
                <w:noProof/>
              </w:rPr>
            </w:pPr>
            <w:r w:rsidRPr="001B5E50">
              <w:rPr>
                <w:b/>
                <w:bCs/>
              </w:rPr>
              <w:t xml:space="preserve">Figure </w:t>
            </w:r>
            <w:r>
              <w:rPr>
                <w:b/>
                <w:bCs/>
              </w:rPr>
              <w:t>1</w:t>
            </w:r>
            <w:r w:rsidRPr="001B5E50">
              <w:rPr>
                <w:b/>
                <w:bCs/>
              </w:rPr>
              <w:t xml:space="preserve">. Domestic overnight trips and trip rates, March 2020 to </w:t>
            </w:r>
            <w:r>
              <w:rPr>
                <w:b/>
                <w:bCs/>
              </w:rPr>
              <w:t>August</w:t>
            </w:r>
            <w:r w:rsidRPr="001B5E50">
              <w:rPr>
                <w:b/>
                <w:bCs/>
              </w:rPr>
              <w:t xml:space="preserve"> 2022</w:t>
            </w:r>
            <w:r w:rsidRPr="001B5E50">
              <w:rPr>
                <w:b/>
                <w:bCs/>
                <w:vertAlign w:val="superscript"/>
              </w:rPr>
              <w:t>1</w:t>
            </w:r>
            <w:r w:rsidRPr="001B5E50">
              <w:rPr>
                <w:b/>
                <w:bCs/>
                <w:noProof/>
              </w:rPr>
              <w:t xml:space="preserve">  </w:t>
            </w:r>
          </w:p>
          <w:p w14:paraId="336F2B3E" w14:textId="77777777" w:rsidR="005A6F07" w:rsidRPr="001B5E50" w:rsidRDefault="005A6F07" w:rsidP="005A6F07">
            <w:pPr>
              <w:rPr>
                <w:b/>
                <w:bCs/>
              </w:rPr>
            </w:pPr>
          </w:p>
          <w:p w14:paraId="247DF6D3" w14:textId="77777777" w:rsidR="005A6F07" w:rsidRDefault="005A6F07" w:rsidP="005A6F07">
            <w:pPr>
              <w:rPr>
                <w:rFonts w:ascii="AU Sans BETA Text Light" w:hAnsi="AU Sans BETA Text Light"/>
                <w:sz w:val="24"/>
                <w:szCs w:val="24"/>
              </w:rPr>
            </w:pPr>
            <w:r>
              <w:rPr>
                <w:noProof/>
              </w:rPr>
              <w:drawing>
                <wp:inline distT="0" distB="0" distL="0" distR="0" wp14:anchorId="77337E59" wp14:editId="0B4186A3">
                  <wp:extent cx="3000375" cy="1728470"/>
                  <wp:effectExtent l="0" t="0" r="9525" b="5080"/>
                  <wp:docPr id="7" name="Picture 7" descr="The chart illustrates the number of domestic overnight trips taken by month from March 2020 to June 2022. The chart also illustrates the trip rate for NVS respondents from March 2020 to August 2022. &#10;&#10;The chart shows that the trip rate follows a similar pattern to the number of domestic overnight trips. As the trip rate data is available two months in advance of the overnight trips data it can provide insight for where overnight trips are likely to head in July and August 2022.&#10;&#10;There were 6 million domestic overnight trips in March 2020, this dropped significantly to under 2 million in April 2020. This then increased gradually until May 2021 where it peaked at approximately 10 million overnight trips. Trips then declined due to the lockdowns in mid-2021, reaching just under 4 million trips in August and September 2021. Following that, overnight trips rebounded and gradually increased to peak at 10.7 million in April 2022. In June 2022, there were approximately 8.4 million overnight trips.&#10;The trip rate followed a similar pattern, in March 2020, almost 25 per cent of NVS respondents reported taking one or more trips in the preceding 28 days. This dropped significantly in April and May of 2020 to between 5 and 10 per cent of respondents reporting taking a trip in the reference period. From there the trip rate gradually increased until peaking in April 2021 with just over 30 per cent of respondents taking at least one overnight trip. This then gradually declined until reaching 10 per cent in September 2021. There was then a sharp improvement in trip rates, reaching 32.18% in May 2022 before declining slightly to 28.17% in August 2022. This indicates that this trend is likely to be observed in the July and August 2022 overnight trips data once this become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chart illustrates the number of domestic overnight trips taken by month from March 2020 to June 2022. The chart also illustrates the trip rate for NVS respondents from March 2020 to August 2022. &#10;&#10;The chart shows that the trip rate follows a similar pattern to the number of domestic overnight trips. As the trip rate data is available two months in advance of the overnight trips data it can provide insight for where overnight trips are likely to head in July and August 2022.&#10;&#10;There were 6 million domestic overnight trips in March 2020, this dropped significantly to under 2 million in April 2020. This then increased gradually until May 2021 where it peaked at approximately 10 million overnight trips. Trips then declined due to the lockdowns in mid-2021, reaching just under 4 million trips in August and September 2021. Following that, overnight trips rebounded and gradually increased to peak at 10.7 million in April 2022. In June 2022, there were approximately 8.4 million overnight trips.&#10;The trip rate followed a similar pattern, in March 2020, almost 25 per cent of NVS respondents reported taking one or more trips in the preceding 28 days. This dropped significantly in April and May of 2020 to between 5 and 10 per cent of respondents reporting taking a trip in the reference period. From there the trip rate gradually increased until peaking in April 2021 with just over 30 per cent of respondents taking at least one overnight trip. This then gradually declined until reaching 10 per cent in September 2021. There was then a sharp improvement in trip rates, reaching 32.18% in May 2022 before declining slightly to 28.17% in August 2022. This indicates that this trend is likely to be observed in the July and August 2022 overnight trips data once this becomes avail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7500" cy="1749857"/>
                          </a:xfrm>
                          <a:prstGeom prst="rect">
                            <a:avLst/>
                          </a:prstGeom>
                          <a:noFill/>
                        </pic:spPr>
                      </pic:pic>
                    </a:graphicData>
                  </a:graphic>
                </wp:inline>
              </w:drawing>
            </w:r>
          </w:p>
          <w:p w14:paraId="5A9CBC9E" w14:textId="28DF95AE" w:rsidR="005A6F07" w:rsidRPr="005A6F07" w:rsidRDefault="005A6F07" w:rsidP="005A6F07">
            <w:r w:rsidRPr="005A6F07">
              <w:rPr>
                <w:rFonts w:ascii="AU Sans BETA Text Light" w:hAnsi="AU Sans BETA Text Light"/>
                <w:sz w:val="24"/>
                <w:szCs w:val="24"/>
              </w:rPr>
              <w:t xml:space="preserve"> </w:t>
            </w:r>
            <w:r w:rsidRPr="005A6F07">
              <w:rPr>
                <w:rFonts w:ascii="AU Sans BETA Text Light" w:hAnsi="AU Sans BETA Text Light" w:cs="AU Sans BETA Text Light"/>
                <w:color w:val="000000"/>
                <w:position w:val="5"/>
                <w:sz w:val="8"/>
                <w:szCs w:val="8"/>
                <w:vertAlign w:val="superscript"/>
              </w:rPr>
              <w:t xml:space="preserve">1 </w:t>
            </w:r>
            <w:r w:rsidRPr="005A6F07">
              <w:rPr>
                <w:rFonts w:ascii="AU Sans BETA Text Light" w:hAnsi="AU Sans BETA Text Light" w:cs="AU Sans BETA Text Light"/>
                <w:color w:val="000000"/>
                <w:sz w:val="14"/>
                <w:szCs w:val="14"/>
              </w:rPr>
              <w:t xml:space="preserve">The trip rate reports </w:t>
            </w:r>
            <w:proofErr w:type="gramStart"/>
            <w:r w:rsidRPr="005A6F07">
              <w:rPr>
                <w:rFonts w:ascii="AU Sans BETA Text Light" w:hAnsi="AU Sans BETA Text Light" w:cs="AU Sans BETA Text Light"/>
                <w:color w:val="000000"/>
                <w:sz w:val="14"/>
                <w:szCs w:val="14"/>
              </w:rPr>
              <w:t>whether or not</w:t>
            </w:r>
            <w:proofErr w:type="gramEnd"/>
            <w:r w:rsidRPr="005A6F07">
              <w:rPr>
                <w:rFonts w:ascii="AU Sans BETA Text Light" w:hAnsi="AU Sans BETA Text Light" w:cs="AU Sans BETA Text Light"/>
                <w:color w:val="000000"/>
                <w:sz w:val="14"/>
                <w:szCs w:val="14"/>
              </w:rPr>
              <w:t xml:space="preserve"> a respondent has taken a trip in the past four weeks. The trip rate of 28.17% for August indicates a high level of NVS respondents reported taking one or more overnight trips in the preceding 28 days (the reference period). The return date will have been in July 2022 for some of these trips reported in August. </w:t>
            </w:r>
          </w:p>
          <w:p w14:paraId="368D343E" w14:textId="49FCF0E9" w:rsidR="005A6F07" w:rsidRDefault="005A6F07" w:rsidP="005A6F07">
            <w:r w:rsidRPr="005A6F07">
              <w:rPr>
                <w:rFonts w:ascii="AU Sans BETA Text Light" w:hAnsi="AU Sans BETA Text Light" w:cs="AU Sans BETA Text Light"/>
                <w:color w:val="000000"/>
                <w:sz w:val="14"/>
                <w:szCs w:val="14"/>
              </w:rPr>
              <w:t>The trip estimate of 8.4 million for the month of June refers to overnight trips returned from in that month.</w:t>
            </w:r>
          </w:p>
        </w:tc>
      </w:tr>
    </w:tbl>
    <w:p w14:paraId="5B310F07" w14:textId="041A6633" w:rsidR="005A6F07" w:rsidRDefault="005A6F07" w:rsidP="00D62FB1"/>
    <w:p w14:paraId="3D15E726" w14:textId="77777777" w:rsidR="00A070B8" w:rsidRDefault="00A070B8" w:rsidP="001B5E50">
      <w:pPr>
        <w:rPr>
          <w:b/>
          <w:bCs/>
          <w:color w:val="1E988A" w:themeColor="background2"/>
          <w:sz w:val="26"/>
          <w:szCs w:val="26"/>
        </w:rPr>
      </w:pPr>
    </w:p>
    <w:p w14:paraId="268E9CCC" w14:textId="6F0F6801" w:rsidR="00E1075E" w:rsidRDefault="003A6D04" w:rsidP="001B5E50">
      <w:pPr>
        <w:rPr>
          <w:b/>
          <w:bCs/>
          <w:color w:val="1E988A" w:themeColor="background2"/>
          <w:sz w:val="26"/>
          <w:szCs w:val="26"/>
        </w:rPr>
      </w:pPr>
      <w:r w:rsidRPr="00843A98">
        <w:rPr>
          <w:b/>
          <w:bCs/>
          <w:color w:val="1E988A" w:themeColor="background2"/>
          <w:sz w:val="26"/>
          <w:szCs w:val="26"/>
        </w:rPr>
        <w:lastRenderedPageBreak/>
        <w:t xml:space="preserve">Changing domestic travel purpose </w:t>
      </w:r>
    </w:p>
    <w:p w14:paraId="741CB308" w14:textId="77777777" w:rsidR="00BC4677" w:rsidRDefault="00BC4677" w:rsidP="00BC4677">
      <w:r>
        <w:t xml:space="preserve">COVID-19 has led to a shift in the reason for domestic overnight travel. Employers have embraced remote working, investing in infrastructure to enable working from home and collaboration across sites. In the June quarter 2022, domestic travellers were going on more and longer holidays while going on fewer business trips. </w:t>
      </w:r>
    </w:p>
    <w:p w14:paraId="0C0D4055" w14:textId="057621D3" w:rsidR="00BC4677" w:rsidRDefault="00BC4677" w:rsidP="00BC4677">
      <w:r>
        <w:t>When compared to pre-pandemic spend</w:t>
      </w:r>
      <w:r w:rsidR="009634C1">
        <w:t>,</w:t>
      </w:r>
      <w:r>
        <w:t xml:space="preserve"> in the June quarter 2022 Australians spent (Figure 2):</w:t>
      </w:r>
    </w:p>
    <w:p w14:paraId="7369AB42" w14:textId="77777777" w:rsidR="00BC4677" w:rsidRPr="008060D4" w:rsidRDefault="00BC4677" w:rsidP="00BC4677">
      <w:pPr>
        <w:pStyle w:val="ListParagraph"/>
        <w:numPr>
          <w:ilvl w:val="0"/>
          <w:numId w:val="47"/>
        </w:numPr>
        <w:rPr>
          <w:rFonts w:asciiTheme="majorHAnsi" w:hAnsiTheme="majorHAnsi"/>
        </w:rPr>
      </w:pPr>
      <w:r w:rsidRPr="008060D4">
        <w:rPr>
          <w:rFonts w:asciiTheme="majorHAnsi" w:hAnsiTheme="majorHAnsi"/>
        </w:rPr>
        <w:t xml:space="preserve">more on holiday travel (up 60% on pre-pandemic levels)  </w:t>
      </w:r>
    </w:p>
    <w:p w14:paraId="37DBED87" w14:textId="77777777" w:rsidR="00BC4677" w:rsidRPr="008060D4" w:rsidRDefault="00BC4677" w:rsidP="00BC4677">
      <w:pPr>
        <w:pStyle w:val="ListParagraph"/>
        <w:numPr>
          <w:ilvl w:val="0"/>
          <w:numId w:val="47"/>
        </w:numPr>
        <w:rPr>
          <w:rFonts w:asciiTheme="majorHAnsi" w:hAnsiTheme="majorHAnsi"/>
        </w:rPr>
      </w:pPr>
      <w:r w:rsidRPr="008060D4">
        <w:rPr>
          <w:rFonts w:asciiTheme="majorHAnsi" w:hAnsiTheme="majorHAnsi"/>
        </w:rPr>
        <w:t xml:space="preserve">more on travel for the purpose of visiting friends and relatives (up 39% on pre-pandemic levels) </w:t>
      </w:r>
    </w:p>
    <w:p w14:paraId="0B3412E9" w14:textId="77777777" w:rsidR="00BC4677" w:rsidRPr="008060D4" w:rsidRDefault="00BC4677" w:rsidP="00BC4677">
      <w:pPr>
        <w:pStyle w:val="ListParagraph"/>
        <w:numPr>
          <w:ilvl w:val="0"/>
          <w:numId w:val="47"/>
        </w:numPr>
        <w:rPr>
          <w:rFonts w:asciiTheme="majorHAnsi" w:hAnsiTheme="majorHAnsi"/>
        </w:rPr>
      </w:pPr>
      <w:r w:rsidRPr="008060D4">
        <w:rPr>
          <w:rFonts w:asciiTheme="majorHAnsi" w:hAnsiTheme="majorHAnsi"/>
        </w:rPr>
        <w:t>less on business travel (down 23% on pre-pandemic levels). However, business travel was up 27% on June 2021.</w:t>
      </w:r>
    </w:p>
    <w:p w14:paraId="67C63754" w14:textId="77777777" w:rsidR="00BC4677" w:rsidRDefault="00BC4677" w:rsidP="00BC4677">
      <w:pPr>
        <w:rPr>
          <w:rFonts w:asciiTheme="majorHAnsi" w:hAnsiTheme="majorHAnsi"/>
        </w:rPr>
      </w:pPr>
    </w:p>
    <w:p w14:paraId="7ACFED88" w14:textId="44433E47" w:rsidR="00BC4677" w:rsidRDefault="00BC4677" w:rsidP="00BC4677">
      <w:pPr>
        <w:rPr>
          <w:rFonts w:asciiTheme="majorHAnsi" w:hAnsiTheme="majorHAnsi"/>
        </w:rPr>
      </w:pPr>
      <w:r w:rsidRPr="008060D4">
        <w:rPr>
          <w:rFonts w:asciiTheme="majorHAnsi" w:hAnsiTheme="majorHAnsi"/>
        </w:rPr>
        <w:t>This quarter saw the biggest increase in spend for holiday purposes since the start of the pandemic (up $5.2</w:t>
      </w:r>
      <w:r>
        <w:rPr>
          <w:rFonts w:asciiTheme="majorHAnsi" w:hAnsiTheme="majorHAnsi"/>
        </w:rPr>
        <w:t>b</w:t>
      </w:r>
      <w:r w:rsidRPr="008060D4">
        <w:rPr>
          <w:rFonts w:asciiTheme="majorHAnsi" w:hAnsiTheme="majorHAnsi"/>
        </w:rPr>
        <w:t>).</w:t>
      </w:r>
    </w:p>
    <w:p w14:paraId="2B0A39D5" w14:textId="0651CC79" w:rsidR="00BC4677" w:rsidRDefault="00BC4677" w:rsidP="00BC4677">
      <w:pPr>
        <w:rPr>
          <w:b/>
          <w:bCs/>
        </w:rPr>
      </w:pPr>
      <w:r w:rsidRPr="001B5E50">
        <w:rPr>
          <w:b/>
          <w:bCs/>
        </w:rPr>
        <w:t xml:space="preserve">Figure </w:t>
      </w:r>
      <w:r>
        <w:rPr>
          <w:b/>
          <w:bCs/>
        </w:rPr>
        <w:t>2</w:t>
      </w:r>
      <w:r w:rsidRPr="001B5E50">
        <w:rPr>
          <w:b/>
          <w:bCs/>
        </w:rPr>
        <w:t xml:space="preserve">: </w:t>
      </w:r>
      <w:r>
        <w:rPr>
          <w:b/>
          <w:bCs/>
        </w:rPr>
        <w:t>S</w:t>
      </w:r>
      <w:r w:rsidRPr="001B5E50">
        <w:rPr>
          <w:b/>
          <w:bCs/>
        </w:rPr>
        <w:t xml:space="preserve">pend by trip purpose </w:t>
      </w:r>
      <w:r>
        <w:rPr>
          <w:b/>
          <w:bCs/>
        </w:rPr>
        <w:t>June quarter 2019 and 2022</w:t>
      </w:r>
    </w:p>
    <w:p w14:paraId="0B1DDF27" w14:textId="328EE15D" w:rsidR="009634C1" w:rsidRPr="00BC4677" w:rsidRDefault="009634C1" w:rsidP="00BC4677">
      <w:pPr>
        <w:rPr>
          <w:b/>
          <w:bCs/>
        </w:rPr>
      </w:pPr>
      <w:r>
        <w:rPr>
          <w:b/>
          <w:bCs/>
          <w:noProof/>
        </w:rPr>
        <w:drawing>
          <wp:inline distT="0" distB="0" distL="0" distR="0" wp14:anchorId="082CAB4E" wp14:editId="538FA1AF">
            <wp:extent cx="6120765" cy="2463165"/>
            <wp:effectExtent l="0" t="0" r="0" b="0"/>
            <wp:docPr id="9" name="Picture 9" descr="The chart illustrates the number of domestic overnight trips taken by month from March 2020 to June 2022. The chart also illustrates the trip rate for NVS respondents from March 2020 to August 2022. &#10;&#10;The chart shows that the trip rate follows a similar pattern to the number of domestic overnight trips. As the trip rate data is available two months in advance of the overnight trips data it can provide insight for where overnight trips are likely to head in July and August 2022.&#10;&#10;There were 6 million domestic overnight trips in March 2020, this dropped significantly to under 2 million in April 2020. This then increased gradually until May 2021 where it peaked at approximately 10 million overnight trips. Trips then declined due to the lockdowns in mid-2021, reaching just under 4 million trips in August and September 2021. Following that, overnight trips rebounded and gradually increased to peak at 10.7 million in April 2022. In June 2022, there were approximately 8.4 million overnight trips.&#10;The trip rate followed a similar pattern, in March 2020, almost 25 per cent of NVS respondents reported taking one or more trips in the preceding 28 days. This dropped significantly in April and May of 2020 to between 5 and 10 per cent of respondents reporting taking a trip in the reference period. From there the trip rate gradually increased until peaking in April 2021 with just over 30 per cent of respondents taking at least one overnight trip. This then gradually declined until reaching 10 per cent in September 2021. There was then a sharp improvement in trip rates, reaching 32.18% in May 2022 before declining slightly to 28.17% in August 2022. This indicates that this trend is likely to be observed in the July and August 2022 overnight trips data once this become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chart illustrates the number of domestic overnight trips taken by month from March 2020 to June 2022. The chart also illustrates the trip rate for NVS respondents from March 2020 to August 2022. &#10;&#10;The chart shows that the trip rate follows a similar pattern to the number of domestic overnight trips. As the trip rate data is available two months in advance of the overnight trips data it can provide insight for where overnight trips are likely to head in July and August 2022.&#10;&#10;There were 6 million domestic overnight trips in March 2020, this dropped significantly to under 2 million in April 2020. This then increased gradually until May 2021 where it peaked at approximately 10 million overnight trips. Trips then declined due to the lockdowns in mid-2021, reaching just under 4 million trips in August and September 2021. Following that, overnight trips rebounded and gradually increased to peak at 10.7 million in April 2022. In June 2022, there were approximately 8.4 million overnight trips.&#10;The trip rate followed a similar pattern, in March 2020, almost 25 per cent of NVS respondents reported taking one or more trips in the preceding 28 days. This dropped significantly in April and May of 2020 to between 5 and 10 per cent of respondents reporting taking a trip in the reference period. From there the trip rate gradually increased until peaking in April 2021 with just over 30 per cent of respondents taking at least one overnight trip. This then gradually declined until reaching 10 per cent in September 2021. There was then a sharp improvement in trip rates, reaching 32.18% in May 2022 before declining slightly to 28.17% in August 2022. This indicates that this trend is likely to be observed in the July and August 2022 overnight trips data once this becomes availab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463165"/>
                    </a:xfrm>
                    <a:prstGeom prst="rect">
                      <a:avLst/>
                    </a:prstGeom>
                    <a:noFill/>
                  </pic:spPr>
                </pic:pic>
              </a:graphicData>
            </a:graphic>
          </wp:inline>
        </w:drawing>
      </w:r>
    </w:p>
    <w:p w14:paraId="4B378D8D" w14:textId="2D3E3CFB" w:rsidR="00BC4677" w:rsidRDefault="00BC4677" w:rsidP="00BC4677">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562"/>
      </w:tblGrid>
      <w:tr w:rsidR="00224C94" w14:paraId="5FE9DBE8" w14:textId="77777777" w:rsidTr="0012274D">
        <w:tc>
          <w:tcPr>
            <w:tcW w:w="9638" w:type="dxa"/>
            <w:gridSpan w:val="2"/>
          </w:tcPr>
          <w:p w14:paraId="09F039E6" w14:textId="658DC314" w:rsidR="00224C94" w:rsidRPr="00224C94" w:rsidRDefault="00224C94" w:rsidP="00224C94">
            <w:pPr>
              <w:rPr>
                <w:b/>
                <w:bCs/>
              </w:rPr>
            </w:pPr>
            <w:r w:rsidRPr="008060D4">
              <w:rPr>
                <w:b/>
                <w:bCs/>
              </w:rPr>
              <w:t>Figure 3: Proportions of spend by main purpose of travel, June quarter 2019 and 2022</w:t>
            </w:r>
          </w:p>
        </w:tc>
      </w:tr>
      <w:tr w:rsidR="00734CC5" w14:paraId="5385C590" w14:textId="77777777" w:rsidTr="0012274D">
        <w:tc>
          <w:tcPr>
            <w:tcW w:w="5076" w:type="dxa"/>
          </w:tcPr>
          <w:p w14:paraId="5B529B06" w14:textId="5DDFF35B" w:rsidR="00734CC5" w:rsidRDefault="00224C94" w:rsidP="00224C94">
            <w:r>
              <w:rPr>
                <w:noProof/>
              </w:rPr>
              <w:drawing>
                <wp:inline distT="0" distB="0" distL="0" distR="0" wp14:anchorId="7387E23E" wp14:editId="1DA9E361">
                  <wp:extent cx="3085287" cy="2162175"/>
                  <wp:effectExtent l="0" t="0" r="1270" b="0"/>
                  <wp:docPr id="4" name="Picture 4" descr="This chart compares the proportions of spend by main purpose of travel between the June quarter 2019 and the June quarter 2022. &#10;Between the June quarter 2019 and the June quarter 2022, the proportion of spend for holiday travel increased from 45% to 55%. On the other hand, the proportion of spend for business travel decreased from 32% to 19%.&#10;The proportion of spend for visiting friends and relatives increased from 20% to 21% while the proportion of spend for other purposes remained constant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chart compares the proportions of spend by main purpose of travel between the June quarter 2019 and the June quarter 2022. &#10;Between the June quarter 2019 and the June quarter 2022, the proportion of spend for holiday travel increased from 45% to 55%. On the other hand, the proportion of spend for business travel decreased from 32% to 19%.&#10;The proportion of spend for visiting friends and relatives increased from 20% to 21% while the proportion of spend for other purposes remained constant at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1098" cy="2201288"/>
                          </a:xfrm>
                          <a:prstGeom prst="rect">
                            <a:avLst/>
                          </a:prstGeom>
                          <a:noFill/>
                        </pic:spPr>
                      </pic:pic>
                    </a:graphicData>
                  </a:graphic>
                </wp:inline>
              </w:drawing>
            </w:r>
          </w:p>
        </w:tc>
        <w:tc>
          <w:tcPr>
            <w:tcW w:w="4562" w:type="dxa"/>
          </w:tcPr>
          <w:p w14:paraId="54219A72" w14:textId="77777777" w:rsidR="00224C94" w:rsidRDefault="00224C94" w:rsidP="00224C94">
            <w:pPr>
              <w:rPr>
                <w:sz w:val="18"/>
                <w:szCs w:val="18"/>
              </w:rPr>
            </w:pPr>
          </w:p>
          <w:p w14:paraId="240BB666" w14:textId="1069030E" w:rsidR="00224C94" w:rsidRPr="008066C4" w:rsidRDefault="00224C94" w:rsidP="00224C94">
            <w:r w:rsidRPr="008066C4">
              <w:t xml:space="preserve">The June quarter 2022 saw: </w:t>
            </w:r>
          </w:p>
          <w:p w14:paraId="706136C7" w14:textId="77777777" w:rsidR="00224C94" w:rsidRPr="008066C4" w:rsidRDefault="00224C94" w:rsidP="00224C94"/>
          <w:p w14:paraId="5C7F5452" w14:textId="77777777" w:rsidR="00224C94" w:rsidRPr="008066C4" w:rsidRDefault="00224C94" w:rsidP="00224C94">
            <w:pPr>
              <w:pStyle w:val="ListParagraph"/>
              <w:numPr>
                <w:ilvl w:val="0"/>
                <w:numId w:val="48"/>
              </w:numPr>
              <w:rPr>
                <w:rFonts w:asciiTheme="majorHAnsi" w:hAnsiTheme="majorHAnsi"/>
              </w:rPr>
            </w:pPr>
            <w:r w:rsidRPr="008066C4">
              <w:rPr>
                <w:rFonts w:asciiTheme="majorHAnsi" w:hAnsiTheme="majorHAnsi"/>
              </w:rPr>
              <w:t xml:space="preserve">the proportion of spend for holiday travel increased from 45% in 2019 to 55%. </w:t>
            </w:r>
          </w:p>
          <w:p w14:paraId="1BD2BA83" w14:textId="77777777" w:rsidR="00224C94" w:rsidRPr="008066C4" w:rsidRDefault="00224C94" w:rsidP="00224C94">
            <w:pPr>
              <w:pStyle w:val="ListParagraph"/>
              <w:ind w:left="360"/>
              <w:rPr>
                <w:rFonts w:asciiTheme="majorHAnsi" w:hAnsiTheme="majorHAnsi"/>
              </w:rPr>
            </w:pPr>
          </w:p>
          <w:p w14:paraId="7E49FC91" w14:textId="77777777" w:rsidR="00224C94" w:rsidRPr="008066C4" w:rsidRDefault="00224C94" w:rsidP="00224C94">
            <w:pPr>
              <w:pStyle w:val="ListParagraph"/>
              <w:numPr>
                <w:ilvl w:val="0"/>
                <w:numId w:val="48"/>
              </w:numPr>
              <w:rPr>
                <w:rFonts w:asciiTheme="majorHAnsi" w:hAnsiTheme="majorHAnsi"/>
              </w:rPr>
            </w:pPr>
            <w:r w:rsidRPr="008066C4">
              <w:rPr>
                <w:rFonts w:asciiTheme="majorHAnsi" w:hAnsiTheme="majorHAnsi"/>
              </w:rPr>
              <w:t>the proportion of spend on business travel decreased from 32% in 2019 to 19%.</w:t>
            </w:r>
          </w:p>
          <w:p w14:paraId="4391FD3F" w14:textId="77777777" w:rsidR="00A070B8" w:rsidRPr="008066C4" w:rsidRDefault="00A070B8" w:rsidP="00734CC5">
            <w:pPr>
              <w:rPr>
                <w:b/>
                <w:bCs/>
              </w:rPr>
            </w:pPr>
          </w:p>
          <w:p w14:paraId="4F14435E" w14:textId="0CD1C31D" w:rsidR="00734CC5" w:rsidRPr="008066C4" w:rsidRDefault="0012274D" w:rsidP="00734CC5">
            <w:r w:rsidRPr="008066C4">
              <w:t>Note: proportions may not sum to 100% due to rounding</w:t>
            </w:r>
          </w:p>
          <w:p w14:paraId="0B122E45" w14:textId="04481F28" w:rsidR="00734CC5" w:rsidRDefault="00734CC5" w:rsidP="006B2BC7"/>
        </w:tc>
      </w:tr>
    </w:tbl>
    <w:p w14:paraId="46021E8C" w14:textId="77777777" w:rsidR="00734CC5" w:rsidRDefault="00734CC5" w:rsidP="006B2BC7"/>
    <w:p w14:paraId="62E6594D" w14:textId="77777777" w:rsidR="0012274D" w:rsidRDefault="0012274D" w:rsidP="001B5E50">
      <w:pPr>
        <w:rPr>
          <w:b/>
          <w:bCs/>
          <w:color w:val="1E988A" w:themeColor="background2"/>
          <w:sz w:val="26"/>
          <w:szCs w:val="26"/>
        </w:rPr>
      </w:pPr>
    </w:p>
    <w:p w14:paraId="34BCF683" w14:textId="77777777" w:rsidR="0012274D" w:rsidRDefault="0012274D" w:rsidP="001B5E50">
      <w:pPr>
        <w:rPr>
          <w:b/>
          <w:bCs/>
          <w:color w:val="1E988A" w:themeColor="background2"/>
          <w:sz w:val="26"/>
          <w:szCs w:val="26"/>
        </w:rPr>
      </w:pPr>
    </w:p>
    <w:p w14:paraId="7CE1E3D8" w14:textId="39FCDD27" w:rsidR="008F6CE2" w:rsidRDefault="00F82EF4" w:rsidP="001B5E50">
      <w:pPr>
        <w:rPr>
          <w:noProof/>
        </w:rPr>
      </w:pPr>
      <w:r>
        <w:rPr>
          <w:b/>
          <w:bCs/>
          <w:color w:val="1E988A" w:themeColor="background2"/>
          <w:sz w:val="26"/>
          <w:szCs w:val="26"/>
        </w:rPr>
        <w:lastRenderedPageBreak/>
        <w:t>Travellers are spending more per trip</w:t>
      </w:r>
    </w:p>
    <w:p w14:paraId="4CB8BB6A" w14:textId="4BA6B3EE" w:rsidR="00DA3BE9" w:rsidRDefault="00334DD7" w:rsidP="00E833C7">
      <w:r>
        <w:t>Domestic</w:t>
      </w:r>
      <w:r w:rsidR="00D340A2">
        <w:t xml:space="preserve"> overnight</w:t>
      </w:r>
      <w:r>
        <w:t xml:space="preserve"> travellers </w:t>
      </w:r>
      <w:r w:rsidR="008066C4">
        <w:t>are now</w:t>
      </w:r>
      <w:r>
        <w:t xml:space="preserve"> spending more on trips than before th</w:t>
      </w:r>
      <w:r w:rsidR="00F07501">
        <w:t xml:space="preserve">e pandemic. </w:t>
      </w:r>
      <w:r w:rsidR="00DA3BE9">
        <w:t>When compared to</w:t>
      </w:r>
      <w:r w:rsidR="00231354">
        <w:t xml:space="preserve"> the</w:t>
      </w:r>
      <w:r w:rsidR="00DA3BE9">
        <w:t xml:space="preserve"> June quarter 2019</w:t>
      </w:r>
      <w:r w:rsidR="00C265E3">
        <w:t>,</w:t>
      </w:r>
      <w:r w:rsidR="00DA3BE9">
        <w:t xml:space="preserve"> t</w:t>
      </w:r>
      <w:r w:rsidR="00F07501">
        <w:t>he June quarter 2022 saw a higher average spend per trip across all states and territories</w:t>
      </w:r>
      <w:r w:rsidR="0007350A">
        <w:t xml:space="preserve">. </w:t>
      </w:r>
    </w:p>
    <w:p w14:paraId="077884E4" w14:textId="77777777" w:rsidR="00DA3BE9" w:rsidRDefault="00F07501" w:rsidP="00E833C7">
      <w:r>
        <w:t xml:space="preserve">At a national level, </w:t>
      </w:r>
    </w:p>
    <w:p w14:paraId="1A583FFF" w14:textId="6F754448" w:rsidR="00DA3BE9" w:rsidRPr="008060D4" w:rsidRDefault="00F07501" w:rsidP="00AB02F4">
      <w:pPr>
        <w:pStyle w:val="ListParagraph"/>
        <w:numPr>
          <w:ilvl w:val="0"/>
          <w:numId w:val="49"/>
        </w:numPr>
        <w:rPr>
          <w:rFonts w:asciiTheme="majorHAnsi" w:hAnsiTheme="majorHAnsi"/>
        </w:rPr>
      </w:pPr>
      <w:r w:rsidRPr="008060D4">
        <w:rPr>
          <w:rFonts w:asciiTheme="majorHAnsi" w:hAnsiTheme="majorHAnsi"/>
        </w:rPr>
        <w:t>average spend per trip was</w:t>
      </w:r>
      <w:r w:rsidR="00E965A8" w:rsidRPr="008060D4">
        <w:rPr>
          <w:rFonts w:asciiTheme="majorHAnsi" w:hAnsiTheme="majorHAnsi"/>
        </w:rPr>
        <w:t xml:space="preserve"> $</w:t>
      </w:r>
      <w:r w:rsidR="0016423D" w:rsidRPr="008060D4">
        <w:rPr>
          <w:rFonts w:asciiTheme="majorHAnsi" w:hAnsiTheme="majorHAnsi"/>
        </w:rPr>
        <w:t>893</w:t>
      </w:r>
      <w:r w:rsidR="00E965A8" w:rsidRPr="008060D4">
        <w:rPr>
          <w:rFonts w:asciiTheme="majorHAnsi" w:hAnsiTheme="majorHAnsi"/>
        </w:rPr>
        <w:t>,</w:t>
      </w:r>
      <w:r w:rsidRPr="008060D4">
        <w:rPr>
          <w:rFonts w:asciiTheme="majorHAnsi" w:hAnsiTheme="majorHAnsi"/>
        </w:rPr>
        <w:t xml:space="preserve"> up $</w:t>
      </w:r>
      <w:r w:rsidR="0016423D" w:rsidRPr="008060D4">
        <w:rPr>
          <w:rFonts w:asciiTheme="majorHAnsi" w:hAnsiTheme="majorHAnsi"/>
        </w:rPr>
        <w:t>245</w:t>
      </w:r>
      <w:r w:rsidRPr="008060D4">
        <w:rPr>
          <w:rFonts w:asciiTheme="majorHAnsi" w:hAnsiTheme="majorHAnsi"/>
        </w:rPr>
        <w:t xml:space="preserve"> or </w:t>
      </w:r>
      <w:r w:rsidR="0016423D" w:rsidRPr="008060D4">
        <w:rPr>
          <w:rFonts w:asciiTheme="majorHAnsi" w:hAnsiTheme="majorHAnsi"/>
        </w:rPr>
        <w:t>38</w:t>
      </w:r>
      <w:r w:rsidRPr="008060D4">
        <w:rPr>
          <w:rFonts w:asciiTheme="majorHAnsi" w:hAnsiTheme="majorHAnsi"/>
        </w:rPr>
        <w:t>%</w:t>
      </w:r>
      <w:r w:rsidR="00E965A8" w:rsidRPr="008060D4">
        <w:rPr>
          <w:rFonts w:asciiTheme="majorHAnsi" w:hAnsiTheme="majorHAnsi"/>
        </w:rPr>
        <w:t xml:space="preserve"> on the June quarter 2019 </w:t>
      </w:r>
    </w:p>
    <w:p w14:paraId="56758F84" w14:textId="4D1E1FE0" w:rsidR="00523B99" w:rsidRPr="008060D4" w:rsidRDefault="00E965A8" w:rsidP="003B7192">
      <w:pPr>
        <w:pStyle w:val="ListParagraph"/>
        <w:numPr>
          <w:ilvl w:val="0"/>
          <w:numId w:val="49"/>
        </w:numPr>
        <w:rPr>
          <w:rFonts w:asciiTheme="majorHAnsi" w:hAnsiTheme="majorHAnsi"/>
        </w:rPr>
      </w:pPr>
      <w:r w:rsidRPr="008060D4">
        <w:rPr>
          <w:rFonts w:asciiTheme="majorHAnsi" w:hAnsiTheme="majorHAnsi"/>
        </w:rPr>
        <w:t>a</w:t>
      </w:r>
      <w:r w:rsidR="00F07501" w:rsidRPr="008060D4">
        <w:rPr>
          <w:rFonts w:asciiTheme="majorHAnsi" w:hAnsiTheme="majorHAnsi"/>
        </w:rPr>
        <w:t>verage spend per night was</w:t>
      </w:r>
      <w:r w:rsidRPr="008060D4">
        <w:rPr>
          <w:rFonts w:asciiTheme="majorHAnsi" w:hAnsiTheme="majorHAnsi"/>
        </w:rPr>
        <w:t xml:space="preserve"> $</w:t>
      </w:r>
      <w:r w:rsidR="00EE0C61" w:rsidRPr="008060D4">
        <w:rPr>
          <w:rFonts w:asciiTheme="majorHAnsi" w:hAnsiTheme="majorHAnsi"/>
        </w:rPr>
        <w:t>254</w:t>
      </w:r>
      <w:r w:rsidRPr="008060D4">
        <w:rPr>
          <w:rFonts w:asciiTheme="majorHAnsi" w:hAnsiTheme="majorHAnsi"/>
        </w:rPr>
        <w:t>,</w:t>
      </w:r>
      <w:r w:rsidR="00F07501" w:rsidRPr="008060D4">
        <w:rPr>
          <w:rFonts w:asciiTheme="majorHAnsi" w:hAnsiTheme="majorHAnsi"/>
        </w:rPr>
        <w:t xml:space="preserve"> up $</w:t>
      </w:r>
      <w:r w:rsidR="00EE0C61" w:rsidRPr="008060D4">
        <w:rPr>
          <w:rFonts w:asciiTheme="majorHAnsi" w:hAnsiTheme="majorHAnsi"/>
        </w:rPr>
        <w:t xml:space="preserve">61 </w:t>
      </w:r>
      <w:r w:rsidR="00F07501" w:rsidRPr="008060D4">
        <w:rPr>
          <w:rFonts w:asciiTheme="majorHAnsi" w:hAnsiTheme="majorHAnsi"/>
        </w:rPr>
        <w:t xml:space="preserve">or </w:t>
      </w:r>
      <w:r w:rsidR="00EE0C61" w:rsidRPr="008060D4">
        <w:rPr>
          <w:rFonts w:asciiTheme="majorHAnsi" w:hAnsiTheme="majorHAnsi"/>
        </w:rPr>
        <w:t>32</w:t>
      </w:r>
      <w:r w:rsidR="00F07501" w:rsidRPr="008060D4">
        <w:rPr>
          <w:rFonts w:asciiTheme="majorHAnsi" w:hAnsiTheme="majorHAnsi"/>
        </w:rPr>
        <w:t xml:space="preserve">%. </w:t>
      </w:r>
    </w:p>
    <w:p w14:paraId="128B055C" w14:textId="61E4BB90" w:rsidR="008060D4" w:rsidRDefault="0084637C" w:rsidP="00E833C7">
      <w:r>
        <w:t>Additionally, t</w:t>
      </w:r>
      <w:r w:rsidR="00E44593">
        <w:t>he</w:t>
      </w:r>
      <w:r w:rsidR="00362E9D">
        <w:t xml:space="preserve"> average spend per trip was </w:t>
      </w:r>
      <w:r w:rsidR="008577CF">
        <w:t xml:space="preserve">higher </w:t>
      </w:r>
      <w:r w:rsidR="00362E9D">
        <w:t>in the June quarter 2022 than pre-pandemic levels across all age groups</w:t>
      </w:r>
      <w:r w:rsidR="00E44593">
        <w:t xml:space="preserve"> (Figure 4)</w:t>
      </w:r>
      <w:r w:rsidR="00362E9D">
        <w:t>.</w:t>
      </w:r>
      <w:r w:rsidR="008577CF">
        <w:t xml:space="preserve"> </w:t>
      </w:r>
    </w:p>
    <w:p w14:paraId="0A3167A6" w14:textId="109FFF87" w:rsidR="006A375C" w:rsidRDefault="00843A98" w:rsidP="00E833C7">
      <w:r>
        <w:t>Age groups 29 years and under have shown</w:t>
      </w:r>
      <w:r w:rsidR="00231354">
        <w:t xml:space="preserve"> only</w:t>
      </w:r>
      <w:r>
        <w:t xml:space="preserve"> a modest increase in the average spend per trip since the pandemic. On the other hand, </w:t>
      </w:r>
      <w:r w:rsidR="008066C4">
        <w:t>some</w:t>
      </w:r>
      <w:r>
        <w:t xml:space="preserve"> age groups</w:t>
      </w:r>
      <w:r w:rsidR="008066C4">
        <w:t xml:space="preserve"> in their 30s and 40s</w:t>
      </w:r>
      <w:r>
        <w:t xml:space="preserve"> have shown a strong increase in spend</w:t>
      </w:r>
      <w:r w:rsidR="006A375C">
        <w:t>, likely due to higher levels of savings from the pandemic and pent-up travel demand.</w:t>
      </w:r>
    </w:p>
    <w:p w14:paraId="334CA030" w14:textId="5F6A404B" w:rsidR="00362E9D" w:rsidRDefault="008577CF" w:rsidP="00E833C7">
      <w:r>
        <w:t>The age groups with the highest increase in average spend per trip are:</w:t>
      </w:r>
    </w:p>
    <w:p w14:paraId="2FA50E2D" w14:textId="19BF9513" w:rsidR="008577CF" w:rsidRDefault="008577CF" w:rsidP="00A63CDE">
      <w:pPr>
        <w:pStyle w:val="ListParagraph"/>
        <w:numPr>
          <w:ilvl w:val="0"/>
          <w:numId w:val="50"/>
        </w:numPr>
        <w:rPr>
          <w:rFonts w:asciiTheme="majorHAnsi" w:hAnsiTheme="majorHAnsi"/>
        </w:rPr>
      </w:pPr>
      <w:r w:rsidRPr="008060D4">
        <w:rPr>
          <w:rFonts w:asciiTheme="majorHAnsi" w:hAnsiTheme="majorHAnsi"/>
        </w:rPr>
        <w:t>30-34 age group – increase of $380 per trip or 55%</w:t>
      </w:r>
    </w:p>
    <w:p w14:paraId="65C6C56E" w14:textId="6B8926CE" w:rsidR="00231354" w:rsidRPr="00231354" w:rsidRDefault="00231354" w:rsidP="00231354">
      <w:pPr>
        <w:pStyle w:val="ListParagraph"/>
        <w:numPr>
          <w:ilvl w:val="0"/>
          <w:numId w:val="50"/>
        </w:numPr>
        <w:rPr>
          <w:rFonts w:asciiTheme="majorHAnsi" w:hAnsiTheme="majorHAnsi"/>
        </w:rPr>
      </w:pPr>
      <w:r>
        <w:rPr>
          <w:rFonts w:asciiTheme="majorHAnsi" w:hAnsiTheme="majorHAnsi"/>
        </w:rPr>
        <w:t>40-44 age group – increase of $356 per trip or 49%.</w:t>
      </w:r>
    </w:p>
    <w:p w14:paraId="40F2E595" w14:textId="364C2698" w:rsidR="006B2BC7" w:rsidRDefault="00BD05C2" w:rsidP="00E833C7">
      <w:pPr>
        <w:pStyle w:val="ListParagraph"/>
        <w:numPr>
          <w:ilvl w:val="0"/>
          <w:numId w:val="50"/>
        </w:numPr>
        <w:rPr>
          <w:rFonts w:asciiTheme="majorHAnsi" w:hAnsiTheme="majorHAnsi"/>
        </w:rPr>
      </w:pPr>
      <w:r>
        <w:rPr>
          <w:rFonts w:asciiTheme="majorHAnsi" w:hAnsiTheme="majorHAnsi"/>
        </w:rPr>
        <w:t>45-49 age group – increase of $</w:t>
      </w:r>
      <w:r w:rsidR="00893ADF">
        <w:rPr>
          <w:rFonts w:asciiTheme="majorHAnsi" w:hAnsiTheme="majorHAnsi"/>
        </w:rPr>
        <w:t xml:space="preserve">366 </w:t>
      </w:r>
      <w:r>
        <w:rPr>
          <w:rFonts w:asciiTheme="majorHAnsi" w:hAnsiTheme="majorHAnsi"/>
        </w:rPr>
        <w:t>per trip or 45%</w:t>
      </w:r>
    </w:p>
    <w:p w14:paraId="2271750E" w14:textId="77777777" w:rsidR="00464990" w:rsidRPr="00464990" w:rsidRDefault="00464990" w:rsidP="00E833C7">
      <w:pPr>
        <w:pStyle w:val="ListParagraph"/>
        <w:numPr>
          <w:ilvl w:val="0"/>
          <w:numId w:val="50"/>
        </w:numPr>
        <w:rPr>
          <w:rFonts w:asciiTheme="majorHAnsi" w:hAnsiTheme="majorHAnsi"/>
        </w:rPr>
      </w:pPr>
    </w:p>
    <w:p w14:paraId="79E494C6" w14:textId="23E29CB7" w:rsidR="00362E9D" w:rsidRDefault="00362E9D" w:rsidP="00E833C7">
      <w:pPr>
        <w:rPr>
          <w:b/>
          <w:bCs/>
        </w:rPr>
      </w:pPr>
      <w:r w:rsidRPr="009F2C12">
        <w:rPr>
          <w:b/>
          <w:bCs/>
        </w:rPr>
        <w:t xml:space="preserve">Figure </w:t>
      </w:r>
      <w:r>
        <w:rPr>
          <w:b/>
          <w:bCs/>
        </w:rPr>
        <w:t>4</w:t>
      </w:r>
      <w:r w:rsidRPr="009F2C12">
        <w:rPr>
          <w:b/>
          <w:bCs/>
        </w:rPr>
        <w:t>: Average</w:t>
      </w:r>
      <w:r>
        <w:rPr>
          <w:b/>
          <w:bCs/>
        </w:rPr>
        <w:t xml:space="preserve"> spend per trip per age group, June quarter 2019 and 2022</w:t>
      </w:r>
    </w:p>
    <w:p w14:paraId="68C2AEF1" w14:textId="6BB770C7" w:rsidR="00362E9D" w:rsidRDefault="00362E9D" w:rsidP="00E833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962"/>
      </w:tblGrid>
      <w:tr w:rsidR="00224C94" w14:paraId="4F7EB12D" w14:textId="77777777" w:rsidTr="00426559">
        <w:tc>
          <w:tcPr>
            <w:tcW w:w="9638" w:type="dxa"/>
            <w:gridSpan w:val="2"/>
          </w:tcPr>
          <w:p w14:paraId="38EB6A38" w14:textId="73390222" w:rsidR="00426559" w:rsidRDefault="00426559" w:rsidP="00E833C7">
            <w:r>
              <w:rPr>
                <w:noProof/>
              </w:rPr>
              <w:drawing>
                <wp:inline distT="0" distB="0" distL="0" distR="0" wp14:anchorId="51E51EBE" wp14:editId="07E03186">
                  <wp:extent cx="5713047" cy="2930785"/>
                  <wp:effectExtent l="0" t="0" r="2540" b="3175"/>
                  <wp:docPr id="19" name="Picture 19" descr="This chart shows the average spend per trip for the age groups 15 to 19, 20 to 24, 25 to 29, 30 to 34, 35 to 39, 40 to 44, 45 to 49, 50 to 54 and 55 plus. This chart also compares these averages from the June quarter 2019 and the June quarter 2022.&#10; The average spend per trip was higher in the June quarter 2022 than in 2019 across all age groups. The age-group of 30-34 have shown the highest increase from $687 to $1067. The age group with the lowest increase in spend is the 20-24 age group which increased from $399 to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chart shows the average spend per trip for the age groups 15 to 19, 20 to 24, 25 to 29, 30 to 34, 35 to 39, 40 to 44, 45 to 49, 50 to 54 and 55 plus. This chart also compares these averages from the June quarter 2019 and the June quarter 2022.&#10; The average spend per trip was higher in the June quarter 2022 than in 2019 across all age groups. The age-group of 30-34 have shown the highest increase from $687 to $1067. The age group with the lowest increase in spend is the 20-24 age group which increased from $399 to $4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9837" cy="2944528"/>
                          </a:xfrm>
                          <a:prstGeom prst="rect">
                            <a:avLst/>
                          </a:prstGeom>
                          <a:noFill/>
                        </pic:spPr>
                      </pic:pic>
                    </a:graphicData>
                  </a:graphic>
                </wp:inline>
              </w:drawing>
            </w:r>
          </w:p>
          <w:p w14:paraId="3B134E5E" w14:textId="4E15CAAB" w:rsidR="00224C94" w:rsidRDefault="00224C94" w:rsidP="00224C94">
            <w:pPr>
              <w:rPr>
                <w:b/>
                <w:bCs/>
              </w:rPr>
            </w:pPr>
            <w:r w:rsidRPr="009F2C12">
              <w:rPr>
                <w:b/>
                <w:bCs/>
              </w:rPr>
              <w:t xml:space="preserve">Figure </w:t>
            </w:r>
            <w:r>
              <w:rPr>
                <w:b/>
                <w:bCs/>
              </w:rPr>
              <w:t>5</w:t>
            </w:r>
            <w:r w:rsidRPr="009F2C12">
              <w:rPr>
                <w:b/>
                <w:bCs/>
              </w:rPr>
              <w:t xml:space="preserve">: </w:t>
            </w:r>
            <w:r>
              <w:rPr>
                <w:b/>
                <w:bCs/>
              </w:rPr>
              <w:t xml:space="preserve">Spending categories, June quarter 2022 and </w:t>
            </w:r>
            <w:r w:rsidRPr="009F2C12">
              <w:rPr>
                <w:b/>
                <w:bCs/>
              </w:rPr>
              <w:t>2019 (pre-pandemic)</w:t>
            </w:r>
          </w:p>
          <w:p w14:paraId="3C84D8D1" w14:textId="77777777" w:rsidR="00224C94" w:rsidRDefault="00224C94" w:rsidP="006B2BC7">
            <w:pPr>
              <w:rPr>
                <w:b/>
                <w:bCs/>
              </w:rPr>
            </w:pPr>
          </w:p>
        </w:tc>
      </w:tr>
      <w:tr w:rsidR="00426559" w14:paraId="1080FB22" w14:textId="77777777" w:rsidTr="00426559">
        <w:tc>
          <w:tcPr>
            <w:tcW w:w="5351" w:type="dxa"/>
          </w:tcPr>
          <w:p w14:paraId="591322BF" w14:textId="5744113E" w:rsidR="006B2BC7" w:rsidRDefault="00464990" w:rsidP="00464990">
            <w:r>
              <w:rPr>
                <w:noProof/>
              </w:rPr>
              <w:drawing>
                <wp:inline distT="0" distB="0" distL="0" distR="0" wp14:anchorId="4E547025" wp14:editId="713E589A">
                  <wp:extent cx="3458845" cy="1987358"/>
                  <wp:effectExtent l="0" t="0" r="8255" b="0"/>
                  <wp:docPr id="17" name="Picture 17" descr="This chart compares the spend between the June quarter 2019 and the June quarter 2022 by spending categories. &#10;The highest spend category is accommodation, and it increased from $4.9 billion to $7.2 billion between the June quarter 2019 and the June quarter 2022.&#10;Over this period:&#10;• spend on food and drink increased from $4.4 billion to $6 billion&#10;• spend on other categories increased from $3.6 billion to $4.4 billion&#10;• spend on airfares decreased from $3.2 billion to $3.1 billion&#10;• spend on petrol increased from $2.2 billion to $2.7 billion&#10;• spend on shopping increased from $1.4 billion to $1.8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is chart compares the spend between the June quarter 2019 and the June quarter 2022 by spending categories. &#10;The highest spend category is accommodation, and it increased from $4.9 billion to $7.2 billion between the June quarter 2019 and the June quarter 2022.&#10;Over this period:&#10;• spend on food and drink increased from $4.4 billion to $6 billion&#10;• spend on other categories increased from $3.6 billion to $4.4 billion&#10;• spend on airfares decreased from $3.2 billion to $3.1 billion&#10;• spend on petrol increased from $2.2 billion to $2.7 billion&#10;• spend on shopping increased from $1.4 billion to $1.8 bill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1099" cy="2017382"/>
                          </a:xfrm>
                          <a:prstGeom prst="rect">
                            <a:avLst/>
                          </a:prstGeom>
                          <a:noFill/>
                        </pic:spPr>
                      </pic:pic>
                    </a:graphicData>
                  </a:graphic>
                </wp:inline>
              </w:drawing>
            </w:r>
          </w:p>
        </w:tc>
        <w:tc>
          <w:tcPr>
            <w:tcW w:w="4287" w:type="dxa"/>
          </w:tcPr>
          <w:p w14:paraId="0C598B1E" w14:textId="47EAE331" w:rsidR="00224C94" w:rsidRPr="00224C94" w:rsidRDefault="00224C94" w:rsidP="00224C94">
            <w:pPr>
              <w:rPr>
                <w:sz w:val="18"/>
                <w:szCs w:val="18"/>
              </w:rPr>
            </w:pPr>
            <w:r w:rsidRPr="00224C94">
              <w:rPr>
                <w:sz w:val="18"/>
                <w:szCs w:val="18"/>
              </w:rPr>
              <w:t>When compared to pre-pandemic levels, the largest increases in spend categories were:</w:t>
            </w:r>
          </w:p>
          <w:p w14:paraId="623AB80B" w14:textId="77777777" w:rsidR="00224C94" w:rsidRPr="00224C94" w:rsidRDefault="00224C94" w:rsidP="00224C94">
            <w:pPr>
              <w:rPr>
                <w:sz w:val="18"/>
                <w:szCs w:val="18"/>
              </w:rPr>
            </w:pPr>
          </w:p>
          <w:p w14:paraId="57F88184" w14:textId="7B4E247E" w:rsidR="00224C94" w:rsidRDefault="00224C94" w:rsidP="00224C94">
            <w:pPr>
              <w:pStyle w:val="ListParagraph"/>
              <w:numPr>
                <w:ilvl w:val="0"/>
                <w:numId w:val="37"/>
              </w:numPr>
              <w:rPr>
                <w:rFonts w:asciiTheme="majorHAnsi" w:hAnsiTheme="majorHAnsi"/>
                <w:sz w:val="18"/>
                <w:szCs w:val="18"/>
              </w:rPr>
            </w:pPr>
            <w:r w:rsidRPr="00224C94">
              <w:rPr>
                <w:rFonts w:asciiTheme="majorHAnsi" w:hAnsiTheme="majorHAnsi"/>
                <w:sz w:val="18"/>
                <w:szCs w:val="18"/>
              </w:rPr>
              <w:t>accommodation (up $2.4 billion or 48%)</w:t>
            </w:r>
          </w:p>
          <w:p w14:paraId="7FDAE15E" w14:textId="77777777" w:rsidR="00224C94" w:rsidRPr="00224C94" w:rsidRDefault="00224C94" w:rsidP="00224C94">
            <w:pPr>
              <w:rPr>
                <w:rFonts w:asciiTheme="majorHAnsi" w:hAnsiTheme="majorHAnsi"/>
                <w:sz w:val="18"/>
                <w:szCs w:val="18"/>
              </w:rPr>
            </w:pPr>
          </w:p>
          <w:p w14:paraId="738D9485" w14:textId="77777777" w:rsidR="00224C94" w:rsidRPr="00224C94" w:rsidRDefault="00224C94" w:rsidP="00224C94">
            <w:pPr>
              <w:pStyle w:val="ListParagraph"/>
              <w:numPr>
                <w:ilvl w:val="0"/>
                <w:numId w:val="37"/>
              </w:numPr>
              <w:rPr>
                <w:rFonts w:asciiTheme="majorHAnsi" w:hAnsiTheme="majorHAnsi"/>
                <w:sz w:val="18"/>
                <w:szCs w:val="18"/>
              </w:rPr>
            </w:pPr>
            <w:r w:rsidRPr="00224C94">
              <w:rPr>
                <w:rFonts w:asciiTheme="majorHAnsi" w:hAnsiTheme="majorHAnsi"/>
                <w:sz w:val="18"/>
                <w:szCs w:val="18"/>
              </w:rPr>
              <w:t>eating out (up $1.7 billion or 38%)</w:t>
            </w:r>
          </w:p>
          <w:p w14:paraId="063465EE" w14:textId="77777777" w:rsidR="00224C94" w:rsidRPr="00224C94" w:rsidRDefault="00224C94" w:rsidP="00224C94">
            <w:pPr>
              <w:rPr>
                <w:rFonts w:asciiTheme="majorHAnsi" w:hAnsiTheme="majorHAnsi"/>
                <w:sz w:val="18"/>
                <w:szCs w:val="18"/>
              </w:rPr>
            </w:pPr>
          </w:p>
          <w:p w14:paraId="233704AC" w14:textId="77777777" w:rsidR="00224C94" w:rsidRPr="00224C94" w:rsidRDefault="00224C94" w:rsidP="00224C94">
            <w:pPr>
              <w:pStyle w:val="ListParagraph"/>
              <w:numPr>
                <w:ilvl w:val="0"/>
                <w:numId w:val="37"/>
              </w:numPr>
              <w:rPr>
                <w:rFonts w:asciiTheme="majorHAnsi" w:hAnsiTheme="majorHAnsi"/>
                <w:sz w:val="18"/>
                <w:szCs w:val="18"/>
              </w:rPr>
            </w:pPr>
            <w:r w:rsidRPr="00224C94">
              <w:rPr>
                <w:rFonts w:asciiTheme="majorHAnsi" w:hAnsiTheme="majorHAnsi"/>
                <w:sz w:val="18"/>
                <w:szCs w:val="18"/>
              </w:rPr>
              <w:t>petrol (up $465 million or 21%)</w:t>
            </w:r>
          </w:p>
          <w:p w14:paraId="10BB1095" w14:textId="77777777" w:rsidR="00224C94" w:rsidRPr="00224C94" w:rsidRDefault="00224C94" w:rsidP="00224C94">
            <w:pPr>
              <w:pStyle w:val="ListParagraph"/>
              <w:ind w:left="360"/>
              <w:rPr>
                <w:rFonts w:asciiTheme="majorHAnsi" w:hAnsiTheme="majorHAnsi"/>
                <w:sz w:val="18"/>
                <w:szCs w:val="18"/>
              </w:rPr>
            </w:pPr>
          </w:p>
          <w:p w14:paraId="7C2B1489" w14:textId="3851E467" w:rsidR="006B2BC7" w:rsidRPr="00426559" w:rsidRDefault="00224C94" w:rsidP="00CD4D65">
            <w:pPr>
              <w:pStyle w:val="ListParagraph"/>
              <w:numPr>
                <w:ilvl w:val="0"/>
                <w:numId w:val="37"/>
              </w:numPr>
              <w:rPr>
                <w:b/>
                <w:bCs/>
              </w:rPr>
            </w:pPr>
            <w:r w:rsidRPr="00426559">
              <w:rPr>
                <w:rFonts w:asciiTheme="majorHAnsi" w:hAnsiTheme="majorHAnsi"/>
                <w:sz w:val="18"/>
                <w:szCs w:val="18"/>
              </w:rPr>
              <w:t>shopping (up $448 million or 33%).</w:t>
            </w:r>
          </w:p>
          <w:p w14:paraId="4E28DBB1" w14:textId="2536C9DB" w:rsidR="006B2BC7" w:rsidRDefault="006B2BC7" w:rsidP="00E833C7"/>
        </w:tc>
      </w:tr>
    </w:tbl>
    <w:p w14:paraId="17CC8034" w14:textId="137F0A09" w:rsidR="00591B22" w:rsidRPr="00D204C3" w:rsidRDefault="00591B22" w:rsidP="00DA0CE4">
      <w:pPr>
        <w:pStyle w:val="Heading2"/>
      </w:pPr>
      <w:r w:rsidRPr="00D204C3">
        <w:lastRenderedPageBreak/>
        <w:t>States and territories</w:t>
      </w:r>
    </w:p>
    <w:p w14:paraId="24530842" w14:textId="5A9D73F9" w:rsidR="00316A7F" w:rsidRDefault="00316A7F" w:rsidP="00316A7F">
      <w:r>
        <w:t>Overnight trips in the year ending June 2022 remained down on the previous years across all states and territories (Figure 6) due to the</w:t>
      </w:r>
      <w:r w:rsidRPr="00316A7F">
        <w:t xml:space="preserve"> </w:t>
      </w:r>
      <w:r>
        <w:t>widespread lockdowns from July 2021 onwards being included in this period.</w:t>
      </w:r>
      <w:r w:rsidR="00801914">
        <w:t xml:space="preserve"> </w:t>
      </w:r>
    </w:p>
    <w:p w14:paraId="23217687" w14:textId="5772AABE" w:rsidR="00AB02F4" w:rsidRDefault="00AB02F4" w:rsidP="00591B22">
      <w:r>
        <w:t>The pandemic in 2021 most impacted overnight trips and spend</w:t>
      </w:r>
      <w:r w:rsidR="006A375C">
        <w:t xml:space="preserve"> in the Australian Capital Territory (ACT), New South Wales (NSW) and Victoria (Vic). When compared to the year ending June 2019, the year ending June 2022 saw</w:t>
      </w:r>
      <w:r>
        <w:t>:</w:t>
      </w:r>
    </w:p>
    <w:p w14:paraId="6AB52207" w14:textId="2D6D7C95" w:rsidR="00AB02F4" w:rsidRDefault="00AB02F4" w:rsidP="00AB02F4">
      <w:pPr>
        <w:pStyle w:val="ListParagraph"/>
        <w:numPr>
          <w:ilvl w:val="0"/>
          <w:numId w:val="53"/>
        </w:numPr>
        <w:rPr>
          <w:rFonts w:asciiTheme="majorHAnsi" w:hAnsiTheme="majorHAnsi"/>
        </w:rPr>
      </w:pPr>
      <w:r>
        <w:rPr>
          <w:rFonts w:asciiTheme="majorHAnsi" w:hAnsiTheme="majorHAnsi"/>
        </w:rPr>
        <w:t xml:space="preserve">the </w:t>
      </w:r>
      <w:r w:rsidR="006A375C">
        <w:rPr>
          <w:rFonts w:asciiTheme="majorHAnsi" w:hAnsiTheme="majorHAnsi"/>
        </w:rPr>
        <w:t>ACT</w:t>
      </w:r>
      <w:r>
        <w:rPr>
          <w:rFonts w:asciiTheme="majorHAnsi" w:hAnsiTheme="majorHAnsi"/>
        </w:rPr>
        <w:t>: down 35% in trips and 34% in spend</w:t>
      </w:r>
    </w:p>
    <w:p w14:paraId="7FF1F4F9" w14:textId="5FA53414" w:rsidR="00AB02F4" w:rsidRDefault="006A375C" w:rsidP="00AB02F4">
      <w:pPr>
        <w:pStyle w:val="ListParagraph"/>
        <w:numPr>
          <w:ilvl w:val="0"/>
          <w:numId w:val="53"/>
        </w:numPr>
        <w:rPr>
          <w:rFonts w:asciiTheme="majorHAnsi" w:hAnsiTheme="majorHAnsi"/>
        </w:rPr>
      </w:pPr>
      <w:r>
        <w:rPr>
          <w:rFonts w:asciiTheme="majorHAnsi" w:hAnsiTheme="majorHAnsi"/>
        </w:rPr>
        <w:t>NSW</w:t>
      </w:r>
      <w:r w:rsidR="00AB02F4">
        <w:rPr>
          <w:rFonts w:asciiTheme="majorHAnsi" w:hAnsiTheme="majorHAnsi"/>
        </w:rPr>
        <w:t>: down 33% in trips and 22% in spend</w:t>
      </w:r>
    </w:p>
    <w:p w14:paraId="3FE25F5B" w14:textId="4914F3B5" w:rsidR="00AB02F4" w:rsidRPr="006A375C" w:rsidRDefault="006A375C" w:rsidP="006A375C">
      <w:pPr>
        <w:pStyle w:val="ListParagraph"/>
        <w:numPr>
          <w:ilvl w:val="0"/>
          <w:numId w:val="53"/>
        </w:numPr>
        <w:rPr>
          <w:rFonts w:asciiTheme="majorHAnsi" w:hAnsiTheme="majorHAnsi"/>
        </w:rPr>
      </w:pPr>
      <w:r>
        <w:rPr>
          <w:rFonts w:asciiTheme="majorHAnsi" w:hAnsiTheme="majorHAnsi"/>
        </w:rPr>
        <w:t>Vic</w:t>
      </w:r>
      <w:r w:rsidR="00AB02F4">
        <w:rPr>
          <w:rFonts w:asciiTheme="majorHAnsi" w:hAnsiTheme="majorHAnsi"/>
        </w:rPr>
        <w:t xml:space="preserve">: down 32% in trips and 21% in spend. </w:t>
      </w:r>
    </w:p>
    <w:p w14:paraId="5607BC8E" w14:textId="77777777" w:rsidR="00AB02F4" w:rsidRDefault="00AB02F4" w:rsidP="00591B22"/>
    <w:p w14:paraId="3573D0F5" w14:textId="6EEB862C" w:rsidR="009A1DD8" w:rsidRDefault="00D34105" w:rsidP="00591B22">
      <w:r>
        <w:t>Overnight trips to</w:t>
      </w:r>
      <w:r w:rsidR="00775DA3" w:rsidRPr="007938C2">
        <w:t xml:space="preserve"> Western Australia</w:t>
      </w:r>
      <w:r>
        <w:t xml:space="preserve"> were least impacted</w:t>
      </w:r>
      <w:r w:rsidR="00AB02F4">
        <w:t xml:space="preserve"> (down 8%)</w:t>
      </w:r>
      <w:r w:rsidR="00775DA3" w:rsidRPr="007938C2">
        <w:t>.</w:t>
      </w:r>
      <w:r w:rsidR="005B7297">
        <w:t xml:space="preserve"> Whil</w:t>
      </w:r>
      <w:r>
        <w:t>e</w:t>
      </w:r>
      <w:r w:rsidR="005B7297">
        <w:t xml:space="preserve"> </w:t>
      </w:r>
      <w:r>
        <w:t xml:space="preserve">state </w:t>
      </w:r>
      <w:r w:rsidR="005B7297">
        <w:t>borders were shut until March quarter 2022, travel within the state remained relatively unrestricted.</w:t>
      </w:r>
    </w:p>
    <w:p w14:paraId="6F70D410" w14:textId="77777777" w:rsidR="00426559" w:rsidRDefault="00426559" w:rsidP="00591B22">
      <w:r w:rsidRPr="00426559">
        <w:t xml:space="preserve">Other states experienced a marginal increase in total visitor spend in the year ending June 2022. Queensland was up 4% or $845 </w:t>
      </w:r>
      <w:proofErr w:type="gramStart"/>
      <w:r w:rsidRPr="00426559">
        <w:t>million,</w:t>
      </w:r>
      <w:proofErr w:type="gramEnd"/>
      <w:r w:rsidRPr="00426559">
        <w:t xml:space="preserve"> Western Australia was up 4% or $254 million and Tasmania was up 1% or $38 million. For each of these states, the strong June quarter 2022 results were determinative in delivering the positive full year outcomes.</w:t>
      </w:r>
    </w:p>
    <w:p w14:paraId="499B6B74" w14:textId="1DF231E5" w:rsidR="00591B22" w:rsidRPr="009F2C12" w:rsidRDefault="00591B22" w:rsidP="00591B22">
      <w:pPr>
        <w:rPr>
          <w:b/>
          <w:bCs/>
        </w:rPr>
      </w:pPr>
      <w:r w:rsidRPr="009F2C12">
        <w:rPr>
          <w:b/>
          <w:bCs/>
        </w:rPr>
        <w:t xml:space="preserve">Figure </w:t>
      </w:r>
      <w:r w:rsidR="00316A7F">
        <w:rPr>
          <w:b/>
          <w:bCs/>
        </w:rPr>
        <w:t>6</w:t>
      </w:r>
      <w:r w:rsidRPr="009F2C12">
        <w:rPr>
          <w:b/>
          <w:bCs/>
        </w:rPr>
        <w:t xml:space="preserve">. Overnight trips and spend by </w:t>
      </w:r>
      <w:r w:rsidR="00B62147" w:rsidRPr="009F2C12">
        <w:rPr>
          <w:b/>
          <w:bCs/>
        </w:rPr>
        <w:t>s</w:t>
      </w:r>
      <w:r w:rsidRPr="009F2C12">
        <w:rPr>
          <w:b/>
          <w:bCs/>
        </w:rPr>
        <w:t>tate</w:t>
      </w:r>
      <w:r w:rsidR="00B62147" w:rsidRPr="009F2C12">
        <w:rPr>
          <w:b/>
          <w:bCs/>
        </w:rPr>
        <w:t xml:space="preserve"> and territory</w:t>
      </w:r>
      <w:r w:rsidRPr="009F2C12">
        <w:rPr>
          <w:b/>
          <w:bCs/>
        </w:rPr>
        <w:t>,</w:t>
      </w:r>
      <w:r w:rsidR="0013397D" w:rsidRPr="009F2C12">
        <w:rPr>
          <w:b/>
          <w:bCs/>
        </w:rPr>
        <w:t xml:space="preserve"> year ending</w:t>
      </w:r>
      <w:r w:rsidRPr="009F2C12">
        <w:rPr>
          <w:b/>
          <w:bCs/>
        </w:rPr>
        <w:t xml:space="preserve"> </w:t>
      </w:r>
      <w:r w:rsidR="00603975">
        <w:rPr>
          <w:b/>
          <w:bCs/>
        </w:rPr>
        <w:t>June</w:t>
      </w:r>
      <w:r w:rsidR="00603975" w:rsidRPr="009F2C12">
        <w:rPr>
          <w:b/>
          <w:bCs/>
        </w:rPr>
        <w:t xml:space="preserve"> </w:t>
      </w:r>
      <w:r w:rsidRPr="009F2C12">
        <w:rPr>
          <w:b/>
          <w:bCs/>
        </w:rPr>
        <w:t>202</w:t>
      </w:r>
      <w:r w:rsidR="00D42FD5" w:rsidRPr="009F2C12">
        <w:rPr>
          <w:b/>
          <w:bCs/>
        </w:rPr>
        <w:t>2</w:t>
      </w:r>
      <w:r w:rsidR="009F2C12">
        <w:rPr>
          <w:b/>
          <w:bCs/>
        </w:rPr>
        <w:t xml:space="preserve"> compared to year ending </w:t>
      </w:r>
      <w:r w:rsidR="00603975">
        <w:rPr>
          <w:b/>
          <w:bCs/>
        </w:rPr>
        <w:t xml:space="preserve">June </w:t>
      </w:r>
      <w:r w:rsidR="009F2C12">
        <w:rPr>
          <w:b/>
          <w:bCs/>
        </w:rPr>
        <w:t>2019</w:t>
      </w:r>
    </w:p>
    <w:p w14:paraId="7E9BFF8E" w14:textId="2985B6A9" w:rsidR="00D42FD5" w:rsidRPr="00D204C3" w:rsidRDefault="00D42FD5" w:rsidP="00D42FD5">
      <w:pPr>
        <w:jc w:val="center"/>
      </w:pPr>
    </w:p>
    <w:p w14:paraId="7DC431DE" w14:textId="502022CE" w:rsidR="00591B22" w:rsidRPr="00D204C3" w:rsidRDefault="00426559" w:rsidP="00591B22">
      <w:r>
        <w:rPr>
          <w:noProof/>
        </w:rPr>
        <w:drawing>
          <wp:inline distT="0" distB="0" distL="0" distR="0" wp14:anchorId="7BE4264E" wp14:editId="4AC3B02D">
            <wp:extent cx="6120130" cy="2879725"/>
            <wp:effectExtent l="0" t="0" r="0" b="0"/>
            <wp:docPr id="20" name="Picture 20" descr="An image of Australia that illustrates the number of visitors and spend in each state or territory from the year ending June 2019 to the year ending June 2022. The per cent change on the year ending June 2019 is also shown.&#10;&#10;New South Wales - 24.9 million visitors and $17.6 billion spend, down 33% and 22% respectively&#10;Victoria -  19.9 million visitors and $12.7 billion spend, down 32% and 21% respectively&#10;Queensland – 21.7 million visitors and $19.6 billion spend, down 14% and up 4% respectively&#10;South Australia – 6 million visitors and $4.4 billion spend, down 19% and 9% respectively&#10;Western Australia - 9.8 million visitors and $8.5 billion spend, down 8% and up 3% respectively&#10;Tasmania - 2.8 million visitors and $2.9 billion spend, down 12% and up 1% respectively&#10;Northern Territory - 1.3 million visitors and $2.1 billion spend, down 23% and 1% respectively&#10;ACT - 1.9 million visitors and $1.2 billion spend, both down 35% and 34%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 image of Australia that illustrates the number of visitors and spend in each state or territory from the year ending June 2019 to the year ending June 2022. The per cent change on the year ending June 2019 is also shown.&#10;&#10;New South Wales - 24.9 million visitors and $17.6 billion spend, down 33% and 22% respectively&#10;Victoria -  19.9 million visitors and $12.7 billion spend, down 32% and 21% respectively&#10;Queensland – 21.7 million visitors and $19.6 billion spend, down 14% and up 4% respectively&#10;South Australia – 6 million visitors and $4.4 billion spend, down 19% and 9% respectively&#10;Western Australia - 9.8 million visitors and $8.5 billion spend, down 8% and up 3% respectively&#10;Tasmania - 2.8 million visitors and $2.9 billion spend, down 12% and up 1% respectively&#10;Northern Territory - 1.3 million visitors and $2.1 billion spend, down 23% and 1% respectively&#10;ACT - 1.9 million visitors and $1.2 billion spend, both down 35% and 34% respectively."/>
                    <pic:cNvPicPr/>
                  </pic:nvPicPr>
                  <pic:blipFill>
                    <a:blip r:embed="rId22"/>
                    <a:stretch>
                      <a:fillRect/>
                    </a:stretch>
                  </pic:blipFill>
                  <pic:spPr>
                    <a:xfrm>
                      <a:off x="0" y="0"/>
                      <a:ext cx="6120130" cy="2879725"/>
                    </a:xfrm>
                    <a:prstGeom prst="rect">
                      <a:avLst/>
                    </a:prstGeom>
                  </pic:spPr>
                </pic:pic>
              </a:graphicData>
            </a:graphic>
          </wp:inline>
        </w:drawing>
      </w:r>
    </w:p>
    <w:p w14:paraId="61D2B8D2" w14:textId="77777777" w:rsidR="00F97797" w:rsidRDefault="00F97797" w:rsidP="00827F3F"/>
    <w:p w14:paraId="6C0AAC21" w14:textId="5B186137" w:rsidR="00591B22" w:rsidRPr="00D204C3" w:rsidRDefault="00591B22" w:rsidP="00591B22">
      <w:pPr>
        <w:pStyle w:val="Caption"/>
      </w:pPr>
      <w:r w:rsidRPr="00D204C3">
        <w:t xml:space="preserve">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t>
      </w:r>
    </w:p>
    <w:p w14:paraId="06E1CEE2" w14:textId="333288D8" w:rsidR="00591B22" w:rsidRDefault="00591B22" w:rsidP="00591B22">
      <w:pPr>
        <w:pStyle w:val="Caption"/>
      </w:pPr>
      <w:r w:rsidRPr="00D204C3">
        <w:t>While care has been taken to ensure the information in this report is accurate, the Commonwealth does not accept any liability for any loss arising from reliance on the information, or from any error or omission, in the report.</w:t>
      </w:r>
    </w:p>
    <w:p w14:paraId="34B8918C" w14:textId="77777777" w:rsidR="00DE4FC6" w:rsidRPr="00DE4FC6" w:rsidRDefault="00DE4FC6" w:rsidP="00DE4FC6"/>
    <w:sectPr w:rsidR="00DE4FC6" w:rsidRPr="00DE4FC6" w:rsidSect="004A0D20">
      <w:headerReference w:type="default" r:id="rId23"/>
      <w:footerReference w:type="default" r:id="rId24"/>
      <w:footerReference w:type="first" r:id="rId25"/>
      <w:footnotePr>
        <w:numStart w:val="2"/>
      </w:footnotePr>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9F8E" w14:textId="77777777" w:rsidR="000B3E04" w:rsidRDefault="000B3E04" w:rsidP="00D52B20">
      <w:pPr>
        <w:spacing w:after="0" w:line="240" w:lineRule="auto"/>
      </w:pPr>
      <w:r>
        <w:separator/>
      </w:r>
    </w:p>
  </w:endnote>
  <w:endnote w:type="continuationSeparator" w:id="0">
    <w:p w14:paraId="1AFD5777" w14:textId="77777777" w:rsidR="000B3E04" w:rsidRDefault="000B3E04"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 w:name="AU Sans BETA Text Medium">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224D" w14:textId="56607C3F" w:rsidR="006B3279" w:rsidRPr="006B3279" w:rsidRDefault="00BC216F" w:rsidP="006B3279">
    <w:pPr>
      <w:pStyle w:val="Footer"/>
    </w:pPr>
    <w:r>
      <w:t xml:space="preserve">NATIONAL VISITOR SURVEY RESULTS – </w:t>
    </w:r>
    <w:r w:rsidR="00725B35">
      <w:t>June</w:t>
    </w:r>
    <w:r>
      <w:t xml:space="preserve"> Quarter 2022,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43B9" w14:textId="318EB828" w:rsidR="00B7523B" w:rsidRPr="00B7523B" w:rsidRDefault="00BC216F" w:rsidP="00B7523B">
    <w:pPr>
      <w:pStyle w:val="Footer"/>
    </w:pPr>
    <w:r>
      <w:t>NATIONAL VISITOR SURVEY RESULTS</w:t>
    </w:r>
    <w:r w:rsidR="00750D77">
      <w:t xml:space="preserve"> – </w:t>
    </w:r>
    <w:r w:rsidR="000569C6">
      <w:t>June</w:t>
    </w:r>
    <w:r>
      <w:t xml:space="preserve"> Quarter 2022</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0E2F" w14:textId="77777777" w:rsidR="000B3E04" w:rsidRDefault="000B3E04" w:rsidP="00D52B20">
      <w:pPr>
        <w:spacing w:after="0" w:line="240" w:lineRule="auto"/>
      </w:pPr>
    </w:p>
  </w:footnote>
  <w:footnote w:type="continuationSeparator" w:id="0">
    <w:p w14:paraId="64B06C24" w14:textId="77777777" w:rsidR="000B3E04" w:rsidRDefault="000B3E04"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3D764C8">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A4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6FBC6"/>
    <w:multiLevelType w:val="hybridMultilevel"/>
    <w:tmpl w:val="E4D152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A9C82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294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4"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FFFFFF80"/>
    <w:multiLevelType w:val="singleLevel"/>
    <w:tmpl w:val="C5B89E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188A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8"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9" w15:restartNumberingAfterBreak="0">
    <w:nsid w:val="FFFFFF89"/>
    <w:multiLevelType w:val="singleLevel"/>
    <w:tmpl w:val="D96A56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CC6"/>
    <w:multiLevelType w:val="hybridMultilevel"/>
    <w:tmpl w:val="8A0E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1D621A4"/>
    <w:multiLevelType w:val="hybridMultilevel"/>
    <w:tmpl w:val="7646E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2B7D6A"/>
    <w:multiLevelType w:val="hybridMultilevel"/>
    <w:tmpl w:val="487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FA4494"/>
    <w:multiLevelType w:val="hybridMultilevel"/>
    <w:tmpl w:val="3B12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2D5ADF"/>
    <w:multiLevelType w:val="hybridMultilevel"/>
    <w:tmpl w:val="A85A0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8350424"/>
    <w:multiLevelType w:val="hybridMultilevel"/>
    <w:tmpl w:val="1200D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83A4851"/>
    <w:multiLevelType w:val="hybridMultilevel"/>
    <w:tmpl w:val="62DCEC6E"/>
    <w:lvl w:ilvl="0" w:tplc="E390BA22">
      <w:numFmt w:val="bullet"/>
      <w:lvlText w:val="-"/>
      <w:lvlJc w:val="left"/>
      <w:pPr>
        <w:ind w:left="720" w:hanging="360"/>
      </w:pPr>
      <w:rPr>
        <w:rFonts w:ascii="Verdana" w:eastAsiaTheme="minorEastAsia"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2744BA"/>
    <w:multiLevelType w:val="hybridMultilevel"/>
    <w:tmpl w:val="CE9C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4438DF"/>
    <w:multiLevelType w:val="hybridMultilevel"/>
    <w:tmpl w:val="FCA6F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8AB0BD9"/>
    <w:multiLevelType w:val="hybridMultilevel"/>
    <w:tmpl w:val="70EC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680A06"/>
    <w:multiLevelType w:val="hybridMultilevel"/>
    <w:tmpl w:val="986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695188"/>
    <w:multiLevelType w:val="hybridMultilevel"/>
    <w:tmpl w:val="309A0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6D573C9"/>
    <w:multiLevelType w:val="hybridMultilevel"/>
    <w:tmpl w:val="6780F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132C4A"/>
    <w:multiLevelType w:val="hybridMultilevel"/>
    <w:tmpl w:val="9F36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D77167"/>
    <w:multiLevelType w:val="hybridMultilevel"/>
    <w:tmpl w:val="BAFC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7C0135"/>
    <w:multiLevelType w:val="hybridMultilevel"/>
    <w:tmpl w:val="F188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03568F"/>
    <w:multiLevelType w:val="hybridMultilevel"/>
    <w:tmpl w:val="0048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0A200D"/>
    <w:multiLevelType w:val="hybridMultilevel"/>
    <w:tmpl w:val="973AF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AE6185"/>
    <w:multiLevelType w:val="hybridMultilevel"/>
    <w:tmpl w:val="E6BE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824D09"/>
    <w:multiLevelType w:val="hybridMultilevel"/>
    <w:tmpl w:val="74A43948"/>
    <w:lvl w:ilvl="0" w:tplc="6144F722">
      <w:numFmt w:val="bullet"/>
      <w:lvlText w:val="-"/>
      <w:lvlJc w:val="left"/>
      <w:pPr>
        <w:ind w:left="720" w:hanging="360"/>
      </w:pPr>
      <w:rPr>
        <w:rFonts w:ascii="Verdana" w:eastAsiaTheme="minorEastAsia"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C22607"/>
    <w:multiLevelType w:val="hybridMultilevel"/>
    <w:tmpl w:val="34BEB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49842436"/>
    <w:multiLevelType w:val="hybridMultilevel"/>
    <w:tmpl w:val="1D12936C"/>
    <w:lvl w:ilvl="0" w:tplc="351CCD4A">
      <w:start w:val="3"/>
      <w:numFmt w:val="bullet"/>
      <w:lvlText w:val="-"/>
      <w:lvlJc w:val="left"/>
      <w:pPr>
        <w:ind w:left="720" w:hanging="360"/>
      </w:pPr>
      <w:rPr>
        <w:rFonts w:ascii="Verdana" w:eastAsiaTheme="minorEastAsia"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A8689A"/>
    <w:multiLevelType w:val="hybridMultilevel"/>
    <w:tmpl w:val="A9E8D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4B1D5F"/>
    <w:multiLevelType w:val="hybridMultilevel"/>
    <w:tmpl w:val="E7789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6F7B08"/>
    <w:multiLevelType w:val="hybridMultilevel"/>
    <w:tmpl w:val="7F28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E87B7E"/>
    <w:multiLevelType w:val="hybridMultilevel"/>
    <w:tmpl w:val="D6AE5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593A42"/>
    <w:multiLevelType w:val="hybridMultilevel"/>
    <w:tmpl w:val="8786AD8A"/>
    <w:lvl w:ilvl="0" w:tplc="6144F722">
      <w:numFmt w:val="bullet"/>
      <w:lvlText w:val="-"/>
      <w:lvlJc w:val="left"/>
      <w:pPr>
        <w:ind w:left="720" w:hanging="360"/>
      </w:pPr>
      <w:rPr>
        <w:rFonts w:ascii="Verdana" w:eastAsiaTheme="minorEastAsia"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782D18"/>
    <w:multiLevelType w:val="hybridMultilevel"/>
    <w:tmpl w:val="2376C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2A1545"/>
    <w:multiLevelType w:val="hybridMultilevel"/>
    <w:tmpl w:val="4F049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CB09B3"/>
    <w:multiLevelType w:val="hybridMultilevel"/>
    <w:tmpl w:val="ABA2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DE0AD0"/>
    <w:multiLevelType w:val="hybridMultilevel"/>
    <w:tmpl w:val="F48A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B13E65"/>
    <w:multiLevelType w:val="hybridMultilevel"/>
    <w:tmpl w:val="EC448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4F1497"/>
    <w:multiLevelType w:val="hybridMultilevel"/>
    <w:tmpl w:val="2ED03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AB1ECD"/>
    <w:multiLevelType w:val="hybridMultilevel"/>
    <w:tmpl w:val="967C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ED0362"/>
    <w:multiLevelType w:val="hybridMultilevel"/>
    <w:tmpl w:val="CCC0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8013CC"/>
    <w:multiLevelType w:val="hybridMultilevel"/>
    <w:tmpl w:val="6792E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11"/>
  </w:num>
  <w:num w:numId="2" w16cid:durableId="1417286819">
    <w:abstractNumId w:val="32"/>
  </w:num>
  <w:num w:numId="3" w16cid:durableId="186603519">
    <w:abstractNumId w:val="8"/>
  </w:num>
  <w:num w:numId="4" w16cid:durableId="490146609">
    <w:abstractNumId w:val="7"/>
  </w:num>
  <w:num w:numId="5" w16cid:durableId="1526290194">
    <w:abstractNumId w:val="6"/>
  </w:num>
  <w:num w:numId="6" w16cid:durableId="1336686703">
    <w:abstractNumId w:val="5"/>
  </w:num>
  <w:num w:numId="7" w16cid:durableId="1151407992">
    <w:abstractNumId w:val="33"/>
  </w:num>
  <w:num w:numId="8" w16cid:durableId="1874995102">
    <w:abstractNumId w:val="4"/>
  </w:num>
  <w:num w:numId="9" w16cid:durableId="1374424460">
    <w:abstractNumId w:val="3"/>
  </w:num>
  <w:num w:numId="10" w16cid:durableId="307976262">
    <w:abstractNumId w:val="2"/>
  </w:num>
  <w:num w:numId="11" w16cid:durableId="471605592">
    <w:abstractNumId w:val="1"/>
  </w:num>
  <w:num w:numId="12" w16cid:durableId="8879098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9142564">
    <w:abstractNumId w:val="33"/>
  </w:num>
  <w:num w:numId="14" w16cid:durableId="981426264">
    <w:abstractNumId w:val="0"/>
  </w:num>
  <w:num w:numId="15" w16cid:durableId="318340560">
    <w:abstractNumId w:val="19"/>
  </w:num>
  <w:num w:numId="16" w16cid:durableId="1717895196">
    <w:abstractNumId w:val="19"/>
  </w:num>
  <w:num w:numId="17" w16cid:durableId="1700660470">
    <w:abstractNumId w:val="20"/>
  </w:num>
  <w:num w:numId="18" w16cid:durableId="1814329862">
    <w:abstractNumId w:val="10"/>
  </w:num>
  <w:num w:numId="19" w16cid:durableId="1629314763">
    <w:abstractNumId w:val="36"/>
  </w:num>
  <w:num w:numId="20" w16cid:durableId="1113480584">
    <w:abstractNumId w:val="43"/>
  </w:num>
  <w:num w:numId="21" w16cid:durableId="1748266719">
    <w:abstractNumId w:val="23"/>
  </w:num>
  <w:num w:numId="22" w16cid:durableId="619186106">
    <w:abstractNumId w:val="38"/>
  </w:num>
  <w:num w:numId="23" w16cid:durableId="918441287">
    <w:abstractNumId w:val="41"/>
  </w:num>
  <w:num w:numId="24" w16cid:durableId="1821460462">
    <w:abstractNumId w:val="42"/>
  </w:num>
  <w:num w:numId="25" w16cid:durableId="1425954117">
    <w:abstractNumId w:val="24"/>
  </w:num>
  <w:num w:numId="26" w16cid:durableId="451677772">
    <w:abstractNumId w:val="32"/>
  </w:num>
  <w:num w:numId="27" w16cid:durableId="917515849">
    <w:abstractNumId w:val="9"/>
  </w:num>
  <w:num w:numId="28" w16cid:durableId="839588481">
    <w:abstractNumId w:val="21"/>
  </w:num>
  <w:num w:numId="29" w16cid:durableId="369846169">
    <w:abstractNumId w:val="34"/>
  </w:num>
  <w:num w:numId="30" w16cid:durableId="790902778">
    <w:abstractNumId w:val="13"/>
  </w:num>
  <w:num w:numId="31" w16cid:durableId="1308970015">
    <w:abstractNumId w:val="18"/>
  </w:num>
  <w:num w:numId="32" w16cid:durableId="2140217500">
    <w:abstractNumId w:val="16"/>
  </w:num>
  <w:num w:numId="33" w16cid:durableId="201525413">
    <w:abstractNumId w:val="47"/>
  </w:num>
  <w:num w:numId="34" w16cid:durableId="1478917630">
    <w:abstractNumId w:val="31"/>
  </w:num>
  <w:num w:numId="35" w16cid:durableId="1768038530">
    <w:abstractNumId w:val="35"/>
  </w:num>
  <w:num w:numId="36" w16cid:durableId="1991715169">
    <w:abstractNumId w:val="28"/>
  </w:num>
  <w:num w:numId="37" w16cid:durableId="1682123188">
    <w:abstractNumId w:val="15"/>
  </w:num>
  <w:num w:numId="38" w16cid:durableId="815879673">
    <w:abstractNumId w:val="17"/>
  </w:num>
  <w:num w:numId="39" w16cid:durableId="2035839755">
    <w:abstractNumId w:val="30"/>
  </w:num>
  <w:num w:numId="40" w16cid:durableId="189492450">
    <w:abstractNumId w:val="39"/>
  </w:num>
  <w:num w:numId="41" w16cid:durableId="1834225513">
    <w:abstractNumId w:val="40"/>
  </w:num>
  <w:num w:numId="42" w16cid:durableId="1311133385">
    <w:abstractNumId w:val="25"/>
  </w:num>
  <w:num w:numId="43" w16cid:durableId="539246169">
    <w:abstractNumId w:val="27"/>
  </w:num>
  <w:num w:numId="44" w16cid:durableId="2000841490">
    <w:abstractNumId w:val="44"/>
  </w:num>
  <w:num w:numId="45" w16cid:durableId="267542674">
    <w:abstractNumId w:val="48"/>
  </w:num>
  <w:num w:numId="46" w16cid:durableId="1849363043">
    <w:abstractNumId w:val="26"/>
  </w:num>
  <w:num w:numId="47" w16cid:durableId="2047945544">
    <w:abstractNumId w:val="22"/>
  </w:num>
  <w:num w:numId="48" w16cid:durableId="1615866141">
    <w:abstractNumId w:val="12"/>
  </w:num>
  <w:num w:numId="49" w16cid:durableId="1695303973">
    <w:abstractNumId w:val="37"/>
  </w:num>
  <w:num w:numId="50" w16cid:durableId="1121150739">
    <w:abstractNumId w:val="14"/>
  </w:num>
  <w:num w:numId="51" w16cid:durableId="953368224">
    <w:abstractNumId w:val="29"/>
  </w:num>
  <w:num w:numId="52" w16cid:durableId="1762069877">
    <w:abstractNumId w:val="45"/>
  </w:num>
  <w:num w:numId="53" w16cid:durableId="815073152">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5326"/>
    <w:rsid w:val="00007835"/>
    <w:rsid w:val="00007E6F"/>
    <w:rsid w:val="00015FCE"/>
    <w:rsid w:val="0002399C"/>
    <w:rsid w:val="000258DE"/>
    <w:rsid w:val="00043F81"/>
    <w:rsid w:val="00055488"/>
    <w:rsid w:val="00055757"/>
    <w:rsid w:val="00055EAC"/>
    <w:rsid w:val="000569C6"/>
    <w:rsid w:val="00071E18"/>
    <w:rsid w:val="0007350A"/>
    <w:rsid w:val="00080913"/>
    <w:rsid w:val="00080E22"/>
    <w:rsid w:val="00082067"/>
    <w:rsid w:val="00086C3F"/>
    <w:rsid w:val="00096ED6"/>
    <w:rsid w:val="000A202D"/>
    <w:rsid w:val="000A58B7"/>
    <w:rsid w:val="000A7B4E"/>
    <w:rsid w:val="000B1F2F"/>
    <w:rsid w:val="000B3E04"/>
    <w:rsid w:val="000B627D"/>
    <w:rsid w:val="000C385A"/>
    <w:rsid w:val="000C43BC"/>
    <w:rsid w:val="000C4E42"/>
    <w:rsid w:val="000C5160"/>
    <w:rsid w:val="000D05DD"/>
    <w:rsid w:val="000D11A5"/>
    <w:rsid w:val="000D11ED"/>
    <w:rsid w:val="000D1742"/>
    <w:rsid w:val="000D291A"/>
    <w:rsid w:val="000D4D84"/>
    <w:rsid w:val="000E7BA2"/>
    <w:rsid w:val="000F1352"/>
    <w:rsid w:val="000F3126"/>
    <w:rsid w:val="000F3F9A"/>
    <w:rsid w:val="000F4805"/>
    <w:rsid w:val="000F5777"/>
    <w:rsid w:val="00103198"/>
    <w:rsid w:val="0010593E"/>
    <w:rsid w:val="00106927"/>
    <w:rsid w:val="00110B6B"/>
    <w:rsid w:val="00111C50"/>
    <w:rsid w:val="00113B87"/>
    <w:rsid w:val="00121799"/>
    <w:rsid w:val="0012274D"/>
    <w:rsid w:val="00131618"/>
    <w:rsid w:val="00132683"/>
    <w:rsid w:val="0013397D"/>
    <w:rsid w:val="0013590D"/>
    <w:rsid w:val="001401BD"/>
    <w:rsid w:val="001412FD"/>
    <w:rsid w:val="00146F4A"/>
    <w:rsid w:val="0016215E"/>
    <w:rsid w:val="0016423D"/>
    <w:rsid w:val="00165E47"/>
    <w:rsid w:val="00167250"/>
    <w:rsid w:val="00171585"/>
    <w:rsid w:val="00174A50"/>
    <w:rsid w:val="00174B20"/>
    <w:rsid w:val="00176A44"/>
    <w:rsid w:val="00177AC9"/>
    <w:rsid w:val="00180FF0"/>
    <w:rsid w:val="001863CA"/>
    <w:rsid w:val="00186F6A"/>
    <w:rsid w:val="001939D9"/>
    <w:rsid w:val="00194AE7"/>
    <w:rsid w:val="001A119C"/>
    <w:rsid w:val="001A333C"/>
    <w:rsid w:val="001A50D9"/>
    <w:rsid w:val="001B3311"/>
    <w:rsid w:val="001B57C1"/>
    <w:rsid w:val="001B5E50"/>
    <w:rsid w:val="001B7065"/>
    <w:rsid w:val="001B72B0"/>
    <w:rsid w:val="001C2C56"/>
    <w:rsid w:val="001C43A2"/>
    <w:rsid w:val="001E00A3"/>
    <w:rsid w:val="001E0769"/>
    <w:rsid w:val="001E1037"/>
    <w:rsid w:val="001E33B7"/>
    <w:rsid w:val="001F5A0A"/>
    <w:rsid w:val="00200A49"/>
    <w:rsid w:val="002012F6"/>
    <w:rsid w:val="00205330"/>
    <w:rsid w:val="0020657C"/>
    <w:rsid w:val="0020670F"/>
    <w:rsid w:val="00215D34"/>
    <w:rsid w:val="00223B2F"/>
    <w:rsid w:val="00223B43"/>
    <w:rsid w:val="00224C94"/>
    <w:rsid w:val="002259D6"/>
    <w:rsid w:val="002312D1"/>
    <w:rsid w:val="00231354"/>
    <w:rsid w:val="002376C5"/>
    <w:rsid w:val="002416A0"/>
    <w:rsid w:val="00241C1A"/>
    <w:rsid w:val="00245A97"/>
    <w:rsid w:val="00252908"/>
    <w:rsid w:val="00255492"/>
    <w:rsid w:val="0025575C"/>
    <w:rsid w:val="00255B47"/>
    <w:rsid w:val="002625AA"/>
    <w:rsid w:val="00273412"/>
    <w:rsid w:val="00274E7F"/>
    <w:rsid w:val="002771A0"/>
    <w:rsid w:val="00277B6D"/>
    <w:rsid w:val="00280403"/>
    <w:rsid w:val="00280A82"/>
    <w:rsid w:val="002864E8"/>
    <w:rsid w:val="002872E1"/>
    <w:rsid w:val="0028780F"/>
    <w:rsid w:val="002A1B3E"/>
    <w:rsid w:val="002B4139"/>
    <w:rsid w:val="002B64CF"/>
    <w:rsid w:val="002C0E46"/>
    <w:rsid w:val="002C1647"/>
    <w:rsid w:val="002C44EA"/>
    <w:rsid w:val="002D1005"/>
    <w:rsid w:val="002D1F99"/>
    <w:rsid w:val="002D2648"/>
    <w:rsid w:val="002D27F1"/>
    <w:rsid w:val="002D63CB"/>
    <w:rsid w:val="002D7EDD"/>
    <w:rsid w:val="002E0AC1"/>
    <w:rsid w:val="002E48C1"/>
    <w:rsid w:val="002F0987"/>
    <w:rsid w:val="002F35A2"/>
    <w:rsid w:val="002F4B83"/>
    <w:rsid w:val="002F5987"/>
    <w:rsid w:val="00305F78"/>
    <w:rsid w:val="00311FA7"/>
    <w:rsid w:val="003152C0"/>
    <w:rsid w:val="00316A7F"/>
    <w:rsid w:val="003202E6"/>
    <w:rsid w:val="00334DD7"/>
    <w:rsid w:val="00340D9C"/>
    <w:rsid w:val="00343D07"/>
    <w:rsid w:val="00343F90"/>
    <w:rsid w:val="00347537"/>
    <w:rsid w:val="00351BEA"/>
    <w:rsid w:val="003573C9"/>
    <w:rsid w:val="003616C0"/>
    <w:rsid w:val="00362E9D"/>
    <w:rsid w:val="003657F4"/>
    <w:rsid w:val="00374CF6"/>
    <w:rsid w:val="00375265"/>
    <w:rsid w:val="00376485"/>
    <w:rsid w:val="00377D1C"/>
    <w:rsid w:val="0038333D"/>
    <w:rsid w:val="00386C13"/>
    <w:rsid w:val="003959B0"/>
    <w:rsid w:val="003963F8"/>
    <w:rsid w:val="00397239"/>
    <w:rsid w:val="003A04F7"/>
    <w:rsid w:val="003A427A"/>
    <w:rsid w:val="003A4639"/>
    <w:rsid w:val="003A6D04"/>
    <w:rsid w:val="003A7509"/>
    <w:rsid w:val="003B24E8"/>
    <w:rsid w:val="003B7192"/>
    <w:rsid w:val="003C3EE7"/>
    <w:rsid w:val="003C6F54"/>
    <w:rsid w:val="003D5FE0"/>
    <w:rsid w:val="003E346D"/>
    <w:rsid w:val="003E64D9"/>
    <w:rsid w:val="003E704E"/>
    <w:rsid w:val="003F3CC3"/>
    <w:rsid w:val="00401D95"/>
    <w:rsid w:val="00416004"/>
    <w:rsid w:val="00420E6E"/>
    <w:rsid w:val="0042201B"/>
    <w:rsid w:val="00426559"/>
    <w:rsid w:val="004316FE"/>
    <w:rsid w:val="0043585B"/>
    <w:rsid w:val="00442733"/>
    <w:rsid w:val="00444B7B"/>
    <w:rsid w:val="00452B90"/>
    <w:rsid w:val="00454D44"/>
    <w:rsid w:val="0046114D"/>
    <w:rsid w:val="00462CFD"/>
    <w:rsid w:val="00464990"/>
    <w:rsid w:val="00465848"/>
    <w:rsid w:val="004736F2"/>
    <w:rsid w:val="00477089"/>
    <w:rsid w:val="004816B1"/>
    <w:rsid w:val="00491EBC"/>
    <w:rsid w:val="00491F26"/>
    <w:rsid w:val="004A01B1"/>
    <w:rsid w:val="004A0D20"/>
    <w:rsid w:val="004A5042"/>
    <w:rsid w:val="004B2FDC"/>
    <w:rsid w:val="004B6969"/>
    <w:rsid w:val="004B6FAA"/>
    <w:rsid w:val="004B79EC"/>
    <w:rsid w:val="004B7DF6"/>
    <w:rsid w:val="004E2881"/>
    <w:rsid w:val="004F5C4D"/>
    <w:rsid w:val="00504D0B"/>
    <w:rsid w:val="00505091"/>
    <w:rsid w:val="00511A7D"/>
    <w:rsid w:val="0051222F"/>
    <w:rsid w:val="00513F6D"/>
    <w:rsid w:val="00515C54"/>
    <w:rsid w:val="00523B99"/>
    <w:rsid w:val="00523CFF"/>
    <w:rsid w:val="005306C9"/>
    <w:rsid w:val="0054013A"/>
    <w:rsid w:val="0054060E"/>
    <w:rsid w:val="0054151E"/>
    <w:rsid w:val="005435AF"/>
    <w:rsid w:val="00544F35"/>
    <w:rsid w:val="00554137"/>
    <w:rsid w:val="00555DD2"/>
    <w:rsid w:val="00556BE4"/>
    <w:rsid w:val="005604E3"/>
    <w:rsid w:val="005648C7"/>
    <w:rsid w:val="00566ED3"/>
    <w:rsid w:val="00572276"/>
    <w:rsid w:val="0057356B"/>
    <w:rsid w:val="00584BF4"/>
    <w:rsid w:val="00585215"/>
    <w:rsid w:val="00590E7C"/>
    <w:rsid w:val="0059110F"/>
    <w:rsid w:val="005912C7"/>
    <w:rsid w:val="00591B22"/>
    <w:rsid w:val="00594767"/>
    <w:rsid w:val="005A160D"/>
    <w:rsid w:val="005A1936"/>
    <w:rsid w:val="005A324E"/>
    <w:rsid w:val="005A6F07"/>
    <w:rsid w:val="005B586A"/>
    <w:rsid w:val="005B7297"/>
    <w:rsid w:val="005D2F98"/>
    <w:rsid w:val="005E060D"/>
    <w:rsid w:val="005F0F42"/>
    <w:rsid w:val="005F6C65"/>
    <w:rsid w:val="005F7D19"/>
    <w:rsid w:val="00600F2D"/>
    <w:rsid w:val="00603975"/>
    <w:rsid w:val="00605049"/>
    <w:rsid w:val="00610CDC"/>
    <w:rsid w:val="006123CC"/>
    <w:rsid w:val="0061300D"/>
    <w:rsid w:val="006145A0"/>
    <w:rsid w:val="00621484"/>
    <w:rsid w:val="0062562C"/>
    <w:rsid w:val="00627C77"/>
    <w:rsid w:val="00627FEF"/>
    <w:rsid w:val="006314E7"/>
    <w:rsid w:val="00633A13"/>
    <w:rsid w:val="00634143"/>
    <w:rsid w:val="006351EF"/>
    <w:rsid w:val="00637B8C"/>
    <w:rsid w:val="00647085"/>
    <w:rsid w:val="00647903"/>
    <w:rsid w:val="00647CBF"/>
    <w:rsid w:val="00653FDB"/>
    <w:rsid w:val="00655E7E"/>
    <w:rsid w:val="006571DF"/>
    <w:rsid w:val="00657547"/>
    <w:rsid w:val="00663FCF"/>
    <w:rsid w:val="00670864"/>
    <w:rsid w:val="00673853"/>
    <w:rsid w:val="00691270"/>
    <w:rsid w:val="00693636"/>
    <w:rsid w:val="0069564C"/>
    <w:rsid w:val="006A2908"/>
    <w:rsid w:val="006A319D"/>
    <w:rsid w:val="006A375C"/>
    <w:rsid w:val="006A7BE1"/>
    <w:rsid w:val="006B120C"/>
    <w:rsid w:val="006B1417"/>
    <w:rsid w:val="006B1491"/>
    <w:rsid w:val="006B2BC7"/>
    <w:rsid w:val="006B3279"/>
    <w:rsid w:val="006B4350"/>
    <w:rsid w:val="006D4C87"/>
    <w:rsid w:val="006E39F9"/>
    <w:rsid w:val="006E6D55"/>
    <w:rsid w:val="007038BF"/>
    <w:rsid w:val="00705E50"/>
    <w:rsid w:val="00713D0D"/>
    <w:rsid w:val="00714245"/>
    <w:rsid w:val="00714F76"/>
    <w:rsid w:val="00723C2B"/>
    <w:rsid w:val="00725A6A"/>
    <w:rsid w:val="00725B35"/>
    <w:rsid w:val="00734CC5"/>
    <w:rsid w:val="0073556D"/>
    <w:rsid w:val="0074039F"/>
    <w:rsid w:val="00745287"/>
    <w:rsid w:val="00746531"/>
    <w:rsid w:val="00750D77"/>
    <w:rsid w:val="00755E8B"/>
    <w:rsid w:val="00757798"/>
    <w:rsid w:val="00757E37"/>
    <w:rsid w:val="00761737"/>
    <w:rsid w:val="0076509D"/>
    <w:rsid w:val="007700BC"/>
    <w:rsid w:val="00775DA3"/>
    <w:rsid w:val="007761C7"/>
    <w:rsid w:val="00780CAB"/>
    <w:rsid w:val="0078284B"/>
    <w:rsid w:val="00785A6B"/>
    <w:rsid w:val="00792C81"/>
    <w:rsid w:val="007938C2"/>
    <w:rsid w:val="00795B31"/>
    <w:rsid w:val="007A11B5"/>
    <w:rsid w:val="007A23CF"/>
    <w:rsid w:val="007A2FE1"/>
    <w:rsid w:val="007B489C"/>
    <w:rsid w:val="007B7319"/>
    <w:rsid w:val="007C07F4"/>
    <w:rsid w:val="007C204D"/>
    <w:rsid w:val="007C23E6"/>
    <w:rsid w:val="007D3B7F"/>
    <w:rsid w:val="007D3EBB"/>
    <w:rsid w:val="007E331A"/>
    <w:rsid w:val="007F533D"/>
    <w:rsid w:val="007F7251"/>
    <w:rsid w:val="00801914"/>
    <w:rsid w:val="008031B8"/>
    <w:rsid w:val="0080458A"/>
    <w:rsid w:val="008060D4"/>
    <w:rsid w:val="008066C4"/>
    <w:rsid w:val="00811115"/>
    <w:rsid w:val="00822182"/>
    <w:rsid w:val="00824140"/>
    <w:rsid w:val="00827F3F"/>
    <w:rsid w:val="008368F4"/>
    <w:rsid w:val="00843A98"/>
    <w:rsid w:val="0084637C"/>
    <w:rsid w:val="0085241C"/>
    <w:rsid w:val="008541C7"/>
    <w:rsid w:val="00857792"/>
    <w:rsid w:val="008577CF"/>
    <w:rsid w:val="00860D15"/>
    <w:rsid w:val="008625F4"/>
    <w:rsid w:val="00873B9B"/>
    <w:rsid w:val="00875BBB"/>
    <w:rsid w:val="008843AF"/>
    <w:rsid w:val="00891CF6"/>
    <w:rsid w:val="00892EA3"/>
    <w:rsid w:val="00893451"/>
    <w:rsid w:val="00893ADF"/>
    <w:rsid w:val="00896858"/>
    <w:rsid w:val="008A38A1"/>
    <w:rsid w:val="008A3979"/>
    <w:rsid w:val="008A50EB"/>
    <w:rsid w:val="008C1C50"/>
    <w:rsid w:val="008C581E"/>
    <w:rsid w:val="008C6848"/>
    <w:rsid w:val="008D4FE2"/>
    <w:rsid w:val="008E1D7B"/>
    <w:rsid w:val="008E47E7"/>
    <w:rsid w:val="008F6CE2"/>
    <w:rsid w:val="009006E5"/>
    <w:rsid w:val="00905818"/>
    <w:rsid w:val="00920CA4"/>
    <w:rsid w:val="009344F1"/>
    <w:rsid w:val="00935EA7"/>
    <w:rsid w:val="00942592"/>
    <w:rsid w:val="00942705"/>
    <w:rsid w:val="00943D78"/>
    <w:rsid w:val="00950DF6"/>
    <w:rsid w:val="00953277"/>
    <w:rsid w:val="00954701"/>
    <w:rsid w:val="00954865"/>
    <w:rsid w:val="009562EB"/>
    <w:rsid w:val="009634C1"/>
    <w:rsid w:val="00965359"/>
    <w:rsid w:val="00966202"/>
    <w:rsid w:val="00973EA6"/>
    <w:rsid w:val="0098217F"/>
    <w:rsid w:val="00983573"/>
    <w:rsid w:val="0098798C"/>
    <w:rsid w:val="009A0B20"/>
    <w:rsid w:val="009A1DD8"/>
    <w:rsid w:val="009B3879"/>
    <w:rsid w:val="009C3795"/>
    <w:rsid w:val="009C679D"/>
    <w:rsid w:val="009D208D"/>
    <w:rsid w:val="009D6091"/>
    <w:rsid w:val="009F0527"/>
    <w:rsid w:val="009F11B6"/>
    <w:rsid w:val="009F2C12"/>
    <w:rsid w:val="00A04343"/>
    <w:rsid w:val="00A070B8"/>
    <w:rsid w:val="00A07482"/>
    <w:rsid w:val="00A14C58"/>
    <w:rsid w:val="00A169CE"/>
    <w:rsid w:val="00A20F62"/>
    <w:rsid w:val="00A27BB2"/>
    <w:rsid w:val="00A35908"/>
    <w:rsid w:val="00A41382"/>
    <w:rsid w:val="00A4163E"/>
    <w:rsid w:val="00A41B5A"/>
    <w:rsid w:val="00A46B9F"/>
    <w:rsid w:val="00A50959"/>
    <w:rsid w:val="00A553F8"/>
    <w:rsid w:val="00A56FE6"/>
    <w:rsid w:val="00A5786C"/>
    <w:rsid w:val="00A63CDE"/>
    <w:rsid w:val="00A674D8"/>
    <w:rsid w:val="00A82978"/>
    <w:rsid w:val="00A86422"/>
    <w:rsid w:val="00A870F1"/>
    <w:rsid w:val="00A929EA"/>
    <w:rsid w:val="00A93D9A"/>
    <w:rsid w:val="00A95C2D"/>
    <w:rsid w:val="00AA00CE"/>
    <w:rsid w:val="00AA286D"/>
    <w:rsid w:val="00AB02F4"/>
    <w:rsid w:val="00AB438B"/>
    <w:rsid w:val="00AC0BE1"/>
    <w:rsid w:val="00AC25D4"/>
    <w:rsid w:val="00AC514A"/>
    <w:rsid w:val="00AD192D"/>
    <w:rsid w:val="00AD697A"/>
    <w:rsid w:val="00AD7809"/>
    <w:rsid w:val="00AE0B25"/>
    <w:rsid w:val="00AF43A3"/>
    <w:rsid w:val="00AF5D5E"/>
    <w:rsid w:val="00AF6EBD"/>
    <w:rsid w:val="00B04760"/>
    <w:rsid w:val="00B163B1"/>
    <w:rsid w:val="00B21353"/>
    <w:rsid w:val="00B2197B"/>
    <w:rsid w:val="00B241BA"/>
    <w:rsid w:val="00B3152A"/>
    <w:rsid w:val="00B31E97"/>
    <w:rsid w:val="00B351F1"/>
    <w:rsid w:val="00B37EDE"/>
    <w:rsid w:val="00B434F1"/>
    <w:rsid w:val="00B44D3E"/>
    <w:rsid w:val="00B45D31"/>
    <w:rsid w:val="00B511CF"/>
    <w:rsid w:val="00B5178F"/>
    <w:rsid w:val="00B51C7B"/>
    <w:rsid w:val="00B51E6A"/>
    <w:rsid w:val="00B522E1"/>
    <w:rsid w:val="00B54EA3"/>
    <w:rsid w:val="00B56C33"/>
    <w:rsid w:val="00B60885"/>
    <w:rsid w:val="00B62147"/>
    <w:rsid w:val="00B70076"/>
    <w:rsid w:val="00B71AAA"/>
    <w:rsid w:val="00B71E33"/>
    <w:rsid w:val="00B7523B"/>
    <w:rsid w:val="00B81331"/>
    <w:rsid w:val="00B82769"/>
    <w:rsid w:val="00B84EFF"/>
    <w:rsid w:val="00B92789"/>
    <w:rsid w:val="00B94C35"/>
    <w:rsid w:val="00B96FF7"/>
    <w:rsid w:val="00B975D3"/>
    <w:rsid w:val="00BA2A4E"/>
    <w:rsid w:val="00BA3479"/>
    <w:rsid w:val="00BA55BC"/>
    <w:rsid w:val="00BC17CB"/>
    <w:rsid w:val="00BC216F"/>
    <w:rsid w:val="00BC4677"/>
    <w:rsid w:val="00BC59BB"/>
    <w:rsid w:val="00BC7621"/>
    <w:rsid w:val="00BD05C2"/>
    <w:rsid w:val="00BD6C26"/>
    <w:rsid w:val="00BD7B38"/>
    <w:rsid w:val="00BD7F10"/>
    <w:rsid w:val="00BE048A"/>
    <w:rsid w:val="00BE29EB"/>
    <w:rsid w:val="00BE5776"/>
    <w:rsid w:val="00BF0C18"/>
    <w:rsid w:val="00BF28AE"/>
    <w:rsid w:val="00BF36E6"/>
    <w:rsid w:val="00BF78BB"/>
    <w:rsid w:val="00C0062D"/>
    <w:rsid w:val="00C03D68"/>
    <w:rsid w:val="00C2611E"/>
    <w:rsid w:val="00C265E3"/>
    <w:rsid w:val="00C26997"/>
    <w:rsid w:val="00C27472"/>
    <w:rsid w:val="00C33E9A"/>
    <w:rsid w:val="00C41A75"/>
    <w:rsid w:val="00C46FBD"/>
    <w:rsid w:val="00C501CD"/>
    <w:rsid w:val="00C53EE2"/>
    <w:rsid w:val="00C55361"/>
    <w:rsid w:val="00C5551A"/>
    <w:rsid w:val="00C557B5"/>
    <w:rsid w:val="00C558DB"/>
    <w:rsid w:val="00C736CD"/>
    <w:rsid w:val="00C75C73"/>
    <w:rsid w:val="00C82285"/>
    <w:rsid w:val="00C96636"/>
    <w:rsid w:val="00C97972"/>
    <w:rsid w:val="00CA0F59"/>
    <w:rsid w:val="00CA7BF2"/>
    <w:rsid w:val="00CB03FC"/>
    <w:rsid w:val="00CB2236"/>
    <w:rsid w:val="00CC16B3"/>
    <w:rsid w:val="00CC1F0B"/>
    <w:rsid w:val="00CC562C"/>
    <w:rsid w:val="00CD3DC9"/>
    <w:rsid w:val="00CD6F8E"/>
    <w:rsid w:val="00CF050B"/>
    <w:rsid w:val="00CF24AA"/>
    <w:rsid w:val="00CF363B"/>
    <w:rsid w:val="00CF60A7"/>
    <w:rsid w:val="00D00E6E"/>
    <w:rsid w:val="00D01BF8"/>
    <w:rsid w:val="00D03B5C"/>
    <w:rsid w:val="00D0419F"/>
    <w:rsid w:val="00D041E2"/>
    <w:rsid w:val="00D14600"/>
    <w:rsid w:val="00D204C3"/>
    <w:rsid w:val="00D20D17"/>
    <w:rsid w:val="00D2782A"/>
    <w:rsid w:val="00D30FA4"/>
    <w:rsid w:val="00D31C36"/>
    <w:rsid w:val="00D31E05"/>
    <w:rsid w:val="00D32FEA"/>
    <w:rsid w:val="00D340A2"/>
    <w:rsid w:val="00D34105"/>
    <w:rsid w:val="00D348AB"/>
    <w:rsid w:val="00D372C9"/>
    <w:rsid w:val="00D42F64"/>
    <w:rsid w:val="00D42FD5"/>
    <w:rsid w:val="00D46AE6"/>
    <w:rsid w:val="00D52B20"/>
    <w:rsid w:val="00D53465"/>
    <w:rsid w:val="00D53ADE"/>
    <w:rsid w:val="00D62FB1"/>
    <w:rsid w:val="00D63C9B"/>
    <w:rsid w:val="00D65FFD"/>
    <w:rsid w:val="00D670F5"/>
    <w:rsid w:val="00D76594"/>
    <w:rsid w:val="00D7676C"/>
    <w:rsid w:val="00D86BAF"/>
    <w:rsid w:val="00D91189"/>
    <w:rsid w:val="00D93D39"/>
    <w:rsid w:val="00D95368"/>
    <w:rsid w:val="00D95EFB"/>
    <w:rsid w:val="00DA0CE4"/>
    <w:rsid w:val="00DA3BE9"/>
    <w:rsid w:val="00DC534C"/>
    <w:rsid w:val="00DC777D"/>
    <w:rsid w:val="00DD2BDE"/>
    <w:rsid w:val="00DD3014"/>
    <w:rsid w:val="00DD7324"/>
    <w:rsid w:val="00DE0314"/>
    <w:rsid w:val="00DE06D1"/>
    <w:rsid w:val="00DE439F"/>
    <w:rsid w:val="00DE4FC6"/>
    <w:rsid w:val="00DE75FB"/>
    <w:rsid w:val="00DF172A"/>
    <w:rsid w:val="00DF52C5"/>
    <w:rsid w:val="00E006C4"/>
    <w:rsid w:val="00E0072B"/>
    <w:rsid w:val="00E03846"/>
    <w:rsid w:val="00E04B0C"/>
    <w:rsid w:val="00E1075E"/>
    <w:rsid w:val="00E121E3"/>
    <w:rsid w:val="00E22659"/>
    <w:rsid w:val="00E24CEB"/>
    <w:rsid w:val="00E24F8B"/>
    <w:rsid w:val="00E2779A"/>
    <w:rsid w:val="00E3115C"/>
    <w:rsid w:val="00E31522"/>
    <w:rsid w:val="00E31CA8"/>
    <w:rsid w:val="00E34AC5"/>
    <w:rsid w:val="00E41E92"/>
    <w:rsid w:val="00E42ABF"/>
    <w:rsid w:val="00E44593"/>
    <w:rsid w:val="00E44EBC"/>
    <w:rsid w:val="00E500AC"/>
    <w:rsid w:val="00E625B5"/>
    <w:rsid w:val="00E630AD"/>
    <w:rsid w:val="00E63726"/>
    <w:rsid w:val="00E6784B"/>
    <w:rsid w:val="00E67AF9"/>
    <w:rsid w:val="00E70B43"/>
    <w:rsid w:val="00E721A4"/>
    <w:rsid w:val="00E75D11"/>
    <w:rsid w:val="00E75D78"/>
    <w:rsid w:val="00E772ED"/>
    <w:rsid w:val="00E80444"/>
    <w:rsid w:val="00E833C7"/>
    <w:rsid w:val="00E85BCC"/>
    <w:rsid w:val="00E93D24"/>
    <w:rsid w:val="00E94643"/>
    <w:rsid w:val="00E965A8"/>
    <w:rsid w:val="00E97C3C"/>
    <w:rsid w:val="00E97CAA"/>
    <w:rsid w:val="00EA0E17"/>
    <w:rsid w:val="00EA1A25"/>
    <w:rsid w:val="00EA5D03"/>
    <w:rsid w:val="00EB55D9"/>
    <w:rsid w:val="00EC22BF"/>
    <w:rsid w:val="00EC4480"/>
    <w:rsid w:val="00EC46CE"/>
    <w:rsid w:val="00ED2526"/>
    <w:rsid w:val="00ED663B"/>
    <w:rsid w:val="00ED6F02"/>
    <w:rsid w:val="00ED7FA4"/>
    <w:rsid w:val="00EE0C61"/>
    <w:rsid w:val="00EE3B68"/>
    <w:rsid w:val="00EF089C"/>
    <w:rsid w:val="00EF1CD9"/>
    <w:rsid w:val="00EF2D70"/>
    <w:rsid w:val="00EF2E35"/>
    <w:rsid w:val="00EF75DC"/>
    <w:rsid w:val="00F0247A"/>
    <w:rsid w:val="00F06DC6"/>
    <w:rsid w:val="00F07501"/>
    <w:rsid w:val="00F10B6D"/>
    <w:rsid w:val="00F10FAE"/>
    <w:rsid w:val="00F16160"/>
    <w:rsid w:val="00F17DB1"/>
    <w:rsid w:val="00F21968"/>
    <w:rsid w:val="00F2507F"/>
    <w:rsid w:val="00F32461"/>
    <w:rsid w:val="00F32E9B"/>
    <w:rsid w:val="00F34D84"/>
    <w:rsid w:val="00F5033A"/>
    <w:rsid w:val="00F51B12"/>
    <w:rsid w:val="00F63E73"/>
    <w:rsid w:val="00F67602"/>
    <w:rsid w:val="00F732A3"/>
    <w:rsid w:val="00F73C0E"/>
    <w:rsid w:val="00F8171A"/>
    <w:rsid w:val="00F82EF4"/>
    <w:rsid w:val="00F84EB8"/>
    <w:rsid w:val="00F8663C"/>
    <w:rsid w:val="00F87AF2"/>
    <w:rsid w:val="00F91BC0"/>
    <w:rsid w:val="00F97797"/>
    <w:rsid w:val="00FA2422"/>
    <w:rsid w:val="00FA27DF"/>
    <w:rsid w:val="00FA6EDB"/>
    <w:rsid w:val="00FA77C7"/>
    <w:rsid w:val="00FB1257"/>
    <w:rsid w:val="00FB3F64"/>
    <w:rsid w:val="00FD28C3"/>
    <w:rsid w:val="00FD3AFF"/>
    <w:rsid w:val="00FD403E"/>
    <w:rsid w:val="00FD62A3"/>
    <w:rsid w:val="00FE41C6"/>
    <w:rsid w:val="00FF173F"/>
    <w:rsid w:val="00FF4F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A7F"/>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13"/>
      </w:numPr>
      <w:snapToGrid w:val="0"/>
      <w:spacing w:after="40"/>
    </w:pPr>
  </w:style>
  <w:style w:type="paragraph" w:styleId="ListNumber2">
    <w:name w:val="List Number 2"/>
    <w:basedOn w:val="Normal"/>
    <w:uiPriority w:val="99"/>
    <w:unhideWhenUsed/>
    <w:qFormat/>
    <w:rsid w:val="006314E7"/>
    <w:pPr>
      <w:numPr>
        <w:ilvl w:val="1"/>
        <w:numId w:val="13"/>
      </w:numPr>
      <w:spacing w:after="40"/>
    </w:pPr>
  </w:style>
  <w:style w:type="paragraph" w:styleId="ListNumber3">
    <w:name w:val="List Number 3"/>
    <w:basedOn w:val="Normal"/>
    <w:uiPriority w:val="99"/>
    <w:unhideWhenUsed/>
    <w:qFormat/>
    <w:rsid w:val="006314E7"/>
    <w:pPr>
      <w:numPr>
        <w:ilvl w:val="2"/>
        <w:numId w:val="1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6d92cf1-08e1-41e5-92d3-0cdcdb1e2433" ContentTypeId="0x01010004862C10171BD149BCA86DC4F354848008" PreviousValue="false"/>
</file>

<file path=customXml/item5.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2.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3.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4.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5.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6.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2022-09-26T03:43:00Z</dcterms:created>
  <dcterms:modified xsi:type="dcterms:W3CDTF">2022-09-26T03:43:00Z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