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A51BF4" w14:textId="77777777" w:rsidR="00EE2C36" w:rsidRPr="008048CC" w:rsidRDefault="00EE2C36" w:rsidP="00663923">
      <w:pPr>
        <w:pStyle w:val="Title"/>
      </w:pPr>
    </w:p>
    <w:p w14:paraId="3E94358F" w14:textId="574B3455" w:rsidR="008048CC" w:rsidRPr="00C9550B" w:rsidRDefault="00891BF6" w:rsidP="00663923">
      <w:pPr>
        <w:pStyle w:val="Title"/>
        <w:sectPr w:rsidR="008048CC" w:rsidRPr="00C9550B" w:rsidSect="00CF10C4">
          <w:headerReference w:type="even" r:id="rId8"/>
          <w:headerReference w:type="default" r:id="rId9"/>
          <w:footerReference w:type="default" r:id="rId10"/>
          <w:headerReference w:type="first" r:id="rId11"/>
          <w:pgSz w:w="11906" w:h="16838" w:code="9"/>
          <w:pgMar w:top="1440" w:right="1440" w:bottom="1440" w:left="1440" w:header="0" w:footer="709" w:gutter="0"/>
          <w:cols w:space="708"/>
          <w:titlePg/>
          <w:docGrid w:linePitch="360"/>
        </w:sectPr>
      </w:pPr>
      <w:r w:rsidRPr="00C9550B">
        <w:t>Travel by australians</w:t>
      </w:r>
      <w:r w:rsidRPr="00C9550B">
        <w:br/>
      </w:r>
    </w:p>
    <w:p w14:paraId="691AAD47" w14:textId="5AA2847E" w:rsidR="00AB24E1" w:rsidRPr="004B18EE" w:rsidRDefault="00AB24E1" w:rsidP="00AB24E1">
      <w:pPr>
        <w:pStyle w:val="Heading2"/>
      </w:pPr>
      <w:r>
        <w:t>COVID-19 PERIOD (mARCH 2020 TO JUNE 2021)</w:t>
      </w:r>
    </w:p>
    <w:tbl>
      <w:tblPr>
        <w:tblStyle w:val="LightList-Accent5"/>
        <w:tblpPr w:leftFromText="180" w:rightFromText="180" w:vertAnchor="text" w:horzAnchor="margin" w:tblpY="112"/>
        <w:tblW w:w="9425" w:type="dxa"/>
        <w:tblBorders>
          <w:top w:val="none" w:sz="0" w:space="0" w:color="auto"/>
          <w:left w:val="none" w:sz="0" w:space="0" w:color="auto"/>
          <w:right w:val="none" w:sz="0" w:space="0" w:color="auto"/>
          <w:insideH w:val="single" w:sz="6" w:space="0" w:color="ACA6A2" w:themeColor="accent5"/>
        </w:tblBorders>
        <w:tblLook w:val="06A0" w:firstRow="1" w:lastRow="0" w:firstColumn="1" w:lastColumn="0" w:noHBand="1" w:noVBand="1"/>
        <w:tblCaption w:val="Year Ending September 2020 Results"/>
      </w:tblPr>
      <w:tblGrid>
        <w:gridCol w:w="1643"/>
        <w:gridCol w:w="1540"/>
        <w:gridCol w:w="1643"/>
        <w:gridCol w:w="1532"/>
        <w:gridCol w:w="1543"/>
        <w:gridCol w:w="1524"/>
      </w:tblGrid>
      <w:tr w:rsidR="00556FE4" w14:paraId="5D528BC9" w14:textId="77777777" w:rsidTr="00124F51">
        <w:trPr>
          <w:cnfStyle w:val="100000000000" w:firstRow="1" w:lastRow="0" w:firstColumn="0" w:lastColumn="0" w:oddVBand="0" w:evenVBand="0" w:oddHBand="0" w:evenHBand="0" w:firstRowFirstColumn="0" w:firstRowLastColumn="0" w:lastRowFirstColumn="0" w:lastRowLastColumn="0"/>
          <w:trHeight w:val="549"/>
          <w:tblHeader/>
        </w:trPr>
        <w:tc>
          <w:tcPr>
            <w:cnfStyle w:val="001000000000" w:firstRow="0" w:lastRow="0" w:firstColumn="1" w:lastColumn="0" w:oddVBand="0" w:evenVBand="0" w:oddHBand="0" w:evenHBand="0" w:firstRowFirstColumn="0" w:firstRowLastColumn="0" w:lastRowFirstColumn="0" w:lastRowLastColumn="0"/>
            <w:tcW w:w="1570" w:type="dxa"/>
          </w:tcPr>
          <w:p w14:paraId="610B6D0A" w14:textId="4B9B032A" w:rsidR="00556FE4" w:rsidRPr="00B17926" w:rsidRDefault="00556FE4" w:rsidP="00DC326C">
            <w:pPr>
              <w:rPr>
                <w:b/>
                <w:sz w:val="24"/>
              </w:rPr>
            </w:pPr>
            <w:r w:rsidRPr="00041B38">
              <w:rPr>
                <w:b/>
                <w:sz w:val="24"/>
              </w:rPr>
              <w:t xml:space="preserve">OVERNIGHT </w:t>
            </w:r>
          </w:p>
        </w:tc>
        <w:tc>
          <w:tcPr>
            <w:tcW w:w="1571" w:type="dxa"/>
          </w:tcPr>
          <w:p w14:paraId="1BAE3FD0" w14:textId="14D54458" w:rsidR="00556FE4" w:rsidRPr="00B17926" w:rsidRDefault="00556FE4" w:rsidP="00DC326C">
            <w:pPr>
              <w:cnfStyle w:val="100000000000" w:firstRow="1" w:lastRow="0" w:firstColumn="0" w:lastColumn="0" w:oddVBand="0" w:evenVBand="0" w:oddHBand="0" w:evenHBand="0" w:firstRowFirstColumn="0" w:firstRowLastColumn="0" w:lastRowFirstColumn="0" w:lastRowLastColumn="0"/>
              <w:rPr>
                <w:b/>
                <w:sz w:val="24"/>
              </w:rPr>
            </w:pPr>
            <w:r w:rsidRPr="00041B38">
              <w:rPr>
                <w:b/>
                <w:sz w:val="24"/>
              </w:rPr>
              <w:t>SPEND</w:t>
            </w:r>
          </w:p>
        </w:tc>
        <w:tc>
          <w:tcPr>
            <w:tcW w:w="1571" w:type="dxa"/>
          </w:tcPr>
          <w:p w14:paraId="1729394E" w14:textId="73C7DAFE" w:rsidR="00556FE4" w:rsidRPr="00B17926" w:rsidRDefault="00556FE4" w:rsidP="00DC326C">
            <w:pPr>
              <w:cnfStyle w:val="100000000000" w:firstRow="1" w:lastRow="0" w:firstColumn="0" w:lastColumn="0" w:oddVBand="0" w:evenVBand="0" w:oddHBand="0" w:evenHBand="0" w:firstRowFirstColumn="0" w:firstRowLastColumn="0" w:lastRowFirstColumn="0" w:lastRowLastColumn="0"/>
              <w:rPr>
                <w:b/>
                <w:bCs w:val="0"/>
                <w:sz w:val="24"/>
              </w:rPr>
            </w:pPr>
            <w:r w:rsidRPr="00041B38">
              <w:rPr>
                <w:b/>
                <w:sz w:val="24"/>
              </w:rPr>
              <w:t xml:space="preserve">OVERNIGHT </w:t>
            </w:r>
          </w:p>
        </w:tc>
        <w:tc>
          <w:tcPr>
            <w:tcW w:w="1571" w:type="dxa"/>
          </w:tcPr>
          <w:p w14:paraId="238827A6" w14:textId="5529331D" w:rsidR="00556FE4" w:rsidRPr="00B17926" w:rsidRDefault="0079037F" w:rsidP="00DC326C">
            <w:pPr>
              <w:cnfStyle w:val="100000000000" w:firstRow="1" w:lastRow="0" w:firstColumn="0" w:lastColumn="0" w:oddVBand="0" w:evenVBand="0" w:oddHBand="0" w:evenHBand="0" w:firstRowFirstColumn="0" w:firstRowLastColumn="0" w:lastRowFirstColumn="0" w:lastRowLastColumn="0"/>
              <w:rPr>
                <w:b/>
                <w:bCs w:val="0"/>
                <w:sz w:val="24"/>
              </w:rPr>
            </w:pPr>
            <w:r w:rsidRPr="00041B38">
              <w:rPr>
                <w:b/>
                <w:sz w:val="24"/>
              </w:rPr>
              <w:t>TRIPS</w:t>
            </w:r>
          </w:p>
        </w:tc>
        <w:tc>
          <w:tcPr>
            <w:tcW w:w="1571" w:type="dxa"/>
          </w:tcPr>
          <w:p w14:paraId="3965DBA1" w14:textId="69AD3024" w:rsidR="00556FE4" w:rsidRPr="00B17926" w:rsidRDefault="00556FE4" w:rsidP="00DC326C">
            <w:pPr>
              <w:cnfStyle w:val="100000000000" w:firstRow="1" w:lastRow="0" w:firstColumn="0" w:lastColumn="0" w:oddVBand="0" w:evenVBand="0" w:oddHBand="0" w:evenHBand="0" w:firstRowFirstColumn="0" w:firstRowLastColumn="0" w:lastRowFirstColumn="0" w:lastRowLastColumn="0"/>
              <w:rPr>
                <w:b/>
                <w:bCs w:val="0"/>
                <w:sz w:val="24"/>
              </w:rPr>
            </w:pPr>
            <w:r w:rsidRPr="00041B38">
              <w:rPr>
                <w:b/>
                <w:sz w:val="24"/>
              </w:rPr>
              <w:t>NIGHTS</w:t>
            </w:r>
          </w:p>
        </w:tc>
        <w:tc>
          <w:tcPr>
            <w:tcW w:w="1571" w:type="dxa"/>
          </w:tcPr>
          <w:p w14:paraId="04E842AD" w14:textId="19922885" w:rsidR="00556FE4" w:rsidRPr="00B17926" w:rsidRDefault="00556FE4" w:rsidP="00DC326C">
            <w:pPr>
              <w:cnfStyle w:val="100000000000" w:firstRow="1" w:lastRow="0" w:firstColumn="0" w:lastColumn="0" w:oddVBand="0" w:evenVBand="0" w:oddHBand="0" w:evenHBand="0" w:firstRowFirstColumn="0" w:firstRowLastColumn="0" w:lastRowFirstColumn="0" w:lastRowLastColumn="0"/>
              <w:rPr>
                <w:b/>
                <w:sz w:val="24"/>
              </w:rPr>
            </w:pPr>
          </w:p>
        </w:tc>
      </w:tr>
      <w:tr w:rsidR="00556FE4" w14:paraId="11F56823" w14:textId="77777777" w:rsidTr="00556FE4">
        <w:trPr>
          <w:cnfStyle w:val="100000000000" w:firstRow="1" w:lastRow="0" w:firstColumn="0" w:lastColumn="0" w:oddVBand="0" w:evenVBand="0" w:oddHBand="0" w:evenHBand="0" w:firstRowFirstColumn="0" w:firstRowLastColumn="0" w:lastRowFirstColumn="0" w:lastRowLastColumn="0"/>
          <w:trHeight w:val="537"/>
          <w:tblHeader/>
        </w:trPr>
        <w:tc>
          <w:tcPr>
            <w:cnfStyle w:val="001000000000" w:firstRow="0" w:lastRow="0" w:firstColumn="1" w:lastColumn="0" w:oddVBand="0" w:evenVBand="0" w:oddHBand="0" w:evenHBand="0" w:firstRowFirstColumn="0" w:firstRowLastColumn="0" w:lastRowFirstColumn="0" w:lastRowLastColumn="0"/>
            <w:tcW w:w="1566" w:type="dxa"/>
            <w:shd w:val="clear" w:color="auto" w:fill="DDDBD9" w:themeFill="accent5" w:themeFillTint="66"/>
          </w:tcPr>
          <w:p w14:paraId="42C98CEA" w14:textId="77777777" w:rsidR="00AB24E1" w:rsidRPr="00615278" w:rsidRDefault="00AB24E1" w:rsidP="00DC326C">
            <w:pPr>
              <w:rPr>
                <w:b/>
                <w:color w:val="auto"/>
              </w:rPr>
            </w:pPr>
            <w:r w:rsidRPr="00615278">
              <w:rPr>
                <w:b/>
                <w:color w:val="auto"/>
              </w:rPr>
              <w:t>FIGURE</w:t>
            </w:r>
          </w:p>
        </w:tc>
        <w:tc>
          <w:tcPr>
            <w:tcW w:w="1573" w:type="dxa"/>
            <w:tcBorders>
              <w:top w:val="single" w:sz="6" w:space="0" w:color="ACA6A2" w:themeColor="accent5"/>
              <w:bottom w:val="single" w:sz="6" w:space="0" w:color="ACA6A2" w:themeColor="accent5"/>
              <w:right w:val="single" w:sz="4" w:space="0" w:color="auto"/>
            </w:tcBorders>
            <w:shd w:val="clear" w:color="auto" w:fill="DDDBD9" w:themeFill="accent5" w:themeFillTint="66"/>
          </w:tcPr>
          <w:p w14:paraId="492FC041" w14:textId="77777777" w:rsidR="00AB24E1" w:rsidRPr="00615278" w:rsidRDefault="00AB24E1" w:rsidP="00DC326C">
            <w:pPr>
              <w:cnfStyle w:val="100000000000" w:firstRow="1" w:lastRow="0" w:firstColumn="0" w:lastColumn="0" w:oddVBand="0" w:evenVBand="0" w:oddHBand="0" w:evenHBand="0" w:firstRowFirstColumn="0" w:firstRowLastColumn="0" w:lastRowFirstColumn="0" w:lastRowLastColumn="0"/>
              <w:rPr>
                <w:b/>
                <w:color w:val="auto"/>
              </w:rPr>
            </w:pPr>
            <w:r w:rsidRPr="00615278">
              <w:rPr>
                <w:b/>
                <w:color w:val="auto"/>
              </w:rPr>
              <w:t>%</w:t>
            </w:r>
          </w:p>
        </w:tc>
        <w:tc>
          <w:tcPr>
            <w:tcW w:w="1571" w:type="dxa"/>
            <w:tcBorders>
              <w:left w:val="single" w:sz="4" w:space="0" w:color="auto"/>
            </w:tcBorders>
            <w:shd w:val="clear" w:color="auto" w:fill="DDDBD9" w:themeFill="accent5" w:themeFillTint="66"/>
          </w:tcPr>
          <w:p w14:paraId="47EF4FE2" w14:textId="77777777" w:rsidR="00AB24E1" w:rsidRPr="00615278" w:rsidRDefault="00AB24E1" w:rsidP="00DC326C">
            <w:pPr>
              <w:cnfStyle w:val="100000000000" w:firstRow="1" w:lastRow="0" w:firstColumn="0" w:lastColumn="0" w:oddVBand="0" w:evenVBand="0" w:oddHBand="0" w:evenHBand="0" w:firstRowFirstColumn="0" w:firstRowLastColumn="0" w:lastRowFirstColumn="0" w:lastRowLastColumn="0"/>
              <w:rPr>
                <w:b/>
                <w:color w:val="auto"/>
              </w:rPr>
            </w:pPr>
            <w:r w:rsidRPr="00615278">
              <w:rPr>
                <w:b/>
                <w:color w:val="auto"/>
              </w:rPr>
              <w:t>FIGURE</w:t>
            </w:r>
          </w:p>
        </w:tc>
        <w:tc>
          <w:tcPr>
            <w:tcW w:w="1573" w:type="dxa"/>
            <w:tcBorders>
              <w:top w:val="single" w:sz="6" w:space="0" w:color="ACA6A2" w:themeColor="accent5"/>
              <w:bottom w:val="single" w:sz="6" w:space="0" w:color="ACA6A2" w:themeColor="accent5"/>
              <w:right w:val="single" w:sz="4" w:space="0" w:color="auto"/>
            </w:tcBorders>
            <w:shd w:val="clear" w:color="auto" w:fill="DDDBD9" w:themeFill="accent5" w:themeFillTint="66"/>
          </w:tcPr>
          <w:p w14:paraId="42D87BE0" w14:textId="77777777" w:rsidR="00AB24E1" w:rsidRPr="00615278" w:rsidRDefault="00AB24E1" w:rsidP="00DC326C">
            <w:pPr>
              <w:cnfStyle w:val="100000000000" w:firstRow="1" w:lastRow="0" w:firstColumn="0" w:lastColumn="0" w:oddVBand="0" w:evenVBand="0" w:oddHBand="0" w:evenHBand="0" w:firstRowFirstColumn="0" w:firstRowLastColumn="0" w:lastRowFirstColumn="0" w:lastRowLastColumn="0"/>
              <w:rPr>
                <w:b/>
                <w:color w:val="auto"/>
              </w:rPr>
            </w:pPr>
            <w:r w:rsidRPr="00615278">
              <w:rPr>
                <w:b/>
                <w:color w:val="auto"/>
              </w:rPr>
              <w:t>%</w:t>
            </w:r>
          </w:p>
        </w:tc>
        <w:tc>
          <w:tcPr>
            <w:tcW w:w="1568" w:type="dxa"/>
            <w:tcBorders>
              <w:left w:val="single" w:sz="4" w:space="0" w:color="auto"/>
            </w:tcBorders>
            <w:shd w:val="clear" w:color="auto" w:fill="DDDBD9" w:themeFill="accent5" w:themeFillTint="66"/>
          </w:tcPr>
          <w:p w14:paraId="06151400" w14:textId="77777777" w:rsidR="00AB24E1" w:rsidRPr="00615278" w:rsidRDefault="00AB24E1" w:rsidP="00DC326C">
            <w:pPr>
              <w:cnfStyle w:val="100000000000" w:firstRow="1" w:lastRow="0" w:firstColumn="0" w:lastColumn="0" w:oddVBand="0" w:evenVBand="0" w:oddHBand="0" w:evenHBand="0" w:firstRowFirstColumn="0" w:firstRowLastColumn="0" w:lastRowFirstColumn="0" w:lastRowLastColumn="0"/>
              <w:rPr>
                <w:b/>
                <w:color w:val="auto"/>
              </w:rPr>
            </w:pPr>
            <w:r w:rsidRPr="00615278">
              <w:rPr>
                <w:b/>
                <w:color w:val="auto"/>
              </w:rPr>
              <w:t>FIGURE</w:t>
            </w:r>
          </w:p>
        </w:tc>
        <w:tc>
          <w:tcPr>
            <w:tcW w:w="1574" w:type="dxa"/>
            <w:shd w:val="clear" w:color="auto" w:fill="DDDBD9" w:themeFill="accent5" w:themeFillTint="66"/>
          </w:tcPr>
          <w:p w14:paraId="71ACEC62" w14:textId="77777777" w:rsidR="00AB24E1" w:rsidRPr="00615278" w:rsidRDefault="00AB24E1" w:rsidP="00DC326C">
            <w:pPr>
              <w:cnfStyle w:val="100000000000" w:firstRow="1" w:lastRow="0" w:firstColumn="0" w:lastColumn="0" w:oddVBand="0" w:evenVBand="0" w:oddHBand="0" w:evenHBand="0" w:firstRowFirstColumn="0" w:firstRowLastColumn="0" w:lastRowFirstColumn="0" w:lastRowLastColumn="0"/>
              <w:rPr>
                <w:b/>
                <w:color w:val="auto"/>
              </w:rPr>
            </w:pPr>
            <w:r w:rsidRPr="00615278">
              <w:rPr>
                <w:b/>
                <w:color w:val="auto"/>
              </w:rPr>
              <w:t>%</w:t>
            </w:r>
          </w:p>
        </w:tc>
      </w:tr>
      <w:tr w:rsidR="00556FE4" w:rsidRPr="005C0907" w14:paraId="277C163A" w14:textId="77777777" w:rsidTr="00556FE4">
        <w:trPr>
          <w:cnfStyle w:val="100000000000" w:firstRow="1" w:lastRow="0" w:firstColumn="0" w:lastColumn="0" w:oddVBand="0" w:evenVBand="0" w:oddHBand="0" w:evenHBand="0" w:firstRowFirstColumn="0" w:firstRowLastColumn="0" w:lastRowFirstColumn="0" w:lastRowLastColumn="0"/>
          <w:trHeight w:val="500"/>
          <w:tblHeader/>
        </w:trPr>
        <w:tc>
          <w:tcPr>
            <w:cnfStyle w:val="001000000000" w:firstRow="0" w:lastRow="0" w:firstColumn="1" w:lastColumn="0" w:oddVBand="0" w:evenVBand="0" w:oddHBand="0" w:evenHBand="0" w:firstRowFirstColumn="0" w:firstRowLastColumn="0" w:lastRowFirstColumn="0" w:lastRowLastColumn="0"/>
            <w:tcW w:w="1566" w:type="dxa"/>
            <w:vAlign w:val="center"/>
          </w:tcPr>
          <w:p w14:paraId="0EA8B5FF" w14:textId="7D7F6A6B" w:rsidR="00AB24E1" w:rsidRPr="00C9305E" w:rsidRDefault="00AB24E1" w:rsidP="00DC326C">
            <w:pPr>
              <w:rPr>
                <w:color w:val="auto"/>
              </w:rPr>
            </w:pPr>
            <w:r>
              <w:rPr>
                <w:color w:val="auto"/>
              </w:rPr>
              <w:t>$69.0 billion</w:t>
            </w:r>
          </w:p>
        </w:tc>
        <w:tc>
          <w:tcPr>
            <w:tcW w:w="1573" w:type="dxa"/>
            <w:tcBorders>
              <w:top w:val="single" w:sz="6" w:space="0" w:color="ACA6A2" w:themeColor="accent5"/>
              <w:bottom w:val="single" w:sz="8" w:space="0" w:color="ACA6A2" w:themeColor="accent5"/>
              <w:right w:val="single" w:sz="4" w:space="0" w:color="auto"/>
            </w:tcBorders>
          </w:tcPr>
          <w:p w14:paraId="795AC2B6" w14:textId="4FBB2308" w:rsidR="00AB24E1" w:rsidRDefault="00AB24E1" w:rsidP="00DC326C">
            <w:pPr>
              <w:cnfStyle w:val="100000000000" w:firstRow="1" w:lastRow="0" w:firstColumn="0" w:lastColumn="0" w:oddVBand="0" w:evenVBand="0" w:oddHBand="0" w:evenHBand="0" w:firstRowFirstColumn="0" w:firstRowLastColumn="0" w:lastRowFirstColumn="0" w:lastRowLastColumn="0"/>
              <w:rPr>
                <w:bCs w:val="0"/>
              </w:rPr>
            </w:pPr>
            <w:r>
              <w:rPr>
                <w:color w:val="auto"/>
              </w:rPr>
              <w:t>Down 36%</w:t>
            </w:r>
          </w:p>
          <w:p w14:paraId="29ECC079" w14:textId="484E6C6A" w:rsidR="00AB24E1" w:rsidRPr="00C9305E" w:rsidRDefault="00AB24E1" w:rsidP="00DC326C">
            <w:pPr>
              <w:cnfStyle w:val="100000000000" w:firstRow="1" w:lastRow="0" w:firstColumn="0" w:lastColumn="0" w:oddVBand="0" w:evenVBand="0" w:oddHBand="0" w:evenHBand="0" w:firstRowFirstColumn="0" w:firstRowLastColumn="0" w:lastRowFirstColumn="0" w:lastRowLastColumn="0"/>
              <w:rPr>
                <w:color w:val="auto"/>
              </w:rPr>
            </w:pPr>
            <w:r>
              <w:rPr>
                <w:color w:val="auto"/>
              </w:rPr>
              <w:t>Loss of</w:t>
            </w:r>
            <w:r w:rsidRPr="00AB24E1">
              <w:rPr>
                <w:color w:val="auto"/>
              </w:rPr>
              <w:t xml:space="preserve"> $38.3 billion</w:t>
            </w:r>
          </w:p>
        </w:tc>
        <w:tc>
          <w:tcPr>
            <w:tcW w:w="1571" w:type="dxa"/>
            <w:tcBorders>
              <w:left w:val="single" w:sz="4" w:space="0" w:color="auto"/>
            </w:tcBorders>
            <w:vAlign w:val="center"/>
          </w:tcPr>
          <w:p w14:paraId="7AA09B46" w14:textId="3AAEF8D3" w:rsidR="00AB24E1" w:rsidRPr="00CB3A27" w:rsidRDefault="00AB24E1" w:rsidP="00DC326C">
            <w:pPr>
              <w:cnfStyle w:val="100000000000" w:firstRow="1" w:lastRow="0" w:firstColumn="0" w:lastColumn="0" w:oddVBand="0" w:evenVBand="0" w:oddHBand="0" w:evenHBand="0" w:firstRowFirstColumn="0" w:firstRowLastColumn="0" w:lastRowFirstColumn="0" w:lastRowLastColumn="0"/>
              <w:rPr>
                <w:color w:val="auto"/>
              </w:rPr>
            </w:pPr>
            <w:r>
              <w:rPr>
                <w:color w:val="auto"/>
              </w:rPr>
              <w:t>103.5 million</w:t>
            </w:r>
          </w:p>
        </w:tc>
        <w:tc>
          <w:tcPr>
            <w:tcW w:w="1573" w:type="dxa"/>
            <w:tcBorders>
              <w:top w:val="single" w:sz="6" w:space="0" w:color="ACA6A2" w:themeColor="accent5"/>
              <w:bottom w:val="single" w:sz="8" w:space="0" w:color="ACA6A2" w:themeColor="accent5"/>
              <w:right w:val="single" w:sz="4" w:space="0" w:color="auto"/>
            </w:tcBorders>
          </w:tcPr>
          <w:p w14:paraId="7E71CAE8" w14:textId="4D139174" w:rsidR="00AB24E1" w:rsidRDefault="00AB24E1" w:rsidP="00DC326C">
            <w:pPr>
              <w:cnfStyle w:val="100000000000" w:firstRow="1" w:lastRow="0" w:firstColumn="0" w:lastColumn="0" w:oddVBand="0" w:evenVBand="0" w:oddHBand="0" w:evenHBand="0" w:firstRowFirstColumn="0" w:firstRowLastColumn="0" w:lastRowFirstColumn="0" w:lastRowLastColumn="0"/>
              <w:rPr>
                <w:bCs w:val="0"/>
              </w:rPr>
            </w:pPr>
            <w:r>
              <w:rPr>
                <w:color w:val="auto"/>
              </w:rPr>
              <w:t>Down 34%</w:t>
            </w:r>
          </w:p>
          <w:p w14:paraId="6E82177F" w14:textId="14282E03" w:rsidR="00AB24E1" w:rsidRPr="00CB3A27" w:rsidRDefault="00AB24E1" w:rsidP="00DC326C">
            <w:pPr>
              <w:cnfStyle w:val="100000000000" w:firstRow="1" w:lastRow="0" w:firstColumn="0" w:lastColumn="0" w:oddVBand="0" w:evenVBand="0" w:oddHBand="0" w:evenHBand="0" w:firstRowFirstColumn="0" w:firstRowLastColumn="0" w:lastRowFirstColumn="0" w:lastRowLastColumn="0"/>
              <w:rPr>
                <w:color w:val="auto"/>
              </w:rPr>
            </w:pPr>
            <w:r w:rsidRPr="00AB24E1">
              <w:rPr>
                <w:color w:val="auto"/>
              </w:rPr>
              <w:t>Loss of 53.1 million</w:t>
            </w:r>
          </w:p>
        </w:tc>
        <w:tc>
          <w:tcPr>
            <w:tcW w:w="1568" w:type="dxa"/>
            <w:tcBorders>
              <w:left w:val="single" w:sz="4" w:space="0" w:color="auto"/>
            </w:tcBorders>
            <w:vAlign w:val="center"/>
          </w:tcPr>
          <w:p w14:paraId="0FCC4EA9" w14:textId="72C14E83" w:rsidR="00AB24E1" w:rsidRPr="00CB3A27" w:rsidRDefault="00AB24E1" w:rsidP="00DC326C">
            <w:pPr>
              <w:cnfStyle w:val="100000000000" w:firstRow="1" w:lastRow="0" w:firstColumn="0" w:lastColumn="0" w:oddVBand="0" w:evenVBand="0" w:oddHBand="0" w:evenHBand="0" w:firstRowFirstColumn="0" w:firstRowLastColumn="0" w:lastRowFirstColumn="0" w:lastRowLastColumn="0"/>
              <w:rPr>
                <w:color w:val="auto"/>
              </w:rPr>
            </w:pPr>
            <w:r>
              <w:rPr>
                <w:color w:val="auto"/>
              </w:rPr>
              <w:t>546.3 million</w:t>
            </w:r>
          </w:p>
        </w:tc>
        <w:tc>
          <w:tcPr>
            <w:tcW w:w="1574" w:type="dxa"/>
          </w:tcPr>
          <w:p w14:paraId="2BF2760C" w14:textId="57DF5826" w:rsidR="00AB24E1" w:rsidRDefault="00AB24E1" w:rsidP="00DC326C">
            <w:pPr>
              <w:cnfStyle w:val="100000000000" w:firstRow="1" w:lastRow="0" w:firstColumn="0" w:lastColumn="0" w:oddVBand="0" w:evenVBand="0" w:oddHBand="0" w:evenHBand="0" w:firstRowFirstColumn="0" w:firstRowLastColumn="0" w:lastRowFirstColumn="0" w:lastRowLastColumn="0"/>
              <w:rPr>
                <w:bCs w:val="0"/>
              </w:rPr>
            </w:pPr>
            <w:r>
              <w:rPr>
                <w:color w:val="auto"/>
              </w:rPr>
              <w:t>Down 28%</w:t>
            </w:r>
          </w:p>
          <w:p w14:paraId="0FA77D3C" w14:textId="51E9AC40" w:rsidR="00AB24E1" w:rsidRPr="00C9305E" w:rsidRDefault="00AB24E1" w:rsidP="00DC326C">
            <w:pPr>
              <w:cnfStyle w:val="100000000000" w:firstRow="1" w:lastRow="0" w:firstColumn="0" w:lastColumn="0" w:oddVBand="0" w:evenVBand="0" w:oddHBand="0" w:evenHBand="0" w:firstRowFirstColumn="0" w:firstRowLastColumn="0" w:lastRowFirstColumn="0" w:lastRowLastColumn="0"/>
              <w:rPr>
                <w:color w:val="auto"/>
              </w:rPr>
            </w:pPr>
            <w:r w:rsidRPr="00AB24E1">
              <w:rPr>
                <w:color w:val="auto"/>
              </w:rPr>
              <w:t>Loss of 153.2 million</w:t>
            </w:r>
          </w:p>
        </w:tc>
      </w:tr>
    </w:tbl>
    <w:p w14:paraId="58094327" w14:textId="77777777" w:rsidR="00AB24E1" w:rsidRPr="004B18EE" w:rsidRDefault="00AB24E1" w:rsidP="00AB24E1">
      <w:pPr>
        <w:pStyle w:val="Heading2"/>
      </w:pPr>
      <w:r w:rsidRPr="00C9305E">
        <w:t xml:space="preserve">Year Ending </w:t>
      </w:r>
      <w:r>
        <w:t>June</w:t>
      </w:r>
      <w:r w:rsidRPr="00C9305E">
        <w:t xml:space="preserve"> 2021</w:t>
      </w:r>
    </w:p>
    <w:tbl>
      <w:tblPr>
        <w:tblStyle w:val="LightList-Accent5"/>
        <w:tblpPr w:leftFromText="180" w:rightFromText="180" w:vertAnchor="text" w:horzAnchor="margin" w:tblpY="112"/>
        <w:tblW w:w="9425" w:type="dxa"/>
        <w:tblBorders>
          <w:top w:val="none" w:sz="0" w:space="0" w:color="auto"/>
          <w:left w:val="none" w:sz="0" w:space="0" w:color="auto"/>
          <w:right w:val="none" w:sz="0" w:space="0" w:color="auto"/>
          <w:insideH w:val="single" w:sz="6" w:space="0" w:color="ACA6A2" w:themeColor="accent5"/>
        </w:tblBorders>
        <w:tblLook w:val="06A0" w:firstRow="1" w:lastRow="0" w:firstColumn="1" w:lastColumn="0" w:noHBand="1" w:noVBand="1"/>
        <w:tblCaption w:val="Year Ending September 2020 Results"/>
      </w:tblPr>
      <w:tblGrid>
        <w:gridCol w:w="1644"/>
        <w:gridCol w:w="1540"/>
        <w:gridCol w:w="1643"/>
        <w:gridCol w:w="1533"/>
        <w:gridCol w:w="1543"/>
        <w:gridCol w:w="1522"/>
      </w:tblGrid>
      <w:tr w:rsidR="00A50777" w14:paraId="310EE559" w14:textId="77777777" w:rsidTr="00A50777">
        <w:trPr>
          <w:cnfStyle w:val="100000000000" w:firstRow="1" w:lastRow="0" w:firstColumn="0" w:lastColumn="0" w:oddVBand="0" w:evenVBand="0" w:oddHBand="0" w:evenHBand="0" w:firstRowFirstColumn="0" w:firstRowLastColumn="0" w:lastRowFirstColumn="0" w:lastRowLastColumn="0"/>
          <w:trHeight w:val="549"/>
          <w:tblHeader/>
        </w:trPr>
        <w:tc>
          <w:tcPr>
            <w:cnfStyle w:val="001000000000" w:firstRow="0" w:lastRow="0" w:firstColumn="1" w:lastColumn="0" w:oddVBand="0" w:evenVBand="0" w:oddHBand="0" w:evenHBand="0" w:firstRowFirstColumn="0" w:firstRowLastColumn="0" w:lastRowFirstColumn="0" w:lastRowLastColumn="0"/>
            <w:tcW w:w="1644" w:type="dxa"/>
          </w:tcPr>
          <w:p w14:paraId="51083D05" w14:textId="126D3FA6" w:rsidR="00A50777" w:rsidRPr="00041B38" w:rsidRDefault="00A50777" w:rsidP="00A50777">
            <w:pPr>
              <w:rPr>
                <w:b/>
                <w:bCs w:val="0"/>
                <w:sz w:val="24"/>
              </w:rPr>
            </w:pPr>
            <w:r w:rsidRPr="00041B38">
              <w:rPr>
                <w:b/>
                <w:sz w:val="24"/>
              </w:rPr>
              <w:t xml:space="preserve">OVERNIGHT </w:t>
            </w:r>
          </w:p>
        </w:tc>
        <w:tc>
          <w:tcPr>
            <w:tcW w:w="1540" w:type="dxa"/>
          </w:tcPr>
          <w:p w14:paraId="4419C833" w14:textId="042F8911" w:rsidR="00A50777" w:rsidRPr="00041B38" w:rsidRDefault="00A50777" w:rsidP="00A50777">
            <w:pPr>
              <w:cnfStyle w:val="100000000000" w:firstRow="1" w:lastRow="0" w:firstColumn="0" w:lastColumn="0" w:oddVBand="0" w:evenVBand="0" w:oddHBand="0" w:evenHBand="0" w:firstRowFirstColumn="0" w:firstRowLastColumn="0" w:lastRowFirstColumn="0" w:lastRowLastColumn="0"/>
              <w:rPr>
                <w:b/>
                <w:bCs w:val="0"/>
                <w:sz w:val="24"/>
              </w:rPr>
            </w:pPr>
            <w:r w:rsidRPr="00041B38">
              <w:rPr>
                <w:b/>
                <w:sz w:val="24"/>
              </w:rPr>
              <w:t>SPEND</w:t>
            </w:r>
          </w:p>
        </w:tc>
        <w:tc>
          <w:tcPr>
            <w:tcW w:w="1643" w:type="dxa"/>
          </w:tcPr>
          <w:p w14:paraId="2C222F22" w14:textId="2EAA08C6" w:rsidR="00A50777" w:rsidRPr="00041B38" w:rsidRDefault="00A50777" w:rsidP="00A50777">
            <w:pPr>
              <w:cnfStyle w:val="100000000000" w:firstRow="1" w:lastRow="0" w:firstColumn="0" w:lastColumn="0" w:oddVBand="0" w:evenVBand="0" w:oddHBand="0" w:evenHBand="0" w:firstRowFirstColumn="0" w:firstRowLastColumn="0" w:lastRowFirstColumn="0" w:lastRowLastColumn="0"/>
              <w:rPr>
                <w:b/>
                <w:bCs w:val="0"/>
                <w:sz w:val="24"/>
              </w:rPr>
            </w:pPr>
            <w:r w:rsidRPr="00041B38">
              <w:rPr>
                <w:b/>
                <w:sz w:val="24"/>
              </w:rPr>
              <w:t xml:space="preserve">OVERNIGHT </w:t>
            </w:r>
          </w:p>
        </w:tc>
        <w:tc>
          <w:tcPr>
            <w:tcW w:w="1533" w:type="dxa"/>
          </w:tcPr>
          <w:p w14:paraId="367706B1" w14:textId="4C1F653A" w:rsidR="00A50777" w:rsidRPr="00041B38" w:rsidRDefault="00A50777" w:rsidP="00A50777">
            <w:pPr>
              <w:cnfStyle w:val="100000000000" w:firstRow="1" w:lastRow="0" w:firstColumn="0" w:lastColumn="0" w:oddVBand="0" w:evenVBand="0" w:oddHBand="0" w:evenHBand="0" w:firstRowFirstColumn="0" w:firstRowLastColumn="0" w:lastRowFirstColumn="0" w:lastRowLastColumn="0"/>
              <w:rPr>
                <w:b/>
                <w:bCs w:val="0"/>
                <w:sz w:val="24"/>
              </w:rPr>
            </w:pPr>
            <w:r w:rsidRPr="00041B38">
              <w:rPr>
                <w:b/>
                <w:sz w:val="24"/>
              </w:rPr>
              <w:t>TRIPS</w:t>
            </w:r>
          </w:p>
        </w:tc>
        <w:tc>
          <w:tcPr>
            <w:tcW w:w="1543" w:type="dxa"/>
          </w:tcPr>
          <w:p w14:paraId="0F4877E4" w14:textId="6B7B3EFB" w:rsidR="00A50777" w:rsidRPr="00041B38" w:rsidRDefault="00A50777" w:rsidP="00A50777">
            <w:pPr>
              <w:cnfStyle w:val="100000000000" w:firstRow="1" w:lastRow="0" w:firstColumn="0" w:lastColumn="0" w:oddVBand="0" w:evenVBand="0" w:oddHBand="0" w:evenHBand="0" w:firstRowFirstColumn="0" w:firstRowLastColumn="0" w:lastRowFirstColumn="0" w:lastRowLastColumn="0"/>
              <w:rPr>
                <w:b/>
                <w:bCs w:val="0"/>
                <w:sz w:val="24"/>
              </w:rPr>
            </w:pPr>
            <w:r w:rsidRPr="00041B38">
              <w:rPr>
                <w:b/>
                <w:sz w:val="24"/>
              </w:rPr>
              <w:t>NIGHTS</w:t>
            </w:r>
          </w:p>
        </w:tc>
        <w:tc>
          <w:tcPr>
            <w:tcW w:w="1522" w:type="dxa"/>
          </w:tcPr>
          <w:p w14:paraId="5D7A1F48" w14:textId="669DDBDB" w:rsidR="00A50777" w:rsidRPr="00041B38" w:rsidRDefault="00A50777" w:rsidP="00A50777">
            <w:pPr>
              <w:cnfStyle w:val="100000000000" w:firstRow="1" w:lastRow="0" w:firstColumn="0" w:lastColumn="0" w:oddVBand="0" w:evenVBand="0" w:oddHBand="0" w:evenHBand="0" w:firstRowFirstColumn="0" w:firstRowLastColumn="0" w:lastRowFirstColumn="0" w:lastRowLastColumn="0"/>
              <w:rPr>
                <w:b/>
                <w:sz w:val="24"/>
              </w:rPr>
            </w:pPr>
          </w:p>
        </w:tc>
      </w:tr>
      <w:tr w:rsidR="00A50777" w14:paraId="5CFF55FA" w14:textId="77777777" w:rsidTr="00A50777">
        <w:trPr>
          <w:cnfStyle w:val="100000000000" w:firstRow="1" w:lastRow="0" w:firstColumn="0" w:lastColumn="0" w:oddVBand="0" w:evenVBand="0" w:oddHBand="0" w:evenHBand="0" w:firstRowFirstColumn="0" w:firstRowLastColumn="0" w:lastRowFirstColumn="0" w:lastRowLastColumn="0"/>
          <w:trHeight w:val="537"/>
          <w:tblHeader/>
        </w:trPr>
        <w:tc>
          <w:tcPr>
            <w:cnfStyle w:val="001000000000" w:firstRow="0" w:lastRow="0" w:firstColumn="1" w:lastColumn="0" w:oddVBand="0" w:evenVBand="0" w:oddHBand="0" w:evenHBand="0" w:firstRowFirstColumn="0" w:firstRowLastColumn="0" w:lastRowFirstColumn="0" w:lastRowLastColumn="0"/>
            <w:tcW w:w="1644" w:type="dxa"/>
            <w:shd w:val="clear" w:color="auto" w:fill="DDDBD9" w:themeFill="accent5" w:themeFillTint="66"/>
          </w:tcPr>
          <w:p w14:paraId="2AEB6396" w14:textId="77777777" w:rsidR="00A50777" w:rsidRPr="00615278" w:rsidRDefault="00A50777" w:rsidP="00A50777">
            <w:pPr>
              <w:rPr>
                <w:b/>
                <w:color w:val="auto"/>
              </w:rPr>
            </w:pPr>
            <w:r w:rsidRPr="00615278">
              <w:rPr>
                <w:b/>
                <w:color w:val="auto"/>
              </w:rPr>
              <w:t>FIGURE</w:t>
            </w:r>
          </w:p>
        </w:tc>
        <w:tc>
          <w:tcPr>
            <w:tcW w:w="1540" w:type="dxa"/>
            <w:tcBorders>
              <w:top w:val="single" w:sz="6" w:space="0" w:color="ACA6A2" w:themeColor="accent5"/>
              <w:bottom w:val="single" w:sz="6" w:space="0" w:color="ACA6A2" w:themeColor="accent5"/>
              <w:right w:val="single" w:sz="4" w:space="0" w:color="auto"/>
            </w:tcBorders>
            <w:shd w:val="clear" w:color="auto" w:fill="DDDBD9" w:themeFill="accent5" w:themeFillTint="66"/>
          </w:tcPr>
          <w:p w14:paraId="23584B1C" w14:textId="77777777" w:rsidR="00A50777" w:rsidRPr="00615278" w:rsidRDefault="00A50777" w:rsidP="00A50777">
            <w:pPr>
              <w:cnfStyle w:val="100000000000" w:firstRow="1" w:lastRow="0" w:firstColumn="0" w:lastColumn="0" w:oddVBand="0" w:evenVBand="0" w:oddHBand="0" w:evenHBand="0" w:firstRowFirstColumn="0" w:firstRowLastColumn="0" w:lastRowFirstColumn="0" w:lastRowLastColumn="0"/>
              <w:rPr>
                <w:b/>
                <w:color w:val="auto"/>
              </w:rPr>
            </w:pPr>
            <w:r w:rsidRPr="00615278">
              <w:rPr>
                <w:b/>
                <w:color w:val="auto"/>
              </w:rPr>
              <w:t>%</w:t>
            </w:r>
          </w:p>
        </w:tc>
        <w:tc>
          <w:tcPr>
            <w:tcW w:w="1643" w:type="dxa"/>
            <w:tcBorders>
              <w:left w:val="single" w:sz="4" w:space="0" w:color="auto"/>
            </w:tcBorders>
            <w:shd w:val="clear" w:color="auto" w:fill="DDDBD9" w:themeFill="accent5" w:themeFillTint="66"/>
          </w:tcPr>
          <w:p w14:paraId="0D462DF1" w14:textId="77777777" w:rsidR="00A50777" w:rsidRPr="00615278" w:rsidRDefault="00A50777" w:rsidP="00A50777">
            <w:pPr>
              <w:cnfStyle w:val="100000000000" w:firstRow="1" w:lastRow="0" w:firstColumn="0" w:lastColumn="0" w:oddVBand="0" w:evenVBand="0" w:oddHBand="0" w:evenHBand="0" w:firstRowFirstColumn="0" w:firstRowLastColumn="0" w:lastRowFirstColumn="0" w:lastRowLastColumn="0"/>
              <w:rPr>
                <w:b/>
                <w:color w:val="auto"/>
              </w:rPr>
            </w:pPr>
            <w:r w:rsidRPr="00615278">
              <w:rPr>
                <w:b/>
                <w:color w:val="auto"/>
              </w:rPr>
              <w:t>FIGURE</w:t>
            </w:r>
          </w:p>
        </w:tc>
        <w:tc>
          <w:tcPr>
            <w:tcW w:w="1533" w:type="dxa"/>
            <w:tcBorders>
              <w:top w:val="single" w:sz="6" w:space="0" w:color="ACA6A2" w:themeColor="accent5"/>
              <w:bottom w:val="single" w:sz="6" w:space="0" w:color="ACA6A2" w:themeColor="accent5"/>
              <w:right w:val="single" w:sz="4" w:space="0" w:color="auto"/>
            </w:tcBorders>
            <w:shd w:val="clear" w:color="auto" w:fill="DDDBD9" w:themeFill="accent5" w:themeFillTint="66"/>
          </w:tcPr>
          <w:p w14:paraId="585D35F0" w14:textId="77777777" w:rsidR="00A50777" w:rsidRPr="00615278" w:rsidRDefault="00A50777" w:rsidP="00A50777">
            <w:pPr>
              <w:cnfStyle w:val="100000000000" w:firstRow="1" w:lastRow="0" w:firstColumn="0" w:lastColumn="0" w:oddVBand="0" w:evenVBand="0" w:oddHBand="0" w:evenHBand="0" w:firstRowFirstColumn="0" w:firstRowLastColumn="0" w:lastRowFirstColumn="0" w:lastRowLastColumn="0"/>
              <w:rPr>
                <w:b/>
                <w:color w:val="auto"/>
              </w:rPr>
            </w:pPr>
            <w:r w:rsidRPr="00615278">
              <w:rPr>
                <w:b/>
                <w:color w:val="auto"/>
              </w:rPr>
              <w:t>%</w:t>
            </w:r>
          </w:p>
        </w:tc>
        <w:tc>
          <w:tcPr>
            <w:tcW w:w="1543" w:type="dxa"/>
            <w:tcBorders>
              <w:left w:val="single" w:sz="4" w:space="0" w:color="auto"/>
            </w:tcBorders>
            <w:shd w:val="clear" w:color="auto" w:fill="DDDBD9" w:themeFill="accent5" w:themeFillTint="66"/>
          </w:tcPr>
          <w:p w14:paraId="0AEB2BA8" w14:textId="77777777" w:rsidR="00A50777" w:rsidRPr="00615278" w:rsidRDefault="00A50777" w:rsidP="00A50777">
            <w:pPr>
              <w:cnfStyle w:val="100000000000" w:firstRow="1" w:lastRow="0" w:firstColumn="0" w:lastColumn="0" w:oddVBand="0" w:evenVBand="0" w:oddHBand="0" w:evenHBand="0" w:firstRowFirstColumn="0" w:firstRowLastColumn="0" w:lastRowFirstColumn="0" w:lastRowLastColumn="0"/>
              <w:rPr>
                <w:b/>
                <w:color w:val="auto"/>
              </w:rPr>
            </w:pPr>
            <w:r w:rsidRPr="00615278">
              <w:rPr>
                <w:b/>
                <w:color w:val="auto"/>
              </w:rPr>
              <w:t>FIGURE</w:t>
            </w:r>
          </w:p>
        </w:tc>
        <w:tc>
          <w:tcPr>
            <w:tcW w:w="1522" w:type="dxa"/>
            <w:shd w:val="clear" w:color="auto" w:fill="DDDBD9" w:themeFill="accent5" w:themeFillTint="66"/>
          </w:tcPr>
          <w:p w14:paraId="7AF67BFB" w14:textId="77777777" w:rsidR="00A50777" w:rsidRPr="00615278" w:rsidRDefault="00A50777" w:rsidP="00A50777">
            <w:pPr>
              <w:cnfStyle w:val="100000000000" w:firstRow="1" w:lastRow="0" w:firstColumn="0" w:lastColumn="0" w:oddVBand="0" w:evenVBand="0" w:oddHBand="0" w:evenHBand="0" w:firstRowFirstColumn="0" w:firstRowLastColumn="0" w:lastRowFirstColumn="0" w:lastRowLastColumn="0"/>
              <w:rPr>
                <w:b/>
                <w:color w:val="auto"/>
              </w:rPr>
            </w:pPr>
            <w:r w:rsidRPr="00615278">
              <w:rPr>
                <w:b/>
                <w:color w:val="auto"/>
              </w:rPr>
              <w:t>%</w:t>
            </w:r>
          </w:p>
        </w:tc>
      </w:tr>
      <w:tr w:rsidR="00A50777" w:rsidRPr="005C0907" w14:paraId="342BE5B4" w14:textId="77777777" w:rsidTr="00A50777">
        <w:trPr>
          <w:cnfStyle w:val="100000000000" w:firstRow="1" w:lastRow="0" w:firstColumn="0" w:lastColumn="0" w:oddVBand="0" w:evenVBand="0" w:oddHBand="0" w:evenHBand="0" w:firstRowFirstColumn="0" w:firstRowLastColumn="0" w:lastRowFirstColumn="0" w:lastRowLastColumn="0"/>
          <w:trHeight w:val="500"/>
          <w:tblHeader/>
        </w:trPr>
        <w:tc>
          <w:tcPr>
            <w:cnfStyle w:val="001000000000" w:firstRow="0" w:lastRow="0" w:firstColumn="1" w:lastColumn="0" w:oddVBand="0" w:evenVBand="0" w:oddHBand="0" w:evenHBand="0" w:firstRowFirstColumn="0" w:firstRowLastColumn="0" w:lastRowFirstColumn="0" w:lastRowLastColumn="0"/>
            <w:tcW w:w="1644" w:type="dxa"/>
            <w:vAlign w:val="center"/>
          </w:tcPr>
          <w:p w14:paraId="4A923328" w14:textId="77777777" w:rsidR="00A50777" w:rsidRPr="00C9305E" w:rsidRDefault="00A50777" w:rsidP="00A50777">
            <w:pPr>
              <w:rPr>
                <w:color w:val="auto"/>
              </w:rPr>
            </w:pPr>
            <w:r>
              <w:rPr>
                <w:color w:val="auto"/>
              </w:rPr>
              <w:t>$61.3 billion</w:t>
            </w:r>
          </w:p>
        </w:tc>
        <w:tc>
          <w:tcPr>
            <w:tcW w:w="1540" w:type="dxa"/>
            <w:tcBorders>
              <w:top w:val="single" w:sz="6" w:space="0" w:color="ACA6A2" w:themeColor="accent5"/>
              <w:bottom w:val="single" w:sz="8" w:space="0" w:color="ACA6A2" w:themeColor="accent5"/>
              <w:right w:val="single" w:sz="4" w:space="0" w:color="auto"/>
            </w:tcBorders>
          </w:tcPr>
          <w:p w14:paraId="65C16F7A" w14:textId="77777777" w:rsidR="00A50777" w:rsidRDefault="00A50777" w:rsidP="00A50777">
            <w:pPr>
              <w:cnfStyle w:val="100000000000" w:firstRow="1" w:lastRow="0" w:firstColumn="0" w:lastColumn="0" w:oddVBand="0" w:evenVBand="0" w:oddHBand="0" w:evenHBand="0" w:firstRowFirstColumn="0" w:firstRowLastColumn="0" w:lastRowFirstColumn="0" w:lastRowLastColumn="0"/>
              <w:rPr>
                <w:bCs w:val="0"/>
              </w:rPr>
            </w:pPr>
            <w:r>
              <w:rPr>
                <w:color w:val="auto"/>
              </w:rPr>
              <w:t>Down 21% on 2019</w:t>
            </w:r>
          </w:p>
          <w:p w14:paraId="48DE9561" w14:textId="77777777" w:rsidR="00A50777" w:rsidRPr="00C9305E" w:rsidRDefault="00A50777" w:rsidP="00A50777">
            <w:pPr>
              <w:cnfStyle w:val="100000000000" w:firstRow="1" w:lastRow="0" w:firstColumn="0" w:lastColumn="0" w:oddVBand="0" w:evenVBand="0" w:oddHBand="0" w:evenHBand="0" w:firstRowFirstColumn="0" w:firstRowLastColumn="0" w:lastRowFirstColumn="0" w:lastRowLastColumn="0"/>
              <w:rPr>
                <w:color w:val="auto"/>
              </w:rPr>
            </w:pPr>
            <w:r>
              <w:rPr>
                <w:color w:val="auto"/>
              </w:rPr>
              <w:t>Down 3% on 2020</w:t>
            </w:r>
          </w:p>
        </w:tc>
        <w:tc>
          <w:tcPr>
            <w:tcW w:w="1643" w:type="dxa"/>
            <w:tcBorders>
              <w:left w:val="single" w:sz="4" w:space="0" w:color="auto"/>
            </w:tcBorders>
            <w:vAlign w:val="center"/>
          </w:tcPr>
          <w:p w14:paraId="1E157FF5" w14:textId="77777777" w:rsidR="00A50777" w:rsidRPr="00CB3A27" w:rsidRDefault="00A50777" w:rsidP="00A50777">
            <w:pPr>
              <w:cnfStyle w:val="100000000000" w:firstRow="1" w:lastRow="0" w:firstColumn="0" w:lastColumn="0" w:oddVBand="0" w:evenVBand="0" w:oddHBand="0" w:evenHBand="0" w:firstRowFirstColumn="0" w:firstRowLastColumn="0" w:lastRowFirstColumn="0" w:lastRowLastColumn="0"/>
              <w:rPr>
                <w:color w:val="auto"/>
              </w:rPr>
            </w:pPr>
            <w:r>
              <w:rPr>
                <w:color w:val="auto"/>
              </w:rPr>
              <w:t>87.4 million</w:t>
            </w:r>
          </w:p>
        </w:tc>
        <w:tc>
          <w:tcPr>
            <w:tcW w:w="1533" w:type="dxa"/>
            <w:tcBorders>
              <w:top w:val="single" w:sz="6" w:space="0" w:color="ACA6A2" w:themeColor="accent5"/>
              <w:bottom w:val="single" w:sz="8" w:space="0" w:color="ACA6A2" w:themeColor="accent5"/>
              <w:right w:val="single" w:sz="4" w:space="0" w:color="auto"/>
            </w:tcBorders>
          </w:tcPr>
          <w:p w14:paraId="39DAAC0D" w14:textId="77777777" w:rsidR="00A50777" w:rsidRDefault="00A50777" w:rsidP="00A50777">
            <w:pPr>
              <w:cnfStyle w:val="100000000000" w:firstRow="1" w:lastRow="0" w:firstColumn="0" w:lastColumn="0" w:oddVBand="0" w:evenVBand="0" w:oddHBand="0" w:evenHBand="0" w:firstRowFirstColumn="0" w:firstRowLastColumn="0" w:lastRowFirstColumn="0" w:lastRowLastColumn="0"/>
              <w:rPr>
                <w:bCs w:val="0"/>
              </w:rPr>
            </w:pPr>
            <w:r>
              <w:rPr>
                <w:color w:val="auto"/>
              </w:rPr>
              <w:t>Down 23% on 2019</w:t>
            </w:r>
          </w:p>
          <w:p w14:paraId="15074498" w14:textId="77777777" w:rsidR="00A50777" w:rsidRPr="00CB3A27" w:rsidRDefault="00A50777" w:rsidP="00A50777">
            <w:pPr>
              <w:cnfStyle w:val="100000000000" w:firstRow="1" w:lastRow="0" w:firstColumn="0" w:lastColumn="0" w:oddVBand="0" w:evenVBand="0" w:oddHBand="0" w:evenHBand="0" w:firstRowFirstColumn="0" w:firstRowLastColumn="0" w:lastRowFirstColumn="0" w:lastRowLastColumn="0"/>
              <w:rPr>
                <w:color w:val="auto"/>
              </w:rPr>
            </w:pPr>
            <w:r>
              <w:rPr>
                <w:color w:val="auto"/>
              </w:rPr>
              <w:t>Down 5% on 2020</w:t>
            </w:r>
          </w:p>
        </w:tc>
        <w:tc>
          <w:tcPr>
            <w:tcW w:w="1543" w:type="dxa"/>
            <w:tcBorders>
              <w:left w:val="single" w:sz="4" w:space="0" w:color="auto"/>
            </w:tcBorders>
            <w:vAlign w:val="center"/>
          </w:tcPr>
          <w:p w14:paraId="52DF34D6" w14:textId="77777777" w:rsidR="00A50777" w:rsidRPr="00CB3A27" w:rsidRDefault="00A50777" w:rsidP="00A50777">
            <w:pPr>
              <w:cnfStyle w:val="100000000000" w:firstRow="1" w:lastRow="0" w:firstColumn="0" w:lastColumn="0" w:oddVBand="0" w:evenVBand="0" w:oddHBand="0" w:evenHBand="0" w:firstRowFirstColumn="0" w:firstRowLastColumn="0" w:lastRowFirstColumn="0" w:lastRowLastColumn="0"/>
              <w:rPr>
                <w:color w:val="auto"/>
              </w:rPr>
            </w:pPr>
            <w:r>
              <w:rPr>
                <w:color w:val="auto"/>
              </w:rPr>
              <w:t>333.7 million</w:t>
            </w:r>
          </w:p>
        </w:tc>
        <w:tc>
          <w:tcPr>
            <w:tcW w:w="1522" w:type="dxa"/>
          </w:tcPr>
          <w:p w14:paraId="57FAE9BB" w14:textId="77777777" w:rsidR="00A50777" w:rsidRDefault="00A50777" w:rsidP="00A50777">
            <w:pPr>
              <w:cnfStyle w:val="100000000000" w:firstRow="1" w:lastRow="0" w:firstColumn="0" w:lastColumn="0" w:oddVBand="0" w:evenVBand="0" w:oddHBand="0" w:evenHBand="0" w:firstRowFirstColumn="0" w:firstRowLastColumn="0" w:lastRowFirstColumn="0" w:lastRowLastColumn="0"/>
              <w:rPr>
                <w:bCs w:val="0"/>
              </w:rPr>
            </w:pPr>
            <w:r>
              <w:rPr>
                <w:color w:val="auto"/>
              </w:rPr>
              <w:t>Down 17% on 2019</w:t>
            </w:r>
          </w:p>
          <w:p w14:paraId="4FE58BAA" w14:textId="77777777" w:rsidR="00A50777" w:rsidRPr="00C9305E" w:rsidRDefault="00A50777" w:rsidP="00A50777">
            <w:pPr>
              <w:cnfStyle w:val="100000000000" w:firstRow="1" w:lastRow="0" w:firstColumn="0" w:lastColumn="0" w:oddVBand="0" w:evenVBand="0" w:oddHBand="0" w:evenHBand="0" w:firstRowFirstColumn="0" w:firstRowLastColumn="0" w:lastRowFirstColumn="0" w:lastRowLastColumn="0"/>
              <w:rPr>
                <w:color w:val="auto"/>
              </w:rPr>
            </w:pPr>
            <w:r>
              <w:rPr>
                <w:color w:val="auto"/>
              </w:rPr>
              <w:t>Down 2% on 2020</w:t>
            </w:r>
          </w:p>
        </w:tc>
      </w:tr>
    </w:tbl>
    <w:p w14:paraId="13180847" w14:textId="77777777" w:rsidR="00AB24E1" w:rsidRDefault="00AB24E1" w:rsidP="00AB24E1">
      <w:pPr>
        <w:spacing w:after="120"/>
      </w:pPr>
    </w:p>
    <w:p w14:paraId="1C025620" w14:textId="77777777" w:rsidR="00AB24E1" w:rsidRDefault="00AB24E1" w:rsidP="00AB24E1">
      <w:pPr>
        <w:pStyle w:val="Heading2"/>
      </w:pPr>
      <w:r>
        <w:t>June</w:t>
      </w:r>
      <w:r w:rsidRPr="00C9305E">
        <w:t xml:space="preserve"> QUARTER 2021</w:t>
      </w:r>
    </w:p>
    <w:tbl>
      <w:tblPr>
        <w:tblStyle w:val="LightList-Accent5"/>
        <w:tblpPr w:leftFromText="180" w:rightFromText="180" w:vertAnchor="text" w:horzAnchor="margin" w:tblpY="112"/>
        <w:tblW w:w="9425" w:type="dxa"/>
        <w:tblBorders>
          <w:top w:val="none" w:sz="0" w:space="0" w:color="auto"/>
          <w:left w:val="none" w:sz="0" w:space="0" w:color="auto"/>
          <w:right w:val="none" w:sz="0" w:space="0" w:color="auto"/>
          <w:insideH w:val="single" w:sz="6" w:space="0" w:color="ACA6A2" w:themeColor="accent5"/>
        </w:tblBorders>
        <w:tblLook w:val="06A0" w:firstRow="1" w:lastRow="0" w:firstColumn="1" w:lastColumn="0" w:noHBand="1" w:noVBand="1"/>
        <w:tblCaption w:val="Year Ending September 2020 Results"/>
      </w:tblPr>
      <w:tblGrid>
        <w:gridCol w:w="1644"/>
        <w:gridCol w:w="1534"/>
        <w:gridCol w:w="1643"/>
        <w:gridCol w:w="1525"/>
        <w:gridCol w:w="1538"/>
        <w:gridCol w:w="1541"/>
      </w:tblGrid>
      <w:tr w:rsidR="00A50777" w14:paraId="4E5F50A6" w14:textId="77777777" w:rsidTr="00DE33DF">
        <w:trPr>
          <w:cnfStyle w:val="100000000000" w:firstRow="1" w:lastRow="0" w:firstColumn="0" w:lastColumn="0" w:oddVBand="0" w:evenVBand="0" w:oddHBand="0" w:evenHBand="0" w:firstRowFirstColumn="0" w:firstRowLastColumn="0" w:lastRowFirstColumn="0" w:lastRowLastColumn="0"/>
          <w:trHeight w:val="549"/>
          <w:tblHeader/>
        </w:trPr>
        <w:tc>
          <w:tcPr>
            <w:cnfStyle w:val="001000000000" w:firstRow="0" w:lastRow="0" w:firstColumn="1" w:lastColumn="0" w:oddVBand="0" w:evenVBand="0" w:oddHBand="0" w:evenHBand="0" w:firstRowFirstColumn="0" w:firstRowLastColumn="0" w:lastRowFirstColumn="0" w:lastRowLastColumn="0"/>
            <w:tcW w:w="1570" w:type="dxa"/>
          </w:tcPr>
          <w:p w14:paraId="2B4A793C" w14:textId="327B5316" w:rsidR="00A50777" w:rsidRPr="00B17926" w:rsidRDefault="00A50777" w:rsidP="00DC326C">
            <w:pPr>
              <w:rPr>
                <w:b/>
                <w:sz w:val="24"/>
              </w:rPr>
            </w:pPr>
            <w:r w:rsidRPr="00041B38">
              <w:rPr>
                <w:b/>
                <w:sz w:val="24"/>
              </w:rPr>
              <w:t xml:space="preserve">OVERNIGHT </w:t>
            </w:r>
          </w:p>
        </w:tc>
        <w:tc>
          <w:tcPr>
            <w:tcW w:w="1571" w:type="dxa"/>
          </w:tcPr>
          <w:p w14:paraId="2BC0CB78" w14:textId="07ABC211" w:rsidR="00A50777" w:rsidRPr="00B17926" w:rsidRDefault="00A50777" w:rsidP="00DC326C">
            <w:pPr>
              <w:cnfStyle w:val="100000000000" w:firstRow="1" w:lastRow="0" w:firstColumn="0" w:lastColumn="0" w:oddVBand="0" w:evenVBand="0" w:oddHBand="0" w:evenHBand="0" w:firstRowFirstColumn="0" w:firstRowLastColumn="0" w:lastRowFirstColumn="0" w:lastRowLastColumn="0"/>
              <w:rPr>
                <w:b/>
                <w:sz w:val="24"/>
              </w:rPr>
            </w:pPr>
            <w:r w:rsidRPr="00041B38">
              <w:rPr>
                <w:b/>
                <w:sz w:val="24"/>
              </w:rPr>
              <w:t>SPEND</w:t>
            </w:r>
          </w:p>
        </w:tc>
        <w:tc>
          <w:tcPr>
            <w:tcW w:w="1571" w:type="dxa"/>
          </w:tcPr>
          <w:p w14:paraId="3E8C7D85" w14:textId="402F3501" w:rsidR="00A50777" w:rsidRPr="00B17926" w:rsidRDefault="00A50777" w:rsidP="00DC326C">
            <w:pPr>
              <w:cnfStyle w:val="100000000000" w:firstRow="1" w:lastRow="0" w:firstColumn="0" w:lastColumn="0" w:oddVBand="0" w:evenVBand="0" w:oddHBand="0" w:evenHBand="0" w:firstRowFirstColumn="0" w:firstRowLastColumn="0" w:lastRowFirstColumn="0" w:lastRowLastColumn="0"/>
              <w:rPr>
                <w:b/>
                <w:bCs w:val="0"/>
                <w:sz w:val="24"/>
              </w:rPr>
            </w:pPr>
            <w:r w:rsidRPr="00041B38">
              <w:rPr>
                <w:b/>
                <w:sz w:val="24"/>
              </w:rPr>
              <w:t xml:space="preserve">OVERNIGHT </w:t>
            </w:r>
          </w:p>
        </w:tc>
        <w:tc>
          <w:tcPr>
            <w:tcW w:w="1571" w:type="dxa"/>
          </w:tcPr>
          <w:p w14:paraId="2EB834D4" w14:textId="6E11422D" w:rsidR="00A50777" w:rsidRPr="00B17926" w:rsidRDefault="00A50777" w:rsidP="00DC326C">
            <w:pPr>
              <w:cnfStyle w:val="100000000000" w:firstRow="1" w:lastRow="0" w:firstColumn="0" w:lastColumn="0" w:oddVBand="0" w:evenVBand="0" w:oddHBand="0" w:evenHBand="0" w:firstRowFirstColumn="0" w:firstRowLastColumn="0" w:lastRowFirstColumn="0" w:lastRowLastColumn="0"/>
              <w:rPr>
                <w:b/>
                <w:bCs w:val="0"/>
                <w:sz w:val="24"/>
              </w:rPr>
            </w:pPr>
            <w:r w:rsidRPr="00041B38">
              <w:rPr>
                <w:b/>
                <w:sz w:val="24"/>
              </w:rPr>
              <w:t>TRIPS</w:t>
            </w:r>
          </w:p>
        </w:tc>
        <w:tc>
          <w:tcPr>
            <w:tcW w:w="1571" w:type="dxa"/>
          </w:tcPr>
          <w:p w14:paraId="6BCF76DD" w14:textId="68D95444" w:rsidR="00A50777" w:rsidRPr="00B17926" w:rsidRDefault="00A50777" w:rsidP="00DC326C">
            <w:pPr>
              <w:cnfStyle w:val="100000000000" w:firstRow="1" w:lastRow="0" w:firstColumn="0" w:lastColumn="0" w:oddVBand="0" w:evenVBand="0" w:oddHBand="0" w:evenHBand="0" w:firstRowFirstColumn="0" w:firstRowLastColumn="0" w:lastRowFirstColumn="0" w:lastRowLastColumn="0"/>
              <w:rPr>
                <w:b/>
                <w:bCs w:val="0"/>
                <w:sz w:val="24"/>
              </w:rPr>
            </w:pPr>
            <w:r w:rsidRPr="00041B38">
              <w:rPr>
                <w:b/>
                <w:sz w:val="24"/>
              </w:rPr>
              <w:t>NIGHTS</w:t>
            </w:r>
          </w:p>
        </w:tc>
        <w:tc>
          <w:tcPr>
            <w:tcW w:w="1571" w:type="dxa"/>
          </w:tcPr>
          <w:p w14:paraId="7370EDCA" w14:textId="5927ABE4" w:rsidR="00A50777" w:rsidRPr="00B17926" w:rsidRDefault="00A50777" w:rsidP="00DC326C">
            <w:pPr>
              <w:cnfStyle w:val="100000000000" w:firstRow="1" w:lastRow="0" w:firstColumn="0" w:lastColumn="0" w:oddVBand="0" w:evenVBand="0" w:oddHBand="0" w:evenHBand="0" w:firstRowFirstColumn="0" w:firstRowLastColumn="0" w:lastRowFirstColumn="0" w:lastRowLastColumn="0"/>
              <w:rPr>
                <w:b/>
                <w:sz w:val="24"/>
              </w:rPr>
            </w:pPr>
            <w:r w:rsidRPr="00041B38">
              <w:rPr>
                <w:b/>
                <w:sz w:val="24"/>
              </w:rPr>
              <w:t>NIGHTS</w:t>
            </w:r>
          </w:p>
        </w:tc>
      </w:tr>
      <w:tr w:rsidR="00A50777" w14:paraId="78A4562A" w14:textId="77777777" w:rsidTr="00DC326C">
        <w:trPr>
          <w:cnfStyle w:val="100000000000" w:firstRow="1" w:lastRow="0" w:firstColumn="0" w:lastColumn="0" w:oddVBand="0" w:evenVBand="0" w:oddHBand="0" w:evenHBand="0" w:firstRowFirstColumn="0" w:firstRowLastColumn="0" w:lastRowFirstColumn="0" w:lastRowLastColumn="0"/>
          <w:trHeight w:val="537"/>
          <w:tblHeader/>
        </w:trPr>
        <w:tc>
          <w:tcPr>
            <w:cnfStyle w:val="001000000000" w:firstRow="0" w:lastRow="0" w:firstColumn="1" w:lastColumn="0" w:oddVBand="0" w:evenVBand="0" w:oddHBand="0" w:evenHBand="0" w:firstRowFirstColumn="0" w:firstRowLastColumn="0" w:lastRowFirstColumn="0" w:lastRowLastColumn="0"/>
            <w:tcW w:w="1568" w:type="dxa"/>
            <w:shd w:val="clear" w:color="auto" w:fill="DDDBD9" w:themeFill="accent5" w:themeFillTint="66"/>
          </w:tcPr>
          <w:p w14:paraId="39A5CA4B" w14:textId="77777777" w:rsidR="00AB24E1" w:rsidRPr="00615278" w:rsidRDefault="00AB24E1" w:rsidP="00DC326C">
            <w:pPr>
              <w:rPr>
                <w:b/>
                <w:color w:val="auto"/>
              </w:rPr>
            </w:pPr>
            <w:r w:rsidRPr="00615278">
              <w:rPr>
                <w:b/>
                <w:color w:val="auto"/>
              </w:rPr>
              <w:t>FIGURE</w:t>
            </w:r>
          </w:p>
        </w:tc>
        <w:tc>
          <w:tcPr>
            <w:tcW w:w="1573" w:type="dxa"/>
            <w:tcBorders>
              <w:top w:val="single" w:sz="6" w:space="0" w:color="ACA6A2" w:themeColor="accent5"/>
              <w:bottom w:val="single" w:sz="6" w:space="0" w:color="ACA6A2" w:themeColor="accent5"/>
              <w:right w:val="single" w:sz="4" w:space="0" w:color="auto"/>
            </w:tcBorders>
            <w:shd w:val="clear" w:color="auto" w:fill="DDDBD9" w:themeFill="accent5" w:themeFillTint="66"/>
          </w:tcPr>
          <w:p w14:paraId="284E7EDB" w14:textId="77777777" w:rsidR="00AB24E1" w:rsidRPr="00615278" w:rsidRDefault="00AB24E1" w:rsidP="00DC326C">
            <w:pPr>
              <w:cnfStyle w:val="100000000000" w:firstRow="1" w:lastRow="0" w:firstColumn="0" w:lastColumn="0" w:oddVBand="0" w:evenVBand="0" w:oddHBand="0" w:evenHBand="0" w:firstRowFirstColumn="0" w:firstRowLastColumn="0" w:lastRowFirstColumn="0" w:lastRowLastColumn="0"/>
              <w:rPr>
                <w:b/>
                <w:color w:val="auto"/>
              </w:rPr>
            </w:pPr>
            <w:r w:rsidRPr="00615278">
              <w:rPr>
                <w:b/>
                <w:color w:val="auto"/>
              </w:rPr>
              <w:t>%</w:t>
            </w:r>
          </w:p>
        </w:tc>
        <w:tc>
          <w:tcPr>
            <w:tcW w:w="1569" w:type="dxa"/>
            <w:tcBorders>
              <w:left w:val="single" w:sz="4" w:space="0" w:color="auto"/>
            </w:tcBorders>
            <w:shd w:val="clear" w:color="auto" w:fill="DDDBD9" w:themeFill="accent5" w:themeFillTint="66"/>
          </w:tcPr>
          <w:p w14:paraId="666568B4" w14:textId="77777777" w:rsidR="00AB24E1" w:rsidRPr="00615278" w:rsidRDefault="00AB24E1" w:rsidP="00DC326C">
            <w:pPr>
              <w:cnfStyle w:val="100000000000" w:firstRow="1" w:lastRow="0" w:firstColumn="0" w:lastColumn="0" w:oddVBand="0" w:evenVBand="0" w:oddHBand="0" w:evenHBand="0" w:firstRowFirstColumn="0" w:firstRowLastColumn="0" w:lastRowFirstColumn="0" w:lastRowLastColumn="0"/>
              <w:rPr>
                <w:b/>
                <w:color w:val="auto"/>
              </w:rPr>
            </w:pPr>
            <w:r w:rsidRPr="00615278">
              <w:rPr>
                <w:b/>
                <w:color w:val="auto"/>
              </w:rPr>
              <w:t>FIGURE</w:t>
            </w:r>
          </w:p>
        </w:tc>
        <w:tc>
          <w:tcPr>
            <w:tcW w:w="1573" w:type="dxa"/>
            <w:tcBorders>
              <w:top w:val="single" w:sz="6" w:space="0" w:color="ACA6A2" w:themeColor="accent5"/>
              <w:bottom w:val="single" w:sz="6" w:space="0" w:color="ACA6A2" w:themeColor="accent5"/>
              <w:right w:val="single" w:sz="4" w:space="0" w:color="auto"/>
            </w:tcBorders>
            <w:shd w:val="clear" w:color="auto" w:fill="DDDBD9" w:themeFill="accent5" w:themeFillTint="66"/>
          </w:tcPr>
          <w:p w14:paraId="5B6EB6BA" w14:textId="77777777" w:rsidR="00AB24E1" w:rsidRPr="00615278" w:rsidRDefault="00AB24E1" w:rsidP="00DC326C">
            <w:pPr>
              <w:cnfStyle w:val="100000000000" w:firstRow="1" w:lastRow="0" w:firstColumn="0" w:lastColumn="0" w:oddVBand="0" w:evenVBand="0" w:oddHBand="0" w:evenHBand="0" w:firstRowFirstColumn="0" w:firstRowLastColumn="0" w:lastRowFirstColumn="0" w:lastRowLastColumn="0"/>
              <w:rPr>
                <w:b/>
                <w:color w:val="auto"/>
              </w:rPr>
            </w:pPr>
            <w:r w:rsidRPr="00615278">
              <w:rPr>
                <w:b/>
                <w:color w:val="auto"/>
              </w:rPr>
              <w:t>%</w:t>
            </w:r>
          </w:p>
        </w:tc>
        <w:tc>
          <w:tcPr>
            <w:tcW w:w="1568" w:type="dxa"/>
            <w:tcBorders>
              <w:left w:val="single" w:sz="4" w:space="0" w:color="auto"/>
            </w:tcBorders>
            <w:shd w:val="clear" w:color="auto" w:fill="DDDBD9" w:themeFill="accent5" w:themeFillTint="66"/>
          </w:tcPr>
          <w:p w14:paraId="4164E8A5" w14:textId="77777777" w:rsidR="00AB24E1" w:rsidRPr="00615278" w:rsidRDefault="00AB24E1" w:rsidP="00DC326C">
            <w:pPr>
              <w:cnfStyle w:val="100000000000" w:firstRow="1" w:lastRow="0" w:firstColumn="0" w:lastColumn="0" w:oddVBand="0" w:evenVBand="0" w:oddHBand="0" w:evenHBand="0" w:firstRowFirstColumn="0" w:firstRowLastColumn="0" w:lastRowFirstColumn="0" w:lastRowLastColumn="0"/>
              <w:rPr>
                <w:b/>
                <w:color w:val="auto"/>
              </w:rPr>
            </w:pPr>
            <w:r w:rsidRPr="00615278">
              <w:rPr>
                <w:b/>
                <w:color w:val="auto"/>
              </w:rPr>
              <w:t>FIGURE</w:t>
            </w:r>
          </w:p>
        </w:tc>
        <w:tc>
          <w:tcPr>
            <w:tcW w:w="1574" w:type="dxa"/>
            <w:shd w:val="clear" w:color="auto" w:fill="DDDBD9" w:themeFill="accent5" w:themeFillTint="66"/>
          </w:tcPr>
          <w:p w14:paraId="573DCB12" w14:textId="77777777" w:rsidR="00AB24E1" w:rsidRPr="00615278" w:rsidRDefault="00AB24E1" w:rsidP="00DC326C">
            <w:pPr>
              <w:cnfStyle w:val="100000000000" w:firstRow="1" w:lastRow="0" w:firstColumn="0" w:lastColumn="0" w:oddVBand="0" w:evenVBand="0" w:oddHBand="0" w:evenHBand="0" w:firstRowFirstColumn="0" w:firstRowLastColumn="0" w:lastRowFirstColumn="0" w:lastRowLastColumn="0"/>
              <w:rPr>
                <w:b/>
                <w:color w:val="auto"/>
              </w:rPr>
            </w:pPr>
            <w:r w:rsidRPr="00615278">
              <w:rPr>
                <w:b/>
                <w:color w:val="auto"/>
              </w:rPr>
              <w:t>%</w:t>
            </w:r>
          </w:p>
        </w:tc>
      </w:tr>
      <w:tr w:rsidR="00A50777" w:rsidRPr="005C0907" w14:paraId="43C6196B" w14:textId="77777777" w:rsidTr="00DC326C">
        <w:trPr>
          <w:cnfStyle w:val="100000000000" w:firstRow="1" w:lastRow="0" w:firstColumn="0" w:lastColumn="0" w:oddVBand="0" w:evenVBand="0" w:oddHBand="0" w:evenHBand="0" w:firstRowFirstColumn="0" w:firstRowLastColumn="0" w:lastRowFirstColumn="0" w:lastRowLastColumn="0"/>
          <w:trHeight w:val="726"/>
          <w:tblHeader/>
        </w:trPr>
        <w:tc>
          <w:tcPr>
            <w:cnfStyle w:val="001000000000" w:firstRow="0" w:lastRow="0" w:firstColumn="1" w:lastColumn="0" w:oddVBand="0" w:evenVBand="0" w:oddHBand="0" w:evenHBand="0" w:firstRowFirstColumn="0" w:firstRowLastColumn="0" w:lastRowFirstColumn="0" w:lastRowLastColumn="0"/>
            <w:tcW w:w="1568" w:type="dxa"/>
            <w:vAlign w:val="center"/>
          </w:tcPr>
          <w:p w14:paraId="538A8749" w14:textId="77777777" w:rsidR="00AB24E1" w:rsidRPr="00C9305E" w:rsidRDefault="00AB24E1" w:rsidP="00DC326C">
            <w:pPr>
              <w:rPr>
                <w:color w:val="auto"/>
              </w:rPr>
            </w:pPr>
            <w:r w:rsidRPr="00C9305E">
              <w:rPr>
                <w:color w:val="auto"/>
              </w:rPr>
              <w:t>$1</w:t>
            </w:r>
            <w:r>
              <w:rPr>
                <w:color w:val="auto"/>
              </w:rPr>
              <w:t>9.6</w:t>
            </w:r>
            <w:r w:rsidRPr="00C9305E">
              <w:rPr>
                <w:color w:val="auto"/>
              </w:rPr>
              <w:t xml:space="preserve"> billion</w:t>
            </w:r>
          </w:p>
        </w:tc>
        <w:tc>
          <w:tcPr>
            <w:tcW w:w="1573" w:type="dxa"/>
            <w:tcBorders>
              <w:top w:val="single" w:sz="6" w:space="0" w:color="ACA6A2" w:themeColor="accent5"/>
              <w:bottom w:val="single" w:sz="8" w:space="0" w:color="ACA6A2" w:themeColor="accent5"/>
              <w:right w:val="single" w:sz="4" w:space="0" w:color="auto"/>
            </w:tcBorders>
            <w:vAlign w:val="center"/>
          </w:tcPr>
          <w:p w14:paraId="0474E971" w14:textId="77777777" w:rsidR="00AB24E1" w:rsidRPr="00C9305E" w:rsidRDefault="00AB24E1" w:rsidP="00DC326C">
            <w:pPr>
              <w:cnfStyle w:val="100000000000" w:firstRow="1" w:lastRow="0" w:firstColumn="0" w:lastColumn="0" w:oddVBand="0" w:evenVBand="0" w:oddHBand="0" w:evenHBand="0" w:firstRowFirstColumn="0" w:firstRowLastColumn="0" w:lastRowFirstColumn="0" w:lastRowLastColumn="0"/>
              <w:rPr>
                <w:color w:val="auto"/>
              </w:rPr>
            </w:pPr>
            <w:r w:rsidRPr="00C9305E">
              <w:rPr>
                <w:color w:val="auto"/>
              </w:rPr>
              <w:t>No change</w:t>
            </w:r>
            <w:r>
              <w:rPr>
                <w:color w:val="auto"/>
              </w:rPr>
              <w:t xml:space="preserve"> on June 2019</w:t>
            </w:r>
          </w:p>
        </w:tc>
        <w:tc>
          <w:tcPr>
            <w:tcW w:w="1569" w:type="dxa"/>
            <w:tcBorders>
              <w:left w:val="single" w:sz="4" w:space="0" w:color="auto"/>
            </w:tcBorders>
            <w:vAlign w:val="center"/>
          </w:tcPr>
          <w:p w14:paraId="142C5970" w14:textId="77777777" w:rsidR="00AB24E1" w:rsidRPr="00C9305E" w:rsidRDefault="00AB24E1" w:rsidP="00DC326C">
            <w:pPr>
              <w:cnfStyle w:val="100000000000" w:firstRow="1" w:lastRow="0" w:firstColumn="0" w:lastColumn="0" w:oddVBand="0" w:evenVBand="0" w:oddHBand="0" w:evenHBand="0" w:firstRowFirstColumn="0" w:firstRowLastColumn="0" w:lastRowFirstColumn="0" w:lastRowLastColumn="0"/>
              <w:rPr>
                <w:color w:val="auto"/>
              </w:rPr>
            </w:pPr>
            <w:r w:rsidRPr="00C9305E">
              <w:rPr>
                <w:color w:val="auto"/>
              </w:rPr>
              <w:t>24.6 million</w:t>
            </w:r>
          </w:p>
        </w:tc>
        <w:tc>
          <w:tcPr>
            <w:tcW w:w="1573" w:type="dxa"/>
            <w:tcBorders>
              <w:top w:val="single" w:sz="6" w:space="0" w:color="ACA6A2" w:themeColor="accent5"/>
              <w:bottom w:val="single" w:sz="8" w:space="0" w:color="ACA6A2" w:themeColor="accent5"/>
              <w:right w:val="single" w:sz="4" w:space="0" w:color="auto"/>
            </w:tcBorders>
          </w:tcPr>
          <w:p w14:paraId="046FD8CF" w14:textId="77777777" w:rsidR="00AB24E1" w:rsidRDefault="00AB24E1" w:rsidP="00DC326C">
            <w:pPr>
              <w:cnfStyle w:val="100000000000" w:firstRow="1" w:lastRow="0" w:firstColumn="0" w:lastColumn="0" w:oddVBand="0" w:evenVBand="0" w:oddHBand="0" w:evenHBand="0" w:firstRowFirstColumn="0" w:firstRowLastColumn="0" w:lastRowFirstColumn="0" w:lastRowLastColumn="0"/>
              <w:rPr>
                <w:bCs w:val="0"/>
              </w:rPr>
            </w:pPr>
            <w:r>
              <w:rPr>
                <w:color w:val="auto"/>
              </w:rPr>
              <w:br/>
              <w:t>Down 19</w:t>
            </w:r>
            <w:r w:rsidRPr="00C9305E">
              <w:rPr>
                <w:color w:val="auto"/>
              </w:rPr>
              <w:t>%</w:t>
            </w:r>
            <w:r>
              <w:rPr>
                <w:color w:val="auto"/>
              </w:rPr>
              <w:t xml:space="preserve"> on June 2019</w:t>
            </w:r>
          </w:p>
          <w:p w14:paraId="51DD3CBD" w14:textId="77777777" w:rsidR="00AB24E1" w:rsidRPr="00C9305E" w:rsidRDefault="00AB24E1" w:rsidP="00DC326C">
            <w:pPr>
              <w:cnfStyle w:val="100000000000" w:firstRow="1" w:lastRow="0" w:firstColumn="0" w:lastColumn="0" w:oddVBand="0" w:evenVBand="0" w:oddHBand="0" w:evenHBand="0" w:firstRowFirstColumn="0" w:firstRowLastColumn="0" w:lastRowFirstColumn="0" w:lastRowLastColumn="0"/>
              <w:rPr>
                <w:color w:val="auto"/>
              </w:rPr>
            </w:pPr>
          </w:p>
        </w:tc>
        <w:tc>
          <w:tcPr>
            <w:tcW w:w="1568" w:type="dxa"/>
            <w:tcBorders>
              <w:left w:val="single" w:sz="4" w:space="0" w:color="auto"/>
            </w:tcBorders>
            <w:vAlign w:val="center"/>
          </w:tcPr>
          <w:p w14:paraId="2F6FF9B3" w14:textId="77777777" w:rsidR="00AB24E1" w:rsidRPr="00C9305E" w:rsidRDefault="00AB24E1" w:rsidP="00DC326C">
            <w:pPr>
              <w:cnfStyle w:val="100000000000" w:firstRow="1" w:lastRow="0" w:firstColumn="0" w:lastColumn="0" w:oddVBand="0" w:evenVBand="0" w:oddHBand="0" w:evenHBand="0" w:firstRowFirstColumn="0" w:firstRowLastColumn="0" w:lastRowFirstColumn="0" w:lastRowLastColumn="0"/>
              <w:rPr>
                <w:color w:val="auto"/>
              </w:rPr>
            </w:pPr>
            <w:r>
              <w:rPr>
                <w:color w:val="auto"/>
              </w:rPr>
              <w:t>90.7</w:t>
            </w:r>
            <w:r w:rsidRPr="00C9305E">
              <w:rPr>
                <w:color w:val="auto"/>
              </w:rPr>
              <w:t xml:space="preserve"> million</w:t>
            </w:r>
          </w:p>
        </w:tc>
        <w:tc>
          <w:tcPr>
            <w:tcW w:w="1574" w:type="dxa"/>
            <w:vAlign w:val="center"/>
          </w:tcPr>
          <w:p w14:paraId="75CB161A" w14:textId="77777777" w:rsidR="00AB24E1" w:rsidRDefault="00AB24E1" w:rsidP="00DC326C">
            <w:pPr>
              <w:cnfStyle w:val="100000000000" w:firstRow="1" w:lastRow="0" w:firstColumn="0" w:lastColumn="0" w:oddVBand="0" w:evenVBand="0" w:oddHBand="0" w:evenHBand="0" w:firstRowFirstColumn="0" w:firstRowLastColumn="0" w:lastRowFirstColumn="0" w:lastRowLastColumn="0"/>
              <w:rPr>
                <w:bCs w:val="0"/>
              </w:rPr>
            </w:pPr>
            <w:r>
              <w:rPr>
                <w:color w:val="auto"/>
              </w:rPr>
              <w:br/>
              <w:t>Down 11</w:t>
            </w:r>
            <w:r w:rsidRPr="00C9305E">
              <w:rPr>
                <w:color w:val="auto"/>
              </w:rPr>
              <w:t>%</w:t>
            </w:r>
            <w:r>
              <w:rPr>
                <w:color w:val="auto"/>
              </w:rPr>
              <w:t xml:space="preserve"> on June 2019</w:t>
            </w:r>
          </w:p>
          <w:p w14:paraId="0B1BC7A1" w14:textId="77777777" w:rsidR="00AB24E1" w:rsidRPr="00C9305E" w:rsidRDefault="00AB24E1" w:rsidP="00DC326C">
            <w:pPr>
              <w:cnfStyle w:val="100000000000" w:firstRow="1" w:lastRow="0" w:firstColumn="0" w:lastColumn="0" w:oddVBand="0" w:evenVBand="0" w:oddHBand="0" w:evenHBand="0" w:firstRowFirstColumn="0" w:firstRowLastColumn="0" w:lastRowFirstColumn="0" w:lastRowLastColumn="0"/>
              <w:rPr>
                <w:color w:val="auto"/>
              </w:rPr>
            </w:pPr>
          </w:p>
        </w:tc>
      </w:tr>
    </w:tbl>
    <w:p w14:paraId="69936EA9" w14:textId="77777777" w:rsidR="00AB24E1" w:rsidRDefault="00AB24E1" w:rsidP="00B76B69">
      <w:pPr>
        <w:pStyle w:val="Heading2"/>
      </w:pPr>
    </w:p>
    <w:p w14:paraId="2D2E69E9" w14:textId="347E3A68" w:rsidR="00450541" w:rsidRPr="00450541" w:rsidRDefault="00450541" w:rsidP="00ED3C8F">
      <w:pPr>
        <w:pStyle w:val="Heading3"/>
      </w:pPr>
      <w:r>
        <w:t xml:space="preserve">OVERALL </w:t>
      </w:r>
      <w:r w:rsidR="00991092">
        <w:t>TOURSIM LOSS</w:t>
      </w:r>
      <w:r w:rsidR="00D157A7">
        <w:t>ES</w:t>
      </w:r>
      <w:r w:rsidR="00490C07">
        <w:t xml:space="preserve"> TO THE PANDEMIC</w:t>
      </w:r>
    </w:p>
    <w:p w14:paraId="78A7B306" w14:textId="01F03AC5" w:rsidR="00450541" w:rsidRDefault="00450541" w:rsidP="00450541">
      <w:pPr>
        <w:spacing w:after="120"/>
      </w:pPr>
      <w:r>
        <w:t xml:space="preserve">Since the </w:t>
      </w:r>
      <w:r w:rsidR="003545F6">
        <w:t>start</w:t>
      </w:r>
      <w:r>
        <w:t xml:space="preserve"> of the pandemic, domestic tourism </w:t>
      </w:r>
      <w:r w:rsidR="00991092">
        <w:t xml:space="preserve">in Australia </w:t>
      </w:r>
      <w:r>
        <w:t xml:space="preserve">has recorded </w:t>
      </w:r>
      <w:r w:rsidR="00ED3C8F">
        <w:t>significant</w:t>
      </w:r>
      <w:r>
        <w:t xml:space="preserve"> losses. Recovery through the second half of 2020 and into 2021 has been slow and impacted by recurring border closures and changing restrictions due to COVID-19. </w:t>
      </w:r>
      <w:r w:rsidR="00763E0E">
        <w:t>The second half of 2021 will provide a further setback to tourism’s recovery with r</w:t>
      </w:r>
      <w:r w:rsidR="0070057B">
        <w:t>esults expected to deteriorate due to</w:t>
      </w:r>
      <w:r w:rsidR="00B76B69">
        <w:t xml:space="preserve"> </w:t>
      </w:r>
      <w:r w:rsidR="0070057B">
        <w:t>outbreak</w:t>
      </w:r>
      <w:r w:rsidR="00B76B69">
        <w:t>s</w:t>
      </w:r>
      <w:r w:rsidR="0070057B">
        <w:t xml:space="preserve"> causing border closures and long-term lockdowns in New South Wales (NSW), Victoria (VIC) and the ACT.  </w:t>
      </w:r>
    </w:p>
    <w:p w14:paraId="05C7A972" w14:textId="2EF560AF" w:rsidR="00763E0E" w:rsidRDefault="00450541" w:rsidP="00450541">
      <w:pPr>
        <w:spacing w:after="120"/>
        <w:rPr>
          <w:rFonts w:ascii="Arial" w:hAnsi="Arial" w:cs="Arial"/>
        </w:rPr>
      </w:pPr>
      <w:r>
        <w:rPr>
          <w:rFonts w:ascii="Arial" w:hAnsi="Arial" w:cs="Arial"/>
        </w:rPr>
        <w:t>Overall</w:t>
      </w:r>
      <w:r w:rsidR="00991092">
        <w:rPr>
          <w:rFonts w:ascii="Arial" w:hAnsi="Arial" w:cs="Arial"/>
        </w:rPr>
        <w:t>,</w:t>
      </w:r>
      <w:r>
        <w:rPr>
          <w:rFonts w:ascii="Arial" w:hAnsi="Arial" w:cs="Arial"/>
        </w:rPr>
        <w:t xml:space="preserve"> tourism losses since the start of the pandemic (March 2020</w:t>
      </w:r>
      <w:r w:rsidR="00ED3C8F">
        <w:rPr>
          <w:rFonts w:ascii="Arial" w:hAnsi="Arial" w:cs="Arial"/>
        </w:rPr>
        <w:t xml:space="preserve"> to June 2021</w:t>
      </w:r>
      <w:r>
        <w:rPr>
          <w:rFonts w:ascii="Arial" w:hAnsi="Arial" w:cs="Arial"/>
        </w:rPr>
        <w:t>)</w:t>
      </w:r>
      <w:r w:rsidR="00991092">
        <w:rPr>
          <w:rFonts w:ascii="Arial" w:hAnsi="Arial" w:cs="Arial"/>
        </w:rPr>
        <w:t xml:space="preserve"> have</w:t>
      </w:r>
      <w:r>
        <w:rPr>
          <w:rFonts w:ascii="Arial" w:hAnsi="Arial" w:cs="Arial"/>
        </w:rPr>
        <w:t xml:space="preserve"> total</w:t>
      </w:r>
      <w:r w:rsidR="00991092">
        <w:rPr>
          <w:rFonts w:ascii="Arial" w:hAnsi="Arial" w:cs="Arial"/>
        </w:rPr>
        <w:t>led</w:t>
      </w:r>
      <w:r>
        <w:rPr>
          <w:rFonts w:ascii="Arial" w:hAnsi="Arial" w:cs="Arial"/>
        </w:rPr>
        <w:t xml:space="preserve"> $101.7 billion</w:t>
      </w:r>
      <w:r w:rsidR="00010D5E">
        <w:rPr>
          <w:rFonts w:ascii="Arial" w:hAnsi="Arial" w:cs="Arial"/>
        </w:rPr>
        <w:t>,</w:t>
      </w:r>
      <w:r w:rsidR="00D157A7">
        <w:rPr>
          <w:rFonts w:ascii="Arial" w:hAnsi="Arial" w:cs="Arial"/>
        </w:rPr>
        <w:t xml:space="preserve"> down 52%</w:t>
      </w:r>
      <w:r w:rsidR="00010D5E">
        <w:rPr>
          <w:rFonts w:ascii="Arial" w:hAnsi="Arial" w:cs="Arial"/>
        </w:rPr>
        <w:t xml:space="preserve"> to $95.2</w:t>
      </w:r>
      <w:r w:rsidR="00041EFB">
        <w:rPr>
          <w:rFonts w:ascii="Arial" w:hAnsi="Arial" w:cs="Arial"/>
        </w:rPr>
        <w:t xml:space="preserve"> billion</w:t>
      </w:r>
      <w:r w:rsidR="00010D5E">
        <w:rPr>
          <w:rFonts w:ascii="Arial" w:hAnsi="Arial" w:cs="Arial"/>
        </w:rPr>
        <w:t xml:space="preserve"> (Table 1)</w:t>
      </w:r>
      <w:r w:rsidR="00041EFB">
        <w:rPr>
          <w:rFonts w:ascii="Arial" w:hAnsi="Arial" w:cs="Arial"/>
        </w:rPr>
        <w:t>.</w:t>
      </w:r>
    </w:p>
    <w:p w14:paraId="01F0C04D" w14:textId="1C9B0E9E" w:rsidR="00763E0E" w:rsidRDefault="00450541" w:rsidP="00763E0E">
      <w:pPr>
        <w:pStyle w:val="ListParagraph"/>
        <w:numPr>
          <w:ilvl w:val="0"/>
          <w:numId w:val="10"/>
        </w:numPr>
        <w:spacing w:after="120"/>
        <w:rPr>
          <w:rFonts w:ascii="Arial" w:hAnsi="Arial" w:cs="Arial"/>
        </w:rPr>
      </w:pPr>
      <w:r w:rsidRPr="000609AD">
        <w:rPr>
          <w:rFonts w:ascii="Arial" w:hAnsi="Arial" w:cs="Arial"/>
        </w:rPr>
        <w:t>Domestic overnight</w:t>
      </w:r>
      <w:r w:rsidR="000609AD">
        <w:rPr>
          <w:rFonts w:ascii="Arial" w:hAnsi="Arial" w:cs="Arial"/>
        </w:rPr>
        <w:t xml:space="preserve"> trip</w:t>
      </w:r>
      <w:r w:rsidRPr="000609AD">
        <w:rPr>
          <w:rFonts w:ascii="Arial" w:hAnsi="Arial" w:cs="Arial"/>
        </w:rPr>
        <w:t xml:space="preserve"> </w:t>
      </w:r>
      <w:r w:rsidR="000609AD">
        <w:rPr>
          <w:rFonts w:ascii="Arial" w:hAnsi="Arial" w:cs="Arial"/>
        </w:rPr>
        <w:t>s</w:t>
      </w:r>
      <w:r w:rsidRPr="000609AD">
        <w:rPr>
          <w:rFonts w:ascii="Arial" w:hAnsi="Arial" w:cs="Arial"/>
        </w:rPr>
        <w:t>pend</w:t>
      </w:r>
      <w:r w:rsidR="00B76B69">
        <w:rPr>
          <w:rFonts w:ascii="Arial" w:hAnsi="Arial" w:cs="Arial"/>
        </w:rPr>
        <w:t xml:space="preserve"> has fallen</w:t>
      </w:r>
      <w:r w:rsidRPr="000609AD">
        <w:rPr>
          <w:rFonts w:ascii="Arial" w:hAnsi="Arial" w:cs="Arial"/>
        </w:rPr>
        <w:t xml:space="preserve"> 36% or $38.3 billion to $69.0 billion</w:t>
      </w:r>
    </w:p>
    <w:p w14:paraId="2732B46D" w14:textId="5C05E554" w:rsidR="000609AD" w:rsidRDefault="00763E0E" w:rsidP="00763E0E">
      <w:pPr>
        <w:pStyle w:val="ListParagraph"/>
        <w:numPr>
          <w:ilvl w:val="0"/>
          <w:numId w:val="10"/>
        </w:numPr>
        <w:spacing w:after="120"/>
        <w:rPr>
          <w:rFonts w:ascii="Arial" w:hAnsi="Arial" w:cs="Arial"/>
        </w:rPr>
      </w:pPr>
      <w:r>
        <w:rPr>
          <w:rFonts w:ascii="Arial" w:hAnsi="Arial" w:cs="Arial"/>
        </w:rPr>
        <w:t>Domestic day trip</w:t>
      </w:r>
      <w:r w:rsidR="000609AD">
        <w:rPr>
          <w:rFonts w:ascii="Arial" w:hAnsi="Arial" w:cs="Arial"/>
        </w:rPr>
        <w:t xml:space="preserve"> spend </w:t>
      </w:r>
      <w:r w:rsidR="00B76B69">
        <w:rPr>
          <w:rFonts w:ascii="Arial" w:hAnsi="Arial" w:cs="Arial"/>
        </w:rPr>
        <w:t xml:space="preserve">is down </w:t>
      </w:r>
      <w:r w:rsidR="00450541" w:rsidRPr="000609AD">
        <w:rPr>
          <w:rFonts w:ascii="Arial" w:hAnsi="Arial" w:cs="Arial"/>
        </w:rPr>
        <w:t>34% or $12.1 billion</w:t>
      </w:r>
      <w:r w:rsidR="000609AD">
        <w:rPr>
          <w:rFonts w:ascii="Arial" w:hAnsi="Arial" w:cs="Arial"/>
        </w:rPr>
        <w:t xml:space="preserve"> to $22.9 billion</w:t>
      </w:r>
      <w:r w:rsidR="00450541" w:rsidRPr="000609AD">
        <w:rPr>
          <w:rFonts w:ascii="Arial" w:hAnsi="Arial" w:cs="Arial"/>
        </w:rPr>
        <w:t xml:space="preserve"> </w:t>
      </w:r>
    </w:p>
    <w:p w14:paraId="66B39264" w14:textId="35771684" w:rsidR="00450541" w:rsidRPr="000609AD" w:rsidRDefault="000609AD" w:rsidP="000609AD">
      <w:pPr>
        <w:pStyle w:val="ListParagraph"/>
        <w:numPr>
          <w:ilvl w:val="0"/>
          <w:numId w:val="10"/>
        </w:numPr>
        <w:spacing w:after="120"/>
        <w:rPr>
          <w:rFonts w:ascii="Arial" w:hAnsi="Arial" w:cs="Arial"/>
        </w:rPr>
      </w:pPr>
      <w:r>
        <w:rPr>
          <w:rFonts w:ascii="Arial" w:hAnsi="Arial" w:cs="Arial"/>
        </w:rPr>
        <w:t>I</w:t>
      </w:r>
      <w:r w:rsidR="00450541" w:rsidRPr="000609AD">
        <w:rPr>
          <w:rFonts w:ascii="Arial" w:hAnsi="Arial" w:cs="Arial"/>
        </w:rPr>
        <w:t xml:space="preserve">nternational travel </w:t>
      </w:r>
      <w:r w:rsidR="00B76B69">
        <w:rPr>
          <w:rFonts w:ascii="Arial" w:hAnsi="Arial" w:cs="Arial"/>
        </w:rPr>
        <w:t xml:space="preserve">has </w:t>
      </w:r>
      <w:r w:rsidR="00450541" w:rsidRPr="000609AD">
        <w:rPr>
          <w:rFonts w:ascii="Arial" w:hAnsi="Arial" w:cs="Arial"/>
        </w:rPr>
        <w:t>had losses of 94% or $51.</w:t>
      </w:r>
      <w:r w:rsidR="002D7C24">
        <w:rPr>
          <w:rFonts w:ascii="Arial" w:hAnsi="Arial" w:cs="Arial"/>
        </w:rPr>
        <w:t>3</w:t>
      </w:r>
      <w:r w:rsidR="00450541" w:rsidRPr="000609AD">
        <w:rPr>
          <w:rFonts w:ascii="Arial" w:hAnsi="Arial" w:cs="Arial"/>
        </w:rPr>
        <w:t xml:space="preserve"> billion</w:t>
      </w:r>
      <w:r w:rsidR="00B76B69">
        <w:rPr>
          <w:rFonts w:ascii="Arial" w:hAnsi="Arial" w:cs="Arial"/>
        </w:rPr>
        <w:t xml:space="preserve"> in spend.</w:t>
      </w:r>
    </w:p>
    <w:p w14:paraId="40C0A390" w14:textId="77777777" w:rsidR="00D157A7" w:rsidRDefault="00D157A7" w:rsidP="00450541">
      <w:pPr>
        <w:spacing w:after="120"/>
        <w:rPr>
          <w:rFonts w:ascii="Arial" w:hAnsi="Arial" w:cs="Arial"/>
        </w:rPr>
      </w:pPr>
    </w:p>
    <w:p w14:paraId="52A948D2" w14:textId="2D2BDCE9" w:rsidR="00991092" w:rsidRPr="00C25983" w:rsidRDefault="00991092" w:rsidP="00991092">
      <w:pPr>
        <w:spacing w:after="0"/>
        <w:rPr>
          <w:vertAlign w:val="superscript"/>
        </w:rPr>
      </w:pPr>
      <w:r w:rsidRPr="006F00FD">
        <w:rPr>
          <w:b/>
        </w:rPr>
        <w:t xml:space="preserve">TABLE 1: </w:t>
      </w:r>
      <w:r>
        <w:rPr>
          <w:b/>
        </w:rPr>
        <w:t>AUSTRALIAN TOURISM SUMMARY</w:t>
      </w:r>
      <w:r w:rsidRPr="006F00FD">
        <w:rPr>
          <w:b/>
        </w:rPr>
        <w:t>,</w:t>
      </w:r>
      <w:r>
        <w:rPr>
          <w:b/>
        </w:rPr>
        <w:t xml:space="preserve"> </w:t>
      </w:r>
      <w:r w:rsidR="00490C07">
        <w:rPr>
          <w:b/>
        </w:rPr>
        <w:t xml:space="preserve">LOSSES TO THE PANDEMIC </w:t>
      </w:r>
    </w:p>
    <w:tbl>
      <w:tblPr>
        <w:tblStyle w:val="TableGrid"/>
        <w:tblW w:w="9242" w:type="dxa"/>
        <w:jc w:val="center"/>
        <w:tblLook w:val="04A0" w:firstRow="1" w:lastRow="0" w:firstColumn="1" w:lastColumn="0" w:noHBand="0" w:noVBand="1"/>
        <w:tblCaption w:val="Table 1: Domestic travel, January September spend and visitors"/>
        <w:tblDescription w:val="Spend for overnight trips was down 48% from $60.3 billion in 2019 to $31.5 billion in 2020. &#10;Spend for day trips was down 38% from $19.3 billion in 2019 to $12.0 billion in 2020. &#10;Total domestic spend was down 45% from $79.6 billion in 2019 to $43.5 billion in 2020. &#10;Overnight visitors were down 42% from 88.0 million in 2019 to 50.8 million in 2020.&#10;Day trip visitors were down 37% from 186.2 million in 2019 to 116.6 million in 2020.&#10;Total domestic visitors were down 39% from 274.2 million in 2019 to 167.4 million in 2020."/>
      </w:tblPr>
      <w:tblGrid>
        <w:gridCol w:w="1986"/>
        <w:gridCol w:w="1851"/>
        <w:gridCol w:w="1851"/>
        <w:gridCol w:w="1667"/>
        <w:gridCol w:w="1887"/>
      </w:tblGrid>
      <w:tr w:rsidR="00A50777" w14:paraId="2B208ADB" w14:textId="77777777" w:rsidTr="0066380D">
        <w:trPr>
          <w:trHeight w:hRule="exact" w:val="571"/>
          <w:tblHeader/>
          <w:jc w:val="center"/>
        </w:trPr>
        <w:tc>
          <w:tcPr>
            <w:tcW w:w="1986" w:type="dxa"/>
            <w:tcBorders>
              <w:top w:val="single" w:sz="4" w:space="0" w:color="auto"/>
              <w:left w:val="single" w:sz="4" w:space="0" w:color="auto"/>
              <w:bottom w:val="single" w:sz="4" w:space="0" w:color="auto"/>
              <w:right w:val="nil"/>
            </w:tcBorders>
          </w:tcPr>
          <w:p w14:paraId="5F9944A3" w14:textId="290C48A0" w:rsidR="00A50777" w:rsidRPr="00D157A7" w:rsidRDefault="00A50777" w:rsidP="00A50777">
            <w:pPr>
              <w:pStyle w:val="Heading1"/>
              <w:jc w:val="center"/>
              <w:outlineLvl w:val="0"/>
              <w:rPr>
                <w:b/>
                <w:bCs w:val="0"/>
              </w:rPr>
            </w:pPr>
          </w:p>
        </w:tc>
        <w:tc>
          <w:tcPr>
            <w:tcW w:w="1851" w:type="dxa"/>
            <w:tcBorders>
              <w:left w:val="nil"/>
              <w:right w:val="nil"/>
            </w:tcBorders>
          </w:tcPr>
          <w:p w14:paraId="15EB0180" w14:textId="77777777" w:rsidR="00A50777" w:rsidRPr="00D157A7" w:rsidRDefault="00A50777" w:rsidP="00A50777">
            <w:pPr>
              <w:pStyle w:val="Heading1"/>
              <w:jc w:val="center"/>
              <w:outlineLvl w:val="0"/>
              <w:rPr>
                <w:b/>
                <w:bCs w:val="0"/>
              </w:rPr>
            </w:pPr>
          </w:p>
        </w:tc>
        <w:tc>
          <w:tcPr>
            <w:tcW w:w="1851" w:type="dxa"/>
            <w:tcBorders>
              <w:top w:val="single" w:sz="4" w:space="0" w:color="auto"/>
              <w:left w:val="nil"/>
              <w:bottom w:val="single" w:sz="4" w:space="0" w:color="auto"/>
              <w:right w:val="nil"/>
            </w:tcBorders>
          </w:tcPr>
          <w:p w14:paraId="73A54EA2" w14:textId="1B2837FE" w:rsidR="00A50777" w:rsidRPr="00D157A7" w:rsidRDefault="00A50777" w:rsidP="00A50777">
            <w:pPr>
              <w:pStyle w:val="Heading1"/>
              <w:jc w:val="center"/>
              <w:outlineLvl w:val="0"/>
              <w:rPr>
                <w:b/>
                <w:bCs w:val="0"/>
              </w:rPr>
            </w:pPr>
            <w:r w:rsidRPr="00D157A7">
              <w:rPr>
                <w:b/>
                <w:bCs w:val="0"/>
              </w:rPr>
              <w:t xml:space="preserve">spend </w:t>
            </w:r>
            <w:r w:rsidR="008B0A90">
              <w:rPr>
                <w:b/>
                <w:bCs w:val="0"/>
              </w:rPr>
              <w:t xml:space="preserve">                 </w:t>
            </w:r>
            <w:r w:rsidRPr="00D157A7">
              <w:rPr>
                <w:b/>
                <w:bCs w:val="0"/>
              </w:rPr>
              <w:t>($ bil</w:t>
            </w:r>
            <w:r w:rsidR="0066380D">
              <w:rPr>
                <w:b/>
                <w:bCs w:val="0"/>
              </w:rPr>
              <w:t>LIONs</w:t>
            </w:r>
            <w:r w:rsidRPr="00D157A7">
              <w:rPr>
                <w:b/>
                <w:bCs w:val="0"/>
              </w:rPr>
              <w:t>)</w:t>
            </w:r>
          </w:p>
        </w:tc>
        <w:tc>
          <w:tcPr>
            <w:tcW w:w="1667" w:type="dxa"/>
            <w:tcBorders>
              <w:left w:val="nil"/>
              <w:right w:val="nil"/>
            </w:tcBorders>
          </w:tcPr>
          <w:p w14:paraId="27C69377" w14:textId="77777777" w:rsidR="00A50777" w:rsidRPr="00D157A7" w:rsidRDefault="00A50777" w:rsidP="00A50777">
            <w:pPr>
              <w:pStyle w:val="Heading1"/>
              <w:jc w:val="center"/>
              <w:outlineLvl w:val="0"/>
              <w:rPr>
                <w:b/>
                <w:bCs w:val="0"/>
              </w:rPr>
            </w:pPr>
          </w:p>
        </w:tc>
        <w:tc>
          <w:tcPr>
            <w:tcW w:w="1887" w:type="dxa"/>
            <w:tcBorders>
              <w:top w:val="single" w:sz="4" w:space="0" w:color="auto"/>
              <w:left w:val="nil"/>
              <w:bottom w:val="single" w:sz="4" w:space="0" w:color="auto"/>
              <w:right w:val="single" w:sz="4" w:space="0" w:color="auto"/>
            </w:tcBorders>
          </w:tcPr>
          <w:p w14:paraId="435B92EE" w14:textId="79A8E655" w:rsidR="00A50777" w:rsidRPr="00D157A7" w:rsidRDefault="00A50777" w:rsidP="00A50777">
            <w:pPr>
              <w:pStyle w:val="Heading1"/>
              <w:jc w:val="center"/>
              <w:outlineLvl w:val="0"/>
              <w:rPr>
                <w:b/>
                <w:bCs w:val="0"/>
              </w:rPr>
            </w:pPr>
          </w:p>
        </w:tc>
      </w:tr>
      <w:tr w:rsidR="00A50777" w14:paraId="01E5F6AA" w14:textId="77777777" w:rsidTr="0066380D">
        <w:trPr>
          <w:trHeight w:hRule="exact" w:val="397"/>
          <w:tblHeader/>
          <w:jc w:val="center"/>
        </w:trPr>
        <w:tc>
          <w:tcPr>
            <w:tcW w:w="1986" w:type="dxa"/>
            <w:tcBorders>
              <w:top w:val="single" w:sz="4" w:space="0" w:color="auto"/>
            </w:tcBorders>
          </w:tcPr>
          <w:p w14:paraId="1A7BB799" w14:textId="77777777" w:rsidR="00A50777" w:rsidRPr="00C47077" w:rsidRDefault="00A50777" w:rsidP="00A50777">
            <w:pPr>
              <w:pStyle w:val="Heading1"/>
              <w:outlineLvl w:val="0"/>
            </w:pPr>
          </w:p>
        </w:tc>
        <w:tc>
          <w:tcPr>
            <w:tcW w:w="1851" w:type="dxa"/>
          </w:tcPr>
          <w:p w14:paraId="173F195D" w14:textId="5E2F1187" w:rsidR="00A50777" w:rsidRPr="00D157A7" w:rsidRDefault="00A50777" w:rsidP="00A50777">
            <w:pPr>
              <w:pStyle w:val="Heading1"/>
              <w:jc w:val="center"/>
              <w:outlineLvl w:val="0"/>
              <w:rPr>
                <w:b/>
                <w:bCs w:val="0"/>
              </w:rPr>
            </w:pPr>
            <w:r w:rsidRPr="00D157A7">
              <w:rPr>
                <w:b/>
                <w:bCs w:val="0"/>
              </w:rPr>
              <w:t>Pre-COVID</w:t>
            </w:r>
            <w:r>
              <w:rPr>
                <w:b/>
                <w:vertAlign w:val="superscript"/>
              </w:rPr>
              <w:t>1</w:t>
            </w:r>
          </w:p>
        </w:tc>
        <w:tc>
          <w:tcPr>
            <w:tcW w:w="1851" w:type="dxa"/>
            <w:tcBorders>
              <w:top w:val="single" w:sz="4" w:space="0" w:color="auto"/>
            </w:tcBorders>
          </w:tcPr>
          <w:p w14:paraId="6ABCC1C6" w14:textId="2CC0E47A" w:rsidR="00A50777" w:rsidRPr="00D157A7" w:rsidRDefault="00A50777" w:rsidP="00A50777">
            <w:pPr>
              <w:pStyle w:val="Heading1"/>
              <w:jc w:val="center"/>
              <w:outlineLvl w:val="0"/>
              <w:rPr>
                <w:b/>
                <w:bCs w:val="0"/>
              </w:rPr>
            </w:pPr>
            <w:r w:rsidRPr="00D157A7">
              <w:rPr>
                <w:b/>
                <w:bCs w:val="0"/>
              </w:rPr>
              <w:t xml:space="preserve">COVID </w:t>
            </w:r>
            <w:r>
              <w:rPr>
                <w:b/>
                <w:bCs w:val="0"/>
              </w:rPr>
              <w:t>PERIOD</w:t>
            </w:r>
            <w:r>
              <w:rPr>
                <w:b/>
                <w:vertAlign w:val="superscript"/>
              </w:rPr>
              <w:t>2</w:t>
            </w:r>
          </w:p>
        </w:tc>
        <w:tc>
          <w:tcPr>
            <w:tcW w:w="1667" w:type="dxa"/>
          </w:tcPr>
          <w:p w14:paraId="6662C396" w14:textId="77777777" w:rsidR="00A50777" w:rsidRPr="00D157A7" w:rsidRDefault="00A50777" w:rsidP="00A50777">
            <w:pPr>
              <w:pStyle w:val="Heading1"/>
              <w:jc w:val="center"/>
              <w:outlineLvl w:val="0"/>
              <w:rPr>
                <w:b/>
                <w:bCs w:val="0"/>
              </w:rPr>
            </w:pPr>
            <w:r w:rsidRPr="00D157A7">
              <w:rPr>
                <w:b/>
                <w:bCs w:val="0"/>
              </w:rPr>
              <w:t>LOSS</w:t>
            </w:r>
          </w:p>
        </w:tc>
        <w:tc>
          <w:tcPr>
            <w:tcW w:w="1887" w:type="dxa"/>
            <w:tcBorders>
              <w:top w:val="single" w:sz="4" w:space="0" w:color="auto"/>
            </w:tcBorders>
          </w:tcPr>
          <w:p w14:paraId="75F63897" w14:textId="77777777" w:rsidR="00A50777" w:rsidRPr="00D157A7" w:rsidRDefault="00A50777" w:rsidP="00A50777">
            <w:pPr>
              <w:pStyle w:val="Heading1"/>
              <w:jc w:val="center"/>
              <w:outlineLvl w:val="0"/>
              <w:rPr>
                <w:b/>
                <w:bCs w:val="0"/>
              </w:rPr>
            </w:pPr>
            <w:r w:rsidRPr="00D157A7">
              <w:rPr>
                <w:b/>
                <w:bCs w:val="0"/>
              </w:rPr>
              <w:t>% Change</w:t>
            </w:r>
          </w:p>
        </w:tc>
      </w:tr>
      <w:tr w:rsidR="00A50777" w14:paraId="5A54B104" w14:textId="77777777" w:rsidTr="0066380D">
        <w:trPr>
          <w:trHeight w:hRule="exact" w:val="397"/>
          <w:tblHeader/>
          <w:jc w:val="center"/>
        </w:trPr>
        <w:tc>
          <w:tcPr>
            <w:tcW w:w="1986" w:type="dxa"/>
          </w:tcPr>
          <w:p w14:paraId="6E348A55" w14:textId="77777777" w:rsidR="00A50777" w:rsidRPr="00C47077" w:rsidRDefault="00A50777" w:rsidP="00A50777">
            <w:pPr>
              <w:pStyle w:val="Heading1"/>
              <w:outlineLvl w:val="0"/>
            </w:pPr>
            <w:r w:rsidRPr="00C47077">
              <w:t>Overnight</w:t>
            </w:r>
          </w:p>
        </w:tc>
        <w:tc>
          <w:tcPr>
            <w:tcW w:w="1851" w:type="dxa"/>
          </w:tcPr>
          <w:p w14:paraId="70ABD005" w14:textId="12FCFD50" w:rsidR="00A50777" w:rsidRPr="00C47077" w:rsidRDefault="00A50777" w:rsidP="00A50777">
            <w:pPr>
              <w:pStyle w:val="Heading1"/>
              <w:jc w:val="center"/>
              <w:outlineLvl w:val="0"/>
            </w:pPr>
            <w:r>
              <w:t>107.3</w:t>
            </w:r>
          </w:p>
        </w:tc>
        <w:tc>
          <w:tcPr>
            <w:tcW w:w="1851" w:type="dxa"/>
          </w:tcPr>
          <w:p w14:paraId="0A584B60" w14:textId="345F7DB3" w:rsidR="00A50777" w:rsidRPr="00C47077" w:rsidRDefault="00A50777" w:rsidP="00A50777">
            <w:pPr>
              <w:pStyle w:val="Heading1"/>
              <w:jc w:val="center"/>
              <w:outlineLvl w:val="0"/>
            </w:pPr>
            <w:r>
              <w:t>69.0</w:t>
            </w:r>
          </w:p>
        </w:tc>
        <w:tc>
          <w:tcPr>
            <w:tcW w:w="1667" w:type="dxa"/>
          </w:tcPr>
          <w:p w14:paraId="78506994" w14:textId="6C5B50D4" w:rsidR="00A50777" w:rsidRPr="00B10424" w:rsidRDefault="00A50777" w:rsidP="00A50777">
            <w:pPr>
              <w:pStyle w:val="Heading1"/>
              <w:jc w:val="center"/>
              <w:outlineLvl w:val="0"/>
            </w:pPr>
            <w:r>
              <w:t>-38.3</w:t>
            </w:r>
          </w:p>
        </w:tc>
        <w:tc>
          <w:tcPr>
            <w:tcW w:w="1887" w:type="dxa"/>
          </w:tcPr>
          <w:p w14:paraId="3FEF4C73" w14:textId="7A6ACF0A" w:rsidR="00A50777" w:rsidRPr="00C47077" w:rsidRDefault="00A50777" w:rsidP="00A50777">
            <w:pPr>
              <w:pStyle w:val="Heading1"/>
              <w:jc w:val="center"/>
              <w:outlineLvl w:val="0"/>
            </w:pPr>
            <w:r>
              <w:t>-36</w:t>
            </w:r>
          </w:p>
        </w:tc>
      </w:tr>
      <w:tr w:rsidR="00A50777" w14:paraId="166E5968" w14:textId="77777777" w:rsidTr="0066380D">
        <w:trPr>
          <w:trHeight w:hRule="exact" w:val="397"/>
          <w:tblHeader/>
          <w:jc w:val="center"/>
        </w:trPr>
        <w:tc>
          <w:tcPr>
            <w:tcW w:w="1986" w:type="dxa"/>
          </w:tcPr>
          <w:p w14:paraId="7E17CD1A" w14:textId="77777777" w:rsidR="00A50777" w:rsidRPr="00C47077" w:rsidRDefault="00A50777" w:rsidP="00A50777">
            <w:pPr>
              <w:pStyle w:val="Heading1"/>
              <w:outlineLvl w:val="0"/>
            </w:pPr>
            <w:r w:rsidRPr="00C47077">
              <w:t>Day Trip</w:t>
            </w:r>
          </w:p>
        </w:tc>
        <w:tc>
          <w:tcPr>
            <w:tcW w:w="1851" w:type="dxa"/>
          </w:tcPr>
          <w:p w14:paraId="722458CD" w14:textId="74BA4F14" w:rsidR="00A50777" w:rsidRPr="00C47077" w:rsidRDefault="00A50777" w:rsidP="00A50777">
            <w:pPr>
              <w:pStyle w:val="Heading1"/>
              <w:jc w:val="center"/>
              <w:outlineLvl w:val="0"/>
            </w:pPr>
            <w:r>
              <w:t>35.0</w:t>
            </w:r>
          </w:p>
        </w:tc>
        <w:tc>
          <w:tcPr>
            <w:tcW w:w="1851" w:type="dxa"/>
          </w:tcPr>
          <w:p w14:paraId="776FA223" w14:textId="7ED16D87" w:rsidR="00A50777" w:rsidRPr="00C47077" w:rsidRDefault="00A50777" w:rsidP="00A50777">
            <w:pPr>
              <w:pStyle w:val="Heading1"/>
              <w:jc w:val="center"/>
              <w:outlineLvl w:val="0"/>
            </w:pPr>
            <w:r>
              <w:t>22.9</w:t>
            </w:r>
          </w:p>
        </w:tc>
        <w:tc>
          <w:tcPr>
            <w:tcW w:w="1667" w:type="dxa"/>
          </w:tcPr>
          <w:p w14:paraId="10AC07B0" w14:textId="175F2C24" w:rsidR="00A50777" w:rsidRPr="003B4F13" w:rsidRDefault="00A50777" w:rsidP="00A50777">
            <w:pPr>
              <w:pStyle w:val="Heading1"/>
              <w:jc w:val="center"/>
              <w:outlineLvl w:val="0"/>
            </w:pPr>
            <w:r>
              <w:t>-12.1</w:t>
            </w:r>
          </w:p>
        </w:tc>
        <w:tc>
          <w:tcPr>
            <w:tcW w:w="1887" w:type="dxa"/>
          </w:tcPr>
          <w:p w14:paraId="32AF9EDD" w14:textId="3071B9E9" w:rsidR="00A50777" w:rsidRPr="00C47077" w:rsidRDefault="00A50777" w:rsidP="00A50777">
            <w:pPr>
              <w:pStyle w:val="Heading1"/>
              <w:jc w:val="center"/>
              <w:outlineLvl w:val="0"/>
            </w:pPr>
            <w:r>
              <w:t>-34</w:t>
            </w:r>
          </w:p>
        </w:tc>
      </w:tr>
      <w:tr w:rsidR="00A50777" w14:paraId="2598EFA4" w14:textId="77777777" w:rsidTr="0066380D">
        <w:trPr>
          <w:trHeight w:hRule="exact" w:val="397"/>
          <w:tblHeader/>
          <w:jc w:val="center"/>
        </w:trPr>
        <w:tc>
          <w:tcPr>
            <w:tcW w:w="1986" w:type="dxa"/>
          </w:tcPr>
          <w:p w14:paraId="2268AB72" w14:textId="77777777" w:rsidR="00A50777" w:rsidRPr="00D157A7" w:rsidRDefault="00A50777" w:rsidP="00A50777">
            <w:pPr>
              <w:pStyle w:val="Heading1"/>
              <w:outlineLvl w:val="0"/>
              <w:rPr>
                <w:b/>
                <w:bCs w:val="0"/>
              </w:rPr>
            </w:pPr>
            <w:r w:rsidRPr="00D157A7">
              <w:rPr>
                <w:b/>
                <w:bCs w:val="0"/>
              </w:rPr>
              <w:t>DOMESTIC TOTAL</w:t>
            </w:r>
          </w:p>
        </w:tc>
        <w:tc>
          <w:tcPr>
            <w:tcW w:w="1851" w:type="dxa"/>
          </w:tcPr>
          <w:p w14:paraId="248604E4" w14:textId="6F60DCB2" w:rsidR="00A50777" w:rsidRPr="00D157A7" w:rsidRDefault="00A50777" w:rsidP="00A50777">
            <w:pPr>
              <w:pStyle w:val="Heading1"/>
              <w:jc w:val="center"/>
              <w:outlineLvl w:val="0"/>
              <w:rPr>
                <w:b/>
                <w:bCs w:val="0"/>
              </w:rPr>
            </w:pPr>
            <w:r w:rsidRPr="00D157A7">
              <w:rPr>
                <w:b/>
                <w:bCs w:val="0"/>
              </w:rPr>
              <w:t>142.3</w:t>
            </w:r>
          </w:p>
        </w:tc>
        <w:tc>
          <w:tcPr>
            <w:tcW w:w="1851" w:type="dxa"/>
          </w:tcPr>
          <w:p w14:paraId="44765573" w14:textId="34F18008" w:rsidR="00A50777" w:rsidRPr="00D157A7" w:rsidRDefault="00A50777" w:rsidP="00A50777">
            <w:pPr>
              <w:pStyle w:val="Heading1"/>
              <w:jc w:val="center"/>
              <w:outlineLvl w:val="0"/>
              <w:rPr>
                <w:b/>
                <w:bCs w:val="0"/>
              </w:rPr>
            </w:pPr>
            <w:r w:rsidRPr="00D157A7">
              <w:rPr>
                <w:b/>
                <w:bCs w:val="0"/>
              </w:rPr>
              <w:t>92.0</w:t>
            </w:r>
          </w:p>
        </w:tc>
        <w:tc>
          <w:tcPr>
            <w:tcW w:w="1667" w:type="dxa"/>
          </w:tcPr>
          <w:p w14:paraId="0AB90694" w14:textId="2A32C25C" w:rsidR="00A50777" w:rsidRPr="00D157A7" w:rsidRDefault="00A50777" w:rsidP="00A50777">
            <w:pPr>
              <w:pStyle w:val="Heading1"/>
              <w:jc w:val="center"/>
              <w:outlineLvl w:val="0"/>
              <w:rPr>
                <w:b/>
                <w:bCs w:val="0"/>
              </w:rPr>
            </w:pPr>
            <w:r w:rsidRPr="00D157A7">
              <w:rPr>
                <w:b/>
                <w:bCs w:val="0"/>
              </w:rPr>
              <w:t>-50.3</w:t>
            </w:r>
          </w:p>
        </w:tc>
        <w:tc>
          <w:tcPr>
            <w:tcW w:w="1887" w:type="dxa"/>
          </w:tcPr>
          <w:p w14:paraId="773E2185" w14:textId="4EEA0250" w:rsidR="00A50777" w:rsidRPr="00D157A7" w:rsidRDefault="00A50777" w:rsidP="00A50777">
            <w:pPr>
              <w:pStyle w:val="Heading1"/>
              <w:jc w:val="center"/>
              <w:outlineLvl w:val="0"/>
              <w:rPr>
                <w:b/>
                <w:bCs w:val="0"/>
              </w:rPr>
            </w:pPr>
            <w:r w:rsidRPr="00D157A7">
              <w:rPr>
                <w:b/>
                <w:bCs w:val="0"/>
              </w:rPr>
              <w:t>-35</w:t>
            </w:r>
          </w:p>
        </w:tc>
      </w:tr>
      <w:tr w:rsidR="00A50777" w14:paraId="781746C3" w14:textId="77777777" w:rsidTr="0066380D">
        <w:trPr>
          <w:trHeight w:hRule="exact" w:val="596"/>
          <w:tblHeader/>
          <w:jc w:val="center"/>
        </w:trPr>
        <w:tc>
          <w:tcPr>
            <w:tcW w:w="1986" w:type="dxa"/>
          </w:tcPr>
          <w:p w14:paraId="772E3806" w14:textId="77777777" w:rsidR="00A50777" w:rsidRPr="00C47077" w:rsidRDefault="00A50777" w:rsidP="00A50777">
            <w:pPr>
              <w:pStyle w:val="Heading1"/>
              <w:outlineLvl w:val="0"/>
              <w:rPr>
                <w:vertAlign w:val="superscript"/>
              </w:rPr>
            </w:pPr>
            <w:r w:rsidRPr="00C47077">
              <w:t>INTERNATIONAL</w:t>
            </w:r>
            <w:r>
              <w:t xml:space="preserve"> ARRIVALs</w:t>
            </w:r>
          </w:p>
        </w:tc>
        <w:tc>
          <w:tcPr>
            <w:tcW w:w="1851" w:type="dxa"/>
            <w:vAlign w:val="center"/>
          </w:tcPr>
          <w:p w14:paraId="43282907" w14:textId="13C5079E" w:rsidR="00A50777" w:rsidRPr="00C47077" w:rsidRDefault="00A50777" w:rsidP="00A50777">
            <w:pPr>
              <w:pStyle w:val="Heading1"/>
              <w:jc w:val="center"/>
              <w:outlineLvl w:val="0"/>
              <w:rPr>
                <w:szCs w:val="16"/>
              </w:rPr>
            </w:pPr>
            <w:r>
              <w:rPr>
                <w:szCs w:val="16"/>
              </w:rPr>
              <w:t>54.6</w:t>
            </w:r>
          </w:p>
        </w:tc>
        <w:tc>
          <w:tcPr>
            <w:tcW w:w="1851" w:type="dxa"/>
            <w:vAlign w:val="center"/>
          </w:tcPr>
          <w:p w14:paraId="76BACC47" w14:textId="14334757" w:rsidR="00A50777" w:rsidRPr="00C47077" w:rsidRDefault="00A50777" w:rsidP="00A50777">
            <w:pPr>
              <w:pStyle w:val="Heading1"/>
              <w:jc w:val="center"/>
              <w:outlineLvl w:val="0"/>
            </w:pPr>
            <w:r>
              <w:t>3.3</w:t>
            </w:r>
          </w:p>
        </w:tc>
        <w:tc>
          <w:tcPr>
            <w:tcW w:w="1667" w:type="dxa"/>
          </w:tcPr>
          <w:p w14:paraId="773BBEB8" w14:textId="17AFC209" w:rsidR="00A50777" w:rsidRPr="003B4F13" w:rsidRDefault="00A50777" w:rsidP="00A50777">
            <w:pPr>
              <w:pStyle w:val="Heading1"/>
              <w:jc w:val="center"/>
              <w:outlineLvl w:val="0"/>
            </w:pPr>
            <w:r>
              <w:t>-51.3</w:t>
            </w:r>
          </w:p>
        </w:tc>
        <w:tc>
          <w:tcPr>
            <w:tcW w:w="1887" w:type="dxa"/>
            <w:vAlign w:val="center"/>
          </w:tcPr>
          <w:p w14:paraId="4A108DA8" w14:textId="2F88FFB9" w:rsidR="00A50777" w:rsidRPr="00C47077" w:rsidRDefault="00A50777" w:rsidP="00A50777">
            <w:pPr>
              <w:pStyle w:val="Heading1"/>
              <w:jc w:val="center"/>
              <w:outlineLvl w:val="0"/>
            </w:pPr>
            <w:r>
              <w:t>-94</w:t>
            </w:r>
          </w:p>
        </w:tc>
      </w:tr>
      <w:tr w:rsidR="00A50777" w14:paraId="521C05C0" w14:textId="77777777" w:rsidTr="0066380D">
        <w:trPr>
          <w:trHeight w:hRule="exact" w:val="397"/>
          <w:tblHeader/>
          <w:jc w:val="center"/>
        </w:trPr>
        <w:tc>
          <w:tcPr>
            <w:tcW w:w="1986" w:type="dxa"/>
            <w:tcBorders>
              <w:bottom w:val="single" w:sz="4" w:space="0" w:color="auto"/>
            </w:tcBorders>
          </w:tcPr>
          <w:p w14:paraId="300293C9" w14:textId="77777777" w:rsidR="00A50777" w:rsidRPr="00D157A7" w:rsidRDefault="00A50777" w:rsidP="00A50777">
            <w:pPr>
              <w:pStyle w:val="Heading1"/>
              <w:outlineLvl w:val="0"/>
              <w:rPr>
                <w:b/>
                <w:bCs w:val="0"/>
              </w:rPr>
            </w:pPr>
            <w:r w:rsidRPr="00D157A7">
              <w:rPr>
                <w:b/>
                <w:bCs w:val="0"/>
              </w:rPr>
              <w:t>Total</w:t>
            </w:r>
          </w:p>
        </w:tc>
        <w:tc>
          <w:tcPr>
            <w:tcW w:w="1851" w:type="dxa"/>
            <w:tcBorders>
              <w:bottom w:val="single" w:sz="4" w:space="0" w:color="auto"/>
            </w:tcBorders>
          </w:tcPr>
          <w:p w14:paraId="6DEC640D" w14:textId="75CFAF6E" w:rsidR="00A50777" w:rsidRPr="00D157A7" w:rsidRDefault="00A50777" w:rsidP="00A50777">
            <w:pPr>
              <w:pStyle w:val="Heading1"/>
              <w:jc w:val="center"/>
              <w:outlineLvl w:val="0"/>
              <w:rPr>
                <w:b/>
                <w:bCs w:val="0"/>
              </w:rPr>
            </w:pPr>
            <w:r w:rsidRPr="00D157A7">
              <w:rPr>
                <w:b/>
                <w:bCs w:val="0"/>
              </w:rPr>
              <w:t>196.9</w:t>
            </w:r>
          </w:p>
        </w:tc>
        <w:tc>
          <w:tcPr>
            <w:tcW w:w="1851" w:type="dxa"/>
            <w:tcBorders>
              <w:bottom w:val="single" w:sz="4" w:space="0" w:color="auto"/>
            </w:tcBorders>
          </w:tcPr>
          <w:p w14:paraId="20C7455B" w14:textId="3C402600" w:rsidR="00A50777" w:rsidRPr="00D157A7" w:rsidRDefault="00A50777" w:rsidP="00A50777">
            <w:pPr>
              <w:pStyle w:val="Heading1"/>
              <w:jc w:val="center"/>
              <w:outlineLvl w:val="0"/>
              <w:rPr>
                <w:b/>
                <w:bCs w:val="0"/>
              </w:rPr>
            </w:pPr>
            <w:r w:rsidRPr="00D157A7">
              <w:rPr>
                <w:b/>
                <w:bCs w:val="0"/>
              </w:rPr>
              <w:t>95.2</w:t>
            </w:r>
          </w:p>
        </w:tc>
        <w:tc>
          <w:tcPr>
            <w:tcW w:w="1667" w:type="dxa"/>
            <w:tcBorders>
              <w:bottom w:val="single" w:sz="4" w:space="0" w:color="auto"/>
            </w:tcBorders>
          </w:tcPr>
          <w:p w14:paraId="17BC66A3" w14:textId="1ED414DC" w:rsidR="00A50777" w:rsidRPr="00D157A7" w:rsidRDefault="00A50777" w:rsidP="00A50777">
            <w:pPr>
              <w:pStyle w:val="Heading1"/>
              <w:jc w:val="center"/>
              <w:outlineLvl w:val="0"/>
              <w:rPr>
                <w:b/>
                <w:bCs w:val="0"/>
              </w:rPr>
            </w:pPr>
            <w:r w:rsidRPr="00D157A7">
              <w:rPr>
                <w:b/>
                <w:bCs w:val="0"/>
              </w:rPr>
              <w:t>-101.7</w:t>
            </w:r>
          </w:p>
        </w:tc>
        <w:tc>
          <w:tcPr>
            <w:tcW w:w="1887" w:type="dxa"/>
            <w:tcBorders>
              <w:bottom w:val="single" w:sz="4" w:space="0" w:color="auto"/>
            </w:tcBorders>
          </w:tcPr>
          <w:p w14:paraId="31BA45FF" w14:textId="1CB94C23" w:rsidR="00A50777" w:rsidRPr="00D157A7" w:rsidRDefault="00A50777" w:rsidP="00A50777">
            <w:pPr>
              <w:pStyle w:val="Heading1"/>
              <w:jc w:val="center"/>
              <w:outlineLvl w:val="0"/>
              <w:rPr>
                <w:b/>
                <w:bCs w:val="0"/>
              </w:rPr>
            </w:pPr>
            <w:r w:rsidRPr="00D157A7">
              <w:rPr>
                <w:b/>
                <w:bCs w:val="0"/>
              </w:rPr>
              <w:t>-52</w:t>
            </w:r>
          </w:p>
        </w:tc>
      </w:tr>
      <w:tr w:rsidR="0066380D" w14:paraId="0CE2DC1F" w14:textId="77777777" w:rsidTr="008B0A90">
        <w:trPr>
          <w:trHeight w:hRule="exact" w:val="545"/>
          <w:tblHeader/>
          <w:jc w:val="center"/>
        </w:trPr>
        <w:tc>
          <w:tcPr>
            <w:tcW w:w="1986" w:type="dxa"/>
            <w:tcBorders>
              <w:top w:val="single" w:sz="4" w:space="0" w:color="auto"/>
              <w:left w:val="single" w:sz="4" w:space="0" w:color="auto"/>
              <w:bottom w:val="single" w:sz="4" w:space="0" w:color="auto"/>
              <w:right w:val="nil"/>
            </w:tcBorders>
          </w:tcPr>
          <w:p w14:paraId="781C84EF" w14:textId="1859306B" w:rsidR="0066380D" w:rsidRPr="00D157A7" w:rsidRDefault="0066380D" w:rsidP="00A50777">
            <w:pPr>
              <w:pStyle w:val="Heading1"/>
              <w:jc w:val="center"/>
              <w:outlineLvl w:val="0"/>
              <w:rPr>
                <w:b/>
                <w:bCs w:val="0"/>
              </w:rPr>
            </w:pPr>
          </w:p>
        </w:tc>
        <w:tc>
          <w:tcPr>
            <w:tcW w:w="1851" w:type="dxa"/>
            <w:tcBorders>
              <w:top w:val="single" w:sz="4" w:space="0" w:color="auto"/>
              <w:left w:val="nil"/>
              <w:bottom w:val="single" w:sz="4" w:space="0" w:color="auto"/>
              <w:right w:val="nil"/>
            </w:tcBorders>
          </w:tcPr>
          <w:p w14:paraId="7924B9DC" w14:textId="77777777" w:rsidR="0066380D" w:rsidRPr="00D157A7" w:rsidRDefault="0066380D" w:rsidP="00A50777">
            <w:pPr>
              <w:pStyle w:val="Heading1"/>
              <w:jc w:val="center"/>
              <w:outlineLvl w:val="0"/>
              <w:rPr>
                <w:b/>
                <w:bCs w:val="0"/>
              </w:rPr>
            </w:pPr>
          </w:p>
        </w:tc>
        <w:tc>
          <w:tcPr>
            <w:tcW w:w="1851" w:type="dxa"/>
            <w:tcBorders>
              <w:top w:val="single" w:sz="4" w:space="0" w:color="auto"/>
              <w:left w:val="nil"/>
              <w:bottom w:val="single" w:sz="4" w:space="0" w:color="auto"/>
              <w:right w:val="nil"/>
            </w:tcBorders>
          </w:tcPr>
          <w:p w14:paraId="10FB22A3" w14:textId="3B52596B" w:rsidR="0066380D" w:rsidRPr="00D157A7" w:rsidRDefault="0066380D" w:rsidP="00A50777">
            <w:pPr>
              <w:pStyle w:val="Heading1"/>
              <w:jc w:val="center"/>
              <w:outlineLvl w:val="0"/>
              <w:rPr>
                <w:b/>
                <w:bCs w:val="0"/>
              </w:rPr>
            </w:pPr>
            <w:r>
              <w:rPr>
                <w:b/>
                <w:bCs w:val="0"/>
              </w:rPr>
              <w:t>TRIP</w:t>
            </w:r>
            <w:r w:rsidRPr="00D157A7">
              <w:rPr>
                <w:b/>
                <w:bCs w:val="0"/>
              </w:rPr>
              <w:t xml:space="preserve">s </w:t>
            </w:r>
            <w:r w:rsidR="008B0A90">
              <w:rPr>
                <w:b/>
                <w:bCs w:val="0"/>
              </w:rPr>
              <w:t xml:space="preserve">  </w:t>
            </w:r>
            <w:r w:rsidRPr="00D157A7">
              <w:rPr>
                <w:b/>
                <w:bCs w:val="0"/>
              </w:rPr>
              <w:t>(millions)</w:t>
            </w:r>
          </w:p>
        </w:tc>
        <w:tc>
          <w:tcPr>
            <w:tcW w:w="1667" w:type="dxa"/>
            <w:tcBorders>
              <w:top w:val="single" w:sz="4" w:space="0" w:color="auto"/>
              <w:left w:val="nil"/>
              <w:bottom w:val="single" w:sz="4" w:space="0" w:color="auto"/>
              <w:right w:val="nil"/>
            </w:tcBorders>
          </w:tcPr>
          <w:p w14:paraId="0D6C887B" w14:textId="77777777" w:rsidR="0066380D" w:rsidRPr="00D157A7" w:rsidRDefault="0066380D" w:rsidP="00A50777">
            <w:pPr>
              <w:pStyle w:val="Heading1"/>
              <w:jc w:val="center"/>
              <w:outlineLvl w:val="0"/>
              <w:rPr>
                <w:b/>
                <w:bCs w:val="0"/>
              </w:rPr>
            </w:pPr>
          </w:p>
        </w:tc>
        <w:tc>
          <w:tcPr>
            <w:tcW w:w="1887" w:type="dxa"/>
            <w:tcBorders>
              <w:top w:val="single" w:sz="4" w:space="0" w:color="auto"/>
              <w:left w:val="nil"/>
              <w:bottom w:val="single" w:sz="4" w:space="0" w:color="auto"/>
              <w:right w:val="single" w:sz="4" w:space="0" w:color="auto"/>
            </w:tcBorders>
          </w:tcPr>
          <w:p w14:paraId="181586D8" w14:textId="141EAE97" w:rsidR="0066380D" w:rsidRPr="00D157A7" w:rsidRDefault="0066380D" w:rsidP="00A50777">
            <w:pPr>
              <w:pStyle w:val="Heading1"/>
              <w:jc w:val="center"/>
              <w:outlineLvl w:val="0"/>
              <w:rPr>
                <w:b/>
                <w:bCs w:val="0"/>
              </w:rPr>
            </w:pPr>
          </w:p>
        </w:tc>
      </w:tr>
      <w:tr w:rsidR="00A50777" w14:paraId="046CF129" w14:textId="77777777" w:rsidTr="0066380D">
        <w:trPr>
          <w:trHeight w:hRule="exact" w:val="397"/>
          <w:tblHeader/>
          <w:jc w:val="center"/>
        </w:trPr>
        <w:tc>
          <w:tcPr>
            <w:tcW w:w="1986" w:type="dxa"/>
            <w:tcBorders>
              <w:top w:val="single" w:sz="4" w:space="0" w:color="auto"/>
            </w:tcBorders>
          </w:tcPr>
          <w:p w14:paraId="762347F5" w14:textId="77777777" w:rsidR="00A50777" w:rsidRPr="0056125D" w:rsidRDefault="00A50777" w:rsidP="00A50777">
            <w:pPr>
              <w:pStyle w:val="Heading1"/>
              <w:outlineLvl w:val="0"/>
            </w:pPr>
          </w:p>
        </w:tc>
        <w:tc>
          <w:tcPr>
            <w:tcW w:w="1851" w:type="dxa"/>
            <w:tcBorders>
              <w:top w:val="single" w:sz="4" w:space="0" w:color="auto"/>
            </w:tcBorders>
          </w:tcPr>
          <w:p w14:paraId="428C72C5" w14:textId="45A8A102" w:rsidR="00A50777" w:rsidRPr="00D157A7" w:rsidRDefault="00A50777" w:rsidP="00A50777">
            <w:pPr>
              <w:pStyle w:val="Heading1"/>
              <w:jc w:val="center"/>
              <w:outlineLvl w:val="0"/>
              <w:rPr>
                <w:b/>
                <w:bCs w:val="0"/>
              </w:rPr>
            </w:pPr>
            <w:r w:rsidRPr="00D157A7">
              <w:rPr>
                <w:b/>
                <w:bCs w:val="0"/>
              </w:rPr>
              <w:t>pre-covid</w:t>
            </w:r>
          </w:p>
        </w:tc>
        <w:tc>
          <w:tcPr>
            <w:tcW w:w="1851" w:type="dxa"/>
            <w:tcBorders>
              <w:top w:val="single" w:sz="4" w:space="0" w:color="auto"/>
            </w:tcBorders>
          </w:tcPr>
          <w:p w14:paraId="211BD7A5" w14:textId="5B0C17B0" w:rsidR="00A50777" w:rsidRPr="00D157A7" w:rsidRDefault="00A50777" w:rsidP="00A50777">
            <w:pPr>
              <w:pStyle w:val="Heading1"/>
              <w:jc w:val="center"/>
              <w:outlineLvl w:val="0"/>
              <w:rPr>
                <w:b/>
                <w:bCs w:val="0"/>
              </w:rPr>
            </w:pPr>
            <w:r w:rsidRPr="00D157A7">
              <w:rPr>
                <w:b/>
                <w:bCs w:val="0"/>
              </w:rPr>
              <w:t>covid</w:t>
            </w:r>
            <w:r>
              <w:rPr>
                <w:b/>
                <w:bCs w:val="0"/>
              </w:rPr>
              <w:t xml:space="preserve"> Period</w:t>
            </w:r>
          </w:p>
        </w:tc>
        <w:tc>
          <w:tcPr>
            <w:tcW w:w="1667" w:type="dxa"/>
            <w:tcBorders>
              <w:top w:val="single" w:sz="4" w:space="0" w:color="auto"/>
            </w:tcBorders>
          </w:tcPr>
          <w:p w14:paraId="442C93E2" w14:textId="77777777" w:rsidR="00A50777" w:rsidRPr="00D157A7" w:rsidRDefault="00A50777" w:rsidP="00A50777">
            <w:pPr>
              <w:pStyle w:val="Heading1"/>
              <w:jc w:val="center"/>
              <w:outlineLvl w:val="0"/>
              <w:rPr>
                <w:b/>
                <w:bCs w:val="0"/>
              </w:rPr>
            </w:pPr>
            <w:r w:rsidRPr="00D157A7">
              <w:rPr>
                <w:b/>
                <w:bCs w:val="0"/>
              </w:rPr>
              <w:t>LOSS</w:t>
            </w:r>
          </w:p>
        </w:tc>
        <w:tc>
          <w:tcPr>
            <w:tcW w:w="1887" w:type="dxa"/>
            <w:tcBorders>
              <w:top w:val="single" w:sz="4" w:space="0" w:color="auto"/>
            </w:tcBorders>
          </w:tcPr>
          <w:p w14:paraId="7D320EC1" w14:textId="77777777" w:rsidR="00A50777" w:rsidRPr="00D157A7" w:rsidRDefault="00A50777" w:rsidP="00A50777">
            <w:pPr>
              <w:pStyle w:val="Heading1"/>
              <w:jc w:val="center"/>
              <w:outlineLvl w:val="0"/>
              <w:rPr>
                <w:b/>
                <w:bCs w:val="0"/>
              </w:rPr>
            </w:pPr>
            <w:r w:rsidRPr="00D157A7">
              <w:rPr>
                <w:b/>
                <w:bCs w:val="0"/>
              </w:rPr>
              <w:t>% Change</w:t>
            </w:r>
          </w:p>
        </w:tc>
      </w:tr>
      <w:tr w:rsidR="00A50777" w14:paraId="51F21E7D" w14:textId="77777777" w:rsidTr="0066380D">
        <w:trPr>
          <w:trHeight w:hRule="exact" w:val="397"/>
          <w:tblHeader/>
          <w:jc w:val="center"/>
        </w:trPr>
        <w:tc>
          <w:tcPr>
            <w:tcW w:w="1986" w:type="dxa"/>
          </w:tcPr>
          <w:p w14:paraId="626C6CDC" w14:textId="77777777" w:rsidR="00A50777" w:rsidRPr="00C47077" w:rsidRDefault="00A50777" w:rsidP="00A50777">
            <w:pPr>
              <w:pStyle w:val="Heading1"/>
              <w:outlineLvl w:val="0"/>
            </w:pPr>
            <w:r w:rsidRPr="00C47077">
              <w:t>Overnight</w:t>
            </w:r>
          </w:p>
        </w:tc>
        <w:tc>
          <w:tcPr>
            <w:tcW w:w="1851" w:type="dxa"/>
            <w:vAlign w:val="center"/>
          </w:tcPr>
          <w:p w14:paraId="74993240" w14:textId="4B44F621" w:rsidR="00A50777" w:rsidRPr="00C47077" w:rsidRDefault="00A50777" w:rsidP="00A50777">
            <w:pPr>
              <w:pStyle w:val="Heading1"/>
              <w:jc w:val="center"/>
              <w:outlineLvl w:val="0"/>
            </w:pPr>
            <w:r>
              <w:t>156.6</w:t>
            </w:r>
          </w:p>
        </w:tc>
        <w:tc>
          <w:tcPr>
            <w:tcW w:w="1851" w:type="dxa"/>
            <w:vAlign w:val="center"/>
          </w:tcPr>
          <w:p w14:paraId="3429A488" w14:textId="3CBAE63E" w:rsidR="00A50777" w:rsidRPr="00C47077" w:rsidRDefault="00A50777" w:rsidP="00A50777">
            <w:pPr>
              <w:pStyle w:val="Heading1"/>
              <w:jc w:val="center"/>
              <w:outlineLvl w:val="0"/>
            </w:pPr>
            <w:r>
              <w:t>103.5</w:t>
            </w:r>
          </w:p>
        </w:tc>
        <w:tc>
          <w:tcPr>
            <w:tcW w:w="1667" w:type="dxa"/>
            <w:vAlign w:val="center"/>
          </w:tcPr>
          <w:p w14:paraId="3C99C2CF" w14:textId="195EC4D8" w:rsidR="00A50777" w:rsidRPr="003B4F13" w:rsidRDefault="00A50777" w:rsidP="00A50777">
            <w:pPr>
              <w:pStyle w:val="Heading1"/>
              <w:jc w:val="center"/>
              <w:outlineLvl w:val="0"/>
            </w:pPr>
            <w:r>
              <w:t>-53.1</w:t>
            </w:r>
          </w:p>
        </w:tc>
        <w:tc>
          <w:tcPr>
            <w:tcW w:w="1887" w:type="dxa"/>
            <w:vAlign w:val="center"/>
          </w:tcPr>
          <w:p w14:paraId="71D34B06" w14:textId="2DFE0AA1" w:rsidR="00A50777" w:rsidRPr="00C47077" w:rsidRDefault="00A50777" w:rsidP="00A50777">
            <w:pPr>
              <w:pStyle w:val="Heading1"/>
              <w:jc w:val="center"/>
              <w:outlineLvl w:val="0"/>
            </w:pPr>
            <w:r>
              <w:t>-34</w:t>
            </w:r>
          </w:p>
        </w:tc>
      </w:tr>
      <w:tr w:rsidR="00A50777" w14:paraId="7BB38382" w14:textId="77777777" w:rsidTr="0066380D">
        <w:trPr>
          <w:trHeight w:hRule="exact" w:val="397"/>
          <w:tblHeader/>
          <w:jc w:val="center"/>
        </w:trPr>
        <w:tc>
          <w:tcPr>
            <w:tcW w:w="1986" w:type="dxa"/>
          </w:tcPr>
          <w:p w14:paraId="50887E3F" w14:textId="77777777" w:rsidR="00A50777" w:rsidRPr="00C47077" w:rsidRDefault="00A50777" w:rsidP="00A50777">
            <w:pPr>
              <w:pStyle w:val="Heading1"/>
              <w:outlineLvl w:val="0"/>
            </w:pPr>
            <w:r w:rsidRPr="00C47077">
              <w:t>Day Trip</w:t>
            </w:r>
          </w:p>
        </w:tc>
        <w:tc>
          <w:tcPr>
            <w:tcW w:w="1851" w:type="dxa"/>
            <w:vAlign w:val="center"/>
          </w:tcPr>
          <w:p w14:paraId="1F6012C0" w14:textId="513F8E7C" w:rsidR="00A50777" w:rsidRPr="00C47077" w:rsidRDefault="00A50777" w:rsidP="00A50777">
            <w:pPr>
              <w:pStyle w:val="Heading1"/>
              <w:jc w:val="center"/>
              <w:outlineLvl w:val="0"/>
            </w:pPr>
            <w:r>
              <w:t>330.5</w:t>
            </w:r>
          </w:p>
        </w:tc>
        <w:tc>
          <w:tcPr>
            <w:tcW w:w="1851" w:type="dxa"/>
            <w:vAlign w:val="center"/>
          </w:tcPr>
          <w:p w14:paraId="43BC1DC0" w14:textId="52364B86" w:rsidR="00A50777" w:rsidRPr="00C47077" w:rsidRDefault="00A50777" w:rsidP="00A50777">
            <w:pPr>
              <w:pStyle w:val="Heading1"/>
              <w:jc w:val="center"/>
              <w:outlineLvl w:val="0"/>
            </w:pPr>
            <w:r>
              <w:t>215.2</w:t>
            </w:r>
          </w:p>
        </w:tc>
        <w:tc>
          <w:tcPr>
            <w:tcW w:w="1667" w:type="dxa"/>
            <w:vAlign w:val="center"/>
          </w:tcPr>
          <w:p w14:paraId="22CE2BF7" w14:textId="158AFE78" w:rsidR="00A50777" w:rsidRPr="003B4F13" w:rsidRDefault="00A50777" w:rsidP="00A50777">
            <w:pPr>
              <w:pStyle w:val="Heading1"/>
              <w:jc w:val="center"/>
              <w:outlineLvl w:val="0"/>
            </w:pPr>
            <w:r>
              <w:t>-115.3</w:t>
            </w:r>
          </w:p>
        </w:tc>
        <w:tc>
          <w:tcPr>
            <w:tcW w:w="1887" w:type="dxa"/>
            <w:vAlign w:val="center"/>
          </w:tcPr>
          <w:p w14:paraId="5A7954B5" w14:textId="55BBCC76" w:rsidR="00A50777" w:rsidRPr="00C47077" w:rsidRDefault="00A50777" w:rsidP="00A50777">
            <w:pPr>
              <w:pStyle w:val="Heading1"/>
              <w:jc w:val="center"/>
              <w:outlineLvl w:val="0"/>
            </w:pPr>
            <w:r>
              <w:t>-35</w:t>
            </w:r>
          </w:p>
        </w:tc>
      </w:tr>
      <w:tr w:rsidR="00A50777" w14:paraId="79A802B5" w14:textId="77777777" w:rsidTr="0066380D">
        <w:trPr>
          <w:trHeight w:hRule="exact" w:val="397"/>
          <w:tblHeader/>
          <w:jc w:val="center"/>
        </w:trPr>
        <w:tc>
          <w:tcPr>
            <w:tcW w:w="1986" w:type="dxa"/>
          </w:tcPr>
          <w:p w14:paraId="30C917AD" w14:textId="77777777" w:rsidR="00A50777" w:rsidRPr="00D157A7" w:rsidRDefault="00A50777" w:rsidP="00A50777">
            <w:pPr>
              <w:pStyle w:val="Heading1"/>
              <w:outlineLvl w:val="0"/>
              <w:rPr>
                <w:b/>
                <w:bCs w:val="0"/>
              </w:rPr>
            </w:pPr>
            <w:r w:rsidRPr="00D157A7">
              <w:rPr>
                <w:b/>
                <w:bCs w:val="0"/>
              </w:rPr>
              <w:t>DOMESTIC TOTAL</w:t>
            </w:r>
          </w:p>
        </w:tc>
        <w:tc>
          <w:tcPr>
            <w:tcW w:w="1851" w:type="dxa"/>
            <w:vAlign w:val="center"/>
          </w:tcPr>
          <w:p w14:paraId="2D9E0EA8" w14:textId="526E7193" w:rsidR="00A50777" w:rsidRPr="00D157A7" w:rsidRDefault="00A50777" w:rsidP="00A50777">
            <w:pPr>
              <w:pStyle w:val="Heading1"/>
              <w:jc w:val="center"/>
              <w:outlineLvl w:val="0"/>
              <w:rPr>
                <w:b/>
                <w:bCs w:val="0"/>
              </w:rPr>
            </w:pPr>
            <w:r w:rsidRPr="00D157A7">
              <w:rPr>
                <w:b/>
                <w:bCs w:val="0"/>
              </w:rPr>
              <w:t>487.0</w:t>
            </w:r>
          </w:p>
        </w:tc>
        <w:tc>
          <w:tcPr>
            <w:tcW w:w="1851" w:type="dxa"/>
            <w:vAlign w:val="center"/>
          </w:tcPr>
          <w:p w14:paraId="23A50F76" w14:textId="2C68722A" w:rsidR="00A50777" w:rsidRPr="00D157A7" w:rsidRDefault="00A50777" w:rsidP="00A50777">
            <w:pPr>
              <w:pStyle w:val="Heading1"/>
              <w:jc w:val="center"/>
              <w:outlineLvl w:val="0"/>
              <w:rPr>
                <w:b/>
                <w:bCs w:val="0"/>
              </w:rPr>
            </w:pPr>
            <w:r w:rsidRPr="00D157A7">
              <w:rPr>
                <w:b/>
                <w:bCs w:val="0"/>
              </w:rPr>
              <w:t>318.7</w:t>
            </w:r>
          </w:p>
        </w:tc>
        <w:tc>
          <w:tcPr>
            <w:tcW w:w="1667" w:type="dxa"/>
            <w:vAlign w:val="center"/>
          </w:tcPr>
          <w:p w14:paraId="0E4EDFD6" w14:textId="41E6A549" w:rsidR="00A50777" w:rsidRPr="00D157A7" w:rsidRDefault="00A50777" w:rsidP="00A50777">
            <w:pPr>
              <w:pStyle w:val="Heading1"/>
              <w:jc w:val="center"/>
              <w:outlineLvl w:val="0"/>
              <w:rPr>
                <w:b/>
                <w:bCs w:val="0"/>
              </w:rPr>
            </w:pPr>
            <w:r w:rsidRPr="00D157A7">
              <w:rPr>
                <w:b/>
                <w:bCs w:val="0"/>
              </w:rPr>
              <w:t>168.3</w:t>
            </w:r>
          </w:p>
        </w:tc>
        <w:tc>
          <w:tcPr>
            <w:tcW w:w="1887" w:type="dxa"/>
            <w:vAlign w:val="center"/>
          </w:tcPr>
          <w:p w14:paraId="7865EFA8" w14:textId="1B4E8D24" w:rsidR="00A50777" w:rsidRPr="00D157A7" w:rsidRDefault="00A50777" w:rsidP="00A50777">
            <w:pPr>
              <w:pStyle w:val="Heading1"/>
              <w:jc w:val="center"/>
              <w:outlineLvl w:val="0"/>
              <w:rPr>
                <w:b/>
                <w:bCs w:val="0"/>
              </w:rPr>
            </w:pPr>
            <w:r w:rsidRPr="00D157A7">
              <w:rPr>
                <w:b/>
                <w:bCs w:val="0"/>
              </w:rPr>
              <w:t>-35</w:t>
            </w:r>
          </w:p>
        </w:tc>
      </w:tr>
      <w:tr w:rsidR="00A50777" w14:paraId="77C613AC" w14:textId="77777777" w:rsidTr="0066380D">
        <w:trPr>
          <w:trHeight w:hRule="exact" w:val="691"/>
          <w:tblHeader/>
          <w:jc w:val="center"/>
        </w:trPr>
        <w:tc>
          <w:tcPr>
            <w:tcW w:w="1986" w:type="dxa"/>
          </w:tcPr>
          <w:p w14:paraId="3D7CC248" w14:textId="77777777" w:rsidR="00A50777" w:rsidRPr="00732A9C" w:rsidRDefault="00A50777" w:rsidP="00A50777">
            <w:pPr>
              <w:pStyle w:val="Heading1"/>
              <w:outlineLvl w:val="0"/>
            </w:pPr>
            <w:r w:rsidRPr="00C47077">
              <w:t>INTERNATIONAL</w:t>
            </w:r>
          </w:p>
          <w:p w14:paraId="7636069D" w14:textId="77777777" w:rsidR="00A50777" w:rsidRPr="00E5729D" w:rsidRDefault="00A50777" w:rsidP="00A50777">
            <w:pPr>
              <w:pStyle w:val="Heading1"/>
              <w:outlineLvl w:val="0"/>
            </w:pPr>
            <w:r w:rsidRPr="00732A9C">
              <w:t xml:space="preserve"> </w:t>
            </w:r>
            <w:r w:rsidRPr="00E5729D">
              <w:t>ARRIVAL</w:t>
            </w:r>
            <w:r>
              <w:t>s</w:t>
            </w:r>
          </w:p>
        </w:tc>
        <w:tc>
          <w:tcPr>
            <w:tcW w:w="1851" w:type="dxa"/>
            <w:vAlign w:val="center"/>
          </w:tcPr>
          <w:p w14:paraId="11A8B9A9" w14:textId="2808B403" w:rsidR="00A50777" w:rsidRPr="00C47077" w:rsidRDefault="00A50777" w:rsidP="00A50777">
            <w:pPr>
              <w:pStyle w:val="Heading1"/>
              <w:jc w:val="center"/>
              <w:outlineLvl w:val="0"/>
            </w:pPr>
            <w:r>
              <w:t>11.2</w:t>
            </w:r>
          </w:p>
        </w:tc>
        <w:tc>
          <w:tcPr>
            <w:tcW w:w="1851" w:type="dxa"/>
            <w:vAlign w:val="center"/>
          </w:tcPr>
          <w:p w14:paraId="10E74F5B" w14:textId="191E65D2" w:rsidR="00A50777" w:rsidRPr="00C47077" w:rsidRDefault="00A50777" w:rsidP="00A50777">
            <w:pPr>
              <w:pStyle w:val="Heading1"/>
              <w:jc w:val="center"/>
              <w:outlineLvl w:val="0"/>
            </w:pPr>
            <w:r>
              <w:t>0.5</w:t>
            </w:r>
          </w:p>
        </w:tc>
        <w:tc>
          <w:tcPr>
            <w:tcW w:w="1667" w:type="dxa"/>
            <w:vAlign w:val="center"/>
          </w:tcPr>
          <w:p w14:paraId="14DC0A10" w14:textId="4E096B32" w:rsidR="00A50777" w:rsidRPr="003B4F13" w:rsidRDefault="00A50777" w:rsidP="00A50777">
            <w:pPr>
              <w:pStyle w:val="Heading1"/>
              <w:jc w:val="center"/>
              <w:outlineLvl w:val="0"/>
            </w:pPr>
            <w:r>
              <w:t>-10.7</w:t>
            </w:r>
          </w:p>
        </w:tc>
        <w:tc>
          <w:tcPr>
            <w:tcW w:w="1887" w:type="dxa"/>
            <w:vAlign w:val="center"/>
          </w:tcPr>
          <w:p w14:paraId="587ABD89" w14:textId="69F40C41" w:rsidR="00A50777" w:rsidRPr="00C47077" w:rsidRDefault="00A50777" w:rsidP="00A50777">
            <w:pPr>
              <w:pStyle w:val="Heading1"/>
              <w:jc w:val="center"/>
              <w:outlineLvl w:val="0"/>
            </w:pPr>
            <w:r>
              <w:t>-96</w:t>
            </w:r>
          </w:p>
        </w:tc>
      </w:tr>
      <w:tr w:rsidR="00A50777" w14:paraId="4D44928A" w14:textId="77777777" w:rsidTr="0066380D">
        <w:trPr>
          <w:trHeight w:hRule="exact" w:val="397"/>
          <w:tblHeader/>
          <w:jc w:val="center"/>
        </w:trPr>
        <w:tc>
          <w:tcPr>
            <w:tcW w:w="1986" w:type="dxa"/>
          </w:tcPr>
          <w:p w14:paraId="04EDA4B3" w14:textId="77777777" w:rsidR="00A50777" w:rsidRPr="0031441A" w:rsidRDefault="00A50777" w:rsidP="00A50777">
            <w:pPr>
              <w:pStyle w:val="Heading1"/>
              <w:outlineLvl w:val="0"/>
              <w:rPr>
                <w:b/>
                <w:bCs w:val="0"/>
              </w:rPr>
            </w:pPr>
            <w:r w:rsidRPr="0031441A">
              <w:rPr>
                <w:b/>
                <w:bCs w:val="0"/>
              </w:rPr>
              <w:t>Total</w:t>
            </w:r>
          </w:p>
        </w:tc>
        <w:tc>
          <w:tcPr>
            <w:tcW w:w="1851" w:type="dxa"/>
            <w:vAlign w:val="center"/>
          </w:tcPr>
          <w:p w14:paraId="2BD41A34" w14:textId="73BC16DF" w:rsidR="00A50777" w:rsidRPr="0031441A" w:rsidRDefault="00A50777" w:rsidP="00A50777">
            <w:pPr>
              <w:pStyle w:val="Heading1"/>
              <w:jc w:val="center"/>
              <w:outlineLvl w:val="0"/>
              <w:rPr>
                <w:b/>
                <w:bCs w:val="0"/>
              </w:rPr>
            </w:pPr>
            <w:r w:rsidRPr="0031441A">
              <w:rPr>
                <w:b/>
                <w:bCs w:val="0"/>
              </w:rPr>
              <w:t>498.2</w:t>
            </w:r>
          </w:p>
        </w:tc>
        <w:tc>
          <w:tcPr>
            <w:tcW w:w="1851" w:type="dxa"/>
            <w:vAlign w:val="center"/>
          </w:tcPr>
          <w:p w14:paraId="02FE190E" w14:textId="03F50B43" w:rsidR="00A50777" w:rsidRPr="0031441A" w:rsidRDefault="00A50777" w:rsidP="00A50777">
            <w:pPr>
              <w:pStyle w:val="Heading1"/>
              <w:jc w:val="center"/>
              <w:outlineLvl w:val="0"/>
              <w:rPr>
                <w:b/>
                <w:bCs w:val="0"/>
              </w:rPr>
            </w:pPr>
            <w:r w:rsidRPr="0031441A">
              <w:rPr>
                <w:b/>
                <w:bCs w:val="0"/>
              </w:rPr>
              <w:t>319.2</w:t>
            </w:r>
          </w:p>
        </w:tc>
        <w:tc>
          <w:tcPr>
            <w:tcW w:w="1667" w:type="dxa"/>
            <w:vAlign w:val="center"/>
          </w:tcPr>
          <w:p w14:paraId="6913F198" w14:textId="46622779" w:rsidR="00A50777" w:rsidRPr="0031441A" w:rsidRDefault="00A50777" w:rsidP="00A50777">
            <w:pPr>
              <w:pStyle w:val="Heading1"/>
              <w:jc w:val="center"/>
              <w:outlineLvl w:val="0"/>
              <w:rPr>
                <w:b/>
                <w:bCs w:val="0"/>
              </w:rPr>
            </w:pPr>
            <w:r w:rsidRPr="0031441A">
              <w:rPr>
                <w:b/>
                <w:bCs w:val="0"/>
              </w:rPr>
              <w:t>-179.0</w:t>
            </w:r>
          </w:p>
        </w:tc>
        <w:tc>
          <w:tcPr>
            <w:tcW w:w="1887" w:type="dxa"/>
            <w:vAlign w:val="center"/>
          </w:tcPr>
          <w:p w14:paraId="3D284750" w14:textId="7781AF45" w:rsidR="00A50777" w:rsidRPr="0031441A" w:rsidRDefault="00A50777" w:rsidP="00A50777">
            <w:pPr>
              <w:pStyle w:val="Heading1"/>
              <w:jc w:val="center"/>
              <w:outlineLvl w:val="0"/>
              <w:rPr>
                <w:b/>
                <w:bCs w:val="0"/>
              </w:rPr>
            </w:pPr>
            <w:r w:rsidRPr="0031441A">
              <w:rPr>
                <w:b/>
                <w:bCs w:val="0"/>
              </w:rPr>
              <w:t>-36</w:t>
            </w:r>
          </w:p>
        </w:tc>
      </w:tr>
    </w:tbl>
    <w:p w14:paraId="7F09F2A2" w14:textId="2070DC38" w:rsidR="00490C07" w:rsidRDefault="004D7339" w:rsidP="00450541">
      <w:pPr>
        <w:spacing w:after="120"/>
        <w:rPr>
          <w:vertAlign w:val="superscript"/>
        </w:rPr>
      </w:pPr>
      <w:r>
        <w:rPr>
          <w:vertAlign w:val="superscript"/>
        </w:rPr>
        <w:t xml:space="preserve">1 </w:t>
      </w:r>
      <w:r w:rsidRPr="00010D5E">
        <w:rPr>
          <w:vertAlign w:val="superscript"/>
        </w:rPr>
        <w:t>The pre-COVID period uses equivalent data from before the start of the pandemic</w:t>
      </w:r>
      <w:r>
        <w:rPr>
          <w:vertAlign w:val="superscript"/>
        </w:rPr>
        <w:t xml:space="preserve">.  </w:t>
      </w:r>
      <w:r w:rsidR="002F3853">
        <w:rPr>
          <w:vertAlign w:val="superscript"/>
        </w:rPr>
        <w:br/>
      </w:r>
      <w:r>
        <w:rPr>
          <w:vertAlign w:val="superscript"/>
        </w:rPr>
        <w:t>2</w:t>
      </w:r>
      <w:r w:rsidR="00010D5E">
        <w:rPr>
          <w:vertAlign w:val="superscript"/>
        </w:rPr>
        <w:t xml:space="preserve"> </w:t>
      </w:r>
      <w:r w:rsidR="00010D5E" w:rsidRPr="00010D5E">
        <w:rPr>
          <w:vertAlign w:val="superscript"/>
        </w:rPr>
        <w:t xml:space="preserve">The COVID period </w:t>
      </w:r>
      <w:r>
        <w:rPr>
          <w:vertAlign w:val="superscript"/>
        </w:rPr>
        <w:t>covers</w:t>
      </w:r>
      <w:r w:rsidR="00010D5E" w:rsidRPr="00010D5E">
        <w:rPr>
          <w:vertAlign w:val="superscript"/>
        </w:rPr>
        <w:t xml:space="preserve"> March 2020 to June 2021. </w:t>
      </w:r>
    </w:p>
    <w:p w14:paraId="5DEEEDD8" w14:textId="54EF2D0D" w:rsidR="00450541" w:rsidRPr="00F3729F" w:rsidRDefault="006165D2" w:rsidP="00C25983">
      <w:pPr>
        <w:pStyle w:val="Heading1"/>
        <w:rPr>
          <w:b/>
          <w:bCs w:val="0"/>
        </w:rPr>
      </w:pPr>
      <w:r>
        <w:lastRenderedPageBreak/>
        <w:br/>
      </w:r>
      <w:r w:rsidR="00450541" w:rsidRPr="00F3729F">
        <w:rPr>
          <w:b/>
          <w:bCs w:val="0"/>
        </w:rPr>
        <w:t>YEAR ENDING June 2021</w:t>
      </w:r>
    </w:p>
    <w:p w14:paraId="20AB3800" w14:textId="32E0035F" w:rsidR="003D615D" w:rsidRDefault="003D615D" w:rsidP="00B2640A">
      <w:pPr>
        <w:pStyle w:val="Heading1"/>
        <w:spacing w:line="276" w:lineRule="auto"/>
        <w:rPr>
          <w:rFonts w:ascii="Arial" w:eastAsiaTheme="minorHAnsi" w:hAnsi="Arial" w:cs="Arial"/>
          <w:bCs w:val="0"/>
          <w:caps w:val="0"/>
          <w:color w:val="auto"/>
          <w:sz w:val="20"/>
          <w:szCs w:val="20"/>
        </w:rPr>
      </w:pPr>
      <w:r>
        <w:rPr>
          <w:rFonts w:ascii="Arial" w:eastAsiaTheme="minorHAnsi" w:hAnsi="Arial" w:cs="Arial"/>
          <w:bCs w:val="0"/>
          <w:caps w:val="0"/>
          <w:color w:val="auto"/>
          <w:sz w:val="20"/>
          <w:szCs w:val="20"/>
        </w:rPr>
        <w:t>The year ending June 2021</w:t>
      </w:r>
      <w:r w:rsidR="004837C9">
        <w:rPr>
          <w:rFonts w:ascii="Arial" w:eastAsiaTheme="minorHAnsi" w:hAnsi="Arial" w:cs="Arial"/>
          <w:bCs w:val="0"/>
          <w:caps w:val="0"/>
          <w:color w:val="auto"/>
          <w:sz w:val="20"/>
          <w:szCs w:val="20"/>
        </w:rPr>
        <w:t xml:space="preserve"> saw 87.4 million overnight trips, with visitors staying 333.7 million nights and spending $61.3 billion. Compared to a pre-COVID year ending June 2019 this was a 23% fall in overnight trips and a 21% </w:t>
      </w:r>
      <w:r w:rsidR="00686AB0">
        <w:rPr>
          <w:rFonts w:ascii="Arial" w:eastAsiaTheme="minorHAnsi" w:hAnsi="Arial" w:cs="Arial"/>
          <w:bCs w:val="0"/>
          <w:caps w:val="0"/>
          <w:color w:val="auto"/>
          <w:sz w:val="20"/>
          <w:szCs w:val="20"/>
        </w:rPr>
        <w:t xml:space="preserve">or $16.1 billion </w:t>
      </w:r>
      <w:r w:rsidR="004837C9">
        <w:rPr>
          <w:rFonts w:ascii="Arial" w:eastAsiaTheme="minorHAnsi" w:hAnsi="Arial" w:cs="Arial"/>
          <w:bCs w:val="0"/>
          <w:caps w:val="0"/>
          <w:color w:val="auto"/>
          <w:sz w:val="20"/>
          <w:szCs w:val="20"/>
        </w:rPr>
        <w:t xml:space="preserve">fall in spend. Results </w:t>
      </w:r>
      <w:r w:rsidR="009D696A">
        <w:rPr>
          <w:rFonts w:ascii="Arial" w:eastAsiaTheme="minorHAnsi" w:hAnsi="Arial" w:cs="Arial"/>
          <w:bCs w:val="0"/>
          <w:caps w:val="0"/>
          <w:color w:val="auto"/>
          <w:sz w:val="20"/>
          <w:szCs w:val="20"/>
        </w:rPr>
        <w:t xml:space="preserve">in comparison to </w:t>
      </w:r>
      <w:r w:rsidR="004837C9">
        <w:rPr>
          <w:rFonts w:ascii="Arial" w:eastAsiaTheme="minorHAnsi" w:hAnsi="Arial" w:cs="Arial"/>
          <w:bCs w:val="0"/>
          <w:caps w:val="0"/>
          <w:color w:val="auto"/>
          <w:sz w:val="20"/>
          <w:szCs w:val="20"/>
        </w:rPr>
        <w:t xml:space="preserve">a year partially impacted </w:t>
      </w:r>
      <w:r w:rsidR="009D696A">
        <w:rPr>
          <w:rFonts w:ascii="Arial" w:eastAsiaTheme="minorHAnsi" w:hAnsi="Arial" w:cs="Arial"/>
          <w:bCs w:val="0"/>
          <w:caps w:val="0"/>
          <w:color w:val="auto"/>
          <w:sz w:val="20"/>
          <w:szCs w:val="20"/>
        </w:rPr>
        <w:t xml:space="preserve">by COVID (year ending June 2020) fared slightly better with overnight trips down </w:t>
      </w:r>
      <w:r w:rsidR="00B2640A">
        <w:rPr>
          <w:rFonts w:ascii="Arial" w:eastAsiaTheme="minorHAnsi" w:hAnsi="Arial" w:cs="Arial"/>
          <w:bCs w:val="0"/>
          <w:caps w:val="0"/>
          <w:color w:val="auto"/>
          <w:sz w:val="20"/>
          <w:szCs w:val="20"/>
        </w:rPr>
        <w:t xml:space="preserve">a lesser </w:t>
      </w:r>
      <w:r w:rsidR="009D696A">
        <w:rPr>
          <w:rFonts w:ascii="Arial" w:eastAsiaTheme="minorHAnsi" w:hAnsi="Arial" w:cs="Arial"/>
          <w:bCs w:val="0"/>
          <w:caps w:val="0"/>
          <w:color w:val="auto"/>
          <w:sz w:val="20"/>
          <w:szCs w:val="20"/>
        </w:rPr>
        <w:t xml:space="preserve">5% and </w:t>
      </w:r>
      <w:r w:rsidR="002D7C24">
        <w:rPr>
          <w:rFonts w:ascii="Arial" w:eastAsiaTheme="minorHAnsi" w:hAnsi="Arial" w:cs="Arial"/>
          <w:bCs w:val="0"/>
          <w:caps w:val="0"/>
          <w:color w:val="auto"/>
          <w:sz w:val="20"/>
          <w:szCs w:val="20"/>
        </w:rPr>
        <w:t xml:space="preserve">spend </w:t>
      </w:r>
      <w:r w:rsidR="002F3853">
        <w:rPr>
          <w:rFonts w:ascii="Arial" w:eastAsiaTheme="minorHAnsi" w:hAnsi="Arial" w:cs="Arial"/>
          <w:bCs w:val="0"/>
          <w:caps w:val="0"/>
          <w:color w:val="auto"/>
          <w:sz w:val="20"/>
          <w:szCs w:val="20"/>
        </w:rPr>
        <w:t>down 3% or</w:t>
      </w:r>
      <w:r w:rsidR="00686AB0">
        <w:rPr>
          <w:rFonts w:ascii="Arial" w:eastAsiaTheme="minorHAnsi" w:hAnsi="Arial" w:cs="Arial"/>
          <w:bCs w:val="0"/>
          <w:caps w:val="0"/>
          <w:color w:val="auto"/>
          <w:sz w:val="20"/>
          <w:szCs w:val="20"/>
        </w:rPr>
        <w:t xml:space="preserve"> $1.7 billion</w:t>
      </w:r>
      <w:r w:rsidR="009D696A">
        <w:rPr>
          <w:rFonts w:ascii="Arial" w:eastAsiaTheme="minorHAnsi" w:hAnsi="Arial" w:cs="Arial"/>
          <w:bCs w:val="0"/>
          <w:caps w:val="0"/>
          <w:color w:val="auto"/>
          <w:sz w:val="20"/>
          <w:szCs w:val="20"/>
        </w:rPr>
        <w:t xml:space="preserve">. </w:t>
      </w:r>
    </w:p>
    <w:p w14:paraId="292BEC73" w14:textId="77777777" w:rsidR="003D615D" w:rsidRDefault="003D615D" w:rsidP="004A34D5">
      <w:pPr>
        <w:pStyle w:val="Heading1"/>
        <w:rPr>
          <w:rFonts w:ascii="Arial" w:eastAsiaTheme="minorHAnsi" w:hAnsi="Arial" w:cs="Arial"/>
          <w:bCs w:val="0"/>
          <w:caps w:val="0"/>
          <w:color w:val="auto"/>
          <w:sz w:val="20"/>
          <w:szCs w:val="20"/>
        </w:rPr>
      </w:pPr>
    </w:p>
    <w:p w14:paraId="056615A2" w14:textId="639012BE" w:rsidR="00C9305E" w:rsidRPr="00F3729F" w:rsidRDefault="00400A00" w:rsidP="004A34D5">
      <w:pPr>
        <w:pStyle w:val="Heading1"/>
        <w:rPr>
          <w:b/>
          <w:bCs w:val="0"/>
        </w:rPr>
      </w:pPr>
      <w:r w:rsidRPr="00F3729F">
        <w:rPr>
          <w:b/>
          <w:bCs w:val="0"/>
        </w:rPr>
        <w:t xml:space="preserve">JUNE </w:t>
      </w:r>
      <w:r w:rsidR="00B76830" w:rsidRPr="00F3729F">
        <w:rPr>
          <w:b/>
          <w:bCs w:val="0"/>
        </w:rPr>
        <w:t>QUARTER 2021</w:t>
      </w:r>
    </w:p>
    <w:p w14:paraId="224529E0" w14:textId="195B8A37" w:rsidR="003F3C1F" w:rsidRDefault="00691548" w:rsidP="00DD3835">
      <w:pPr>
        <w:spacing w:after="120"/>
        <w:rPr>
          <w:rFonts w:ascii="Arial" w:hAnsi="Arial" w:cs="Arial"/>
        </w:rPr>
      </w:pPr>
      <w:r>
        <w:t>T</w:t>
      </w:r>
      <w:r w:rsidR="008632BF">
        <w:rPr>
          <w:rFonts w:ascii="Arial" w:hAnsi="Arial" w:cs="Arial"/>
        </w:rPr>
        <w:t>he</w:t>
      </w:r>
      <w:r w:rsidR="00DD3835">
        <w:rPr>
          <w:rFonts w:ascii="Arial" w:hAnsi="Arial" w:cs="Arial"/>
        </w:rPr>
        <w:t xml:space="preserve"> signs of improvement seen in </w:t>
      </w:r>
      <w:r w:rsidR="00166D88">
        <w:rPr>
          <w:rFonts w:ascii="Arial" w:hAnsi="Arial" w:cs="Arial"/>
        </w:rPr>
        <w:t xml:space="preserve">the </w:t>
      </w:r>
      <w:r w:rsidR="00400A00">
        <w:rPr>
          <w:rFonts w:ascii="Arial" w:hAnsi="Arial" w:cs="Arial"/>
        </w:rPr>
        <w:t>March</w:t>
      </w:r>
      <w:r w:rsidR="00166D88">
        <w:rPr>
          <w:rFonts w:ascii="Arial" w:hAnsi="Arial" w:cs="Arial"/>
        </w:rPr>
        <w:t xml:space="preserve"> </w:t>
      </w:r>
      <w:r w:rsidR="002C294A">
        <w:rPr>
          <w:rFonts w:ascii="Arial" w:hAnsi="Arial" w:cs="Arial"/>
        </w:rPr>
        <w:t xml:space="preserve">quarter </w:t>
      </w:r>
      <w:r w:rsidR="008632BF">
        <w:rPr>
          <w:rFonts w:ascii="Arial" w:hAnsi="Arial" w:cs="Arial"/>
        </w:rPr>
        <w:t xml:space="preserve">continued into </w:t>
      </w:r>
      <w:r w:rsidR="00166D88">
        <w:rPr>
          <w:rFonts w:ascii="Arial" w:hAnsi="Arial" w:cs="Arial"/>
        </w:rPr>
        <w:t xml:space="preserve">the </w:t>
      </w:r>
      <w:r w:rsidR="00400A00">
        <w:rPr>
          <w:rFonts w:ascii="Arial" w:hAnsi="Arial" w:cs="Arial"/>
        </w:rPr>
        <w:t>June</w:t>
      </w:r>
      <w:r w:rsidR="00C47077">
        <w:rPr>
          <w:rFonts w:ascii="Arial" w:hAnsi="Arial" w:cs="Arial"/>
        </w:rPr>
        <w:t xml:space="preserve"> </w:t>
      </w:r>
      <w:r w:rsidR="002C294A">
        <w:rPr>
          <w:rFonts w:ascii="Arial" w:hAnsi="Arial" w:cs="Arial"/>
        </w:rPr>
        <w:t>quarter</w:t>
      </w:r>
      <w:r w:rsidR="00B03F2C">
        <w:rPr>
          <w:rFonts w:ascii="Arial" w:hAnsi="Arial" w:cs="Arial"/>
        </w:rPr>
        <w:t>.</w:t>
      </w:r>
      <w:r w:rsidR="008632BF">
        <w:rPr>
          <w:rFonts w:ascii="Arial" w:hAnsi="Arial" w:cs="Arial"/>
        </w:rPr>
        <w:t xml:space="preserve"> </w:t>
      </w:r>
      <w:r w:rsidR="00DD3835">
        <w:rPr>
          <w:rFonts w:ascii="Arial" w:hAnsi="Arial" w:cs="Arial"/>
        </w:rPr>
        <w:t xml:space="preserve">Australians </w:t>
      </w:r>
      <w:r w:rsidR="00166D88">
        <w:rPr>
          <w:rFonts w:ascii="Arial" w:hAnsi="Arial" w:cs="Arial"/>
        </w:rPr>
        <w:t xml:space="preserve">took 24.6 million overnight trips; equivalent to the March quarter and spent $19.6 billion, more than at any time since the start of the pandemic. </w:t>
      </w:r>
      <w:r w:rsidR="00B76B69">
        <w:rPr>
          <w:rFonts w:ascii="Arial" w:hAnsi="Arial" w:cs="Arial"/>
        </w:rPr>
        <w:t>While r</w:t>
      </w:r>
      <w:r w:rsidR="00010D5E">
        <w:rPr>
          <w:rFonts w:ascii="Arial" w:hAnsi="Arial" w:cs="Arial"/>
        </w:rPr>
        <w:t>esults appear very promising</w:t>
      </w:r>
      <w:r w:rsidR="004F03C5">
        <w:rPr>
          <w:rFonts w:ascii="Arial" w:hAnsi="Arial" w:cs="Arial"/>
        </w:rPr>
        <w:t xml:space="preserve"> compared to the same period last year</w:t>
      </w:r>
      <w:r w:rsidR="00010D5E">
        <w:rPr>
          <w:rFonts w:ascii="Arial" w:hAnsi="Arial" w:cs="Arial"/>
        </w:rPr>
        <w:t xml:space="preserve">, this period </w:t>
      </w:r>
      <w:r w:rsidR="00166D88">
        <w:rPr>
          <w:rFonts w:ascii="Arial" w:hAnsi="Arial" w:cs="Arial"/>
        </w:rPr>
        <w:t>was at the</w:t>
      </w:r>
      <w:r w:rsidR="00374292">
        <w:rPr>
          <w:rFonts w:ascii="Arial" w:hAnsi="Arial" w:cs="Arial"/>
        </w:rPr>
        <w:t xml:space="preserve"> </w:t>
      </w:r>
      <w:r w:rsidR="00B76B69">
        <w:rPr>
          <w:rFonts w:ascii="Arial" w:hAnsi="Arial" w:cs="Arial"/>
        </w:rPr>
        <w:t>start</w:t>
      </w:r>
      <w:r w:rsidR="00166D88">
        <w:rPr>
          <w:rFonts w:ascii="Arial" w:hAnsi="Arial" w:cs="Arial"/>
        </w:rPr>
        <w:t xml:space="preserve"> of the pandemic, </w:t>
      </w:r>
      <w:r w:rsidR="00010D5E">
        <w:rPr>
          <w:rFonts w:ascii="Arial" w:hAnsi="Arial" w:cs="Arial"/>
        </w:rPr>
        <w:t xml:space="preserve">when </w:t>
      </w:r>
      <w:r w:rsidR="00166D88">
        <w:rPr>
          <w:rFonts w:ascii="Arial" w:hAnsi="Arial" w:cs="Arial"/>
        </w:rPr>
        <w:t xml:space="preserve">overnight trips </w:t>
      </w:r>
      <w:r w:rsidR="00010D5E">
        <w:rPr>
          <w:rFonts w:ascii="Arial" w:hAnsi="Arial" w:cs="Arial"/>
        </w:rPr>
        <w:t>and spend were heavily impacted by border closure</w:t>
      </w:r>
      <w:r w:rsidR="002D7C24">
        <w:rPr>
          <w:rFonts w:ascii="Arial" w:hAnsi="Arial" w:cs="Arial"/>
        </w:rPr>
        <w:t>s</w:t>
      </w:r>
      <w:r w:rsidR="00010D5E">
        <w:rPr>
          <w:rFonts w:ascii="Arial" w:hAnsi="Arial" w:cs="Arial"/>
        </w:rPr>
        <w:t xml:space="preserve"> and lockdowns across the country. </w:t>
      </w:r>
      <w:r w:rsidR="00166D88">
        <w:rPr>
          <w:rFonts w:ascii="Arial" w:hAnsi="Arial" w:cs="Arial"/>
        </w:rPr>
        <w:t xml:space="preserve">Compared to pre-COVID June quarter 2019, overnight trips were down 19% and spend was on par. </w:t>
      </w:r>
    </w:p>
    <w:p w14:paraId="6107A4FC" w14:textId="1FA9A89D" w:rsidR="00BD5DCB" w:rsidRDefault="00BD5DCB" w:rsidP="00BD5DCB">
      <w:pPr>
        <w:spacing w:after="120"/>
        <w:rPr>
          <w:rFonts w:ascii="Arial" w:hAnsi="Arial" w:cs="Arial"/>
          <w:b/>
          <w:bCs/>
        </w:rPr>
      </w:pPr>
    </w:p>
    <w:p w14:paraId="4AB6589D" w14:textId="77777777" w:rsidR="00D20A45" w:rsidRDefault="00D20A45" w:rsidP="00BD5DCB">
      <w:pPr>
        <w:spacing w:after="120"/>
        <w:rPr>
          <w:rFonts w:ascii="Arial" w:hAnsi="Arial" w:cs="Arial"/>
          <w:b/>
          <w:bCs/>
        </w:rPr>
      </w:pPr>
    </w:p>
    <w:tbl>
      <w:tblPr>
        <w:tblStyle w:val="TableGrid"/>
        <w:tblW w:w="0" w:type="auto"/>
        <w:tblLook w:val="04A0" w:firstRow="1" w:lastRow="0" w:firstColumn="1" w:lastColumn="0" w:noHBand="0" w:noVBand="1"/>
      </w:tblPr>
      <w:tblGrid>
        <w:gridCol w:w="8980"/>
      </w:tblGrid>
      <w:tr w:rsidR="00530EBF" w:rsidRPr="00530EBF" w14:paraId="3A1F8BDD" w14:textId="77777777" w:rsidTr="00D20A45">
        <w:tc>
          <w:tcPr>
            <w:tcW w:w="9016" w:type="dxa"/>
            <w:tcBorders>
              <w:top w:val="single" w:sz="12" w:space="0" w:color="auto"/>
              <w:left w:val="single" w:sz="18" w:space="0" w:color="auto"/>
              <w:bottom w:val="single" w:sz="18" w:space="0" w:color="auto"/>
              <w:right w:val="single" w:sz="18" w:space="0" w:color="auto"/>
            </w:tcBorders>
          </w:tcPr>
          <w:p w14:paraId="591FF5A4" w14:textId="28C217CA" w:rsidR="00530EBF" w:rsidRPr="00D20A45" w:rsidRDefault="00530EBF" w:rsidP="003F7AC0">
            <w:pPr>
              <w:spacing w:before="240" w:after="240"/>
              <w:ind w:left="397" w:right="397"/>
              <w:rPr>
                <w:rFonts w:ascii="Arial" w:hAnsi="Arial" w:cs="Arial"/>
                <w:b/>
                <w:bCs/>
                <w:color w:val="008BB6" w:themeColor="text2"/>
                <w:sz w:val="24"/>
                <w:szCs w:val="24"/>
              </w:rPr>
            </w:pPr>
            <w:r w:rsidRPr="00D20A45">
              <w:rPr>
                <w:rFonts w:ascii="Arial" w:hAnsi="Arial" w:cs="Arial"/>
                <w:b/>
                <w:bCs/>
                <w:color w:val="008BB6" w:themeColor="text2"/>
                <w:sz w:val="24"/>
                <w:szCs w:val="24"/>
              </w:rPr>
              <w:t xml:space="preserve">Note: </w:t>
            </w:r>
            <w:r w:rsidRPr="00D20A45">
              <w:rPr>
                <w:b/>
                <w:bCs/>
                <w:color w:val="008BB6" w:themeColor="text2"/>
                <w:sz w:val="24"/>
                <w:szCs w:val="24"/>
              </w:rPr>
              <w:t>As the results for the year ending June and June quarter 2020 were a large deviation from pre-pandemic levels, the summary results for the year ending June and June quarter 2021 are compared to the year ending June and June quarter 2019 pre-COVD periods</w:t>
            </w:r>
            <w:r w:rsidR="00D20A45" w:rsidRPr="00D20A45">
              <w:rPr>
                <w:b/>
                <w:bCs/>
                <w:color w:val="008BB6" w:themeColor="text2"/>
                <w:sz w:val="24"/>
                <w:szCs w:val="24"/>
              </w:rPr>
              <w:t>.</w:t>
            </w:r>
          </w:p>
        </w:tc>
      </w:tr>
    </w:tbl>
    <w:p w14:paraId="7AEB8EE3" w14:textId="77777777" w:rsidR="00530EBF" w:rsidRDefault="00530EBF" w:rsidP="00530EBF">
      <w:pPr>
        <w:spacing w:after="120"/>
        <w:rPr>
          <w:rFonts w:ascii="Arial" w:hAnsi="Arial" w:cs="Arial"/>
          <w:b/>
          <w:bCs/>
          <w:color w:val="008BB6" w:themeColor="text2"/>
        </w:rPr>
      </w:pPr>
    </w:p>
    <w:p w14:paraId="11DB4597" w14:textId="240971B2" w:rsidR="00BD5DCB" w:rsidRDefault="00182217">
      <w:pPr>
        <w:rPr>
          <w:b/>
        </w:rPr>
      </w:pPr>
      <w:r>
        <w:rPr>
          <w:b/>
        </w:rPr>
        <w:br w:type="page"/>
      </w:r>
    </w:p>
    <w:p w14:paraId="0DE241D7" w14:textId="77777777" w:rsidR="000B42DB" w:rsidRDefault="000B42DB" w:rsidP="00744E50">
      <w:pPr>
        <w:pStyle w:val="Heading3"/>
      </w:pPr>
      <w:r>
        <w:lastRenderedPageBreak/>
        <w:t>INTERSTATE and INTRASTATE TRAVEL</w:t>
      </w:r>
    </w:p>
    <w:p w14:paraId="1D2225EE" w14:textId="2C703599" w:rsidR="00E13D66" w:rsidRDefault="001E643A" w:rsidP="00F3729F">
      <w:pPr>
        <w:pStyle w:val="Heading4"/>
      </w:pPr>
      <w:r>
        <w:t>COVID</w:t>
      </w:r>
      <w:r w:rsidR="00B06BEF">
        <w:t>-</w:t>
      </w:r>
      <w:r>
        <w:t>19 Period</w:t>
      </w:r>
      <w:r w:rsidR="00AE1BF5">
        <w:t xml:space="preserve"> (March 2020 to June 2021)</w:t>
      </w:r>
    </w:p>
    <w:p w14:paraId="672028C1" w14:textId="67AEA868" w:rsidR="00E13D66" w:rsidRPr="00E13D66" w:rsidRDefault="00444EDC" w:rsidP="00E13D66">
      <w:r>
        <w:t>T</w:t>
      </w:r>
      <w:r w:rsidR="000D09DF">
        <w:t xml:space="preserve">ravel restrictions and border closures </w:t>
      </w:r>
      <w:r>
        <w:t>have</w:t>
      </w:r>
      <w:r w:rsidR="000D09DF">
        <w:t xml:space="preserve"> heavily impact</w:t>
      </w:r>
      <w:r>
        <w:t>ed</w:t>
      </w:r>
      <w:r w:rsidR="000D09DF">
        <w:t xml:space="preserve"> interstate movement</w:t>
      </w:r>
      <w:r>
        <w:t xml:space="preserve"> over much of the COVID-19 period</w:t>
      </w:r>
      <w:r w:rsidR="000D09DF">
        <w:t xml:space="preserve">. Overall, since the start of the pandemic, interstate overnight trips fell 60% and spend fell 59% (or $34.8 billion). In comparison, intrastate overnight trips fell 22% and spend a much smaller 7% (or $3.5 billion).  </w:t>
      </w:r>
    </w:p>
    <w:p w14:paraId="37E08054" w14:textId="1E9A364F" w:rsidR="00ED352A" w:rsidRPr="00D37D70" w:rsidRDefault="00ED352A" w:rsidP="00F3729F">
      <w:pPr>
        <w:pStyle w:val="Heading4"/>
      </w:pPr>
      <w:r w:rsidRPr="00D37D70">
        <w:t xml:space="preserve">Year </w:t>
      </w:r>
      <w:r w:rsidR="00C9137F" w:rsidRPr="00D37D70">
        <w:t xml:space="preserve">ending </w:t>
      </w:r>
      <w:r w:rsidR="00BE7386">
        <w:t>June</w:t>
      </w:r>
      <w:r w:rsidRPr="00D37D70">
        <w:t xml:space="preserve"> 2021 </w:t>
      </w:r>
    </w:p>
    <w:p w14:paraId="4BA801A5" w14:textId="14E5BE96" w:rsidR="000B42DB" w:rsidRDefault="000D09DF" w:rsidP="000B42DB">
      <w:r>
        <w:t xml:space="preserve">As a result of border closures and restrictions, Australians switched to taking longer self-drive trips within their home state. </w:t>
      </w:r>
      <w:r w:rsidR="00022BDA">
        <w:t>Overall</w:t>
      </w:r>
      <w:r w:rsidR="00B82150">
        <w:t>,</w:t>
      </w:r>
      <w:r w:rsidR="00022BDA">
        <w:t xml:space="preserve"> interstate </w:t>
      </w:r>
      <w:r w:rsidR="00B82150">
        <w:t xml:space="preserve">overnight </w:t>
      </w:r>
      <w:r w:rsidR="00022BDA">
        <w:t xml:space="preserve">trips </w:t>
      </w:r>
      <w:r w:rsidR="00B82150">
        <w:t xml:space="preserve">fell </w:t>
      </w:r>
      <w:r w:rsidR="009162BB">
        <w:t>52</w:t>
      </w:r>
      <w:r w:rsidR="00B82150">
        <w:t xml:space="preserve">% to </w:t>
      </w:r>
      <w:r w:rsidR="00167DE0">
        <w:t>18.8</w:t>
      </w:r>
      <w:r w:rsidR="00B82150">
        <w:t xml:space="preserve"> million and spend </w:t>
      </w:r>
      <w:r w:rsidR="009162BB">
        <w:t>49</w:t>
      </w:r>
      <w:r w:rsidR="00B82150">
        <w:t xml:space="preserve">% (or </w:t>
      </w:r>
      <w:r w:rsidR="009162BB">
        <w:t>20.8</w:t>
      </w:r>
      <w:r w:rsidR="00B82150">
        <w:t xml:space="preserve"> billion) to $21.6 billion</w:t>
      </w:r>
      <w:r w:rsidR="002D7C24">
        <w:t xml:space="preserve"> compared to year ending June 2019</w:t>
      </w:r>
      <w:r w:rsidR="00B82150">
        <w:t>. In contrast, intrastate overnight trips were</w:t>
      </w:r>
      <w:r w:rsidR="009162BB">
        <w:t xml:space="preserve"> down a lesser 9</w:t>
      </w:r>
      <w:r w:rsidR="00B82150">
        <w:t xml:space="preserve">% to 69.8 million and spend </w:t>
      </w:r>
      <w:r w:rsidR="009162BB">
        <w:t>was up 13</w:t>
      </w:r>
      <w:r w:rsidR="00B82150">
        <w:t>% (or $</w:t>
      </w:r>
      <w:r w:rsidR="009162BB">
        <w:t>4.7</w:t>
      </w:r>
      <w:r w:rsidR="00B82150">
        <w:t xml:space="preserve"> billion) to $39.7 billion. </w:t>
      </w:r>
      <w:r w:rsidR="004D7149">
        <w:t xml:space="preserve">In the year ending </w:t>
      </w:r>
      <w:r w:rsidR="00925847">
        <w:t>June</w:t>
      </w:r>
      <w:r w:rsidR="004D7149">
        <w:t xml:space="preserve"> 2021,</w:t>
      </w:r>
      <w:r w:rsidR="002926F2">
        <w:t xml:space="preserve"> the share of </w:t>
      </w:r>
      <w:r w:rsidR="000B42DB">
        <w:t>intrastate overnight trips and spend increase</w:t>
      </w:r>
      <w:r w:rsidR="002926F2">
        <w:t>d</w:t>
      </w:r>
      <w:r w:rsidR="000B42DB">
        <w:t xml:space="preserve"> acr</w:t>
      </w:r>
      <w:r w:rsidR="004D7149">
        <w:t>oss all states and territories</w:t>
      </w:r>
      <w:r w:rsidR="000B42DB">
        <w:t xml:space="preserve">. Nationally, the share of overnight intrastate trips increased </w:t>
      </w:r>
      <w:r w:rsidR="000C4532">
        <w:t xml:space="preserve">from </w:t>
      </w:r>
      <w:r w:rsidR="009162BB">
        <w:t>68</w:t>
      </w:r>
      <w:r w:rsidR="00A83BE8" w:rsidRPr="004E0986">
        <w:t>% to</w:t>
      </w:r>
      <w:r w:rsidR="004D7149" w:rsidRPr="004E0986">
        <w:t xml:space="preserve"> 8</w:t>
      </w:r>
      <w:r w:rsidR="00925847">
        <w:t>0</w:t>
      </w:r>
      <w:r w:rsidR="000B42DB" w:rsidRPr="004E0986">
        <w:t>%</w:t>
      </w:r>
      <w:r w:rsidR="000B42DB">
        <w:t xml:space="preserve"> </w:t>
      </w:r>
      <w:r w:rsidR="000C4532">
        <w:t xml:space="preserve">for overnight trips and </w:t>
      </w:r>
      <w:r w:rsidR="009162BB">
        <w:t>45</w:t>
      </w:r>
      <w:r w:rsidR="00A83BE8" w:rsidRPr="004E0986">
        <w:t xml:space="preserve">% </w:t>
      </w:r>
      <w:r w:rsidR="004D7149" w:rsidRPr="004E0986">
        <w:t xml:space="preserve">to </w:t>
      </w:r>
      <w:r w:rsidR="00925847">
        <w:t>65</w:t>
      </w:r>
      <w:r w:rsidR="000B42DB" w:rsidRPr="004E0986">
        <w:t>%</w:t>
      </w:r>
      <w:r w:rsidR="000C4532">
        <w:t xml:space="preserve"> for spend</w:t>
      </w:r>
      <w:r w:rsidR="000B42DB">
        <w:t xml:space="preserve">.  </w:t>
      </w:r>
    </w:p>
    <w:p w14:paraId="61442AFA" w14:textId="56EAB2F1" w:rsidR="00ED352A" w:rsidRPr="00767827" w:rsidRDefault="00BE7386" w:rsidP="00F3729F">
      <w:pPr>
        <w:pStyle w:val="Heading4"/>
      </w:pPr>
      <w:r>
        <w:t>June</w:t>
      </w:r>
      <w:r w:rsidR="00ED352A" w:rsidRPr="00767827">
        <w:t xml:space="preserve"> quarter 2021</w:t>
      </w:r>
    </w:p>
    <w:p w14:paraId="62E9B6B8" w14:textId="7FE4FDF5" w:rsidR="00AA14EF" w:rsidRDefault="004D7149" w:rsidP="000B42DB">
      <w:r>
        <w:t xml:space="preserve">Fewer border closures </w:t>
      </w:r>
      <w:r w:rsidR="00BE7386">
        <w:t xml:space="preserve">throughout the June quarter 2021 </w:t>
      </w:r>
      <w:r w:rsidR="006808F4">
        <w:t xml:space="preserve">and the implementation of a </w:t>
      </w:r>
      <w:r w:rsidR="00EC75FC">
        <w:fldChar w:fldCharType="begin"/>
      </w:r>
      <w:r w:rsidR="00EC75FC">
        <w:instrText xml:space="preserve"> REF _Ref82698314 \h </w:instrText>
      </w:r>
      <w:r w:rsidR="00EC75FC">
        <w:fldChar w:fldCharType="separate"/>
      </w:r>
      <w:r w:rsidR="00EC75FC" w:rsidRPr="00F3729F">
        <w:t>HALF-PRICE AIRFARES PROGRAM</w:t>
      </w:r>
      <w:r w:rsidR="00EC75FC">
        <w:fldChar w:fldCharType="end"/>
      </w:r>
      <w:r w:rsidR="00EC75FC">
        <w:t xml:space="preserve"> </w:t>
      </w:r>
      <w:r w:rsidR="009D400F">
        <w:t>by the Federal Government</w:t>
      </w:r>
      <w:r w:rsidR="006808F4">
        <w:t xml:space="preserve"> </w:t>
      </w:r>
      <w:r w:rsidR="00BE7386">
        <w:t>saw</w:t>
      </w:r>
      <w:r>
        <w:t xml:space="preserve"> the interstate market</w:t>
      </w:r>
      <w:r w:rsidR="00BE7386">
        <w:t xml:space="preserve"> continue to</w:t>
      </w:r>
      <w:r>
        <w:t xml:space="preserve"> improve</w:t>
      </w:r>
      <w:r w:rsidR="00411F41">
        <w:t xml:space="preserve"> on March quarter 2021</w:t>
      </w:r>
      <w:r w:rsidR="0009120E">
        <w:t xml:space="preserve">. </w:t>
      </w:r>
      <w:r w:rsidR="009D400F">
        <w:t xml:space="preserve">Despite this, </w:t>
      </w:r>
      <w:r w:rsidR="006808F4">
        <w:t xml:space="preserve">overnight </w:t>
      </w:r>
      <w:r w:rsidR="00BB6408">
        <w:t xml:space="preserve">trips were still </w:t>
      </w:r>
      <w:r w:rsidR="00444F83">
        <w:t xml:space="preserve">down </w:t>
      </w:r>
      <w:r w:rsidR="000F7ECA" w:rsidRPr="004E0986">
        <w:t>2</w:t>
      </w:r>
      <w:r w:rsidR="00BE7386">
        <w:t>6</w:t>
      </w:r>
      <w:r w:rsidR="000F7ECA" w:rsidRPr="004E0986">
        <w:t>%</w:t>
      </w:r>
      <w:r w:rsidR="00444F83" w:rsidRPr="004E0986">
        <w:t xml:space="preserve"> to </w:t>
      </w:r>
      <w:r w:rsidR="00BE7386">
        <w:t>7.0</w:t>
      </w:r>
      <w:r w:rsidR="00444F83" w:rsidRPr="004E0986">
        <w:t xml:space="preserve"> million</w:t>
      </w:r>
      <w:r w:rsidR="00BB6408">
        <w:t xml:space="preserve"> and spend </w:t>
      </w:r>
      <w:r w:rsidR="00BE7386">
        <w:t>a lesser 6</w:t>
      </w:r>
      <w:r w:rsidR="000F7ECA" w:rsidRPr="004E0986">
        <w:t>%</w:t>
      </w:r>
      <w:r w:rsidR="00444F83" w:rsidRPr="004E0986">
        <w:t xml:space="preserve"> to $</w:t>
      </w:r>
      <w:r w:rsidR="00BE7386">
        <w:t>9.9</w:t>
      </w:r>
      <w:r w:rsidR="00444F83" w:rsidRPr="004E0986">
        <w:t xml:space="preserve"> billion</w:t>
      </w:r>
      <w:r w:rsidR="000F7ECA">
        <w:t xml:space="preserve"> on </w:t>
      </w:r>
      <w:r w:rsidR="00BE7386">
        <w:t>June quarter 2019</w:t>
      </w:r>
      <w:r w:rsidR="000F7ECA">
        <w:t>.</w:t>
      </w:r>
      <w:r w:rsidR="0009120E">
        <w:t xml:space="preserve"> Similar to the interstate market, </w:t>
      </w:r>
      <w:r w:rsidR="000F7ECA">
        <w:t xml:space="preserve">intrastate </w:t>
      </w:r>
      <w:r w:rsidR="0009120E">
        <w:t>overnight trips also fell (down 16%) compared to June quarter 2019. However, intrastate spend saw growth on the same period in 2019, up 6% or $566 million.</w:t>
      </w:r>
    </w:p>
    <w:p w14:paraId="47F1C3AC" w14:textId="102D638B" w:rsidR="004D7149" w:rsidRDefault="00E45887" w:rsidP="000B42DB">
      <w:r>
        <w:t>R</w:t>
      </w:r>
      <w:r w:rsidR="00B0418C">
        <w:t>esults varied across the states and territories</w:t>
      </w:r>
      <w:r w:rsidR="00AA14EF">
        <w:t>. Due to a combination of snap lockdowns and</w:t>
      </w:r>
      <w:r w:rsidR="009D400F">
        <w:t>/or</w:t>
      </w:r>
      <w:r w:rsidR="00AA14EF">
        <w:t xml:space="preserve"> border restrictions </w:t>
      </w:r>
      <w:r>
        <w:t xml:space="preserve">interstate spend </w:t>
      </w:r>
      <w:r w:rsidR="00C9137F">
        <w:t xml:space="preserve">was </w:t>
      </w:r>
      <w:r>
        <w:t xml:space="preserve">most impacted in Victoria </w:t>
      </w:r>
      <w:r w:rsidR="00FD1625">
        <w:t>(</w:t>
      </w:r>
      <w:r w:rsidR="0009120E">
        <w:t>down 46</w:t>
      </w:r>
      <w:r w:rsidR="00FD1625">
        <w:t>% or $</w:t>
      </w:r>
      <w:r w:rsidR="0009120E">
        <w:t>860</w:t>
      </w:r>
      <w:r w:rsidR="00FD1625">
        <w:t xml:space="preserve"> million loss)</w:t>
      </w:r>
      <w:r w:rsidR="009D400F">
        <w:t>, New South Wale</w:t>
      </w:r>
      <w:r w:rsidR="00F812EC">
        <w:t>s</w:t>
      </w:r>
      <w:r w:rsidR="009D400F">
        <w:t xml:space="preserve"> (down 14% or $317 million)</w:t>
      </w:r>
      <w:r w:rsidR="00FD1625">
        <w:t xml:space="preserve"> </w:t>
      </w:r>
      <w:r>
        <w:t xml:space="preserve">and Western Australia </w:t>
      </w:r>
      <w:r w:rsidR="00FD1625">
        <w:t>(</w:t>
      </w:r>
      <w:r w:rsidR="00244302">
        <w:t xml:space="preserve">down </w:t>
      </w:r>
      <w:r w:rsidR="0009120E">
        <w:t>20</w:t>
      </w:r>
      <w:r w:rsidR="00FD1625">
        <w:t>% or $</w:t>
      </w:r>
      <w:r w:rsidR="00244302">
        <w:t>128</w:t>
      </w:r>
      <w:r w:rsidR="00FD1625">
        <w:t xml:space="preserve"> million loss)</w:t>
      </w:r>
      <w:r w:rsidR="00AA14EF">
        <w:t xml:space="preserve">. </w:t>
      </w:r>
      <w:r w:rsidR="00244302">
        <w:t>Comparatively interstate</w:t>
      </w:r>
      <w:r w:rsidR="00AA14EF">
        <w:t xml:space="preserve"> spend was up for</w:t>
      </w:r>
      <w:r w:rsidR="00244302">
        <w:t xml:space="preserve"> </w:t>
      </w:r>
      <w:r w:rsidR="00A92F6C">
        <w:t>all other</w:t>
      </w:r>
      <w:r w:rsidR="00244302">
        <w:t xml:space="preserve"> states and territories. This growth was highest in</w:t>
      </w:r>
      <w:r w:rsidR="00AA14EF">
        <w:t xml:space="preserve"> </w:t>
      </w:r>
      <w:r w:rsidR="00244302">
        <w:t xml:space="preserve">South Australia (SA) (up 37% or $209 million) and Tasmania (up 34% or $170 million) </w:t>
      </w:r>
      <w:r w:rsidR="009D338B">
        <w:t xml:space="preserve">(Figure 1). </w:t>
      </w:r>
    </w:p>
    <w:p w14:paraId="739E4DB0" w14:textId="3951ED8C" w:rsidR="000B42DB" w:rsidRDefault="000B42DB" w:rsidP="00F3729F">
      <w:pPr>
        <w:pStyle w:val="Heading4"/>
        <w:rPr>
          <w:vertAlign w:val="superscript"/>
        </w:rPr>
      </w:pPr>
      <w:r w:rsidRPr="00045560">
        <w:t xml:space="preserve">FIGURE </w:t>
      </w:r>
      <w:r w:rsidR="0053777D" w:rsidRPr="00045560">
        <w:t>1</w:t>
      </w:r>
      <w:r w:rsidRPr="00045560">
        <w:t xml:space="preserve">: </w:t>
      </w:r>
      <w:r w:rsidR="007901FB" w:rsidRPr="00045560">
        <w:t xml:space="preserve">PER CENT </w:t>
      </w:r>
      <w:r w:rsidR="00AA14EF">
        <w:t>CHANGE</w:t>
      </w:r>
      <w:r w:rsidR="00AA14EF" w:rsidRPr="00045560">
        <w:t xml:space="preserve"> </w:t>
      </w:r>
      <w:r w:rsidR="007901FB" w:rsidRPr="00045560">
        <w:t xml:space="preserve">IN INTERSTATE </w:t>
      </w:r>
      <w:r w:rsidR="00434E98">
        <w:t>AND INTRASTATE SPEND BY STATE</w:t>
      </w:r>
      <w:r w:rsidR="00AA14EF">
        <w:t xml:space="preserve"> VISITED</w:t>
      </w:r>
      <w:r w:rsidR="00434E98">
        <w:t xml:space="preserve">, </w:t>
      </w:r>
      <w:r w:rsidR="00244302">
        <w:t>JUNE</w:t>
      </w:r>
      <w:r w:rsidR="00434E98">
        <w:t xml:space="preserve"> QUARTER </w:t>
      </w:r>
      <w:r w:rsidR="00686AB0">
        <w:t>2021</w:t>
      </w:r>
      <w:r w:rsidR="00686AB0">
        <w:rPr>
          <w:vertAlign w:val="superscript"/>
        </w:rPr>
        <w:t>3</w:t>
      </w:r>
    </w:p>
    <w:p w14:paraId="06776C91" w14:textId="5023190F" w:rsidR="00244302" w:rsidRDefault="00A008F1" w:rsidP="00A008F1">
      <w:r>
        <w:rPr>
          <w:noProof/>
        </w:rPr>
        <w:drawing>
          <wp:inline distT="0" distB="0" distL="0" distR="0" wp14:anchorId="4F08650D" wp14:editId="36F23F13">
            <wp:extent cx="6057900" cy="2712720"/>
            <wp:effectExtent l="0" t="0" r="0" b="11430"/>
            <wp:docPr id="15" name="Chart 15" descr="FIGURE 1: PER CENT CHANGE IN INTERSTATE AND INTRASTATE SPEND BY STATE VISITED, JUNE QUARTER 2021&#10;&#10;A column chart that shows the change in interstate and intrastate spend by state, for the June quarter 2021 compared to the same period last year:&#10;&#10;Per cent change in interstate and intrastate spend varied across the states and territories for June quarter 2021 due to varied travel restrictions.  Interstate spend fell for Victoria (down 46%), WA (down 20%) and NSW (down 14%), but increased for SA (up 37%), Tasmania (up 34%), the ACT (up 29%), QLD (up 26%), and NT (up 21%). While intrastate spend fell for NT down (28%), Victoria down (9%) and WA down (2%); and increased for NSW (13%), Tasmania (8%), and SA (6%).">
              <a:extLst xmlns:a="http://schemas.openxmlformats.org/drawingml/2006/main">
                <a:ext uri="{FF2B5EF4-FFF2-40B4-BE49-F238E27FC236}">
                  <a16:creationId xmlns:a16="http://schemas.microsoft.com/office/drawing/2014/main" id="{6227AE20-4C5E-47E4-B331-D2B1CF3687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3AF2761" w14:textId="70D8CE44" w:rsidR="00AD5E2B" w:rsidRPr="00AD5E2B" w:rsidRDefault="00686AB0" w:rsidP="00244302">
      <w:pPr>
        <w:rPr>
          <w:sz w:val="16"/>
          <w:szCs w:val="16"/>
        </w:rPr>
      </w:pPr>
      <w:r>
        <w:rPr>
          <w:sz w:val="16"/>
          <w:szCs w:val="16"/>
          <w:vertAlign w:val="superscript"/>
        </w:rPr>
        <w:t>3</w:t>
      </w:r>
      <w:r w:rsidR="00AD5E2B" w:rsidRPr="00AD5E2B">
        <w:rPr>
          <w:sz w:val="16"/>
          <w:szCs w:val="16"/>
          <w:vertAlign w:val="superscript"/>
        </w:rPr>
        <w:t xml:space="preserve"> </w:t>
      </w:r>
      <w:r w:rsidR="00AD5E2B" w:rsidRPr="00AD5E2B">
        <w:rPr>
          <w:sz w:val="16"/>
          <w:szCs w:val="16"/>
        </w:rPr>
        <w:t>Compared to June quarter 2019 (pre-COVID)</w:t>
      </w:r>
    </w:p>
    <w:p w14:paraId="52A214D8" w14:textId="77777777" w:rsidR="000B42DB" w:rsidRDefault="000B42DB" w:rsidP="00744E50">
      <w:pPr>
        <w:pStyle w:val="Heading3"/>
      </w:pPr>
      <w:r>
        <w:lastRenderedPageBreak/>
        <w:t>Capital Cities and Regional Travel</w:t>
      </w:r>
    </w:p>
    <w:p w14:paraId="71B023F3" w14:textId="705D05BD" w:rsidR="002C66CD" w:rsidRPr="0083568C" w:rsidRDefault="00B06BEF" w:rsidP="002C66CD">
      <w:pPr>
        <w:rPr>
          <w:rFonts w:asciiTheme="majorHAnsi" w:eastAsiaTheme="majorEastAsia" w:hAnsiTheme="majorHAnsi" w:cstheme="majorBidi"/>
          <w:b/>
          <w:bCs/>
        </w:rPr>
      </w:pPr>
      <w:r>
        <w:rPr>
          <w:rFonts w:asciiTheme="majorHAnsi" w:eastAsiaTheme="majorEastAsia" w:hAnsiTheme="majorHAnsi" w:cstheme="majorBidi"/>
          <w:b/>
          <w:bCs/>
        </w:rPr>
        <w:t>COVID-19 period</w:t>
      </w:r>
      <w:r w:rsidR="004B4AF1">
        <w:rPr>
          <w:rFonts w:asciiTheme="majorHAnsi" w:eastAsiaTheme="majorEastAsia" w:hAnsiTheme="majorHAnsi" w:cstheme="majorBidi"/>
          <w:b/>
          <w:bCs/>
        </w:rPr>
        <w:t xml:space="preserve"> (March 2020 to June 2021)</w:t>
      </w:r>
      <w:r w:rsidR="0083568C">
        <w:rPr>
          <w:rFonts w:asciiTheme="majorHAnsi" w:eastAsiaTheme="majorEastAsia" w:hAnsiTheme="majorHAnsi" w:cstheme="majorBidi"/>
          <w:b/>
          <w:bCs/>
        </w:rPr>
        <w:br/>
      </w:r>
      <w:r w:rsidR="00F4315A">
        <w:t>Since the start of the COVID-19 pandemic</w:t>
      </w:r>
      <w:r w:rsidR="00131AE7">
        <w:t xml:space="preserve"> c</w:t>
      </w:r>
      <w:r w:rsidR="0013103E">
        <w:t xml:space="preserve">apital cities </w:t>
      </w:r>
      <w:r w:rsidR="00C65650">
        <w:t xml:space="preserve">have been </w:t>
      </w:r>
      <w:r w:rsidR="0013103E">
        <w:t xml:space="preserve">hit harder </w:t>
      </w:r>
      <w:r w:rsidR="000F04B0">
        <w:t>than regional areas (Figure 2)</w:t>
      </w:r>
      <w:r w:rsidR="0013103E">
        <w:t xml:space="preserve">. </w:t>
      </w:r>
      <w:r w:rsidR="0042027C">
        <w:t xml:space="preserve">This can be attributed to </w:t>
      </w:r>
      <w:r w:rsidR="009D400F">
        <w:t>most</w:t>
      </w:r>
      <w:r w:rsidR="0042027C">
        <w:t xml:space="preserve"> outbreaks occurring in capital cities, resulting in more frequent lockdowns and tougher restrictions. In addition, cities rely more on visitors arriving by air and/or for business, both of which have seen significant declines at the hands of COVID-19. </w:t>
      </w:r>
      <w:r w:rsidR="009E7576">
        <w:t xml:space="preserve">During this period, </w:t>
      </w:r>
      <w:r w:rsidR="009E7576" w:rsidRPr="00DB78D8">
        <w:t>o</w:t>
      </w:r>
      <w:r w:rsidR="000B42DB" w:rsidRPr="00DB78D8">
        <w:t>vernight</w:t>
      </w:r>
      <w:r w:rsidR="00C90DDA" w:rsidRPr="00DB78D8">
        <w:t xml:space="preserve"> trips to capital cities fell 5</w:t>
      </w:r>
      <w:r w:rsidR="009E7576" w:rsidRPr="00DB78D8">
        <w:t>0</w:t>
      </w:r>
      <w:r w:rsidR="000B42DB" w:rsidRPr="00DB78D8">
        <w:t>%</w:t>
      </w:r>
      <w:r w:rsidR="00C65650" w:rsidRPr="00DB78D8">
        <w:t xml:space="preserve">, </w:t>
      </w:r>
      <w:r w:rsidR="00B7620B" w:rsidRPr="00DB78D8">
        <w:t xml:space="preserve">more than </w:t>
      </w:r>
      <w:r w:rsidR="00C65650" w:rsidRPr="00DB78D8">
        <w:t xml:space="preserve">double the </w:t>
      </w:r>
      <w:r w:rsidR="00B7620B" w:rsidRPr="00DB78D8">
        <w:t xml:space="preserve">rate of </w:t>
      </w:r>
      <w:r w:rsidR="00C65650" w:rsidRPr="00DB78D8">
        <w:t>decline in</w:t>
      </w:r>
      <w:r w:rsidR="000B42DB" w:rsidRPr="00DB78D8">
        <w:t xml:space="preserve"> overnight</w:t>
      </w:r>
      <w:r w:rsidR="00C90DDA" w:rsidRPr="00DB78D8">
        <w:t xml:space="preserve"> trips to regional areas </w:t>
      </w:r>
      <w:r w:rsidR="00E07D37" w:rsidRPr="00DB78D8">
        <w:t>(</w:t>
      </w:r>
      <w:r w:rsidR="00C90DDA" w:rsidRPr="00DB78D8">
        <w:t>24</w:t>
      </w:r>
      <w:r w:rsidR="000B42DB" w:rsidRPr="00DB78D8">
        <w:t>%</w:t>
      </w:r>
      <w:r w:rsidR="00C65650" w:rsidRPr="00DB78D8">
        <w:t>)</w:t>
      </w:r>
      <w:r w:rsidR="000B42DB" w:rsidRPr="00DB78D8">
        <w:t>.</w:t>
      </w:r>
      <w:r w:rsidR="000B42DB" w:rsidRPr="009E7576">
        <w:t xml:space="preserve"> The </w:t>
      </w:r>
      <w:r w:rsidR="00C9137F" w:rsidRPr="009E7576">
        <w:t>impact on</w:t>
      </w:r>
      <w:r w:rsidR="00F252DB" w:rsidRPr="009E7576">
        <w:t xml:space="preserve"> </w:t>
      </w:r>
      <w:r w:rsidR="000B42DB" w:rsidRPr="009E7576">
        <w:t>capital cities</w:t>
      </w:r>
      <w:r w:rsidR="00F20E0B" w:rsidRPr="009E7576">
        <w:t xml:space="preserve"> </w:t>
      </w:r>
      <w:r w:rsidR="000B42DB" w:rsidRPr="009E7576">
        <w:t>was even greater for spend.</w:t>
      </w:r>
      <w:r w:rsidR="00C90DDA" w:rsidRPr="009E7576">
        <w:t xml:space="preserve"> Spend fell </w:t>
      </w:r>
      <w:r w:rsidR="009E7576" w:rsidRPr="00DB78D8">
        <w:t>55</w:t>
      </w:r>
      <w:r w:rsidR="000B42DB" w:rsidRPr="00DB78D8">
        <w:t xml:space="preserve">% </w:t>
      </w:r>
      <w:r w:rsidR="0013103E" w:rsidRPr="00DB78D8">
        <w:t xml:space="preserve">(down </w:t>
      </w:r>
      <w:r w:rsidR="00C90DDA" w:rsidRPr="00DB78D8">
        <w:t>$2</w:t>
      </w:r>
      <w:r w:rsidR="009E7576" w:rsidRPr="00DB78D8">
        <w:t>9.0</w:t>
      </w:r>
      <w:r w:rsidR="000B42DB" w:rsidRPr="009E7576">
        <w:t xml:space="preserve"> billion</w:t>
      </w:r>
      <w:r w:rsidR="0013103E" w:rsidRPr="009E7576">
        <w:t>)</w:t>
      </w:r>
      <w:r w:rsidR="00B7620B" w:rsidRPr="009E7576">
        <w:t>,</w:t>
      </w:r>
      <w:r w:rsidR="0013103E" w:rsidRPr="009E7576">
        <w:t xml:space="preserve"> </w:t>
      </w:r>
      <w:r w:rsidR="009E7576" w:rsidRPr="00DB78D8">
        <w:t>more than</w:t>
      </w:r>
      <w:r w:rsidR="00E861C2" w:rsidRPr="009E7576">
        <w:t xml:space="preserve"> </w:t>
      </w:r>
      <w:r w:rsidR="00B7620B" w:rsidRPr="009E7576">
        <w:t xml:space="preserve">three times the </w:t>
      </w:r>
      <w:r w:rsidR="009E7576" w:rsidRPr="00DB78D8">
        <w:t>17</w:t>
      </w:r>
      <w:r w:rsidR="00B7620B" w:rsidRPr="009E7576">
        <w:t xml:space="preserve">% </w:t>
      </w:r>
      <w:r w:rsidR="007660C6" w:rsidRPr="009E7576">
        <w:t xml:space="preserve">decline </w:t>
      </w:r>
      <w:r w:rsidR="00B7620B" w:rsidRPr="009E7576">
        <w:t>(down $</w:t>
      </w:r>
      <w:r w:rsidR="009E7576" w:rsidRPr="00DB78D8">
        <w:t>9.2</w:t>
      </w:r>
      <w:r w:rsidR="00B7620B" w:rsidRPr="009E7576">
        <w:t xml:space="preserve"> billion)</w:t>
      </w:r>
      <w:r w:rsidR="0013103E" w:rsidRPr="009E7576">
        <w:t xml:space="preserve"> in regional areas</w:t>
      </w:r>
      <w:r w:rsidR="007660C6" w:rsidRPr="009E7576">
        <w:t>.</w:t>
      </w:r>
      <w:r w:rsidR="00F20E0B">
        <w:t xml:space="preserve"> </w:t>
      </w:r>
    </w:p>
    <w:p w14:paraId="2CC38D27" w14:textId="6CA4FB47" w:rsidR="00045560" w:rsidRPr="00CA5543" w:rsidRDefault="00045560" w:rsidP="00045560">
      <w:pPr>
        <w:spacing w:after="0"/>
        <w:rPr>
          <w:b/>
          <w:vertAlign w:val="superscript"/>
        </w:rPr>
      </w:pPr>
      <w:r w:rsidRPr="00D33271">
        <w:rPr>
          <w:b/>
        </w:rPr>
        <w:t xml:space="preserve">FIGURE </w:t>
      </w:r>
      <w:r>
        <w:rPr>
          <w:b/>
        </w:rPr>
        <w:t>2</w:t>
      </w:r>
      <w:r w:rsidRPr="00D33271">
        <w:rPr>
          <w:b/>
        </w:rPr>
        <w:t xml:space="preserve">: </w:t>
      </w:r>
      <w:r w:rsidR="00CA5543" w:rsidRPr="00CA5543">
        <w:rPr>
          <w:b/>
        </w:rPr>
        <w:t>CUMULATIVE</w:t>
      </w:r>
      <w:r w:rsidR="00CA5543">
        <w:rPr>
          <w:b/>
        </w:rPr>
        <w:t xml:space="preserve"> LOSSES IN DOMESTIC OVERNIGHT TRAVEL,</w:t>
      </w:r>
      <w:r w:rsidR="008B153C">
        <w:rPr>
          <w:b/>
        </w:rPr>
        <w:t xml:space="preserve"> COVID PERIOD</w:t>
      </w:r>
    </w:p>
    <w:p w14:paraId="49DA32CA" w14:textId="7139AA55" w:rsidR="00045560" w:rsidRDefault="009D400F" w:rsidP="00CA5543">
      <w:pPr>
        <w:spacing w:after="0"/>
      </w:pPr>
      <w:r>
        <w:rPr>
          <w:noProof/>
          <w:lang w:eastAsia="en-AU"/>
        </w:rPr>
        <w:drawing>
          <wp:inline distT="0" distB="0" distL="0" distR="0" wp14:anchorId="4C487078" wp14:editId="5C4E02F3">
            <wp:extent cx="6153150" cy="3876675"/>
            <wp:effectExtent l="0" t="0" r="0" b="9525"/>
            <wp:docPr id="12" name="Chart 12" descr="FIGURE 2: CUMULATIVE LOSSES IN DOMESTIC OVERNIGHT TRAVEL, YEAR ENDING JUNE 2021&#10;&#10;An area chart showing the cumulative losses in spend for capital cities and regional areas from March 2020 to June 2021. Total cumulative losses for the period had almost reached 40 billion dollars by June 2021.  ">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8A52E1D" w14:textId="6F17DD62" w:rsidR="00197843" w:rsidRDefault="00197843" w:rsidP="000B42DB"/>
    <w:p w14:paraId="0194DBBC" w14:textId="79AED4E7" w:rsidR="003C41AF" w:rsidRPr="00F3729F" w:rsidRDefault="003C41AF" w:rsidP="00F3729F">
      <w:pPr>
        <w:pStyle w:val="Heading4"/>
      </w:pPr>
      <w:r w:rsidRPr="00F3729F">
        <w:t>Year ending June 2021</w:t>
      </w:r>
    </w:p>
    <w:p w14:paraId="432A9409" w14:textId="290091F1" w:rsidR="003C41AF" w:rsidRDefault="005A5FDF" w:rsidP="000B42DB">
      <w:r>
        <w:t>For the year ending June 2021, regional areas</w:t>
      </w:r>
      <w:r w:rsidR="00533474">
        <w:t xml:space="preserve"> fared better than capital cities</w:t>
      </w:r>
      <w:r>
        <w:t xml:space="preserve">. </w:t>
      </w:r>
      <w:r w:rsidR="00533474">
        <w:t>Although, o</w:t>
      </w:r>
      <w:r>
        <w:t xml:space="preserve">vernight visitors were </w:t>
      </w:r>
      <w:r w:rsidR="00533474">
        <w:t>down</w:t>
      </w:r>
      <w:r>
        <w:t xml:space="preserve"> </w:t>
      </w:r>
      <w:r w:rsidR="00533474">
        <w:t>11</w:t>
      </w:r>
      <w:r>
        <w:t xml:space="preserve">% to 62.9 million, spend </w:t>
      </w:r>
      <w:r w:rsidR="00533474">
        <w:t xml:space="preserve">was </w:t>
      </w:r>
      <w:r>
        <w:t xml:space="preserve">up a </w:t>
      </w:r>
      <w:r w:rsidR="00533474">
        <w:t>modest 3</w:t>
      </w:r>
      <w:r>
        <w:t>% (or $</w:t>
      </w:r>
      <w:r w:rsidR="00533474">
        <w:t>1</w:t>
      </w:r>
      <w:r>
        <w:t xml:space="preserve">.2 billion) to $40.8 billion. In contrast, capital cities recorded large declines. Overnight trips fell </w:t>
      </w:r>
      <w:r w:rsidR="00533474">
        <w:t>41</w:t>
      </w:r>
      <w:r>
        <w:t xml:space="preserve">% to 27.8 </w:t>
      </w:r>
      <w:r w:rsidR="00A92F6C">
        <w:t>million and</w:t>
      </w:r>
      <w:r>
        <w:t xml:space="preserve"> spend fell </w:t>
      </w:r>
      <w:r w:rsidR="00533474">
        <w:t>46</w:t>
      </w:r>
      <w:r>
        <w:t>% (or $</w:t>
      </w:r>
      <w:r w:rsidR="00533474">
        <w:t>17.3</w:t>
      </w:r>
      <w:r>
        <w:t xml:space="preserve"> billion) to $20.5 billion compared to the year ending June 20</w:t>
      </w:r>
      <w:r w:rsidR="002A6CB3">
        <w:t>19</w:t>
      </w:r>
      <w:r>
        <w:t xml:space="preserve">. </w:t>
      </w:r>
    </w:p>
    <w:p w14:paraId="0430693C" w14:textId="2262A563" w:rsidR="008103A9" w:rsidRPr="00767827" w:rsidRDefault="00DB78D8" w:rsidP="00F3729F">
      <w:pPr>
        <w:pStyle w:val="Heading4"/>
      </w:pPr>
      <w:r>
        <w:t>June</w:t>
      </w:r>
      <w:r w:rsidRPr="00767827">
        <w:t xml:space="preserve"> </w:t>
      </w:r>
      <w:r w:rsidR="008103A9" w:rsidRPr="00767827">
        <w:t>quarter 2021</w:t>
      </w:r>
    </w:p>
    <w:p w14:paraId="13ECECEC" w14:textId="6EB2E0CB" w:rsidR="00665B4F" w:rsidRDefault="00E861C2" w:rsidP="000B42DB">
      <w:r>
        <w:t xml:space="preserve">Regional areas continued to fare better than capital cities </w:t>
      </w:r>
      <w:r w:rsidR="00882C6C">
        <w:t>through</w:t>
      </w:r>
      <w:r w:rsidR="00665B4F">
        <w:t xml:space="preserve"> </w:t>
      </w:r>
      <w:r w:rsidR="00DB78D8">
        <w:t xml:space="preserve">June </w:t>
      </w:r>
      <w:r w:rsidR="00665B4F">
        <w:t>quarter 2021</w:t>
      </w:r>
      <w:r w:rsidR="00F358A4">
        <w:t xml:space="preserve"> (Figure 3)</w:t>
      </w:r>
      <w:r w:rsidR="00665B4F">
        <w:t xml:space="preserve">. </w:t>
      </w:r>
      <w:r w:rsidR="00DB78D8">
        <w:t>Although o</w:t>
      </w:r>
      <w:r w:rsidR="008103A9">
        <w:t xml:space="preserve">vernight trips to regional Australia were </w:t>
      </w:r>
      <w:r w:rsidR="00DB78D8">
        <w:t>down 12</w:t>
      </w:r>
      <w:r w:rsidR="008103A9" w:rsidRPr="008103A9">
        <w:t xml:space="preserve">% to </w:t>
      </w:r>
      <w:r w:rsidR="00DB78D8">
        <w:t>16.8</w:t>
      </w:r>
      <w:r w:rsidR="008103A9" w:rsidRPr="008103A9">
        <w:t xml:space="preserve"> million</w:t>
      </w:r>
      <w:r w:rsidR="00DB78D8">
        <w:t xml:space="preserve"> on June quarter 2019, </w:t>
      </w:r>
      <w:r w:rsidR="008103A9">
        <w:t xml:space="preserve">spend </w:t>
      </w:r>
      <w:r w:rsidR="00DB78D8">
        <w:t>was up</w:t>
      </w:r>
      <w:r w:rsidR="008103A9" w:rsidRPr="008103A9">
        <w:t xml:space="preserve"> </w:t>
      </w:r>
      <w:r w:rsidR="00DB78D8">
        <w:t>15</w:t>
      </w:r>
      <w:r w:rsidR="008103A9" w:rsidRPr="008103A9">
        <w:t>% or $</w:t>
      </w:r>
      <w:r w:rsidR="00DB78D8">
        <w:t>1.5</w:t>
      </w:r>
      <w:r w:rsidR="008103A9" w:rsidRPr="008103A9">
        <w:t xml:space="preserve"> billion to $1</w:t>
      </w:r>
      <w:r w:rsidR="00DB78D8">
        <w:t>1.5</w:t>
      </w:r>
      <w:r w:rsidR="008103A9" w:rsidRPr="008103A9">
        <w:t xml:space="preserve"> billion</w:t>
      </w:r>
      <w:r w:rsidR="008103A9">
        <w:t>.</w:t>
      </w:r>
      <w:r w:rsidR="004342A8">
        <w:t xml:space="preserve"> </w:t>
      </w:r>
      <w:r w:rsidR="004342A8" w:rsidRPr="00DB78D8">
        <w:t xml:space="preserve">The stronger growth in spend can be partially attributed to Australians taking longer </w:t>
      </w:r>
      <w:r w:rsidR="00C9137F" w:rsidRPr="00DB78D8">
        <w:t xml:space="preserve">regional </w:t>
      </w:r>
      <w:r w:rsidR="004342A8" w:rsidRPr="00DB78D8">
        <w:t xml:space="preserve">trips on average (up 6% to </w:t>
      </w:r>
      <w:r w:rsidR="00DB78D8" w:rsidRPr="00DB78D8">
        <w:t>3.6</w:t>
      </w:r>
      <w:r w:rsidR="004342A8" w:rsidRPr="00DB78D8">
        <w:t xml:space="preserve"> nights).</w:t>
      </w:r>
      <w:r w:rsidR="008103A9">
        <w:t xml:space="preserve"> </w:t>
      </w:r>
      <w:r w:rsidR="001E55D7">
        <w:t xml:space="preserve">Additionally, some of the regional areas that fared particularly well in June quarter were included in the government’s </w:t>
      </w:r>
      <w:r w:rsidR="00EC75FC">
        <w:fldChar w:fldCharType="begin"/>
      </w:r>
      <w:r w:rsidR="00EC75FC">
        <w:instrText xml:space="preserve"> REF _Ref82698314 \h </w:instrText>
      </w:r>
      <w:r w:rsidR="00EC75FC">
        <w:fldChar w:fldCharType="separate"/>
      </w:r>
      <w:r w:rsidR="00EC75FC" w:rsidRPr="00F3729F">
        <w:t>HALF-PRICE AIRFARES PROGRAM</w:t>
      </w:r>
      <w:r w:rsidR="00EC75FC">
        <w:fldChar w:fldCharType="end"/>
      </w:r>
      <w:r w:rsidR="001E55D7">
        <w:t xml:space="preserve">. </w:t>
      </w:r>
      <w:r w:rsidR="008103A9">
        <w:t>In contrast, o</w:t>
      </w:r>
      <w:r w:rsidR="00665B4F">
        <w:t xml:space="preserve">vernight trips to capital cities fell </w:t>
      </w:r>
      <w:r w:rsidR="00DB78D8">
        <w:t>28</w:t>
      </w:r>
      <w:r w:rsidR="00665B4F" w:rsidRPr="008103A9">
        <w:t xml:space="preserve">% to </w:t>
      </w:r>
      <w:r w:rsidR="00DB78D8">
        <w:t>8</w:t>
      </w:r>
      <w:r w:rsidR="00665B4F" w:rsidRPr="008103A9">
        <w:t>.9 million</w:t>
      </w:r>
      <w:r w:rsidR="00665B4F">
        <w:t xml:space="preserve"> and spend a </w:t>
      </w:r>
      <w:r w:rsidR="00DB78D8">
        <w:t>lesser</w:t>
      </w:r>
      <w:r w:rsidR="00665B4F">
        <w:t xml:space="preserve"> </w:t>
      </w:r>
      <w:r w:rsidR="00DB78D8">
        <w:t>16</w:t>
      </w:r>
      <w:r w:rsidR="00665B4F" w:rsidRPr="008103A9">
        <w:t>% or $</w:t>
      </w:r>
      <w:r w:rsidR="00DB78D8">
        <w:t>1.5</w:t>
      </w:r>
      <w:r w:rsidR="00665B4F" w:rsidRPr="008103A9">
        <w:t xml:space="preserve"> billion to $</w:t>
      </w:r>
      <w:r w:rsidR="00DB78D8">
        <w:t>8.0</w:t>
      </w:r>
      <w:r w:rsidR="00665B4F" w:rsidRPr="008103A9">
        <w:t xml:space="preserve"> billion</w:t>
      </w:r>
      <w:r w:rsidR="00665B4F">
        <w:t xml:space="preserve">. </w:t>
      </w:r>
    </w:p>
    <w:p w14:paraId="1BE3B4A0" w14:textId="77777777" w:rsidR="00DF6498" w:rsidRDefault="00DF6498" w:rsidP="00665B4F">
      <w:pPr>
        <w:spacing w:after="0"/>
        <w:rPr>
          <w:b/>
        </w:rPr>
      </w:pPr>
    </w:p>
    <w:p w14:paraId="37526CCC" w14:textId="77777777" w:rsidR="00DF6498" w:rsidRDefault="00DF6498" w:rsidP="00665B4F">
      <w:pPr>
        <w:spacing w:after="0"/>
        <w:rPr>
          <w:b/>
        </w:rPr>
      </w:pPr>
    </w:p>
    <w:p w14:paraId="027263DB" w14:textId="5428A8AC" w:rsidR="00665B4F" w:rsidRPr="009A66D8" w:rsidRDefault="00665B4F" w:rsidP="00665B4F">
      <w:pPr>
        <w:spacing w:after="0"/>
        <w:rPr>
          <w:b/>
          <w:vertAlign w:val="superscript"/>
        </w:rPr>
      </w:pPr>
      <w:r w:rsidRPr="00D33271">
        <w:rPr>
          <w:b/>
        </w:rPr>
        <w:lastRenderedPageBreak/>
        <w:t xml:space="preserve">FIGURE </w:t>
      </w:r>
      <w:r>
        <w:rPr>
          <w:b/>
        </w:rPr>
        <w:t>3</w:t>
      </w:r>
      <w:r w:rsidRPr="00D33271">
        <w:rPr>
          <w:b/>
        </w:rPr>
        <w:t>: PER CENT CHANGE IN OVERNIGHT TRIPS</w:t>
      </w:r>
      <w:r>
        <w:rPr>
          <w:b/>
        </w:rPr>
        <w:t xml:space="preserve"> AND SPEND TO CAPITAL CITIES AND REGIONAL AREAS, </w:t>
      </w:r>
      <w:r w:rsidR="00DF6498">
        <w:rPr>
          <w:b/>
        </w:rPr>
        <w:t>JUNE</w:t>
      </w:r>
      <w:r>
        <w:rPr>
          <w:b/>
        </w:rPr>
        <w:t xml:space="preserve"> QUARTER 2021</w:t>
      </w:r>
      <w:r w:rsidR="009A66D8">
        <w:rPr>
          <w:b/>
          <w:vertAlign w:val="superscript"/>
        </w:rPr>
        <w:t>4</w:t>
      </w:r>
    </w:p>
    <w:p w14:paraId="7C77A6C7" w14:textId="6B9EF528" w:rsidR="00665B4F" w:rsidRDefault="00E273C3" w:rsidP="009A66D8">
      <w:pPr>
        <w:spacing w:after="0"/>
      </w:pPr>
      <w:r>
        <w:rPr>
          <w:noProof/>
          <w:lang w:eastAsia="en-AU"/>
        </w:rPr>
        <w:drawing>
          <wp:inline distT="0" distB="0" distL="0" distR="0" wp14:anchorId="4C2FE2F6" wp14:editId="74254B34">
            <wp:extent cx="6124575" cy="3352800"/>
            <wp:effectExtent l="0" t="0" r="9525" b="0"/>
            <wp:docPr id="13" name="Chart 13" descr="FIGURE 3: PER CENT CHANGE IN OVERNIGHT TRIPS AND SPEND TO CAPITAL CITIES AND REGIONAL AREAS, JUNE QUARTER 2021&#10;&#10;A column chart showing the per cent change in overnight trips and spend for capital cities and regional areas for the June quarter 2021 compared to the same period last year:&#10;Sydney saw a 30% decline in overnight trips and 21% decline in spend.&#10;Regional New South Wales saw a 10% decrease in overnight trips and 19% increase in spend.&#10;Melbourne saw a 44% decline in overnight trips and 43% decline in spend.&#10;Regional Victoria saw a 23% decrease in overnight trips and 5% decrease in spend.&#10;Brisbane and the Gold Coast saw a 22% decrease in overnight trips and 5% decline in spend.&#10;Regional Queensland saw a 2% decrease in overnight trips and 26% increase in spend.&#10;Adelaide saw a 26% decline in overnight trips and 9% increase in spend.&#10;Regional South Australia saw a 7% decrease in overnight trips and 34% increase in spend.&#10;Perth saw a 22% decline in overnight trips and 10% decline in spend.&#10;Regional Western Australia saw a 11% decrease in overnight trips and 4% decrease in spend.&#10;Tasmania saw a 15% decline in overnight trips and 27% increase in spend.&#10;Northern Territory saw no change in overnight trips and 6% increase in spend.&#10;ACT saw a 3% gain in overnight trips and no change in spend.">
              <a:extLst xmlns:a="http://schemas.openxmlformats.org/drawingml/2006/main">
                <a:ext uri="{FF2B5EF4-FFF2-40B4-BE49-F238E27FC236}">
                  <a16:creationId xmlns:a16="http://schemas.microsoft.com/office/drawing/2014/main" id="{618E751D-17B4-4AF8-A96B-F1A3148667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A18F0B9" w14:textId="436E33A2" w:rsidR="009A66D8" w:rsidRPr="009A66D8" w:rsidRDefault="009A66D8" w:rsidP="000B42DB">
      <w:pPr>
        <w:rPr>
          <w:sz w:val="16"/>
          <w:szCs w:val="16"/>
        </w:rPr>
      </w:pPr>
      <w:r w:rsidRPr="009A66D8">
        <w:rPr>
          <w:sz w:val="16"/>
          <w:szCs w:val="16"/>
          <w:vertAlign w:val="superscript"/>
        </w:rPr>
        <w:t>4</w:t>
      </w:r>
      <w:r w:rsidRPr="009A66D8">
        <w:rPr>
          <w:sz w:val="16"/>
          <w:szCs w:val="16"/>
        </w:rPr>
        <w:t xml:space="preserve"> Compared to June quarter 2019 (pre-COVID)</w:t>
      </w:r>
    </w:p>
    <w:p w14:paraId="50631B66" w14:textId="116056C7" w:rsidR="00B4794D" w:rsidRDefault="00B4794D" w:rsidP="00744E50">
      <w:pPr>
        <w:pStyle w:val="Heading3"/>
      </w:pPr>
      <w:r>
        <w:t>REASON FOR TRAVEL</w:t>
      </w:r>
    </w:p>
    <w:p w14:paraId="668A7B8F" w14:textId="15D39646" w:rsidR="00FF4B9E" w:rsidRDefault="00AB64DC" w:rsidP="00F3729F">
      <w:pPr>
        <w:pStyle w:val="Heading4"/>
      </w:pPr>
      <w:r>
        <w:t>COVID-19 period</w:t>
      </w:r>
      <w:r w:rsidR="004B4AF1">
        <w:t xml:space="preserve"> (March 2020 to June 2021)</w:t>
      </w:r>
      <w:r w:rsidR="00411F41">
        <w:br/>
      </w:r>
      <w:r w:rsidR="00CF4774" w:rsidRPr="00F3729F">
        <w:rPr>
          <w:rFonts w:asciiTheme="minorHAnsi" w:eastAsiaTheme="minorHAnsi" w:hAnsiTheme="minorHAnsi" w:cstheme="minorBidi"/>
          <w:b w:val="0"/>
        </w:rPr>
        <w:t xml:space="preserve">With border closures and travel restrictions impacting movement across the country all types of travel have seen </w:t>
      </w:r>
      <w:r w:rsidR="00ED3C8F" w:rsidRPr="00F3729F">
        <w:rPr>
          <w:rFonts w:asciiTheme="minorHAnsi" w:eastAsiaTheme="minorHAnsi" w:hAnsiTheme="minorHAnsi" w:cstheme="minorBidi"/>
          <w:b w:val="0"/>
        </w:rPr>
        <w:t>significant</w:t>
      </w:r>
      <w:r w:rsidR="00CF4774" w:rsidRPr="00F3729F">
        <w:rPr>
          <w:rFonts w:asciiTheme="minorHAnsi" w:eastAsiaTheme="minorHAnsi" w:hAnsiTheme="minorHAnsi" w:cstheme="minorBidi"/>
          <w:b w:val="0"/>
        </w:rPr>
        <w:t xml:space="preserve"> losses. Business travel has been most affected with overnight trips down 47% and spend down 53% or $12.8 billion since the start of the pandemic. Visits to friend and relatives (VFR)</w:t>
      </w:r>
      <w:r w:rsidR="00E273C3" w:rsidRPr="00F3729F">
        <w:rPr>
          <w:rFonts w:asciiTheme="minorHAnsi" w:eastAsiaTheme="minorHAnsi" w:hAnsiTheme="minorHAnsi" w:cstheme="minorBidi"/>
          <w:b w:val="0"/>
        </w:rPr>
        <w:t xml:space="preserve"> fell 34%</w:t>
      </w:r>
      <w:r w:rsidR="00CF4774" w:rsidRPr="00F3729F">
        <w:rPr>
          <w:rFonts w:asciiTheme="minorHAnsi" w:eastAsiaTheme="minorHAnsi" w:hAnsiTheme="minorHAnsi" w:cstheme="minorBidi"/>
          <w:b w:val="0"/>
        </w:rPr>
        <w:t xml:space="preserve"> and associated spend 34% (down $6.2 billion) over the same period. Holiday travel was the least </w:t>
      </w:r>
      <w:r w:rsidRPr="00F3729F">
        <w:rPr>
          <w:rFonts w:asciiTheme="minorHAnsi" w:eastAsiaTheme="minorHAnsi" w:hAnsiTheme="minorHAnsi" w:cstheme="minorBidi"/>
          <w:b w:val="0"/>
        </w:rPr>
        <w:t xml:space="preserve">affected with much of the </w:t>
      </w:r>
      <w:r w:rsidR="00CF4774" w:rsidRPr="00F3729F">
        <w:rPr>
          <w:rFonts w:asciiTheme="minorHAnsi" w:eastAsiaTheme="minorHAnsi" w:hAnsiTheme="minorHAnsi" w:cstheme="minorBidi"/>
          <w:b w:val="0"/>
        </w:rPr>
        <w:t>impact</w:t>
      </w:r>
      <w:r w:rsidRPr="00F3729F">
        <w:rPr>
          <w:rFonts w:asciiTheme="minorHAnsi" w:eastAsiaTheme="minorHAnsi" w:hAnsiTheme="minorHAnsi" w:cstheme="minorBidi"/>
          <w:b w:val="0"/>
        </w:rPr>
        <w:t xml:space="preserve"> concentrated in April and May 2020, at the</w:t>
      </w:r>
      <w:r w:rsidR="00BF5561" w:rsidRPr="00F3729F">
        <w:rPr>
          <w:rFonts w:asciiTheme="minorHAnsi" w:eastAsiaTheme="minorHAnsi" w:hAnsiTheme="minorHAnsi" w:cstheme="minorBidi"/>
          <w:b w:val="0"/>
        </w:rPr>
        <w:t xml:space="preserve"> </w:t>
      </w:r>
      <w:r w:rsidR="00E273C3" w:rsidRPr="00F3729F">
        <w:rPr>
          <w:rFonts w:asciiTheme="minorHAnsi" w:eastAsiaTheme="minorHAnsi" w:hAnsiTheme="minorHAnsi" w:cstheme="minorBidi"/>
          <w:b w:val="0"/>
        </w:rPr>
        <w:t>start</w:t>
      </w:r>
      <w:r w:rsidRPr="00F3729F">
        <w:rPr>
          <w:rFonts w:asciiTheme="minorHAnsi" w:eastAsiaTheme="minorHAnsi" w:hAnsiTheme="minorHAnsi" w:cstheme="minorBidi"/>
          <w:b w:val="0"/>
        </w:rPr>
        <w:t xml:space="preserve"> of the pandemic. Overall, holiday </w:t>
      </w:r>
      <w:r w:rsidR="00CF4774" w:rsidRPr="00F3729F">
        <w:rPr>
          <w:rFonts w:asciiTheme="minorHAnsi" w:eastAsiaTheme="minorHAnsi" w:hAnsiTheme="minorHAnsi" w:cstheme="minorBidi"/>
          <w:b w:val="0"/>
        </w:rPr>
        <w:t>overnight trips fell 27% and spend 22% or $10.1 billion.</w:t>
      </w:r>
      <w:r w:rsidR="00CF4774">
        <w:rPr>
          <w:rFonts w:eastAsiaTheme="minorHAnsi"/>
        </w:rPr>
        <w:t xml:space="preserve">  </w:t>
      </w:r>
    </w:p>
    <w:p w14:paraId="669BCB9C" w14:textId="69B3144F" w:rsidR="00201591" w:rsidRPr="00767827" w:rsidRDefault="00201591" w:rsidP="00F3729F">
      <w:pPr>
        <w:pStyle w:val="Heading4"/>
      </w:pPr>
      <w:r w:rsidRPr="00767827">
        <w:t xml:space="preserve">Year ending </w:t>
      </w:r>
      <w:r w:rsidR="00FF4B9E">
        <w:t>June</w:t>
      </w:r>
      <w:r w:rsidRPr="00767827">
        <w:t xml:space="preserve"> 2021</w:t>
      </w:r>
    </w:p>
    <w:p w14:paraId="01DF1CE2" w14:textId="3DBA6255" w:rsidR="00201591" w:rsidRDefault="00201591" w:rsidP="00201591">
      <w:pPr>
        <w:spacing w:after="120"/>
      </w:pPr>
      <w:r>
        <w:t>Holiday travel rebounded better from the</w:t>
      </w:r>
      <w:r w:rsidR="00734896">
        <w:t xml:space="preserve"> initial</w:t>
      </w:r>
      <w:r>
        <w:t xml:space="preserve"> height of the COVID-19 pandemic than travel </w:t>
      </w:r>
      <w:r w:rsidR="00B23831">
        <w:t xml:space="preserve">for </w:t>
      </w:r>
      <w:r>
        <w:t xml:space="preserve">VFR or business. During the year ending </w:t>
      </w:r>
      <w:r w:rsidR="00FF4B9E">
        <w:t>June</w:t>
      </w:r>
      <w:r>
        <w:t xml:space="preserve"> 2021 holiday trips </w:t>
      </w:r>
      <w:r w:rsidR="00FF4B9E">
        <w:t xml:space="preserve">were </w:t>
      </w:r>
      <w:r w:rsidR="00671275">
        <w:t>down</w:t>
      </w:r>
      <w:r>
        <w:t xml:space="preserve"> </w:t>
      </w:r>
      <w:r w:rsidR="00FF4B9E">
        <w:t>1</w:t>
      </w:r>
      <w:r w:rsidR="00671275">
        <w:t>3</w:t>
      </w:r>
      <w:r>
        <w:t>% to 3</w:t>
      </w:r>
      <w:r w:rsidR="00FF4B9E">
        <w:t>9.6</w:t>
      </w:r>
      <w:r>
        <w:t xml:space="preserve"> million and spend was </w:t>
      </w:r>
      <w:r w:rsidR="00671275">
        <w:t>down a lesser</w:t>
      </w:r>
      <w:r>
        <w:t xml:space="preserve"> </w:t>
      </w:r>
      <w:r w:rsidR="00671275">
        <w:t>2</w:t>
      </w:r>
      <w:r>
        <w:t>% to $</w:t>
      </w:r>
      <w:r w:rsidR="00FF4B9E">
        <w:t>33.8</w:t>
      </w:r>
      <w:r>
        <w:t xml:space="preserve"> billion</w:t>
      </w:r>
      <w:r w:rsidR="00EB14CE">
        <w:t xml:space="preserve"> compared to year ending June 2019</w:t>
      </w:r>
      <w:r>
        <w:t xml:space="preserve">. VFR trips declined </w:t>
      </w:r>
      <w:r w:rsidR="00671275">
        <w:t>24</w:t>
      </w:r>
      <w:r>
        <w:t>% to 2</w:t>
      </w:r>
      <w:r w:rsidR="00FF4B9E">
        <w:t>9.2</w:t>
      </w:r>
      <w:r>
        <w:t xml:space="preserve"> million and</w:t>
      </w:r>
      <w:r w:rsidR="00671275">
        <w:t xml:space="preserve"> spend fell</w:t>
      </w:r>
      <w:r>
        <w:t xml:space="preserve"> </w:t>
      </w:r>
      <w:r w:rsidR="00671275">
        <w:t>22</w:t>
      </w:r>
      <w:r>
        <w:t>% to $</w:t>
      </w:r>
      <w:r w:rsidR="00FF4B9E">
        <w:t>10.6</w:t>
      </w:r>
      <w:r>
        <w:t xml:space="preserve"> billion. Business has struggled most to recover with trips down </w:t>
      </w:r>
      <w:r w:rsidR="00671275">
        <w:t>4</w:t>
      </w:r>
      <w:r w:rsidR="00FF4B9E">
        <w:t>2</w:t>
      </w:r>
      <w:r>
        <w:t>% to 1</w:t>
      </w:r>
      <w:r w:rsidR="00FF4B9E">
        <w:t>5.0</w:t>
      </w:r>
      <w:r>
        <w:t xml:space="preserve"> million and spend </w:t>
      </w:r>
      <w:r w:rsidR="00671275">
        <w:t>48</w:t>
      </w:r>
      <w:r>
        <w:t>% to $</w:t>
      </w:r>
      <w:r w:rsidR="00FF4B9E">
        <w:t>9.3</w:t>
      </w:r>
      <w:r>
        <w:t xml:space="preserve"> billion</w:t>
      </w:r>
      <w:r w:rsidRPr="005C0907">
        <w:t xml:space="preserve">. </w:t>
      </w:r>
    </w:p>
    <w:p w14:paraId="0155B316" w14:textId="324B8347" w:rsidR="00CD0D78" w:rsidRPr="00767827" w:rsidRDefault="00FF4B9E" w:rsidP="00F3729F">
      <w:pPr>
        <w:pStyle w:val="Heading4"/>
      </w:pPr>
      <w:r>
        <w:t>June</w:t>
      </w:r>
      <w:r w:rsidR="00CD0D78" w:rsidRPr="00767827">
        <w:t xml:space="preserve"> quarter 2021</w:t>
      </w:r>
    </w:p>
    <w:p w14:paraId="4E4D8590" w14:textId="268D78BB" w:rsidR="00B47828" w:rsidRPr="00767827" w:rsidRDefault="00B47828" w:rsidP="00F3729F">
      <w:pPr>
        <w:pStyle w:val="Heading6"/>
        <w:rPr>
          <w:rFonts w:eastAsia="Calibri"/>
          <w:color w:val="008BB6" w:themeColor="text2"/>
        </w:rPr>
      </w:pPr>
      <w:r w:rsidRPr="00767827">
        <w:rPr>
          <w:rFonts w:eastAsia="Calibri"/>
        </w:rPr>
        <w:t>Holiday</w:t>
      </w:r>
      <w:r w:rsidRPr="00767827">
        <w:rPr>
          <w:rFonts w:eastAsia="Calibri"/>
          <w:color w:val="008BB6" w:themeColor="text2"/>
        </w:rPr>
        <w:t xml:space="preserve"> </w:t>
      </w:r>
    </w:p>
    <w:p w14:paraId="5A644C7B" w14:textId="6D473997" w:rsidR="00133A69" w:rsidRDefault="00BF3479" w:rsidP="00F5113C">
      <w:pPr>
        <w:spacing w:after="120"/>
        <w:rPr>
          <w:rFonts w:ascii="Arial" w:eastAsia="Calibri" w:hAnsi="Arial" w:cs="Arial"/>
        </w:rPr>
      </w:pPr>
      <w:r>
        <w:rPr>
          <w:rFonts w:ascii="Arial" w:eastAsia="Calibri" w:hAnsi="Arial" w:cs="Arial"/>
        </w:rPr>
        <w:t>June</w:t>
      </w:r>
      <w:r w:rsidR="00EF2EA6">
        <w:rPr>
          <w:rFonts w:ascii="Arial" w:eastAsia="Calibri" w:hAnsi="Arial" w:cs="Arial"/>
        </w:rPr>
        <w:t xml:space="preserve"> quarter results </w:t>
      </w:r>
      <w:r w:rsidR="00481239">
        <w:rPr>
          <w:rFonts w:ascii="Arial" w:eastAsia="Calibri" w:hAnsi="Arial" w:cs="Arial"/>
        </w:rPr>
        <w:t xml:space="preserve">show </w:t>
      </w:r>
      <w:r w:rsidR="00EF2EA6">
        <w:rPr>
          <w:rFonts w:ascii="Arial" w:eastAsia="Calibri" w:hAnsi="Arial" w:cs="Arial"/>
        </w:rPr>
        <w:t xml:space="preserve">the stronger recovery in holiday travel. </w:t>
      </w:r>
      <w:r w:rsidR="00133A69">
        <w:rPr>
          <w:rFonts w:ascii="Arial" w:eastAsia="Calibri" w:hAnsi="Arial" w:cs="Arial"/>
        </w:rPr>
        <w:t xml:space="preserve">Overall, </w:t>
      </w:r>
      <w:r>
        <w:rPr>
          <w:rFonts w:ascii="Arial" w:eastAsia="Calibri" w:hAnsi="Arial" w:cs="Arial"/>
        </w:rPr>
        <w:t xml:space="preserve">although </w:t>
      </w:r>
      <w:r w:rsidR="00133A69">
        <w:rPr>
          <w:rFonts w:ascii="Arial" w:eastAsia="Calibri" w:hAnsi="Arial" w:cs="Arial"/>
        </w:rPr>
        <w:t>t</w:t>
      </w:r>
      <w:r w:rsidR="00EF2EA6">
        <w:rPr>
          <w:rFonts w:ascii="Arial" w:eastAsia="Calibri" w:hAnsi="Arial" w:cs="Arial"/>
        </w:rPr>
        <w:t xml:space="preserve">rips </w:t>
      </w:r>
      <w:r>
        <w:rPr>
          <w:rFonts w:ascii="Arial" w:eastAsia="Calibri" w:hAnsi="Arial" w:cs="Arial"/>
        </w:rPr>
        <w:t>were down 9%,</w:t>
      </w:r>
      <w:r w:rsidR="00EF2EA6">
        <w:rPr>
          <w:rFonts w:ascii="Arial" w:eastAsia="Calibri" w:hAnsi="Arial" w:cs="Arial"/>
        </w:rPr>
        <w:t xml:space="preserve"> spend</w:t>
      </w:r>
      <w:r w:rsidR="00133A69">
        <w:rPr>
          <w:rFonts w:ascii="Arial" w:eastAsia="Calibri" w:hAnsi="Arial" w:cs="Arial"/>
        </w:rPr>
        <w:t xml:space="preserve"> </w:t>
      </w:r>
      <w:r w:rsidR="00EF2EA6">
        <w:rPr>
          <w:rFonts w:ascii="Arial" w:eastAsia="Calibri" w:hAnsi="Arial" w:cs="Arial"/>
        </w:rPr>
        <w:t>w</w:t>
      </w:r>
      <w:r>
        <w:rPr>
          <w:rFonts w:ascii="Arial" w:eastAsia="Calibri" w:hAnsi="Arial" w:cs="Arial"/>
        </w:rPr>
        <w:t>as</w:t>
      </w:r>
      <w:r w:rsidR="00EF2EA6">
        <w:rPr>
          <w:rFonts w:ascii="Arial" w:eastAsia="Calibri" w:hAnsi="Arial" w:cs="Arial"/>
        </w:rPr>
        <w:t xml:space="preserve"> up </w:t>
      </w:r>
      <w:r>
        <w:rPr>
          <w:rFonts w:ascii="Arial" w:eastAsia="Calibri" w:hAnsi="Arial" w:cs="Arial"/>
        </w:rPr>
        <w:t>27</w:t>
      </w:r>
      <w:r w:rsidR="00EF2EA6">
        <w:rPr>
          <w:rFonts w:ascii="Arial" w:eastAsia="Calibri" w:hAnsi="Arial" w:cs="Arial"/>
        </w:rPr>
        <w:t>% on</w:t>
      </w:r>
      <w:r>
        <w:rPr>
          <w:rFonts w:ascii="Arial" w:eastAsia="Calibri" w:hAnsi="Arial" w:cs="Arial"/>
        </w:rPr>
        <w:t xml:space="preserve"> June</w:t>
      </w:r>
      <w:r w:rsidR="00EF2EA6">
        <w:rPr>
          <w:rFonts w:ascii="Arial" w:eastAsia="Calibri" w:hAnsi="Arial" w:cs="Arial"/>
        </w:rPr>
        <w:t xml:space="preserve"> quarter 20</w:t>
      </w:r>
      <w:r>
        <w:rPr>
          <w:rFonts w:ascii="Arial" w:eastAsia="Calibri" w:hAnsi="Arial" w:cs="Arial"/>
        </w:rPr>
        <w:t>19</w:t>
      </w:r>
      <w:r w:rsidR="00481239">
        <w:rPr>
          <w:rFonts w:ascii="Arial" w:eastAsia="Calibri" w:hAnsi="Arial" w:cs="Arial"/>
        </w:rPr>
        <w:t>. Th</w:t>
      </w:r>
      <w:r>
        <w:rPr>
          <w:rFonts w:ascii="Arial" w:eastAsia="Calibri" w:hAnsi="Arial" w:cs="Arial"/>
        </w:rPr>
        <w:t>e</w:t>
      </w:r>
      <w:r w:rsidR="00EF2EA6">
        <w:rPr>
          <w:rFonts w:ascii="Arial" w:eastAsia="Calibri" w:hAnsi="Arial" w:cs="Arial"/>
        </w:rPr>
        <w:t xml:space="preserve"> </w:t>
      </w:r>
      <w:r w:rsidR="008C7C0B">
        <w:rPr>
          <w:rFonts w:ascii="Arial" w:eastAsia="Calibri" w:hAnsi="Arial" w:cs="Arial"/>
        </w:rPr>
        <w:t xml:space="preserve">growth </w:t>
      </w:r>
      <w:r>
        <w:rPr>
          <w:rFonts w:ascii="Arial" w:eastAsia="Calibri" w:hAnsi="Arial" w:cs="Arial"/>
        </w:rPr>
        <w:t xml:space="preserve">in spend </w:t>
      </w:r>
      <w:r w:rsidR="008C7C0B">
        <w:rPr>
          <w:rFonts w:ascii="Arial" w:eastAsia="Calibri" w:hAnsi="Arial" w:cs="Arial"/>
        </w:rPr>
        <w:t>was con</w:t>
      </w:r>
      <w:r w:rsidR="00B4794D">
        <w:rPr>
          <w:rFonts w:ascii="Arial" w:eastAsia="Calibri" w:hAnsi="Arial" w:cs="Arial"/>
        </w:rPr>
        <w:t>centrated in regional Australia destinations</w:t>
      </w:r>
      <w:r w:rsidR="00F358A4">
        <w:rPr>
          <w:rFonts w:ascii="Arial" w:eastAsia="Calibri" w:hAnsi="Arial" w:cs="Arial"/>
        </w:rPr>
        <w:t xml:space="preserve"> (Figure 4)</w:t>
      </w:r>
      <w:r w:rsidR="00481239">
        <w:rPr>
          <w:rFonts w:ascii="Arial" w:eastAsia="Calibri" w:hAnsi="Arial" w:cs="Arial"/>
        </w:rPr>
        <w:t xml:space="preserve"> </w:t>
      </w:r>
      <w:r w:rsidR="00481239" w:rsidRPr="008C7C0B">
        <w:rPr>
          <w:rFonts w:ascii="Arial" w:eastAsia="Calibri" w:hAnsi="Arial" w:cs="Arial"/>
        </w:rPr>
        <w:t>highlight</w:t>
      </w:r>
      <w:r w:rsidR="00481239">
        <w:rPr>
          <w:rFonts w:ascii="Arial" w:eastAsia="Calibri" w:hAnsi="Arial" w:cs="Arial"/>
        </w:rPr>
        <w:t>ing</w:t>
      </w:r>
      <w:r w:rsidR="00481239" w:rsidRPr="008C7C0B">
        <w:rPr>
          <w:rFonts w:ascii="Arial" w:eastAsia="Calibri" w:hAnsi="Arial" w:cs="Arial"/>
        </w:rPr>
        <w:t xml:space="preserve"> the extent to which Australians are currently substituting previous outbound</w:t>
      </w:r>
      <w:r>
        <w:rPr>
          <w:rFonts w:ascii="Arial" w:eastAsia="Calibri" w:hAnsi="Arial" w:cs="Arial"/>
        </w:rPr>
        <w:t xml:space="preserve"> and</w:t>
      </w:r>
      <w:r w:rsidR="00481239" w:rsidRPr="008C7C0B">
        <w:rPr>
          <w:rFonts w:ascii="Arial" w:eastAsia="Calibri" w:hAnsi="Arial" w:cs="Arial"/>
        </w:rPr>
        <w:t xml:space="preserve"> capital city holidays with longer length self-drive visits to regional areas</w:t>
      </w:r>
      <w:r w:rsidR="00B4794D">
        <w:rPr>
          <w:rFonts w:ascii="Arial" w:eastAsia="Calibri" w:hAnsi="Arial" w:cs="Arial"/>
        </w:rPr>
        <w:t xml:space="preserve">. </w:t>
      </w:r>
    </w:p>
    <w:p w14:paraId="612FE436" w14:textId="3E3EC48A" w:rsidR="00CD0D78" w:rsidRPr="00767827" w:rsidRDefault="00CD0D78" w:rsidP="00F3729F">
      <w:pPr>
        <w:pStyle w:val="Heading6"/>
        <w:rPr>
          <w:rFonts w:eastAsia="Calibri"/>
          <w:color w:val="008BB6" w:themeColor="text2"/>
        </w:rPr>
      </w:pPr>
      <w:r w:rsidRPr="00767827">
        <w:rPr>
          <w:rFonts w:eastAsia="Calibri"/>
        </w:rPr>
        <w:t>Visiting friends and relatives</w:t>
      </w:r>
    </w:p>
    <w:p w14:paraId="267A4657" w14:textId="62FCB166" w:rsidR="004E5D6A" w:rsidRDefault="0049231C" w:rsidP="008C7C0B">
      <w:pPr>
        <w:spacing w:after="120"/>
        <w:rPr>
          <w:rFonts w:ascii="Arial" w:eastAsia="Calibri" w:hAnsi="Arial" w:cs="Arial"/>
        </w:rPr>
      </w:pPr>
      <w:r>
        <w:rPr>
          <w:rFonts w:ascii="Arial" w:eastAsia="Calibri" w:hAnsi="Arial" w:cs="Arial"/>
        </w:rPr>
        <w:t>VFR did not</w:t>
      </w:r>
      <w:r w:rsidR="005B5A8B">
        <w:rPr>
          <w:rFonts w:ascii="Arial" w:eastAsia="Calibri" w:hAnsi="Arial" w:cs="Arial"/>
        </w:rPr>
        <w:t xml:space="preserve"> fare as well as holiday travel. Overall visitors were down 20% and spend a lesser 1% on June quarter 2019. </w:t>
      </w:r>
      <w:r>
        <w:rPr>
          <w:rFonts w:ascii="Arial" w:eastAsia="Calibri" w:hAnsi="Arial" w:cs="Arial"/>
        </w:rPr>
        <w:t xml:space="preserve"> </w:t>
      </w:r>
      <w:r w:rsidR="00CA140D">
        <w:rPr>
          <w:rFonts w:ascii="Arial" w:eastAsia="Calibri" w:hAnsi="Arial" w:cs="Arial"/>
        </w:rPr>
        <w:t>Overnight v</w:t>
      </w:r>
      <w:r>
        <w:rPr>
          <w:rFonts w:ascii="Arial" w:eastAsia="Calibri" w:hAnsi="Arial" w:cs="Arial"/>
        </w:rPr>
        <w:t xml:space="preserve">isitors were </w:t>
      </w:r>
      <w:r w:rsidR="005B5A8B">
        <w:rPr>
          <w:rFonts w:ascii="Arial" w:eastAsia="Calibri" w:hAnsi="Arial" w:cs="Arial"/>
        </w:rPr>
        <w:t>down</w:t>
      </w:r>
      <w:r>
        <w:rPr>
          <w:rFonts w:ascii="Arial" w:eastAsia="Calibri" w:hAnsi="Arial" w:cs="Arial"/>
        </w:rPr>
        <w:t xml:space="preserve"> </w:t>
      </w:r>
      <w:r w:rsidR="005B5A8B">
        <w:rPr>
          <w:rFonts w:ascii="Arial" w:eastAsia="Calibri" w:hAnsi="Arial" w:cs="Arial"/>
        </w:rPr>
        <w:t>14</w:t>
      </w:r>
      <w:r>
        <w:rPr>
          <w:rFonts w:ascii="Arial" w:eastAsia="Calibri" w:hAnsi="Arial" w:cs="Arial"/>
        </w:rPr>
        <w:t xml:space="preserve">% for regional Australia and </w:t>
      </w:r>
      <w:r w:rsidR="005B5A8B">
        <w:rPr>
          <w:rFonts w:ascii="Arial" w:eastAsia="Calibri" w:hAnsi="Arial" w:cs="Arial"/>
        </w:rPr>
        <w:t>20</w:t>
      </w:r>
      <w:r>
        <w:rPr>
          <w:rFonts w:ascii="Arial" w:eastAsia="Calibri" w:hAnsi="Arial" w:cs="Arial"/>
        </w:rPr>
        <w:t xml:space="preserve">% for intrastate compared with falls of </w:t>
      </w:r>
      <w:r w:rsidR="005B5A8B">
        <w:rPr>
          <w:rFonts w:ascii="Arial" w:eastAsia="Calibri" w:hAnsi="Arial" w:cs="Arial"/>
        </w:rPr>
        <w:t>26</w:t>
      </w:r>
      <w:r>
        <w:rPr>
          <w:rFonts w:ascii="Arial" w:eastAsia="Calibri" w:hAnsi="Arial" w:cs="Arial"/>
        </w:rPr>
        <w:t>% for capital cities and 1</w:t>
      </w:r>
      <w:r w:rsidR="005B5A8B">
        <w:rPr>
          <w:rFonts w:ascii="Arial" w:eastAsia="Calibri" w:hAnsi="Arial" w:cs="Arial"/>
        </w:rPr>
        <w:t>8</w:t>
      </w:r>
      <w:r>
        <w:rPr>
          <w:rFonts w:ascii="Arial" w:eastAsia="Calibri" w:hAnsi="Arial" w:cs="Arial"/>
        </w:rPr>
        <w:t xml:space="preserve">% for interstate destinations. </w:t>
      </w:r>
      <w:r w:rsidR="00A85C16">
        <w:rPr>
          <w:rFonts w:ascii="Arial" w:eastAsia="Calibri" w:hAnsi="Arial" w:cs="Arial"/>
        </w:rPr>
        <w:t>S</w:t>
      </w:r>
      <w:r>
        <w:rPr>
          <w:rFonts w:ascii="Arial" w:eastAsia="Calibri" w:hAnsi="Arial" w:cs="Arial"/>
        </w:rPr>
        <w:t xml:space="preserve">pend </w:t>
      </w:r>
      <w:r w:rsidR="005B5A8B">
        <w:rPr>
          <w:rFonts w:ascii="Arial" w:eastAsia="Calibri" w:hAnsi="Arial" w:cs="Arial"/>
        </w:rPr>
        <w:t>was down a lesser 3</w:t>
      </w:r>
      <w:r w:rsidR="00A85C16">
        <w:rPr>
          <w:rFonts w:ascii="Arial" w:eastAsia="Calibri" w:hAnsi="Arial" w:cs="Arial"/>
        </w:rPr>
        <w:t>%</w:t>
      </w:r>
      <w:r w:rsidR="005B5A8B">
        <w:rPr>
          <w:rFonts w:ascii="Arial" w:eastAsia="Calibri" w:hAnsi="Arial" w:cs="Arial"/>
        </w:rPr>
        <w:t xml:space="preserve"> for regional Australia </w:t>
      </w:r>
      <w:r w:rsidR="00A85C16">
        <w:rPr>
          <w:rFonts w:ascii="Arial" w:eastAsia="Calibri" w:hAnsi="Arial" w:cs="Arial"/>
        </w:rPr>
        <w:t xml:space="preserve">and 1% for </w:t>
      </w:r>
      <w:r w:rsidR="005B5A8B">
        <w:rPr>
          <w:rFonts w:ascii="Arial" w:eastAsia="Calibri" w:hAnsi="Arial" w:cs="Arial"/>
        </w:rPr>
        <w:t xml:space="preserve">interstate and intrastate travel </w:t>
      </w:r>
      <w:r w:rsidR="00A85C16">
        <w:rPr>
          <w:rFonts w:ascii="Arial" w:eastAsia="Calibri" w:hAnsi="Arial" w:cs="Arial"/>
        </w:rPr>
        <w:t>but</w:t>
      </w:r>
      <w:r w:rsidR="005B5A8B">
        <w:rPr>
          <w:rFonts w:ascii="Arial" w:eastAsia="Calibri" w:hAnsi="Arial" w:cs="Arial"/>
        </w:rPr>
        <w:t xml:space="preserve"> on par with capital city destinations </w:t>
      </w:r>
      <w:r w:rsidR="00CA140D">
        <w:rPr>
          <w:rFonts w:ascii="Arial" w:eastAsia="Calibri" w:hAnsi="Arial" w:cs="Arial"/>
        </w:rPr>
        <w:t>with</w:t>
      </w:r>
      <w:r w:rsidR="005B5A8B">
        <w:rPr>
          <w:rFonts w:ascii="Arial" w:eastAsia="Calibri" w:hAnsi="Arial" w:cs="Arial"/>
        </w:rPr>
        <w:t xml:space="preserve"> June quarter 2019</w:t>
      </w:r>
      <w:r w:rsidR="00CD0D78">
        <w:rPr>
          <w:rFonts w:ascii="Arial" w:eastAsia="Calibri" w:hAnsi="Arial" w:cs="Arial"/>
        </w:rPr>
        <w:t>.</w:t>
      </w:r>
      <w:r w:rsidR="00E803C1">
        <w:rPr>
          <w:rFonts w:ascii="Arial" w:eastAsia="Calibri" w:hAnsi="Arial" w:cs="Arial"/>
        </w:rPr>
        <w:t xml:space="preserve"> </w:t>
      </w:r>
    </w:p>
    <w:p w14:paraId="251E99D5" w14:textId="1C5D6AE3" w:rsidR="00201591" w:rsidRPr="00767827" w:rsidRDefault="00CD0D78" w:rsidP="00F3729F">
      <w:pPr>
        <w:pStyle w:val="Heading6"/>
        <w:rPr>
          <w:rFonts w:eastAsia="Calibri"/>
        </w:rPr>
      </w:pPr>
      <w:r w:rsidRPr="00767827">
        <w:rPr>
          <w:rFonts w:eastAsia="Calibri"/>
        </w:rPr>
        <w:lastRenderedPageBreak/>
        <w:t>Business</w:t>
      </w:r>
    </w:p>
    <w:p w14:paraId="2D6BAAB7" w14:textId="242B328A" w:rsidR="00E803C1" w:rsidRDefault="00E803C1" w:rsidP="008C7C0B">
      <w:pPr>
        <w:spacing w:after="120"/>
        <w:rPr>
          <w:rFonts w:ascii="Arial" w:eastAsia="Calibri" w:hAnsi="Arial" w:cs="Arial"/>
        </w:rPr>
      </w:pPr>
      <w:r>
        <w:rPr>
          <w:rFonts w:ascii="Arial" w:eastAsia="Calibri" w:hAnsi="Arial" w:cs="Arial"/>
        </w:rPr>
        <w:t xml:space="preserve">Business travel </w:t>
      </w:r>
      <w:r w:rsidR="00AB7F77">
        <w:rPr>
          <w:rFonts w:ascii="Arial" w:eastAsia="Calibri" w:hAnsi="Arial" w:cs="Arial"/>
        </w:rPr>
        <w:t xml:space="preserve">continued to </w:t>
      </w:r>
      <w:r>
        <w:rPr>
          <w:rFonts w:ascii="Arial" w:eastAsia="Calibri" w:hAnsi="Arial" w:cs="Arial"/>
        </w:rPr>
        <w:t>record large losses in</w:t>
      </w:r>
      <w:r w:rsidR="00AB7F77">
        <w:rPr>
          <w:rFonts w:ascii="Arial" w:eastAsia="Calibri" w:hAnsi="Arial" w:cs="Arial"/>
        </w:rPr>
        <w:t xml:space="preserve"> June</w:t>
      </w:r>
      <w:r>
        <w:rPr>
          <w:rFonts w:ascii="Arial" w:eastAsia="Calibri" w:hAnsi="Arial" w:cs="Arial"/>
        </w:rPr>
        <w:t xml:space="preserve"> quarter 2021, most notably in capital cities and </w:t>
      </w:r>
      <w:r w:rsidR="00A85C16">
        <w:rPr>
          <w:rFonts w:ascii="Arial" w:eastAsia="Calibri" w:hAnsi="Arial" w:cs="Arial"/>
        </w:rPr>
        <w:t>for</w:t>
      </w:r>
      <w:r>
        <w:rPr>
          <w:rFonts w:ascii="Arial" w:eastAsia="Calibri" w:hAnsi="Arial" w:cs="Arial"/>
        </w:rPr>
        <w:t xml:space="preserve"> interstate</w:t>
      </w:r>
      <w:r w:rsidR="00A85C16">
        <w:rPr>
          <w:rFonts w:ascii="Arial" w:eastAsia="Calibri" w:hAnsi="Arial" w:cs="Arial"/>
        </w:rPr>
        <w:t xml:space="preserve"> travel</w:t>
      </w:r>
      <w:r>
        <w:rPr>
          <w:rFonts w:ascii="Arial" w:eastAsia="Calibri" w:hAnsi="Arial" w:cs="Arial"/>
        </w:rPr>
        <w:t xml:space="preserve">. Overnight trips were down </w:t>
      </w:r>
      <w:r w:rsidR="00042A48">
        <w:rPr>
          <w:rFonts w:ascii="Arial" w:eastAsia="Calibri" w:hAnsi="Arial" w:cs="Arial"/>
        </w:rPr>
        <w:t>46</w:t>
      </w:r>
      <w:r>
        <w:rPr>
          <w:rFonts w:ascii="Arial" w:eastAsia="Calibri" w:hAnsi="Arial" w:cs="Arial"/>
        </w:rPr>
        <w:t xml:space="preserve">% in capital cities and </w:t>
      </w:r>
      <w:r w:rsidR="00042A48">
        <w:rPr>
          <w:rFonts w:ascii="Arial" w:eastAsia="Calibri" w:hAnsi="Arial" w:cs="Arial"/>
        </w:rPr>
        <w:t>50</w:t>
      </w:r>
      <w:r>
        <w:rPr>
          <w:rFonts w:ascii="Arial" w:eastAsia="Calibri" w:hAnsi="Arial" w:cs="Arial"/>
        </w:rPr>
        <w:t xml:space="preserve">% for interstate destinations </w:t>
      </w:r>
      <w:r w:rsidR="00A85C16">
        <w:rPr>
          <w:rFonts w:ascii="Arial" w:eastAsia="Calibri" w:hAnsi="Arial" w:cs="Arial"/>
        </w:rPr>
        <w:t>and</w:t>
      </w:r>
      <w:r>
        <w:rPr>
          <w:rFonts w:ascii="Arial" w:eastAsia="Calibri" w:hAnsi="Arial" w:cs="Arial"/>
        </w:rPr>
        <w:t xml:space="preserve"> spend down a similar </w:t>
      </w:r>
      <w:r w:rsidR="00AB7F77">
        <w:rPr>
          <w:rFonts w:ascii="Arial" w:eastAsia="Calibri" w:hAnsi="Arial" w:cs="Arial"/>
        </w:rPr>
        <w:t>4</w:t>
      </w:r>
      <w:r w:rsidR="00042A48">
        <w:rPr>
          <w:rFonts w:ascii="Arial" w:eastAsia="Calibri" w:hAnsi="Arial" w:cs="Arial"/>
        </w:rPr>
        <w:t>3</w:t>
      </w:r>
      <w:r>
        <w:rPr>
          <w:rFonts w:ascii="Arial" w:eastAsia="Calibri" w:hAnsi="Arial" w:cs="Arial"/>
        </w:rPr>
        <w:t xml:space="preserve">% and </w:t>
      </w:r>
      <w:r w:rsidR="00AB7F77">
        <w:rPr>
          <w:rFonts w:ascii="Arial" w:eastAsia="Calibri" w:hAnsi="Arial" w:cs="Arial"/>
        </w:rPr>
        <w:t>4</w:t>
      </w:r>
      <w:r w:rsidR="00042A48">
        <w:rPr>
          <w:rFonts w:ascii="Arial" w:eastAsia="Calibri" w:hAnsi="Arial" w:cs="Arial"/>
        </w:rPr>
        <w:t>2</w:t>
      </w:r>
      <w:r>
        <w:rPr>
          <w:rFonts w:ascii="Arial" w:eastAsia="Calibri" w:hAnsi="Arial" w:cs="Arial"/>
        </w:rPr>
        <w:t xml:space="preserve">% </w:t>
      </w:r>
      <w:r w:rsidR="00A85C16">
        <w:rPr>
          <w:rFonts w:ascii="Arial" w:eastAsia="Calibri" w:hAnsi="Arial" w:cs="Arial"/>
        </w:rPr>
        <w:t>respectively</w:t>
      </w:r>
      <w:r>
        <w:rPr>
          <w:rFonts w:ascii="Arial" w:eastAsia="Calibri" w:hAnsi="Arial" w:cs="Arial"/>
        </w:rPr>
        <w:t>.</w:t>
      </w:r>
      <w:r w:rsidR="00793123">
        <w:rPr>
          <w:rFonts w:ascii="Arial" w:eastAsia="Calibri" w:hAnsi="Arial" w:cs="Arial"/>
        </w:rPr>
        <w:t xml:space="preserve"> </w:t>
      </w:r>
    </w:p>
    <w:p w14:paraId="681ECB0C" w14:textId="77777777" w:rsidR="00947625" w:rsidRDefault="00947625" w:rsidP="008C7C0B">
      <w:pPr>
        <w:spacing w:after="0"/>
        <w:rPr>
          <w:rFonts w:ascii="Arial" w:eastAsia="Calibri" w:hAnsi="Arial" w:cs="Arial"/>
          <w:b/>
        </w:rPr>
      </w:pPr>
    </w:p>
    <w:p w14:paraId="03F19A0F" w14:textId="24F0A56E" w:rsidR="008C7C0B" w:rsidRPr="006571EF" w:rsidRDefault="008C7C0B" w:rsidP="008C7C0B">
      <w:pPr>
        <w:spacing w:after="0"/>
        <w:rPr>
          <w:rFonts w:ascii="Arial" w:eastAsia="Calibri" w:hAnsi="Arial" w:cs="Arial"/>
          <w:b/>
          <w:vertAlign w:val="superscript"/>
        </w:rPr>
      </w:pPr>
      <w:r w:rsidRPr="008C7C0B">
        <w:rPr>
          <w:rFonts w:ascii="Arial" w:eastAsia="Calibri" w:hAnsi="Arial" w:cs="Arial"/>
          <w:b/>
        </w:rPr>
        <w:t xml:space="preserve">FIGURE 4: PER CENT CHANGE IN OVERNIGHT SPEND BY REASON FOR TRAVEL, </w:t>
      </w:r>
      <w:r w:rsidR="008E605A">
        <w:rPr>
          <w:rFonts w:ascii="Arial" w:eastAsia="Calibri" w:hAnsi="Arial" w:cs="Arial"/>
          <w:b/>
        </w:rPr>
        <w:t>JUNE</w:t>
      </w:r>
      <w:r w:rsidRPr="008C7C0B">
        <w:rPr>
          <w:rFonts w:ascii="Arial" w:eastAsia="Calibri" w:hAnsi="Arial" w:cs="Arial"/>
          <w:b/>
        </w:rPr>
        <w:t xml:space="preserve"> QUARTER 2021</w:t>
      </w:r>
      <w:r w:rsidR="006571EF">
        <w:rPr>
          <w:rFonts w:ascii="Arial" w:eastAsia="Calibri" w:hAnsi="Arial" w:cs="Arial"/>
          <w:b/>
          <w:vertAlign w:val="superscript"/>
        </w:rPr>
        <w:t>5</w:t>
      </w:r>
    </w:p>
    <w:p w14:paraId="051F006F" w14:textId="6168B1C0" w:rsidR="00B4794D" w:rsidRDefault="008E605A" w:rsidP="006571EF">
      <w:pPr>
        <w:spacing w:after="0"/>
      </w:pPr>
      <w:r>
        <w:rPr>
          <w:noProof/>
          <w:lang w:eastAsia="en-AU"/>
        </w:rPr>
        <w:drawing>
          <wp:inline distT="0" distB="0" distL="0" distR="0" wp14:anchorId="11B8A18D" wp14:editId="03281BB7">
            <wp:extent cx="5810250" cy="2743200"/>
            <wp:effectExtent l="0" t="0" r="0" b="0"/>
            <wp:docPr id="11" name="Chart 11" descr="FIGURE 4: PER CENT CHANGE IN OVERNIGHT SPEND BY REASON FOR TRAVEL, JUNE QUARTER 2021&#10;&#10;A column chart showing the per cent change in overnight spend by reason for travel for the June quarter 2021.&#10;In capital cities spend increased by 1% for holiday travel, had no change for visits to friends and relatives and fell 43% for business travel. &#10;Spend for interstate destinations increased 26% for holiday travel, and decreased 1% for visits to friends and relatives and 42% for business travel. &#10;In regional areas spend grew 42% for holiday travel, and fell 3% for visits to friends and relatives and 29% for business travel. &#10;Spend for intrastate destinations grew 28% for holiday travel, but fell 1% for visits to friends and relatives and 29% for business travel. ">
              <a:extLst xmlns:a="http://schemas.openxmlformats.org/drawingml/2006/main">
                <a:ext uri="{FF2B5EF4-FFF2-40B4-BE49-F238E27FC236}">
                  <a16:creationId xmlns:a16="http://schemas.microsoft.com/office/drawing/2014/main" id="{9050300A-079E-4CB1-A3B8-AC7A8AA285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2BA0B91" w14:textId="03F1765B" w:rsidR="006571EF" w:rsidRPr="009A66D8" w:rsidRDefault="006571EF" w:rsidP="006571EF">
      <w:pPr>
        <w:rPr>
          <w:sz w:val="16"/>
          <w:szCs w:val="16"/>
        </w:rPr>
      </w:pPr>
      <w:r>
        <w:rPr>
          <w:sz w:val="16"/>
          <w:szCs w:val="16"/>
          <w:vertAlign w:val="superscript"/>
        </w:rPr>
        <w:t>5</w:t>
      </w:r>
      <w:r w:rsidRPr="009A66D8">
        <w:rPr>
          <w:sz w:val="16"/>
          <w:szCs w:val="16"/>
        </w:rPr>
        <w:t xml:space="preserve"> Compared to June quarter 2019 (pre-COVID)</w:t>
      </w:r>
    </w:p>
    <w:p w14:paraId="62684DEE" w14:textId="0AEEE04D" w:rsidR="005853C4" w:rsidRPr="007B09ED" w:rsidRDefault="005853C4" w:rsidP="00DD4132">
      <w:pPr>
        <w:pStyle w:val="Heading3"/>
      </w:pPr>
      <w:r w:rsidRPr="007B09ED">
        <w:t>ACCOMMODATION</w:t>
      </w:r>
    </w:p>
    <w:p w14:paraId="6F5A77D7" w14:textId="149E5FD7" w:rsidR="007B09ED" w:rsidRPr="007B09ED" w:rsidRDefault="007B09ED" w:rsidP="00F3729F">
      <w:pPr>
        <w:pStyle w:val="Heading4"/>
      </w:pPr>
      <w:r>
        <w:t>June quarter 2021</w:t>
      </w:r>
    </w:p>
    <w:p w14:paraId="6B241591" w14:textId="7F768819" w:rsidR="005853C4" w:rsidRPr="00F3729F" w:rsidRDefault="005853C4" w:rsidP="00DD4132">
      <w:pPr>
        <w:pStyle w:val="Heading3"/>
        <w:rPr>
          <w:rFonts w:asciiTheme="minorHAnsi" w:eastAsiaTheme="minorHAnsi" w:hAnsiTheme="minorHAnsi" w:cstheme="minorBidi"/>
          <w:b w:val="0"/>
          <w:bCs w:val="0"/>
          <w:caps w:val="0"/>
          <w:color w:val="auto"/>
        </w:rPr>
      </w:pPr>
      <w:r w:rsidRPr="00F3729F">
        <w:rPr>
          <w:rFonts w:asciiTheme="minorHAnsi" w:eastAsiaTheme="minorHAnsi" w:hAnsiTheme="minorHAnsi" w:cstheme="minorBidi"/>
          <w:b w:val="0"/>
          <w:bCs w:val="0"/>
          <w:caps w:val="0"/>
          <w:color w:val="auto"/>
        </w:rPr>
        <w:t xml:space="preserve">Visitor nights were softer in June quarter 2021, down 11% compared to June quarter 2019. </w:t>
      </w:r>
      <w:r w:rsidR="001F7FFA" w:rsidRPr="00F3729F">
        <w:rPr>
          <w:rFonts w:asciiTheme="minorHAnsi" w:eastAsiaTheme="minorHAnsi" w:hAnsiTheme="minorHAnsi" w:cstheme="minorBidi"/>
          <w:b w:val="0"/>
          <w:bCs w:val="0"/>
          <w:caps w:val="0"/>
          <w:color w:val="auto"/>
        </w:rPr>
        <w:t xml:space="preserve">Nights in caravan parks and </w:t>
      </w:r>
      <w:r w:rsidR="004B4AF1" w:rsidRPr="00F3729F">
        <w:rPr>
          <w:rFonts w:asciiTheme="minorHAnsi" w:eastAsiaTheme="minorHAnsi" w:hAnsiTheme="minorHAnsi" w:cstheme="minorBidi"/>
          <w:b w:val="0"/>
          <w:bCs w:val="0"/>
          <w:caps w:val="0"/>
          <w:color w:val="auto"/>
        </w:rPr>
        <w:t>campgrounds</w:t>
      </w:r>
      <w:r w:rsidR="001F7FFA" w:rsidRPr="00F3729F">
        <w:rPr>
          <w:rFonts w:asciiTheme="minorHAnsi" w:eastAsiaTheme="minorHAnsi" w:hAnsiTheme="minorHAnsi" w:cstheme="minorBidi"/>
          <w:b w:val="0"/>
          <w:bCs w:val="0"/>
          <w:caps w:val="0"/>
          <w:color w:val="auto"/>
        </w:rPr>
        <w:t xml:space="preserve"> (down 3%)</w:t>
      </w:r>
      <w:r w:rsidR="00E273C3" w:rsidRPr="00F3729F">
        <w:rPr>
          <w:rFonts w:asciiTheme="minorHAnsi" w:eastAsiaTheme="minorHAnsi" w:hAnsiTheme="minorHAnsi" w:cstheme="minorBidi"/>
          <w:b w:val="0"/>
          <w:bCs w:val="0"/>
          <w:caps w:val="0"/>
          <w:color w:val="auto"/>
        </w:rPr>
        <w:t>,</w:t>
      </w:r>
      <w:r w:rsidR="00041EFB" w:rsidRPr="00F3729F">
        <w:rPr>
          <w:rFonts w:asciiTheme="minorHAnsi" w:eastAsiaTheme="minorHAnsi" w:hAnsiTheme="minorHAnsi" w:cstheme="minorBidi"/>
          <w:b w:val="0"/>
          <w:bCs w:val="0"/>
          <w:caps w:val="0"/>
          <w:color w:val="auto"/>
        </w:rPr>
        <w:t xml:space="preserve"> </w:t>
      </w:r>
      <w:r w:rsidR="001F7FFA" w:rsidRPr="00F3729F">
        <w:rPr>
          <w:rFonts w:asciiTheme="minorHAnsi" w:eastAsiaTheme="minorHAnsi" w:hAnsiTheme="minorHAnsi" w:cstheme="minorBidi"/>
          <w:b w:val="0"/>
          <w:bCs w:val="0"/>
          <w:caps w:val="0"/>
          <w:color w:val="auto"/>
        </w:rPr>
        <w:t>rented houses and apartments (down 6%)</w:t>
      </w:r>
      <w:r w:rsidR="00662AA3" w:rsidRPr="00F3729F">
        <w:rPr>
          <w:rFonts w:asciiTheme="minorHAnsi" w:eastAsiaTheme="minorHAnsi" w:hAnsiTheme="minorHAnsi" w:cstheme="minorBidi"/>
          <w:b w:val="0"/>
          <w:bCs w:val="0"/>
          <w:caps w:val="0"/>
          <w:color w:val="auto"/>
        </w:rPr>
        <w:t xml:space="preserve"> and</w:t>
      </w:r>
      <w:r w:rsidR="001F7FFA" w:rsidRPr="00F3729F">
        <w:rPr>
          <w:rFonts w:asciiTheme="minorHAnsi" w:eastAsiaTheme="minorHAnsi" w:hAnsiTheme="minorHAnsi" w:cstheme="minorBidi"/>
          <w:b w:val="0"/>
          <w:bCs w:val="0"/>
          <w:caps w:val="0"/>
          <w:color w:val="auto"/>
        </w:rPr>
        <w:t xml:space="preserve"> hotels (down 9%) fared better than those staying at their own property (down 24%) or friends or </w:t>
      </w:r>
      <w:r w:rsidR="007B09ED" w:rsidRPr="00F3729F">
        <w:rPr>
          <w:rFonts w:asciiTheme="minorHAnsi" w:eastAsiaTheme="minorHAnsi" w:hAnsiTheme="minorHAnsi" w:cstheme="minorBidi"/>
          <w:b w:val="0"/>
          <w:bCs w:val="0"/>
          <w:caps w:val="0"/>
          <w:color w:val="auto"/>
        </w:rPr>
        <w:t>relatives’</w:t>
      </w:r>
      <w:r w:rsidR="001F7FFA" w:rsidRPr="00F3729F">
        <w:rPr>
          <w:rFonts w:asciiTheme="minorHAnsi" w:eastAsiaTheme="minorHAnsi" w:hAnsiTheme="minorHAnsi" w:cstheme="minorBidi"/>
          <w:b w:val="0"/>
          <w:bCs w:val="0"/>
          <w:caps w:val="0"/>
          <w:color w:val="auto"/>
        </w:rPr>
        <w:t xml:space="preserve"> property (down 13%)</w:t>
      </w:r>
      <w:r w:rsidR="007B09ED" w:rsidRPr="00F3729F">
        <w:rPr>
          <w:rFonts w:asciiTheme="minorHAnsi" w:eastAsiaTheme="minorHAnsi" w:hAnsiTheme="minorHAnsi" w:cstheme="minorBidi"/>
          <w:b w:val="0"/>
          <w:bCs w:val="0"/>
          <w:caps w:val="0"/>
          <w:color w:val="auto"/>
        </w:rPr>
        <w:t>.</w:t>
      </w:r>
      <w:r w:rsidRPr="00F3729F">
        <w:rPr>
          <w:rFonts w:asciiTheme="minorHAnsi" w:eastAsiaTheme="minorHAnsi" w:hAnsiTheme="minorHAnsi" w:cstheme="minorBidi"/>
          <w:b w:val="0"/>
          <w:bCs w:val="0"/>
          <w:caps w:val="0"/>
          <w:color w:val="auto"/>
        </w:rPr>
        <w:t xml:space="preserve">  </w:t>
      </w:r>
    </w:p>
    <w:p w14:paraId="76D19612" w14:textId="74B15CBD" w:rsidR="00DD4132" w:rsidRPr="007B09ED" w:rsidRDefault="007B09ED" w:rsidP="00F3729F">
      <w:pPr>
        <w:pStyle w:val="Heading4"/>
      </w:pPr>
      <w:r w:rsidRPr="007B09ED">
        <w:t>Visitors booking private home accommodation</w:t>
      </w:r>
    </w:p>
    <w:p w14:paraId="1828BA36" w14:textId="7503E7FF" w:rsidR="00A43A63" w:rsidRDefault="00DD4132" w:rsidP="00DD4132">
      <w:r w:rsidRPr="00A43A63">
        <w:t>Through the COVID-19 pandemic a small but increasing share of Australians have been booking and staying in private home accommodation</w:t>
      </w:r>
      <w:r w:rsidR="00CB2777">
        <w:t xml:space="preserve"> (Figure 5)</w:t>
      </w:r>
      <w:r w:rsidRPr="00A43A63">
        <w:t>. Some 2 million overnight visitors (8%) booked this type of accommodation for their trip in June quarter 2021, down just 3%</w:t>
      </w:r>
      <w:r w:rsidR="00A43A63">
        <w:t xml:space="preserve"> on June quarter 2019. These visitors spent</w:t>
      </w:r>
      <w:r w:rsidRPr="00A43A63">
        <w:t xml:space="preserve"> $2.9 billion on their travels a 43% or $867 million increase.</w:t>
      </w:r>
    </w:p>
    <w:p w14:paraId="5597EFB9" w14:textId="1CBD954A" w:rsidR="00DD4132" w:rsidRDefault="00DD4132" w:rsidP="00DD4132">
      <w:r>
        <w:t>The significant increase in spend is partly attributable to them taking longer trips. Their average length of stay increased from 3.6 nights in June quarter 2019 to 4.3 nights in June quarter 2021. These visitors also spent much more on accommodation (up 65% or $479 million to $1.2 billion) in June quarter 2021.</w:t>
      </w:r>
    </w:p>
    <w:p w14:paraId="2F9E42B0" w14:textId="4266B73E" w:rsidR="00A43A63" w:rsidRDefault="00A43A63" w:rsidP="00A43A63">
      <w:r>
        <w:t>Results show that the spend by those booking private home accommodation is particularly strong when popular regional tourism destinations are visited as part of their trip. These include the North Coast, Hunter and South Coast in New South Wales, Great Ocean Road in Victoria and the Gold Coast and Sunshine Coast in Queensland.</w:t>
      </w:r>
    </w:p>
    <w:p w14:paraId="5FE686E7" w14:textId="7F47DF31" w:rsidR="00CB2777" w:rsidRDefault="0077267A" w:rsidP="0077267A">
      <w:pPr>
        <w:autoSpaceDE w:val="0"/>
        <w:autoSpaceDN w:val="0"/>
        <w:adjustRightInd w:val="0"/>
        <w:spacing w:after="0" w:line="240" w:lineRule="auto"/>
        <w:rPr>
          <w:rFonts w:ascii="Arial" w:eastAsia="Calibri" w:hAnsi="Arial" w:cs="Arial"/>
          <w:b/>
          <w:vertAlign w:val="superscript"/>
        </w:rPr>
      </w:pPr>
      <w:r w:rsidRPr="008C7C0B">
        <w:rPr>
          <w:rFonts w:ascii="Arial" w:eastAsia="Calibri" w:hAnsi="Arial" w:cs="Arial"/>
          <w:b/>
        </w:rPr>
        <w:lastRenderedPageBreak/>
        <w:t xml:space="preserve">FIGURE </w:t>
      </w:r>
      <w:r>
        <w:rPr>
          <w:rFonts w:ascii="Arial" w:eastAsia="Calibri" w:hAnsi="Arial" w:cs="Arial"/>
          <w:b/>
        </w:rPr>
        <w:t>5: PER CENT CHANGE IN KEY METRICS BY WHETHER BOOKED PRIVATE HOME ACCOMMODATION, JUNE QUARTER 2021</w:t>
      </w:r>
      <w:r w:rsidR="004B5A23">
        <w:rPr>
          <w:rFonts w:ascii="Arial" w:eastAsia="Calibri" w:hAnsi="Arial" w:cs="Arial"/>
          <w:b/>
          <w:vertAlign w:val="superscript"/>
        </w:rPr>
        <w:t>6</w:t>
      </w:r>
      <w:r w:rsidR="00CB2777">
        <w:rPr>
          <w:noProof/>
          <w:lang w:eastAsia="en-AU"/>
        </w:rPr>
        <w:drawing>
          <wp:inline distT="0" distB="0" distL="0" distR="0" wp14:anchorId="745CE410" wp14:editId="7DBF4776">
            <wp:extent cx="6010275" cy="2609850"/>
            <wp:effectExtent l="0" t="0" r="9525" b="0"/>
            <wp:docPr id="10" name="Chart 10" descr="FIGURE 5: PER CENT CHANGE IN IN KEY METRICS BY WHETHER BOOKED PRIVATE HOME ACCOMMODATION, JUNE QUARTER 2021&#10;&#10;A column chart showing the change in visitors, nights and spend for those that did and did not book private home accommodation for the June quarter 2021 compared to the same period last year.&#10;&#10;Visitors that booked private accommodation fell by 3%, though their nights were up 16% and spend were up 43%. Visitors that did not book private accommodation fell by 20%, their nights also fell by 16% and spend by 5%.">
              <a:extLst xmlns:a="http://schemas.openxmlformats.org/drawingml/2006/main">
                <a:ext uri="{FF2B5EF4-FFF2-40B4-BE49-F238E27FC236}">
                  <a16:creationId xmlns:a16="http://schemas.microsoft.com/office/drawing/2014/main" id="{D60E292E-11A1-440E-8148-00F0009CB4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FFC7047" w14:textId="3C78C9B8" w:rsidR="004B5A23" w:rsidRPr="009A66D8" w:rsidRDefault="004B5A23" w:rsidP="004B5A23">
      <w:pPr>
        <w:rPr>
          <w:sz w:val="16"/>
          <w:szCs w:val="16"/>
        </w:rPr>
      </w:pPr>
      <w:r>
        <w:rPr>
          <w:sz w:val="16"/>
          <w:szCs w:val="16"/>
          <w:vertAlign w:val="superscript"/>
        </w:rPr>
        <w:t>6</w:t>
      </w:r>
      <w:r w:rsidRPr="009A66D8">
        <w:rPr>
          <w:sz w:val="16"/>
          <w:szCs w:val="16"/>
        </w:rPr>
        <w:t xml:space="preserve"> Compared to June quarter 2019 (pre-COVID)</w:t>
      </w:r>
    </w:p>
    <w:p w14:paraId="0432FE91" w14:textId="18110481" w:rsidR="00182217" w:rsidRPr="00F3729F" w:rsidRDefault="00182217" w:rsidP="00F3729F">
      <w:pPr>
        <w:pStyle w:val="Heading3"/>
      </w:pPr>
      <w:bookmarkStart w:id="0" w:name="_Ref82698314"/>
      <w:r w:rsidRPr="00F3729F">
        <w:t>HALF-PRICE AIRFARES PROGRAM</w:t>
      </w:r>
      <w:bookmarkEnd w:id="0"/>
    </w:p>
    <w:p w14:paraId="3957E047" w14:textId="6C08C13D" w:rsidR="00182217" w:rsidRDefault="00182217" w:rsidP="00182217">
      <w:r>
        <w:t>In March 2021 the Federal Government announced a $1.2 billion half price airfares stimulus program to boost interstate travel to selected destinations with a reliance on tourism.</w:t>
      </w:r>
      <w:r w:rsidRPr="00182217">
        <w:t xml:space="preserve"> </w:t>
      </w:r>
    </w:p>
    <w:p w14:paraId="7AE372D0" w14:textId="26EA2412" w:rsidR="00182217" w:rsidRDefault="00182217" w:rsidP="00182217">
      <w:r>
        <w:t xml:space="preserve">During June quarter 2021 interstate spend totalled $3.6 billion across the 18 destinations included in the program (Figure </w:t>
      </w:r>
      <w:r w:rsidR="00CB2777">
        <w:t>6</w:t>
      </w:r>
      <w:r>
        <w:t>). This was a 33% or $895 million increase in interstate spend on June quarter 2019. Over the same period interstate spend to other areas of Australia fell 19% or $1.2 billion to $4.8 billion</w:t>
      </w:r>
      <w:r w:rsidR="003E001A">
        <w:t>, due largely to significant losses in the capital cities that were not included in the program</w:t>
      </w:r>
      <w:r>
        <w:t>.</w:t>
      </w:r>
      <w:r w:rsidR="00DE3A42">
        <w:t xml:space="preserve"> </w:t>
      </w:r>
    </w:p>
    <w:p w14:paraId="2A15893C" w14:textId="77777777" w:rsidR="00182217" w:rsidRDefault="00182217" w:rsidP="00182217">
      <w:r>
        <w:t>The average length of stay for interstate visitors to the cheap airfare destinations was up from 4.8 nights in June quarter 2019 to 5.6 nights in June quarter 2021. The amount they spent on accommodation, food and drink increased 43% or $658 million to $2.2 billion.</w:t>
      </w:r>
    </w:p>
    <w:p w14:paraId="7B0C72C9" w14:textId="1358F382" w:rsidR="00182217" w:rsidRPr="004B5A23" w:rsidRDefault="00182217" w:rsidP="00182217">
      <w:pPr>
        <w:autoSpaceDE w:val="0"/>
        <w:autoSpaceDN w:val="0"/>
        <w:adjustRightInd w:val="0"/>
        <w:spacing w:before="40" w:after="40" w:line="191" w:lineRule="atLeast"/>
        <w:rPr>
          <w:vertAlign w:val="superscript"/>
        </w:rPr>
      </w:pPr>
      <w:r w:rsidRPr="008C7C0B">
        <w:rPr>
          <w:rFonts w:ascii="Arial" w:eastAsia="Calibri" w:hAnsi="Arial" w:cs="Arial"/>
          <w:b/>
        </w:rPr>
        <w:t xml:space="preserve">FIGURE </w:t>
      </w:r>
      <w:r w:rsidR="00CB2777">
        <w:rPr>
          <w:rFonts w:ascii="Arial" w:eastAsia="Calibri" w:hAnsi="Arial" w:cs="Arial"/>
          <w:b/>
        </w:rPr>
        <w:t>6</w:t>
      </w:r>
      <w:r>
        <w:rPr>
          <w:rFonts w:ascii="Arial" w:eastAsia="Calibri" w:hAnsi="Arial" w:cs="Arial"/>
          <w:b/>
        </w:rPr>
        <w:t>: PER CENT CHANGE IN INTERSTATE SPEND, HALF-PRICE DESTINATIONS JUNE QUARTER 2021</w:t>
      </w:r>
      <w:r w:rsidR="004B5A23">
        <w:rPr>
          <w:rFonts w:ascii="Arial" w:eastAsia="Calibri" w:hAnsi="Arial" w:cs="Arial"/>
          <w:b/>
          <w:vertAlign w:val="superscript"/>
        </w:rPr>
        <w:t>7</w:t>
      </w:r>
    </w:p>
    <w:p w14:paraId="4FB6D767" w14:textId="0C9923FB" w:rsidR="007B7A08" w:rsidRDefault="00662AA3" w:rsidP="004B5A23">
      <w:pPr>
        <w:autoSpaceDE w:val="0"/>
        <w:autoSpaceDN w:val="0"/>
        <w:adjustRightInd w:val="0"/>
        <w:spacing w:after="0" w:line="240" w:lineRule="auto"/>
      </w:pPr>
      <w:r>
        <w:rPr>
          <w:noProof/>
          <w:lang w:eastAsia="en-AU"/>
        </w:rPr>
        <w:drawing>
          <wp:inline distT="0" distB="0" distL="0" distR="0" wp14:anchorId="6A0619A4" wp14:editId="12E06994">
            <wp:extent cx="6172200" cy="2952750"/>
            <wp:effectExtent l="0" t="0" r="0" b="0"/>
            <wp:docPr id="14" name="Chart 14" descr="FIGURE 6: PER CENT CHANGE IN INTERSTATE SPEND, HALF-PRICE DESTINATIONS JUNE QUARTER 2021&#10;&#10;This is a stacked bar chart that sorts the cheap airfare destinations in order of those who have most benefited to least benefited from the program. &#10;&#10;The highest per cent change in interstate spend for June quarter was seen for the Whitsundays and Townsville with an increase of 127% in spend for the quarter. This was followed by North West TAS up 122%, Tropical North Queensland up 93%, Lunceston and the North up 60%, Darwin up 40%, Adelaide and Kangaroo Island up 38%, Sunshine Coast up 38%, Gold Coast up 19%, South Coast NSW up 5% and Hobart and the South up %4. Locations that did not see an increase in interstate spend due to the program were, Australia's North West down 23%, Geelong and the Bellaraine and the Great Ocean Road down 16% and Alice Springs and Lasseter down 11%.">
              <a:extLst xmlns:a="http://schemas.openxmlformats.org/drawingml/2006/main">
                <a:ext uri="{FF2B5EF4-FFF2-40B4-BE49-F238E27FC236}">
                  <a16:creationId xmlns:a16="http://schemas.microsoft.com/office/drawing/2014/main" id="{99B75840-6239-4C8F-80B2-FC2E2F83F7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591CE3B" w14:textId="2693F22A" w:rsidR="004B5A23" w:rsidRPr="009A66D8" w:rsidRDefault="004B5A23" w:rsidP="004B5A23">
      <w:pPr>
        <w:rPr>
          <w:sz w:val="16"/>
          <w:szCs w:val="16"/>
        </w:rPr>
      </w:pPr>
      <w:r>
        <w:rPr>
          <w:sz w:val="16"/>
          <w:szCs w:val="16"/>
          <w:vertAlign w:val="superscript"/>
        </w:rPr>
        <w:t>7</w:t>
      </w:r>
      <w:r w:rsidRPr="009A66D8">
        <w:rPr>
          <w:sz w:val="16"/>
          <w:szCs w:val="16"/>
        </w:rPr>
        <w:t xml:space="preserve"> Compared to June quarter 2019 (pre-COVID)</w:t>
      </w:r>
    </w:p>
    <w:p w14:paraId="6447B716" w14:textId="265640FF" w:rsidR="000B42DB" w:rsidRPr="00991968" w:rsidRDefault="000B42DB" w:rsidP="00744E50">
      <w:pPr>
        <w:pStyle w:val="Heading3"/>
      </w:pPr>
      <w:r w:rsidRPr="00991968">
        <w:lastRenderedPageBreak/>
        <w:t xml:space="preserve">STATES AND TERRITORIES </w:t>
      </w:r>
    </w:p>
    <w:p w14:paraId="2E47AF98" w14:textId="7FC1A059" w:rsidR="000B42DB" w:rsidRDefault="000B42DB" w:rsidP="000B42DB">
      <w:pPr>
        <w:autoSpaceDE w:val="0"/>
        <w:autoSpaceDN w:val="0"/>
        <w:adjustRightInd w:val="0"/>
        <w:spacing w:before="40" w:after="40" w:line="191" w:lineRule="atLeast"/>
      </w:pPr>
      <w:r w:rsidRPr="00991968">
        <w:t>With COVID-19 effects from March 2020 onwards, all states and territories had a fall in overnight visitors and spend</w:t>
      </w:r>
      <w:r w:rsidR="00CE73BF">
        <w:t xml:space="preserve"> </w:t>
      </w:r>
      <w:r>
        <w:t xml:space="preserve">(Figure </w:t>
      </w:r>
      <w:r w:rsidR="0077267A">
        <w:t>7</w:t>
      </w:r>
      <w:r w:rsidRPr="00991968">
        <w:t>).</w:t>
      </w:r>
    </w:p>
    <w:p w14:paraId="6787A657" w14:textId="05FEAFC5" w:rsidR="005B686E" w:rsidRDefault="00603694" w:rsidP="00603694">
      <w:pPr>
        <w:spacing w:after="0"/>
        <w:rPr>
          <w:b/>
        </w:rPr>
      </w:pPr>
      <w:r>
        <w:rPr>
          <w:b/>
        </w:rPr>
        <w:br/>
      </w:r>
      <w:r w:rsidR="003B06D5">
        <w:rPr>
          <w:b/>
        </w:rPr>
        <w:t xml:space="preserve">FIGURE </w:t>
      </w:r>
      <w:r w:rsidR="0077267A">
        <w:rPr>
          <w:b/>
        </w:rPr>
        <w:t>7</w:t>
      </w:r>
      <w:r w:rsidR="003B06D5">
        <w:rPr>
          <w:b/>
        </w:rPr>
        <w:t>: OVE</w:t>
      </w:r>
      <w:r w:rsidR="00CE73BF">
        <w:rPr>
          <w:b/>
        </w:rPr>
        <w:t>R</w:t>
      </w:r>
      <w:r w:rsidR="003B06D5">
        <w:rPr>
          <w:b/>
        </w:rPr>
        <w:t xml:space="preserve">NIGHT TRIPS </w:t>
      </w:r>
      <w:r w:rsidR="0089759B">
        <w:rPr>
          <w:b/>
        </w:rPr>
        <w:t xml:space="preserve">AND SPEND BY STATE, </w:t>
      </w:r>
      <w:r w:rsidR="00CE73BF">
        <w:rPr>
          <w:b/>
        </w:rPr>
        <w:t>MARCH 2020 to JUNE 2021</w:t>
      </w:r>
      <w:r w:rsidR="00984F8A">
        <w:rPr>
          <w:b/>
          <w:vertAlign w:val="superscript"/>
        </w:rPr>
        <w:t>8,9</w:t>
      </w:r>
      <w:r w:rsidR="00CE73BF">
        <w:rPr>
          <w:b/>
        </w:rPr>
        <w:t xml:space="preserve"> </w:t>
      </w:r>
    </w:p>
    <w:p w14:paraId="16A9DA35" w14:textId="2F92D1D7" w:rsidR="00077318" w:rsidRDefault="00077318" w:rsidP="00603694">
      <w:pPr>
        <w:spacing w:after="0"/>
        <w:rPr>
          <w:b/>
          <w:vertAlign w:val="superscript"/>
        </w:rPr>
      </w:pPr>
    </w:p>
    <w:p w14:paraId="2E890218" w14:textId="4E5AAAFE" w:rsidR="00664C35" w:rsidRDefault="00664C35" w:rsidP="00603694">
      <w:pPr>
        <w:spacing w:after="0"/>
        <w:rPr>
          <w:b/>
          <w:vertAlign w:val="superscript"/>
        </w:rPr>
      </w:pPr>
      <w:r>
        <w:rPr>
          <w:noProof/>
        </w:rPr>
        <w:drawing>
          <wp:inline distT="0" distB="0" distL="0" distR="0" wp14:anchorId="075EBF99" wp14:editId="2D88B2B2">
            <wp:extent cx="6318250" cy="2697821"/>
            <wp:effectExtent l="0" t="0" r="6350" b="7620"/>
            <wp:docPr id="8" name="Picture 8" descr="FIGURE 6: OVENIGHT TRIPS AND SPEND BY STATE, MARCH 2020 TO JUNE 2021&#10;&#10;An image of Australia that shows the number of visitors and spend in each state or Territory for the period March 2020 to June 2021.&#10;New South Wales - 35.4 million visitors and $21.7 billion spend&#10;Victoria -  20.3 million visitors and $10.3 billion spend&#10;Queensland - 24.0 million visitors and $17.9 billion spend&#10;South Australia - 7.7 million visitors and $4.9 billion spend&#10;Western Australia - 11.8 million visitors and $8.4 billion spend&#10;Tasmania - 3.1 million visitors and $2.6 billion spend&#10;Northern Territory - 1.4 million visitors and $1.6 billion spend&#10;ACT - 2.5 million visitors and $1.5 billion sp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IGURE 6: OVENIGHT TRIPS AND SPEND BY STATE, MARCH 2020 TO JUNE 2021&#10;&#10;An image of Australia that shows the number of visitors and spend in each state or Territory for the period March 2020 to June 2021.&#10;New South Wales - 35.4 million visitors and $21.7 billion spend&#10;Victoria -  20.3 million visitors and $10.3 billion spend&#10;Queensland - 24.0 million visitors and $17.9 billion spend&#10;South Australia - 7.7 million visitors and $4.9 billion spend&#10;Western Australia - 11.8 million visitors and $8.4 billion spend&#10;Tasmania - 3.1 million visitors and $2.6 billion spend&#10;Northern Territory - 1.4 million visitors and $1.6 billion spend&#10;ACT - 2.5 million visitors and $1.5 billion spend"/>
                    <pic:cNvPicPr/>
                  </pic:nvPicPr>
                  <pic:blipFill>
                    <a:blip r:embed="rId18"/>
                    <a:stretch>
                      <a:fillRect/>
                    </a:stretch>
                  </pic:blipFill>
                  <pic:spPr>
                    <a:xfrm>
                      <a:off x="0" y="0"/>
                      <a:ext cx="6352375" cy="2712392"/>
                    </a:xfrm>
                    <a:prstGeom prst="rect">
                      <a:avLst/>
                    </a:prstGeom>
                  </pic:spPr>
                </pic:pic>
              </a:graphicData>
            </a:graphic>
          </wp:inline>
        </w:drawing>
      </w:r>
    </w:p>
    <w:p w14:paraId="248CD070" w14:textId="115523E1" w:rsidR="003B06D5" w:rsidRDefault="003B06D5" w:rsidP="00603694">
      <w:pPr>
        <w:spacing w:after="0"/>
        <w:rPr>
          <w:b/>
        </w:rPr>
      </w:pPr>
    </w:p>
    <w:p w14:paraId="2494CF34" w14:textId="5A1A5AB3" w:rsidR="0083568C" w:rsidRDefault="00296539" w:rsidP="000B42DB">
      <w:pPr>
        <w:rPr>
          <w:sz w:val="16"/>
          <w:szCs w:val="16"/>
        </w:rPr>
      </w:pPr>
      <w:r>
        <w:rPr>
          <w:sz w:val="16"/>
          <w:szCs w:val="16"/>
          <w:vertAlign w:val="superscript"/>
        </w:rPr>
        <w:t xml:space="preserve">8 </w:t>
      </w:r>
      <w:r w:rsidRPr="00296539">
        <w:rPr>
          <w:sz w:val="16"/>
          <w:szCs w:val="16"/>
        </w:rPr>
        <w:t>The COVID period is March 2020 to June 2021. The pre-COVID period uses equivalent data from before the start of the pandemic</w:t>
      </w:r>
      <w:r>
        <w:rPr>
          <w:sz w:val="16"/>
          <w:szCs w:val="16"/>
        </w:rPr>
        <w:t>.</w:t>
      </w:r>
      <w:r w:rsidRPr="00C204AE" w:rsidDel="00296539">
        <w:rPr>
          <w:sz w:val="16"/>
          <w:szCs w:val="16"/>
        </w:rPr>
        <w:t xml:space="preserve"> </w:t>
      </w:r>
      <w:r w:rsidR="00C204AE">
        <w:rPr>
          <w:sz w:val="16"/>
          <w:szCs w:val="16"/>
          <w:vertAlign w:val="superscript"/>
        </w:rPr>
        <w:br/>
      </w:r>
      <w:r w:rsidR="00984F8A">
        <w:rPr>
          <w:sz w:val="16"/>
          <w:szCs w:val="16"/>
          <w:vertAlign w:val="superscript"/>
        </w:rPr>
        <w:t>9</w:t>
      </w:r>
      <w:r w:rsidR="000B42DB" w:rsidRPr="00781BDD">
        <w:rPr>
          <w:sz w:val="16"/>
          <w:szCs w:val="16"/>
        </w:rPr>
        <w:t xml:space="preserve"> The sum of the total number of visitors for each state will be greater than the total number of visitors for Australia due to individuals who visited more than one state. </w:t>
      </w:r>
    </w:p>
    <w:p w14:paraId="67E2E829" w14:textId="013A7876" w:rsidR="00B07163" w:rsidRDefault="00B07163" w:rsidP="006F00FD">
      <w:pPr>
        <w:rPr>
          <w:b/>
        </w:rPr>
      </w:pPr>
    </w:p>
    <w:sectPr w:rsidR="00B07163" w:rsidSect="00414B78">
      <w:type w:val="continuous"/>
      <w:pgSz w:w="11906" w:h="16838" w:code="9"/>
      <w:pgMar w:top="1440" w:right="1440" w:bottom="1440" w:left="1440"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48A5D9" w14:textId="77777777" w:rsidR="00AE5257" w:rsidRDefault="00AE5257" w:rsidP="00E072F0">
      <w:r>
        <w:separator/>
      </w:r>
    </w:p>
  </w:endnote>
  <w:endnote w:type="continuationSeparator" w:id="0">
    <w:p w14:paraId="592899E6" w14:textId="77777777" w:rsidR="00AE5257" w:rsidRDefault="00AE5257" w:rsidP="00E072F0">
      <w:r>
        <w:continuationSeparator/>
      </w:r>
    </w:p>
  </w:endnote>
  <w:endnote w:type="continuationNotice" w:id="1">
    <w:p w14:paraId="238072D9" w14:textId="77777777" w:rsidR="00AE5257" w:rsidRDefault="00AE52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Light">
    <w:altName w:val="Trade Gothic LT Std Light"/>
    <w:panose1 w:val="00000000000000000000"/>
    <w:charset w:val="00"/>
    <w:family w:val="swiss"/>
    <w:notTrueType/>
    <w:pitch w:val="variable"/>
    <w:sig w:usb0="00000003" w:usb1="00000000" w:usb2="00000000" w:usb3="00000000" w:csb0="00000001" w:csb1="00000000"/>
  </w:font>
  <w:font w:name="TradeGothic">
    <w:altName w:val="TradeGothic"/>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0CEB0" w14:textId="77777777" w:rsidR="00AE5257" w:rsidRDefault="00AE52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6A621D" w14:textId="77777777" w:rsidR="00AE5257" w:rsidRDefault="00AE5257" w:rsidP="00E072F0">
      <w:r>
        <w:separator/>
      </w:r>
    </w:p>
  </w:footnote>
  <w:footnote w:type="continuationSeparator" w:id="0">
    <w:p w14:paraId="36A139C9" w14:textId="77777777" w:rsidR="00AE5257" w:rsidRDefault="00AE5257" w:rsidP="00E072F0">
      <w:r>
        <w:continuationSeparator/>
      </w:r>
    </w:p>
  </w:footnote>
  <w:footnote w:type="continuationNotice" w:id="1">
    <w:p w14:paraId="4DBD742A" w14:textId="77777777" w:rsidR="00AE5257" w:rsidRDefault="00AE52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72FCC" w14:textId="0261A6BE" w:rsidR="00AE5257" w:rsidRPr="00414B78" w:rsidRDefault="00AE5257" w:rsidP="00F23989">
    <w:pPr>
      <w:tabs>
        <w:tab w:val="center" w:pos="4513"/>
        <w:tab w:val="right" w:pos="9026"/>
      </w:tabs>
      <w:spacing w:after="0" w:line="240" w:lineRule="auto"/>
      <w:rPr>
        <w:color w:val="ACA6A2" w:themeColor="accent5"/>
        <w:sz w:val="36"/>
        <w:szCs w:val="36"/>
      </w:rPr>
    </w:pPr>
    <w:r w:rsidRPr="00414B78">
      <w:rPr>
        <w:noProof/>
        <w:lang w:eastAsia="en-AU"/>
      </w:rPr>
      <mc:AlternateContent>
        <mc:Choice Requires="wps">
          <w:drawing>
            <wp:inline distT="0" distB="0" distL="0" distR="0" wp14:anchorId="1184DE2C" wp14:editId="54F9BC7F">
              <wp:extent cx="712800" cy="694800"/>
              <wp:effectExtent l="0" t="0" r="0" b="0"/>
              <wp:docPr id="3" name="Rectangle 3" title="Page number"/>
              <wp:cNvGraphicFramePr/>
              <a:graphic xmlns:a="http://schemas.openxmlformats.org/drawingml/2006/main">
                <a:graphicData uri="http://schemas.microsoft.com/office/word/2010/wordprocessingShape">
                  <wps:wsp>
                    <wps:cNvSpPr/>
                    <wps:spPr>
                      <a:xfrm>
                        <a:off x="0" y="0"/>
                        <a:ext cx="712800" cy="694800"/>
                      </a:xfrm>
                      <a:prstGeom prst="rect">
                        <a:avLst/>
                      </a:prstGeom>
                      <a:solidFill>
                        <a:srgbClr val="ACA6A2"/>
                      </a:solidFill>
                      <a:ln w="25400" cap="flat" cmpd="sng" algn="ctr">
                        <a:noFill/>
                        <a:prstDash val="solid"/>
                      </a:ln>
                      <a:effectLst/>
                    </wps:spPr>
                    <wps:txbx>
                      <w:txbxContent>
                        <w:p w14:paraId="4CF10280" w14:textId="0BC12D01" w:rsidR="00AE5257" w:rsidRDefault="00AE5257" w:rsidP="00741347">
                          <w:pPr>
                            <w:jc w:val="center"/>
                          </w:pPr>
                          <w:r w:rsidRPr="00414B78">
                            <w:rPr>
                              <w:color w:val="FFFFFF" w:themeColor="background1"/>
                              <w:sz w:val="36"/>
                              <w:szCs w:val="36"/>
                            </w:rPr>
                            <w:fldChar w:fldCharType="begin"/>
                          </w:r>
                          <w:r w:rsidRPr="00414B78">
                            <w:rPr>
                              <w:color w:val="FFFFFF" w:themeColor="background1"/>
                              <w:sz w:val="36"/>
                              <w:szCs w:val="36"/>
                            </w:rPr>
                            <w:instrText xml:space="preserve"> PAGE   \* MERGEFORMAT </w:instrText>
                          </w:r>
                          <w:r w:rsidRPr="00414B78">
                            <w:rPr>
                              <w:color w:val="FFFFFF" w:themeColor="background1"/>
                              <w:sz w:val="36"/>
                              <w:szCs w:val="36"/>
                            </w:rPr>
                            <w:fldChar w:fldCharType="separate"/>
                          </w:r>
                          <w:r w:rsidR="00921410">
                            <w:rPr>
                              <w:noProof/>
                              <w:color w:val="FFFFFF" w:themeColor="background1"/>
                              <w:sz w:val="36"/>
                              <w:szCs w:val="36"/>
                            </w:rPr>
                            <w:t>8</w:t>
                          </w:r>
                          <w:r w:rsidRPr="00414B78">
                            <w:rPr>
                              <w:noProof/>
                              <w:color w:val="FFFFFF" w:themeColor="background1"/>
                              <w:sz w:val="36"/>
                              <w:szCs w:val="36"/>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184DE2C" id="Rectangle 3" o:spid="_x0000_s1026" alt="Title: Page number" style="width:56.15pt;height:54.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" fillcolor="#aca6a2" stroked="f" strokeweight="2pt">
              <v:textbox>
                <w:txbxContent>
                  <w:p w14:paraId="4CF10280" w14:textId="0BC12D01" w:rsidR="00AE5257" w:rsidRDefault="00AE5257" w:rsidP="00741347">
                    <w:pPr>
                      <w:jc w:val="center"/>
                    </w:pPr>
                    <w:r w:rsidRPr="00414B78">
                      <w:rPr>
                        <w:color w:val="FFFFFF" w:themeColor="background1"/>
                        <w:sz w:val="36"/>
                        <w:szCs w:val="36"/>
                      </w:rPr>
                      <w:fldChar w:fldCharType="begin"/>
                    </w:r>
                    <w:r w:rsidRPr="00414B78">
                      <w:rPr>
                        <w:color w:val="FFFFFF" w:themeColor="background1"/>
                        <w:sz w:val="36"/>
                        <w:szCs w:val="36"/>
                      </w:rPr>
                      <w:instrText xml:space="preserve"> PAGE   \* MERGEFORMAT </w:instrText>
                    </w:r>
                    <w:r w:rsidRPr="00414B78">
                      <w:rPr>
                        <w:color w:val="FFFFFF" w:themeColor="background1"/>
                        <w:sz w:val="36"/>
                        <w:szCs w:val="36"/>
                      </w:rPr>
                      <w:fldChar w:fldCharType="separate"/>
                    </w:r>
                    <w:r w:rsidR="00921410">
                      <w:rPr>
                        <w:noProof/>
                        <w:color w:val="FFFFFF" w:themeColor="background1"/>
                        <w:sz w:val="36"/>
                        <w:szCs w:val="36"/>
                      </w:rPr>
                      <w:t>8</w:t>
                    </w:r>
                    <w:r w:rsidRPr="00414B78">
                      <w:rPr>
                        <w:noProof/>
                        <w:color w:val="FFFFFF" w:themeColor="background1"/>
                        <w:sz w:val="36"/>
                        <w:szCs w:val="36"/>
                      </w:rPr>
                      <w:fldChar w:fldCharType="end"/>
                    </w:r>
                  </w:p>
                </w:txbxContent>
              </v:textbox>
              <w10:anchorlock/>
            </v:rect>
          </w:pict>
        </mc:Fallback>
      </mc:AlternateContent>
    </w:r>
  </w:p>
  <w:p w14:paraId="2F717463" w14:textId="77777777" w:rsidR="00AE5257" w:rsidRDefault="00AE5257" w:rsidP="007C2A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361C2" w14:textId="77468A15" w:rsidR="00AE5257" w:rsidRPr="00C136FE" w:rsidRDefault="00AE5257" w:rsidP="00F23989">
    <w:pPr>
      <w:pStyle w:val="Header"/>
      <w:ind w:left="-567"/>
      <w:rPr>
        <w:color w:val="ACA6A2" w:themeColor="accent5"/>
        <w:sz w:val="36"/>
        <w:szCs w:val="36"/>
      </w:rPr>
    </w:pPr>
    <w:r>
      <w:rPr>
        <w:noProof/>
        <w:lang w:eastAsia="en-AU"/>
      </w:rPr>
      <mc:AlternateContent>
        <mc:Choice Requires="wps">
          <w:drawing>
            <wp:inline distT="0" distB="0" distL="0" distR="0" wp14:anchorId="4913F565" wp14:editId="23248C1D">
              <wp:extent cx="714375" cy="695325"/>
              <wp:effectExtent l="0" t="0" r="9525" b="9525"/>
              <wp:docPr id="2" name="Rectangle 2" title="Page number"/>
              <wp:cNvGraphicFramePr/>
              <a:graphic xmlns:a="http://schemas.openxmlformats.org/drawingml/2006/main">
                <a:graphicData uri="http://schemas.microsoft.com/office/word/2010/wordprocessingShape">
                  <wps:wsp>
                    <wps:cNvSpPr/>
                    <wps:spPr>
                      <a:xfrm>
                        <a:off x="0" y="0"/>
                        <a:ext cx="714375" cy="695325"/>
                      </a:xfrm>
                      <a:prstGeom prst="rect">
                        <a:avLst/>
                      </a:prstGeom>
                      <a:solidFill>
                        <a:srgbClr val="ACA6A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14844E" w14:textId="4C1FFE0A" w:rsidR="00AE5257" w:rsidRDefault="00AE5257" w:rsidP="00741347">
                          <w:pPr>
                            <w:jc w:val="center"/>
                          </w:pPr>
                          <w:r w:rsidRPr="00CF10C4">
                            <w:rPr>
                              <w:color w:val="FFFFFF" w:themeColor="background1"/>
                              <w:sz w:val="36"/>
                              <w:szCs w:val="36"/>
                            </w:rPr>
                            <w:fldChar w:fldCharType="begin"/>
                          </w:r>
                          <w:r w:rsidRPr="00CF10C4">
                            <w:rPr>
                              <w:color w:val="FFFFFF" w:themeColor="background1"/>
                              <w:sz w:val="36"/>
                              <w:szCs w:val="36"/>
                            </w:rPr>
                            <w:instrText xml:space="preserve"> PAGE   \* MERGEFORMAT </w:instrText>
                          </w:r>
                          <w:r w:rsidRPr="00CF10C4">
                            <w:rPr>
                              <w:color w:val="FFFFFF" w:themeColor="background1"/>
                              <w:sz w:val="36"/>
                              <w:szCs w:val="36"/>
                            </w:rPr>
                            <w:fldChar w:fldCharType="separate"/>
                          </w:r>
                          <w:r w:rsidR="00921410">
                            <w:rPr>
                              <w:noProof/>
                              <w:color w:val="FFFFFF" w:themeColor="background1"/>
                              <w:sz w:val="36"/>
                              <w:szCs w:val="36"/>
                            </w:rPr>
                            <w:t>9</w:t>
                          </w:r>
                          <w:r w:rsidRPr="00CF10C4">
                            <w:rPr>
                              <w:noProof/>
                              <w:color w:val="FFFFFF" w:themeColor="background1"/>
                              <w:sz w:val="36"/>
                              <w:szCs w:val="36"/>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913F565" id="Rectangle 2" o:spid="_x0000_s1027" alt="Title: Page number" style="width:56.25pt;height:5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" fillcolor="#aca6a2" stroked="f" strokeweight="2pt">
              <v:textbox>
                <w:txbxContent>
                  <w:p w14:paraId="7914844E" w14:textId="4C1FFE0A" w:rsidR="00AE5257" w:rsidRDefault="00AE5257" w:rsidP="00741347">
                    <w:pPr>
                      <w:jc w:val="center"/>
                    </w:pPr>
                    <w:r w:rsidRPr="00CF10C4">
                      <w:rPr>
                        <w:color w:val="FFFFFF" w:themeColor="background1"/>
                        <w:sz w:val="36"/>
                        <w:szCs w:val="36"/>
                      </w:rPr>
                      <w:fldChar w:fldCharType="begin"/>
                    </w:r>
                    <w:r w:rsidRPr="00CF10C4">
                      <w:rPr>
                        <w:color w:val="FFFFFF" w:themeColor="background1"/>
                        <w:sz w:val="36"/>
                        <w:szCs w:val="36"/>
                      </w:rPr>
                      <w:instrText xml:space="preserve"> PAGE   \* MERGEFORMAT </w:instrText>
                    </w:r>
                    <w:r w:rsidRPr="00CF10C4">
                      <w:rPr>
                        <w:color w:val="FFFFFF" w:themeColor="background1"/>
                        <w:sz w:val="36"/>
                        <w:szCs w:val="36"/>
                      </w:rPr>
                      <w:fldChar w:fldCharType="separate"/>
                    </w:r>
                    <w:r w:rsidR="00921410">
                      <w:rPr>
                        <w:noProof/>
                        <w:color w:val="FFFFFF" w:themeColor="background1"/>
                        <w:sz w:val="36"/>
                        <w:szCs w:val="36"/>
                      </w:rPr>
                      <w:t>9</w:t>
                    </w:r>
                    <w:r w:rsidRPr="00CF10C4">
                      <w:rPr>
                        <w:noProof/>
                        <w:color w:val="FFFFFF" w:themeColor="background1"/>
                        <w:sz w:val="36"/>
                        <w:szCs w:val="36"/>
                      </w:rPr>
                      <w:fldChar w:fldCharType="end"/>
                    </w:r>
                  </w:p>
                </w:txbxContent>
              </v:textbox>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01629" w14:textId="77777777" w:rsidR="00AE5257" w:rsidRDefault="00AE5257">
    <w:pPr>
      <w:pStyle w:val="Header"/>
    </w:pPr>
    <w:r>
      <w:rPr>
        <w:noProof/>
        <w:lang w:eastAsia="en-AU"/>
      </w:rPr>
      <w:drawing>
        <wp:anchor distT="0" distB="0" distL="114300" distR="114300" simplePos="0" relativeHeight="251658240" behindDoc="0" locked="0" layoutInCell="1" allowOverlap="1" wp14:anchorId="191A0E65" wp14:editId="0DCF0D65">
          <wp:simplePos x="0" y="0"/>
          <wp:positionH relativeFrom="column">
            <wp:posOffset>-914400</wp:posOffset>
          </wp:positionH>
          <wp:positionV relativeFrom="paragraph">
            <wp:posOffset>0</wp:posOffset>
          </wp:positionV>
          <wp:extent cx="7566500" cy="1454297"/>
          <wp:effectExtent l="0" t="0" r="0" b="0"/>
          <wp:wrapNone/>
          <wp:docPr id="9" name="Picture 9" descr="Banner with the Australian Government Austrade and Tourism Research Australia logos." title="Austrade and Tourism Research Australia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6500" cy="145429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F7BE8"/>
    <w:multiLevelType w:val="hybridMultilevel"/>
    <w:tmpl w:val="2966BB70"/>
    <w:lvl w:ilvl="0" w:tplc="AE00EC9E">
      <w:numFmt w:val="bullet"/>
      <w:lvlText w:val=""/>
      <w:lvlJc w:val="left"/>
      <w:pPr>
        <w:ind w:left="1080" w:hanging="360"/>
      </w:pPr>
      <w:rPr>
        <w:rFonts w:ascii="Symbol" w:eastAsiaTheme="minorHAnsi"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B856365"/>
    <w:multiLevelType w:val="hybridMultilevel"/>
    <w:tmpl w:val="C1BA9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8A7EE8"/>
    <w:multiLevelType w:val="hybridMultilevel"/>
    <w:tmpl w:val="69F2E714"/>
    <w:lvl w:ilvl="0" w:tplc="899EEEA4">
      <w:start w:val="1"/>
      <w:numFmt w:val="bullet"/>
      <w:pStyle w:val="ListParagraph"/>
      <w:lvlText w:val=""/>
      <w:lvlJc w:val="left"/>
      <w:pPr>
        <w:ind w:left="720" w:hanging="360"/>
      </w:pPr>
      <w:rPr>
        <w:rFonts w:ascii="Wingdings" w:hAnsi="Wingdings" w:hint="default"/>
        <w:color w:val="D4D71E" w:themeColor="accent3"/>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E40689"/>
    <w:multiLevelType w:val="hybridMultilevel"/>
    <w:tmpl w:val="C99A9E1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42F43A0E"/>
    <w:multiLevelType w:val="hybridMultilevel"/>
    <w:tmpl w:val="CC4AC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AFA27E4"/>
    <w:multiLevelType w:val="hybridMultilevel"/>
    <w:tmpl w:val="2CA41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6357B3D"/>
    <w:multiLevelType w:val="hybridMultilevel"/>
    <w:tmpl w:val="5DAE58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065C7B"/>
    <w:multiLevelType w:val="hybridMultilevel"/>
    <w:tmpl w:val="4DDC4E50"/>
    <w:lvl w:ilvl="0" w:tplc="5AE227F6">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A484A19"/>
    <w:multiLevelType w:val="hybridMultilevel"/>
    <w:tmpl w:val="BB0C754C"/>
    <w:lvl w:ilvl="0" w:tplc="78B8CA2C">
      <w:start w:val="1"/>
      <w:numFmt w:val="bullet"/>
      <w:lvlText w:val=""/>
      <w:lvlJc w:val="left"/>
      <w:pPr>
        <w:ind w:left="720" w:hanging="360"/>
      </w:pPr>
      <w:rPr>
        <w:rFonts w:ascii="Wingdings" w:hAnsi="Wingdings"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BA10AFA"/>
    <w:multiLevelType w:val="hybridMultilevel"/>
    <w:tmpl w:val="B30438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8"/>
  </w:num>
  <w:num w:numId="4">
    <w:abstractNumId w:val="2"/>
  </w:num>
  <w:num w:numId="5">
    <w:abstractNumId w:val="4"/>
  </w:num>
  <w:num w:numId="6">
    <w:abstractNumId w:val="9"/>
  </w:num>
  <w:num w:numId="7">
    <w:abstractNumId w:val="7"/>
  </w:num>
  <w:num w:numId="8">
    <w:abstractNumId w:val="3"/>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evenAndOddHeaders/>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926"/>
    <w:rsid w:val="00000D86"/>
    <w:rsid w:val="00010D5E"/>
    <w:rsid w:val="00013999"/>
    <w:rsid w:val="00017457"/>
    <w:rsid w:val="00020480"/>
    <w:rsid w:val="0002196C"/>
    <w:rsid w:val="00021C97"/>
    <w:rsid w:val="00022BDA"/>
    <w:rsid w:val="00023D52"/>
    <w:rsid w:val="000323FC"/>
    <w:rsid w:val="00033670"/>
    <w:rsid w:val="000370FE"/>
    <w:rsid w:val="00037760"/>
    <w:rsid w:val="00041B38"/>
    <w:rsid w:val="00041EFB"/>
    <w:rsid w:val="00042A48"/>
    <w:rsid w:val="00042CAB"/>
    <w:rsid w:val="00045560"/>
    <w:rsid w:val="00045A17"/>
    <w:rsid w:val="00047080"/>
    <w:rsid w:val="000516DD"/>
    <w:rsid w:val="00055B9D"/>
    <w:rsid w:val="0006094D"/>
    <w:rsid w:val="000609AD"/>
    <w:rsid w:val="00063425"/>
    <w:rsid w:val="00065CEA"/>
    <w:rsid w:val="00070827"/>
    <w:rsid w:val="00070896"/>
    <w:rsid w:val="0007447B"/>
    <w:rsid w:val="000751A6"/>
    <w:rsid w:val="00075244"/>
    <w:rsid w:val="00075EA7"/>
    <w:rsid w:val="00077318"/>
    <w:rsid w:val="0007733F"/>
    <w:rsid w:val="000875F3"/>
    <w:rsid w:val="0009120E"/>
    <w:rsid w:val="000A6473"/>
    <w:rsid w:val="000B0534"/>
    <w:rsid w:val="000B42DB"/>
    <w:rsid w:val="000C4434"/>
    <w:rsid w:val="000C4532"/>
    <w:rsid w:val="000D09DF"/>
    <w:rsid w:val="000D3225"/>
    <w:rsid w:val="000D50EA"/>
    <w:rsid w:val="000D616A"/>
    <w:rsid w:val="000D6F2F"/>
    <w:rsid w:val="000E1BAE"/>
    <w:rsid w:val="000E4029"/>
    <w:rsid w:val="000E4DC4"/>
    <w:rsid w:val="000E6483"/>
    <w:rsid w:val="000E6F61"/>
    <w:rsid w:val="000F04B0"/>
    <w:rsid w:val="000F7ECA"/>
    <w:rsid w:val="00100BD8"/>
    <w:rsid w:val="00102DFF"/>
    <w:rsid w:val="00110E56"/>
    <w:rsid w:val="00111C40"/>
    <w:rsid w:val="00112DAE"/>
    <w:rsid w:val="001141AB"/>
    <w:rsid w:val="00114B83"/>
    <w:rsid w:val="00115B02"/>
    <w:rsid w:val="001247DB"/>
    <w:rsid w:val="00124FCE"/>
    <w:rsid w:val="001269BE"/>
    <w:rsid w:val="00127FED"/>
    <w:rsid w:val="0013103E"/>
    <w:rsid w:val="00131AE7"/>
    <w:rsid w:val="00131FF6"/>
    <w:rsid w:val="00133A69"/>
    <w:rsid w:val="0013589C"/>
    <w:rsid w:val="00135A9A"/>
    <w:rsid w:val="00142F6D"/>
    <w:rsid w:val="001458AA"/>
    <w:rsid w:val="00155470"/>
    <w:rsid w:val="00157BD9"/>
    <w:rsid w:val="00160AF2"/>
    <w:rsid w:val="001629D6"/>
    <w:rsid w:val="00162CE5"/>
    <w:rsid w:val="001633A5"/>
    <w:rsid w:val="001661FA"/>
    <w:rsid w:val="00166466"/>
    <w:rsid w:val="00166B5D"/>
    <w:rsid w:val="00166D88"/>
    <w:rsid w:val="00167DE0"/>
    <w:rsid w:val="0017243A"/>
    <w:rsid w:val="00182217"/>
    <w:rsid w:val="001933DE"/>
    <w:rsid w:val="00193F07"/>
    <w:rsid w:val="001940B0"/>
    <w:rsid w:val="00196FD5"/>
    <w:rsid w:val="00197843"/>
    <w:rsid w:val="001A4443"/>
    <w:rsid w:val="001A52F6"/>
    <w:rsid w:val="001B099E"/>
    <w:rsid w:val="001B1542"/>
    <w:rsid w:val="001B23A7"/>
    <w:rsid w:val="001B7A72"/>
    <w:rsid w:val="001C0B22"/>
    <w:rsid w:val="001C7872"/>
    <w:rsid w:val="001D2820"/>
    <w:rsid w:val="001D648F"/>
    <w:rsid w:val="001E0F69"/>
    <w:rsid w:val="001E22EE"/>
    <w:rsid w:val="001E2C20"/>
    <w:rsid w:val="001E46F4"/>
    <w:rsid w:val="001E55D7"/>
    <w:rsid w:val="001E5BA9"/>
    <w:rsid w:val="001E643A"/>
    <w:rsid w:val="001F12D8"/>
    <w:rsid w:val="001F3CC3"/>
    <w:rsid w:val="001F7FFA"/>
    <w:rsid w:val="00201562"/>
    <w:rsid w:val="00201591"/>
    <w:rsid w:val="0020204C"/>
    <w:rsid w:val="00204C35"/>
    <w:rsid w:val="00205A17"/>
    <w:rsid w:val="002065AD"/>
    <w:rsid w:val="0020702C"/>
    <w:rsid w:val="00207E9D"/>
    <w:rsid w:val="00210EC0"/>
    <w:rsid w:val="00222CD3"/>
    <w:rsid w:val="00223C0A"/>
    <w:rsid w:val="00224FD9"/>
    <w:rsid w:val="00233C95"/>
    <w:rsid w:val="002376EE"/>
    <w:rsid w:val="00242581"/>
    <w:rsid w:val="002431E7"/>
    <w:rsid w:val="00243A7B"/>
    <w:rsid w:val="00244302"/>
    <w:rsid w:val="00250EE0"/>
    <w:rsid w:val="002559D4"/>
    <w:rsid w:val="00260745"/>
    <w:rsid w:val="002641F3"/>
    <w:rsid w:val="00265E3B"/>
    <w:rsid w:val="002706A3"/>
    <w:rsid w:val="002706CB"/>
    <w:rsid w:val="002715CF"/>
    <w:rsid w:val="002727BD"/>
    <w:rsid w:val="00274E17"/>
    <w:rsid w:val="0028287E"/>
    <w:rsid w:val="00290684"/>
    <w:rsid w:val="002926F2"/>
    <w:rsid w:val="00292ED5"/>
    <w:rsid w:val="00296539"/>
    <w:rsid w:val="002A104D"/>
    <w:rsid w:val="002A2C96"/>
    <w:rsid w:val="002A61E1"/>
    <w:rsid w:val="002A6CB3"/>
    <w:rsid w:val="002B2127"/>
    <w:rsid w:val="002B61C7"/>
    <w:rsid w:val="002C294A"/>
    <w:rsid w:val="002C66CD"/>
    <w:rsid w:val="002C695F"/>
    <w:rsid w:val="002D1C73"/>
    <w:rsid w:val="002D6A8F"/>
    <w:rsid w:val="002D7772"/>
    <w:rsid w:val="002D7BFA"/>
    <w:rsid w:val="002D7C24"/>
    <w:rsid w:val="002E1B51"/>
    <w:rsid w:val="002E6CAE"/>
    <w:rsid w:val="002F1777"/>
    <w:rsid w:val="002F3853"/>
    <w:rsid w:val="002F6D4D"/>
    <w:rsid w:val="00301B49"/>
    <w:rsid w:val="00302873"/>
    <w:rsid w:val="00307F82"/>
    <w:rsid w:val="00310498"/>
    <w:rsid w:val="00310B93"/>
    <w:rsid w:val="0031441A"/>
    <w:rsid w:val="00331B0E"/>
    <w:rsid w:val="003339C7"/>
    <w:rsid w:val="00336A14"/>
    <w:rsid w:val="0034108E"/>
    <w:rsid w:val="003414FC"/>
    <w:rsid w:val="0034211E"/>
    <w:rsid w:val="0034438D"/>
    <w:rsid w:val="0034531C"/>
    <w:rsid w:val="003470B6"/>
    <w:rsid w:val="00351FD3"/>
    <w:rsid w:val="00352924"/>
    <w:rsid w:val="003545F6"/>
    <w:rsid w:val="00355255"/>
    <w:rsid w:val="00360268"/>
    <w:rsid w:val="00365CD8"/>
    <w:rsid w:val="0036654A"/>
    <w:rsid w:val="00371E6C"/>
    <w:rsid w:val="00374292"/>
    <w:rsid w:val="0037628E"/>
    <w:rsid w:val="00377500"/>
    <w:rsid w:val="00381C05"/>
    <w:rsid w:val="003852F2"/>
    <w:rsid w:val="00386193"/>
    <w:rsid w:val="00386271"/>
    <w:rsid w:val="00387560"/>
    <w:rsid w:val="0039321C"/>
    <w:rsid w:val="003960C4"/>
    <w:rsid w:val="003A386B"/>
    <w:rsid w:val="003A73B8"/>
    <w:rsid w:val="003B06D5"/>
    <w:rsid w:val="003B0773"/>
    <w:rsid w:val="003B2B54"/>
    <w:rsid w:val="003B4F13"/>
    <w:rsid w:val="003B654F"/>
    <w:rsid w:val="003B727C"/>
    <w:rsid w:val="003C41AF"/>
    <w:rsid w:val="003D615D"/>
    <w:rsid w:val="003E001A"/>
    <w:rsid w:val="003E5731"/>
    <w:rsid w:val="003F3C1F"/>
    <w:rsid w:val="003F59B0"/>
    <w:rsid w:val="003F7AC0"/>
    <w:rsid w:val="003F7E5F"/>
    <w:rsid w:val="00400145"/>
    <w:rsid w:val="004002D9"/>
    <w:rsid w:val="00400A00"/>
    <w:rsid w:val="00401BAA"/>
    <w:rsid w:val="00403C55"/>
    <w:rsid w:val="00406518"/>
    <w:rsid w:val="004107EC"/>
    <w:rsid w:val="00411F41"/>
    <w:rsid w:val="004128A9"/>
    <w:rsid w:val="004143A1"/>
    <w:rsid w:val="00414B78"/>
    <w:rsid w:val="00415DD6"/>
    <w:rsid w:val="0041733E"/>
    <w:rsid w:val="004173C6"/>
    <w:rsid w:val="0042027C"/>
    <w:rsid w:val="00423304"/>
    <w:rsid w:val="004265F4"/>
    <w:rsid w:val="00430B7B"/>
    <w:rsid w:val="004314A6"/>
    <w:rsid w:val="004342A8"/>
    <w:rsid w:val="0043491F"/>
    <w:rsid w:val="00434E98"/>
    <w:rsid w:val="00443ED9"/>
    <w:rsid w:val="0044400D"/>
    <w:rsid w:val="00444EDC"/>
    <w:rsid w:val="00444F83"/>
    <w:rsid w:val="00446B61"/>
    <w:rsid w:val="00450541"/>
    <w:rsid w:val="00452C6F"/>
    <w:rsid w:val="00454074"/>
    <w:rsid w:val="004601F9"/>
    <w:rsid w:val="0046073A"/>
    <w:rsid w:val="004659A7"/>
    <w:rsid w:val="004663BF"/>
    <w:rsid w:val="00466F23"/>
    <w:rsid w:val="00471A47"/>
    <w:rsid w:val="00473803"/>
    <w:rsid w:val="00477258"/>
    <w:rsid w:val="00477459"/>
    <w:rsid w:val="00480610"/>
    <w:rsid w:val="00481180"/>
    <w:rsid w:val="00481239"/>
    <w:rsid w:val="004833B4"/>
    <w:rsid w:val="004837C9"/>
    <w:rsid w:val="004851E6"/>
    <w:rsid w:val="00490C07"/>
    <w:rsid w:val="0049231C"/>
    <w:rsid w:val="004A133B"/>
    <w:rsid w:val="004A26A8"/>
    <w:rsid w:val="004A34D5"/>
    <w:rsid w:val="004A369C"/>
    <w:rsid w:val="004A6AC3"/>
    <w:rsid w:val="004A6F39"/>
    <w:rsid w:val="004B18EE"/>
    <w:rsid w:val="004B4AF1"/>
    <w:rsid w:val="004B5A23"/>
    <w:rsid w:val="004B6732"/>
    <w:rsid w:val="004B6C4A"/>
    <w:rsid w:val="004C2D3F"/>
    <w:rsid w:val="004C5D01"/>
    <w:rsid w:val="004C718E"/>
    <w:rsid w:val="004D1D07"/>
    <w:rsid w:val="004D4600"/>
    <w:rsid w:val="004D49A6"/>
    <w:rsid w:val="004D5E44"/>
    <w:rsid w:val="004D7149"/>
    <w:rsid w:val="004D7339"/>
    <w:rsid w:val="004D7B45"/>
    <w:rsid w:val="004E0986"/>
    <w:rsid w:val="004E0D47"/>
    <w:rsid w:val="004E2606"/>
    <w:rsid w:val="004E5D6A"/>
    <w:rsid w:val="004E61DC"/>
    <w:rsid w:val="004E6FE1"/>
    <w:rsid w:val="004E79FD"/>
    <w:rsid w:val="004E7FF3"/>
    <w:rsid w:val="004F03C5"/>
    <w:rsid w:val="004F2043"/>
    <w:rsid w:val="004F42D9"/>
    <w:rsid w:val="00500E74"/>
    <w:rsid w:val="005026BA"/>
    <w:rsid w:val="00513157"/>
    <w:rsid w:val="00515A53"/>
    <w:rsid w:val="00521059"/>
    <w:rsid w:val="00530C6E"/>
    <w:rsid w:val="00530EBF"/>
    <w:rsid w:val="0053129C"/>
    <w:rsid w:val="00533474"/>
    <w:rsid w:val="005357C6"/>
    <w:rsid w:val="00536D0C"/>
    <w:rsid w:val="0053777D"/>
    <w:rsid w:val="00544106"/>
    <w:rsid w:val="00546874"/>
    <w:rsid w:val="005561EB"/>
    <w:rsid w:val="00556FE4"/>
    <w:rsid w:val="0056125D"/>
    <w:rsid w:val="00565C8A"/>
    <w:rsid w:val="0057041B"/>
    <w:rsid w:val="005723B0"/>
    <w:rsid w:val="00574C7C"/>
    <w:rsid w:val="005758BD"/>
    <w:rsid w:val="00576C28"/>
    <w:rsid w:val="00577C7F"/>
    <w:rsid w:val="00584196"/>
    <w:rsid w:val="005853C4"/>
    <w:rsid w:val="00586ECE"/>
    <w:rsid w:val="00587472"/>
    <w:rsid w:val="00591260"/>
    <w:rsid w:val="00592A7A"/>
    <w:rsid w:val="00593CA6"/>
    <w:rsid w:val="005943DC"/>
    <w:rsid w:val="00596C04"/>
    <w:rsid w:val="005978D8"/>
    <w:rsid w:val="005979B2"/>
    <w:rsid w:val="005A5FDF"/>
    <w:rsid w:val="005B29FD"/>
    <w:rsid w:val="005B2B95"/>
    <w:rsid w:val="005B2CF5"/>
    <w:rsid w:val="005B3585"/>
    <w:rsid w:val="005B5A8B"/>
    <w:rsid w:val="005B686E"/>
    <w:rsid w:val="005C0907"/>
    <w:rsid w:val="005C36B0"/>
    <w:rsid w:val="005D04C0"/>
    <w:rsid w:val="005D0629"/>
    <w:rsid w:val="005D2C8F"/>
    <w:rsid w:val="005D2DB4"/>
    <w:rsid w:val="005E1C35"/>
    <w:rsid w:val="005E27D2"/>
    <w:rsid w:val="005E58E4"/>
    <w:rsid w:val="005F0A92"/>
    <w:rsid w:val="005F51CD"/>
    <w:rsid w:val="005F5AE5"/>
    <w:rsid w:val="005F64DC"/>
    <w:rsid w:val="005F7665"/>
    <w:rsid w:val="00601689"/>
    <w:rsid w:val="00603694"/>
    <w:rsid w:val="0060587C"/>
    <w:rsid w:val="006134D7"/>
    <w:rsid w:val="00613D8B"/>
    <w:rsid w:val="00614311"/>
    <w:rsid w:val="00614502"/>
    <w:rsid w:val="00615278"/>
    <w:rsid w:val="006165D2"/>
    <w:rsid w:val="00617377"/>
    <w:rsid w:val="00620C80"/>
    <w:rsid w:val="0062331E"/>
    <w:rsid w:val="0062662A"/>
    <w:rsid w:val="00630076"/>
    <w:rsid w:val="0063661C"/>
    <w:rsid w:val="0063672B"/>
    <w:rsid w:val="006469AB"/>
    <w:rsid w:val="00647418"/>
    <w:rsid w:val="00653907"/>
    <w:rsid w:val="006571EF"/>
    <w:rsid w:val="00662AA3"/>
    <w:rsid w:val="006633C1"/>
    <w:rsid w:val="0066380D"/>
    <w:rsid w:val="00663923"/>
    <w:rsid w:val="00663CA9"/>
    <w:rsid w:val="00664C35"/>
    <w:rsid w:val="00665B4F"/>
    <w:rsid w:val="00671275"/>
    <w:rsid w:val="00671607"/>
    <w:rsid w:val="00680134"/>
    <w:rsid w:val="006808F4"/>
    <w:rsid w:val="006839D2"/>
    <w:rsid w:val="00686AB0"/>
    <w:rsid w:val="00691548"/>
    <w:rsid w:val="006928A2"/>
    <w:rsid w:val="0069356F"/>
    <w:rsid w:val="00695431"/>
    <w:rsid w:val="00695758"/>
    <w:rsid w:val="00696B8E"/>
    <w:rsid w:val="006A05CB"/>
    <w:rsid w:val="006B000B"/>
    <w:rsid w:val="006B6F27"/>
    <w:rsid w:val="006B7A98"/>
    <w:rsid w:val="006C15DD"/>
    <w:rsid w:val="006D11C6"/>
    <w:rsid w:val="006E6B07"/>
    <w:rsid w:val="006E7233"/>
    <w:rsid w:val="006E7C7D"/>
    <w:rsid w:val="006F00FD"/>
    <w:rsid w:val="006F0DFC"/>
    <w:rsid w:val="006F3F5E"/>
    <w:rsid w:val="006F54D0"/>
    <w:rsid w:val="006F7CC0"/>
    <w:rsid w:val="0070057B"/>
    <w:rsid w:val="00707AA0"/>
    <w:rsid w:val="0071174B"/>
    <w:rsid w:val="00712645"/>
    <w:rsid w:val="00716E04"/>
    <w:rsid w:val="007176C3"/>
    <w:rsid w:val="00720162"/>
    <w:rsid w:val="007208BF"/>
    <w:rsid w:val="00732A9C"/>
    <w:rsid w:val="00734555"/>
    <w:rsid w:val="00734896"/>
    <w:rsid w:val="0073666C"/>
    <w:rsid w:val="00737782"/>
    <w:rsid w:val="00741347"/>
    <w:rsid w:val="007416B4"/>
    <w:rsid w:val="00742D0D"/>
    <w:rsid w:val="00744455"/>
    <w:rsid w:val="00744E50"/>
    <w:rsid w:val="00747505"/>
    <w:rsid w:val="00750DF6"/>
    <w:rsid w:val="007526B3"/>
    <w:rsid w:val="00755C72"/>
    <w:rsid w:val="00763E0E"/>
    <w:rsid w:val="007659F6"/>
    <w:rsid w:val="007660C6"/>
    <w:rsid w:val="00767827"/>
    <w:rsid w:val="007701F1"/>
    <w:rsid w:val="0077267A"/>
    <w:rsid w:val="007746F0"/>
    <w:rsid w:val="00781BDD"/>
    <w:rsid w:val="007846D7"/>
    <w:rsid w:val="00786041"/>
    <w:rsid w:val="00786418"/>
    <w:rsid w:val="007901FB"/>
    <w:rsid w:val="0079037F"/>
    <w:rsid w:val="00790561"/>
    <w:rsid w:val="00793123"/>
    <w:rsid w:val="00796D22"/>
    <w:rsid w:val="00797F14"/>
    <w:rsid w:val="007A70CE"/>
    <w:rsid w:val="007B09ED"/>
    <w:rsid w:val="007B7A08"/>
    <w:rsid w:val="007C000C"/>
    <w:rsid w:val="007C0368"/>
    <w:rsid w:val="007C0B73"/>
    <w:rsid w:val="007C2A11"/>
    <w:rsid w:val="007C38FA"/>
    <w:rsid w:val="007C6600"/>
    <w:rsid w:val="007D00D9"/>
    <w:rsid w:val="007D42D8"/>
    <w:rsid w:val="007D50DC"/>
    <w:rsid w:val="007D6F24"/>
    <w:rsid w:val="007D79EC"/>
    <w:rsid w:val="007E4A1D"/>
    <w:rsid w:val="007E4F73"/>
    <w:rsid w:val="007E647B"/>
    <w:rsid w:val="007E6971"/>
    <w:rsid w:val="008008A5"/>
    <w:rsid w:val="008033D4"/>
    <w:rsid w:val="008048CC"/>
    <w:rsid w:val="008103A9"/>
    <w:rsid w:val="00812FAB"/>
    <w:rsid w:val="00820280"/>
    <w:rsid w:val="0082161B"/>
    <w:rsid w:val="00832A22"/>
    <w:rsid w:val="00833B62"/>
    <w:rsid w:val="00833F2D"/>
    <w:rsid w:val="00833F4C"/>
    <w:rsid w:val="0083568C"/>
    <w:rsid w:val="00837B34"/>
    <w:rsid w:val="00842155"/>
    <w:rsid w:val="00843175"/>
    <w:rsid w:val="0085319D"/>
    <w:rsid w:val="008533AB"/>
    <w:rsid w:val="008632BF"/>
    <w:rsid w:val="0086500E"/>
    <w:rsid w:val="00874661"/>
    <w:rsid w:val="00874D9F"/>
    <w:rsid w:val="00882C6C"/>
    <w:rsid w:val="00885C00"/>
    <w:rsid w:val="00886239"/>
    <w:rsid w:val="00891BF6"/>
    <w:rsid w:val="00891E92"/>
    <w:rsid w:val="008971F3"/>
    <w:rsid w:val="00897307"/>
    <w:rsid w:val="0089759B"/>
    <w:rsid w:val="008A3B74"/>
    <w:rsid w:val="008A4740"/>
    <w:rsid w:val="008B0A90"/>
    <w:rsid w:val="008B153C"/>
    <w:rsid w:val="008B2517"/>
    <w:rsid w:val="008B52A3"/>
    <w:rsid w:val="008B5D41"/>
    <w:rsid w:val="008B7B74"/>
    <w:rsid w:val="008C56F4"/>
    <w:rsid w:val="008C7C0B"/>
    <w:rsid w:val="008D1B6D"/>
    <w:rsid w:val="008D4718"/>
    <w:rsid w:val="008E2091"/>
    <w:rsid w:val="008E4510"/>
    <w:rsid w:val="008E5555"/>
    <w:rsid w:val="008E605A"/>
    <w:rsid w:val="008E65DE"/>
    <w:rsid w:val="008F0E07"/>
    <w:rsid w:val="008F0E82"/>
    <w:rsid w:val="008F3EB1"/>
    <w:rsid w:val="008F77DB"/>
    <w:rsid w:val="00900D76"/>
    <w:rsid w:val="00904075"/>
    <w:rsid w:val="0090517C"/>
    <w:rsid w:val="0090562B"/>
    <w:rsid w:val="00912E5C"/>
    <w:rsid w:val="009141BB"/>
    <w:rsid w:val="0091491D"/>
    <w:rsid w:val="009162BB"/>
    <w:rsid w:val="00920B93"/>
    <w:rsid w:val="00921410"/>
    <w:rsid w:val="00923DBE"/>
    <w:rsid w:val="00924C47"/>
    <w:rsid w:val="009251A8"/>
    <w:rsid w:val="0092532D"/>
    <w:rsid w:val="00925847"/>
    <w:rsid w:val="0093261D"/>
    <w:rsid w:val="00934C55"/>
    <w:rsid w:val="0093732B"/>
    <w:rsid w:val="00941887"/>
    <w:rsid w:val="0094236B"/>
    <w:rsid w:val="00945413"/>
    <w:rsid w:val="00947625"/>
    <w:rsid w:val="009660B9"/>
    <w:rsid w:val="00981CB0"/>
    <w:rsid w:val="00984F8A"/>
    <w:rsid w:val="00986AE3"/>
    <w:rsid w:val="00991092"/>
    <w:rsid w:val="00991968"/>
    <w:rsid w:val="009953EA"/>
    <w:rsid w:val="009956A3"/>
    <w:rsid w:val="009A3805"/>
    <w:rsid w:val="009A66D8"/>
    <w:rsid w:val="009A67C3"/>
    <w:rsid w:val="009A7A6F"/>
    <w:rsid w:val="009B3C9B"/>
    <w:rsid w:val="009C2967"/>
    <w:rsid w:val="009C3F90"/>
    <w:rsid w:val="009C4B8D"/>
    <w:rsid w:val="009D1774"/>
    <w:rsid w:val="009D296F"/>
    <w:rsid w:val="009D2A02"/>
    <w:rsid w:val="009D338B"/>
    <w:rsid w:val="009D400F"/>
    <w:rsid w:val="009D696A"/>
    <w:rsid w:val="009D7088"/>
    <w:rsid w:val="009E5632"/>
    <w:rsid w:val="009E5880"/>
    <w:rsid w:val="009E7576"/>
    <w:rsid w:val="009F3DE1"/>
    <w:rsid w:val="009F721A"/>
    <w:rsid w:val="00A00689"/>
    <w:rsid w:val="00A008F1"/>
    <w:rsid w:val="00A03D8E"/>
    <w:rsid w:val="00A048EE"/>
    <w:rsid w:val="00A05448"/>
    <w:rsid w:val="00A06E46"/>
    <w:rsid w:val="00A0779F"/>
    <w:rsid w:val="00A1008D"/>
    <w:rsid w:val="00A1310A"/>
    <w:rsid w:val="00A148F4"/>
    <w:rsid w:val="00A20CF7"/>
    <w:rsid w:val="00A231D1"/>
    <w:rsid w:val="00A308FE"/>
    <w:rsid w:val="00A31308"/>
    <w:rsid w:val="00A37106"/>
    <w:rsid w:val="00A375F5"/>
    <w:rsid w:val="00A43A63"/>
    <w:rsid w:val="00A50217"/>
    <w:rsid w:val="00A50777"/>
    <w:rsid w:val="00A5769C"/>
    <w:rsid w:val="00A57B8F"/>
    <w:rsid w:val="00A57FB8"/>
    <w:rsid w:val="00A6163B"/>
    <w:rsid w:val="00A62B3C"/>
    <w:rsid w:val="00A62D0E"/>
    <w:rsid w:val="00A64AA5"/>
    <w:rsid w:val="00A70E1F"/>
    <w:rsid w:val="00A72EA8"/>
    <w:rsid w:val="00A75946"/>
    <w:rsid w:val="00A7595D"/>
    <w:rsid w:val="00A83BE8"/>
    <w:rsid w:val="00A85C16"/>
    <w:rsid w:val="00A864D2"/>
    <w:rsid w:val="00A868FF"/>
    <w:rsid w:val="00A870C8"/>
    <w:rsid w:val="00A87EA7"/>
    <w:rsid w:val="00A929F3"/>
    <w:rsid w:val="00A92F6C"/>
    <w:rsid w:val="00AA14EF"/>
    <w:rsid w:val="00AA17DA"/>
    <w:rsid w:val="00AA1B34"/>
    <w:rsid w:val="00AA393D"/>
    <w:rsid w:val="00AA50D6"/>
    <w:rsid w:val="00AA7C0A"/>
    <w:rsid w:val="00AB0BA2"/>
    <w:rsid w:val="00AB24E1"/>
    <w:rsid w:val="00AB27D9"/>
    <w:rsid w:val="00AB2870"/>
    <w:rsid w:val="00AB42BF"/>
    <w:rsid w:val="00AB64DC"/>
    <w:rsid w:val="00AB7F77"/>
    <w:rsid w:val="00AC0439"/>
    <w:rsid w:val="00AC5ECD"/>
    <w:rsid w:val="00AD228F"/>
    <w:rsid w:val="00AD5E2B"/>
    <w:rsid w:val="00AE1BF5"/>
    <w:rsid w:val="00AE5257"/>
    <w:rsid w:val="00AE5769"/>
    <w:rsid w:val="00AE6AE0"/>
    <w:rsid w:val="00AF2362"/>
    <w:rsid w:val="00B00909"/>
    <w:rsid w:val="00B03F2C"/>
    <w:rsid w:val="00B0418C"/>
    <w:rsid w:val="00B0422F"/>
    <w:rsid w:val="00B06535"/>
    <w:rsid w:val="00B06BEF"/>
    <w:rsid w:val="00B07163"/>
    <w:rsid w:val="00B10424"/>
    <w:rsid w:val="00B1065F"/>
    <w:rsid w:val="00B11E40"/>
    <w:rsid w:val="00B12F59"/>
    <w:rsid w:val="00B14425"/>
    <w:rsid w:val="00B17926"/>
    <w:rsid w:val="00B21E93"/>
    <w:rsid w:val="00B21EBF"/>
    <w:rsid w:val="00B23831"/>
    <w:rsid w:val="00B23EDF"/>
    <w:rsid w:val="00B2640A"/>
    <w:rsid w:val="00B27014"/>
    <w:rsid w:val="00B363D2"/>
    <w:rsid w:val="00B373AC"/>
    <w:rsid w:val="00B378D3"/>
    <w:rsid w:val="00B41406"/>
    <w:rsid w:val="00B4529D"/>
    <w:rsid w:val="00B47828"/>
    <w:rsid w:val="00B4794D"/>
    <w:rsid w:val="00B50E50"/>
    <w:rsid w:val="00B545BF"/>
    <w:rsid w:val="00B54D57"/>
    <w:rsid w:val="00B54FE0"/>
    <w:rsid w:val="00B61BBF"/>
    <w:rsid w:val="00B6316F"/>
    <w:rsid w:val="00B656D2"/>
    <w:rsid w:val="00B6583C"/>
    <w:rsid w:val="00B74A6D"/>
    <w:rsid w:val="00B7620B"/>
    <w:rsid w:val="00B76830"/>
    <w:rsid w:val="00B76B69"/>
    <w:rsid w:val="00B76E4B"/>
    <w:rsid w:val="00B802DB"/>
    <w:rsid w:val="00B82150"/>
    <w:rsid w:val="00B849C8"/>
    <w:rsid w:val="00B87DAC"/>
    <w:rsid w:val="00B95F94"/>
    <w:rsid w:val="00BA1AF3"/>
    <w:rsid w:val="00BA2309"/>
    <w:rsid w:val="00BA2F14"/>
    <w:rsid w:val="00BA300B"/>
    <w:rsid w:val="00BA3156"/>
    <w:rsid w:val="00BA4066"/>
    <w:rsid w:val="00BA65EA"/>
    <w:rsid w:val="00BA7124"/>
    <w:rsid w:val="00BA7D6A"/>
    <w:rsid w:val="00BB1294"/>
    <w:rsid w:val="00BB2F87"/>
    <w:rsid w:val="00BB6408"/>
    <w:rsid w:val="00BC5592"/>
    <w:rsid w:val="00BC582C"/>
    <w:rsid w:val="00BC6990"/>
    <w:rsid w:val="00BD3140"/>
    <w:rsid w:val="00BD3B29"/>
    <w:rsid w:val="00BD3C43"/>
    <w:rsid w:val="00BD5AF5"/>
    <w:rsid w:val="00BD5DCB"/>
    <w:rsid w:val="00BD6B5F"/>
    <w:rsid w:val="00BE593F"/>
    <w:rsid w:val="00BE7386"/>
    <w:rsid w:val="00BE77DB"/>
    <w:rsid w:val="00BF06F0"/>
    <w:rsid w:val="00BF24EF"/>
    <w:rsid w:val="00BF3479"/>
    <w:rsid w:val="00BF3E76"/>
    <w:rsid w:val="00BF5561"/>
    <w:rsid w:val="00C008A9"/>
    <w:rsid w:val="00C00B0D"/>
    <w:rsid w:val="00C01279"/>
    <w:rsid w:val="00C020AF"/>
    <w:rsid w:val="00C05E38"/>
    <w:rsid w:val="00C11019"/>
    <w:rsid w:val="00C13542"/>
    <w:rsid w:val="00C136FE"/>
    <w:rsid w:val="00C204AE"/>
    <w:rsid w:val="00C25275"/>
    <w:rsid w:val="00C25983"/>
    <w:rsid w:val="00C27F29"/>
    <w:rsid w:val="00C42110"/>
    <w:rsid w:val="00C47077"/>
    <w:rsid w:val="00C479BF"/>
    <w:rsid w:val="00C47B66"/>
    <w:rsid w:val="00C50EAF"/>
    <w:rsid w:val="00C52F0B"/>
    <w:rsid w:val="00C57877"/>
    <w:rsid w:val="00C618F4"/>
    <w:rsid w:val="00C61F64"/>
    <w:rsid w:val="00C62303"/>
    <w:rsid w:val="00C65650"/>
    <w:rsid w:val="00C743C5"/>
    <w:rsid w:val="00C83792"/>
    <w:rsid w:val="00C83A53"/>
    <w:rsid w:val="00C869F3"/>
    <w:rsid w:val="00C9017C"/>
    <w:rsid w:val="00C90DDA"/>
    <w:rsid w:val="00C9137F"/>
    <w:rsid w:val="00C9305E"/>
    <w:rsid w:val="00C9550B"/>
    <w:rsid w:val="00C96131"/>
    <w:rsid w:val="00C97530"/>
    <w:rsid w:val="00CA140D"/>
    <w:rsid w:val="00CA3DF6"/>
    <w:rsid w:val="00CA5543"/>
    <w:rsid w:val="00CA7064"/>
    <w:rsid w:val="00CB1BD1"/>
    <w:rsid w:val="00CB2777"/>
    <w:rsid w:val="00CB3A27"/>
    <w:rsid w:val="00CC120A"/>
    <w:rsid w:val="00CC4245"/>
    <w:rsid w:val="00CC49B4"/>
    <w:rsid w:val="00CD0D78"/>
    <w:rsid w:val="00CD557E"/>
    <w:rsid w:val="00CD7B58"/>
    <w:rsid w:val="00CE0C70"/>
    <w:rsid w:val="00CE73BF"/>
    <w:rsid w:val="00CF10C4"/>
    <w:rsid w:val="00CF3A19"/>
    <w:rsid w:val="00CF4774"/>
    <w:rsid w:val="00CF4C5C"/>
    <w:rsid w:val="00CF6285"/>
    <w:rsid w:val="00D0332C"/>
    <w:rsid w:val="00D03616"/>
    <w:rsid w:val="00D03666"/>
    <w:rsid w:val="00D11097"/>
    <w:rsid w:val="00D151BD"/>
    <w:rsid w:val="00D157A7"/>
    <w:rsid w:val="00D175CB"/>
    <w:rsid w:val="00D20A45"/>
    <w:rsid w:val="00D222BF"/>
    <w:rsid w:val="00D258E7"/>
    <w:rsid w:val="00D25C36"/>
    <w:rsid w:val="00D26D2B"/>
    <w:rsid w:val="00D315E7"/>
    <w:rsid w:val="00D33271"/>
    <w:rsid w:val="00D3421A"/>
    <w:rsid w:val="00D375B3"/>
    <w:rsid w:val="00D37D70"/>
    <w:rsid w:val="00D40108"/>
    <w:rsid w:val="00D46DC4"/>
    <w:rsid w:val="00D57C07"/>
    <w:rsid w:val="00D60C27"/>
    <w:rsid w:val="00D64EA6"/>
    <w:rsid w:val="00D84DFF"/>
    <w:rsid w:val="00D84F63"/>
    <w:rsid w:val="00D86412"/>
    <w:rsid w:val="00D90A77"/>
    <w:rsid w:val="00D94AC0"/>
    <w:rsid w:val="00D96EC3"/>
    <w:rsid w:val="00DA123D"/>
    <w:rsid w:val="00DA22E1"/>
    <w:rsid w:val="00DA343A"/>
    <w:rsid w:val="00DA4F9A"/>
    <w:rsid w:val="00DB1883"/>
    <w:rsid w:val="00DB47D5"/>
    <w:rsid w:val="00DB78D8"/>
    <w:rsid w:val="00DC325F"/>
    <w:rsid w:val="00DC33A4"/>
    <w:rsid w:val="00DC3B8C"/>
    <w:rsid w:val="00DC5DB4"/>
    <w:rsid w:val="00DC6562"/>
    <w:rsid w:val="00DD3835"/>
    <w:rsid w:val="00DD4132"/>
    <w:rsid w:val="00DD6D85"/>
    <w:rsid w:val="00DE0413"/>
    <w:rsid w:val="00DE07EB"/>
    <w:rsid w:val="00DE09BB"/>
    <w:rsid w:val="00DE3A42"/>
    <w:rsid w:val="00DE64FC"/>
    <w:rsid w:val="00DF5DCC"/>
    <w:rsid w:val="00DF6498"/>
    <w:rsid w:val="00DF69FF"/>
    <w:rsid w:val="00DF7E8E"/>
    <w:rsid w:val="00E0107A"/>
    <w:rsid w:val="00E072F0"/>
    <w:rsid w:val="00E07D37"/>
    <w:rsid w:val="00E13D66"/>
    <w:rsid w:val="00E17F60"/>
    <w:rsid w:val="00E206DC"/>
    <w:rsid w:val="00E25BE0"/>
    <w:rsid w:val="00E26A76"/>
    <w:rsid w:val="00E273C3"/>
    <w:rsid w:val="00E27F40"/>
    <w:rsid w:val="00E42231"/>
    <w:rsid w:val="00E44B79"/>
    <w:rsid w:val="00E45887"/>
    <w:rsid w:val="00E47269"/>
    <w:rsid w:val="00E53BD7"/>
    <w:rsid w:val="00E55997"/>
    <w:rsid w:val="00E5729D"/>
    <w:rsid w:val="00E61080"/>
    <w:rsid w:val="00E6538D"/>
    <w:rsid w:val="00E65D62"/>
    <w:rsid w:val="00E71929"/>
    <w:rsid w:val="00E739AF"/>
    <w:rsid w:val="00E803C1"/>
    <w:rsid w:val="00E849A7"/>
    <w:rsid w:val="00E8603B"/>
    <w:rsid w:val="00E861C2"/>
    <w:rsid w:val="00E86327"/>
    <w:rsid w:val="00E8725E"/>
    <w:rsid w:val="00E90481"/>
    <w:rsid w:val="00E919D6"/>
    <w:rsid w:val="00E958B4"/>
    <w:rsid w:val="00E9623A"/>
    <w:rsid w:val="00E963D0"/>
    <w:rsid w:val="00EA0052"/>
    <w:rsid w:val="00EA391E"/>
    <w:rsid w:val="00EA5E28"/>
    <w:rsid w:val="00EB14CE"/>
    <w:rsid w:val="00EB19EC"/>
    <w:rsid w:val="00EC13FD"/>
    <w:rsid w:val="00EC75FC"/>
    <w:rsid w:val="00EC7A34"/>
    <w:rsid w:val="00ED105A"/>
    <w:rsid w:val="00ED352A"/>
    <w:rsid w:val="00ED3C8F"/>
    <w:rsid w:val="00EE105E"/>
    <w:rsid w:val="00EE2C36"/>
    <w:rsid w:val="00EE6937"/>
    <w:rsid w:val="00EE6A2B"/>
    <w:rsid w:val="00EF2EA6"/>
    <w:rsid w:val="00EF504E"/>
    <w:rsid w:val="00EF6565"/>
    <w:rsid w:val="00F00DEE"/>
    <w:rsid w:val="00F01686"/>
    <w:rsid w:val="00F020C0"/>
    <w:rsid w:val="00F03E09"/>
    <w:rsid w:val="00F061C0"/>
    <w:rsid w:val="00F119B2"/>
    <w:rsid w:val="00F17F67"/>
    <w:rsid w:val="00F20E0B"/>
    <w:rsid w:val="00F23989"/>
    <w:rsid w:val="00F252DB"/>
    <w:rsid w:val="00F26FDA"/>
    <w:rsid w:val="00F358A4"/>
    <w:rsid w:val="00F36466"/>
    <w:rsid w:val="00F3729F"/>
    <w:rsid w:val="00F3791F"/>
    <w:rsid w:val="00F40265"/>
    <w:rsid w:val="00F41CC9"/>
    <w:rsid w:val="00F42375"/>
    <w:rsid w:val="00F4315A"/>
    <w:rsid w:val="00F458EC"/>
    <w:rsid w:val="00F47B0A"/>
    <w:rsid w:val="00F5113C"/>
    <w:rsid w:val="00F537B4"/>
    <w:rsid w:val="00F56CF5"/>
    <w:rsid w:val="00F66585"/>
    <w:rsid w:val="00F67B1F"/>
    <w:rsid w:val="00F70D0A"/>
    <w:rsid w:val="00F73419"/>
    <w:rsid w:val="00F8040B"/>
    <w:rsid w:val="00F80CBB"/>
    <w:rsid w:val="00F812EC"/>
    <w:rsid w:val="00F83176"/>
    <w:rsid w:val="00F92967"/>
    <w:rsid w:val="00F94A91"/>
    <w:rsid w:val="00F953CA"/>
    <w:rsid w:val="00FA2DAA"/>
    <w:rsid w:val="00FA3D84"/>
    <w:rsid w:val="00FA5F86"/>
    <w:rsid w:val="00FB0CF5"/>
    <w:rsid w:val="00FB5AC3"/>
    <w:rsid w:val="00FB662A"/>
    <w:rsid w:val="00FB6D68"/>
    <w:rsid w:val="00FC2688"/>
    <w:rsid w:val="00FC5EF4"/>
    <w:rsid w:val="00FC7182"/>
    <w:rsid w:val="00FD1625"/>
    <w:rsid w:val="00FD20A5"/>
    <w:rsid w:val="00FD24D5"/>
    <w:rsid w:val="00FD47E3"/>
    <w:rsid w:val="00FD5D79"/>
    <w:rsid w:val="00FD735C"/>
    <w:rsid w:val="00FE029E"/>
    <w:rsid w:val="00FE2F16"/>
    <w:rsid w:val="00FF2BBE"/>
    <w:rsid w:val="00FF3483"/>
    <w:rsid w:val="00FF3B46"/>
    <w:rsid w:val="00FF4B9E"/>
    <w:rsid w:val="00FF6E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4BF7CAA6"/>
  <w15:docId w15:val="{42E269B3-2F64-443A-BF08-E33A2A1E0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EBF"/>
    <w:rPr>
      <w:sz w:val="20"/>
      <w:szCs w:val="20"/>
    </w:rPr>
  </w:style>
  <w:style w:type="paragraph" w:styleId="Heading1">
    <w:name w:val="heading 1"/>
    <w:basedOn w:val="Normal"/>
    <w:next w:val="Normal"/>
    <w:link w:val="Heading1Char"/>
    <w:autoRedefine/>
    <w:uiPriority w:val="9"/>
    <w:qFormat/>
    <w:rsid w:val="00BD3B29"/>
    <w:pPr>
      <w:keepNext/>
      <w:keepLines/>
      <w:spacing w:before="120" w:after="120" w:line="240" w:lineRule="auto"/>
      <w:outlineLvl w:val="0"/>
    </w:pPr>
    <w:rPr>
      <w:rFonts w:eastAsiaTheme="majorEastAsia" w:cstheme="minorHAnsi"/>
      <w:bCs/>
      <w:caps/>
      <w:color w:val="008BB6"/>
      <w:sz w:val="18"/>
      <w:szCs w:val="18"/>
    </w:rPr>
  </w:style>
  <w:style w:type="paragraph" w:styleId="Heading2">
    <w:name w:val="heading 2"/>
    <w:basedOn w:val="Normal"/>
    <w:next w:val="Normal"/>
    <w:link w:val="Heading2Char"/>
    <w:autoRedefine/>
    <w:uiPriority w:val="9"/>
    <w:unhideWhenUsed/>
    <w:qFormat/>
    <w:rsid w:val="00C9305E"/>
    <w:pPr>
      <w:keepNext/>
      <w:keepLines/>
      <w:spacing w:before="200" w:after="0"/>
      <w:outlineLvl w:val="1"/>
    </w:pPr>
    <w:rPr>
      <w:rFonts w:ascii="Arial Narrow" w:eastAsiaTheme="majorEastAsia" w:hAnsi="Arial Narrow" w:cstheme="majorBidi"/>
      <w:bCs/>
      <w:caps/>
      <w:color w:val="ACA6A2"/>
      <w:sz w:val="36"/>
      <w:szCs w:val="36"/>
    </w:rPr>
  </w:style>
  <w:style w:type="paragraph" w:styleId="Heading3">
    <w:name w:val="heading 3"/>
    <w:basedOn w:val="Normal"/>
    <w:next w:val="Normal"/>
    <w:link w:val="Heading3Char"/>
    <w:autoRedefine/>
    <w:uiPriority w:val="9"/>
    <w:unhideWhenUsed/>
    <w:qFormat/>
    <w:rsid w:val="00F3729F"/>
    <w:pPr>
      <w:keepNext/>
      <w:keepLines/>
      <w:spacing w:before="200" w:after="0"/>
      <w:outlineLvl w:val="2"/>
    </w:pPr>
    <w:rPr>
      <w:rFonts w:asciiTheme="majorHAnsi" w:eastAsiaTheme="majorEastAsia" w:hAnsiTheme="majorHAnsi" w:cstheme="majorBidi"/>
      <w:b/>
      <w:bCs/>
      <w:caps/>
      <w:color w:val="008BB6"/>
    </w:rPr>
  </w:style>
  <w:style w:type="paragraph" w:styleId="Heading4">
    <w:name w:val="heading 4"/>
    <w:basedOn w:val="Heading3"/>
    <w:next w:val="Normal"/>
    <w:link w:val="Heading4Char"/>
    <w:autoRedefine/>
    <w:uiPriority w:val="9"/>
    <w:unhideWhenUsed/>
    <w:qFormat/>
    <w:rsid w:val="00F3729F"/>
    <w:pPr>
      <w:outlineLvl w:val="3"/>
    </w:pPr>
    <w:rPr>
      <w:bCs w:val="0"/>
      <w:caps w:val="0"/>
      <w:color w:val="auto"/>
    </w:rPr>
  </w:style>
  <w:style w:type="paragraph" w:styleId="Heading5">
    <w:name w:val="heading 5"/>
    <w:basedOn w:val="Normal"/>
    <w:next w:val="Normal"/>
    <w:link w:val="Heading5Char"/>
    <w:uiPriority w:val="9"/>
    <w:unhideWhenUsed/>
    <w:qFormat/>
    <w:rsid w:val="00473803"/>
    <w:pPr>
      <w:keepNext/>
      <w:keepLines/>
      <w:spacing w:before="40" w:after="0"/>
      <w:outlineLvl w:val="4"/>
    </w:pPr>
    <w:rPr>
      <w:rFonts w:asciiTheme="majorHAnsi" w:eastAsiaTheme="majorEastAsia" w:hAnsiTheme="majorHAnsi" w:cstheme="majorBidi"/>
      <w:color w:val="E4BA0E" w:themeColor="accent1" w:themeShade="BF"/>
    </w:rPr>
  </w:style>
  <w:style w:type="paragraph" w:styleId="Heading6">
    <w:name w:val="heading 6"/>
    <w:basedOn w:val="Normal"/>
    <w:next w:val="Normal"/>
    <w:link w:val="Heading6Char"/>
    <w:uiPriority w:val="9"/>
    <w:unhideWhenUsed/>
    <w:qFormat/>
    <w:rsid w:val="00473803"/>
    <w:pPr>
      <w:keepNext/>
      <w:keepLines/>
      <w:spacing w:before="40" w:after="0"/>
      <w:outlineLvl w:val="5"/>
    </w:pPr>
    <w:rPr>
      <w:rFonts w:asciiTheme="majorHAnsi" w:eastAsiaTheme="majorEastAsia" w:hAnsiTheme="majorHAnsi" w:cstheme="majorBidi"/>
      <w:color w:val="977B09" w:themeColor="accent1" w:themeShade="7F"/>
    </w:rPr>
  </w:style>
  <w:style w:type="paragraph" w:styleId="Heading7">
    <w:name w:val="heading 7"/>
    <w:basedOn w:val="Normal"/>
    <w:next w:val="Normal"/>
    <w:link w:val="Heading7Char"/>
    <w:uiPriority w:val="9"/>
    <w:unhideWhenUsed/>
    <w:qFormat/>
    <w:rsid w:val="00473803"/>
    <w:pPr>
      <w:keepNext/>
      <w:keepLines/>
      <w:spacing w:before="40" w:after="0"/>
      <w:outlineLvl w:val="6"/>
    </w:pPr>
    <w:rPr>
      <w:rFonts w:asciiTheme="majorHAnsi" w:eastAsiaTheme="majorEastAsia" w:hAnsiTheme="majorHAnsi" w:cstheme="majorBidi"/>
      <w:i/>
      <w:iCs/>
      <w:color w:val="977B09" w:themeColor="accent1" w:themeShade="7F"/>
    </w:rPr>
  </w:style>
  <w:style w:type="paragraph" w:styleId="Heading8">
    <w:name w:val="heading 8"/>
    <w:basedOn w:val="Normal"/>
    <w:next w:val="Normal"/>
    <w:link w:val="Heading8Char"/>
    <w:uiPriority w:val="9"/>
    <w:unhideWhenUsed/>
    <w:qFormat/>
    <w:rsid w:val="00CD0D7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3B29"/>
    <w:rPr>
      <w:rFonts w:eastAsiaTheme="majorEastAsia" w:cstheme="minorHAnsi"/>
      <w:bCs/>
      <w:caps/>
      <w:color w:val="008BB6"/>
      <w:sz w:val="18"/>
      <w:szCs w:val="18"/>
    </w:rPr>
  </w:style>
  <w:style w:type="character" w:customStyle="1" w:styleId="Heading2Char">
    <w:name w:val="Heading 2 Char"/>
    <w:basedOn w:val="DefaultParagraphFont"/>
    <w:link w:val="Heading2"/>
    <w:uiPriority w:val="9"/>
    <w:rsid w:val="00C9305E"/>
    <w:rPr>
      <w:rFonts w:ascii="Arial Narrow" w:eastAsiaTheme="majorEastAsia" w:hAnsi="Arial Narrow" w:cstheme="majorBidi"/>
      <w:bCs/>
      <w:caps/>
      <w:color w:val="ACA6A2"/>
      <w:sz w:val="36"/>
      <w:szCs w:val="36"/>
    </w:rPr>
  </w:style>
  <w:style w:type="character" w:customStyle="1" w:styleId="Heading3Char">
    <w:name w:val="Heading 3 Char"/>
    <w:basedOn w:val="DefaultParagraphFont"/>
    <w:link w:val="Heading3"/>
    <w:uiPriority w:val="9"/>
    <w:rsid w:val="00F3729F"/>
    <w:rPr>
      <w:rFonts w:asciiTheme="majorHAnsi" w:eastAsiaTheme="majorEastAsia" w:hAnsiTheme="majorHAnsi" w:cstheme="majorBidi"/>
      <w:b/>
      <w:bCs/>
      <w:caps/>
      <w:color w:val="008BB6"/>
      <w:sz w:val="20"/>
      <w:szCs w:val="20"/>
    </w:rPr>
  </w:style>
  <w:style w:type="character" w:customStyle="1" w:styleId="Heading4Char">
    <w:name w:val="Heading 4 Char"/>
    <w:basedOn w:val="DefaultParagraphFont"/>
    <w:link w:val="Heading4"/>
    <w:uiPriority w:val="9"/>
    <w:rsid w:val="00F3729F"/>
    <w:rPr>
      <w:rFonts w:asciiTheme="majorHAnsi" w:eastAsiaTheme="majorEastAsia" w:hAnsiTheme="majorHAnsi" w:cstheme="majorBidi"/>
      <w:b/>
      <w:sz w:val="20"/>
      <w:szCs w:val="20"/>
    </w:rPr>
  </w:style>
  <w:style w:type="table" w:styleId="TableGrid">
    <w:name w:val="Table Grid"/>
    <w:basedOn w:val="TableNormal"/>
    <w:uiPriority w:val="59"/>
    <w:rsid w:val="00636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072F0"/>
    <w:pPr>
      <w:keepNext/>
      <w:spacing w:line="240" w:lineRule="auto"/>
    </w:pPr>
    <w:rPr>
      <w:bCs/>
      <w:caps/>
      <w:color w:val="ACA6A2" w:themeColor="accent5"/>
    </w:rPr>
  </w:style>
  <w:style w:type="paragraph" w:customStyle="1" w:styleId="Note">
    <w:name w:val="Note"/>
    <w:basedOn w:val="Normal"/>
    <w:link w:val="NoteChar"/>
    <w:qFormat/>
    <w:rsid w:val="00E072F0"/>
    <w:pPr>
      <w:spacing w:before="120"/>
    </w:pPr>
    <w:rPr>
      <w:color w:val="ACA6A2" w:themeColor="accent5"/>
      <w:sz w:val="16"/>
      <w:szCs w:val="16"/>
    </w:rPr>
  </w:style>
  <w:style w:type="table" w:styleId="LightShading-Accent4">
    <w:name w:val="Light Shading Accent 4"/>
    <w:basedOn w:val="TableNormal"/>
    <w:uiPriority w:val="60"/>
    <w:rsid w:val="0063661C"/>
    <w:pPr>
      <w:spacing w:after="0" w:line="240" w:lineRule="auto"/>
    </w:pPr>
    <w:rPr>
      <w:color w:val="006788" w:themeColor="accent4" w:themeShade="BF"/>
    </w:rPr>
    <w:tblPr>
      <w:tblStyleRowBandSize w:val="1"/>
      <w:tblStyleColBandSize w:val="1"/>
      <w:tblBorders>
        <w:top w:val="single" w:sz="8" w:space="0" w:color="008BB6" w:themeColor="accent4"/>
        <w:bottom w:val="single" w:sz="8" w:space="0" w:color="008BB6" w:themeColor="accent4"/>
      </w:tblBorders>
    </w:tblPr>
    <w:tblStylePr w:type="firstRow">
      <w:pPr>
        <w:spacing w:before="0" w:after="0" w:line="240" w:lineRule="auto"/>
      </w:pPr>
      <w:rPr>
        <w:b/>
        <w:bCs/>
      </w:rPr>
      <w:tblPr/>
      <w:tcPr>
        <w:tcBorders>
          <w:top w:val="single" w:sz="8" w:space="0" w:color="008BB6" w:themeColor="accent4"/>
          <w:left w:val="nil"/>
          <w:bottom w:val="single" w:sz="8" w:space="0" w:color="008BB6" w:themeColor="accent4"/>
          <w:right w:val="nil"/>
          <w:insideH w:val="nil"/>
          <w:insideV w:val="nil"/>
        </w:tcBorders>
      </w:tcPr>
    </w:tblStylePr>
    <w:tblStylePr w:type="lastRow">
      <w:pPr>
        <w:spacing w:before="0" w:after="0" w:line="240" w:lineRule="auto"/>
      </w:pPr>
      <w:rPr>
        <w:b/>
        <w:bCs/>
      </w:rPr>
      <w:tblPr/>
      <w:tcPr>
        <w:tcBorders>
          <w:top w:val="single" w:sz="8" w:space="0" w:color="008BB6" w:themeColor="accent4"/>
          <w:left w:val="nil"/>
          <w:bottom w:val="single" w:sz="8" w:space="0" w:color="008BB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DEBFF" w:themeFill="accent4" w:themeFillTint="3F"/>
      </w:tcPr>
    </w:tblStylePr>
    <w:tblStylePr w:type="band1Horz">
      <w:tblPr/>
      <w:tcPr>
        <w:tcBorders>
          <w:left w:val="nil"/>
          <w:right w:val="nil"/>
          <w:insideH w:val="nil"/>
          <w:insideV w:val="nil"/>
        </w:tcBorders>
        <w:shd w:val="clear" w:color="auto" w:fill="ADEBFF" w:themeFill="accent4" w:themeFillTint="3F"/>
      </w:tcPr>
    </w:tblStylePr>
  </w:style>
  <w:style w:type="character" w:customStyle="1" w:styleId="NoteChar">
    <w:name w:val="Note Char"/>
    <w:basedOn w:val="DefaultParagraphFont"/>
    <w:link w:val="Note"/>
    <w:rsid w:val="00E072F0"/>
    <w:rPr>
      <w:color w:val="ACA6A2" w:themeColor="accent5"/>
      <w:sz w:val="16"/>
      <w:szCs w:val="16"/>
    </w:rPr>
  </w:style>
  <w:style w:type="table" w:styleId="LightList-Accent4">
    <w:name w:val="Light List Accent 4"/>
    <w:basedOn w:val="TableNormal"/>
    <w:uiPriority w:val="61"/>
    <w:rsid w:val="0063661C"/>
    <w:pPr>
      <w:spacing w:after="0" w:line="240" w:lineRule="auto"/>
    </w:pPr>
    <w:tblPr>
      <w:tblStyleRowBandSize w:val="1"/>
      <w:tblStyleColBandSize w:val="1"/>
      <w:tblBorders>
        <w:top w:val="single" w:sz="8" w:space="0" w:color="008BB6" w:themeColor="accent4"/>
        <w:left w:val="single" w:sz="8" w:space="0" w:color="008BB6" w:themeColor="accent4"/>
        <w:bottom w:val="single" w:sz="8" w:space="0" w:color="008BB6" w:themeColor="accent4"/>
        <w:right w:val="single" w:sz="8" w:space="0" w:color="008BB6" w:themeColor="accent4"/>
      </w:tblBorders>
    </w:tblPr>
    <w:tblStylePr w:type="firstRow">
      <w:pPr>
        <w:spacing w:before="0" w:after="0" w:line="240" w:lineRule="auto"/>
      </w:pPr>
      <w:rPr>
        <w:b/>
        <w:bCs/>
        <w:color w:val="FFFFFF" w:themeColor="background1"/>
      </w:rPr>
      <w:tblPr/>
      <w:tcPr>
        <w:shd w:val="clear" w:color="auto" w:fill="008BB6" w:themeFill="accent4"/>
      </w:tcPr>
    </w:tblStylePr>
    <w:tblStylePr w:type="lastRow">
      <w:pPr>
        <w:spacing w:before="0" w:after="0" w:line="240" w:lineRule="auto"/>
      </w:pPr>
      <w:rPr>
        <w:b/>
        <w:bCs/>
      </w:rPr>
      <w:tblPr/>
      <w:tcPr>
        <w:tcBorders>
          <w:top w:val="double" w:sz="6" w:space="0" w:color="008BB6" w:themeColor="accent4"/>
          <w:left w:val="single" w:sz="8" w:space="0" w:color="008BB6" w:themeColor="accent4"/>
          <w:bottom w:val="single" w:sz="8" w:space="0" w:color="008BB6" w:themeColor="accent4"/>
          <w:right w:val="single" w:sz="8" w:space="0" w:color="008BB6" w:themeColor="accent4"/>
        </w:tcBorders>
      </w:tcPr>
    </w:tblStylePr>
    <w:tblStylePr w:type="firstCol">
      <w:rPr>
        <w:b/>
        <w:bCs/>
      </w:rPr>
    </w:tblStylePr>
    <w:tblStylePr w:type="lastCol">
      <w:rPr>
        <w:b/>
        <w:bCs/>
      </w:rPr>
    </w:tblStylePr>
    <w:tblStylePr w:type="band1Vert">
      <w:tblPr/>
      <w:tcPr>
        <w:tcBorders>
          <w:top w:val="single" w:sz="8" w:space="0" w:color="008BB6" w:themeColor="accent4"/>
          <w:left w:val="single" w:sz="8" w:space="0" w:color="008BB6" w:themeColor="accent4"/>
          <w:bottom w:val="single" w:sz="8" w:space="0" w:color="008BB6" w:themeColor="accent4"/>
          <w:right w:val="single" w:sz="8" w:space="0" w:color="008BB6" w:themeColor="accent4"/>
        </w:tcBorders>
      </w:tcPr>
    </w:tblStylePr>
    <w:tblStylePr w:type="band1Horz">
      <w:tblPr/>
      <w:tcPr>
        <w:tcBorders>
          <w:top w:val="single" w:sz="8" w:space="0" w:color="008BB6" w:themeColor="accent4"/>
          <w:left w:val="single" w:sz="8" w:space="0" w:color="008BB6" w:themeColor="accent4"/>
          <w:bottom w:val="single" w:sz="8" w:space="0" w:color="008BB6" w:themeColor="accent4"/>
          <w:right w:val="single" w:sz="8" w:space="0" w:color="008BB6" w:themeColor="accent4"/>
        </w:tcBorders>
      </w:tcPr>
    </w:tblStylePr>
  </w:style>
  <w:style w:type="table" w:styleId="LightList-Accent5">
    <w:name w:val="Light List Accent 5"/>
    <w:aliases w:val="TRA"/>
    <w:basedOn w:val="TableNormal"/>
    <w:uiPriority w:val="61"/>
    <w:rsid w:val="003F7E5F"/>
    <w:pPr>
      <w:spacing w:before="120" w:after="120" w:line="240" w:lineRule="auto"/>
    </w:pPr>
    <w:rPr>
      <w:sz w:val="18"/>
    </w:rPr>
    <w:tblPr>
      <w:tblStyleRowBandSize w:val="1"/>
      <w:tblStyleColBandSize w:val="1"/>
      <w:tblBorders>
        <w:top w:val="single" w:sz="8" w:space="0" w:color="ACA6A2" w:themeColor="accent5"/>
        <w:left w:val="single" w:sz="8" w:space="0" w:color="ACA6A2" w:themeColor="accent5"/>
        <w:bottom w:val="single" w:sz="8" w:space="0" w:color="ACA6A2" w:themeColor="accent5"/>
        <w:right w:val="single" w:sz="8" w:space="0" w:color="ACA6A2" w:themeColor="accent5"/>
      </w:tblBorders>
    </w:tblPr>
    <w:tblStylePr w:type="firstRow">
      <w:pPr>
        <w:wordWrap/>
        <w:spacing w:beforeLines="0" w:before="120" w:beforeAutospacing="0" w:afterLines="0" w:after="120" w:afterAutospacing="0" w:line="240" w:lineRule="auto"/>
      </w:pPr>
      <w:rPr>
        <w:rFonts w:ascii="Arial" w:hAnsi="Arial"/>
        <w:b w:val="0"/>
        <w:bCs/>
        <w:color w:val="FFFFFF" w:themeColor="background1"/>
        <w:sz w:val="22"/>
      </w:rPr>
      <w:tblPr/>
      <w:tcPr>
        <w:shd w:val="clear" w:color="auto" w:fill="ACA6A2" w:themeFill="accent5"/>
      </w:tcPr>
    </w:tblStylePr>
    <w:tblStylePr w:type="lastRow">
      <w:pPr>
        <w:wordWrap/>
        <w:spacing w:beforeLines="0" w:before="120" w:beforeAutospacing="0" w:afterLines="0" w:after="120" w:afterAutospacing="0" w:line="240" w:lineRule="auto"/>
      </w:pPr>
      <w:rPr>
        <w:rFonts w:ascii="Arial" w:hAnsi="Arial"/>
        <w:b w:val="0"/>
        <w:bCs/>
        <w:sz w:val="18"/>
      </w:rPr>
      <w:tblPr/>
      <w:tcPr>
        <w:shd w:val="clear" w:color="auto" w:fill="ACA6A2" w:themeFill="accent5"/>
      </w:tcPr>
    </w:tblStylePr>
    <w:tblStylePr w:type="firstCol">
      <w:rPr>
        <w:rFonts w:ascii="Arial" w:hAnsi="Arial"/>
        <w:b w:val="0"/>
        <w:bCs/>
        <w:sz w:val="18"/>
      </w:rPr>
    </w:tblStylePr>
    <w:tblStylePr w:type="lastCol">
      <w:rPr>
        <w:rFonts w:ascii="Arial" w:hAnsi="Arial"/>
        <w:b w:val="0"/>
        <w:bCs/>
        <w:sz w:val="18"/>
      </w:rPr>
    </w:tblStylePr>
    <w:tblStylePr w:type="band1Vert">
      <w:rPr>
        <w:rFonts w:ascii="Arial" w:hAnsi="Arial"/>
        <w:sz w:val="18"/>
      </w:rPr>
      <w:tblPr/>
      <w:tcPr>
        <w:shd w:val="clear" w:color="auto" w:fill="DEDBD5" w:themeFill="background2"/>
      </w:tcPr>
    </w:tblStylePr>
    <w:tblStylePr w:type="band1Horz">
      <w:rPr>
        <w:rFonts w:ascii="Arial" w:hAnsi="Arial"/>
        <w:sz w:val="18"/>
      </w:rPr>
    </w:tblStylePr>
    <w:tblStylePr w:type="band2Horz">
      <w:rPr>
        <w:rFonts w:ascii="Arial" w:hAnsi="Arial"/>
        <w:sz w:val="18"/>
      </w:rPr>
      <w:tblPr/>
      <w:tcPr>
        <w:shd w:val="clear" w:color="auto" w:fill="DEDBD5" w:themeFill="background2"/>
      </w:tcPr>
    </w:tblStylePr>
  </w:style>
  <w:style w:type="paragraph" w:styleId="Header">
    <w:name w:val="header"/>
    <w:basedOn w:val="Normal"/>
    <w:link w:val="HeaderChar"/>
    <w:uiPriority w:val="99"/>
    <w:unhideWhenUsed/>
    <w:rsid w:val="003F7E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7E5F"/>
  </w:style>
  <w:style w:type="paragraph" w:styleId="Footer">
    <w:name w:val="footer"/>
    <w:basedOn w:val="Normal"/>
    <w:link w:val="FooterChar"/>
    <w:uiPriority w:val="99"/>
    <w:unhideWhenUsed/>
    <w:rsid w:val="003F7E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7E5F"/>
  </w:style>
  <w:style w:type="paragraph" w:styleId="Title">
    <w:name w:val="Title"/>
    <w:basedOn w:val="Normal"/>
    <w:next w:val="Normal"/>
    <w:link w:val="TitleChar"/>
    <w:autoRedefine/>
    <w:uiPriority w:val="10"/>
    <w:qFormat/>
    <w:rsid w:val="00663923"/>
    <w:pPr>
      <w:spacing w:after="240" w:line="240" w:lineRule="auto"/>
    </w:pPr>
    <w:rPr>
      <w:rFonts w:ascii="Arial Narrow" w:eastAsiaTheme="majorEastAsia" w:hAnsi="Arial Narrow" w:cstheme="majorBidi"/>
      <w:b/>
      <w:caps/>
      <w:color w:val="ACA6A2"/>
      <w:spacing w:val="5"/>
      <w:kern w:val="28"/>
      <w:sz w:val="72"/>
      <w:szCs w:val="72"/>
    </w:rPr>
  </w:style>
  <w:style w:type="character" w:customStyle="1" w:styleId="TitleChar">
    <w:name w:val="Title Char"/>
    <w:basedOn w:val="DefaultParagraphFont"/>
    <w:link w:val="Title"/>
    <w:uiPriority w:val="10"/>
    <w:rsid w:val="00663923"/>
    <w:rPr>
      <w:rFonts w:ascii="Arial Narrow" w:eastAsiaTheme="majorEastAsia" w:hAnsi="Arial Narrow" w:cstheme="majorBidi"/>
      <w:b/>
      <w:caps/>
      <w:color w:val="ACA6A2"/>
      <w:spacing w:val="5"/>
      <w:kern w:val="28"/>
      <w:sz w:val="72"/>
      <w:szCs w:val="72"/>
    </w:rPr>
  </w:style>
  <w:style w:type="paragraph" w:styleId="ListParagraph">
    <w:name w:val="List Paragraph"/>
    <w:basedOn w:val="Normal"/>
    <w:uiPriority w:val="34"/>
    <w:qFormat/>
    <w:rsid w:val="005D2C8F"/>
    <w:pPr>
      <w:numPr>
        <w:numId w:val="4"/>
      </w:numPr>
      <w:spacing w:line="240" w:lineRule="auto"/>
      <w:contextualSpacing/>
    </w:pPr>
    <w:rPr>
      <w:rFonts w:cstheme="minorHAnsi"/>
    </w:rPr>
  </w:style>
  <w:style w:type="paragraph" w:styleId="BalloonText">
    <w:name w:val="Balloon Text"/>
    <w:basedOn w:val="Normal"/>
    <w:link w:val="BalloonTextChar"/>
    <w:uiPriority w:val="99"/>
    <w:semiHidden/>
    <w:unhideWhenUsed/>
    <w:rsid w:val="00A375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5F5"/>
    <w:rPr>
      <w:rFonts w:ascii="Tahoma" w:hAnsi="Tahoma" w:cs="Tahoma"/>
      <w:sz w:val="16"/>
      <w:szCs w:val="16"/>
    </w:rPr>
  </w:style>
  <w:style w:type="paragraph" w:customStyle="1" w:styleId="Tablecolumnheading">
    <w:name w:val="Table/column heading"/>
    <w:basedOn w:val="Normal"/>
    <w:link w:val="TablecolumnheadingChar"/>
    <w:qFormat/>
    <w:rsid w:val="00E61080"/>
    <w:pPr>
      <w:framePr w:hSpace="180" w:wrap="around" w:vAnchor="text" w:hAnchor="margin" w:y="112"/>
      <w:spacing w:before="120" w:after="120" w:line="240" w:lineRule="auto"/>
    </w:pPr>
    <w:rPr>
      <w:rFonts w:ascii="Arial" w:hAnsi="Arial"/>
      <w:b/>
      <w:bCs/>
      <w:color w:val="FFFFFF" w:themeColor="background1"/>
    </w:rPr>
  </w:style>
  <w:style w:type="character" w:customStyle="1" w:styleId="TablecolumnheadingChar">
    <w:name w:val="Table/column heading Char"/>
    <w:basedOn w:val="DefaultParagraphFont"/>
    <w:link w:val="Tablecolumnheading"/>
    <w:rsid w:val="00E61080"/>
    <w:rPr>
      <w:rFonts w:ascii="Arial" w:hAnsi="Arial"/>
      <w:b/>
      <w:bCs/>
      <w:color w:val="FFFFFF" w:themeColor="background1"/>
      <w:sz w:val="20"/>
      <w:szCs w:val="20"/>
    </w:rPr>
  </w:style>
  <w:style w:type="paragraph" w:customStyle="1" w:styleId="Default">
    <w:name w:val="Default"/>
    <w:rsid w:val="005943DC"/>
    <w:pPr>
      <w:autoSpaceDE w:val="0"/>
      <w:autoSpaceDN w:val="0"/>
      <w:adjustRightInd w:val="0"/>
      <w:spacing w:after="0" w:line="240" w:lineRule="auto"/>
    </w:pPr>
    <w:rPr>
      <w:rFonts w:ascii="Trade Gothic LT Std Light" w:hAnsi="Trade Gothic LT Std Light" w:cs="Trade Gothic LT Std Light"/>
      <w:color w:val="000000"/>
      <w:sz w:val="24"/>
      <w:szCs w:val="24"/>
    </w:rPr>
  </w:style>
  <w:style w:type="paragraph" w:customStyle="1" w:styleId="Pa4">
    <w:name w:val="Pa4"/>
    <w:basedOn w:val="Default"/>
    <w:next w:val="Default"/>
    <w:uiPriority w:val="99"/>
    <w:rsid w:val="00A308FE"/>
    <w:pPr>
      <w:spacing w:line="191" w:lineRule="atLeast"/>
    </w:pPr>
    <w:rPr>
      <w:rFonts w:cstheme="minorBidi"/>
      <w:color w:val="auto"/>
    </w:rPr>
  </w:style>
  <w:style w:type="paragraph" w:customStyle="1" w:styleId="Pa12">
    <w:name w:val="Pa12"/>
    <w:basedOn w:val="Default"/>
    <w:next w:val="Default"/>
    <w:uiPriority w:val="99"/>
    <w:rsid w:val="00991968"/>
    <w:pPr>
      <w:spacing w:line="241" w:lineRule="atLeast"/>
    </w:pPr>
    <w:rPr>
      <w:rFonts w:ascii="TradeGothic" w:hAnsi="TradeGothic" w:cstheme="minorBidi"/>
      <w:color w:val="auto"/>
    </w:rPr>
  </w:style>
  <w:style w:type="character" w:styleId="CommentReference">
    <w:name w:val="annotation reference"/>
    <w:basedOn w:val="DefaultParagraphFont"/>
    <w:uiPriority w:val="99"/>
    <w:semiHidden/>
    <w:unhideWhenUsed/>
    <w:rsid w:val="00045A17"/>
    <w:rPr>
      <w:sz w:val="16"/>
      <w:szCs w:val="16"/>
    </w:rPr>
  </w:style>
  <w:style w:type="paragraph" w:styleId="CommentText">
    <w:name w:val="annotation text"/>
    <w:basedOn w:val="Normal"/>
    <w:link w:val="CommentTextChar"/>
    <w:uiPriority w:val="99"/>
    <w:semiHidden/>
    <w:unhideWhenUsed/>
    <w:rsid w:val="00045A17"/>
    <w:pPr>
      <w:spacing w:line="240" w:lineRule="auto"/>
    </w:pPr>
  </w:style>
  <w:style w:type="character" w:customStyle="1" w:styleId="CommentTextChar">
    <w:name w:val="Comment Text Char"/>
    <w:basedOn w:val="DefaultParagraphFont"/>
    <w:link w:val="CommentText"/>
    <w:uiPriority w:val="99"/>
    <w:semiHidden/>
    <w:rsid w:val="00045A17"/>
    <w:rPr>
      <w:sz w:val="20"/>
      <w:szCs w:val="20"/>
    </w:rPr>
  </w:style>
  <w:style w:type="paragraph" w:styleId="CommentSubject">
    <w:name w:val="annotation subject"/>
    <w:basedOn w:val="CommentText"/>
    <w:next w:val="CommentText"/>
    <w:link w:val="CommentSubjectChar"/>
    <w:uiPriority w:val="99"/>
    <w:semiHidden/>
    <w:unhideWhenUsed/>
    <w:rsid w:val="00045A17"/>
    <w:rPr>
      <w:b/>
      <w:bCs/>
    </w:rPr>
  </w:style>
  <w:style w:type="character" w:customStyle="1" w:styleId="CommentSubjectChar">
    <w:name w:val="Comment Subject Char"/>
    <w:basedOn w:val="CommentTextChar"/>
    <w:link w:val="CommentSubject"/>
    <w:uiPriority w:val="99"/>
    <w:semiHidden/>
    <w:rsid w:val="00045A17"/>
    <w:rPr>
      <w:b/>
      <w:bCs/>
      <w:sz w:val="20"/>
      <w:szCs w:val="20"/>
    </w:rPr>
  </w:style>
  <w:style w:type="character" w:customStyle="1" w:styleId="Heading5Char">
    <w:name w:val="Heading 5 Char"/>
    <w:basedOn w:val="DefaultParagraphFont"/>
    <w:link w:val="Heading5"/>
    <w:uiPriority w:val="9"/>
    <w:rsid w:val="00473803"/>
    <w:rPr>
      <w:rFonts w:asciiTheme="majorHAnsi" w:eastAsiaTheme="majorEastAsia" w:hAnsiTheme="majorHAnsi" w:cstheme="majorBidi"/>
      <w:color w:val="E4BA0E" w:themeColor="accent1" w:themeShade="BF"/>
      <w:sz w:val="20"/>
      <w:szCs w:val="20"/>
    </w:rPr>
  </w:style>
  <w:style w:type="character" w:customStyle="1" w:styleId="Heading6Char">
    <w:name w:val="Heading 6 Char"/>
    <w:basedOn w:val="DefaultParagraphFont"/>
    <w:link w:val="Heading6"/>
    <w:uiPriority w:val="9"/>
    <w:rsid w:val="00473803"/>
    <w:rPr>
      <w:rFonts w:asciiTheme="majorHAnsi" w:eastAsiaTheme="majorEastAsia" w:hAnsiTheme="majorHAnsi" w:cstheme="majorBidi"/>
      <w:color w:val="977B09" w:themeColor="accent1" w:themeShade="7F"/>
      <w:sz w:val="20"/>
      <w:szCs w:val="20"/>
    </w:rPr>
  </w:style>
  <w:style w:type="character" w:customStyle="1" w:styleId="Heading7Char">
    <w:name w:val="Heading 7 Char"/>
    <w:basedOn w:val="DefaultParagraphFont"/>
    <w:link w:val="Heading7"/>
    <w:uiPriority w:val="9"/>
    <w:rsid w:val="00473803"/>
    <w:rPr>
      <w:rFonts w:asciiTheme="majorHAnsi" w:eastAsiaTheme="majorEastAsia" w:hAnsiTheme="majorHAnsi" w:cstheme="majorBidi"/>
      <w:i/>
      <w:iCs/>
      <w:color w:val="977B09" w:themeColor="accent1" w:themeShade="7F"/>
      <w:sz w:val="20"/>
      <w:szCs w:val="20"/>
    </w:rPr>
  </w:style>
  <w:style w:type="paragraph" w:styleId="Revision">
    <w:name w:val="Revision"/>
    <w:hidden/>
    <w:uiPriority w:val="99"/>
    <w:semiHidden/>
    <w:rsid w:val="00063425"/>
    <w:pPr>
      <w:spacing w:after="0" w:line="240" w:lineRule="auto"/>
    </w:pPr>
    <w:rPr>
      <w:sz w:val="20"/>
      <w:szCs w:val="20"/>
    </w:rPr>
  </w:style>
  <w:style w:type="character" w:customStyle="1" w:styleId="Heading8Char">
    <w:name w:val="Heading 8 Char"/>
    <w:basedOn w:val="DefaultParagraphFont"/>
    <w:link w:val="Heading8"/>
    <w:uiPriority w:val="9"/>
    <w:rsid w:val="00CD0D78"/>
    <w:rPr>
      <w:rFonts w:asciiTheme="majorHAnsi" w:eastAsiaTheme="majorEastAsia" w:hAnsiTheme="majorHAnsi" w:cstheme="majorBidi"/>
      <w:color w:val="272727" w:themeColor="text1" w:themeTint="D8"/>
      <w:sz w:val="21"/>
      <w:szCs w:val="21"/>
    </w:rPr>
  </w:style>
  <w:style w:type="paragraph" w:styleId="FootnoteText">
    <w:name w:val="footnote text"/>
    <w:basedOn w:val="Normal"/>
    <w:link w:val="FootnoteTextChar"/>
    <w:uiPriority w:val="99"/>
    <w:semiHidden/>
    <w:unhideWhenUsed/>
    <w:rsid w:val="00490C07"/>
    <w:pPr>
      <w:spacing w:after="0" w:line="240" w:lineRule="auto"/>
    </w:pPr>
  </w:style>
  <w:style w:type="character" w:customStyle="1" w:styleId="FootnoteTextChar">
    <w:name w:val="Footnote Text Char"/>
    <w:basedOn w:val="DefaultParagraphFont"/>
    <w:link w:val="FootnoteText"/>
    <w:uiPriority w:val="99"/>
    <w:semiHidden/>
    <w:rsid w:val="00490C07"/>
    <w:rPr>
      <w:sz w:val="20"/>
      <w:szCs w:val="20"/>
    </w:rPr>
  </w:style>
  <w:style w:type="character" w:styleId="FootnoteReference">
    <w:name w:val="footnote reference"/>
    <w:basedOn w:val="DefaultParagraphFont"/>
    <w:uiPriority w:val="99"/>
    <w:semiHidden/>
    <w:unhideWhenUsed/>
    <w:rsid w:val="00490C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060929">
      <w:bodyDiv w:val="1"/>
      <w:marLeft w:val="0"/>
      <w:marRight w:val="0"/>
      <w:marTop w:val="0"/>
      <w:marBottom w:val="0"/>
      <w:divBdr>
        <w:top w:val="none" w:sz="0" w:space="0" w:color="auto"/>
        <w:left w:val="none" w:sz="0" w:space="0" w:color="auto"/>
        <w:bottom w:val="none" w:sz="0" w:space="0" w:color="auto"/>
        <w:right w:val="none" w:sz="0" w:space="0" w:color="auto"/>
      </w:divBdr>
    </w:div>
    <w:div w:id="510415799">
      <w:bodyDiv w:val="1"/>
      <w:marLeft w:val="0"/>
      <w:marRight w:val="0"/>
      <w:marTop w:val="0"/>
      <w:marBottom w:val="0"/>
      <w:divBdr>
        <w:top w:val="none" w:sz="0" w:space="0" w:color="auto"/>
        <w:left w:val="none" w:sz="0" w:space="0" w:color="auto"/>
        <w:bottom w:val="none" w:sz="0" w:space="0" w:color="auto"/>
        <w:right w:val="none" w:sz="0" w:space="0" w:color="auto"/>
      </w:divBdr>
    </w:div>
    <w:div w:id="773941895">
      <w:bodyDiv w:val="1"/>
      <w:marLeft w:val="0"/>
      <w:marRight w:val="0"/>
      <w:marTop w:val="0"/>
      <w:marBottom w:val="0"/>
      <w:divBdr>
        <w:top w:val="none" w:sz="0" w:space="0" w:color="auto"/>
        <w:left w:val="none" w:sz="0" w:space="0" w:color="auto"/>
        <w:bottom w:val="none" w:sz="0" w:space="0" w:color="auto"/>
        <w:right w:val="none" w:sz="0" w:space="0" w:color="auto"/>
      </w:divBdr>
    </w:div>
    <w:div w:id="1029641641">
      <w:bodyDiv w:val="1"/>
      <w:marLeft w:val="0"/>
      <w:marRight w:val="0"/>
      <w:marTop w:val="0"/>
      <w:marBottom w:val="0"/>
      <w:divBdr>
        <w:top w:val="none" w:sz="0" w:space="0" w:color="auto"/>
        <w:left w:val="none" w:sz="0" w:space="0" w:color="auto"/>
        <w:bottom w:val="none" w:sz="0" w:space="0" w:color="auto"/>
        <w:right w:val="none" w:sz="0" w:space="0" w:color="auto"/>
      </w:divBdr>
    </w:div>
    <w:div w:id="1412703802">
      <w:bodyDiv w:val="1"/>
      <w:marLeft w:val="0"/>
      <w:marRight w:val="0"/>
      <w:marTop w:val="0"/>
      <w:marBottom w:val="0"/>
      <w:divBdr>
        <w:top w:val="none" w:sz="0" w:space="0" w:color="auto"/>
        <w:left w:val="none" w:sz="0" w:space="0" w:color="auto"/>
        <w:bottom w:val="none" w:sz="0" w:space="0" w:color="auto"/>
        <w:right w:val="none" w:sz="0" w:space="0" w:color="auto"/>
      </w:divBdr>
    </w:div>
    <w:div w:id="1581134103">
      <w:bodyDiv w:val="1"/>
      <w:marLeft w:val="0"/>
      <w:marRight w:val="0"/>
      <w:marTop w:val="0"/>
      <w:marBottom w:val="0"/>
      <w:divBdr>
        <w:top w:val="none" w:sz="0" w:space="0" w:color="auto"/>
        <w:left w:val="none" w:sz="0" w:space="0" w:color="auto"/>
        <w:bottom w:val="none" w:sz="0" w:space="0" w:color="auto"/>
        <w:right w:val="none" w:sz="0" w:space="0" w:color="auto"/>
      </w:divBdr>
    </w:div>
    <w:div w:id="1604454419">
      <w:bodyDiv w:val="1"/>
      <w:marLeft w:val="0"/>
      <w:marRight w:val="0"/>
      <w:marTop w:val="0"/>
      <w:marBottom w:val="0"/>
      <w:divBdr>
        <w:top w:val="none" w:sz="0" w:space="0" w:color="auto"/>
        <w:left w:val="none" w:sz="0" w:space="0" w:color="auto"/>
        <w:bottom w:val="none" w:sz="0" w:space="0" w:color="auto"/>
        <w:right w:val="none" w:sz="0" w:space="0" w:color="auto"/>
      </w:divBdr>
    </w:div>
    <w:div w:id="1672873657">
      <w:bodyDiv w:val="1"/>
      <w:marLeft w:val="0"/>
      <w:marRight w:val="0"/>
      <w:marTop w:val="0"/>
      <w:marBottom w:val="0"/>
      <w:divBdr>
        <w:top w:val="none" w:sz="0" w:space="0" w:color="auto"/>
        <w:left w:val="none" w:sz="0" w:space="0" w:color="auto"/>
        <w:bottom w:val="none" w:sz="0" w:space="0" w:color="auto"/>
        <w:right w:val="none" w:sz="0" w:space="0" w:color="auto"/>
      </w:divBdr>
    </w:div>
    <w:div w:id="1742216034">
      <w:bodyDiv w:val="1"/>
      <w:marLeft w:val="0"/>
      <w:marRight w:val="0"/>
      <w:marTop w:val="0"/>
      <w:marBottom w:val="0"/>
      <w:divBdr>
        <w:top w:val="none" w:sz="0" w:space="0" w:color="auto"/>
        <w:left w:val="none" w:sz="0" w:space="0" w:color="auto"/>
        <w:bottom w:val="none" w:sz="0" w:space="0" w:color="auto"/>
        <w:right w:val="none" w:sz="0" w:space="0" w:color="auto"/>
      </w:divBdr>
    </w:div>
    <w:div w:id="1791243589">
      <w:bodyDiv w:val="1"/>
      <w:marLeft w:val="0"/>
      <w:marRight w:val="0"/>
      <w:marTop w:val="0"/>
      <w:marBottom w:val="0"/>
      <w:divBdr>
        <w:top w:val="none" w:sz="0" w:space="0" w:color="auto"/>
        <w:left w:val="none" w:sz="0" w:space="0" w:color="auto"/>
        <w:bottom w:val="none" w:sz="0" w:space="0" w:color="auto"/>
        <w:right w:val="none" w:sz="0" w:space="0" w:color="auto"/>
      </w:divBdr>
    </w:div>
    <w:div w:id="1851598744">
      <w:bodyDiv w:val="1"/>
      <w:marLeft w:val="0"/>
      <w:marRight w:val="0"/>
      <w:marTop w:val="0"/>
      <w:marBottom w:val="0"/>
      <w:divBdr>
        <w:top w:val="none" w:sz="0" w:space="0" w:color="auto"/>
        <w:left w:val="none" w:sz="0" w:space="0" w:color="auto"/>
        <w:bottom w:val="none" w:sz="0" w:space="0" w:color="auto"/>
        <w:right w:val="none" w:sz="0" w:space="0" w:color="auto"/>
      </w:divBdr>
    </w:div>
    <w:div w:id="2066684381">
      <w:bodyDiv w:val="1"/>
      <w:marLeft w:val="0"/>
      <w:marRight w:val="0"/>
      <w:marTop w:val="0"/>
      <w:marBottom w:val="0"/>
      <w:divBdr>
        <w:top w:val="none" w:sz="0" w:space="0" w:color="auto"/>
        <w:left w:val="none" w:sz="0" w:space="0" w:color="auto"/>
        <w:bottom w:val="none" w:sz="0" w:space="0" w:color="auto"/>
        <w:right w:val="none" w:sz="0" w:space="0" w:color="auto"/>
      </w:divBdr>
    </w:div>
    <w:div w:id="209781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1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TRA\Outreach%20and%20Regional%20Research\Administration\TRA%20Corporate%20Style\Templates\TRA_SimpleWordTemplate_March2014.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diala-raad\AppData\Local\Microsoft\Windows\INetCache\Content.Outlook\SGKA7DL6\Book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global.austrade.int\groupdata\Australia\Canberra\Tourism\TRA\Surveys\NVS\NVS%20Monthly%20Releases\June%202021\Cumulative%20Loss%20Char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global.austrade.int\userdata\australia\canberra\Jessica-BarrittEyles\Quarterly%20release\NVS%20Summary%20Checks\June%202021\Book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global.austrade.int\userdata\australia\canberra\Jessica-BarrittEyles\Quarterly%20release\NVS%20Summary%20Checks\June%202021\Book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global.austrade.int\userdata\australia\canberra\Jessica-BarrittEyles\Quarterly%20release\NVS%20Summary%20Checks\June%202021\Book1.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'Quarter data'!$U$114</c:f>
              <c:strCache>
                <c:ptCount val="1"/>
                <c:pt idx="0">
                  <c:v>Interstate</c:v>
                </c:pt>
              </c:strCache>
            </c:strRef>
          </c:tx>
          <c:spPr>
            <a:solidFill>
              <a:srgbClr val="007FA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'Quarter data'!$T$115:$T$122</c:f>
              <c:strCache>
                <c:ptCount val="8"/>
                <c:pt idx="0">
                  <c:v>NSW</c:v>
                </c:pt>
                <c:pt idx="1">
                  <c:v>VIC</c:v>
                </c:pt>
                <c:pt idx="2">
                  <c:v>QLD</c:v>
                </c:pt>
                <c:pt idx="3">
                  <c:v>SA</c:v>
                </c:pt>
                <c:pt idx="4">
                  <c:v>WA</c:v>
                </c:pt>
                <c:pt idx="5">
                  <c:v>TAS</c:v>
                </c:pt>
                <c:pt idx="6">
                  <c:v>NT</c:v>
                </c:pt>
                <c:pt idx="7">
                  <c:v>ACT</c:v>
                </c:pt>
              </c:strCache>
            </c:strRef>
          </c:cat>
          <c:val>
            <c:numRef>
              <c:f>'Quarter data'!$U$115:$U$122</c:f>
              <c:numCache>
                <c:formatCode>0</c:formatCode>
                <c:ptCount val="8"/>
                <c:pt idx="0">
                  <c:v>-14.107500706808649</c:v>
                </c:pt>
                <c:pt idx="1">
                  <c:v>-45.608635033233085</c:v>
                </c:pt>
                <c:pt idx="2">
                  <c:v>26.226402120092747</c:v>
                </c:pt>
                <c:pt idx="3">
                  <c:v>36.922751023866681</c:v>
                </c:pt>
                <c:pt idx="4">
                  <c:v>-20.202315796134009</c:v>
                </c:pt>
                <c:pt idx="5">
                  <c:v>34.356188578048908</c:v>
                </c:pt>
                <c:pt idx="6">
                  <c:v>20.78555762077524</c:v>
                </c:pt>
                <c:pt idx="7" formatCode="#,##0">
                  <c:v>29.064000000000021</c:v>
                </c:pt>
              </c:numCache>
            </c:numRef>
          </c:val>
          <c:extLst>
            <c:ext xmlns:c16="http://schemas.microsoft.com/office/drawing/2014/chart" uri="{C3380CC4-5D6E-409C-BE32-E72D297353CC}">
              <c16:uniqueId val="{00000000-890D-49F1-80E4-BF1A8DAAF832}"/>
            </c:ext>
          </c:extLst>
        </c:ser>
        <c:ser>
          <c:idx val="1"/>
          <c:order val="1"/>
          <c:tx>
            <c:strRef>
              <c:f>'Quarter data'!$V$114</c:f>
              <c:strCache>
                <c:ptCount val="1"/>
                <c:pt idx="0">
                  <c:v>Intrastate</c:v>
                </c:pt>
              </c:strCache>
            </c:strRef>
          </c:tx>
          <c:spPr>
            <a:solidFill>
              <a:srgbClr val="C9DB2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'Quarter data'!$T$115:$T$122</c:f>
              <c:strCache>
                <c:ptCount val="8"/>
                <c:pt idx="0">
                  <c:v>NSW</c:v>
                </c:pt>
                <c:pt idx="1">
                  <c:v>VIC</c:v>
                </c:pt>
                <c:pt idx="2">
                  <c:v>QLD</c:v>
                </c:pt>
                <c:pt idx="3">
                  <c:v>SA</c:v>
                </c:pt>
                <c:pt idx="4">
                  <c:v>WA</c:v>
                </c:pt>
                <c:pt idx="5">
                  <c:v>TAS</c:v>
                </c:pt>
                <c:pt idx="6">
                  <c:v>NT</c:v>
                </c:pt>
                <c:pt idx="7">
                  <c:v>ACT</c:v>
                </c:pt>
              </c:strCache>
            </c:strRef>
          </c:cat>
          <c:val>
            <c:numRef>
              <c:f>'Quarter data'!$V$115:$V$122</c:f>
              <c:numCache>
                <c:formatCode>0</c:formatCode>
                <c:ptCount val="8"/>
                <c:pt idx="0">
                  <c:v>12.781226926940636</c:v>
                </c:pt>
                <c:pt idx="1">
                  <c:v>-8.9583869679908332</c:v>
                </c:pt>
                <c:pt idx="2">
                  <c:v>0.43484124295911969</c:v>
                </c:pt>
                <c:pt idx="3">
                  <c:v>6.3922714431761172</c:v>
                </c:pt>
                <c:pt idx="4">
                  <c:v>-1.7158353958405956</c:v>
                </c:pt>
                <c:pt idx="5">
                  <c:v>8.3269865448083173</c:v>
                </c:pt>
                <c:pt idx="6">
                  <c:v>-27.877405990910848</c:v>
                </c:pt>
              </c:numCache>
            </c:numRef>
          </c:val>
          <c:extLst>
            <c:ext xmlns:c16="http://schemas.microsoft.com/office/drawing/2014/chart" uri="{C3380CC4-5D6E-409C-BE32-E72D297353CC}">
              <c16:uniqueId val="{00000001-890D-49F1-80E4-BF1A8DAAF832}"/>
            </c:ext>
          </c:extLst>
        </c:ser>
        <c:dLbls>
          <c:showLegendKey val="0"/>
          <c:showVal val="0"/>
          <c:showCatName val="0"/>
          <c:showSerName val="0"/>
          <c:showPercent val="0"/>
          <c:showBubbleSize val="0"/>
        </c:dLbls>
        <c:gapWidth val="120"/>
        <c:overlap val="-27"/>
        <c:axId val="473603455"/>
        <c:axId val="473580991"/>
      </c:barChart>
      <c:catAx>
        <c:axId val="473603455"/>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3580991"/>
        <c:crosses val="autoZero"/>
        <c:auto val="1"/>
        <c:lblAlgn val="ctr"/>
        <c:lblOffset val="100"/>
        <c:noMultiLvlLbl val="0"/>
      </c:catAx>
      <c:valAx>
        <c:axId val="47358099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36034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1754414099459563E-2"/>
          <c:y val="0.11057949751631482"/>
          <c:w val="0.86728140652479535"/>
          <c:h val="0.62308064031624"/>
        </c:manualLayout>
      </c:layout>
      <c:areaChart>
        <c:grouping val="stacked"/>
        <c:varyColors val="0"/>
        <c:ser>
          <c:idx val="0"/>
          <c:order val="0"/>
          <c:tx>
            <c:strRef>
              <c:f>'Cumulative Loss Charts'!$H$31</c:f>
              <c:strCache>
                <c:ptCount val="1"/>
                <c:pt idx="0">
                  <c:v>Regional Australia</c:v>
                </c:pt>
              </c:strCache>
            </c:strRef>
          </c:tx>
          <c:spPr>
            <a:solidFill>
              <a:srgbClr val="C9DB2F"/>
            </a:solidFill>
            <a:ln>
              <a:noFill/>
            </a:ln>
            <a:effectLst/>
          </c:spPr>
          <c:cat>
            <c:numRef>
              <c:f>'Cumulative Loss Charts'!$A$32:$A$47</c:f>
              <c:numCache>
                <c:formatCode>mmm\-yy</c:formatCode>
                <c:ptCount val="16"/>
                <c:pt idx="0">
                  <c:v>43891</c:v>
                </c:pt>
                <c:pt idx="1">
                  <c:v>43922</c:v>
                </c:pt>
                <c:pt idx="2">
                  <c:v>43952</c:v>
                </c:pt>
                <c:pt idx="3">
                  <c:v>43983</c:v>
                </c:pt>
                <c:pt idx="4">
                  <c:v>44013</c:v>
                </c:pt>
                <c:pt idx="5">
                  <c:v>44044</c:v>
                </c:pt>
                <c:pt idx="6">
                  <c:v>44075</c:v>
                </c:pt>
                <c:pt idx="7">
                  <c:v>44105</c:v>
                </c:pt>
                <c:pt idx="8">
                  <c:v>44136</c:v>
                </c:pt>
                <c:pt idx="9">
                  <c:v>44166</c:v>
                </c:pt>
                <c:pt idx="10">
                  <c:v>44197</c:v>
                </c:pt>
                <c:pt idx="11">
                  <c:v>44228</c:v>
                </c:pt>
                <c:pt idx="12">
                  <c:v>44256</c:v>
                </c:pt>
                <c:pt idx="13">
                  <c:v>44287</c:v>
                </c:pt>
                <c:pt idx="14">
                  <c:v>44317</c:v>
                </c:pt>
                <c:pt idx="15">
                  <c:v>44348</c:v>
                </c:pt>
              </c:numCache>
            </c:numRef>
          </c:cat>
          <c:val>
            <c:numRef>
              <c:f>'Cumulative Loss Charts'!$L$32:$L$47</c:f>
              <c:numCache>
                <c:formatCode>#,##0.0</c:formatCode>
                <c:ptCount val="16"/>
                <c:pt idx="0">
                  <c:v>1.113</c:v>
                </c:pt>
                <c:pt idx="1">
                  <c:v>4.7089999999999996</c:v>
                </c:pt>
                <c:pt idx="2">
                  <c:v>6.8449999999999998</c:v>
                </c:pt>
                <c:pt idx="3">
                  <c:v>8.2690000000000001</c:v>
                </c:pt>
                <c:pt idx="4">
                  <c:v>9.3610000000000007</c:v>
                </c:pt>
                <c:pt idx="5">
                  <c:v>10.374000000000001</c:v>
                </c:pt>
                <c:pt idx="6">
                  <c:v>11.762</c:v>
                </c:pt>
                <c:pt idx="7">
                  <c:v>11.965</c:v>
                </c:pt>
                <c:pt idx="8">
                  <c:v>12.002000000000001</c:v>
                </c:pt>
                <c:pt idx="9">
                  <c:v>12.048</c:v>
                </c:pt>
                <c:pt idx="10">
                  <c:v>11.689</c:v>
                </c:pt>
                <c:pt idx="11">
                  <c:v>11.32</c:v>
                </c:pt>
                <c:pt idx="12">
                  <c:v>10.813000000000001</c:v>
                </c:pt>
                <c:pt idx="13">
                  <c:v>9.9269999999999996</c:v>
                </c:pt>
                <c:pt idx="14">
                  <c:v>9.2639999999999993</c:v>
                </c:pt>
                <c:pt idx="15">
                  <c:v>9.3729999999999993</c:v>
                </c:pt>
              </c:numCache>
            </c:numRef>
          </c:val>
          <c:extLst>
            <c:ext xmlns:c16="http://schemas.microsoft.com/office/drawing/2014/chart" uri="{C3380CC4-5D6E-409C-BE32-E72D297353CC}">
              <c16:uniqueId val="{00000000-0FA9-4EEF-A343-B9D95BDF2414}"/>
            </c:ext>
          </c:extLst>
        </c:ser>
        <c:ser>
          <c:idx val="1"/>
          <c:order val="1"/>
          <c:tx>
            <c:strRef>
              <c:f>'Cumulative Loss Charts'!$B$31</c:f>
              <c:strCache>
                <c:ptCount val="1"/>
                <c:pt idx="0">
                  <c:v>Capital cities</c:v>
                </c:pt>
              </c:strCache>
            </c:strRef>
          </c:tx>
          <c:spPr>
            <a:solidFill>
              <a:srgbClr val="007FA3"/>
            </a:solidFill>
            <a:ln w="25400">
              <a:noFill/>
            </a:ln>
            <a:effectLst/>
          </c:spPr>
          <c:cat>
            <c:numRef>
              <c:f>'Cumulative Loss Charts'!$A$32:$A$47</c:f>
              <c:numCache>
                <c:formatCode>mmm\-yy</c:formatCode>
                <c:ptCount val="16"/>
                <c:pt idx="0">
                  <c:v>43891</c:v>
                </c:pt>
                <c:pt idx="1">
                  <c:v>43922</c:v>
                </c:pt>
                <c:pt idx="2">
                  <c:v>43952</c:v>
                </c:pt>
                <c:pt idx="3">
                  <c:v>43983</c:v>
                </c:pt>
                <c:pt idx="4">
                  <c:v>44013</c:v>
                </c:pt>
                <c:pt idx="5">
                  <c:v>44044</c:v>
                </c:pt>
                <c:pt idx="6">
                  <c:v>44075</c:v>
                </c:pt>
                <c:pt idx="7">
                  <c:v>44105</c:v>
                </c:pt>
                <c:pt idx="8">
                  <c:v>44136</c:v>
                </c:pt>
                <c:pt idx="9">
                  <c:v>44166</c:v>
                </c:pt>
                <c:pt idx="10">
                  <c:v>44197</c:v>
                </c:pt>
                <c:pt idx="11">
                  <c:v>44228</c:v>
                </c:pt>
                <c:pt idx="12">
                  <c:v>44256</c:v>
                </c:pt>
                <c:pt idx="13">
                  <c:v>44287</c:v>
                </c:pt>
                <c:pt idx="14">
                  <c:v>44317</c:v>
                </c:pt>
                <c:pt idx="15">
                  <c:v>44348</c:v>
                </c:pt>
              </c:numCache>
            </c:numRef>
          </c:cat>
          <c:val>
            <c:numRef>
              <c:f>'Cumulative Loss Charts'!$F$32:$F$47</c:f>
              <c:numCache>
                <c:formatCode>#,##0.0</c:formatCode>
                <c:ptCount val="16"/>
                <c:pt idx="0">
                  <c:v>1.486</c:v>
                </c:pt>
                <c:pt idx="1">
                  <c:v>4.8849999999999998</c:v>
                </c:pt>
                <c:pt idx="2">
                  <c:v>7.52</c:v>
                </c:pt>
                <c:pt idx="3">
                  <c:v>10.081</c:v>
                </c:pt>
                <c:pt idx="4">
                  <c:v>12.747999999999999</c:v>
                </c:pt>
                <c:pt idx="5">
                  <c:v>15.069000000000001</c:v>
                </c:pt>
                <c:pt idx="6">
                  <c:v>17.803999999999998</c:v>
                </c:pt>
                <c:pt idx="7">
                  <c:v>20.593</c:v>
                </c:pt>
                <c:pt idx="8">
                  <c:v>22.756</c:v>
                </c:pt>
                <c:pt idx="9">
                  <c:v>23.867000000000001</c:v>
                </c:pt>
                <c:pt idx="10">
                  <c:v>25.747</c:v>
                </c:pt>
                <c:pt idx="11">
                  <c:v>26.734000000000002</c:v>
                </c:pt>
                <c:pt idx="12">
                  <c:v>27.614999999999998</c:v>
                </c:pt>
                <c:pt idx="13">
                  <c:v>28</c:v>
                </c:pt>
                <c:pt idx="14">
                  <c:v>28.123000000000001</c:v>
                </c:pt>
                <c:pt idx="15">
                  <c:v>29.106000000000002</c:v>
                </c:pt>
              </c:numCache>
            </c:numRef>
          </c:val>
          <c:extLst>
            <c:ext xmlns:c16="http://schemas.microsoft.com/office/drawing/2014/chart" uri="{C3380CC4-5D6E-409C-BE32-E72D297353CC}">
              <c16:uniqueId val="{00000001-0FA9-4EEF-A343-B9D95BDF2414}"/>
            </c:ext>
          </c:extLst>
        </c:ser>
        <c:dLbls>
          <c:showLegendKey val="0"/>
          <c:showVal val="0"/>
          <c:showCatName val="0"/>
          <c:showSerName val="0"/>
          <c:showPercent val="0"/>
          <c:showBubbleSize val="0"/>
        </c:dLbls>
        <c:axId val="324783128"/>
        <c:axId val="324776464"/>
      </c:areaChart>
      <c:dateAx>
        <c:axId val="324783128"/>
        <c:scaling>
          <c:orientation val="minMax"/>
        </c:scaling>
        <c:delete val="0"/>
        <c:axPos val="b"/>
        <c:title>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4776464"/>
        <c:crosses val="autoZero"/>
        <c:auto val="1"/>
        <c:lblOffset val="100"/>
        <c:baseTimeUnit val="months"/>
      </c:dateAx>
      <c:valAx>
        <c:axId val="324776464"/>
        <c:scaling>
          <c:orientation val="minMax"/>
          <c:max val="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a:t>
                </a:r>
                <a:r>
                  <a:rPr lang="en-AU" baseline="0"/>
                  <a:t> Billion</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4783128"/>
        <c:crosses val="autoZero"/>
        <c:crossBetween val="midCat"/>
        <c:majorUnit val="10"/>
      </c:valAx>
      <c:spPr>
        <a:noFill/>
        <a:ln>
          <a:noFill/>
        </a:ln>
        <a:effectLst/>
      </c:spPr>
    </c:plotArea>
    <c:legend>
      <c:legendPos val="b"/>
      <c:layout>
        <c:manualLayout>
          <c:xMode val="edge"/>
          <c:yMode val="edge"/>
          <c:x val="8.6744818812108784E-2"/>
          <c:y val="0.89409667541557303"/>
          <c:w val="0.85095028090938729"/>
          <c:h val="7.812554680664916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'Quarter data'!$U$30</c:f>
              <c:strCache>
                <c:ptCount val="1"/>
                <c:pt idx="0">
                  <c:v>Trips</c:v>
                </c:pt>
              </c:strCache>
            </c:strRef>
          </c:tx>
          <c:spPr>
            <a:solidFill>
              <a:srgbClr val="007FA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'Quarter data'!$T$31:$T$43</c:f>
              <c:strCache>
                <c:ptCount val="13"/>
                <c:pt idx="0">
                  <c:v>Sydney</c:v>
                </c:pt>
                <c:pt idx="1">
                  <c:v>Regional NSW</c:v>
                </c:pt>
                <c:pt idx="2">
                  <c:v>Melbourne</c:v>
                </c:pt>
                <c:pt idx="3">
                  <c:v>Regional VIC</c:v>
                </c:pt>
                <c:pt idx="4">
                  <c:v>Brisbane/Gold Coast</c:v>
                </c:pt>
                <c:pt idx="5">
                  <c:v>Regional QLD</c:v>
                </c:pt>
                <c:pt idx="6">
                  <c:v>Adelaide</c:v>
                </c:pt>
                <c:pt idx="7">
                  <c:v>Regional SA</c:v>
                </c:pt>
                <c:pt idx="8">
                  <c:v>Perth</c:v>
                </c:pt>
                <c:pt idx="9">
                  <c:v>Regional WA</c:v>
                </c:pt>
                <c:pt idx="10">
                  <c:v>TAS</c:v>
                </c:pt>
                <c:pt idx="11">
                  <c:v>NT</c:v>
                </c:pt>
                <c:pt idx="12">
                  <c:v>ACT</c:v>
                </c:pt>
              </c:strCache>
            </c:strRef>
          </c:cat>
          <c:val>
            <c:numRef>
              <c:f>'Quarter data'!$U$31:$U$43</c:f>
              <c:numCache>
                <c:formatCode>0</c:formatCode>
                <c:ptCount val="13"/>
                <c:pt idx="0">
                  <c:v>-30.065443350404859</c:v>
                </c:pt>
                <c:pt idx="1">
                  <c:v>-9.5709121663445469</c:v>
                </c:pt>
                <c:pt idx="2">
                  <c:v>-44.357739289322787</c:v>
                </c:pt>
                <c:pt idx="3">
                  <c:v>-23.492042819941606</c:v>
                </c:pt>
                <c:pt idx="4">
                  <c:v>-22.245152669916216</c:v>
                </c:pt>
                <c:pt idx="5">
                  <c:v>-2.1796607010999574</c:v>
                </c:pt>
                <c:pt idx="6">
                  <c:v>-26.440686690860421</c:v>
                </c:pt>
                <c:pt idx="7">
                  <c:v>-6.701404636129622</c:v>
                </c:pt>
                <c:pt idx="8">
                  <c:v>-22.196998287702279</c:v>
                </c:pt>
                <c:pt idx="9">
                  <c:v>-10.523585352287716</c:v>
                </c:pt>
                <c:pt idx="10">
                  <c:v>-15.481505658177323</c:v>
                </c:pt>
                <c:pt idx="11">
                  <c:v>9.0637987097665837E-2</c:v>
                </c:pt>
                <c:pt idx="12">
                  <c:v>2.5965502528745681</c:v>
                </c:pt>
              </c:numCache>
            </c:numRef>
          </c:val>
          <c:extLst>
            <c:ext xmlns:c16="http://schemas.microsoft.com/office/drawing/2014/chart" uri="{C3380CC4-5D6E-409C-BE32-E72D297353CC}">
              <c16:uniqueId val="{00000000-5F95-485D-856C-979D1088E4C8}"/>
            </c:ext>
          </c:extLst>
        </c:ser>
        <c:ser>
          <c:idx val="1"/>
          <c:order val="1"/>
          <c:tx>
            <c:strRef>
              <c:f>'Quarter data'!$V$30</c:f>
              <c:strCache>
                <c:ptCount val="1"/>
                <c:pt idx="0">
                  <c:v>Spend</c:v>
                </c:pt>
              </c:strCache>
            </c:strRef>
          </c:tx>
          <c:spPr>
            <a:solidFill>
              <a:srgbClr val="C9DB2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'Quarter data'!$T$31:$T$43</c:f>
              <c:strCache>
                <c:ptCount val="13"/>
                <c:pt idx="0">
                  <c:v>Sydney</c:v>
                </c:pt>
                <c:pt idx="1">
                  <c:v>Regional NSW</c:v>
                </c:pt>
                <c:pt idx="2">
                  <c:v>Melbourne</c:v>
                </c:pt>
                <c:pt idx="3">
                  <c:v>Regional VIC</c:v>
                </c:pt>
                <c:pt idx="4">
                  <c:v>Brisbane/Gold Coast</c:v>
                </c:pt>
                <c:pt idx="5">
                  <c:v>Regional QLD</c:v>
                </c:pt>
                <c:pt idx="6">
                  <c:v>Adelaide</c:v>
                </c:pt>
                <c:pt idx="7">
                  <c:v>Regional SA</c:v>
                </c:pt>
                <c:pt idx="8">
                  <c:v>Perth</c:v>
                </c:pt>
                <c:pt idx="9">
                  <c:v>Regional WA</c:v>
                </c:pt>
                <c:pt idx="10">
                  <c:v>TAS</c:v>
                </c:pt>
                <c:pt idx="11">
                  <c:v>NT</c:v>
                </c:pt>
                <c:pt idx="12">
                  <c:v>ACT</c:v>
                </c:pt>
              </c:strCache>
            </c:strRef>
          </c:cat>
          <c:val>
            <c:numRef>
              <c:f>'Quarter data'!$V$31:$V$43</c:f>
              <c:numCache>
                <c:formatCode>0</c:formatCode>
                <c:ptCount val="13"/>
                <c:pt idx="0">
                  <c:v>-20.843391911028817</c:v>
                </c:pt>
                <c:pt idx="1">
                  <c:v>19.051591640573019</c:v>
                </c:pt>
                <c:pt idx="2">
                  <c:v>-42.875342615744437</c:v>
                </c:pt>
                <c:pt idx="3">
                  <c:v>-5.3645342950027448</c:v>
                </c:pt>
                <c:pt idx="4">
                  <c:v>-4.7364823579365858</c:v>
                </c:pt>
                <c:pt idx="5">
                  <c:v>26.220179506106987</c:v>
                </c:pt>
                <c:pt idx="6">
                  <c:v>8.5174362993452615</c:v>
                </c:pt>
                <c:pt idx="7">
                  <c:v>33.858415814248829</c:v>
                </c:pt>
                <c:pt idx="8">
                  <c:v>-10.397342879528711</c:v>
                </c:pt>
                <c:pt idx="9">
                  <c:v>-4.4634430079676974</c:v>
                </c:pt>
                <c:pt idx="10">
                  <c:v>26.723728211823456</c:v>
                </c:pt>
                <c:pt idx="11">
                  <c:v>5.9339091441820191</c:v>
                </c:pt>
                <c:pt idx="12">
                  <c:v>0.27512894177035413</c:v>
                </c:pt>
              </c:numCache>
            </c:numRef>
          </c:val>
          <c:extLst>
            <c:ext xmlns:c16="http://schemas.microsoft.com/office/drawing/2014/chart" uri="{C3380CC4-5D6E-409C-BE32-E72D297353CC}">
              <c16:uniqueId val="{00000001-5F95-485D-856C-979D1088E4C8}"/>
            </c:ext>
          </c:extLst>
        </c:ser>
        <c:dLbls>
          <c:showLegendKey val="0"/>
          <c:showVal val="0"/>
          <c:showCatName val="0"/>
          <c:showSerName val="0"/>
          <c:showPercent val="0"/>
          <c:showBubbleSize val="0"/>
        </c:dLbls>
        <c:gapWidth val="219"/>
        <c:overlap val="-27"/>
        <c:axId val="324779600"/>
        <c:axId val="324781560"/>
      </c:barChart>
      <c:catAx>
        <c:axId val="32477960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4781560"/>
        <c:crosses val="autoZero"/>
        <c:auto val="1"/>
        <c:lblAlgn val="ctr"/>
        <c:lblOffset val="350"/>
        <c:noMultiLvlLbl val="0"/>
      </c:catAx>
      <c:valAx>
        <c:axId val="324781560"/>
        <c:scaling>
          <c:orientation val="minMax"/>
          <c:max val="60"/>
          <c:min val="-6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4779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'Quarter data'!$AA$238</c:f>
              <c:strCache>
                <c:ptCount val="1"/>
                <c:pt idx="0">
                  <c:v>Holiday</c:v>
                </c:pt>
              </c:strCache>
            </c:strRef>
          </c:tx>
          <c:spPr>
            <a:solidFill>
              <a:srgbClr val="007FA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'Quarter data'!$AB$237:$AE$237</c:f>
              <c:strCache>
                <c:ptCount val="4"/>
                <c:pt idx="0">
                  <c:v>Capital cities</c:v>
                </c:pt>
                <c:pt idx="1">
                  <c:v>Regional</c:v>
                </c:pt>
                <c:pt idx="2">
                  <c:v>Interstate</c:v>
                </c:pt>
                <c:pt idx="3">
                  <c:v>Intrastate</c:v>
                </c:pt>
              </c:strCache>
            </c:strRef>
          </c:cat>
          <c:val>
            <c:numRef>
              <c:f>'Quarter data'!$AB$238:$AE$238</c:f>
              <c:numCache>
                <c:formatCode>0</c:formatCode>
                <c:ptCount val="4"/>
                <c:pt idx="0">
                  <c:v>1.0995558462281685</c:v>
                </c:pt>
                <c:pt idx="1">
                  <c:v>42.242037528799983</c:v>
                </c:pt>
                <c:pt idx="2">
                  <c:v>25.835094205888414</c:v>
                </c:pt>
                <c:pt idx="3">
                  <c:v>27.747053232197072</c:v>
                </c:pt>
              </c:numCache>
            </c:numRef>
          </c:val>
          <c:extLst>
            <c:ext xmlns:c16="http://schemas.microsoft.com/office/drawing/2014/chart" uri="{C3380CC4-5D6E-409C-BE32-E72D297353CC}">
              <c16:uniqueId val="{00000000-0317-40E6-8D50-EE9A86BB7685}"/>
            </c:ext>
          </c:extLst>
        </c:ser>
        <c:ser>
          <c:idx val="1"/>
          <c:order val="1"/>
          <c:tx>
            <c:strRef>
              <c:f>'Quarter data'!$AA$239</c:f>
              <c:strCache>
                <c:ptCount val="1"/>
                <c:pt idx="0">
                  <c:v>VFR</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'Quarter data'!$AB$237:$AE$237</c:f>
              <c:strCache>
                <c:ptCount val="4"/>
                <c:pt idx="0">
                  <c:v>Capital cities</c:v>
                </c:pt>
                <c:pt idx="1">
                  <c:v>Regional</c:v>
                </c:pt>
                <c:pt idx="2">
                  <c:v>Interstate</c:v>
                </c:pt>
                <c:pt idx="3">
                  <c:v>Intrastate</c:v>
                </c:pt>
              </c:strCache>
            </c:strRef>
          </c:cat>
          <c:val>
            <c:numRef>
              <c:f>'Quarter data'!$AB$239:$AE$239</c:f>
              <c:numCache>
                <c:formatCode>0</c:formatCode>
                <c:ptCount val="4"/>
                <c:pt idx="0">
                  <c:v>0.44911260547888149</c:v>
                </c:pt>
                <c:pt idx="1">
                  <c:v>-2.7819018800625512</c:v>
                </c:pt>
                <c:pt idx="2">
                  <c:v>-1.2463608053518429</c:v>
                </c:pt>
                <c:pt idx="3">
                  <c:v>-1.1870809438215133</c:v>
                </c:pt>
              </c:numCache>
            </c:numRef>
          </c:val>
          <c:extLst>
            <c:ext xmlns:c16="http://schemas.microsoft.com/office/drawing/2014/chart" uri="{C3380CC4-5D6E-409C-BE32-E72D297353CC}">
              <c16:uniqueId val="{00000001-0317-40E6-8D50-EE9A86BB7685}"/>
            </c:ext>
          </c:extLst>
        </c:ser>
        <c:ser>
          <c:idx val="2"/>
          <c:order val="2"/>
          <c:tx>
            <c:strRef>
              <c:f>'Quarter data'!$AA$240</c:f>
              <c:strCache>
                <c:ptCount val="1"/>
                <c:pt idx="0">
                  <c:v>Business</c:v>
                </c:pt>
              </c:strCache>
            </c:strRef>
          </c:tx>
          <c:spPr>
            <a:solidFill>
              <a:srgbClr val="C9DB2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'Quarter data'!$AB$237:$AE$237</c:f>
              <c:strCache>
                <c:ptCount val="4"/>
                <c:pt idx="0">
                  <c:v>Capital cities</c:v>
                </c:pt>
                <c:pt idx="1">
                  <c:v>Regional</c:v>
                </c:pt>
                <c:pt idx="2">
                  <c:v>Interstate</c:v>
                </c:pt>
                <c:pt idx="3">
                  <c:v>Intrastate</c:v>
                </c:pt>
              </c:strCache>
            </c:strRef>
          </c:cat>
          <c:val>
            <c:numRef>
              <c:f>'Quarter data'!$AB$240:$AE$240</c:f>
              <c:numCache>
                <c:formatCode>0</c:formatCode>
                <c:ptCount val="4"/>
                <c:pt idx="0">
                  <c:v>-42.988033095415645</c:v>
                </c:pt>
                <c:pt idx="1">
                  <c:v>-28.76652541873559</c:v>
                </c:pt>
                <c:pt idx="2">
                  <c:v>-41.662525887426412</c:v>
                </c:pt>
                <c:pt idx="3">
                  <c:v>-29.218510484454079</c:v>
                </c:pt>
              </c:numCache>
            </c:numRef>
          </c:val>
          <c:extLst>
            <c:ext xmlns:c16="http://schemas.microsoft.com/office/drawing/2014/chart" uri="{C3380CC4-5D6E-409C-BE32-E72D297353CC}">
              <c16:uniqueId val="{00000002-0317-40E6-8D50-EE9A86BB7685}"/>
            </c:ext>
          </c:extLst>
        </c:ser>
        <c:dLbls>
          <c:showLegendKey val="0"/>
          <c:showVal val="0"/>
          <c:showCatName val="0"/>
          <c:showSerName val="0"/>
          <c:showPercent val="0"/>
          <c:showBubbleSize val="0"/>
        </c:dLbls>
        <c:gapWidth val="219"/>
        <c:overlap val="-27"/>
        <c:axId val="324782344"/>
        <c:axId val="324776072"/>
      </c:barChart>
      <c:catAx>
        <c:axId val="32478234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4776072"/>
        <c:crosses val="autoZero"/>
        <c:auto val="1"/>
        <c:lblAlgn val="ctr"/>
        <c:lblOffset val="100"/>
        <c:noMultiLvlLbl val="0"/>
      </c:catAx>
      <c:valAx>
        <c:axId val="3247760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4782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'Private Home Booking'!$R$8</c:f>
              <c:strCache>
                <c:ptCount val="1"/>
                <c:pt idx="0">
                  <c:v>Booked private home accommodation</c:v>
                </c:pt>
              </c:strCache>
            </c:strRef>
          </c:tx>
          <c:spPr>
            <a:solidFill>
              <a:srgbClr val="007FA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'Private Home Booking'!$R$14:$T$14</c:f>
              <c:strCache>
                <c:ptCount val="3"/>
                <c:pt idx="0">
                  <c:v>Visitors</c:v>
                </c:pt>
                <c:pt idx="1">
                  <c:v>Nights</c:v>
                </c:pt>
                <c:pt idx="2">
                  <c:v>Spend</c:v>
                </c:pt>
              </c:strCache>
            </c:strRef>
          </c:cat>
          <c:val>
            <c:numRef>
              <c:f>'Private Home Booking'!$R$9:$T$9</c:f>
              <c:numCache>
                <c:formatCode>0%</c:formatCode>
                <c:ptCount val="3"/>
                <c:pt idx="0">
                  <c:v>-2.6175472612699952E-2</c:v>
                </c:pt>
                <c:pt idx="1">
                  <c:v>0.16397166911666444</c:v>
                </c:pt>
                <c:pt idx="2">
                  <c:v>0.42755391048969538</c:v>
                </c:pt>
              </c:numCache>
            </c:numRef>
          </c:val>
          <c:extLst>
            <c:ext xmlns:c16="http://schemas.microsoft.com/office/drawing/2014/chart" uri="{C3380CC4-5D6E-409C-BE32-E72D297353CC}">
              <c16:uniqueId val="{00000000-4036-4E6C-9C66-96640226099E}"/>
            </c:ext>
          </c:extLst>
        </c:ser>
        <c:ser>
          <c:idx val="1"/>
          <c:order val="1"/>
          <c:tx>
            <c:strRef>
              <c:f>'Private Home Booking'!$S$8</c:f>
              <c:strCache>
                <c:ptCount val="1"/>
                <c:pt idx="0">
                  <c:v>Did not book private home accommodation</c:v>
                </c:pt>
              </c:strCache>
            </c:strRef>
          </c:tx>
          <c:spPr>
            <a:solidFill>
              <a:srgbClr val="C9DB2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'Private Home Booking'!$R$14:$T$14</c:f>
              <c:strCache>
                <c:ptCount val="3"/>
                <c:pt idx="0">
                  <c:v>Visitors</c:v>
                </c:pt>
                <c:pt idx="1">
                  <c:v>Nights</c:v>
                </c:pt>
                <c:pt idx="2">
                  <c:v>Spend</c:v>
                </c:pt>
              </c:strCache>
            </c:strRef>
          </c:cat>
          <c:val>
            <c:numRef>
              <c:f>'Private Home Booking'!$R$10:$T$10</c:f>
              <c:numCache>
                <c:formatCode>0%</c:formatCode>
                <c:ptCount val="3"/>
                <c:pt idx="0">
                  <c:v>-0.20000708867937902</c:v>
                </c:pt>
                <c:pt idx="1">
                  <c:v>-0.13016822588514818</c:v>
                </c:pt>
                <c:pt idx="2">
                  <c:v>-5.227584089506946E-2</c:v>
                </c:pt>
              </c:numCache>
            </c:numRef>
          </c:val>
          <c:extLst>
            <c:ext xmlns:c16="http://schemas.microsoft.com/office/drawing/2014/chart" uri="{C3380CC4-5D6E-409C-BE32-E72D297353CC}">
              <c16:uniqueId val="{00000001-4036-4E6C-9C66-96640226099E}"/>
            </c:ext>
          </c:extLst>
        </c:ser>
        <c:dLbls>
          <c:showLegendKey val="0"/>
          <c:showVal val="0"/>
          <c:showCatName val="0"/>
          <c:showSerName val="0"/>
          <c:showPercent val="0"/>
          <c:showBubbleSize val="0"/>
        </c:dLbls>
        <c:gapWidth val="219"/>
        <c:overlap val="-27"/>
        <c:axId val="324778816"/>
        <c:axId val="326270168"/>
      </c:barChart>
      <c:catAx>
        <c:axId val="32477881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6270168"/>
        <c:crosses val="autoZero"/>
        <c:auto val="1"/>
        <c:lblAlgn val="ctr"/>
        <c:lblOffset val="100"/>
        <c:noMultiLvlLbl val="0"/>
      </c:catAx>
      <c:valAx>
        <c:axId val="3262701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4778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007FA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Sheet2!$A$8:$A$20</c:f>
              <c:strCache>
                <c:ptCount val="13"/>
                <c:pt idx="0">
                  <c:v>Whitsundays -Townsville</c:v>
                </c:pt>
                <c:pt idx="1">
                  <c:v>North West TAS</c:v>
                </c:pt>
                <c:pt idx="2">
                  <c:v>Tropical North Queensland</c:v>
                </c:pt>
                <c:pt idx="3">
                  <c:v>Launceston and the North</c:v>
                </c:pt>
                <c:pt idx="4">
                  <c:v>Darwin</c:v>
                </c:pt>
                <c:pt idx="5">
                  <c:v>Adelaide - Kangaroo Island</c:v>
                </c:pt>
                <c:pt idx="6">
                  <c:v>Sunshine Coast</c:v>
                </c:pt>
                <c:pt idx="7">
                  <c:v>Gold Coast</c:v>
                </c:pt>
                <c:pt idx="8">
                  <c:v>South Coast NSW</c:v>
                </c:pt>
                <c:pt idx="9">
                  <c:v>Hobart and the South</c:v>
                </c:pt>
                <c:pt idx="10">
                  <c:v>Alice Springs - Lasseter</c:v>
                </c:pt>
                <c:pt idx="11">
                  <c:v>Geelong and the Bellarine - Great Ocean Road</c:v>
                </c:pt>
                <c:pt idx="12">
                  <c:v>Australia's North West</c:v>
                </c:pt>
              </c:strCache>
            </c:strRef>
          </c:cat>
          <c:val>
            <c:numRef>
              <c:f>Sheet2!$Q$8:$Q$20</c:f>
              <c:numCache>
                <c:formatCode>General</c:formatCode>
                <c:ptCount val="13"/>
                <c:pt idx="0">
                  <c:v>127</c:v>
                </c:pt>
                <c:pt idx="1">
                  <c:v>122</c:v>
                </c:pt>
                <c:pt idx="2">
                  <c:v>93</c:v>
                </c:pt>
                <c:pt idx="3">
                  <c:v>60</c:v>
                </c:pt>
                <c:pt idx="4">
                  <c:v>40</c:v>
                </c:pt>
                <c:pt idx="5">
                  <c:v>38</c:v>
                </c:pt>
                <c:pt idx="6">
                  <c:v>38</c:v>
                </c:pt>
                <c:pt idx="7">
                  <c:v>19</c:v>
                </c:pt>
                <c:pt idx="8">
                  <c:v>5</c:v>
                </c:pt>
                <c:pt idx="9">
                  <c:v>4</c:v>
                </c:pt>
                <c:pt idx="10">
                  <c:v>-11</c:v>
                </c:pt>
                <c:pt idx="11">
                  <c:v>-16</c:v>
                </c:pt>
                <c:pt idx="12">
                  <c:v>-23</c:v>
                </c:pt>
              </c:numCache>
            </c:numRef>
          </c:val>
          <c:extLst>
            <c:ext xmlns:c16="http://schemas.microsoft.com/office/drawing/2014/chart" uri="{C3380CC4-5D6E-409C-BE32-E72D297353CC}">
              <c16:uniqueId val="{00000000-4B1B-4B2F-8626-22171F71E158}"/>
            </c:ext>
          </c:extLst>
        </c:ser>
        <c:dLbls>
          <c:showLegendKey val="0"/>
          <c:showVal val="0"/>
          <c:showCatName val="0"/>
          <c:showSerName val="0"/>
          <c:showPercent val="0"/>
          <c:showBubbleSize val="0"/>
        </c:dLbls>
        <c:gapWidth val="182"/>
        <c:axId val="326272128"/>
        <c:axId val="326272520"/>
      </c:barChart>
      <c:catAx>
        <c:axId val="326272128"/>
        <c:scaling>
          <c:orientation val="maxMin"/>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6272520"/>
        <c:crosses val="autoZero"/>
        <c:auto val="1"/>
        <c:lblAlgn val="ctr"/>
        <c:lblOffset val="100"/>
        <c:noMultiLvlLbl val="0"/>
      </c:catAx>
      <c:valAx>
        <c:axId val="326272520"/>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62721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RA_Style_2013">
  <a:themeElements>
    <a:clrScheme name="TRA 2013 Style">
      <a:dk1>
        <a:sysClr val="windowText" lastClr="000000"/>
      </a:dk1>
      <a:lt1>
        <a:sysClr val="window" lastClr="FFFFFF"/>
      </a:lt1>
      <a:dk2>
        <a:srgbClr val="008BB6"/>
      </a:dk2>
      <a:lt2>
        <a:srgbClr val="DEDBD5"/>
      </a:lt2>
      <a:accent1>
        <a:srgbClr val="F4D450"/>
      </a:accent1>
      <a:accent2>
        <a:srgbClr val="F04B54"/>
      </a:accent2>
      <a:accent3>
        <a:srgbClr val="D4D71E"/>
      </a:accent3>
      <a:accent4>
        <a:srgbClr val="008BB6"/>
      </a:accent4>
      <a:accent5>
        <a:srgbClr val="ACA6A2"/>
      </a:accent5>
      <a:accent6>
        <a:srgbClr val="6AB2AB"/>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C5A10-B0E8-4FCC-B9F3-F152A9A50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TRA_SimpleWordTemplate_March2014.dotx</Template>
  <TotalTime>2</TotalTime>
  <Pages>9</Pages>
  <Words>2030</Words>
  <Characters>11573</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Document title</vt:lpstr>
    </vt:vector>
  </TitlesOfParts>
  <Company>Department of the Prime Minister and Cabinet</Company>
  <LinksUpToDate>false</LinksUpToDate>
  <CharactersWithSpaces>13576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creator>Diala-Raad [Canberra]</dc:creator>
  <cp:lastModifiedBy>Silas-Irvine [Canberra]</cp:lastModifiedBy>
  <cp:revision>2</cp:revision>
  <cp:lastPrinted>2021-03-19T00:51:00Z</cp:lastPrinted>
  <dcterms:created xsi:type="dcterms:W3CDTF">2021-09-24T05:15:00Z</dcterms:created>
  <dcterms:modified xsi:type="dcterms:W3CDTF">2021-09-24T05:15:00Z</dcterms:modified>
</cp:coreProperties>
</file>