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50B73" w14:textId="77777777" w:rsidR="00544F35" w:rsidRPr="00D204C3" w:rsidRDefault="0010593E" w:rsidP="00223B43">
      <w:pPr>
        <w:pStyle w:val="Spacer-cover"/>
      </w:pPr>
      <w:r w:rsidRPr="00D204C3">
        <w:rPr>
          <w:noProof/>
          <w:lang w:eastAsia="en-AU"/>
        </w:rPr>
        <w:drawing>
          <wp:anchor distT="0" distB="0" distL="114300" distR="114300" simplePos="0" relativeHeight="251660288" behindDoc="1" locked="1" layoutInCell="1" allowOverlap="1" wp14:anchorId="39904319" wp14:editId="6E6AED39">
            <wp:simplePos x="0" y="0"/>
            <wp:positionH relativeFrom="margin">
              <wp:posOffset>-120015</wp:posOffset>
            </wp:positionH>
            <wp:positionV relativeFrom="margin">
              <wp:posOffset>-246380</wp:posOffset>
            </wp:positionV>
            <wp:extent cx="3230245" cy="1068705"/>
            <wp:effectExtent l="0" t="0" r="0" b="0"/>
            <wp:wrapNone/>
            <wp:docPr id="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544F35" w:rsidRPr="00D204C3">
        <w:rPr>
          <w:noProof/>
          <w:lang w:eastAsia="en-AU"/>
        </w:rPr>
        <w:drawing>
          <wp:anchor distT="0" distB="0" distL="114300" distR="114300" simplePos="0" relativeHeight="251658240" behindDoc="1" locked="1" layoutInCell="1" allowOverlap="1" wp14:anchorId="171B8711" wp14:editId="16194542">
            <wp:simplePos x="0" y="0"/>
            <wp:positionH relativeFrom="page">
              <wp:posOffset>288290</wp:posOffset>
            </wp:positionH>
            <wp:positionV relativeFrom="page">
              <wp:posOffset>288290</wp:posOffset>
            </wp:positionV>
            <wp:extent cx="6984000" cy="2232000"/>
            <wp:effectExtent l="0" t="0" r="762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_Cover_Asset 2.sv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984000" cy="2232000"/>
                    </a:xfrm>
                    <a:prstGeom prst="rect">
                      <a:avLst/>
                    </a:prstGeom>
                  </pic:spPr>
                </pic:pic>
              </a:graphicData>
            </a:graphic>
            <wp14:sizeRelH relativeFrom="margin">
              <wp14:pctWidth>0</wp14:pctWidth>
            </wp14:sizeRelH>
            <wp14:sizeRelV relativeFrom="margin">
              <wp14:pctHeight>0</wp14:pctHeight>
            </wp14:sizeRelV>
          </wp:anchor>
        </w:drawing>
      </w:r>
    </w:p>
    <w:p w14:paraId="16A51BAA" w14:textId="77777777" w:rsidR="00B96FF7" w:rsidRPr="00D204C3" w:rsidRDefault="008C6848" w:rsidP="00223B43">
      <w:pPr>
        <w:pStyle w:val="Title"/>
      </w:pPr>
      <w:r w:rsidRPr="00D204C3">
        <w:t>TRAVEL BY AUSTRALIANS</w:t>
      </w:r>
    </w:p>
    <w:p w14:paraId="5722F6EA" w14:textId="77777777" w:rsidR="00DA3089" w:rsidRPr="00D204C3" w:rsidRDefault="000056CF" w:rsidP="00F73C0E">
      <w:pPr>
        <w:pStyle w:val="Date"/>
      </w:pPr>
    </w:p>
    <w:p w14:paraId="736744A6" w14:textId="77777777" w:rsidR="00165E47" w:rsidRPr="00D204C3" w:rsidRDefault="00165E47" w:rsidP="00572276">
      <w:pPr>
        <w:pStyle w:val="Heading2"/>
        <w:rPr>
          <w:sz w:val="2"/>
          <w:szCs w:val="2"/>
        </w:rPr>
      </w:pPr>
    </w:p>
    <w:p w14:paraId="5BC185BF" w14:textId="4909408E" w:rsidR="00165E47" w:rsidRPr="00D204C3" w:rsidRDefault="00165E47" w:rsidP="007C07F4">
      <w:pPr>
        <w:pStyle w:val="Heading2"/>
      </w:pPr>
      <w:r w:rsidRPr="00D204C3">
        <w:t xml:space="preserve">Year </w:t>
      </w:r>
      <w:r w:rsidR="002D2648" w:rsidRPr="00D204C3">
        <w:t>e</w:t>
      </w:r>
      <w:r w:rsidRPr="00D204C3">
        <w:t xml:space="preserve">nding </w:t>
      </w:r>
      <w:r w:rsidR="002D1005" w:rsidRPr="00D204C3">
        <w:t>Dec</w:t>
      </w:r>
      <w:r w:rsidRPr="00D204C3">
        <w:t>ember 2021</w:t>
      </w:r>
    </w:p>
    <w:p w14:paraId="7F890DB9" w14:textId="5C36CFC5" w:rsidR="00E44EBC" w:rsidRDefault="00E44EBC" w:rsidP="00374CF6">
      <w:r>
        <w:rPr>
          <w:noProof/>
        </w:rPr>
        <w:drawing>
          <wp:inline distT="0" distB="0" distL="0" distR="0" wp14:anchorId="3DCDA0B8" wp14:editId="413AAE48">
            <wp:extent cx="6120130" cy="601980"/>
            <wp:effectExtent l="0" t="0" r="0" b="7620"/>
            <wp:docPr id="5" name="Picture 5" descr="A banner showing key results for the year ending December 2021.&#10;&#10;For the year ending December 2021 overnight spend was $60.7 billion, down 25 per cent on 2019. Overnight trips were 82.1 million, down 30 per cent on 2019, nights were 321.1 million, down 23 per cent 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anner showing key results for the year ending December 2021.&#10;&#10;For the year ending December 2021 overnight spend was $60.7 billion, down 25 per cent on 2019. Overnight trips were 82.1 million, down 30 per cent on 2019, nights were 321.1 million, down 23 per cent on 2019."/>
                    <pic:cNvPicPr/>
                  </pic:nvPicPr>
                  <pic:blipFill>
                    <a:blip r:embed="rId15"/>
                    <a:stretch>
                      <a:fillRect/>
                    </a:stretch>
                  </pic:blipFill>
                  <pic:spPr>
                    <a:xfrm>
                      <a:off x="0" y="0"/>
                      <a:ext cx="6120130" cy="601980"/>
                    </a:xfrm>
                    <a:prstGeom prst="rect">
                      <a:avLst/>
                    </a:prstGeom>
                  </pic:spPr>
                </pic:pic>
              </a:graphicData>
            </a:graphic>
          </wp:inline>
        </w:drawing>
      </w:r>
    </w:p>
    <w:p w14:paraId="464A643A" w14:textId="0BB07566" w:rsidR="00165E47" w:rsidRPr="00D204C3" w:rsidRDefault="002D1005" w:rsidP="00165E47">
      <w:pPr>
        <w:pStyle w:val="Heading2"/>
      </w:pPr>
      <w:r w:rsidRPr="00D204C3">
        <w:t>December</w:t>
      </w:r>
      <w:r w:rsidR="00165E47" w:rsidRPr="00D204C3">
        <w:t xml:space="preserve"> </w:t>
      </w:r>
      <w:r w:rsidR="002D2648" w:rsidRPr="00D204C3">
        <w:t>q</w:t>
      </w:r>
      <w:r w:rsidR="00165E47" w:rsidRPr="00D204C3">
        <w:t>uarter 2021</w:t>
      </w:r>
    </w:p>
    <w:p w14:paraId="599C54FA" w14:textId="0C0ECDBD" w:rsidR="00E44EBC" w:rsidRDefault="00E44EBC" w:rsidP="00374CF6">
      <w:r>
        <w:rPr>
          <w:noProof/>
        </w:rPr>
        <w:drawing>
          <wp:inline distT="0" distB="0" distL="0" distR="0" wp14:anchorId="2EF78C66" wp14:editId="0F7F2B16">
            <wp:extent cx="6120130" cy="633095"/>
            <wp:effectExtent l="0" t="0" r="0" b="0"/>
            <wp:docPr id="8" name="Picture 8" descr="A banner showing key results for the 2021 December quarter.&#10;&#10;For the 2021 December quarter overnight spend was $14.0 billion, down 32 per cent on 2019. Overnight trips were 21.1 million, down 28 per cent on 2019, nights were 74.8 million, down 28 per cent on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anner showing key results for the 2021 December quarter.&#10;&#10;For the 2021 December quarter overnight spend was $14.0 billion, down 32 per cent on 2019. Overnight trips were 21.1 million, down 28 per cent on 2019, nights were 74.8 million, down 28 per cent on 2019."/>
                    <pic:cNvPicPr/>
                  </pic:nvPicPr>
                  <pic:blipFill>
                    <a:blip r:embed="rId16"/>
                    <a:stretch>
                      <a:fillRect/>
                    </a:stretch>
                  </pic:blipFill>
                  <pic:spPr>
                    <a:xfrm>
                      <a:off x="0" y="0"/>
                      <a:ext cx="6120130" cy="633095"/>
                    </a:xfrm>
                    <a:prstGeom prst="rect">
                      <a:avLst/>
                    </a:prstGeom>
                  </pic:spPr>
                </pic:pic>
              </a:graphicData>
            </a:graphic>
          </wp:inline>
        </w:drawing>
      </w:r>
    </w:p>
    <w:p w14:paraId="69B56530" w14:textId="6FBB0A56" w:rsidR="00A35908" w:rsidRPr="00D204C3" w:rsidRDefault="00A35908" w:rsidP="00A35908">
      <w:pPr>
        <w:pStyle w:val="Heading2"/>
      </w:pPr>
      <w:r w:rsidRPr="00D204C3">
        <w:t>COVID-19 continues to impact December tourism results</w:t>
      </w:r>
    </w:p>
    <w:p w14:paraId="0E09EC72" w14:textId="69739D19" w:rsidR="00AA286D" w:rsidRPr="00D204C3" w:rsidRDefault="00A35908" w:rsidP="00B45D31">
      <w:pPr>
        <w:spacing w:after="240"/>
      </w:pPr>
      <w:r w:rsidRPr="00D204C3">
        <w:t>Border restrictions</w:t>
      </w:r>
      <w:r w:rsidR="00D31C36" w:rsidRPr="00D204C3">
        <w:t>,</w:t>
      </w:r>
      <w:r w:rsidRPr="00D204C3">
        <w:t xml:space="preserve"> health regulation</w:t>
      </w:r>
      <w:r w:rsidR="00D31C36" w:rsidRPr="00D204C3">
        <w:t xml:space="preserve">s and lockdowns due to the Delta and Omicron outbreaks continued to impact domestic </w:t>
      </w:r>
      <w:r w:rsidR="00F32461" w:rsidRPr="00D204C3">
        <w:t>t</w:t>
      </w:r>
      <w:r w:rsidR="00D31C36" w:rsidRPr="00D204C3">
        <w:t>ourism in December quarter 2021</w:t>
      </w:r>
      <w:r w:rsidR="000B627D" w:rsidRPr="00D204C3">
        <w:t xml:space="preserve">. </w:t>
      </w:r>
      <w:r w:rsidR="00CF24AA">
        <w:t>When</w:t>
      </w:r>
      <w:r w:rsidR="00D31C36" w:rsidRPr="00D204C3">
        <w:t xml:space="preserve"> compared to </w:t>
      </w:r>
      <w:r w:rsidR="00F32461" w:rsidRPr="00D204C3">
        <w:t xml:space="preserve">the </w:t>
      </w:r>
      <w:r w:rsidR="00D31C36" w:rsidRPr="00D204C3">
        <w:t xml:space="preserve">December </w:t>
      </w:r>
      <w:r w:rsidR="00F32461" w:rsidRPr="00D204C3">
        <w:t xml:space="preserve">quarter of </w:t>
      </w:r>
      <w:r w:rsidR="00D31C36" w:rsidRPr="00D204C3">
        <w:t xml:space="preserve">2019 </w:t>
      </w:r>
      <w:r w:rsidR="00F32461" w:rsidRPr="00D204C3">
        <w:t>(pre-pandemic)</w:t>
      </w:r>
      <w:r w:rsidR="00CF24AA">
        <w:t>,</w:t>
      </w:r>
      <w:r w:rsidR="000B627D" w:rsidRPr="00D204C3">
        <w:t xml:space="preserve"> trips</w:t>
      </w:r>
      <w:r w:rsidR="00CF24AA">
        <w:t xml:space="preserve"> were</w:t>
      </w:r>
      <w:r w:rsidR="000B627D" w:rsidRPr="00D204C3">
        <w:t xml:space="preserve"> down 28%</w:t>
      </w:r>
      <w:r w:rsidR="00F32461" w:rsidRPr="00D204C3">
        <w:t xml:space="preserve"> </w:t>
      </w:r>
      <w:r w:rsidR="00D31C36" w:rsidRPr="00D204C3">
        <w:t>and</w:t>
      </w:r>
      <w:r w:rsidR="00CF24AA">
        <w:t>, when compared with</w:t>
      </w:r>
      <w:r w:rsidR="00D31C36" w:rsidRPr="00D204C3">
        <w:t xml:space="preserve"> 2020</w:t>
      </w:r>
      <w:r w:rsidR="00F32461" w:rsidRPr="00D204C3">
        <w:t xml:space="preserve"> (emerging from first wave of COVID-19)</w:t>
      </w:r>
      <w:r w:rsidR="00CF24AA">
        <w:t>, trips were</w:t>
      </w:r>
      <w:r w:rsidR="000B627D" w:rsidRPr="00D204C3">
        <w:t xml:space="preserve"> down 3%</w:t>
      </w:r>
      <w:r w:rsidR="00D31C36" w:rsidRPr="00D204C3">
        <w:t xml:space="preserve">. </w:t>
      </w:r>
      <w:r w:rsidRPr="00D204C3">
        <w:t xml:space="preserve"> </w:t>
      </w:r>
    </w:p>
    <w:p w14:paraId="352B5DC8" w14:textId="13328497" w:rsidR="00D31C36" w:rsidRPr="00D204C3" w:rsidRDefault="00CF24AA" w:rsidP="001C43A2">
      <w:pPr>
        <w:spacing w:after="240"/>
      </w:pPr>
      <w:r>
        <w:t>However, the December 2021 quarter benefitted from h</w:t>
      </w:r>
      <w:r w:rsidR="00D31C36" w:rsidRPr="00D204C3">
        <w:t>igh</w:t>
      </w:r>
      <w:r>
        <w:t>er</w:t>
      </w:r>
      <w:r w:rsidR="00D31C36" w:rsidRPr="00D204C3">
        <w:t xml:space="preserve"> vaccination rates,</w:t>
      </w:r>
      <w:r w:rsidR="00277B6D" w:rsidRPr="00D204C3">
        <w:t xml:space="preserve"> </w:t>
      </w:r>
      <w:r>
        <w:t>an</w:t>
      </w:r>
      <w:r w:rsidRPr="00D204C3">
        <w:t xml:space="preserve"> </w:t>
      </w:r>
      <w:r w:rsidR="00D31C36" w:rsidRPr="00D204C3">
        <w:t>easing of restrictions</w:t>
      </w:r>
      <w:r w:rsidR="00277B6D" w:rsidRPr="00D204C3">
        <w:t>,</w:t>
      </w:r>
      <w:r w:rsidR="00D31C36" w:rsidRPr="00D204C3">
        <w:t xml:space="preserve"> a</w:t>
      </w:r>
      <w:r w:rsidR="00277B6D" w:rsidRPr="00D204C3">
        <w:t>nd a</w:t>
      </w:r>
      <w:r w:rsidR="00D31C36" w:rsidRPr="00D204C3">
        <w:t xml:space="preserve"> move towards ‘living with </w:t>
      </w:r>
      <w:r w:rsidR="003616C0" w:rsidRPr="00D204C3">
        <w:t>COVID-19</w:t>
      </w:r>
      <w:r w:rsidR="00D31C36" w:rsidRPr="00D204C3">
        <w:t>’</w:t>
      </w:r>
      <w:r>
        <w:t>.</w:t>
      </w:r>
      <w:r w:rsidR="00D31C36" w:rsidRPr="00D204C3">
        <w:t xml:space="preserve"> </w:t>
      </w:r>
      <w:r w:rsidR="00C736CD">
        <w:t>Therefore, c</w:t>
      </w:r>
      <w:r>
        <w:t xml:space="preserve">ompared with the September 2021 quarter, the December 2021 quarter experienced </w:t>
      </w:r>
      <w:r w:rsidR="00277B6D" w:rsidRPr="00D204C3">
        <w:t xml:space="preserve">a 50% increase in spend and 78% increase in trips. </w:t>
      </w:r>
      <w:r w:rsidR="00FA27DF" w:rsidRPr="00873B9B">
        <w:t xml:space="preserve">This compared to the pre-COVID </w:t>
      </w:r>
      <w:proofErr w:type="gramStart"/>
      <w:r w:rsidR="0013397D">
        <w:t xml:space="preserve">3 </w:t>
      </w:r>
      <w:r w:rsidR="00FA27DF" w:rsidRPr="00873B9B">
        <w:t>year</w:t>
      </w:r>
      <w:proofErr w:type="gramEnd"/>
      <w:r w:rsidR="00FA27DF" w:rsidRPr="00873B9B">
        <w:t xml:space="preserve"> average movement of -1% for spend and 6% for trips.</w:t>
      </w:r>
    </w:p>
    <w:p w14:paraId="7B81907E" w14:textId="35D69A21" w:rsidR="003616C0" w:rsidRPr="00D204C3" w:rsidRDefault="003616C0" w:rsidP="001C43A2">
      <w:pPr>
        <w:spacing w:after="240"/>
      </w:pPr>
      <w:r w:rsidRPr="00D204C3">
        <w:t>Over the Christmas-New Year period</w:t>
      </w:r>
      <w:r w:rsidR="00C736CD">
        <w:t>,</w:t>
      </w:r>
      <w:r w:rsidRPr="00D204C3">
        <w:t xml:space="preserve"> </w:t>
      </w:r>
      <w:r w:rsidR="00AD7809" w:rsidRPr="00D204C3">
        <w:t xml:space="preserve">early </w:t>
      </w:r>
      <w:r w:rsidRPr="00D204C3">
        <w:t>trip rate</w:t>
      </w:r>
      <w:r w:rsidR="00AD7809" w:rsidRPr="00D204C3">
        <w:t xml:space="preserve"> data showed</w:t>
      </w:r>
      <w:r w:rsidRPr="00D204C3">
        <w:t xml:space="preserve"> </w:t>
      </w:r>
      <w:r w:rsidR="00C736CD">
        <w:t xml:space="preserve">improvements in the amount of domestic travel being undertaken </w:t>
      </w:r>
      <w:r w:rsidR="00AD7809" w:rsidRPr="00D204C3">
        <w:t>(Figure 1).</w:t>
      </w:r>
      <w:r w:rsidR="000B627D" w:rsidRPr="00D204C3">
        <w:t xml:space="preserve"> </w:t>
      </w:r>
      <w:r w:rsidR="00AD7809" w:rsidRPr="00D204C3">
        <w:t>I</w:t>
      </w:r>
      <w:r w:rsidR="000B627D" w:rsidRPr="00D204C3">
        <w:t>n January</w:t>
      </w:r>
      <w:r w:rsidR="00C736CD">
        <w:t xml:space="preserve"> 2022,</w:t>
      </w:r>
      <w:r w:rsidR="000B627D" w:rsidRPr="00D204C3">
        <w:t xml:space="preserve"> almost one-third of respondents reported taking one or more trips</w:t>
      </w:r>
      <w:r w:rsidRPr="00D204C3">
        <w:t xml:space="preserve"> </w:t>
      </w:r>
      <w:r w:rsidR="00C736CD">
        <w:t>in the past four weeks, which included the traditional holiday season part of the December 2021 quarter.</w:t>
      </w:r>
      <w:r w:rsidR="000B627D" w:rsidRPr="00D204C3">
        <w:t xml:space="preserve"> The spread of Omicron was </w:t>
      </w:r>
      <w:r w:rsidR="00C736CD">
        <w:t>nonetheless</w:t>
      </w:r>
      <w:r w:rsidR="00C736CD" w:rsidRPr="00D204C3">
        <w:t xml:space="preserve"> </w:t>
      </w:r>
      <w:r w:rsidR="000B627D" w:rsidRPr="00D204C3">
        <w:t>still likely to have had a softening effect on trip rates</w:t>
      </w:r>
      <w:r w:rsidR="00AD7809" w:rsidRPr="00D204C3">
        <w:t xml:space="preserve"> during this time.</w:t>
      </w:r>
    </w:p>
    <w:p w14:paraId="63BEE887" w14:textId="1F50A878" w:rsidR="00165E47" w:rsidRPr="00D204C3" w:rsidRDefault="00165E47" w:rsidP="007C07F4">
      <w:r w:rsidRPr="00D204C3">
        <w:rPr>
          <w:b/>
          <w:bCs/>
        </w:rPr>
        <w:lastRenderedPageBreak/>
        <w:t>Figure</w:t>
      </w:r>
      <w:r w:rsidR="00750D77" w:rsidRPr="00D204C3">
        <w:rPr>
          <w:b/>
          <w:bCs/>
        </w:rPr>
        <w:t xml:space="preserve"> 1.</w:t>
      </w:r>
      <w:r w:rsidR="00750D77" w:rsidRPr="00D204C3">
        <w:t xml:space="preserve"> Domestic overnight trips and trip rates</w:t>
      </w:r>
      <w:r w:rsidR="00340D9C" w:rsidRPr="00D204C3">
        <w:t>,</w:t>
      </w:r>
      <w:r w:rsidR="00750D77" w:rsidRPr="00D204C3">
        <w:t xml:space="preserve"> March 2020 to </w:t>
      </w:r>
      <w:r w:rsidR="00E04B0C">
        <w:t>February</w:t>
      </w:r>
      <w:r w:rsidR="00FA2422">
        <w:t xml:space="preserve"> </w:t>
      </w:r>
      <w:r w:rsidR="00750D77" w:rsidRPr="00D204C3">
        <w:t>2021</w:t>
      </w:r>
      <w:r w:rsidR="00E04B0C" w:rsidRPr="00FA2422">
        <w:rPr>
          <w:vertAlign w:val="superscript"/>
        </w:rPr>
        <w:t>1</w:t>
      </w:r>
      <w:r w:rsidR="00B51C7B" w:rsidRPr="00D204C3">
        <w:rPr>
          <w:noProof/>
        </w:rPr>
        <w:t xml:space="preserve"> </w:t>
      </w:r>
      <w:r w:rsidR="00D76594">
        <w:rPr>
          <w:noProof/>
        </w:rPr>
        <w:drawing>
          <wp:inline distT="0" distB="0" distL="0" distR="0" wp14:anchorId="0B6F2811" wp14:editId="7A916EAB">
            <wp:extent cx="6120130" cy="2331720"/>
            <wp:effectExtent l="0" t="0" r="0" b="0"/>
            <wp:docPr id="21" name="Chart 21" descr="The chart illustrates the number of domestic overnight trips taken by month from March 2020 to December 2021. The chart also illustrates the trip rate for NVS respondents from March 2020 to February 2021. &#10;&#10;The chart shows that the trip rate follows a similar pattern to the number of domestic overnight trips. As the trip rate data is available around two months in advance of the overnight trips data, so can provide insight for where overnight trips are likely to head.&#10;&#10;There were 6 million domestic overnight trips in March 2020, this dropped significantly to under 2 million in April 2020. This then increased gradually until May 2021 where it peaked at approximately 10 million overnight trips. There was then a gradual decline in trips until reaching just under 4 million trips in August and September 2021. It then gradually increased again reaching just over 8 million in December 2021.&#10;&#10;The trip rate followed a similar pattern,  there were peaks in January 2022, April 2021 and January 2021, where just over 30 per cent of NVS respondents reported taking one or more trips in the preceding 28 days. In contrast there were was only just over 5 percent in May of 2020 and 10 per cent in September 2021 during peak lock down periods. The latest result for February 2022 showed a slight decline from January 2022 of just under 25 per cent. This follows a similar pattern to February 2021.&#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4866E90" w14:textId="6A34B2B9" w:rsidR="002D2648" w:rsidRPr="00827F3F" w:rsidRDefault="00C0062D" w:rsidP="002D2648">
      <w:pPr>
        <w:pStyle w:val="Default"/>
        <w:rPr>
          <w:rStyle w:val="Emphasis"/>
          <w:sz w:val="20"/>
          <w:szCs w:val="20"/>
        </w:rPr>
      </w:pPr>
      <w:proofErr w:type="gramStart"/>
      <w:r w:rsidRPr="00827F3F">
        <w:rPr>
          <w:rStyle w:val="Emphasis"/>
          <w:sz w:val="20"/>
          <w:szCs w:val="20"/>
        </w:rPr>
        <w:t xml:space="preserve">1  </w:t>
      </w:r>
      <w:r w:rsidR="002D2648" w:rsidRPr="00827F3F">
        <w:rPr>
          <w:rStyle w:val="Emphasis"/>
          <w:sz w:val="20"/>
          <w:szCs w:val="20"/>
        </w:rPr>
        <w:t>The</w:t>
      </w:r>
      <w:proofErr w:type="gramEnd"/>
      <w:r w:rsidR="002D2648" w:rsidRPr="00827F3F">
        <w:rPr>
          <w:rStyle w:val="Emphasis"/>
          <w:sz w:val="20"/>
          <w:szCs w:val="20"/>
        </w:rPr>
        <w:t xml:space="preserve"> trip rate</w:t>
      </w:r>
      <w:r w:rsidR="00C736CD" w:rsidRPr="00827F3F">
        <w:rPr>
          <w:rStyle w:val="Emphasis"/>
          <w:sz w:val="20"/>
          <w:szCs w:val="20"/>
        </w:rPr>
        <w:t xml:space="preserve"> reports whether or not a respondent has taken a trip in the past four weeks. The trip rate of 31.8% for January indicates </w:t>
      </w:r>
      <w:r w:rsidR="00D63C9B" w:rsidRPr="00827F3F">
        <w:rPr>
          <w:rStyle w:val="Emphasis"/>
          <w:sz w:val="20"/>
          <w:szCs w:val="20"/>
        </w:rPr>
        <w:t>a high level of NVS respondents</w:t>
      </w:r>
      <w:r w:rsidR="002D2648" w:rsidRPr="00827F3F">
        <w:rPr>
          <w:rStyle w:val="Emphasis"/>
          <w:sz w:val="20"/>
          <w:szCs w:val="20"/>
        </w:rPr>
        <w:t xml:space="preserve"> reported taking one or more overnight trips in the preceding 28 days (the reference period). The</w:t>
      </w:r>
      <w:r w:rsidR="00D63C9B" w:rsidRPr="00827F3F">
        <w:rPr>
          <w:rStyle w:val="Emphasis"/>
          <w:sz w:val="20"/>
          <w:szCs w:val="20"/>
        </w:rPr>
        <w:t xml:space="preserve"> </w:t>
      </w:r>
      <w:r w:rsidR="002D2648" w:rsidRPr="00827F3F">
        <w:rPr>
          <w:rStyle w:val="Emphasis"/>
          <w:sz w:val="20"/>
          <w:szCs w:val="20"/>
        </w:rPr>
        <w:t xml:space="preserve">return date will have been in </w:t>
      </w:r>
      <w:r w:rsidR="00D63C9B" w:rsidRPr="00827F3F">
        <w:rPr>
          <w:rStyle w:val="Emphasis"/>
          <w:sz w:val="20"/>
          <w:szCs w:val="20"/>
        </w:rPr>
        <w:t xml:space="preserve">December 2021 </w:t>
      </w:r>
      <w:r w:rsidR="002D2648" w:rsidRPr="00827F3F">
        <w:rPr>
          <w:rStyle w:val="Emphasis"/>
          <w:sz w:val="20"/>
          <w:szCs w:val="20"/>
        </w:rPr>
        <w:t>for some of these trips</w:t>
      </w:r>
      <w:r w:rsidR="00D63C9B" w:rsidRPr="00827F3F">
        <w:rPr>
          <w:rStyle w:val="Emphasis"/>
          <w:sz w:val="20"/>
          <w:szCs w:val="20"/>
        </w:rPr>
        <w:t xml:space="preserve"> reported in January</w:t>
      </w:r>
      <w:r w:rsidR="002D2648" w:rsidRPr="00827F3F">
        <w:rPr>
          <w:rStyle w:val="Emphasis"/>
          <w:sz w:val="20"/>
          <w:szCs w:val="20"/>
        </w:rPr>
        <w:t xml:space="preserve">. </w:t>
      </w:r>
    </w:p>
    <w:p w14:paraId="632F0C87" w14:textId="77777777" w:rsidR="002D2648" w:rsidRPr="00827F3F" w:rsidRDefault="002D2648" w:rsidP="002D2648">
      <w:pPr>
        <w:pStyle w:val="Default"/>
        <w:rPr>
          <w:rStyle w:val="Emphasis"/>
          <w:sz w:val="20"/>
          <w:szCs w:val="20"/>
        </w:rPr>
      </w:pPr>
    </w:p>
    <w:p w14:paraId="42313527" w14:textId="04AA69F6" w:rsidR="002D2648" w:rsidRPr="00827F3F" w:rsidRDefault="002D2648" w:rsidP="002D2648">
      <w:pPr>
        <w:pStyle w:val="Default"/>
        <w:rPr>
          <w:rStyle w:val="Emphasis"/>
          <w:sz w:val="20"/>
          <w:szCs w:val="20"/>
        </w:rPr>
      </w:pPr>
      <w:r w:rsidRPr="00827F3F">
        <w:rPr>
          <w:rStyle w:val="Emphasis"/>
          <w:sz w:val="20"/>
          <w:szCs w:val="20"/>
        </w:rPr>
        <w:t xml:space="preserve">The trip estimate of </w:t>
      </w:r>
      <w:r w:rsidR="00A50959" w:rsidRPr="00827F3F">
        <w:rPr>
          <w:rStyle w:val="Emphasis"/>
          <w:sz w:val="20"/>
          <w:szCs w:val="20"/>
        </w:rPr>
        <w:t>8.6</w:t>
      </w:r>
      <w:r w:rsidRPr="00827F3F">
        <w:rPr>
          <w:rStyle w:val="Emphasis"/>
          <w:sz w:val="20"/>
          <w:szCs w:val="20"/>
        </w:rPr>
        <w:t xml:space="preserve"> million for the month of </w:t>
      </w:r>
      <w:r w:rsidR="00A50959" w:rsidRPr="00827F3F">
        <w:rPr>
          <w:rStyle w:val="Emphasis"/>
          <w:sz w:val="20"/>
          <w:szCs w:val="20"/>
        </w:rPr>
        <w:t>Dec</w:t>
      </w:r>
      <w:r w:rsidRPr="00827F3F">
        <w:rPr>
          <w:rStyle w:val="Emphasis"/>
          <w:sz w:val="20"/>
          <w:szCs w:val="20"/>
        </w:rPr>
        <w:t>ember refers to overnight trips returned from in that month.</w:t>
      </w:r>
    </w:p>
    <w:p w14:paraId="2DEB5DDC" w14:textId="6BA44F91" w:rsidR="00165E47" w:rsidRPr="00D204C3" w:rsidRDefault="00420E6E" w:rsidP="007C07F4">
      <w:pPr>
        <w:pStyle w:val="Heading2"/>
      </w:pPr>
      <w:r w:rsidRPr="00D204C3">
        <w:t>L</w:t>
      </w:r>
      <w:r w:rsidR="007C07F4" w:rsidRPr="00D204C3">
        <w:t xml:space="preserve">osses </w:t>
      </w:r>
      <w:r w:rsidRPr="00D204C3">
        <w:t xml:space="preserve">continued </w:t>
      </w:r>
      <w:r w:rsidR="007C07F4" w:rsidRPr="00D204C3">
        <w:t>for the tourism industry</w:t>
      </w:r>
      <w:r w:rsidRPr="00D204C3">
        <w:t xml:space="preserve"> through 2021</w:t>
      </w:r>
    </w:p>
    <w:p w14:paraId="198D6E8E" w14:textId="29E1CCA2" w:rsidR="00AA286D" w:rsidRPr="00D204C3" w:rsidRDefault="00AA286D" w:rsidP="001C43A2">
      <w:r w:rsidRPr="00D204C3">
        <w:t xml:space="preserve">Tourism losses </w:t>
      </w:r>
      <w:r w:rsidR="00CA7BF2" w:rsidRPr="00D204C3">
        <w:t>since the sta</w:t>
      </w:r>
      <w:r w:rsidR="00AD7809" w:rsidRPr="00D204C3">
        <w:t>r</w:t>
      </w:r>
      <w:r w:rsidR="00CA7BF2" w:rsidRPr="00D204C3">
        <w:t>t of the pandemic (March 2020) totalled $146.6 billion through to December 2021</w:t>
      </w:r>
      <w:r w:rsidR="0013397D">
        <w:t xml:space="preserve"> (Figure 2)</w:t>
      </w:r>
      <w:r w:rsidR="00CA7BF2" w:rsidRPr="00D204C3">
        <w:t xml:space="preserve">. </w:t>
      </w:r>
    </w:p>
    <w:p w14:paraId="397C7A18" w14:textId="5B9FD75D" w:rsidR="007C07F4" w:rsidRPr="00D204C3" w:rsidRDefault="007C07F4" w:rsidP="007C07F4">
      <w:r w:rsidRPr="00D204C3">
        <w:t xml:space="preserve">This is comprised of: </w:t>
      </w:r>
    </w:p>
    <w:p w14:paraId="7764B4E5" w14:textId="18C8E726" w:rsidR="007C07F4" w:rsidRPr="00D204C3" w:rsidRDefault="0013397D" w:rsidP="007C07F4">
      <w:pPr>
        <w:pStyle w:val="ListBullet"/>
      </w:pPr>
      <w:r w:rsidRPr="00D204C3">
        <w:t xml:space="preserve">Domestic day trip </w:t>
      </w:r>
      <w:proofErr w:type="gramStart"/>
      <w:r w:rsidRPr="00D204C3">
        <w:t>spend</w:t>
      </w:r>
      <w:proofErr w:type="gramEnd"/>
      <w:r w:rsidRPr="00D204C3">
        <w:t xml:space="preserve"> down 36% or $17.6 billion </w:t>
      </w:r>
    </w:p>
    <w:p w14:paraId="6D7CAEA6" w14:textId="40D71040" w:rsidR="007C07F4" w:rsidRPr="00D204C3" w:rsidRDefault="0013397D" w:rsidP="0013397D">
      <w:pPr>
        <w:pStyle w:val="ListBullet"/>
      </w:pPr>
      <w:r w:rsidRPr="00D204C3">
        <w:t xml:space="preserve">Domestic overnight trip </w:t>
      </w:r>
      <w:proofErr w:type="gramStart"/>
      <w:r w:rsidRPr="00D204C3">
        <w:t>spend</w:t>
      </w:r>
      <w:proofErr w:type="gramEnd"/>
      <w:r w:rsidRPr="00D204C3">
        <w:t xml:space="preserve"> down 38% or $56.2 billion </w:t>
      </w:r>
      <w:r w:rsidR="007C07F4" w:rsidRPr="00D204C3">
        <w:t xml:space="preserve">and </w:t>
      </w:r>
    </w:p>
    <w:p w14:paraId="63450113" w14:textId="60A49D02" w:rsidR="007C07F4" w:rsidRPr="00D204C3" w:rsidRDefault="007C07F4" w:rsidP="007C07F4">
      <w:pPr>
        <w:pStyle w:val="ListBullet"/>
      </w:pPr>
      <w:r w:rsidRPr="00D204C3">
        <w:t xml:space="preserve">International spend </w:t>
      </w:r>
      <w:r w:rsidR="00C2611E" w:rsidRPr="00D204C3">
        <w:t>down</w:t>
      </w:r>
      <w:r w:rsidRPr="00D204C3">
        <w:t xml:space="preserve"> 9</w:t>
      </w:r>
      <w:r w:rsidR="0051222F" w:rsidRPr="00D204C3">
        <w:t>4</w:t>
      </w:r>
      <w:r w:rsidRPr="00D204C3">
        <w:t>% or $</w:t>
      </w:r>
      <w:r w:rsidR="0051222F" w:rsidRPr="00D204C3">
        <w:t>7</w:t>
      </w:r>
      <w:r w:rsidRPr="00D204C3">
        <w:t>2.</w:t>
      </w:r>
      <w:r w:rsidR="0051222F" w:rsidRPr="00D204C3">
        <w:t>8</w:t>
      </w:r>
      <w:r w:rsidRPr="00D204C3">
        <w:t xml:space="preserve"> billion. </w:t>
      </w:r>
    </w:p>
    <w:p w14:paraId="6AB5AFE8" w14:textId="77777777" w:rsidR="00340D9C" w:rsidRPr="00D204C3" w:rsidRDefault="00340D9C" w:rsidP="007C07F4">
      <w:pPr>
        <w:rPr>
          <w:b/>
          <w:bCs/>
        </w:rPr>
      </w:pPr>
    </w:p>
    <w:p w14:paraId="136C8D9F" w14:textId="714783F8" w:rsidR="00340D9C" w:rsidRPr="00D204C3" w:rsidRDefault="00340D9C" w:rsidP="00340D9C">
      <w:pPr>
        <w:rPr>
          <w:rFonts w:ascii="Calibri" w:eastAsia="Times New Roman" w:hAnsi="Calibri" w:cs="Times New Roman"/>
          <w:b/>
          <w:bCs/>
          <w:color w:val="000000"/>
          <w:sz w:val="22"/>
          <w:szCs w:val="22"/>
          <w:lang w:eastAsia="en-AU"/>
        </w:rPr>
      </w:pPr>
      <w:r w:rsidRPr="00D204C3">
        <w:rPr>
          <w:b/>
          <w:bCs/>
        </w:rPr>
        <w:t>Figure 2.</w:t>
      </w:r>
      <w:r w:rsidRPr="00D204C3">
        <w:t xml:space="preserve"> Cumulative losses in travel, March 2020 to December 2021</w:t>
      </w:r>
      <w:r w:rsidRPr="00D204C3">
        <w:rPr>
          <w:rStyle w:val="FootnoteReference"/>
        </w:rPr>
        <w:footnoteReference w:id="1"/>
      </w:r>
    </w:p>
    <w:p w14:paraId="697E5911" w14:textId="40F420FA" w:rsidR="00340D9C" w:rsidRPr="00D204C3" w:rsidRDefault="00E67AF9" w:rsidP="007C07F4">
      <w:r>
        <w:rPr>
          <w:noProof/>
        </w:rPr>
        <w:drawing>
          <wp:inline distT="0" distB="0" distL="0" distR="0" wp14:anchorId="70A200C4" wp14:editId="30A42DCD">
            <wp:extent cx="5867400" cy="3067050"/>
            <wp:effectExtent l="0" t="0" r="0" b="0"/>
            <wp:docPr id="20" name="Chart 20" descr="An area chart showing the cumulative losses in spend for day trips, overnight trips and international travel from March 2020 to December 2021. By December 2021 the losses had reached approximately $147 billion, with $18 billion of the losses in day trip spend, $56 billion in domestic overnight spend and $73 billion in international spend.">
              <a:extLst xmlns:a="http://schemas.openxmlformats.org/drawingml/2006/main">
                <a:ext uri="{FF2B5EF4-FFF2-40B4-BE49-F238E27FC236}">
                  <a16:creationId xmlns:a16="http://schemas.microsoft.com/office/drawing/2014/main" id="{5FA8F894-926D-4B34-A2FA-BF30D7C879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CA8866" w14:textId="77777777" w:rsidR="007C204D" w:rsidRPr="00D204C3" w:rsidRDefault="007C204D" w:rsidP="007C07F4"/>
    <w:p w14:paraId="1611E2EB" w14:textId="1A81C7F4" w:rsidR="00FE41C6" w:rsidRPr="00D204C3" w:rsidRDefault="0013397D" w:rsidP="007C07F4">
      <w:r>
        <w:t>A closer look at l</w:t>
      </w:r>
      <w:r w:rsidR="00FE41C6" w:rsidRPr="00D204C3">
        <w:t xml:space="preserve">osses in domestic overnight travel </w:t>
      </w:r>
      <w:r>
        <w:t>shows</w:t>
      </w:r>
      <w:r w:rsidR="00FE41C6" w:rsidRPr="00D204C3">
        <w:t xml:space="preserve"> three</w:t>
      </w:r>
      <w:r>
        <w:t xml:space="preserve"> distinct</w:t>
      </w:r>
      <w:r w:rsidR="00FE41C6" w:rsidRPr="00D204C3">
        <w:t xml:space="preserve"> phases </w:t>
      </w:r>
      <w:proofErr w:type="gramStart"/>
      <w:r w:rsidR="00FE41C6" w:rsidRPr="00D204C3">
        <w:t>during the course of</w:t>
      </w:r>
      <w:proofErr w:type="gramEnd"/>
      <w:r w:rsidR="00FE41C6" w:rsidRPr="00D204C3">
        <w:t xml:space="preserve"> the pandemic:</w:t>
      </w:r>
    </w:p>
    <w:p w14:paraId="69161B6F" w14:textId="7FE0AA29" w:rsidR="00FE41C6" w:rsidRPr="00D204C3" w:rsidRDefault="00FE41C6" w:rsidP="001C43A2">
      <w:pPr>
        <w:pStyle w:val="ListBullet"/>
      </w:pPr>
      <w:r w:rsidRPr="00D204C3">
        <w:t xml:space="preserve">March 2020 to November 2020, the first wave of </w:t>
      </w:r>
      <w:r w:rsidR="00D63C9B">
        <w:t>COVID</w:t>
      </w:r>
      <w:r w:rsidRPr="00D204C3">
        <w:t xml:space="preserve">-19 produced loses of </w:t>
      </w:r>
      <w:r w:rsidR="0013397D">
        <w:t>$</w:t>
      </w:r>
      <w:r w:rsidRPr="00D204C3">
        <w:t>34.</w:t>
      </w:r>
      <w:r w:rsidR="00D204C3" w:rsidRPr="00D204C3">
        <w:t>6</w:t>
      </w:r>
      <w:r w:rsidRPr="00D204C3">
        <w:t xml:space="preserve"> billion (62% of the total losses)</w:t>
      </w:r>
    </w:p>
    <w:p w14:paraId="22921643" w14:textId="21BC854A" w:rsidR="00FE41C6" w:rsidRPr="00D204C3" w:rsidRDefault="00FE41C6" w:rsidP="001C43A2">
      <w:pPr>
        <w:pStyle w:val="ListBullet"/>
      </w:pPr>
      <w:r w:rsidRPr="00D204C3">
        <w:t xml:space="preserve">December 2020 to June 2021, </w:t>
      </w:r>
      <w:r w:rsidR="00D2782A" w:rsidRPr="00D204C3">
        <w:t xml:space="preserve">the start of a recovery period after the initial </w:t>
      </w:r>
      <w:r w:rsidR="008625F4">
        <w:t>COVID</w:t>
      </w:r>
      <w:r w:rsidR="00D2782A" w:rsidRPr="00D204C3">
        <w:t>-19 outbreak saw losses of $3.</w:t>
      </w:r>
      <w:r w:rsidR="00D204C3" w:rsidRPr="00D204C3">
        <w:t>7</w:t>
      </w:r>
      <w:r w:rsidR="00D2782A" w:rsidRPr="00D204C3">
        <w:t xml:space="preserve"> billion (just </w:t>
      </w:r>
      <w:r w:rsidR="00D204C3" w:rsidRPr="00D204C3">
        <w:t>7</w:t>
      </w:r>
      <w:r w:rsidR="00D2782A" w:rsidRPr="00D204C3">
        <w:t>% of the total losses)</w:t>
      </w:r>
    </w:p>
    <w:p w14:paraId="7549B576" w14:textId="79003C83" w:rsidR="00FE41C6" w:rsidRPr="00D204C3" w:rsidRDefault="00FE41C6" w:rsidP="001C43A2">
      <w:pPr>
        <w:pStyle w:val="ListBullet"/>
      </w:pPr>
      <w:r w:rsidRPr="00D204C3">
        <w:t>July 2021 to December 2021</w:t>
      </w:r>
      <w:r w:rsidR="00D2782A" w:rsidRPr="00D204C3">
        <w:t>, the Delta and Omicron waves produced losses of $1</w:t>
      </w:r>
      <w:r w:rsidR="00D204C3" w:rsidRPr="00D204C3">
        <w:t>7.9</w:t>
      </w:r>
      <w:r w:rsidR="00D2782A" w:rsidRPr="00D204C3">
        <w:t xml:space="preserve"> billion (32% of total losses).</w:t>
      </w:r>
    </w:p>
    <w:p w14:paraId="37B5F935" w14:textId="1C927202" w:rsidR="00E03846" w:rsidRPr="00D204C3" w:rsidRDefault="00E03846" w:rsidP="00E03846">
      <w:pPr>
        <w:pStyle w:val="Quote"/>
        <w:ind w:right="0"/>
      </w:pPr>
      <w:bookmarkStart w:id="0" w:name="_Hlk97281665"/>
      <w:r w:rsidRPr="00D204C3">
        <w:rPr>
          <w:b/>
          <w:bCs/>
        </w:rPr>
        <w:t xml:space="preserve">Note: </w:t>
      </w:r>
      <w:r w:rsidRPr="00D204C3">
        <w:t>As results for 2020 were a large deviation from pre-pandemic levels, summary results for 2021 are compared to 2019 pre-COVID-19 periods unless stated.</w:t>
      </w:r>
    </w:p>
    <w:bookmarkEnd w:id="0"/>
    <w:p w14:paraId="0C859618" w14:textId="3EB4C352" w:rsidR="00420E6E" w:rsidRPr="00D204C3" w:rsidRDefault="00420E6E" w:rsidP="00420E6E">
      <w:pPr>
        <w:pStyle w:val="Heading2"/>
      </w:pPr>
      <w:r w:rsidRPr="00D204C3">
        <w:t>Key figures</w:t>
      </w:r>
    </w:p>
    <w:p w14:paraId="54A5B193" w14:textId="0E705DEA" w:rsidR="00750D77" w:rsidRPr="00D204C3" w:rsidRDefault="007C07F4" w:rsidP="001C43A2">
      <w:pPr>
        <w:pStyle w:val="Heading4"/>
      </w:pPr>
      <w:r w:rsidRPr="00D204C3">
        <w:t xml:space="preserve">Year </w:t>
      </w:r>
      <w:r w:rsidR="002D2648" w:rsidRPr="00D204C3">
        <w:t>e</w:t>
      </w:r>
      <w:r w:rsidRPr="00D204C3">
        <w:t xml:space="preserve">nding </w:t>
      </w:r>
      <w:r w:rsidR="00627C77" w:rsidRPr="00D204C3">
        <w:t>Decemb</w:t>
      </w:r>
      <w:r w:rsidRPr="00D204C3">
        <w:t>er 2021</w:t>
      </w:r>
    </w:p>
    <w:p w14:paraId="59D16349" w14:textId="567D2CDE" w:rsidR="00CA7BF2" w:rsidRPr="00D204C3" w:rsidRDefault="007C07F4" w:rsidP="001C43A2">
      <w:pPr>
        <w:spacing w:after="0"/>
      </w:pPr>
      <w:r w:rsidRPr="00D204C3">
        <w:t xml:space="preserve">The year ending </w:t>
      </w:r>
      <w:r w:rsidR="00673853" w:rsidRPr="00D204C3">
        <w:t>Dec</w:t>
      </w:r>
      <w:r w:rsidRPr="00D204C3">
        <w:t>ember 2021</w:t>
      </w:r>
      <w:r w:rsidR="001C43A2" w:rsidRPr="00D204C3">
        <w:t xml:space="preserve"> </w:t>
      </w:r>
      <w:r w:rsidRPr="00D204C3">
        <w:t>saw</w:t>
      </w:r>
      <w:r w:rsidR="00D63C9B">
        <w:t xml:space="preserve"> visitors</w:t>
      </w:r>
      <w:r w:rsidR="00DE439F" w:rsidRPr="00D204C3">
        <w:t>:</w:t>
      </w:r>
      <w:r w:rsidRPr="00D204C3">
        <w:t xml:space="preserve"> </w:t>
      </w:r>
    </w:p>
    <w:p w14:paraId="684F5173" w14:textId="03195C2C" w:rsidR="00920CA4" w:rsidRPr="00D204C3" w:rsidRDefault="00D63C9B">
      <w:pPr>
        <w:pStyle w:val="ListParagraph"/>
        <w:numPr>
          <w:ilvl w:val="0"/>
          <w:numId w:val="18"/>
        </w:numPr>
      </w:pPr>
      <w:r>
        <w:rPr>
          <w:rFonts w:asciiTheme="minorHAnsi" w:hAnsiTheme="minorHAnsi" w:cstheme="minorBidi"/>
          <w:lang w:eastAsia="zh-CN"/>
        </w:rPr>
        <w:t xml:space="preserve">take </w:t>
      </w:r>
      <w:r w:rsidR="007C07F4" w:rsidRPr="00D204C3">
        <w:rPr>
          <w:rFonts w:asciiTheme="minorHAnsi" w:hAnsiTheme="minorHAnsi" w:cstheme="minorBidi"/>
          <w:lang w:eastAsia="zh-CN"/>
        </w:rPr>
        <w:t>82.</w:t>
      </w:r>
      <w:r w:rsidR="00673853" w:rsidRPr="00D204C3">
        <w:rPr>
          <w:rFonts w:asciiTheme="minorHAnsi" w:hAnsiTheme="minorHAnsi" w:cstheme="minorBidi"/>
          <w:lang w:eastAsia="zh-CN"/>
        </w:rPr>
        <w:t>1</w:t>
      </w:r>
      <w:r w:rsidR="007C07F4" w:rsidRPr="00D204C3">
        <w:rPr>
          <w:rFonts w:asciiTheme="minorHAnsi" w:hAnsiTheme="minorHAnsi" w:cstheme="minorBidi"/>
          <w:lang w:eastAsia="zh-CN"/>
        </w:rPr>
        <w:t xml:space="preserve"> million overnight trips</w:t>
      </w:r>
    </w:p>
    <w:p w14:paraId="0637143F" w14:textId="4357788D" w:rsidR="00920CA4" w:rsidRPr="00D204C3" w:rsidRDefault="007C07F4">
      <w:pPr>
        <w:pStyle w:val="ListParagraph"/>
        <w:numPr>
          <w:ilvl w:val="0"/>
          <w:numId w:val="18"/>
        </w:numPr>
      </w:pPr>
      <w:r w:rsidRPr="00D204C3">
        <w:rPr>
          <w:rFonts w:asciiTheme="minorHAnsi" w:hAnsiTheme="minorHAnsi" w:cstheme="minorBidi"/>
          <w:lang w:eastAsia="zh-CN"/>
        </w:rPr>
        <w:t>stay 32</w:t>
      </w:r>
      <w:r w:rsidR="00673853" w:rsidRPr="00D204C3">
        <w:rPr>
          <w:rFonts w:asciiTheme="minorHAnsi" w:hAnsiTheme="minorHAnsi" w:cstheme="minorBidi"/>
          <w:lang w:eastAsia="zh-CN"/>
        </w:rPr>
        <w:t>1</w:t>
      </w:r>
      <w:r w:rsidR="00176A44" w:rsidRPr="00D204C3">
        <w:rPr>
          <w:rFonts w:asciiTheme="minorHAnsi" w:hAnsiTheme="minorHAnsi" w:cstheme="minorBidi"/>
          <w:lang w:eastAsia="zh-CN"/>
        </w:rPr>
        <w:t>.1</w:t>
      </w:r>
      <w:r w:rsidRPr="00D204C3">
        <w:rPr>
          <w:rFonts w:asciiTheme="minorHAnsi" w:hAnsiTheme="minorHAnsi" w:cstheme="minorBidi"/>
          <w:lang w:eastAsia="zh-CN"/>
        </w:rPr>
        <w:t xml:space="preserve"> million nights  </w:t>
      </w:r>
    </w:p>
    <w:p w14:paraId="53519095" w14:textId="24992C61" w:rsidR="0043585B" w:rsidRPr="00D204C3" w:rsidRDefault="007C07F4" w:rsidP="001C43A2">
      <w:pPr>
        <w:pStyle w:val="ListParagraph"/>
        <w:numPr>
          <w:ilvl w:val="0"/>
          <w:numId w:val="18"/>
        </w:numPr>
      </w:pPr>
      <w:r w:rsidRPr="00D204C3">
        <w:rPr>
          <w:rFonts w:asciiTheme="minorHAnsi" w:hAnsiTheme="minorHAnsi" w:cstheme="minorBidi"/>
          <w:lang w:eastAsia="zh-CN"/>
        </w:rPr>
        <w:t>spend $60.</w:t>
      </w:r>
      <w:r w:rsidR="00673853" w:rsidRPr="00D204C3">
        <w:rPr>
          <w:rFonts w:asciiTheme="minorHAnsi" w:hAnsiTheme="minorHAnsi" w:cstheme="minorBidi"/>
          <w:lang w:eastAsia="zh-CN"/>
        </w:rPr>
        <w:t>7</w:t>
      </w:r>
      <w:r w:rsidRPr="00D204C3">
        <w:rPr>
          <w:rFonts w:asciiTheme="minorHAnsi" w:hAnsiTheme="minorHAnsi" w:cstheme="minorBidi"/>
          <w:lang w:eastAsia="zh-CN"/>
        </w:rPr>
        <w:t xml:space="preserve"> billion. </w:t>
      </w:r>
    </w:p>
    <w:p w14:paraId="224F2559" w14:textId="22074904" w:rsidR="0043585B" w:rsidRPr="00D204C3" w:rsidRDefault="007C07F4" w:rsidP="001C43A2">
      <w:pPr>
        <w:spacing w:before="120" w:after="0"/>
      </w:pPr>
      <w:r w:rsidRPr="00D204C3">
        <w:t>Compared to</w:t>
      </w:r>
      <w:r w:rsidR="00F2507F" w:rsidRPr="00D204C3">
        <w:t xml:space="preserve"> </w:t>
      </w:r>
      <w:r w:rsidR="0013397D">
        <w:t xml:space="preserve">the </w:t>
      </w:r>
      <w:r w:rsidRPr="00D204C3">
        <w:t xml:space="preserve">pre-COVID year ending </w:t>
      </w:r>
      <w:r w:rsidR="00673853" w:rsidRPr="00D204C3">
        <w:t>Dec</w:t>
      </w:r>
      <w:r w:rsidRPr="00D204C3">
        <w:t>ember 2019</w:t>
      </w:r>
      <w:r w:rsidR="00D63C9B">
        <w:t>,</w:t>
      </w:r>
      <w:r w:rsidRPr="00D204C3">
        <w:t xml:space="preserve"> this was a</w:t>
      </w:r>
      <w:r w:rsidR="00DE439F" w:rsidRPr="00D204C3">
        <w:t>:</w:t>
      </w:r>
      <w:r w:rsidRPr="00D204C3">
        <w:t xml:space="preserve"> </w:t>
      </w:r>
    </w:p>
    <w:p w14:paraId="3D55B05B" w14:textId="297D1F10" w:rsidR="0043585B" w:rsidRPr="00D204C3" w:rsidRDefault="00673853" w:rsidP="001C43A2">
      <w:pPr>
        <w:pStyle w:val="ListParagraph"/>
        <w:numPr>
          <w:ilvl w:val="0"/>
          <w:numId w:val="18"/>
        </w:numPr>
      </w:pPr>
      <w:r w:rsidRPr="00D204C3">
        <w:rPr>
          <w:rFonts w:asciiTheme="minorHAnsi" w:hAnsiTheme="minorHAnsi" w:cstheme="minorBidi"/>
          <w:lang w:eastAsia="zh-CN"/>
        </w:rPr>
        <w:t>30</w:t>
      </w:r>
      <w:r w:rsidR="007C07F4" w:rsidRPr="00D204C3">
        <w:rPr>
          <w:rFonts w:asciiTheme="minorHAnsi" w:hAnsiTheme="minorHAnsi" w:cstheme="minorBidi"/>
          <w:lang w:eastAsia="zh-CN"/>
        </w:rPr>
        <w:t xml:space="preserve">% fall in overnight trips </w:t>
      </w:r>
    </w:p>
    <w:p w14:paraId="1F6A4E57" w14:textId="77777777" w:rsidR="0043585B" w:rsidRPr="00D204C3" w:rsidRDefault="007C07F4" w:rsidP="001C43A2">
      <w:pPr>
        <w:pStyle w:val="ListParagraph"/>
        <w:numPr>
          <w:ilvl w:val="0"/>
          <w:numId w:val="18"/>
        </w:numPr>
      </w:pPr>
      <w:r w:rsidRPr="00D204C3">
        <w:rPr>
          <w:rFonts w:asciiTheme="minorHAnsi" w:hAnsiTheme="minorHAnsi" w:cstheme="minorBidi"/>
          <w:lang w:eastAsia="zh-CN"/>
        </w:rPr>
        <w:t>2</w:t>
      </w:r>
      <w:r w:rsidR="00673853" w:rsidRPr="00D204C3">
        <w:rPr>
          <w:rFonts w:asciiTheme="minorHAnsi" w:hAnsiTheme="minorHAnsi" w:cstheme="minorBidi"/>
          <w:lang w:eastAsia="zh-CN"/>
        </w:rPr>
        <w:t>5</w:t>
      </w:r>
      <w:r w:rsidRPr="00D204C3">
        <w:rPr>
          <w:rFonts w:asciiTheme="minorHAnsi" w:hAnsiTheme="minorHAnsi" w:cstheme="minorBidi"/>
          <w:lang w:eastAsia="zh-CN"/>
        </w:rPr>
        <w:t>% or $1</w:t>
      </w:r>
      <w:r w:rsidR="00627C77" w:rsidRPr="00D204C3">
        <w:rPr>
          <w:rFonts w:asciiTheme="minorHAnsi" w:hAnsiTheme="minorHAnsi" w:cstheme="minorBidi"/>
          <w:lang w:eastAsia="zh-CN"/>
        </w:rPr>
        <w:t>9</w:t>
      </w:r>
      <w:r w:rsidRPr="00D204C3">
        <w:rPr>
          <w:rFonts w:asciiTheme="minorHAnsi" w:hAnsiTheme="minorHAnsi" w:cstheme="minorBidi"/>
          <w:lang w:eastAsia="zh-CN"/>
        </w:rPr>
        <w:t>.</w:t>
      </w:r>
      <w:r w:rsidR="00627C77" w:rsidRPr="00D204C3">
        <w:rPr>
          <w:rFonts w:asciiTheme="minorHAnsi" w:hAnsiTheme="minorHAnsi" w:cstheme="minorBidi"/>
          <w:lang w:eastAsia="zh-CN"/>
        </w:rPr>
        <w:t>9</w:t>
      </w:r>
      <w:r w:rsidRPr="00D204C3">
        <w:rPr>
          <w:rFonts w:asciiTheme="minorHAnsi" w:hAnsiTheme="minorHAnsi" w:cstheme="minorBidi"/>
          <w:lang w:eastAsia="zh-CN"/>
        </w:rPr>
        <w:t xml:space="preserve"> billion fall in spend. </w:t>
      </w:r>
    </w:p>
    <w:p w14:paraId="739A3B5A" w14:textId="69D1D16C" w:rsidR="007C07F4" w:rsidRPr="00D204C3" w:rsidRDefault="00D63C9B" w:rsidP="001C43A2">
      <w:pPr>
        <w:spacing w:before="120"/>
      </w:pPr>
      <w:r>
        <w:t>Overall annual re</w:t>
      </w:r>
      <w:r w:rsidR="00627C77" w:rsidRPr="00D204C3">
        <w:t xml:space="preserve">sults </w:t>
      </w:r>
      <w:r>
        <w:t xml:space="preserve">for the full 2021 year </w:t>
      </w:r>
      <w:r w:rsidR="00627C77" w:rsidRPr="00D204C3">
        <w:t>were stronger</w:t>
      </w:r>
      <w:r w:rsidR="00691270" w:rsidRPr="00D204C3">
        <w:t xml:space="preserve"> than</w:t>
      </w:r>
      <w:r>
        <w:t xml:space="preserve"> the full 2020 year,</w:t>
      </w:r>
      <w:r w:rsidR="00627C77" w:rsidRPr="00D204C3">
        <w:t xml:space="preserve"> </w:t>
      </w:r>
      <w:r>
        <w:t xml:space="preserve">which was </w:t>
      </w:r>
      <w:r w:rsidR="00627C77" w:rsidRPr="00D204C3">
        <w:t xml:space="preserve">the first year of the </w:t>
      </w:r>
      <w:r w:rsidR="006571DF" w:rsidRPr="00D204C3">
        <w:t>COVID-19</w:t>
      </w:r>
      <w:r w:rsidR="00627C77" w:rsidRPr="00D204C3">
        <w:t xml:space="preserve"> pandemic</w:t>
      </w:r>
      <w:r w:rsidR="0013397D">
        <w:t>. This was</w:t>
      </w:r>
      <w:r w:rsidR="0043585B" w:rsidRPr="00D204C3">
        <w:t xml:space="preserve"> driven by the recovery seen in the first half of 2021 (Figure 1.)</w:t>
      </w:r>
    </w:p>
    <w:p w14:paraId="7023CA97" w14:textId="77777777" w:rsidR="00627FEF" w:rsidRPr="00D204C3" w:rsidRDefault="00627FEF" w:rsidP="007C07F4"/>
    <w:p w14:paraId="066B0480" w14:textId="42C26593" w:rsidR="007C07F4" w:rsidRPr="00D204C3" w:rsidRDefault="00691270" w:rsidP="001C43A2">
      <w:pPr>
        <w:pStyle w:val="Heading4"/>
      </w:pPr>
      <w:r w:rsidRPr="00D204C3">
        <w:t>Dec</w:t>
      </w:r>
      <w:r w:rsidR="002D2648" w:rsidRPr="00D204C3">
        <w:t>ember quarter 2021</w:t>
      </w:r>
    </w:p>
    <w:p w14:paraId="36BF87C1" w14:textId="755721A8" w:rsidR="0043585B" w:rsidRPr="00D204C3" w:rsidRDefault="0043585B" w:rsidP="00B45D31">
      <w:r w:rsidRPr="00D204C3">
        <w:t>Quarterly results were down on December quarter 2019 due to Delta and Omicron</w:t>
      </w:r>
      <w:r w:rsidR="003A7509" w:rsidRPr="00D204C3">
        <w:t>,</w:t>
      </w:r>
      <w:r w:rsidRPr="00D204C3">
        <w:t xml:space="preserve"> state border closures and </w:t>
      </w:r>
      <w:r w:rsidR="0013397D">
        <w:t xml:space="preserve">movement </w:t>
      </w:r>
      <w:r w:rsidRPr="00D204C3">
        <w:t xml:space="preserve">restrictions. Australians took: </w:t>
      </w:r>
    </w:p>
    <w:p w14:paraId="398C08DF" w14:textId="69AA8D67" w:rsidR="0043585B" w:rsidRPr="00D204C3" w:rsidRDefault="003D5FE0" w:rsidP="001C43A2">
      <w:pPr>
        <w:pStyle w:val="ListParagraph"/>
        <w:numPr>
          <w:ilvl w:val="0"/>
          <w:numId w:val="20"/>
        </w:numPr>
      </w:pPr>
      <w:r w:rsidRPr="00D204C3">
        <w:rPr>
          <w:rFonts w:asciiTheme="minorHAnsi" w:hAnsiTheme="minorHAnsi" w:cstheme="minorBidi"/>
          <w:lang w:eastAsia="zh-CN"/>
        </w:rPr>
        <w:t>21.1 million overnight trips (down 28%)</w:t>
      </w:r>
    </w:p>
    <w:p w14:paraId="4EFFA15A" w14:textId="5E69CD0E" w:rsidR="003D5FE0" w:rsidRPr="00D204C3" w:rsidRDefault="00DE439F" w:rsidP="001C43A2">
      <w:pPr>
        <w:pStyle w:val="ListParagraph"/>
        <w:numPr>
          <w:ilvl w:val="0"/>
          <w:numId w:val="20"/>
        </w:numPr>
      </w:pPr>
      <w:r w:rsidRPr="00D204C3">
        <w:rPr>
          <w:rFonts w:asciiTheme="minorHAnsi" w:hAnsiTheme="minorHAnsi" w:cstheme="minorBidi"/>
          <w:lang w:eastAsia="zh-CN"/>
        </w:rPr>
        <w:t>s</w:t>
      </w:r>
      <w:r w:rsidR="003D5FE0" w:rsidRPr="00D204C3">
        <w:rPr>
          <w:rFonts w:asciiTheme="minorHAnsi" w:hAnsiTheme="minorHAnsi" w:cstheme="minorBidi"/>
          <w:lang w:eastAsia="zh-CN"/>
        </w:rPr>
        <w:t>pent $14 billion (down 32%)</w:t>
      </w:r>
      <w:r w:rsidRPr="00D204C3">
        <w:rPr>
          <w:rFonts w:asciiTheme="minorHAnsi" w:hAnsiTheme="minorHAnsi" w:cstheme="minorBidi"/>
          <w:lang w:eastAsia="zh-CN"/>
        </w:rPr>
        <w:t>.</w:t>
      </w:r>
    </w:p>
    <w:p w14:paraId="6144E07F" w14:textId="77777777" w:rsidR="0043585B" w:rsidRPr="00D204C3" w:rsidRDefault="0043585B" w:rsidP="001C43A2"/>
    <w:p w14:paraId="6C4DC8C9" w14:textId="33D8AF08" w:rsidR="00627FEF" w:rsidRPr="00D204C3" w:rsidRDefault="00A14C58" w:rsidP="007C07F4">
      <w:r w:rsidRPr="00D204C3">
        <w:t>The quarter</w:t>
      </w:r>
      <w:r w:rsidR="0013397D">
        <w:t>ly</w:t>
      </w:r>
      <w:r w:rsidR="00627FEF" w:rsidRPr="00D204C3">
        <w:t xml:space="preserve"> </w:t>
      </w:r>
      <w:r w:rsidR="003A7509" w:rsidRPr="00D204C3">
        <w:t xml:space="preserve">results </w:t>
      </w:r>
      <w:r w:rsidR="00627FEF" w:rsidRPr="00D204C3">
        <w:t xml:space="preserve">closely resembled December quarter </w:t>
      </w:r>
      <w:r w:rsidR="003A7509" w:rsidRPr="00D204C3">
        <w:t xml:space="preserve">2020 </w:t>
      </w:r>
      <w:r w:rsidR="00627FEF" w:rsidRPr="00D204C3">
        <w:t>with visitors</w:t>
      </w:r>
      <w:r w:rsidR="00B70076" w:rsidRPr="00D204C3">
        <w:t xml:space="preserve"> down</w:t>
      </w:r>
      <w:r w:rsidR="00627FEF" w:rsidRPr="00D204C3">
        <w:t xml:space="preserve"> 3% and spend</w:t>
      </w:r>
      <w:r w:rsidR="00B70076" w:rsidRPr="00D204C3">
        <w:t xml:space="preserve"> down</w:t>
      </w:r>
      <w:r w:rsidR="00627FEF" w:rsidRPr="00D204C3">
        <w:t xml:space="preserve"> 1%. </w:t>
      </w:r>
    </w:p>
    <w:p w14:paraId="38ACC320" w14:textId="066BAA51" w:rsidR="00572276" w:rsidRPr="00D204C3" w:rsidRDefault="00241C1A" w:rsidP="00673853">
      <w:pPr>
        <w:pStyle w:val="Heading2"/>
      </w:pPr>
      <w:r w:rsidRPr="00D204C3">
        <w:t>Interstate and intrastate travel</w:t>
      </w:r>
    </w:p>
    <w:p w14:paraId="6B71ABDB" w14:textId="67201C8E" w:rsidR="001B3311" w:rsidRPr="00D204C3" w:rsidRDefault="001B3311" w:rsidP="001C43A2">
      <w:pPr>
        <w:pStyle w:val="Heading4"/>
      </w:pPr>
      <w:r w:rsidRPr="00D204C3">
        <w:t xml:space="preserve">COVID-19 </w:t>
      </w:r>
      <w:r w:rsidR="00D63C9B">
        <w:t>p</w:t>
      </w:r>
      <w:r w:rsidR="00D63C9B" w:rsidRPr="00D204C3">
        <w:t xml:space="preserve">eriod </w:t>
      </w:r>
      <w:r w:rsidRPr="00D204C3">
        <w:t>(March 2020 to December 2021)</w:t>
      </w:r>
    </w:p>
    <w:p w14:paraId="5F4A366B" w14:textId="7EEEEF92" w:rsidR="003D5FE0" w:rsidRPr="00D204C3" w:rsidRDefault="003D5FE0" w:rsidP="00241C1A">
      <w:r w:rsidRPr="00D204C3">
        <w:t>Interstate travel</w:t>
      </w:r>
      <w:r w:rsidR="00F2507F" w:rsidRPr="00D204C3">
        <w:t xml:space="preserve"> has</w:t>
      </w:r>
      <w:r w:rsidRPr="00D204C3">
        <w:t xml:space="preserve"> account</w:t>
      </w:r>
      <w:r w:rsidR="00F2507F" w:rsidRPr="00D204C3">
        <w:t>ed</w:t>
      </w:r>
      <w:r w:rsidRPr="00D204C3">
        <w:t xml:space="preserve"> for most of the tourism loses</w:t>
      </w:r>
      <w:r w:rsidR="008E47E7" w:rsidRPr="00D204C3">
        <w:t xml:space="preserve"> over</w:t>
      </w:r>
      <w:r w:rsidRPr="00D204C3">
        <w:t xml:space="preserve"> the COVID</w:t>
      </w:r>
      <w:r w:rsidR="00D63C9B">
        <w:t>-19</w:t>
      </w:r>
      <w:r w:rsidRPr="00D204C3">
        <w:t xml:space="preserve"> period driven by border closures. Since the start of the pandemic:</w:t>
      </w:r>
    </w:p>
    <w:p w14:paraId="048CE410" w14:textId="1ABF92C9" w:rsidR="003D5FE0" w:rsidRPr="00D204C3" w:rsidRDefault="001C43A2" w:rsidP="00D204C3">
      <w:pPr>
        <w:pStyle w:val="ListParagraph"/>
        <w:numPr>
          <w:ilvl w:val="0"/>
          <w:numId w:val="21"/>
        </w:numPr>
      </w:pPr>
      <w:r w:rsidRPr="00D204C3">
        <w:rPr>
          <w:rFonts w:asciiTheme="minorHAnsi" w:hAnsiTheme="minorHAnsi" w:cstheme="minorBidi"/>
          <w:lang w:eastAsia="zh-CN"/>
        </w:rPr>
        <w:t>i</w:t>
      </w:r>
      <w:r w:rsidR="003D5FE0" w:rsidRPr="00D204C3">
        <w:rPr>
          <w:rFonts w:asciiTheme="minorHAnsi" w:hAnsiTheme="minorHAnsi" w:cstheme="minorBidi"/>
          <w:lang w:eastAsia="zh-CN"/>
        </w:rPr>
        <w:t xml:space="preserve">nterstate overnight trip </w:t>
      </w:r>
      <w:proofErr w:type="gramStart"/>
      <w:r w:rsidR="003D5FE0" w:rsidRPr="00D204C3">
        <w:rPr>
          <w:rFonts w:asciiTheme="minorHAnsi" w:hAnsiTheme="minorHAnsi" w:cstheme="minorBidi"/>
          <w:lang w:eastAsia="zh-CN"/>
        </w:rPr>
        <w:t>spend</w:t>
      </w:r>
      <w:proofErr w:type="gramEnd"/>
      <w:r w:rsidR="003D5FE0" w:rsidRPr="00D204C3">
        <w:rPr>
          <w:rFonts w:asciiTheme="minorHAnsi" w:hAnsiTheme="minorHAnsi" w:cstheme="minorBidi"/>
          <w:lang w:eastAsia="zh-CN"/>
        </w:rPr>
        <w:t xml:space="preserve"> f</w:t>
      </w:r>
      <w:r w:rsidR="004816B1" w:rsidRPr="00D204C3">
        <w:rPr>
          <w:rFonts w:asciiTheme="minorHAnsi" w:hAnsiTheme="minorHAnsi" w:cstheme="minorBidi"/>
          <w:lang w:eastAsia="zh-CN"/>
        </w:rPr>
        <w:t>e</w:t>
      </w:r>
      <w:r w:rsidR="003D5FE0" w:rsidRPr="00D204C3">
        <w:rPr>
          <w:rFonts w:asciiTheme="minorHAnsi" w:hAnsiTheme="minorHAnsi" w:cstheme="minorBidi"/>
          <w:lang w:eastAsia="zh-CN"/>
        </w:rPr>
        <w:t xml:space="preserve">ll </w:t>
      </w:r>
      <w:r w:rsidR="00176A44" w:rsidRPr="00D204C3">
        <w:rPr>
          <w:rFonts w:asciiTheme="minorHAnsi" w:hAnsiTheme="minorHAnsi" w:cstheme="minorBidi"/>
          <w:lang w:eastAsia="zh-CN"/>
        </w:rPr>
        <w:t>6</w:t>
      </w:r>
      <w:r w:rsidR="003D5FE0" w:rsidRPr="00D204C3">
        <w:rPr>
          <w:rFonts w:asciiTheme="minorHAnsi" w:hAnsiTheme="minorHAnsi" w:cstheme="minorBidi"/>
          <w:lang w:eastAsia="zh-CN"/>
        </w:rPr>
        <w:t>3% (down $52.9 billion)</w:t>
      </w:r>
    </w:p>
    <w:p w14:paraId="1024C5A2" w14:textId="426EEA6F" w:rsidR="003D5FE0" w:rsidRPr="00D204C3" w:rsidRDefault="001C43A2" w:rsidP="00D204C3">
      <w:pPr>
        <w:pStyle w:val="ListParagraph"/>
        <w:numPr>
          <w:ilvl w:val="0"/>
          <w:numId w:val="21"/>
        </w:numPr>
      </w:pPr>
      <w:r w:rsidRPr="00D204C3">
        <w:rPr>
          <w:rFonts w:asciiTheme="minorHAnsi" w:hAnsiTheme="minorHAnsi" w:cstheme="minorBidi"/>
          <w:lang w:eastAsia="zh-CN"/>
        </w:rPr>
        <w:t>i</w:t>
      </w:r>
      <w:r w:rsidR="003D5FE0" w:rsidRPr="00D204C3">
        <w:rPr>
          <w:rFonts w:asciiTheme="minorHAnsi" w:hAnsiTheme="minorHAnsi" w:cstheme="minorBidi"/>
          <w:lang w:eastAsia="zh-CN"/>
        </w:rPr>
        <w:t xml:space="preserve">ntrastate overnight trip </w:t>
      </w:r>
      <w:proofErr w:type="gramStart"/>
      <w:r w:rsidR="003D5FE0" w:rsidRPr="00D204C3">
        <w:rPr>
          <w:rFonts w:asciiTheme="minorHAnsi" w:hAnsiTheme="minorHAnsi" w:cstheme="minorBidi"/>
          <w:lang w:eastAsia="zh-CN"/>
        </w:rPr>
        <w:t>spend</w:t>
      </w:r>
      <w:proofErr w:type="gramEnd"/>
      <w:r w:rsidR="008E47E7" w:rsidRPr="00D204C3">
        <w:rPr>
          <w:rFonts w:asciiTheme="minorHAnsi" w:hAnsiTheme="minorHAnsi" w:cstheme="minorBidi"/>
          <w:lang w:eastAsia="zh-CN"/>
        </w:rPr>
        <w:t xml:space="preserve"> f</w:t>
      </w:r>
      <w:r w:rsidR="004816B1" w:rsidRPr="00D204C3">
        <w:rPr>
          <w:rFonts w:asciiTheme="minorHAnsi" w:hAnsiTheme="minorHAnsi" w:cstheme="minorBidi"/>
          <w:lang w:eastAsia="zh-CN"/>
        </w:rPr>
        <w:t>e</w:t>
      </w:r>
      <w:r w:rsidR="008E47E7" w:rsidRPr="00D204C3">
        <w:rPr>
          <w:rFonts w:asciiTheme="minorHAnsi" w:hAnsiTheme="minorHAnsi" w:cstheme="minorBidi"/>
          <w:lang w:eastAsia="zh-CN"/>
        </w:rPr>
        <w:t>ll</w:t>
      </w:r>
      <w:r w:rsidR="003D5FE0" w:rsidRPr="00D204C3">
        <w:rPr>
          <w:rFonts w:asciiTheme="minorHAnsi" w:hAnsiTheme="minorHAnsi" w:cstheme="minorBidi"/>
          <w:lang w:eastAsia="zh-CN"/>
        </w:rPr>
        <w:t xml:space="preserve"> </w:t>
      </w:r>
      <w:r w:rsidR="007A2FE1" w:rsidRPr="00D204C3">
        <w:rPr>
          <w:rFonts w:asciiTheme="minorHAnsi" w:hAnsiTheme="minorHAnsi" w:cstheme="minorBidi"/>
          <w:lang w:eastAsia="zh-CN"/>
        </w:rPr>
        <w:t>5</w:t>
      </w:r>
      <w:r w:rsidR="003D5FE0" w:rsidRPr="00D204C3">
        <w:rPr>
          <w:rFonts w:asciiTheme="minorHAnsi" w:hAnsiTheme="minorHAnsi" w:cstheme="minorBidi"/>
          <w:lang w:eastAsia="zh-CN"/>
        </w:rPr>
        <w:t>%</w:t>
      </w:r>
      <w:r w:rsidR="008E47E7" w:rsidRPr="00D204C3">
        <w:rPr>
          <w:rFonts w:asciiTheme="minorHAnsi" w:hAnsiTheme="minorHAnsi" w:cstheme="minorBidi"/>
          <w:lang w:eastAsia="zh-CN"/>
        </w:rPr>
        <w:t xml:space="preserve"> (down $3.</w:t>
      </w:r>
      <w:r w:rsidR="007A2FE1" w:rsidRPr="00D204C3">
        <w:rPr>
          <w:rFonts w:asciiTheme="minorHAnsi" w:hAnsiTheme="minorHAnsi" w:cstheme="minorBidi"/>
          <w:lang w:eastAsia="zh-CN"/>
        </w:rPr>
        <w:t>4</w:t>
      </w:r>
      <w:r w:rsidR="008E47E7" w:rsidRPr="00D204C3">
        <w:rPr>
          <w:rFonts w:asciiTheme="minorHAnsi" w:hAnsiTheme="minorHAnsi" w:cstheme="minorBidi"/>
          <w:lang w:eastAsia="zh-CN"/>
        </w:rPr>
        <w:t xml:space="preserve"> billion)</w:t>
      </w:r>
    </w:p>
    <w:p w14:paraId="77E69779" w14:textId="54CB8507" w:rsidR="004816B1" w:rsidRPr="00D204C3" w:rsidRDefault="001C43A2" w:rsidP="001C43A2">
      <w:pPr>
        <w:pStyle w:val="ListParagraph"/>
        <w:numPr>
          <w:ilvl w:val="0"/>
          <w:numId w:val="21"/>
        </w:numPr>
      </w:pPr>
      <w:r w:rsidRPr="00D204C3">
        <w:rPr>
          <w:rFonts w:asciiTheme="minorHAnsi" w:hAnsiTheme="minorHAnsi" w:cstheme="minorBidi"/>
          <w:lang w:eastAsia="zh-CN"/>
        </w:rPr>
        <w:t>i</w:t>
      </w:r>
      <w:r w:rsidR="004816B1" w:rsidRPr="00D204C3">
        <w:rPr>
          <w:rFonts w:asciiTheme="minorHAnsi" w:hAnsiTheme="minorHAnsi" w:cstheme="minorBidi"/>
          <w:lang w:eastAsia="zh-CN"/>
        </w:rPr>
        <w:t>nterstate trips accounted for 94% of the total loss in spend on domestic overnight travel</w:t>
      </w:r>
      <w:r w:rsidR="008E1D7B">
        <w:rPr>
          <w:rFonts w:asciiTheme="minorHAnsi" w:hAnsiTheme="minorHAnsi" w:cstheme="minorBidi"/>
          <w:lang w:eastAsia="zh-CN"/>
        </w:rPr>
        <w:t xml:space="preserve"> (Figure 3)</w:t>
      </w:r>
      <w:r w:rsidR="004816B1" w:rsidRPr="00D204C3">
        <w:rPr>
          <w:rFonts w:asciiTheme="minorHAnsi" w:hAnsiTheme="minorHAnsi" w:cstheme="minorBidi"/>
          <w:lang w:eastAsia="zh-CN"/>
        </w:rPr>
        <w:t>.</w:t>
      </w:r>
    </w:p>
    <w:p w14:paraId="3A043646" w14:textId="77777777" w:rsidR="003D5FE0" w:rsidRPr="00D204C3" w:rsidRDefault="003D5FE0" w:rsidP="00241C1A"/>
    <w:p w14:paraId="06BC49C0" w14:textId="4DDA9D15" w:rsidR="008541C7" w:rsidRPr="00D204C3" w:rsidRDefault="008541C7" w:rsidP="008541C7">
      <w:r w:rsidRPr="00D204C3">
        <w:rPr>
          <w:rFonts w:cs="AU Sans BETA Text Bold"/>
          <w:b/>
          <w:bCs/>
        </w:rPr>
        <w:lastRenderedPageBreak/>
        <w:t xml:space="preserve">Figure </w:t>
      </w:r>
      <w:r w:rsidR="00D63C9B">
        <w:rPr>
          <w:rFonts w:cs="AU Sans BETA Text Bold"/>
          <w:b/>
          <w:bCs/>
        </w:rPr>
        <w:t>3</w:t>
      </w:r>
      <w:r w:rsidRPr="00D204C3">
        <w:rPr>
          <w:rFonts w:cs="AU Sans BETA Text Bold"/>
          <w:b/>
          <w:bCs/>
        </w:rPr>
        <w:t>.</w:t>
      </w:r>
      <w:r w:rsidRPr="00D204C3">
        <w:t xml:space="preserve"> Cumulative losses in domestic overnight </w:t>
      </w:r>
      <w:r w:rsidR="0013397D">
        <w:t xml:space="preserve">interstate and intrastate </w:t>
      </w:r>
      <w:r w:rsidRPr="00D204C3">
        <w:t>spend,</w:t>
      </w:r>
      <w:r w:rsidR="00B434F1" w:rsidRPr="00D204C3">
        <w:t xml:space="preserve"> </w:t>
      </w:r>
      <w:r w:rsidR="008625F4">
        <w:t>COVID</w:t>
      </w:r>
      <w:r w:rsidR="00B434F1" w:rsidRPr="00D204C3">
        <w:t>-19 period</w:t>
      </w:r>
    </w:p>
    <w:p w14:paraId="239BEB6E" w14:textId="36A911D1" w:rsidR="001E0769" w:rsidRPr="00D204C3" w:rsidRDefault="00FF4F4C" w:rsidP="00B522E1">
      <w:r>
        <w:rPr>
          <w:noProof/>
        </w:rPr>
        <w:drawing>
          <wp:inline distT="0" distB="0" distL="0" distR="0" wp14:anchorId="2980CBD4" wp14:editId="6F44860E">
            <wp:extent cx="5234940" cy="3230880"/>
            <wp:effectExtent l="0" t="0" r="3810" b="7620"/>
            <wp:docPr id="17" name="Chart 17" descr="An area chart showing the cumulative losses in spend for interstate and intrastate travel from March 2020 to December 2021. By December 2021 the losses had reached approximately $56 billion with most, approximately $53 billion, of the losses in interstate travel. The difference between the interstate and intrastate losses has widened through the pandemic.">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37B99A" w14:textId="141BB673" w:rsidR="007F7251" w:rsidRPr="00D204C3" w:rsidRDefault="007F7251" w:rsidP="007F7251">
      <w:pPr>
        <w:pStyle w:val="Heading4"/>
      </w:pPr>
      <w:r w:rsidRPr="00D204C3">
        <w:t>Year ending December 2021</w:t>
      </w:r>
    </w:p>
    <w:p w14:paraId="7AD81119" w14:textId="77777777" w:rsidR="007F7251" w:rsidRPr="00D204C3" w:rsidRDefault="007F7251" w:rsidP="007F7251">
      <w:r w:rsidRPr="00D204C3">
        <w:t>The year ending December 2021 saw:</w:t>
      </w:r>
    </w:p>
    <w:p w14:paraId="4E14E936" w14:textId="21C84FD2" w:rsidR="007F7251" w:rsidRPr="00D204C3" w:rsidRDefault="001C43A2" w:rsidP="007F7251">
      <w:pPr>
        <w:pStyle w:val="ListParagraph"/>
        <w:numPr>
          <w:ilvl w:val="0"/>
          <w:numId w:val="24"/>
        </w:numPr>
      </w:pPr>
      <w:r w:rsidRPr="00D204C3">
        <w:rPr>
          <w:rFonts w:asciiTheme="minorHAnsi" w:hAnsiTheme="minorHAnsi" w:cstheme="minorBidi"/>
          <w:lang w:eastAsia="zh-CN"/>
        </w:rPr>
        <w:t>i</w:t>
      </w:r>
      <w:r w:rsidR="007F7251" w:rsidRPr="00D204C3">
        <w:rPr>
          <w:rFonts w:asciiTheme="minorHAnsi" w:hAnsiTheme="minorHAnsi" w:cstheme="minorBidi"/>
          <w:lang w:eastAsia="zh-CN"/>
        </w:rPr>
        <w:t>nterstate trips down 57% to 16.6 million and spend 50% to $22.7 billion</w:t>
      </w:r>
    </w:p>
    <w:p w14:paraId="1343A3A6" w14:textId="4004EF75" w:rsidR="007F7251" w:rsidRPr="00D204C3" w:rsidRDefault="001C43A2" w:rsidP="007F7251">
      <w:pPr>
        <w:pStyle w:val="ListParagraph"/>
        <w:numPr>
          <w:ilvl w:val="0"/>
          <w:numId w:val="24"/>
        </w:numPr>
      </w:pPr>
      <w:r w:rsidRPr="00D204C3">
        <w:rPr>
          <w:rFonts w:asciiTheme="minorHAnsi" w:hAnsiTheme="minorHAnsi" w:cstheme="minorBidi"/>
          <w:lang w:eastAsia="zh-CN"/>
        </w:rPr>
        <w:t>i</w:t>
      </w:r>
      <w:r w:rsidR="007F7251" w:rsidRPr="00D204C3">
        <w:rPr>
          <w:rFonts w:asciiTheme="minorHAnsi" w:hAnsiTheme="minorHAnsi" w:cstheme="minorBidi"/>
          <w:lang w:eastAsia="zh-CN"/>
        </w:rPr>
        <w:t>ntrastate trips down 17% to 65.</w:t>
      </w:r>
      <w:r w:rsidR="00D204C3" w:rsidRPr="00D204C3">
        <w:rPr>
          <w:rFonts w:asciiTheme="minorHAnsi" w:hAnsiTheme="minorHAnsi" w:cstheme="minorBidi"/>
          <w:lang w:eastAsia="zh-CN"/>
        </w:rPr>
        <w:t>5</w:t>
      </w:r>
      <w:r w:rsidR="007F7251" w:rsidRPr="00D204C3">
        <w:rPr>
          <w:rFonts w:asciiTheme="minorHAnsi" w:hAnsiTheme="minorHAnsi" w:cstheme="minorBidi"/>
          <w:lang w:eastAsia="zh-CN"/>
        </w:rPr>
        <w:t xml:space="preserve"> million but spend up 7% to $38.0 billion.</w:t>
      </w:r>
    </w:p>
    <w:p w14:paraId="24E9C16B" w14:textId="77777777" w:rsidR="007F7251" w:rsidRPr="00D204C3" w:rsidRDefault="007F7251" w:rsidP="007F7251"/>
    <w:p w14:paraId="36ADDC7F" w14:textId="04DF7A15" w:rsidR="007F7251" w:rsidRPr="00D204C3" w:rsidRDefault="007F7251" w:rsidP="007F7251">
      <w:r w:rsidRPr="00D204C3">
        <w:t>The increase in intrastate spend can be attributed to Australians taking longer self-drive holiday trips to regional areas in 2021.</w:t>
      </w:r>
    </w:p>
    <w:p w14:paraId="799E0521" w14:textId="77777777" w:rsidR="007F7251" w:rsidRPr="00D204C3" w:rsidRDefault="007F7251" w:rsidP="00E42ABF">
      <w:pPr>
        <w:spacing w:line="276" w:lineRule="auto"/>
      </w:pPr>
    </w:p>
    <w:p w14:paraId="5FBE869B" w14:textId="0D6229A5" w:rsidR="008541C7" w:rsidRPr="00D204C3" w:rsidRDefault="008541C7" w:rsidP="00673853">
      <w:pPr>
        <w:pStyle w:val="Heading2"/>
      </w:pPr>
      <w:r w:rsidRPr="00D204C3">
        <w:t>Capital cities and regional travel</w:t>
      </w:r>
    </w:p>
    <w:p w14:paraId="09E4654D" w14:textId="482C0C66" w:rsidR="00377D1C" w:rsidRPr="00D204C3" w:rsidRDefault="00377D1C" w:rsidP="001C43A2">
      <w:pPr>
        <w:rPr>
          <w:rFonts w:asciiTheme="majorHAnsi" w:eastAsiaTheme="majorEastAsia" w:hAnsiTheme="majorHAnsi" w:cstheme="majorBidi"/>
        </w:rPr>
      </w:pPr>
      <w:r w:rsidRPr="00D204C3">
        <w:rPr>
          <w:rFonts w:asciiTheme="majorHAnsi" w:eastAsiaTheme="majorEastAsia" w:hAnsiTheme="majorHAnsi" w:cstheme="majorBidi"/>
          <w:b/>
          <w:bCs/>
        </w:rPr>
        <w:t>COVID-19 period (March 2020 to December 2021)</w:t>
      </w:r>
    </w:p>
    <w:p w14:paraId="47E72343" w14:textId="15AA3027" w:rsidR="003A04F7" w:rsidRPr="00D204C3" w:rsidRDefault="003A04F7" w:rsidP="00B45D31">
      <w:r w:rsidRPr="00D204C3">
        <w:t>Capital cities have been hit harder than regional areas during the pandemic</w:t>
      </w:r>
      <w:r w:rsidR="008E1D7B">
        <w:t xml:space="preserve"> (Figure 4)</w:t>
      </w:r>
      <w:r w:rsidRPr="00D204C3">
        <w:t xml:space="preserve"> due to</w:t>
      </w:r>
      <w:r w:rsidR="007F7251" w:rsidRPr="00D204C3">
        <w:t>:</w:t>
      </w:r>
    </w:p>
    <w:p w14:paraId="460E6D77" w14:textId="0C5B36DF" w:rsidR="003A04F7" w:rsidRPr="00D204C3" w:rsidRDefault="007F7251" w:rsidP="001C43A2">
      <w:pPr>
        <w:pStyle w:val="ListParagraph"/>
        <w:numPr>
          <w:ilvl w:val="0"/>
          <w:numId w:val="23"/>
        </w:numPr>
      </w:pPr>
      <w:r w:rsidRPr="00D204C3">
        <w:rPr>
          <w:rFonts w:asciiTheme="minorHAnsi" w:hAnsiTheme="minorHAnsi" w:cstheme="minorBidi"/>
          <w:lang w:eastAsia="zh-CN"/>
        </w:rPr>
        <w:t>m</w:t>
      </w:r>
      <w:r w:rsidR="003A04F7" w:rsidRPr="00D204C3">
        <w:rPr>
          <w:rFonts w:asciiTheme="minorHAnsi" w:hAnsiTheme="minorHAnsi" w:cstheme="minorBidi"/>
          <w:lang w:eastAsia="zh-CN"/>
        </w:rPr>
        <w:t>ore frequent lockdowns</w:t>
      </w:r>
    </w:p>
    <w:p w14:paraId="074360F7" w14:textId="2254C82E" w:rsidR="003A04F7" w:rsidRPr="00D204C3" w:rsidRDefault="007F7251" w:rsidP="001C43A2">
      <w:pPr>
        <w:pStyle w:val="ListParagraph"/>
        <w:numPr>
          <w:ilvl w:val="0"/>
          <w:numId w:val="23"/>
        </w:numPr>
      </w:pPr>
      <w:r w:rsidRPr="00D204C3">
        <w:rPr>
          <w:rFonts w:asciiTheme="minorHAnsi" w:hAnsiTheme="minorHAnsi" w:cstheme="minorBidi"/>
          <w:lang w:eastAsia="zh-CN"/>
        </w:rPr>
        <w:t>t</w:t>
      </w:r>
      <w:r w:rsidR="003A04F7" w:rsidRPr="00D204C3">
        <w:rPr>
          <w:rFonts w:asciiTheme="minorHAnsi" w:hAnsiTheme="minorHAnsi" w:cstheme="minorBidi"/>
          <w:lang w:eastAsia="zh-CN"/>
        </w:rPr>
        <w:t>ougher restrictions</w:t>
      </w:r>
    </w:p>
    <w:p w14:paraId="459FD018" w14:textId="299044E9" w:rsidR="00377D1C" w:rsidRPr="00D204C3" w:rsidRDefault="007F7251" w:rsidP="001C43A2">
      <w:pPr>
        <w:pStyle w:val="ListParagraph"/>
        <w:numPr>
          <w:ilvl w:val="0"/>
          <w:numId w:val="23"/>
        </w:numPr>
      </w:pPr>
      <w:r w:rsidRPr="00D204C3">
        <w:rPr>
          <w:rFonts w:asciiTheme="minorHAnsi" w:hAnsiTheme="minorHAnsi" w:cstheme="minorBidi"/>
          <w:lang w:eastAsia="zh-CN"/>
        </w:rPr>
        <w:t>c</w:t>
      </w:r>
      <w:r w:rsidR="00377D1C" w:rsidRPr="00D204C3">
        <w:rPr>
          <w:rFonts w:asciiTheme="minorHAnsi" w:hAnsiTheme="minorHAnsi" w:cstheme="minorBidi"/>
          <w:lang w:eastAsia="zh-CN"/>
        </w:rPr>
        <w:t>ities relying more on visitors arriving by air and/or for business</w:t>
      </w:r>
      <w:r w:rsidRPr="00D204C3">
        <w:rPr>
          <w:rFonts w:asciiTheme="minorHAnsi" w:hAnsiTheme="minorHAnsi" w:cstheme="minorBidi"/>
          <w:lang w:eastAsia="zh-CN"/>
        </w:rPr>
        <w:t>, (both down during the pandemic).</w:t>
      </w:r>
    </w:p>
    <w:p w14:paraId="36B4A29B" w14:textId="46828853" w:rsidR="00377D1C" w:rsidRPr="00D204C3" w:rsidRDefault="00377D1C" w:rsidP="001C43A2">
      <w:pPr>
        <w:spacing w:before="120"/>
      </w:pPr>
      <w:r w:rsidRPr="00D204C3">
        <w:t xml:space="preserve">During this period, domestic overnight trip spend </w:t>
      </w:r>
      <w:r w:rsidR="008E1D7B">
        <w:t>in</w:t>
      </w:r>
      <w:r w:rsidR="008E1D7B" w:rsidRPr="00D204C3">
        <w:t xml:space="preserve"> </w:t>
      </w:r>
      <w:r w:rsidRPr="00D204C3">
        <w:t>capital cities has fallen 58% or $42 billion, a</w:t>
      </w:r>
      <w:r w:rsidR="0013397D">
        <w:t>round</w:t>
      </w:r>
      <w:r w:rsidRPr="00D204C3">
        <w:t xml:space="preserve"> triple the rate of decline in overnight trips to regional areas which was down 19% or $14.4 billion.</w:t>
      </w:r>
    </w:p>
    <w:p w14:paraId="33291B57" w14:textId="2974A9B2" w:rsidR="009A1DD8" w:rsidRDefault="009A1DD8" w:rsidP="008541C7"/>
    <w:p w14:paraId="7B9EE8F4" w14:textId="1A5BC9EF" w:rsidR="00827F3F" w:rsidRDefault="00827F3F" w:rsidP="008541C7"/>
    <w:p w14:paraId="4E5EA1E0" w14:textId="1F74F63A" w:rsidR="00827F3F" w:rsidRDefault="00827F3F" w:rsidP="008541C7"/>
    <w:p w14:paraId="6516DF77" w14:textId="3987D49D" w:rsidR="00827F3F" w:rsidRDefault="00827F3F" w:rsidP="008541C7"/>
    <w:p w14:paraId="2AF45298" w14:textId="7A115699" w:rsidR="00827F3F" w:rsidRDefault="00827F3F" w:rsidP="008541C7"/>
    <w:p w14:paraId="0634336E" w14:textId="77777777" w:rsidR="00827F3F" w:rsidRPr="00D204C3" w:rsidRDefault="00827F3F" w:rsidP="008541C7"/>
    <w:p w14:paraId="4FD1054E" w14:textId="5E8920E4" w:rsidR="008541C7" w:rsidRPr="00D204C3" w:rsidRDefault="008541C7" w:rsidP="008541C7">
      <w:r w:rsidRPr="00D204C3">
        <w:rPr>
          <w:rFonts w:cs="AU Sans BETA Text Bold"/>
          <w:b/>
          <w:bCs/>
        </w:rPr>
        <w:lastRenderedPageBreak/>
        <w:t xml:space="preserve">Figure </w:t>
      </w:r>
      <w:r w:rsidR="008E1D7B">
        <w:rPr>
          <w:rFonts w:cs="AU Sans BETA Text Bold"/>
          <w:b/>
          <w:bCs/>
        </w:rPr>
        <w:t>4</w:t>
      </w:r>
      <w:r w:rsidRPr="00D204C3">
        <w:rPr>
          <w:rFonts w:cs="AU Sans BETA Text Bold"/>
          <w:b/>
          <w:bCs/>
        </w:rPr>
        <w:t>.</w:t>
      </w:r>
      <w:r w:rsidRPr="00D204C3">
        <w:t xml:space="preserve"> Cumulative losses in domestic overnight </w:t>
      </w:r>
      <w:r w:rsidR="0013397D">
        <w:t>regional and capital city spend</w:t>
      </w:r>
      <w:r w:rsidRPr="00D204C3">
        <w:t>, COVID-19 period</w:t>
      </w:r>
    </w:p>
    <w:p w14:paraId="4C98866F" w14:textId="389C9BE7" w:rsidR="008368F4" w:rsidRPr="00D204C3" w:rsidRDefault="00FF4F4C" w:rsidP="008541C7">
      <w:r>
        <w:rPr>
          <w:noProof/>
        </w:rPr>
        <w:drawing>
          <wp:inline distT="0" distB="0" distL="0" distR="0" wp14:anchorId="6B15BCDD" wp14:editId="2EE0E299">
            <wp:extent cx="5379720" cy="3253740"/>
            <wp:effectExtent l="0" t="0" r="0" b="3810"/>
            <wp:docPr id="14" name="Chart 14" descr="An area chart showing the cumulative losses in spend for capital cities and regional areas from March 2020 to December 2021. By December 2021 the losses had reached approximately $56 billion with the majority, approximately $42 billion, of the losses in travel to capital cities.">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7F44E4" w14:textId="62A156FD" w:rsidR="005435AF" w:rsidRPr="00D204C3" w:rsidRDefault="00377D1C" w:rsidP="001C43A2">
      <w:pPr>
        <w:pStyle w:val="Heading4"/>
      </w:pPr>
      <w:r w:rsidRPr="00D204C3">
        <w:t>Year ending December 2021</w:t>
      </w:r>
    </w:p>
    <w:p w14:paraId="4F87713D" w14:textId="215DAE6E" w:rsidR="005435AF" w:rsidRPr="00D204C3" w:rsidRDefault="002F4B83" w:rsidP="008541C7">
      <w:r w:rsidRPr="00D204C3">
        <w:t xml:space="preserve">Over </w:t>
      </w:r>
      <w:r w:rsidR="008541C7" w:rsidRPr="00D204C3">
        <w:t xml:space="preserve">the year ending </w:t>
      </w:r>
      <w:r w:rsidR="00B81331" w:rsidRPr="00D204C3">
        <w:t>Dec</w:t>
      </w:r>
      <w:r w:rsidR="008541C7" w:rsidRPr="00D204C3">
        <w:t>ember 2021</w:t>
      </w:r>
      <w:r w:rsidR="00D041E2" w:rsidRPr="00D204C3">
        <w:t>:</w:t>
      </w:r>
    </w:p>
    <w:p w14:paraId="75F2C01D" w14:textId="1320C578" w:rsidR="005435AF" w:rsidRPr="00D204C3" w:rsidRDefault="007F7251" w:rsidP="001C43A2">
      <w:pPr>
        <w:pStyle w:val="ListParagraph"/>
        <w:numPr>
          <w:ilvl w:val="0"/>
          <w:numId w:val="24"/>
        </w:numPr>
      </w:pPr>
      <w:r w:rsidRPr="00D204C3">
        <w:rPr>
          <w:rFonts w:asciiTheme="minorHAnsi" w:hAnsiTheme="minorHAnsi" w:cstheme="minorBidi"/>
          <w:lang w:eastAsia="zh-CN"/>
        </w:rPr>
        <w:t>t</w:t>
      </w:r>
      <w:r w:rsidR="005435AF" w:rsidRPr="00D204C3">
        <w:rPr>
          <w:rFonts w:asciiTheme="minorHAnsi" w:hAnsiTheme="minorHAnsi" w:cstheme="minorBidi"/>
          <w:lang w:eastAsia="zh-CN"/>
        </w:rPr>
        <w:t xml:space="preserve">rips to </w:t>
      </w:r>
      <w:r w:rsidR="003A7509" w:rsidRPr="00D204C3">
        <w:rPr>
          <w:rFonts w:asciiTheme="minorHAnsi" w:hAnsiTheme="minorHAnsi" w:cstheme="minorBidi"/>
          <w:lang w:eastAsia="zh-CN"/>
        </w:rPr>
        <w:t xml:space="preserve">and spend in </w:t>
      </w:r>
      <w:r w:rsidR="005435AF" w:rsidRPr="00D204C3">
        <w:rPr>
          <w:rFonts w:asciiTheme="minorHAnsi" w:hAnsiTheme="minorHAnsi" w:cstheme="minorBidi"/>
          <w:lang w:eastAsia="zh-CN"/>
        </w:rPr>
        <w:t xml:space="preserve">capital cities </w:t>
      </w:r>
      <w:r w:rsidR="00D041E2" w:rsidRPr="00D204C3">
        <w:rPr>
          <w:rFonts w:asciiTheme="minorHAnsi" w:hAnsiTheme="minorHAnsi" w:cstheme="minorBidi"/>
          <w:lang w:eastAsia="zh-CN"/>
        </w:rPr>
        <w:t xml:space="preserve">both </w:t>
      </w:r>
      <w:r w:rsidR="005435AF" w:rsidRPr="00D204C3">
        <w:rPr>
          <w:rFonts w:asciiTheme="minorHAnsi" w:hAnsiTheme="minorHAnsi" w:cstheme="minorBidi"/>
          <w:lang w:eastAsia="zh-CN"/>
        </w:rPr>
        <w:t>fell</w:t>
      </w:r>
      <w:r w:rsidR="008E1D7B">
        <w:rPr>
          <w:rFonts w:asciiTheme="minorHAnsi" w:hAnsiTheme="minorHAnsi" w:cstheme="minorBidi"/>
          <w:lang w:eastAsia="zh-CN"/>
        </w:rPr>
        <w:t>,</w:t>
      </w:r>
      <w:r w:rsidR="005435AF" w:rsidRPr="00D204C3">
        <w:rPr>
          <w:rFonts w:asciiTheme="minorHAnsi" w:hAnsiTheme="minorHAnsi" w:cstheme="minorBidi"/>
          <w:lang w:eastAsia="zh-CN"/>
        </w:rPr>
        <w:t xml:space="preserve"> </w:t>
      </w:r>
      <w:proofErr w:type="spellStart"/>
      <w:r w:rsidR="008E1D7B" w:rsidRPr="00D204C3">
        <w:rPr>
          <w:rFonts w:asciiTheme="minorHAnsi" w:hAnsiTheme="minorHAnsi" w:cstheme="minorBidi"/>
          <w:lang w:eastAsia="zh-CN"/>
        </w:rPr>
        <w:t>respecitively</w:t>
      </w:r>
      <w:proofErr w:type="spellEnd"/>
      <w:r w:rsidR="008E1D7B" w:rsidRPr="00D204C3">
        <w:rPr>
          <w:rFonts w:asciiTheme="minorHAnsi" w:hAnsiTheme="minorHAnsi" w:cstheme="minorBidi"/>
          <w:lang w:eastAsia="zh-CN"/>
        </w:rPr>
        <w:t xml:space="preserve"> </w:t>
      </w:r>
      <w:r w:rsidR="005435AF" w:rsidRPr="00D204C3">
        <w:rPr>
          <w:rFonts w:asciiTheme="minorHAnsi" w:hAnsiTheme="minorHAnsi" w:cstheme="minorBidi"/>
          <w:lang w:eastAsia="zh-CN"/>
        </w:rPr>
        <w:t>45% to 26.9 million</w:t>
      </w:r>
      <w:r w:rsidR="003A7509" w:rsidRPr="00D204C3">
        <w:rPr>
          <w:rFonts w:asciiTheme="minorHAnsi" w:hAnsiTheme="minorHAnsi" w:cstheme="minorBidi"/>
          <w:lang w:eastAsia="zh-CN"/>
        </w:rPr>
        <w:t xml:space="preserve"> and $21.4 billion </w:t>
      </w:r>
    </w:p>
    <w:p w14:paraId="5981FB45" w14:textId="77777777" w:rsidR="001C43A2" w:rsidRPr="00D204C3" w:rsidRDefault="007F7251" w:rsidP="001C43A2">
      <w:pPr>
        <w:pStyle w:val="ListParagraph"/>
        <w:numPr>
          <w:ilvl w:val="0"/>
          <w:numId w:val="24"/>
        </w:numPr>
      </w:pPr>
      <w:r w:rsidRPr="00D204C3">
        <w:rPr>
          <w:rFonts w:asciiTheme="minorHAnsi" w:hAnsiTheme="minorHAnsi" w:cstheme="minorBidi"/>
          <w:lang w:eastAsia="zh-CN"/>
        </w:rPr>
        <w:t>t</w:t>
      </w:r>
      <w:r w:rsidR="005435AF" w:rsidRPr="00D204C3">
        <w:rPr>
          <w:rFonts w:asciiTheme="minorHAnsi" w:hAnsiTheme="minorHAnsi" w:cstheme="minorBidi"/>
          <w:lang w:eastAsia="zh-CN"/>
        </w:rPr>
        <w:t>rips to regional areas fell 21% to 58.4 million</w:t>
      </w:r>
      <w:r w:rsidR="003A7509" w:rsidRPr="00D204C3">
        <w:rPr>
          <w:rFonts w:asciiTheme="minorHAnsi" w:hAnsiTheme="minorHAnsi" w:cstheme="minorBidi"/>
          <w:lang w:eastAsia="zh-CN"/>
        </w:rPr>
        <w:t xml:space="preserve"> and spend 6% to $39.4 billion</w:t>
      </w:r>
    </w:p>
    <w:p w14:paraId="7216A7C6" w14:textId="1A619E5C" w:rsidR="005435AF" w:rsidRPr="00D204C3" w:rsidRDefault="001C43A2" w:rsidP="001C43A2">
      <w:pPr>
        <w:pStyle w:val="ListParagraph"/>
        <w:numPr>
          <w:ilvl w:val="0"/>
          <w:numId w:val="24"/>
        </w:numPr>
      </w:pPr>
      <w:r w:rsidRPr="00D204C3">
        <w:rPr>
          <w:rFonts w:asciiTheme="minorHAnsi" w:hAnsiTheme="minorHAnsi" w:cstheme="minorBidi"/>
          <w:lang w:eastAsia="zh-CN"/>
        </w:rPr>
        <w:t>r</w:t>
      </w:r>
      <w:r w:rsidR="005435AF" w:rsidRPr="00D204C3">
        <w:rPr>
          <w:rFonts w:asciiTheme="minorHAnsi" w:hAnsiTheme="minorHAnsi" w:cstheme="minorBidi"/>
          <w:lang w:eastAsia="zh-CN"/>
        </w:rPr>
        <w:t>egi</w:t>
      </w:r>
      <w:r w:rsidR="00177AC9" w:rsidRPr="00D204C3">
        <w:rPr>
          <w:rFonts w:asciiTheme="minorHAnsi" w:hAnsiTheme="minorHAnsi" w:cstheme="minorBidi"/>
          <w:lang w:eastAsia="zh-CN"/>
        </w:rPr>
        <w:t>o</w:t>
      </w:r>
      <w:r w:rsidR="005435AF" w:rsidRPr="00D204C3">
        <w:rPr>
          <w:rFonts w:asciiTheme="minorHAnsi" w:hAnsiTheme="minorHAnsi" w:cstheme="minorBidi"/>
          <w:lang w:eastAsia="zh-CN"/>
        </w:rPr>
        <w:t>nal trips contributed 65% to total spend, up from 52% in 2019.</w:t>
      </w:r>
    </w:p>
    <w:p w14:paraId="0BB0C96C" w14:textId="62FD211F" w:rsidR="00BC7621" w:rsidRPr="00D204C3" w:rsidRDefault="00BC7621" w:rsidP="00DA0CE4">
      <w:pPr>
        <w:pStyle w:val="Heading2"/>
      </w:pPr>
      <w:r w:rsidRPr="00D204C3">
        <w:t>A change</w:t>
      </w:r>
      <w:r w:rsidR="0020670F" w:rsidRPr="00D204C3">
        <w:t xml:space="preserve"> in</w:t>
      </w:r>
      <w:r w:rsidRPr="00D204C3">
        <w:t xml:space="preserve"> how we travel</w:t>
      </w:r>
    </w:p>
    <w:p w14:paraId="69FD04EA" w14:textId="64103A1F" w:rsidR="00BC7621" w:rsidRPr="00D204C3" w:rsidRDefault="0020670F" w:rsidP="0020670F">
      <w:r w:rsidRPr="00D204C3">
        <w:t xml:space="preserve">Some types of travel were less impacted over </w:t>
      </w:r>
      <w:r w:rsidR="00BC7621" w:rsidRPr="00D204C3">
        <w:t>the year ending December 2021</w:t>
      </w:r>
      <w:r w:rsidRPr="00D204C3">
        <w:t xml:space="preserve"> than others, indicating a change in how Australians</w:t>
      </w:r>
      <w:r w:rsidR="00BE5776">
        <w:t xml:space="preserve"> are</w:t>
      </w:r>
      <w:r w:rsidRPr="00D204C3">
        <w:t xml:space="preserve"> travel</w:t>
      </w:r>
      <w:r w:rsidR="00BE5776">
        <w:t>ling</w:t>
      </w:r>
      <w:r w:rsidRPr="00D204C3">
        <w:t xml:space="preserve"> during </w:t>
      </w:r>
      <w:r w:rsidR="007C204D" w:rsidRPr="00D204C3">
        <w:t>the pandemic</w:t>
      </w:r>
      <w:r w:rsidRPr="00D204C3">
        <w:t xml:space="preserve">. </w:t>
      </w:r>
      <w:r w:rsidR="00B94C35" w:rsidRPr="00D204C3">
        <w:t xml:space="preserve">Travel segments less impacted by </w:t>
      </w:r>
      <w:r w:rsidR="008E1D7B">
        <w:t>COVID</w:t>
      </w:r>
      <w:r w:rsidR="007C204D" w:rsidRPr="00D204C3">
        <w:t>-19</w:t>
      </w:r>
      <w:r w:rsidR="00B94C35" w:rsidRPr="00D204C3">
        <w:t xml:space="preserve"> were</w:t>
      </w:r>
      <w:r w:rsidRPr="00D204C3">
        <w:t>:</w:t>
      </w:r>
    </w:p>
    <w:p w14:paraId="3BD2F525" w14:textId="4EE2AB67" w:rsidR="0020670F" w:rsidRPr="00D204C3" w:rsidRDefault="00113B87" w:rsidP="0020670F">
      <w:pPr>
        <w:pStyle w:val="ListParagraph"/>
        <w:numPr>
          <w:ilvl w:val="0"/>
          <w:numId w:val="25"/>
        </w:numPr>
        <w:rPr>
          <w:rFonts w:asciiTheme="minorHAnsi" w:hAnsiTheme="minorHAnsi" w:cstheme="minorBidi"/>
          <w:lang w:eastAsia="zh-CN"/>
        </w:rPr>
      </w:pPr>
      <w:r w:rsidRPr="00D204C3">
        <w:rPr>
          <w:rFonts w:asciiTheme="minorHAnsi" w:hAnsiTheme="minorHAnsi" w:cstheme="minorBidi"/>
          <w:lang w:eastAsia="zh-CN"/>
        </w:rPr>
        <w:t>h</w:t>
      </w:r>
      <w:r w:rsidR="0020670F" w:rsidRPr="00D204C3">
        <w:rPr>
          <w:rFonts w:asciiTheme="minorHAnsi" w:hAnsiTheme="minorHAnsi" w:cstheme="minorBidi"/>
          <w:lang w:eastAsia="zh-CN"/>
        </w:rPr>
        <w:t>oliday</w:t>
      </w:r>
      <w:r w:rsidR="00B94C35" w:rsidRPr="00D204C3">
        <w:rPr>
          <w:rFonts w:asciiTheme="minorHAnsi" w:hAnsiTheme="minorHAnsi" w:cstheme="minorBidi"/>
          <w:lang w:eastAsia="zh-CN"/>
        </w:rPr>
        <w:t xml:space="preserve"> travel</w:t>
      </w:r>
      <w:r w:rsidR="0020670F" w:rsidRPr="00D204C3">
        <w:rPr>
          <w:rFonts w:asciiTheme="minorHAnsi" w:hAnsiTheme="minorHAnsi" w:cstheme="minorBidi"/>
          <w:lang w:eastAsia="zh-CN"/>
        </w:rPr>
        <w:t xml:space="preserve"> (down 20%), </w:t>
      </w:r>
      <w:r w:rsidR="00B94C35" w:rsidRPr="00D204C3">
        <w:rPr>
          <w:rFonts w:asciiTheme="minorHAnsi" w:hAnsiTheme="minorHAnsi" w:cstheme="minorBidi"/>
          <w:lang w:eastAsia="zh-CN"/>
        </w:rPr>
        <w:t>compared to</w:t>
      </w:r>
      <w:r w:rsidR="0020670F" w:rsidRPr="00D204C3">
        <w:rPr>
          <w:rFonts w:asciiTheme="minorHAnsi" w:hAnsiTheme="minorHAnsi" w:cstheme="minorBidi"/>
          <w:lang w:eastAsia="zh-CN"/>
        </w:rPr>
        <w:t xml:space="preserve"> travel for business (down 47%) or </w:t>
      </w:r>
      <w:r w:rsidR="0013397D">
        <w:rPr>
          <w:rFonts w:asciiTheme="minorHAnsi" w:hAnsiTheme="minorHAnsi" w:cstheme="minorBidi"/>
          <w:lang w:eastAsia="zh-CN"/>
        </w:rPr>
        <w:t>v</w:t>
      </w:r>
      <w:r w:rsidR="0020670F" w:rsidRPr="00D204C3">
        <w:rPr>
          <w:rFonts w:asciiTheme="minorHAnsi" w:hAnsiTheme="minorHAnsi" w:cstheme="minorBidi"/>
          <w:lang w:eastAsia="zh-CN"/>
        </w:rPr>
        <w:t>isit</w:t>
      </w:r>
      <w:r w:rsidR="00DE06D1" w:rsidRPr="00D204C3">
        <w:rPr>
          <w:rFonts w:asciiTheme="minorHAnsi" w:hAnsiTheme="minorHAnsi" w:cstheme="minorBidi"/>
          <w:lang w:eastAsia="zh-CN"/>
        </w:rPr>
        <w:t>ing</w:t>
      </w:r>
      <w:r w:rsidR="0020670F" w:rsidRPr="00D204C3">
        <w:rPr>
          <w:rFonts w:asciiTheme="minorHAnsi" w:hAnsiTheme="minorHAnsi" w:cstheme="minorBidi"/>
          <w:lang w:eastAsia="zh-CN"/>
        </w:rPr>
        <w:t xml:space="preserve"> </w:t>
      </w:r>
      <w:r w:rsidR="0013397D">
        <w:rPr>
          <w:rFonts w:asciiTheme="minorHAnsi" w:hAnsiTheme="minorHAnsi" w:cstheme="minorBidi"/>
          <w:lang w:eastAsia="zh-CN"/>
        </w:rPr>
        <w:t>f</w:t>
      </w:r>
      <w:r w:rsidR="0020670F" w:rsidRPr="00D204C3">
        <w:rPr>
          <w:rFonts w:asciiTheme="minorHAnsi" w:hAnsiTheme="minorHAnsi" w:cstheme="minorBidi"/>
          <w:lang w:eastAsia="zh-CN"/>
        </w:rPr>
        <w:t xml:space="preserve">riends and </w:t>
      </w:r>
      <w:r w:rsidR="0013397D">
        <w:rPr>
          <w:rFonts w:asciiTheme="minorHAnsi" w:hAnsiTheme="minorHAnsi" w:cstheme="minorBidi"/>
          <w:lang w:eastAsia="zh-CN"/>
        </w:rPr>
        <w:t>r</w:t>
      </w:r>
      <w:r w:rsidR="0020670F" w:rsidRPr="00D204C3">
        <w:rPr>
          <w:rFonts w:asciiTheme="minorHAnsi" w:hAnsiTheme="minorHAnsi" w:cstheme="minorBidi"/>
          <w:lang w:eastAsia="zh-CN"/>
        </w:rPr>
        <w:t>elatives (</w:t>
      </w:r>
      <w:r w:rsidR="00693636" w:rsidRPr="00D204C3">
        <w:rPr>
          <w:rFonts w:asciiTheme="minorHAnsi" w:hAnsiTheme="minorHAnsi" w:cstheme="minorBidi"/>
          <w:lang w:eastAsia="zh-CN"/>
        </w:rPr>
        <w:t xml:space="preserve">down </w:t>
      </w:r>
      <w:r w:rsidR="0020670F" w:rsidRPr="00D204C3">
        <w:rPr>
          <w:rFonts w:asciiTheme="minorHAnsi" w:hAnsiTheme="minorHAnsi" w:cstheme="minorBidi"/>
          <w:lang w:eastAsia="zh-CN"/>
        </w:rPr>
        <w:t>32%)</w:t>
      </w:r>
    </w:p>
    <w:p w14:paraId="551E356D" w14:textId="1E174423" w:rsidR="00B94C35" w:rsidRPr="00D204C3" w:rsidRDefault="00113B87" w:rsidP="0020670F">
      <w:pPr>
        <w:pStyle w:val="ListParagraph"/>
        <w:numPr>
          <w:ilvl w:val="0"/>
          <w:numId w:val="25"/>
        </w:numPr>
        <w:rPr>
          <w:rFonts w:asciiTheme="minorHAnsi" w:hAnsiTheme="minorHAnsi" w:cstheme="minorBidi"/>
          <w:lang w:eastAsia="zh-CN"/>
        </w:rPr>
      </w:pPr>
      <w:r w:rsidRPr="00D204C3">
        <w:rPr>
          <w:rFonts w:asciiTheme="minorHAnsi" w:hAnsiTheme="minorHAnsi" w:cstheme="minorBidi"/>
          <w:lang w:eastAsia="zh-CN"/>
        </w:rPr>
        <w:t>s</w:t>
      </w:r>
      <w:r w:rsidR="00B94C35" w:rsidRPr="00D204C3">
        <w:rPr>
          <w:rFonts w:asciiTheme="minorHAnsi" w:hAnsiTheme="minorHAnsi" w:cstheme="minorBidi"/>
          <w:lang w:eastAsia="zh-CN"/>
        </w:rPr>
        <w:t>elf-drive trips (down 20%), compared with air travel (down 57%)</w:t>
      </w:r>
    </w:p>
    <w:p w14:paraId="26DCE654" w14:textId="073DD544" w:rsidR="00B94C35" w:rsidRPr="00D204C3" w:rsidRDefault="001C43A2" w:rsidP="0020670F">
      <w:pPr>
        <w:pStyle w:val="ListParagraph"/>
        <w:numPr>
          <w:ilvl w:val="0"/>
          <w:numId w:val="25"/>
        </w:numPr>
        <w:rPr>
          <w:rFonts w:asciiTheme="minorHAnsi" w:hAnsiTheme="minorHAnsi" w:cstheme="minorBidi"/>
          <w:lang w:eastAsia="zh-CN"/>
        </w:rPr>
      </w:pPr>
      <w:r w:rsidRPr="00D204C3">
        <w:rPr>
          <w:rFonts w:asciiTheme="minorHAnsi" w:hAnsiTheme="minorHAnsi" w:cstheme="minorBidi"/>
          <w:lang w:eastAsia="zh-CN"/>
        </w:rPr>
        <w:t>n</w:t>
      </w:r>
      <w:r w:rsidR="00B94C35" w:rsidRPr="00D204C3">
        <w:rPr>
          <w:rFonts w:asciiTheme="minorHAnsi" w:hAnsiTheme="minorHAnsi" w:cstheme="minorBidi"/>
          <w:lang w:eastAsia="zh-CN"/>
        </w:rPr>
        <w:t>ights spen</w:t>
      </w:r>
      <w:r w:rsidR="00113B87" w:rsidRPr="00D204C3">
        <w:rPr>
          <w:rFonts w:asciiTheme="minorHAnsi" w:hAnsiTheme="minorHAnsi" w:cstheme="minorBidi"/>
          <w:lang w:eastAsia="zh-CN"/>
        </w:rPr>
        <w:t>t</w:t>
      </w:r>
      <w:r w:rsidR="00B94C35" w:rsidRPr="00D204C3">
        <w:rPr>
          <w:rFonts w:asciiTheme="minorHAnsi" w:hAnsiTheme="minorHAnsi" w:cstheme="minorBidi"/>
          <w:lang w:eastAsia="zh-CN"/>
        </w:rPr>
        <w:t xml:space="preserve"> in private accommodation including Airbnb (</w:t>
      </w:r>
      <w:r w:rsidR="002376C5" w:rsidRPr="00D204C3">
        <w:rPr>
          <w:rFonts w:asciiTheme="minorHAnsi" w:hAnsiTheme="minorHAnsi" w:cstheme="minorBidi"/>
          <w:lang w:eastAsia="zh-CN"/>
        </w:rPr>
        <w:t>up 2%</w:t>
      </w:r>
      <w:r w:rsidR="00B94C35" w:rsidRPr="00D204C3">
        <w:rPr>
          <w:rFonts w:asciiTheme="minorHAnsi" w:hAnsiTheme="minorHAnsi" w:cstheme="minorBidi"/>
          <w:lang w:eastAsia="zh-CN"/>
        </w:rPr>
        <w:t>)</w:t>
      </w:r>
      <w:r w:rsidR="00176A44" w:rsidRPr="00D204C3">
        <w:rPr>
          <w:rFonts w:asciiTheme="minorHAnsi" w:hAnsiTheme="minorHAnsi" w:cstheme="minorBidi"/>
          <w:lang w:eastAsia="zh-CN"/>
        </w:rPr>
        <w:t>,</w:t>
      </w:r>
      <w:r w:rsidR="002376C5" w:rsidRPr="00D204C3">
        <w:rPr>
          <w:rFonts w:asciiTheme="minorHAnsi" w:hAnsiTheme="minorHAnsi" w:cstheme="minorBidi"/>
          <w:lang w:eastAsia="zh-CN"/>
        </w:rPr>
        <w:t xml:space="preserve"> compared with hotels (down 34%)</w:t>
      </w:r>
    </w:p>
    <w:p w14:paraId="5CB85CB0" w14:textId="035C5A98" w:rsidR="002376C5" w:rsidRPr="00D204C3" w:rsidRDefault="00113B87" w:rsidP="0020670F">
      <w:pPr>
        <w:pStyle w:val="ListParagraph"/>
        <w:numPr>
          <w:ilvl w:val="0"/>
          <w:numId w:val="25"/>
        </w:numPr>
        <w:rPr>
          <w:rFonts w:asciiTheme="minorHAnsi" w:hAnsiTheme="minorHAnsi" w:cstheme="minorBidi"/>
          <w:lang w:eastAsia="zh-CN"/>
        </w:rPr>
      </w:pPr>
      <w:r w:rsidRPr="00D204C3">
        <w:rPr>
          <w:rFonts w:asciiTheme="minorHAnsi" w:hAnsiTheme="minorHAnsi" w:cstheme="minorBidi"/>
          <w:lang w:eastAsia="zh-CN"/>
        </w:rPr>
        <w:t>t</w:t>
      </w:r>
      <w:r w:rsidR="002376C5" w:rsidRPr="00D204C3">
        <w:rPr>
          <w:rFonts w:asciiTheme="minorHAnsi" w:hAnsiTheme="minorHAnsi" w:cstheme="minorBidi"/>
          <w:lang w:eastAsia="zh-CN"/>
        </w:rPr>
        <w:t>rips taken by groups including children (down 20%)</w:t>
      </w:r>
      <w:r w:rsidRPr="00D204C3">
        <w:rPr>
          <w:rFonts w:asciiTheme="minorHAnsi" w:hAnsiTheme="minorHAnsi" w:cstheme="minorBidi"/>
          <w:lang w:eastAsia="zh-CN"/>
        </w:rPr>
        <w:t xml:space="preserve"> and couples (</w:t>
      </w:r>
      <w:r w:rsidR="00280A82">
        <w:rPr>
          <w:rFonts w:asciiTheme="minorHAnsi" w:hAnsiTheme="minorHAnsi" w:cstheme="minorBidi"/>
          <w:lang w:eastAsia="zh-CN"/>
        </w:rPr>
        <w:t xml:space="preserve">down </w:t>
      </w:r>
      <w:r w:rsidRPr="00D204C3">
        <w:rPr>
          <w:rFonts w:asciiTheme="minorHAnsi" w:hAnsiTheme="minorHAnsi" w:cstheme="minorBidi"/>
          <w:lang w:eastAsia="zh-CN"/>
        </w:rPr>
        <w:t>24%)</w:t>
      </w:r>
      <w:r w:rsidR="002376C5" w:rsidRPr="00D204C3">
        <w:rPr>
          <w:rFonts w:asciiTheme="minorHAnsi" w:hAnsiTheme="minorHAnsi" w:cstheme="minorBidi"/>
          <w:lang w:eastAsia="zh-CN"/>
        </w:rPr>
        <w:t xml:space="preserve"> compared with travelling alone (down 34%)</w:t>
      </w:r>
    </w:p>
    <w:p w14:paraId="6D8F06E4" w14:textId="68F3CBD8" w:rsidR="00113B87" w:rsidRPr="00D204C3" w:rsidRDefault="00113B87" w:rsidP="0020670F">
      <w:pPr>
        <w:pStyle w:val="ListParagraph"/>
        <w:numPr>
          <w:ilvl w:val="0"/>
          <w:numId w:val="25"/>
        </w:numPr>
        <w:rPr>
          <w:rFonts w:asciiTheme="minorHAnsi" w:hAnsiTheme="minorHAnsi" w:cstheme="minorBidi"/>
          <w:lang w:eastAsia="zh-CN"/>
        </w:rPr>
      </w:pPr>
      <w:r w:rsidRPr="00D204C3">
        <w:rPr>
          <w:rFonts w:asciiTheme="minorHAnsi" w:hAnsiTheme="minorHAnsi" w:cstheme="minorBidi"/>
          <w:lang w:eastAsia="zh-CN"/>
        </w:rPr>
        <w:t>longer trips of 4+ nights (down 21%), compared with shorter drips (down 34%).</w:t>
      </w:r>
    </w:p>
    <w:p w14:paraId="7A46D28A" w14:textId="77777777" w:rsidR="00113B87" w:rsidRPr="00D204C3" w:rsidRDefault="00113B87" w:rsidP="001C43A2">
      <w:pPr>
        <w:pStyle w:val="ListParagraph"/>
        <w:rPr>
          <w:rFonts w:asciiTheme="minorHAnsi" w:hAnsiTheme="minorHAnsi" w:cstheme="minorBidi"/>
          <w:lang w:eastAsia="zh-CN"/>
        </w:rPr>
      </w:pPr>
    </w:p>
    <w:p w14:paraId="2AF580E6" w14:textId="5D92A5C8" w:rsidR="00113B87" w:rsidRPr="00D204C3" w:rsidRDefault="00113B87" w:rsidP="001C43A2">
      <w:r w:rsidRPr="00D204C3">
        <w:t xml:space="preserve">Activities participated in during trips also differed in their impact by </w:t>
      </w:r>
      <w:r w:rsidR="008E1D7B">
        <w:t>COVID-19</w:t>
      </w:r>
      <w:r w:rsidRPr="00D204C3">
        <w:t xml:space="preserve">: </w:t>
      </w:r>
    </w:p>
    <w:p w14:paraId="2AB8359B" w14:textId="4499E5DE" w:rsidR="00113B87" w:rsidRPr="00D204C3" w:rsidRDefault="002376C5" w:rsidP="0020670F">
      <w:pPr>
        <w:pStyle w:val="ListParagraph"/>
        <w:numPr>
          <w:ilvl w:val="0"/>
          <w:numId w:val="25"/>
        </w:numPr>
        <w:rPr>
          <w:rFonts w:asciiTheme="minorHAnsi" w:hAnsiTheme="minorHAnsi" w:cstheme="minorBidi"/>
          <w:lang w:eastAsia="zh-CN"/>
        </w:rPr>
      </w:pPr>
      <w:r w:rsidRPr="00D204C3">
        <w:rPr>
          <w:rFonts w:asciiTheme="minorHAnsi" w:hAnsiTheme="minorHAnsi" w:cstheme="minorBidi"/>
          <w:lang w:eastAsia="zh-CN"/>
        </w:rPr>
        <w:t>outdoor activities such as snorkelling (up 17%), birdwatching (up 5%), bushwalking (up 3%)</w:t>
      </w:r>
      <w:r w:rsidR="00113B87" w:rsidRPr="00D204C3">
        <w:rPr>
          <w:rFonts w:asciiTheme="minorHAnsi" w:hAnsiTheme="minorHAnsi" w:cstheme="minorBidi"/>
          <w:lang w:eastAsia="zh-CN"/>
        </w:rPr>
        <w:t xml:space="preserve"> and</w:t>
      </w:r>
      <w:r w:rsidRPr="00D204C3">
        <w:rPr>
          <w:rFonts w:asciiTheme="minorHAnsi" w:hAnsiTheme="minorHAnsi" w:cstheme="minorBidi"/>
          <w:lang w:eastAsia="zh-CN"/>
        </w:rPr>
        <w:t xml:space="preserve"> cycling (down 1%)</w:t>
      </w:r>
      <w:r w:rsidR="00113B87" w:rsidRPr="00D204C3">
        <w:rPr>
          <w:rFonts w:asciiTheme="minorHAnsi" w:hAnsiTheme="minorHAnsi" w:cstheme="minorBidi"/>
          <w:lang w:eastAsia="zh-CN"/>
        </w:rPr>
        <w:t xml:space="preserve"> were less impacted</w:t>
      </w:r>
    </w:p>
    <w:p w14:paraId="5AD7AC0C" w14:textId="422685EA" w:rsidR="002376C5" w:rsidRPr="00D204C3" w:rsidRDefault="00DE06D1" w:rsidP="001C43A2">
      <w:pPr>
        <w:pStyle w:val="ListParagraph"/>
        <w:numPr>
          <w:ilvl w:val="0"/>
          <w:numId w:val="25"/>
        </w:numPr>
        <w:rPr>
          <w:rFonts w:asciiTheme="minorHAnsi" w:hAnsiTheme="minorHAnsi" w:cstheme="minorBidi"/>
          <w:lang w:eastAsia="zh-CN"/>
        </w:rPr>
      </w:pPr>
      <w:r w:rsidRPr="00D204C3">
        <w:rPr>
          <w:rFonts w:asciiTheme="minorHAnsi" w:hAnsiTheme="minorHAnsi" w:cstheme="minorBidi"/>
          <w:lang w:eastAsia="zh-CN"/>
        </w:rPr>
        <w:t>activities such as attending</w:t>
      </w:r>
      <w:r w:rsidR="002376C5" w:rsidRPr="00D204C3">
        <w:rPr>
          <w:rFonts w:asciiTheme="minorHAnsi" w:hAnsiTheme="minorHAnsi" w:cstheme="minorBidi"/>
          <w:lang w:eastAsia="zh-CN"/>
        </w:rPr>
        <w:t xml:space="preserve"> festivals (down 65%), cinemas (down 62%), theatres/concerts</w:t>
      </w:r>
      <w:r w:rsidRPr="00D204C3">
        <w:rPr>
          <w:rFonts w:asciiTheme="minorHAnsi" w:hAnsiTheme="minorHAnsi" w:cstheme="minorBidi"/>
          <w:lang w:eastAsia="zh-CN"/>
        </w:rPr>
        <w:t>/sporting events</w:t>
      </w:r>
      <w:r w:rsidR="002376C5" w:rsidRPr="00D204C3">
        <w:rPr>
          <w:rFonts w:asciiTheme="minorHAnsi" w:hAnsiTheme="minorHAnsi" w:cstheme="minorBidi"/>
          <w:lang w:eastAsia="zh-CN"/>
        </w:rPr>
        <w:t xml:space="preserve"> (down </w:t>
      </w:r>
      <w:r w:rsidRPr="00D204C3">
        <w:rPr>
          <w:rFonts w:asciiTheme="minorHAnsi" w:hAnsiTheme="minorHAnsi" w:cstheme="minorBidi"/>
          <w:lang w:eastAsia="zh-CN"/>
        </w:rPr>
        <w:t>61</w:t>
      </w:r>
      <w:r w:rsidR="002376C5" w:rsidRPr="00D204C3">
        <w:rPr>
          <w:rFonts w:asciiTheme="minorHAnsi" w:hAnsiTheme="minorHAnsi" w:cstheme="minorBidi"/>
          <w:lang w:eastAsia="zh-CN"/>
        </w:rPr>
        <w:t>%),</w:t>
      </w:r>
      <w:r w:rsidRPr="00D204C3">
        <w:rPr>
          <w:rFonts w:asciiTheme="minorHAnsi" w:hAnsiTheme="minorHAnsi" w:cstheme="minorBidi"/>
          <w:lang w:eastAsia="zh-CN"/>
        </w:rPr>
        <w:t xml:space="preserve"> visiting casinos (down 49%)</w:t>
      </w:r>
      <w:r w:rsidR="002376C5" w:rsidRPr="00D204C3">
        <w:rPr>
          <w:rFonts w:asciiTheme="minorHAnsi" w:hAnsiTheme="minorHAnsi" w:cstheme="minorBidi"/>
          <w:lang w:eastAsia="zh-CN"/>
        </w:rPr>
        <w:t xml:space="preserve"> </w:t>
      </w:r>
      <w:r w:rsidRPr="00D204C3">
        <w:rPr>
          <w:rFonts w:asciiTheme="minorHAnsi" w:hAnsiTheme="minorHAnsi" w:cstheme="minorBidi"/>
          <w:lang w:eastAsia="zh-CN"/>
        </w:rPr>
        <w:t xml:space="preserve">and </w:t>
      </w:r>
      <w:r w:rsidR="002376C5" w:rsidRPr="00D204C3">
        <w:rPr>
          <w:rFonts w:asciiTheme="minorHAnsi" w:hAnsiTheme="minorHAnsi" w:cstheme="minorBidi"/>
          <w:lang w:eastAsia="zh-CN"/>
        </w:rPr>
        <w:t>amusement parks (down 42%)</w:t>
      </w:r>
      <w:r w:rsidR="00176A44" w:rsidRPr="00D204C3">
        <w:rPr>
          <w:rFonts w:asciiTheme="minorHAnsi" w:hAnsiTheme="minorHAnsi" w:cstheme="minorBidi"/>
          <w:lang w:eastAsia="zh-CN"/>
        </w:rPr>
        <w:t>, and eating out at restaurants (down 38%)</w:t>
      </w:r>
      <w:r w:rsidRPr="00D204C3">
        <w:rPr>
          <w:rFonts w:asciiTheme="minorHAnsi" w:hAnsiTheme="minorHAnsi" w:cstheme="minorBidi"/>
          <w:lang w:eastAsia="zh-CN"/>
        </w:rPr>
        <w:t xml:space="preserve"> were significantly down </w:t>
      </w:r>
      <w:proofErr w:type="gramStart"/>
      <w:r w:rsidRPr="00D204C3">
        <w:rPr>
          <w:rFonts w:asciiTheme="minorHAnsi" w:hAnsiTheme="minorHAnsi" w:cstheme="minorBidi"/>
          <w:lang w:eastAsia="zh-CN"/>
        </w:rPr>
        <w:t>on</w:t>
      </w:r>
      <w:proofErr w:type="gramEnd"/>
      <w:r w:rsidRPr="00D204C3">
        <w:rPr>
          <w:rFonts w:asciiTheme="minorHAnsi" w:hAnsiTheme="minorHAnsi" w:cstheme="minorBidi"/>
          <w:lang w:eastAsia="zh-CN"/>
        </w:rPr>
        <w:t xml:space="preserve"> 2019.</w:t>
      </w:r>
    </w:p>
    <w:p w14:paraId="5DC93E0B" w14:textId="77777777" w:rsidR="00BC7621" w:rsidRPr="00D204C3" w:rsidRDefault="00BC7621" w:rsidP="001C43A2"/>
    <w:p w14:paraId="17CC8034" w14:textId="137F0A09" w:rsidR="00591B22" w:rsidRPr="00D204C3" w:rsidRDefault="00591B22" w:rsidP="00DA0CE4">
      <w:pPr>
        <w:pStyle w:val="Heading2"/>
      </w:pPr>
      <w:r w:rsidRPr="00D204C3">
        <w:lastRenderedPageBreak/>
        <w:t>States and territories</w:t>
      </w:r>
    </w:p>
    <w:p w14:paraId="3573D0F5" w14:textId="05B50EC8" w:rsidR="009A1DD8" w:rsidRPr="00D204C3" w:rsidRDefault="00591B22" w:rsidP="00591B22">
      <w:r w:rsidRPr="00D204C3">
        <w:t xml:space="preserve">COVID-19 impacts have reduced domestic overnight travel across all states and territories during the year ending </w:t>
      </w:r>
      <w:r w:rsidR="00DA0CE4" w:rsidRPr="00D204C3">
        <w:t>Dece</w:t>
      </w:r>
      <w:r w:rsidRPr="00D204C3">
        <w:t xml:space="preserve">mber 2021 for visitors and spend (Figure </w:t>
      </w:r>
      <w:r w:rsidR="0013397D">
        <w:t>5</w:t>
      </w:r>
      <w:r w:rsidRPr="00D204C3">
        <w:t xml:space="preserve">). </w:t>
      </w:r>
      <w:r w:rsidR="00B62147" w:rsidRPr="00D204C3">
        <w:t xml:space="preserve">The </w:t>
      </w:r>
      <w:r w:rsidR="00775DA3" w:rsidRPr="00D204C3">
        <w:t>states</w:t>
      </w:r>
      <w:r w:rsidR="00B62147" w:rsidRPr="00D204C3">
        <w:t xml:space="preserve"> and territories most impacted by the pandemic in 2021</w:t>
      </w:r>
      <w:r w:rsidR="00775DA3" w:rsidRPr="00D204C3">
        <w:t xml:space="preserve"> were the A</w:t>
      </w:r>
      <w:r w:rsidR="007C204D" w:rsidRPr="00D204C3">
        <w:t xml:space="preserve">ustralian Capital </w:t>
      </w:r>
      <w:r w:rsidR="000C43BC" w:rsidRPr="00D204C3">
        <w:t>T</w:t>
      </w:r>
      <w:r w:rsidR="007C204D" w:rsidRPr="00D204C3">
        <w:t>erritory</w:t>
      </w:r>
      <w:r w:rsidR="00775DA3" w:rsidRPr="00D204C3">
        <w:t>, Vic</w:t>
      </w:r>
      <w:r w:rsidR="007C204D" w:rsidRPr="00D204C3">
        <w:t>toria</w:t>
      </w:r>
      <w:r w:rsidR="00775DA3" w:rsidRPr="00D204C3">
        <w:t xml:space="preserve"> and </w:t>
      </w:r>
      <w:r w:rsidR="000C43BC" w:rsidRPr="00D204C3">
        <w:t>N</w:t>
      </w:r>
      <w:r w:rsidR="007C204D" w:rsidRPr="00D204C3">
        <w:t xml:space="preserve">ew </w:t>
      </w:r>
      <w:r w:rsidR="00775DA3" w:rsidRPr="00D204C3">
        <w:t>S</w:t>
      </w:r>
      <w:r w:rsidR="007C204D" w:rsidRPr="00D204C3">
        <w:t xml:space="preserve">outh </w:t>
      </w:r>
      <w:r w:rsidR="00775DA3" w:rsidRPr="00D204C3">
        <w:t>W</w:t>
      </w:r>
      <w:r w:rsidR="007C204D" w:rsidRPr="00D204C3">
        <w:t>ales</w:t>
      </w:r>
      <w:r w:rsidR="00775DA3" w:rsidRPr="00D204C3">
        <w:t>. The least impacted state was Western Australia.</w:t>
      </w:r>
    </w:p>
    <w:p w14:paraId="005D4C86" w14:textId="77777777" w:rsidR="009A1DD8" w:rsidRPr="00D204C3" w:rsidRDefault="009A1DD8" w:rsidP="00591B22"/>
    <w:p w14:paraId="499B6B74" w14:textId="49887223" w:rsidR="00591B22" w:rsidRPr="00D204C3" w:rsidRDefault="00591B22" w:rsidP="00591B22">
      <w:r w:rsidRPr="00D204C3">
        <w:rPr>
          <w:rFonts w:cs="AU Sans BETA Text Bold"/>
          <w:b/>
          <w:bCs/>
        </w:rPr>
        <w:t xml:space="preserve">Figure </w:t>
      </w:r>
      <w:r w:rsidR="00280A82">
        <w:rPr>
          <w:rFonts w:cs="AU Sans BETA Text Bold"/>
          <w:b/>
          <w:bCs/>
        </w:rPr>
        <w:t>5</w:t>
      </w:r>
      <w:r w:rsidRPr="00D204C3">
        <w:rPr>
          <w:rFonts w:cs="AU Sans BETA Text Bold"/>
          <w:b/>
          <w:bCs/>
        </w:rPr>
        <w:t>.</w:t>
      </w:r>
      <w:r w:rsidRPr="00D204C3">
        <w:t xml:space="preserve"> Overnight trips and spend by </w:t>
      </w:r>
      <w:r w:rsidR="00B62147" w:rsidRPr="00D204C3">
        <w:t>s</w:t>
      </w:r>
      <w:r w:rsidRPr="00D204C3">
        <w:t>tate</w:t>
      </w:r>
      <w:r w:rsidR="00B62147" w:rsidRPr="00D204C3">
        <w:t xml:space="preserve"> and territory</w:t>
      </w:r>
      <w:r w:rsidRPr="00D204C3">
        <w:t>,</w:t>
      </w:r>
      <w:r w:rsidR="0013397D">
        <w:t xml:space="preserve"> year ending</w:t>
      </w:r>
      <w:r w:rsidRPr="00D204C3">
        <w:t xml:space="preserve"> </w:t>
      </w:r>
      <w:r w:rsidR="002D1005" w:rsidRPr="00D204C3">
        <w:t>Dec</w:t>
      </w:r>
      <w:r w:rsidRPr="00D204C3">
        <w:t>ember 2021</w:t>
      </w:r>
      <w:r w:rsidRPr="00D204C3">
        <w:rPr>
          <w:rStyle w:val="FootnoteReference"/>
        </w:rPr>
        <w:footnoteReference w:id="2"/>
      </w:r>
      <w:r w:rsidR="007D3B7F" w:rsidRPr="00D204C3">
        <w:t>,</w:t>
      </w:r>
      <w:r w:rsidR="00C27472" w:rsidRPr="00D204C3">
        <w:rPr>
          <w:rStyle w:val="FootnoteReference"/>
        </w:rPr>
        <w:footnoteReference w:id="3"/>
      </w:r>
    </w:p>
    <w:p w14:paraId="7DC431DE" w14:textId="78ECF6EE" w:rsidR="00591B22" w:rsidRPr="00D204C3" w:rsidRDefault="00280A82" w:rsidP="00591B22">
      <w:r>
        <w:rPr>
          <w:noProof/>
        </w:rPr>
        <w:drawing>
          <wp:inline distT="0" distB="0" distL="0" distR="0" wp14:anchorId="35C9F423" wp14:editId="59A5AFF8">
            <wp:extent cx="5894442" cy="2819400"/>
            <wp:effectExtent l="0" t="0" r="0" b="0"/>
            <wp:docPr id="9" name="Picture 9" descr="An image of Australia that illustrates the number of visitors and spend in each state or territory for March 2020 to December 2021. The per cent change on the year ending December 2019 is also shown.&#10;New South Wales - 24.4 million visitors and $15.7 billion spend, down 38% and 34% respectively&#10;Victoria -  18.0 million visitors and $10.0 billion spend, down 40% and 41% respectively&#10;Queensland - 20.5 million visitors and $16.8 billion spend, down 21% and 14% respectively&#10;South Australia - 6.1 million visitors and $4.5 billion spend, down 25% and 14% respectively&#10;Western Australia - 9.8 million visitors and $8.3 billion spend, down 11% and 3% respectively&#10;Tasmania - 2.6 million visitors and $2.6 billion spend, down 18% and 6% respectively&#10;Northern Territory - 1.3 million visitors and $1.8 billion spend, down 25% and 16% respectively&#10;ACT - 1.7 million visitors and $1.0 billion spend, both dow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n image of Australia that illustrates the number of visitors and spend in each state or territory for March 2020 to December 2021. The per cent change on the year ending December 2019 is also shown.&#10;New South Wales - 24.4 million visitors and $15.7 billion spend, down 38% and 34% respectively&#10;Victoria -  18.0 million visitors and $10.0 billion spend, down 40% and 41% respectively&#10;Queensland - 20.5 million visitors and $16.8 billion spend, down 21% and 14% respectively&#10;South Australia - 6.1 million visitors and $4.5 billion spend, down 25% and 14% respectively&#10;Western Australia - 9.8 million visitors and $8.3 billion spend, down 11% and 3% respectively&#10;Tasmania - 2.6 million visitors and $2.6 billion spend, down 18% and 6% respectively&#10;Northern Territory - 1.3 million visitors and $1.8 billion spend, down 25% and 16% respectively&#10;ACT - 1.7 million visitors and $1.0 billion spend, both down 46%"/>
                    <pic:cNvPicPr/>
                  </pic:nvPicPr>
                  <pic:blipFill>
                    <a:blip r:embed="rId21"/>
                    <a:stretch>
                      <a:fillRect/>
                    </a:stretch>
                  </pic:blipFill>
                  <pic:spPr>
                    <a:xfrm>
                      <a:off x="0" y="0"/>
                      <a:ext cx="5903904" cy="2823926"/>
                    </a:xfrm>
                    <a:prstGeom prst="rect">
                      <a:avLst/>
                    </a:prstGeom>
                  </pic:spPr>
                </pic:pic>
              </a:graphicData>
            </a:graphic>
          </wp:inline>
        </w:drawing>
      </w:r>
    </w:p>
    <w:p w14:paraId="31EB6580" w14:textId="1BA5C294" w:rsidR="009A1DD8" w:rsidRDefault="009A1DD8" w:rsidP="00591B22">
      <w:pPr>
        <w:pStyle w:val="Caption"/>
      </w:pPr>
    </w:p>
    <w:p w14:paraId="41266369" w14:textId="78C07D18" w:rsidR="00827F3F" w:rsidRDefault="00827F3F" w:rsidP="00827F3F"/>
    <w:p w14:paraId="0B8C0CA4" w14:textId="16CD9A11" w:rsidR="00827F3F" w:rsidRDefault="00827F3F" w:rsidP="00827F3F"/>
    <w:p w14:paraId="689C3146" w14:textId="4B1B45FC" w:rsidR="00827F3F" w:rsidRDefault="00827F3F" w:rsidP="00827F3F"/>
    <w:p w14:paraId="7058C28A" w14:textId="182C1ADA" w:rsidR="00827F3F" w:rsidRDefault="00827F3F" w:rsidP="00827F3F"/>
    <w:p w14:paraId="6F0ED444" w14:textId="26F221F3" w:rsidR="00827F3F" w:rsidRDefault="00827F3F" w:rsidP="00827F3F"/>
    <w:p w14:paraId="320D3AD3" w14:textId="4096786F" w:rsidR="00827F3F" w:rsidRDefault="00827F3F" w:rsidP="00827F3F"/>
    <w:p w14:paraId="6797149C" w14:textId="29FEA028" w:rsidR="00827F3F" w:rsidRDefault="00827F3F" w:rsidP="00827F3F"/>
    <w:p w14:paraId="2852DF32" w14:textId="0E4951A4" w:rsidR="00827F3F" w:rsidRDefault="00827F3F" w:rsidP="00827F3F"/>
    <w:p w14:paraId="2BE2841A" w14:textId="2BF2A353" w:rsidR="00827F3F" w:rsidRDefault="00827F3F" w:rsidP="00827F3F"/>
    <w:p w14:paraId="167084BE" w14:textId="77777777" w:rsidR="00827F3F" w:rsidRPr="00827F3F" w:rsidRDefault="00827F3F" w:rsidP="00827F3F"/>
    <w:p w14:paraId="6C0AAC21" w14:textId="77777777" w:rsidR="00591B22" w:rsidRPr="00D204C3" w:rsidRDefault="00591B22" w:rsidP="00591B22">
      <w:pPr>
        <w:pStyle w:val="Caption"/>
      </w:pPr>
      <w:r w:rsidRPr="00D204C3">
        <w:t xml:space="preserve">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t>
      </w:r>
    </w:p>
    <w:p w14:paraId="06E1CEE2" w14:textId="707A59F5" w:rsidR="00591B22" w:rsidRPr="00591B22" w:rsidRDefault="00591B22" w:rsidP="00591B22">
      <w:pPr>
        <w:pStyle w:val="Caption"/>
      </w:pPr>
      <w:r w:rsidRPr="00D204C3">
        <w:t>While care has been taken to ensure the information in this report is accurate, the Commonwealth does not accept any liability for any loss arising from reliance on the information, or from any error or omission, in the report.</w:t>
      </w:r>
    </w:p>
    <w:sectPr w:rsidR="00591B22" w:rsidRPr="00591B22" w:rsidSect="004A0D20">
      <w:headerReference w:type="default" r:id="rId22"/>
      <w:footerReference w:type="default" r:id="rId23"/>
      <w:footerReference w:type="first" r:id="rId24"/>
      <w:footnotePr>
        <w:numStart w:val="2"/>
      </w:footnotePr>
      <w:pgSz w:w="11906" w:h="16838" w:code="9"/>
      <w:pgMar w:top="1021" w:right="1134" w:bottom="1474" w:left="1134"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7A27A" w14:textId="77777777" w:rsidR="0054060E" w:rsidRDefault="0054060E" w:rsidP="00D52B20">
      <w:pPr>
        <w:spacing w:after="0" w:line="240" w:lineRule="auto"/>
      </w:pPr>
      <w:r>
        <w:separator/>
      </w:r>
    </w:p>
  </w:endnote>
  <w:endnote w:type="continuationSeparator" w:id="0">
    <w:p w14:paraId="369246C4" w14:textId="77777777" w:rsidR="0054060E" w:rsidRDefault="0054060E"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U Sans BETA Text Light">
    <w:altName w:val="Calibri"/>
    <w:panose1 w:val="00000000000000000000"/>
    <w:charset w:val="00"/>
    <w:family w:val="swiss"/>
    <w:notTrueType/>
    <w:pitch w:val="default"/>
    <w:sig w:usb0="00000003" w:usb1="00000000" w:usb2="00000000" w:usb3="00000000" w:csb0="00000001" w:csb1="00000000"/>
  </w:font>
  <w:font w:name="AU Sans BETA Text Medium">
    <w:altName w:val="AU Sans BETA Text Medium"/>
    <w:panose1 w:val="00000000000000000000"/>
    <w:charset w:val="00"/>
    <w:family w:val="swiss"/>
    <w:notTrueType/>
    <w:pitch w:val="default"/>
    <w:sig w:usb0="00000003" w:usb1="00000000" w:usb2="00000000" w:usb3="00000000" w:csb0="00000001" w:csb1="00000000"/>
  </w:font>
  <w:font w:name="AU Sans BETA Text Bold">
    <w:altName w:val="Calibri"/>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4224D" w14:textId="7FC4A5F9" w:rsidR="006B3279" w:rsidRPr="006B3279" w:rsidRDefault="00F51B12" w:rsidP="006B3279">
    <w:pPr>
      <w:pStyle w:val="Footer"/>
    </w:pPr>
    <w:r>
      <w:t xml:space="preserve">TRAVEL BY AUSTRALIANS – Year Ending </w:t>
    </w:r>
    <w:r w:rsidR="002D1005">
      <w:t>Dec</w:t>
    </w:r>
    <w:r>
      <w:t>ember 2021, Tourism Research Australia</w:t>
    </w:r>
    <w:r w:rsidR="006B3279">
      <w:tab/>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343B9" w14:textId="5F5FBC74" w:rsidR="00B7523B" w:rsidRPr="00B7523B" w:rsidRDefault="00750D77" w:rsidP="00B7523B">
    <w:pPr>
      <w:pStyle w:val="Footer"/>
    </w:pPr>
    <w:r>
      <w:t xml:space="preserve">TRAVEL BY AUSTRALIANS – Year Ending </w:t>
    </w:r>
    <w:r w:rsidR="002F0987">
      <w:t>Dec</w:t>
    </w:r>
    <w:r>
      <w:t>ember 2021,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38C67" w14:textId="77777777" w:rsidR="0054060E" w:rsidRDefault="0054060E" w:rsidP="00D52B20">
      <w:pPr>
        <w:spacing w:after="0" w:line="240" w:lineRule="auto"/>
      </w:pPr>
    </w:p>
  </w:footnote>
  <w:footnote w:type="continuationSeparator" w:id="0">
    <w:p w14:paraId="7AB3D5E4" w14:textId="77777777" w:rsidR="0054060E" w:rsidRDefault="0054060E" w:rsidP="00D52B20">
      <w:pPr>
        <w:spacing w:after="0" w:line="240" w:lineRule="auto"/>
      </w:pPr>
      <w:r>
        <w:continuationSeparator/>
      </w:r>
    </w:p>
  </w:footnote>
  <w:footnote w:id="1">
    <w:p w14:paraId="6126AE04" w14:textId="49D92631" w:rsidR="00340D9C" w:rsidRPr="00C0062D" w:rsidRDefault="00827F3F" w:rsidP="00C0062D">
      <w:pPr>
        <w:pStyle w:val="FootnoteText"/>
        <w:rPr>
          <w:rStyle w:val="FootnoteReference"/>
          <w:sz w:val="14"/>
          <w:szCs w:val="14"/>
          <w:vertAlign w:val="baseline"/>
        </w:rPr>
      </w:pPr>
      <w:r>
        <w:rPr>
          <w:sz w:val="14"/>
          <w:szCs w:val="14"/>
        </w:rPr>
        <w:t>2</w:t>
      </w:r>
      <w:r w:rsidR="00C0062D" w:rsidRPr="00C0062D">
        <w:rPr>
          <w:rStyle w:val="FootnoteReference"/>
          <w:sz w:val="14"/>
          <w:szCs w:val="14"/>
          <w:vertAlign w:val="baseline"/>
        </w:rPr>
        <w:t xml:space="preserve"> The summing of individual months may result in slight differences due to rounding and weighting variations. </w:t>
      </w:r>
    </w:p>
    <w:p w14:paraId="5F9EB9CD" w14:textId="534CD777" w:rsidR="00340D9C" w:rsidRDefault="00340D9C">
      <w:pPr>
        <w:pStyle w:val="FootnoteText"/>
      </w:pPr>
    </w:p>
  </w:footnote>
  <w:footnote w:id="2">
    <w:p w14:paraId="032F0A1E" w14:textId="5FC987B2" w:rsidR="00591B22" w:rsidRPr="00591B22" w:rsidRDefault="00591B22" w:rsidP="00C27472">
      <w:pPr>
        <w:pStyle w:val="FootnoteText"/>
        <w:rPr>
          <w:rFonts w:cs="AU Sans BETA Text Light"/>
          <w:color w:val="000000"/>
          <w:sz w:val="14"/>
          <w:szCs w:val="14"/>
        </w:rPr>
      </w:pPr>
      <w:r>
        <w:rPr>
          <w:rStyle w:val="FootnoteReference"/>
        </w:rPr>
        <w:footnoteRef/>
      </w:r>
      <w:r>
        <w:t xml:space="preserve"> </w:t>
      </w:r>
      <w:r>
        <w:rPr>
          <w:rFonts w:cs="AU Sans BETA Text Light"/>
          <w:color w:val="000000"/>
          <w:sz w:val="14"/>
          <w:szCs w:val="14"/>
        </w:rPr>
        <w:t xml:space="preserve">The sum of the total number of visitors for each state will be greater than the total number of visitors for Australia due to individuals who visited more than one state. </w:t>
      </w:r>
    </w:p>
  </w:footnote>
  <w:footnote w:id="3">
    <w:p w14:paraId="72E6499C" w14:textId="65338EB1" w:rsidR="00C27472" w:rsidRDefault="00C27472">
      <w:pPr>
        <w:pStyle w:val="FootnoteText"/>
      </w:pPr>
      <w:r>
        <w:rPr>
          <w:rStyle w:val="FootnoteReference"/>
        </w:rPr>
        <w:footnoteRef/>
      </w:r>
      <w:r>
        <w:t xml:space="preserve"> </w:t>
      </w:r>
      <w:r>
        <w:rPr>
          <w:rFonts w:cs="AU Sans BETA Text Light"/>
          <w:color w:val="000000"/>
          <w:sz w:val="14"/>
          <w:szCs w:val="14"/>
        </w:rPr>
        <w:t>As the results for 2020 were a large deviation from pre-pandemic levels, summary results for 2021 are compared to 2019 pre-COVID periods.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CC5CE" w14:textId="77777777" w:rsidR="006B3279" w:rsidRDefault="00F5033A">
    <w:pPr>
      <w:pStyle w:val="Header"/>
    </w:pPr>
    <w:r>
      <w:rPr>
        <w:noProof/>
        <w:lang w:eastAsia="en-AU"/>
      </w:rPr>
      <mc:AlternateContent>
        <mc:Choice Requires="wps">
          <w:drawing>
            <wp:anchor distT="0" distB="0" distL="114300" distR="114300" simplePos="0" relativeHeight="251659264" behindDoc="1" locked="1" layoutInCell="1" allowOverlap="1" wp14:anchorId="5C822561" wp14:editId="05727CBA">
              <wp:simplePos x="368490" y="218364"/>
              <wp:positionH relativeFrom="column">
                <wp:align>center</wp:align>
              </wp:positionH>
              <wp:positionV relativeFrom="page">
                <wp:posOffset>288290</wp:posOffset>
              </wp:positionV>
              <wp:extent cx="6984000" cy="216000"/>
              <wp:effectExtent l="0" t="0" r="7620" b="0"/>
              <wp:wrapNone/>
              <wp:docPr id="2" name="Rectangle 2"/>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99BDA" id="Rectangle 2" o:spid="_x0000_s1026"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" fillcolor="#2e1a47 [3215]" stroked="f" strokeweight="2pt">
              <w10:wrap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4C6FBC6"/>
    <w:multiLevelType w:val="hybridMultilevel"/>
    <w:tmpl w:val="E4D152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A9C82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D8294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43C576C"/>
    <w:lvl w:ilvl="0">
      <w:start w:val="1"/>
      <w:numFmt w:val="lowerRoman"/>
      <w:lvlText w:val="%1."/>
      <w:lvlJc w:val="left"/>
      <w:pPr>
        <w:ind w:left="926" w:hanging="360"/>
      </w:pPr>
      <w:rPr>
        <w:rFonts w:hint="default"/>
        <w:b w:val="0"/>
        <w:i w:val="0"/>
        <w:color w:val="1E988A" w:themeColor="background2"/>
      </w:rPr>
    </w:lvl>
  </w:abstractNum>
  <w:abstractNum w:abstractNumId="4" w15:restartNumberingAfterBreak="0">
    <w:nsid w:val="FFFFFF7F"/>
    <w:multiLevelType w:val="singleLevel"/>
    <w:tmpl w:val="E77C3D88"/>
    <w:lvl w:ilvl="0">
      <w:start w:val="1"/>
      <w:numFmt w:val="lowerLetter"/>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color w:val="1E988A" w:themeColor="background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FFFFFF80"/>
    <w:multiLevelType w:val="singleLevel"/>
    <w:tmpl w:val="C5B89E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6188A5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30A5FE4"/>
    <w:lvl w:ilvl="0">
      <w:start w:val="1"/>
      <w:numFmt w:val="bullet"/>
      <w:lvlText w:val="–"/>
      <w:lvlJc w:val="left"/>
      <w:pPr>
        <w:ind w:left="927" w:hanging="360"/>
      </w:pPr>
      <w:rPr>
        <w:rFonts w:ascii="Calibri" w:hAnsi="Calibri" w:hint="default"/>
        <w:color w:val="1E988A" w:themeColor="accent3"/>
      </w:rPr>
    </w:lvl>
  </w:abstractNum>
  <w:abstractNum w:abstractNumId="8" w15:restartNumberingAfterBreak="0">
    <w:nsid w:val="FFFFFF83"/>
    <w:multiLevelType w:val="singleLevel"/>
    <w:tmpl w:val="402EB078"/>
    <w:lvl w:ilvl="0">
      <w:start w:val="1"/>
      <w:numFmt w:val="bullet"/>
      <w:lvlText w:val="–"/>
      <w:lvlJc w:val="left"/>
      <w:pPr>
        <w:ind w:left="644" w:hanging="360"/>
      </w:pPr>
      <w:rPr>
        <w:rFonts w:ascii="Calibri" w:hAnsi="Calibri" w:hint="default"/>
        <w:color w:val="1E988A" w:themeColor="accent3"/>
      </w:rPr>
    </w:lvl>
  </w:abstractNum>
  <w:abstractNum w:abstractNumId="9" w15:restartNumberingAfterBreak="0">
    <w:nsid w:val="FFFFFF89"/>
    <w:multiLevelType w:val="singleLevel"/>
    <w:tmpl w:val="DCAE9A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CC6"/>
    <w:multiLevelType w:val="hybridMultilevel"/>
    <w:tmpl w:val="8A0EA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4438DF"/>
    <w:multiLevelType w:val="hybridMultilevel"/>
    <w:tmpl w:val="FCA6F2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8AB0BD9"/>
    <w:multiLevelType w:val="hybridMultilevel"/>
    <w:tmpl w:val="70EC8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D573C9"/>
    <w:multiLevelType w:val="hybridMultilevel"/>
    <w:tmpl w:val="6780F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32C4A"/>
    <w:multiLevelType w:val="hybridMultilevel"/>
    <w:tmpl w:val="9F36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4C4B1D5F"/>
    <w:multiLevelType w:val="hybridMultilevel"/>
    <w:tmpl w:val="E7789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E87B7E"/>
    <w:multiLevelType w:val="hybridMultilevel"/>
    <w:tmpl w:val="D6AE5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2A1545"/>
    <w:multiLevelType w:val="hybridMultilevel"/>
    <w:tmpl w:val="4F049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CB09B3"/>
    <w:multiLevelType w:val="hybridMultilevel"/>
    <w:tmpl w:val="ABA21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DE0AD0"/>
    <w:multiLevelType w:val="hybridMultilevel"/>
    <w:tmpl w:val="F48A02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7"/>
  </w:num>
  <w:num w:numId="5">
    <w:abstractNumId w:val="6"/>
  </w:num>
  <w:num w:numId="6">
    <w:abstractNumId w:val="5"/>
  </w:num>
  <w:num w:numId="7">
    <w:abstractNumId w:val="17"/>
  </w:num>
  <w:num w:numId="8">
    <w:abstractNumId w:val="4"/>
  </w:num>
  <w:num w:numId="9">
    <w:abstractNumId w:val="3"/>
  </w:num>
  <w:num w:numId="10">
    <w:abstractNumId w:val="2"/>
  </w:num>
  <w:num w:numId="11">
    <w:abstractNumId w:val="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0"/>
  </w:num>
  <w:num w:numId="15">
    <w:abstractNumId w:val="12"/>
  </w:num>
  <w:num w:numId="16">
    <w:abstractNumId w:val="12"/>
  </w:num>
  <w:num w:numId="17">
    <w:abstractNumId w:val="13"/>
  </w:num>
  <w:num w:numId="18">
    <w:abstractNumId w:val="10"/>
  </w:num>
  <w:num w:numId="19">
    <w:abstractNumId w:val="18"/>
  </w:num>
  <w:num w:numId="20">
    <w:abstractNumId w:val="22"/>
  </w:num>
  <w:num w:numId="21">
    <w:abstractNumId w:val="14"/>
  </w:num>
  <w:num w:numId="22">
    <w:abstractNumId w:val="19"/>
  </w:num>
  <w:num w:numId="23">
    <w:abstractNumId w:val="20"/>
  </w:num>
  <w:num w:numId="24">
    <w:abstractNumId w:val="21"/>
  </w:num>
  <w:num w:numId="25">
    <w:abstractNumId w:val="15"/>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56CF"/>
    <w:rsid w:val="00007835"/>
    <w:rsid w:val="00007E6F"/>
    <w:rsid w:val="000258DE"/>
    <w:rsid w:val="00071E18"/>
    <w:rsid w:val="00080E22"/>
    <w:rsid w:val="00082067"/>
    <w:rsid w:val="00086C3F"/>
    <w:rsid w:val="00096ED6"/>
    <w:rsid w:val="000B627D"/>
    <w:rsid w:val="000C43BC"/>
    <w:rsid w:val="000D05DD"/>
    <w:rsid w:val="000D11ED"/>
    <w:rsid w:val="000E7BA2"/>
    <w:rsid w:val="000F1352"/>
    <w:rsid w:val="000F3126"/>
    <w:rsid w:val="000F3F9A"/>
    <w:rsid w:val="0010593E"/>
    <w:rsid w:val="00110B6B"/>
    <w:rsid w:val="00111C50"/>
    <w:rsid w:val="00113B87"/>
    <w:rsid w:val="00121799"/>
    <w:rsid w:val="00132683"/>
    <w:rsid w:val="0013397D"/>
    <w:rsid w:val="001412FD"/>
    <w:rsid w:val="0016215E"/>
    <w:rsid w:val="00165E47"/>
    <w:rsid w:val="00167250"/>
    <w:rsid w:val="00174A50"/>
    <w:rsid w:val="00174B20"/>
    <w:rsid w:val="00176A44"/>
    <w:rsid w:val="00177AC9"/>
    <w:rsid w:val="001A50D9"/>
    <w:rsid w:val="001B3311"/>
    <w:rsid w:val="001B7065"/>
    <w:rsid w:val="001C43A2"/>
    <w:rsid w:val="001E0769"/>
    <w:rsid w:val="001E1037"/>
    <w:rsid w:val="001E33B7"/>
    <w:rsid w:val="001F5A0A"/>
    <w:rsid w:val="00200A49"/>
    <w:rsid w:val="002012F6"/>
    <w:rsid w:val="0020657C"/>
    <w:rsid w:val="0020670F"/>
    <w:rsid w:val="00215D34"/>
    <w:rsid w:val="00223B2F"/>
    <w:rsid w:val="00223B43"/>
    <w:rsid w:val="002259D6"/>
    <w:rsid w:val="002312D1"/>
    <w:rsid w:val="002376C5"/>
    <w:rsid w:val="00241C1A"/>
    <w:rsid w:val="00255B47"/>
    <w:rsid w:val="00273412"/>
    <w:rsid w:val="00274E7F"/>
    <w:rsid w:val="002771A0"/>
    <w:rsid w:val="00277B6D"/>
    <w:rsid w:val="00280A82"/>
    <w:rsid w:val="002864E8"/>
    <w:rsid w:val="002C1647"/>
    <w:rsid w:val="002D1005"/>
    <w:rsid w:val="002D2648"/>
    <w:rsid w:val="002D27F1"/>
    <w:rsid w:val="002D7EDD"/>
    <w:rsid w:val="002E0AC1"/>
    <w:rsid w:val="002E48C1"/>
    <w:rsid w:val="002F0987"/>
    <w:rsid w:val="002F35A2"/>
    <w:rsid w:val="002F4B83"/>
    <w:rsid w:val="002F5987"/>
    <w:rsid w:val="00340D9C"/>
    <w:rsid w:val="003573C9"/>
    <w:rsid w:val="003616C0"/>
    <w:rsid w:val="00374CF6"/>
    <w:rsid w:val="00375265"/>
    <w:rsid w:val="00376485"/>
    <w:rsid w:val="00377D1C"/>
    <w:rsid w:val="0038333D"/>
    <w:rsid w:val="00386C13"/>
    <w:rsid w:val="00397239"/>
    <w:rsid w:val="003A04F7"/>
    <w:rsid w:val="003A427A"/>
    <w:rsid w:val="003A7509"/>
    <w:rsid w:val="003B24E8"/>
    <w:rsid w:val="003D5FE0"/>
    <w:rsid w:val="003E704E"/>
    <w:rsid w:val="00420E6E"/>
    <w:rsid w:val="0042201B"/>
    <w:rsid w:val="004316FE"/>
    <w:rsid w:val="0043585B"/>
    <w:rsid w:val="00442733"/>
    <w:rsid w:val="00444B7B"/>
    <w:rsid w:val="00452B90"/>
    <w:rsid w:val="00454D44"/>
    <w:rsid w:val="0046114D"/>
    <w:rsid w:val="00462CFD"/>
    <w:rsid w:val="00465848"/>
    <w:rsid w:val="004736F2"/>
    <w:rsid w:val="004816B1"/>
    <w:rsid w:val="00491EBC"/>
    <w:rsid w:val="004A01B1"/>
    <w:rsid w:val="004A0D20"/>
    <w:rsid w:val="004A5042"/>
    <w:rsid w:val="004B2FDC"/>
    <w:rsid w:val="004B6969"/>
    <w:rsid w:val="004F5C4D"/>
    <w:rsid w:val="0051222F"/>
    <w:rsid w:val="00513F6D"/>
    <w:rsid w:val="00523CFF"/>
    <w:rsid w:val="005306C9"/>
    <w:rsid w:val="0054060E"/>
    <w:rsid w:val="0054151E"/>
    <w:rsid w:val="005435AF"/>
    <w:rsid w:val="00544F35"/>
    <w:rsid w:val="00556BE4"/>
    <w:rsid w:val="005604E3"/>
    <w:rsid w:val="005648C7"/>
    <w:rsid w:val="00572276"/>
    <w:rsid w:val="0059110F"/>
    <w:rsid w:val="00591B22"/>
    <w:rsid w:val="00594767"/>
    <w:rsid w:val="005A324E"/>
    <w:rsid w:val="005D2F98"/>
    <w:rsid w:val="005F6C65"/>
    <w:rsid w:val="00610CDC"/>
    <w:rsid w:val="006145A0"/>
    <w:rsid w:val="00621484"/>
    <w:rsid w:val="00627C77"/>
    <w:rsid w:val="00627FEF"/>
    <w:rsid w:val="006314E7"/>
    <w:rsid w:val="00633A13"/>
    <w:rsid w:val="00637B8C"/>
    <w:rsid w:val="00647903"/>
    <w:rsid w:val="006571DF"/>
    <w:rsid w:val="00657547"/>
    <w:rsid w:val="00673853"/>
    <w:rsid w:val="00691270"/>
    <w:rsid w:val="00693636"/>
    <w:rsid w:val="006A2908"/>
    <w:rsid w:val="006A7BE1"/>
    <w:rsid w:val="006B1417"/>
    <w:rsid w:val="006B1491"/>
    <w:rsid w:val="006B3279"/>
    <w:rsid w:val="006E39F9"/>
    <w:rsid w:val="006E6D55"/>
    <w:rsid w:val="00705E50"/>
    <w:rsid w:val="00713D0D"/>
    <w:rsid w:val="00714245"/>
    <w:rsid w:val="00714F76"/>
    <w:rsid w:val="00746531"/>
    <w:rsid w:val="00750D77"/>
    <w:rsid w:val="00757E37"/>
    <w:rsid w:val="00761737"/>
    <w:rsid w:val="0076509D"/>
    <w:rsid w:val="007700BC"/>
    <w:rsid w:val="00775DA3"/>
    <w:rsid w:val="007761C7"/>
    <w:rsid w:val="00785A6B"/>
    <w:rsid w:val="00795B31"/>
    <w:rsid w:val="007A11B5"/>
    <w:rsid w:val="007A23CF"/>
    <w:rsid w:val="007A2FE1"/>
    <w:rsid w:val="007C07F4"/>
    <w:rsid w:val="007C204D"/>
    <w:rsid w:val="007D3B7F"/>
    <w:rsid w:val="007F7251"/>
    <w:rsid w:val="008031B8"/>
    <w:rsid w:val="0080458A"/>
    <w:rsid w:val="00811115"/>
    <w:rsid w:val="00822182"/>
    <w:rsid w:val="00827F3F"/>
    <w:rsid w:val="008368F4"/>
    <w:rsid w:val="0085241C"/>
    <w:rsid w:val="008541C7"/>
    <w:rsid w:val="00857792"/>
    <w:rsid w:val="008625F4"/>
    <w:rsid w:val="00873B9B"/>
    <w:rsid w:val="00893451"/>
    <w:rsid w:val="00896858"/>
    <w:rsid w:val="008A38A1"/>
    <w:rsid w:val="008C581E"/>
    <w:rsid w:val="008C6848"/>
    <w:rsid w:val="008D4FE2"/>
    <w:rsid w:val="008E1D7B"/>
    <w:rsid w:val="008E47E7"/>
    <w:rsid w:val="00905818"/>
    <w:rsid w:val="00920CA4"/>
    <w:rsid w:val="009344F1"/>
    <w:rsid w:val="00935EA7"/>
    <w:rsid w:val="00942592"/>
    <w:rsid w:val="00950DF6"/>
    <w:rsid w:val="00953277"/>
    <w:rsid w:val="00954701"/>
    <w:rsid w:val="00954865"/>
    <w:rsid w:val="00965359"/>
    <w:rsid w:val="00973EA6"/>
    <w:rsid w:val="00983573"/>
    <w:rsid w:val="0098798C"/>
    <w:rsid w:val="009A1DD8"/>
    <w:rsid w:val="009C3795"/>
    <w:rsid w:val="009C679D"/>
    <w:rsid w:val="009F0527"/>
    <w:rsid w:val="00A14C58"/>
    <w:rsid w:val="00A169CE"/>
    <w:rsid w:val="00A35908"/>
    <w:rsid w:val="00A50959"/>
    <w:rsid w:val="00A86422"/>
    <w:rsid w:val="00A95C2D"/>
    <w:rsid w:val="00AA00CE"/>
    <w:rsid w:val="00AA286D"/>
    <w:rsid w:val="00AB438B"/>
    <w:rsid w:val="00AC514A"/>
    <w:rsid w:val="00AD192D"/>
    <w:rsid w:val="00AD7809"/>
    <w:rsid w:val="00B3152A"/>
    <w:rsid w:val="00B434F1"/>
    <w:rsid w:val="00B44D3E"/>
    <w:rsid w:val="00B45D31"/>
    <w:rsid w:val="00B5178F"/>
    <w:rsid w:val="00B51C7B"/>
    <w:rsid w:val="00B522E1"/>
    <w:rsid w:val="00B54EA3"/>
    <w:rsid w:val="00B60885"/>
    <w:rsid w:val="00B62147"/>
    <w:rsid w:val="00B70076"/>
    <w:rsid w:val="00B7523B"/>
    <w:rsid w:val="00B81331"/>
    <w:rsid w:val="00B82769"/>
    <w:rsid w:val="00B92789"/>
    <w:rsid w:val="00B94C35"/>
    <w:rsid w:val="00B96FF7"/>
    <w:rsid w:val="00BC17CB"/>
    <w:rsid w:val="00BC7621"/>
    <w:rsid w:val="00BE29EB"/>
    <w:rsid w:val="00BE5776"/>
    <w:rsid w:val="00C0062D"/>
    <w:rsid w:val="00C2611E"/>
    <w:rsid w:val="00C27472"/>
    <w:rsid w:val="00C41A75"/>
    <w:rsid w:val="00C46FBD"/>
    <w:rsid w:val="00C501CD"/>
    <w:rsid w:val="00C55361"/>
    <w:rsid w:val="00C558DB"/>
    <w:rsid w:val="00C736CD"/>
    <w:rsid w:val="00C75C73"/>
    <w:rsid w:val="00C97972"/>
    <w:rsid w:val="00CA7BF2"/>
    <w:rsid w:val="00CC16B3"/>
    <w:rsid w:val="00CD3DC9"/>
    <w:rsid w:val="00CF24AA"/>
    <w:rsid w:val="00CF363B"/>
    <w:rsid w:val="00D00E6E"/>
    <w:rsid w:val="00D041E2"/>
    <w:rsid w:val="00D14600"/>
    <w:rsid w:val="00D204C3"/>
    <w:rsid w:val="00D2782A"/>
    <w:rsid w:val="00D30FA4"/>
    <w:rsid w:val="00D31C36"/>
    <w:rsid w:val="00D32FEA"/>
    <w:rsid w:val="00D46AE6"/>
    <w:rsid w:val="00D52B20"/>
    <w:rsid w:val="00D53465"/>
    <w:rsid w:val="00D53ADE"/>
    <w:rsid w:val="00D63C9B"/>
    <w:rsid w:val="00D65FFD"/>
    <w:rsid w:val="00D76594"/>
    <w:rsid w:val="00D7676C"/>
    <w:rsid w:val="00DA0CE4"/>
    <w:rsid w:val="00DC534C"/>
    <w:rsid w:val="00DD2BDE"/>
    <w:rsid w:val="00DD3014"/>
    <w:rsid w:val="00DD7324"/>
    <w:rsid w:val="00DE06D1"/>
    <w:rsid w:val="00DE439F"/>
    <w:rsid w:val="00DF172A"/>
    <w:rsid w:val="00E0072B"/>
    <w:rsid w:val="00E03846"/>
    <w:rsid w:val="00E04B0C"/>
    <w:rsid w:val="00E24F8B"/>
    <w:rsid w:val="00E41E92"/>
    <w:rsid w:val="00E42ABF"/>
    <w:rsid w:val="00E44EBC"/>
    <w:rsid w:val="00E630AD"/>
    <w:rsid w:val="00E63726"/>
    <w:rsid w:val="00E6784B"/>
    <w:rsid w:val="00E67AF9"/>
    <w:rsid w:val="00E70B43"/>
    <w:rsid w:val="00E75D78"/>
    <w:rsid w:val="00E94643"/>
    <w:rsid w:val="00EA1A25"/>
    <w:rsid w:val="00EB55D9"/>
    <w:rsid w:val="00EC22BF"/>
    <w:rsid w:val="00EC4480"/>
    <w:rsid w:val="00EC46CE"/>
    <w:rsid w:val="00ED6F02"/>
    <w:rsid w:val="00EE3B68"/>
    <w:rsid w:val="00EF089C"/>
    <w:rsid w:val="00EF1CD9"/>
    <w:rsid w:val="00EF2D70"/>
    <w:rsid w:val="00EF2E35"/>
    <w:rsid w:val="00EF75DC"/>
    <w:rsid w:val="00F16160"/>
    <w:rsid w:val="00F2507F"/>
    <w:rsid w:val="00F32461"/>
    <w:rsid w:val="00F5033A"/>
    <w:rsid w:val="00F51B12"/>
    <w:rsid w:val="00F73C0E"/>
    <w:rsid w:val="00F84EB8"/>
    <w:rsid w:val="00FA2422"/>
    <w:rsid w:val="00FA27DF"/>
    <w:rsid w:val="00FA77C7"/>
    <w:rsid w:val="00FD28C3"/>
    <w:rsid w:val="00FD403E"/>
    <w:rsid w:val="00FD62A3"/>
    <w:rsid w:val="00FE41C6"/>
    <w:rsid w:val="00FF4F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A364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769"/>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13"/>
      </w:numPr>
      <w:snapToGrid w:val="0"/>
      <w:spacing w:after="40"/>
    </w:pPr>
  </w:style>
  <w:style w:type="paragraph" w:styleId="ListNumber2">
    <w:name w:val="List Number 2"/>
    <w:basedOn w:val="Normal"/>
    <w:uiPriority w:val="99"/>
    <w:unhideWhenUsed/>
    <w:qFormat/>
    <w:rsid w:val="006314E7"/>
    <w:pPr>
      <w:numPr>
        <w:ilvl w:val="1"/>
        <w:numId w:val="13"/>
      </w:numPr>
      <w:spacing w:after="40"/>
    </w:pPr>
  </w:style>
  <w:style w:type="paragraph" w:styleId="ListNumber3">
    <w:name w:val="List Number 3"/>
    <w:basedOn w:val="Normal"/>
    <w:uiPriority w:val="99"/>
    <w:unhideWhenUsed/>
    <w:qFormat/>
    <w:rsid w:val="006314E7"/>
    <w:pPr>
      <w:numPr>
        <w:ilvl w:val="2"/>
        <w:numId w:val="1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semiHidden/>
    <w:unhideWhenUsed/>
    <w:rsid w:val="008541C7"/>
    <w:pPr>
      <w:spacing w:line="240" w:lineRule="auto"/>
    </w:pPr>
  </w:style>
  <w:style w:type="character" w:customStyle="1" w:styleId="CommentTextChar">
    <w:name w:val="Comment Text Char"/>
    <w:basedOn w:val="DefaultParagraphFont"/>
    <w:link w:val="CommentText"/>
    <w:uiPriority w:val="99"/>
    <w:semiHidden/>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hart" Target="charts/chart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Monthly%20Releases\NVS%20Monthly%20Releases%202021\12.%20December%202021\Chart%204%20&amp;%205%20(Decemb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Monthly%20Releases\NVS%20Monthly%20Releases%202021\12.%20December%202021\Total%20Losses%20to%20December%20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Monthly%20Releases\NVS%20Monthly%20Releases%202021\12.%20December%202021\Cumulative%20Loss%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lobal.austrade.int\groupdata\australia\canberra\tourism\TRA\Surveys\NVS\NVS%20Monthly%20Releases\NVS%20Monthly%20Releases%202021\12.%20December%202021\Cumulative%20Loss%20Charts.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'CHART 4'!$B$2</c:f>
              <c:strCache>
                <c:ptCount val="1"/>
                <c:pt idx="0">
                  <c:v>Trips</c:v>
                </c:pt>
              </c:strCache>
            </c:strRef>
          </c:tx>
          <c:spPr>
            <a:solidFill>
              <a:srgbClr val="7A4282"/>
            </a:solidFill>
            <a:ln>
              <a:solidFill>
                <a:srgbClr val="7A4282"/>
              </a:solidFill>
            </a:ln>
            <a:effectLst/>
          </c:spPr>
          <c:invertIfNegative val="0"/>
          <c:cat>
            <c:numRef>
              <c:f>'CHART 4'!$A$5:$A$28</c:f>
              <c:numCache>
                <c:formatCode>mmm\-yy</c:formatCode>
                <c:ptCount val="24"/>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pt idx="22">
                  <c:v>44562</c:v>
                </c:pt>
                <c:pt idx="23">
                  <c:v>44593</c:v>
                </c:pt>
              </c:numCache>
            </c:numRef>
          </c:cat>
          <c:val>
            <c:numRef>
              <c:f>'CHART 4'!$B$5:$B$26</c:f>
              <c:numCache>
                <c:formatCode>0.000</c:formatCode>
                <c:ptCount val="22"/>
                <c:pt idx="0">
                  <c:v>6.1159651999999998</c:v>
                </c:pt>
                <c:pt idx="1">
                  <c:v>1.5693406999999999</c:v>
                </c:pt>
                <c:pt idx="2">
                  <c:v>3.0503054999999999</c:v>
                </c:pt>
                <c:pt idx="3">
                  <c:v>5.4075889999999998</c:v>
                </c:pt>
                <c:pt idx="4">
                  <c:v>5.9631472000000008</c:v>
                </c:pt>
                <c:pt idx="5">
                  <c:v>5.1675179</c:v>
                </c:pt>
                <c:pt idx="6">
                  <c:v>5.3653766999999997</c:v>
                </c:pt>
                <c:pt idx="7">
                  <c:v>6.7927207999999997</c:v>
                </c:pt>
                <c:pt idx="8" formatCode="General">
                  <c:v>7.0010000000000003</c:v>
                </c:pt>
                <c:pt idx="9" formatCode="General">
                  <c:v>7.8769999999999998</c:v>
                </c:pt>
                <c:pt idx="10" formatCode="General">
                  <c:v>9.3940000000000001</c:v>
                </c:pt>
                <c:pt idx="11" formatCode="General">
                  <c:v>6.8159999999999998</c:v>
                </c:pt>
                <c:pt idx="12" formatCode="General">
                  <c:v>8.4019999999999992</c:v>
                </c:pt>
                <c:pt idx="13">
                  <c:v>10.1456751</c:v>
                </c:pt>
                <c:pt idx="14">
                  <c:v>8.1777890000000006</c:v>
                </c:pt>
                <c:pt idx="15">
                  <c:v>6.2572736112000005</c:v>
                </c:pt>
                <c:pt idx="16">
                  <c:v>4.9406999999999996</c:v>
                </c:pt>
                <c:pt idx="17">
                  <c:v>3.4306799999999997</c:v>
                </c:pt>
                <c:pt idx="18">
                  <c:v>3.4498319999999998</c:v>
                </c:pt>
                <c:pt idx="19">
                  <c:v>5.2742650000000006</c:v>
                </c:pt>
                <c:pt idx="20">
                  <c:v>7.1545539040000001</c:v>
                </c:pt>
                <c:pt idx="21">
                  <c:v>8.6308359999999986</c:v>
                </c:pt>
              </c:numCache>
            </c:numRef>
          </c:val>
          <c:extLst>
            <c:ext xmlns:c16="http://schemas.microsoft.com/office/drawing/2014/chart" uri="{C3380CC4-5D6E-409C-BE32-E72D297353CC}">
              <c16:uniqueId val="{00000000-20EA-4470-BD2A-7D02612053F3}"/>
            </c:ext>
          </c:extLst>
        </c:ser>
        <c:dLbls>
          <c:showLegendKey val="0"/>
          <c:showVal val="0"/>
          <c:showCatName val="0"/>
          <c:showSerName val="0"/>
          <c:showPercent val="0"/>
          <c:showBubbleSize val="0"/>
        </c:dLbls>
        <c:gapWidth val="98"/>
        <c:overlap val="-28"/>
        <c:axId val="124390552"/>
        <c:axId val="124677328"/>
      </c:barChart>
      <c:lineChart>
        <c:grouping val="standard"/>
        <c:varyColors val="0"/>
        <c:ser>
          <c:idx val="1"/>
          <c:order val="1"/>
          <c:tx>
            <c:strRef>
              <c:f>'CHART 4'!$C$2</c:f>
              <c:strCache>
                <c:ptCount val="1"/>
                <c:pt idx="0">
                  <c:v>Trip Rate</c:v>
                </c:pt>
              </c:strCache>
            </c:strRef>
          </c:tx>
          <c:spPr>
            <a:ln w="28575" cap="rnd">
              <a:solidFill>
                <a:srgbClr val="2E1A47"/>
              </a:solidFill>
              <a:round/>
            </a:ln>
            <a:effectLst/>
          </c:spPr>
          <c:marker>
            <c:symbol val="none"/>
          </c:marker>
          <c:cat>
            <c:numRef>
              <c:f>'CHART 4'!$A$5:$A$28</c:f>
              <c:numCache>
                <c:formatCode>mmm\-yy</c:formatCode>
                <c:ptCount val="24"/>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pt idx="22">
                  <c:v>44562</c:v>
                </c:pt>
                <c:pt idx="23">
                  <c:v>44593</c:v>
                </c:pt>
              </c:numCache>
            </c:numRef>
          </c:cat>
          <c:val>
            <c:numRef>
              <c:f>'CHART 4'!$C$5:$C$28</c:f>
              <c:numCache>
                <c:formatCode>0.00</c:formatCode>
                <c:ptCount val="24"/>
                <c:pt idx="0">
                  <c:v>24.337779447679882</c:v>
                </c:pt>
                <c:pt idx="1">
                  <c:v>9.0523338048090523</c:v>
                </c:pt>
                <c:pt idx="2">
                  <c:v>5.8878944889307583</c:v>
                </c:pt>
                <c:pt idx="3">
                  <c:v>15.258936528369146</c:v>
                </c:pt>
                <c:pt idx="4">
                  <c:v>19.490806223479488</c:v>
                </c:pt>
                <c:pt idx="5">
                  <c:v>16.308769274430045</c:v>
                </c:pt>
                <c:pt idx="6">
                  <c:v>15.800930048481252</c:v>
                </c:pt>
                <c:pt idx="7">
                  <c:v>21.875293014533518</c:v>
                </c:pt>
                <c:pt idx="8">
                  <c:v>21.224732461355529</c:v>
                </c:pt>
                <c:pt idx="9">
                  <c:v>24.321562393550586</c:v>
                </c:pt>
                <c:pt idx="10">
                  <c:v>31.058705469141994</c:v>
                </c:pt>
                <c:pt idx="11">
                  <c:v>25.640482744018634</c:v>
                </c:pt>
                <c:pt idx="12">
                  <c:v>27.436310256653091</c:v>
                </c:pt>
                <c:pt idx="13">
                  <c:v>32.235074190910154</c:v>
                </c:pt>
                <c:pt idx="14">
                  <c:v>28.248803827751196</c:v>
                </c:pt>
                <c:pt idx="15">
                  <c:v>23.536883243771374</c:v>
                </c:pt>
                <c:pt idx="16">
                  <c:v>18.134321269117507</c:v>
                </c:pt>
                <c:pt idx="17">
                  <c:v>11.456365697015489</c:v>
                </c:pt>
                <c:pt idx="18">
                  <c:v>9.8789727442684239</c:v>
                </c:pt>
                <c:pt idx="19">
                  <c:v>13.209177306326197</c:v>
                </c:pt>
                <c:pt idx="20">
                  <c:v>20.711462450592887</c:v>
                </c:pt>
                <c:pt idx="21">
                  <c:v>23.87332521315469</c:v>
                </c:pt>
                <c:pt idx="22">
                  <c:v>31.828763579927571</c:v>
                </c:pt>
                <c:pt idx="23">
                  <c:v>24.803042651453406</c:v>
                </c:pt>
              </c:numCache>
            </c:numRef>
          </c:val>
          <c:smooth val="0"/>
          <c:extLst>
            <c:ext xmlns:c16="http://schemas.microsoft.com/office/drawing/2014/chart" uri="{C3380CC4-5D6E-409C-BE32-E72D297353CC}">
              <c16:uniqueId val="{00000001-20EA-4470-BD2A-7D02612053F3}"/>
            </c:ext>
          </c:extLst>
        </c:ser>
        <c:dLbls>
          <c:showLegendKey val="0"/>
          <c:showVal val="0"/>
          <c:showCatName val="0"/>
          <c:showSerName val="0"/>
          <c:showPercent val="0"/>
          <c:showBubbleSize val="0"/>
        </c:dLbls>
        <c:marker val="1"/>
        <c:smooth val="0"/>
        <c:axId val="162425936"/>
        <c:axId val="162425552"/>
      </c:lineChart>
      <c:dateAx>
        <c:axId val="124390552"/>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677328"/>
        <c:crosses val="autoZero"/>
        <c:auto val="1"/>
        <c:lblOffset val="100"/>
        <c:baseTimeUnit val="months"/>
      </c:dateAx>
      <c:valAx>
        <c:axId val="124677328"/>
        <c:scaling>
          <c:orientation val="minMax"/>
          <c:max val="14"/>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390552"/>
        <c:crosses val="autoZero"/>
        <c:crossBetween val="between"/>
        <c:majorUnit val="2"/>
      </c:valAx>
      <c:valAx>
        <c:axId val="16242555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 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425936"/>
        <c:crosses val="max"/>
        <c:crossBetween val="between"/>
      </c:valAx>
      <c:dateAx>
        <c:axId val="162425936"/>
        <c:scaling>
          <c:orientation val="minMax"/>
        </c:scaling>
        <c:delete val="1"/>
        <c:axPos val="b"/>
        <c:numFmt formatCode="mmm\-yy" sourceLinked="1"/>
        <c:majorTickMark val="out"/>
        <c:minorTickMark val="none"/>
        <c:tickLblPos val="nextTo"/>
        <c:crossAx val="162425552"/>
        <c:crosses val="autoZero"/>
        <c:auto val="1"/>
        <c:lblOffset val="100"/>
        <c:baseTimeUnit val="months"/>
      </c:dateAx>
      <c:spPr>
        <a:noFill/>
        <a:ln>
          <a:noFill/>
        </a:ln>
        <a:effectLst/>
      </c:spPr>
    </c:plotArea>
    <c:legend>
      <c:legendPos val="b"/>
      <c:layout>
        <c:manualLayout>
          <c:xMode val="edge"/>
          <c:yMode val="edge"/>
          <c:x val="9.0580360835984364E-2"/>
          <c:y val="0.87864658827460895"/>
          <c:w val="0.82265956726755862"/>
          <c:h val="8.952317299860064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70655315832095"/>
          <c:y val="7.4159880234713108E-2"/>
          <c:w val="0.76684131765674934"/>
          <c:h val="0.69968245722362343"/>
        </c:manualLayout>
      </c:layout>
      <c:areaChart>
        <c:grouping val="stacked"/>
        <c:varyColors val="0"/>
        <c:ser>
          <c:idx val="0"/>
          <c:order val="0"/>
          <c:tx>
            <c:strRef>
              <c:f>'Losses by Month Working'!$B$30</c:f>
              <c:strCache>
                <c:ptCount val="1"/>
                <c:pt idx="0">
                  <c:v>Day</c:v>
                </c:pt>
              </c:strCache>
            </c:strRef>
          </c:tx>
          <c:spPr>
            <a:solidFill>
              <a:srgbClr val="2E1A47"/>
            </a:solidFill>
            <a:ln>
              <a:noFill/>
            </a:ln>
            <a:effectLst/>
          </c:spPr>
          <c:cat>
            <c:numRef>
              <c:f>'Losses by Month Working'!$A$31:$A$52</c:f>
              <c:numCache>
                <c:formatCode>mmm\-yy</c:formatCode>
                <c:ptCount val="22"/>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numCache>
            </c:numRef>
          </c:cat>
          <c:val>
            <c:numRef>
              <c:f>'Losses by Month Working'!$B$31:$B$52</c:f>
              <c:numCache>
                <c:formatCode>0.0</c:formatCode>
                <c:ptCount val="22"/>
                <c:pt idx="0">
                  <c:v>0.81253900000000023</c:v>
                </c:pt>
                <c:pt idx="1">
                  <c:v>2.5836850000000005</c:v>
                </c:pt>
                <c:pt idx="2">
                  <c:v>3.7775050000000001</c:v>
                </c:pt>
                <c:pt idx="3">
                  <c:v>4.3389199999999999</c:v>
                </c:pt>
                <c:pt idx="4">
                  <c:v>5.5571650000000004</c:v>
                </c:pt>
                <c:pt idx="5">
                  <c:v>6.7972929999999998</c:v>
                </c:pt>
                <c:pt idx="6">
                  <c:v>7.6234979999999997</c:v>
                </c:pt>
                <c:pt idx="7">
                  <c:v>8.3950499999999995</c:v>
                </c:pt>
                <c:pt idx="8">
                  <c:v>8.9102899999999998</c:v>
                </c:pt>
                <c:pt idx="9">
                  <c:v>9.280777999999998</c:v>
                </c:pt>
                <c:pt idx="10">
                  <c:v>9.7145879999999973</c:v>
                </c:pt>
                <c:pt idx="11">
                  <c:v>10.429363999999998</c:v>
                </c:pt>
                <c:pt idx="12">
                  <c:v>10.783992999999999</c:v>
                </c:pt>
                <c:pt idx="13">
                  <c:v>11.074674</c:v>
                </c:pt>
                <c:pt idx="14">
                  <c:v>11.374312999999999</c:v>
                </c:pt>
                <c:pt idx="15">
                  <c:v>12.101583999999999</c:v>
                </c:pt>
                <c:pt idx="16">
                  <c:v>13.394807999999999</c:v>
                </c:pt>
                <c:pt idx="17">
                  <c:v>15.044204999999998</c:v>
                </c:pt>
                <c:pt idx="18">
                  <c:v>16.073763999999997</c:v>
                </c:pt>
                <c:pt idx="19">
                  <c:v>16.949565</c:v>
                </c:pt>
                <c:pt idx="20">
                  <c:v>17.277180000000001</c:v>
                </c:pt>
                <c:pt idx="21">
                  <c:v>17.671948</c:v>
                </c:pt>
              </c:numCache>
            </c:numRef>
          </c:val>
          <c:extLst>
            <c:ext xmlns:c16="http://schemas.microsoft.com/office/drawing/2014/chart" uri="{C3380CC4-5D6E-409C-BE32-E72D297353CC}">
              <c16:uniqueId val="{00000000-0884-43AD-89CD-1ED19746C9FD}"/>
            </c:ext>
          </c:extLst>
        </c:ser>
        <c:ser>
          <c:idx val="1"/>
          <c:order val="1"/>
          <c:tx>
            <c:strRef>
              <c:f>'Losses by Month Working'!$C$30</c:f>
              <c:strCache>
                <c:ptCount val="1"/>
                <c:pt idx="0">
                  <c:v>Overnight</c:v>
                </c:pt>
              </c:strCache>
            </c:strRef>
          </c:tx>
          <c:spPr>
            <a:solidFill>
              <a:srgbClr val="7A4282"/>
            </a:solidFill>
            <a:ln>
              <a:noFill/>
            </a:ln>
            <a:effectLst>
              <a:outerShdw blurRad="50800" dist="50800" dir="5400000" sx="1000" sy="1000" algn="ctr" rotWithShape="0">
                <a:srgbClr val="000000"/>
              </a:outerShdw>
            </a:effectLst>
          </c:spPr>
          <c:cat>
            <c:numRef>
              <c:f>'Losses by Month Working'!$A$31:$A$52</c:f>
              <c:numCache>
                <c:formatCode>mmm\-yy</c:formatCode>
                <c:ptCount val="22"/>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numCache>
            </c:numRef>
          </c:cat>
          <c:val>
            <c:numRef>
              <c:f>'Losses by Month Working'!$C$31:$C$52</c:f>
              <c:numCache>
                <c:formatCode>0.0</c:formatCode>
                <c:ptCount val="22"/>
                <c:pt idx="0">
                  <c:v>2.5997269999999997</c:v>
                </c:pt>
                <c:pt idx="1">
                  <c:v>9.5948560000000001</c:v>
                </c:pt>
                <c:pt idx="2">
                  <c:v>14.366607</c:v>
                </c:pt>
                <c:pt idx="3">
                  <c:v>18.352495999999999</c:v>
                </c:pt>
                <c:pt idx="4">
                  <c:v>22.111540000000002</c:v>
                </c:pt>
                <c:pt idx="5">
                  <c:v>25.445746</c:v>
                </c:pt>
                <c:pt idx="6">
                  <c:v>29.568580999999998</c:v>
                </c:pt>
                <c:pt idx="7">
                  <c:v>32.560824000000004</c:v>
                </c:pt>
                <c:pt idx="8">
                  <c:v>34.759421000000003</c:v>
                </c:pt>
                <c:pt idx="9">
                  <c:v>35.916866999999996</c:v>
                </c:pt>
                <c:pt idx="10">
                  <c:v>37.438250999999994</c:v>
                </c:pt>
                <c:pt idx="11">
                  <c:v>38.056241999999997</c:v>
                </c:pt>
                <c:pt idx="12">
                  <c:v>38.431103999999998</c:v>
                </c:pt>
                <c:pt idx="13">
                  <c:v>37.930544999999995</c:v>
                </c:pt>
                <c:pt idx="14">
                  <c:v>37.391115999999997</c:v>
                </c:pt>
                <c:pt idx="15">
                  <c:v>38.483219999999996</c:v>
                </c:pt>
                <c:pt idx="16">
                  <c:v>41.565592999999993</c:v>
                </c:pt>
                <c:pt idx="17">
                  <c:v>45.266234999999995</c:v>
                </c:pt>
                <c:pt idx="18">
                  <c:v>49.996084999999994</c:v>
                </c:pt>
                <c:pt idx="19">
                  <c:v>53.986444999999989</c:v>
                </c:pt>
                <c:pt idx="20">
                  <c:v>55.960344999999997</c:v>
                </c:pt>
                <c:pt idx="21">
                  <c:v>56.444669999999988</c:v>
                </c:pt>
              </c:numCache>
            </c:numRef>
          </c:val>
          <c:extLst>
            <c:ext xmlns:c16="http://schemas.microsoft.com/office/drawing/2014/chart" uri="{C3380CC4-5D6E-409C-BE32-E72D297353CC}">
              <c16:uniqueId val="{00000001-0884-43AD-89CD-1ED19746C9FD}"/>
            </c:ext>
          </c:extLst>
        </c:ser>
        <c:ser>
          <c:idx val="2"/>
          <c:order val="2"/>
          <c:tx>
            <c:strRef>
              <c:f>'Losses by Month Working'!$D$30</c:f>
              <c:strCache>
                <c:ptCount val="1"/>
                <c:pt idx="0">
                  <c:v>International</c:v>
                </c:pt>
              </c:strCache>
            </c:strRef>
          </c:tx>
          <c:spPr>
            <a:solidFill>
              <a:srgbClr val="1E988A"/>
            </a:solidFill>
            <a:ln>
              <a:noFill/>
            </a:ln>
            <a:effectLst/>
          </c:spPr>
          <c:cat>
            <c:numRef>
              <c:f>'Losses by Month Working'!$A$31:$A$52</c:f>
              <c:numCache>
                <c:formatCode>mmm\-yy</c:formatCode>
                <c:ptCount val="22"/>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numCache>
            </c:numRef>
          </c:cat>
          <c:val>
            <c:numRef>
              <c:f>'Losses by Month Working'!$D$31:$D$52</c:f>
              <c:numCache>
                <c:formatCode>0.0</c:formatCode>
                <c:ptCount val="22"/>
                <c:pt idx="0">
                  <c:v>1.8604369999999999</c:v>
                </c:pt>
                <c:pt idx="1">
                  <c:v>4.7345820000000005</c:v>
                </c:pt>
                <c:pt idx="2">
                  <c:v>7.2308170000000009</c:v>
                </c:pt>
                <c:pt idx="3">
                  <c:v>9.8511730000000011</c:v>
                </c:pt>
                <c:pt idx="4">
                  <c:v>14.527301999999999</c:v>
                </c:pt>
                <c:pt idx="5">
                  <c:v>17.960476999999997</c:v>
                </c:pt>
                <c:pt idx="6">
                  <c:v>20.848669999999998</c:v>
                </c:pt>
                <c:pt idx="7">
                  <c:v>24.395834000000001</c:v>
                </c:pt>
                <c:pt idx="8">
                  <c:v>27.842752000000001</c:v>
                </c:pt>
                <c:pt idx="9">
                  <c:v>32.087927000000001</c:v>
                </c:pt>
                <c:pt idx="10">
                  <c:v>36.374286999999995</c:v>
                </c:pt>
                <c:pt idx="11">
                  <c:v>40.042707999999998</c:v>
                </c:pt>
                <c:pt idx="12">
                  <c:v>43.700361999999998</c:v>
                </c:pt>
                <c:pt idx="13">
                  <c:v>46.470552000000005</c:v>
                </c:pt>
                <c:pt idx="14">
                  <c:v>48.821593</c:v>
                </c:pt>
                <c:pt idx="15">
                  <c:v>51.307195</c:v>
                </c:pt>
                <c:pt idx="16">
                  <c:v>55.807195</c:v>
                </c:pt>
                <c:pt idx="17">
                  <c:v>59.007195000000003</c:v>
                </c:pt>
                <c:pt idx="18">
                  <c:v>62.208194999999996</c:v>
                </c:pt>
                <c:pt idx="19">
                  <c:v>65.410195000000002</c:v>
                </c:pt>
                <c:pt idx="20">
                  <c:v>68.613195000000005</c:v>
                </c:pt>
                <c:pt idx="21">
                  <c:v>72.389932999999999</c:v>
                </c:pt>
              </c:numCache>
            </c:numRef>
          </c:val>
          <c:extLst>
            <c:ext xmlns:c16="http://schemas.microsoft.com/office/drawing/2014/chart" uri="{C3380CC4-5D6E-409C-BE32-E72D297353CC}">
              <c16:uniqueId val="{00000002-0884-43AD-89CD-1ED19746C9FD}"/>
            </c:ext>
          </c:extLst>
        </c:ser>
        <c:dLbls>
          <c:showLegendKey val="0"/>
          <c:showVal val="0"/>
          <c:showCatName val="0"/>
          <c:showSerName val="0"/>
          <c:showPercent val="0"/>
          <c:showBubbleSize val="0"/>
        </c:dLbls>
        <c:axId val="1439550815"/>
        <c:axId val="1439564959"/>
      </c:areaChart>
      <c:dateAx>
        <c:axId val="1439550815"/>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564959"/>
        <c:crosses val="autoZero"/>
        <c:auto val="1"/>
        <c:lblOffset val="100"/>
        <c:baseTimeUnit val="months"/>
        <c:majorUnit val="3"/>
        <c:majorTimeUnit val="months"/>
      </c:dateAx>
      <c:valAx>
        <c:axId val="1439564959"/>
        <c:scaling>
          <c:orientation val="minMax"/>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 Billions</a:t>
                </a:r>
              </a:p>
            </c:rich>
          </c:tx>
          <c:layout>
            <c:manualLayout>
              <c:xMode val="edge"/>
              <c:yMode val="edge"/>
              <c:x val="1.8852618230547714E-2"/>
              <c:y val="0.3653562172738916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9550815"/>
        <c:crosses val="autoZero"/>
        <c:crossBetween val="midCat"/>
      </c:valAx>
      <c:spPr>
        <a:noFill/>
        <a:ln>
          <a:noFill/>
        </a:ln>
        <a:effectLst/>
      </c:spPr>
    </c:plotArea>
    <c:legend>
      <c:legendPos val="b"/>
      <c:layout>
        <c:manualLayout>
          <c:xMode val="edge"/>
          <c:yMode val="edge"/>
          <c:x val="0.29734025257633417"/>
          <c:y val="0.92645244386610182"/>
          <c:w val="0.46477917952723224"/>
          <c:h val="5.425644788037728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07667142421861"/>
          <c:y val="0.11842778831040879"/>
          <c:w val="0.82079125038087142"/>
          <c:h val="0.62583700117559593"/>
        </c:manualLayout>
      </c:layout>
      <c:areaChart>
        <c:grouping val="stacked"/>
        <c:varyColors val="0"/>
        <c:ser>
          <c:idx val="1"/>
          <c:order val="0"/>
          <c:tx>
            <c:strRef>
              <c:f>'Cumulative Loss Charts'!$H$8</c:f>
              <c:strCache>
                <c:ptCount val="1"/>
                <c:pt idx="0">
                  <c:v>Intrastate</c:v>
                </c:pt>
              </c:strCache>
            </c:strRef>
          </c:tx>
          <c:spPr>
            <a:solidFill>
              <a:srgbClr val="2E1A47"/>
            </a:solidFill>
            <a:ln w="25400">
              <a:noFill/>
            </a:ln>
            <a:effectLst/>
          </c:spPr>
          <c:cat>
            <c:numRef>
              <c:f>'Cumulative Loss Charts'!$A$9:$A$30</c:f>
              <c:numCache>
                <c:formatCode>mmm\-yy</c:formatCode>
                <c:ptCount val="22"/>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numCache>
            </c:numRef>
          </c:cat>
          <c:val>
            <c:numRef>
              <c:f>'Cumulative Loss Charts'!$L$9:$L$30</c:f>
              <c:numCache>
                <c:formatCode>#,##0.0</c:formatCode>
                <c:ptCount val="22"/>
                <c:pt idx="0">
                  <c:v>1.165</c:v>
                </c:pt>
                <c:pt idx="1">
                  <c:v>4.3650000000000002</c:v>
                </c:pt>
                <c:pt idx="2">
                  <c:v>6.1059999999999999</c:v>
                </c:pt>
                <c:pt idx="3">
                  <c:v>7.2519999999999998</c:v>
                </c:pt>
                <c:pt idx="4">
                  <c:v>7.46</c:v>
                </c:pt>
                <c:pt idx="5">
                  <c:v>7.44</c:v>
                </c:pt>
                <c:pt idx="6">
                  <c:v>7.5149999999999997</c:v>
                </c:pt>
                <c:pt idx="7">
                  <c:v>6.61</c:v>
                </c:pt>
                <c:pt idx="8">
                  <c:v>6.04</c:v>
                </c:pt>
                <c:pt idx="9">
                  <c:v>5.6980000000000004</c:v>
                </c:pt>
                <c:pt idx="10">
                  <c:v>4.923</c:v>
                </c:pt>
                <c:pt idx="11">
                  <c:v>4.49</c:v>
                </c:pt>
                <c:pt idx="12">
                  <c:v>4.1920000000000002</c:v>
                </c:pt>
                <c:pt idx="13">
                  <c:v>3.698</c:v>
                </c:pt>
                <c:pt idx="14">
                  <c:v>3.3755250000000001</c:v>
                </c:pt>
                <c:pt idx="15">
                  <c:v>3.6255250000000001</c:v>
                </c:pt>
                <c:pt idx="16">
                  <c:v>4.1644189999999996</c:v>
                </c:pt>
                <c:pt idx="17">
                  <c:v>4.6707359999999998</c:v>
                </c:pt>
                <c:pt idx="18">
                  <c:v>5.5297739999999997</c:v>
                </c:pt>
                <c:pt idx="19">
                  <c:v>5.5280190000000005</c:v>
                </c:pt>
                <c:pt idx="20">
                  <c:v>4.7867110000000004</c:v>
                </c:pt>
                <c:pt idx="21">
                  <c:v>3.586516</c:v>
                </c:pt>
              </c:numCache>
            </c:numRef>
          </c:val>
          <c:extLst>
            <c:ext xmlns:c16="http://schemas.microsoft.com/office/drawing/2014/chart" uri="{C3380CC4-5D6E-409C-BE32-E72D297353CC}">
              <c16:uniqueId val="{00000000-897C-4A86-B768-908FC50E9BF1}"/>
            </c:ext>
          </c:extLst>
        </c:ser>
        <c:ser>
          <c:idx val="0"/>
          <c:order val="1"/>
          <c:tx>
            <c:strRef>
              <c:f>'Cumulative Loss Charts'!$B$8</c:f>
              <c:strCache>
                <c:ptCount val="1"/>
                <c:pt idx="0">
                  <c:v>Interstate</c:v>
                </c:pt>
              </c:strCache>
            </c:strRef>
          </c:tx>
          <c:spPr>
            <a:solidFill>
              <a:srgbClr val="7A4282"/>
            </a:solidFill>
            <a:ln>
              <a:noFill/>
            </a:ln>
            <a:effectLst/>
          </c:spPr>
          <c:cat>
            <c:numRef>
              <c:f>'Cumulative Loss Charts'!$A$9:$A$30</c:f>
              <c:numCache>
                <c:formatCode>mmm\-yy</c:formatCode>
                <c:ptCount val="22"/>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numCache>
            </c:numRef>
          </c:cat>
          <c:val>
            <c:numRef>
              <c:f>'Cumulative Loss Charts'!$F$9:$F$30</c:f>
              <c:numCache>
                <c:formatCode>#,##0.0</c:formatCode>
                <c:ptCount val="22"/>
                <c:pt idx="0">
                  <c:v>1.4350000000000001</c:v>
                </c:pt>
                <c:pt idx="1">
                  <c:v>5.2309999999999999</c:v>
                </c:pt>
                <c:pt idx="2">
                  <c:v>8.2620000000000005</c:v>
                </c:pt>
                <c:pt idx="3">
                  <c:v>11.101000000000001</c:v>
                </c:pt>
                <c:pt idx="4">
                  <c:v>14.651999999999999</c:v>
                </c:pt>
                <c:pt idx="5">
                  <c:v>18.006</c:v>
                </c:pt>
                <c:pt idx="6">
                  <c:v>22.053000000000001</c:v>
                </c:pt>
                <c:pt idx="7">
                  <c:v>25.951000000000001</c:v>
                </c:pt>
                <c:pt idx="8">
                  <c:v>28.721</c:v>
                </c:pt>
                <c:pt idx="9">
                  <c:v>30.221</c:v>
                </c:pt>
                <c:pt idx="10">
                  <c:v>32.517000000000003</c:v>
                </c:pt>
                <c:pt idx="11">
                  <c:v>33.567999999999998</c:v>
                </c:pt>
                <c:pt idx="12">
                  <c:v>34.241999999999997</c:v>
                </c:pt>
                <c:pt idx="13">
                  <c:v>34.235999999999997</c:v>
                </c:pt>
                <c:pt idx="14">
                  <c:v>34.019044999999998</c:v>
                </c:pt>
                <c:pt idx="15">
                  <c:v>34.860045</c:v>
                </c:pt>
                <c:pt idx="16">
                  <c:v>37.403523</c:v>
                </c:pt>
                <c:pt idx="17">
                  <c:v>40.597847999999999</c:v>
                </c:pt>
                <c:pt idx="18">
                  <c:v>44.467797999999995</c:v>
                </c:pt>
                <c:pt idx="19">
                  <c:v>48.459911999999996</c:v>
                </c:pt>
                <c:pt idx="20">
                  <c:v>51.175119999999993</c:v>
                </c:pt>
                <c:pt idx="21">
                  <c:v>52.859639999999992</c:v>
                </c:pt>
              </c:numCache>
            </c:numRef>
          </c:val>
          <c:extLst>
            <c:ext xmlns:c16="http://schemas.microsoft.com/office/drawing/2014/chart" uri="{C3380CC4-5D6E-409C-BE32-E72D297353CC}">
              <c16:uniqueId val="{00000001-897C-4A86-B768-908FC50E9BF1}"/>
            </c:ext>
          </c:extLst>
        </c:ser>
        <c:dLbls>
          <c:showLegendKey val="0"/>
          <c:showVal val="0"/>
          <c:showCatName val="0"/>
          <c:showSerName val="0"/>
          <c:showPercent val="0"/>
          <c:showBubbleSize val="0"/>
        </c:dLbls>
        <c:axId val="169027240"/>
        <c:axId val="169688992"/>
      </c:areaChart>
      <c:dateAx>
        <c:axId val="1690272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688992"/>
        <c:crosses val="autoZero"/>
        <c:auto val="1"/>
        <c:lblOffset val="100"/>
        <c:baseTimeUnit val="months"/>
        <c:majorUnit val="3"/>
        <c:majorTimeUnit val="months"/>
      </c:dateAx>
      <c:valAx>
        <c:axId val="169688992"/>
        <c:scaling>
          <c:orientation val="minMax"/>
          <c:max val="60"/>
        </c:scaling>
        <c:delete val="0"/>
        <c:axPos val="l"/>
        <c:majorGridlines>
          <c:spPr>
            <a:ln w="9525" cap="flat" cmpd="sng" algn="ctr">
              <a:solidFill>
                <a:schemeClr val="tx1">
                  <a:lumMod val="15000"/>
                  <a:lumOff val="85000"/>
                </a:schemeClr>
              </a:solidFill>
              <a:prstDash val="sysDot"/>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b="1"/>
                  <a:t>$</a:t>
                </a:r>
                <a:r>
                  <a:rPr lang="en-AU" b="1" baseline="0"/>
                  <a:t> Billions</a:t>
                </a:r>
                <a:endParaRPr lang="en-AU" b="1"/>
              </a:p>
            </c:rich>
          </c:tx>
          <c:layout>
            <c:manualLayout>
              <c:xMode val="edge"/>
              <c:yMode val="edge"/>
              <c:x val="1.7981835773583293E-2"/>
              <c:y val="0.334682845642543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027240"/>
        <c:crosses val="autoZero"/>
        <c:crossBetween val="midCat"/>
        <c:majorUnit val="10"/>
      </c:valAx>
      <c:spPr>
        <a:noFill/>
        <a:ln>
          <a:noFill/>
        </a:ln>
        <a:effectLst/>
      </c:spPr>
    </c:plotArea>
    <c:legend>
      <c:legendPos val="b"/>
      <c:layout>
        <c:manualLayout>
          <c:xMode val="edge"/>
          <c:yMode val="edge"/>
          <c:x val="8.6300087489063856E-2"/>
          <c:y val="0.89409667541557303"/>
          <c:w val="0.8773998250218723"/>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78971620400811"/>
          <c:y val="0.11057949751631482"/>
          <c:w val="0.79124610442024679"/>
          <c:h val="0.62308064031624"/>
        </c:manualLayout>
      </c:layout>
      <c:areaChart>
        <c:grouping val="stacked"/>
        <c:varyColors val="0"/>
        <c:ser>
          <c:idx val="0"/>
          <c:order val="0"/>
          <c:tx>
            <c:strRef>
              <c:f>'Cumulative Loss Charts'!$H$37</c:f>
              <c:strCache>
                <c:ptCount val="1"/>
                <c:pt idx="0">
                  <c:v>Regional Australia</c:v>
                </c:pt>
              </c:strCache>
            </c:strRef>
          </c:tx>
          <c:spPr>
            <a:solidFill>
              <a:srgbClr val="2E1A47"/>
            </a:solidFill>
            <a:ln>
              <a:noFill/>
            </a:ln>
            <a:effectLst/>
          </c:spPr>
          <c:cat>
            <c:numRef>
              <c:f>'Cumulative Loss Charts'!$A$38:$A$59</c:f>
              <c:numCache>
                <c:formatCode>mmm\-yy</c:formatCode>
                <c:ptCount val="22"/>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numCache>
            </c:numRef>
          </c:cat>
          <c:val>
            <c:numRef>
              <c:f>'Cumulative Loss Charts'!$L$38:$L$59</c:f>
              <c:numCache>
                <c:formatCode>#,##0.0</c:formatCode>
                <c:ptCount val="22"/>
                <c:pt idx="0">
                  <c:v>1.113</c:v>
                </c:pt>
                <c:pt idx="1">
                  <c:v>4.7089999999999996</c:v>
                </c:pt>
                <c:pt idx="2">
                  <c:v>6.8449999999999998</c:v>
                </c:pt>
                <c:pt idx="3">
                  <c:v>8.2690000000000001</c:v>
                </c:pt>
                <c:pt idx="4">
                  <c:v>9.3610000000000007</c:v>
                </c:pt>
                <c:pt idx="5">
                  <c:v>10.374000000000001</c:v>
                </c:pt>
                <c:pt idx="6">
                  <c:v>11.762</c:v>
                </c:pt>
                <c:pt idx="7">
                  <c:v>11.965</c:v>
                </c:pt>
                <c:pt idx="8">
                  <c:v>12.002000000000001</c:v>
                </c:pt>
                <c:pt idx="9">
                  <c:v>12.048</c:v>
                </c:pt>
                <c:pt idx="10">
                  <c:v>11.689</c:v>
                </c:pt>
                <c:pt idx="11">
                  <c:v>11.32</c:v>
                </c:pt>
                <c:pt idx="12">
                  <c:v>10.813000000000001</c:v>
                </c:pt>
                <c:pt idx="13">
                  <c:v>9.9269999999999996</c:v>
                </c:pt>
                <c:pt idx="14">
                  <c:v>9.2639999999999993</c:v>
                </c:pt>
                <c:pt idx="15">
                  <c:v>9.3729999999999993</c:v>
                </c:pt>
                <c:pt idx="16">
                  <c:v>10.207000000000001</c:v>
                </c:pt>
                <c:pt idx="17">
                  <c:v>11.529185999999999</c:v>
                </c:pt>
                <c:pt idx="18">
                  <c:v>13.579587</c:v>
                </c:pt>
                <c:pt idx="19">
                  <c:v>14.836163999999998</c:v>
                </c:pt>
                <c:pt idx="20">
                  <c:v>14.951163999999999</c:v>
                </c:pt>
                <c:pt idx="21">
                  <c:v>14.404899999999998</c:v>
                </c:pt>
              </c:numCache>
            </c:numRef>
          </c:val>
          <c:extLst>
            <c:ext xmlns:c16="http://schemas.microsoft.com/office/drawing/2014/chart" uri="{C3380CC4-5D6E-409C-BE32-E72D297353CC}">
              <c16:uniqueId val="{00000000-42F3-4EFF-BDF8-9A4ACAD4CD9B}"/>
            </c:ext>
          </c:extLst>
        </c:ser>
        <c:ser>
          <c:idx val="1"/>
          <c:order val="1"/>
          <c:tx>
            <c:strRef>
              <c:f>'Cumulative Loss Charts'!$B$37</c:f>
              <c:strCache>
                <c:ptCount val="1"/>
                <c:pt idx="0">
                  <c:v>Capital cities</c:v>
                </c:pt>
              </c:strCache>
            </c:strRef>
          </c:tx>
          <c:spPr>
            <a:solidFill>
              <a:srgbClr val="7A4282"/>
            </a:solidFill>
            <a:ln w="25400">
              <a:noFill/>
            </a:ln>
            <a:effectLst/>
          </c:spPr>
          <c:cat>
            <c:numRef>
              <c:f>'Cumulative Loss Charts'!$A$38:$A$59</c:f>
              <c:numCache>
                <c:formatCode>mmm\-yy</c:formatCode>
                <c:ptCount val="22"/>
                <c:pt idx="0">
                  <c:v>43891</c:v>
                </c:pt>
                <c:pt idx="1">
                  <c:v>43922</c:v>
                </c:pt>
                <c:pt idx="2">
                  <c:v>43952</c:v>
                </c:pt>
                <c:pt idx="3">
                  <c:v>43983</c:v>
                </c:pt>
                <c:pt idx="4">
                  <c:v>44013</c:v>
                </c:pt>
                <c:pt idx="5">
                  <c:v>44044</c:v>
                </c:pt>
                <c:pt idx="6">
                  <c:v>44075</c:v>
                </c:pt>
                <c:pt idx="7">
                  <c:v>44105</c:v>
                </c:pt>
                <c:pt idx="8">
                  <c:v>44136</c:v>
                </c:pt>
                <c:pt idx="9">
                  <c:v>44166</c:v>
                </c:pt>
                <c:pt idx="10">
                  <c:v>44197</c:v>
                </c:pt>
                <c:pt idx="11">
                  <c:v>44228</c:v>
                </c:pt>
                <c:pt idx="12">
                  <c:v>44256</c:v>
                </c:pt>
                <c:pt idx="13">
                  <c:v>44287</c:v>
                </c:pt>
                <c:pt idx="14">
                  <c:v>44317</c:v>
                </c:pt>
                <c:pt idx="15">
                  <c:v>44348</c:v>
                </c:pt>
                <c:pt idx="16">
                  <c:v>44378</c:v>
                </c:pt>
                <c:pt idx="17">
                  <c:v>44409</c:v>
                </c:pt>
                <c:pt idx="18">
                  <c:v>44440</c:v>
                </c:pt>
                <c:pt idx="19">
                  <c:v>44470</c:v>
                </c:pt>
                <c:pt idx="20">
                  <c:v>44501</c:v>
                </c:pt>
                <c:pt idx="21">
                  <c:v>44531</c:v>
                </c:pt>
              </c:numCache>
            </c:numRef>
          </c:cat>
          <c:val>
            <c:numRef>
              <c:f>'Cumulative Loss Charts'!$F$38:$F$59</c:f>
              <c:numCache>
                <c:formatCode>#,##0.0</c:formatCode>
                <c:ptCount val="22"/>
                <c:pt idx="0">
                  <c:v>1.486</c:v>
                </c:pt>
                <c:pt idx="1">
                  <c:v>4.8849999999999998</c:v>
                </c:pt>
                <c:pt idx="2">
                  <c:v>7.52</c:v>
                </c:pt>
                <c:pt idx="3">
                  <c:v>10.081</c:v>
                </c:pt>
                <c:pt idx="4">
                  <c:v>12.747999999999999</c:v>
                </c:pt>
                <c:pt idx="5">
                  <c:v>15.069000000000001</c:v>
                </c:pt>
                <c:pt idx="6">
                  <c:v>17.803999999999998</c:v>
                </c:pt>
                <c:pt idx="7">
                  <c:v>20.593</c:v>
                </c:pt>
                <c:pt idx="8">
                  <c:v>22.756</c:v>
                </c:pt>
                <c:pt idx="9">
                  <c:v>23.867000000000001</c:v>
                </c:pt>
                <c:pt idx="10">
                  <c:v>25.747</c:v>
                </c:pt>
                <c:pt idx="11">
                  <c:v>26.734000000000002</c:v>
                </c:pt>
                <c:pt idx="12">
                  <c:v>27.614999999999998</c:v>
                </c:pt>
                <c:pt idx="13">
                  <c:v>28</c:v>
                </c:pt>
                <c:pt idx="14">
                  <c:v>28.123000000000001</c:v>
                </c:pt>
                <c:pt idx="15">
                  <c:v>29.106000000000002</c:v>
                </c:pt>
                <c:pt idx="16">
                  <c:v>31.353999999999999</c:v>
                </c:pt>
                <c:pt idx="17">
                  <c:v>33.732455999999999</c:v>
                </c:pt>
                <c:pt idx="18">
                  <c:v>36.411904999999997</c:v>
                </c:pt>
                <c:pt idx="19">
                  <c:v>39.145688999999997</c:v>
                </c:pt>
                <c:pt idx="20">
                  <c:v>41.004688999999999</c:v>
                </c:pt>
                <c:pt idx="21">
                  <c:v>42.035277000000001</c:v>
                </c:pt>
              </c:numCache>
            </c:numRef>
          </c:val>
          <c:extLst>
            <c:ext xmlns:c16="http://schemas.microsoft.com/office/drawing/2014/chart" uri="{C3380CC4-5D6E-409C-BE32-E72D297353CC}">
              <c16:uniqueId val="{00000001-42F3-4EFF-BDF8-9A4ACAD4CD9B}"/>
            </c:ext>
          </c:extLst>
        </c:ser>
        <c:dLbls>
          <c:showLegendKey val="0"/>
          <c:showVal val="0"/>
          <c:showCatName val="0"/>
          <c:showSerName val="0"/>
          <c:showPercent val="0"/>
          <c:showBubbleSize val="0"/>
        </c:dLbls>
        <c:axId val="168179728"/>
        <c:axId val="168180120"/>
      </c:areaChart>
      <c:dateAx>
        <c:axId val="16817972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alpha val="89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80120"/>
        <c:crosses val="autoZero"/>
        <c:auto val="1"/>
        <c:lblOffset val="100"/>
        <c:baseTimeUnit val="months"/>
        <c:majorUnit val="3"/>
        <c:majorTimeUnit val="months"/>
      </c:dateAx>
      <c:valAx>
        <c:axId val="168180120"/>
        <c:scaling>
          <c:orientation val="minMax"/>
          <c:max val="60"/>
        </c:scaling>
        <c:delete val="0"/>
        <c:axPos val="l"/>
        <c:majorGridlines>
          <c:spPr>
            <a:ln w="9525" cap="flat" cmpd="sng" algn="ctr">
              <a:solidFill>
                <a:schemeClr val="tx1">
                  <a:lumMod val="15000"/>
                  <a:lumOff val="85000"/>
                </a:schemeClr>
              </a:solidFill>
              <a:prstDash val="sys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179728"/>
        <c:crosses val="autoZero"/>
        <c:crossBetween val="midCat"/>
      </c:valAx>
      <c:spPr>
        <a:noFill/>
        <a:ln>
          <a:noFill/>
        </a:ln>
        <a:effectLst/>
      </c:spPr>
    </c:plotArea>
    <c:legend>
      <c:legendPos val="b"/>
      <c:layout>
        <c:manualLayout>
          <c:xMode val="edge"/>
          <c:yMode val="edge"/>
          <c:x val="8.6744818812108784E-2"/>
          <c:y val="0.89409667541557303"/>
          <c:w val="0.8509502809093872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0.03552</cdr:x>
      <cdr:y>0.34386</cdr:y>
    </cdr:from>
    <cdr:to>
      <cdr:x>0.0994</cdr:x>
      <cdr:y>0.56669</cdr:y>
    </cdr:to>
    <cdr:pic>
      <cdr:nvPicPr>
        <cdr:cNvPr id="2" name="chart">
          <a:extLst xmlns:a="http://schemas.openxmlformats.org/drawingml/2006/main">
            <a:ext uri="{FF2B5EF4-FFF2-40B4-BE49-F238E27FC236}">
              <a16:creationId xmlns:a16="http://schemas.microsoft.com/office/drawing/2014/main" id="{94011C57-B696-4132-8221-CF6A628BA730}"/>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3610" y="1154629"/>
          <a:ext cx="638216" cy="29873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6d92cf1-08e1-41e5-92d3-0cdcdb1e2433" ContentTypeId="0x01010004862C10171BD149BCA86DC4F354848008" PreviousValue="false"/>
</file>

<file path=customXml/item5.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5CF63-0983-4CB1-997E-566C11809F55}">
  <ds:schemaRefs>
    <ds:schemaRef ds:uri="http://schemas.microsoft.com/sharepoint/v3/contenttype/forms"/>
  </ds:schemaRefs>
</ds:datastoreItem>
</file>

<file path=customXml/itemProps2.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3.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4.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5.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6.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2022-03-29T05:47:00Z</dcterms:created>
  <dcterms:modified xsi:type="dcterms:W3CDTF">2022-03-29T05:47:00Z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ies>
</file>