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1BF4" w14:textId="77777777" w:rsidR="00EE2C36" w:rsidRPr="008048CC" w:rsidRDefault="00EE2C36" w:rsidP="0062331E">
      <w:pPr>
        <w:pStyle w:val="Title"/>
      </w:pPr>
    </w:p>
    <w:p w14:paraId="3E94358F" w14:textId="574B3455" w:rsidR="008048CC" w:rsidRPr="00C9550B" w:rsidRDefault="00891BF6" w:rsidP="00CF6285">
      <w:pPr>
        <w:pStyle w:val="Title"/>
        <w:rPr>
          <w:sz w:val="68"/>
          <w:szCs w:val="68"/>
        </w:rPr>
        <w:sectPr w:rsidR="008048CC" w:rsidRPr="00C9550B" w:rsidSect="00CF10C4">
          <w:headerReference w:type="even" r:id="rId8"/>
          <w:headerReference w:type="default" r:id="rId9"/>
          <w:headerReference w:type="first" r:id="rId10"/>
          <w:pgSz w:w="11906" w:h="16838" w:code="9"/>
          <w:pgMar w:top="1440" w:right="1440" w:bottom="1440" w:left="1440" w:header="0" w:footer="709" w:gutter="0"/>
          <w:cols w:space="708"/>
          <w:titlePg/>
          <w:docGrid w:linePitch="360"/>
        </w:sectPr>
      </w:pPr>
      <w:r w:rsidRPr="00C9550B">
        <w:rPr>
          <w:sz w:val="68"/>
          <w:szCs w:val="68"/>
        </w:rPr>
        <w:t>Travel by australians</w:t>
      </w:r>
      <w:r w:rsidRPr="00C9550B">
        <w:rPr>
          <w:sz w:val="68"/>
          <w:szCs w:val="68"/>
        </w:rPr>
        <w:br/>
      </w:r>
    </w:p>
    <w:p w14:paraId="7EA03E3B" w14:textId="1FE0E3CF" w:rsidR="009E5880" w:rsidRPr="004B18EE" w:rsidRDefault="00C9550B" w:rsidP="004B18EE">
      <w:pPr>
        <w:pStyle w:val="Heading2"/>
      </w:pPr>
      <w:r>
        <w:t xml:space="preserve"> </w:t>
      </w:r>
      <w:r w:rsidR="009E5880" w:rsidRPr="004B18EE">
        <w:t xml:space="preserve">Year Ending </w:t>
      </w:r>
      <w:r w:rsidR="00AA1B34" w:rsidRPr="004B18EE">
        <w:t>Dec</w:t>
      </w:r>
      <w:r w:rsidR="009E5880" w:rsidRPr="004B18EE">
        <w:t>ember 2020</w:t>
      </w:r>
    </w:p>
    <w:tbl>
      <w:tblPr>
        <w:tblStyle w:val="LightList-Accent5"/>
        <w:tblpPr w:leftFromText="180" w:rightFromText="180" w:vertAnchor="text" w:horzAnchor="margin" w:tblpY="112"/>
        <w:tblW w:w="9425"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568"/>
        <w:gridCol w:w="1573"/>
        <w:gridCol w:w="1569"/>
        <w:gridCol w:w="1573"/>
        <w:gridCol w:w="1568"/>
        <w:gridCol w:w="1574"/>
      </w:tblGrid>
      <w:tr w:rsidR="009E5880" w14:paraId="554A9903" w14:textId="77777777" w:rsidTr="00981CB0">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3141" w:type="dxa"/>
            <w:gridSpan w:val="2"/>
          </w:tcPr>
          <w:p w14:paraId="64806C2C" w14:textId="77777777" w:rsidR="009E5880" w:rsidRPr="00B17926" w:rsidRDefault="009E5880" w:rsidP="00C57877">
            <w:pPr>
              <w:rPr>
                <w:b/>
                <w:sz w:val="24"/>
              </w:rPr>
            </w:pPr>
            <w:r w:rsidRPr="00041B38">
              <w:rPr>
                <w:b/>
                <w:sz w:val="24"/>
              </w:rPr>
              <w:t>OVERNIGHT SPEND</w:t>
            </w:r>
          </w:p>
        </w:tc>
        <w:tc>
          <w:tcPr>
            <w:tcW w:w="3142" w:type="dxa"/>
            <w:gridSpan w:val="2"/>
          </w:tcPr>
          <w:p w14:paraId="2DC2AEE0" w14:textId="77777777" w:rsidR="009E5880" w:rsidRPr="00B17926" w:rsidRDefault="009E5880" w:rsidP="00C57877">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OVERNIGHT TRIPS</w:t>
            </w:r>
          </w:p>
        </w:tc>
        <w:tc>
          <w:tcPr>
            <w:tcW w:w="3142" w:type="dxa"/>
            <w:gridSpan w:val="2"/>
          </w:tcPr>
          <w:p w14:paraId="20BB8784" w14:textId="77777777" w:rsidR="009E5880" w:rsidRPr="00B17926" w:rsidRDefault="009E5880" w:rsidP="00C57877">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NIGHTS</w:t>
            </w:r>
          </w:p>
        </w:tc>
      </w:tr>
      <w:tr w:rsidR="00981CB0" w14:paraId="64BE6B2C" w14:textId="77777777" w:rsidTr="00981CB0">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568" w:type="dxa"/>
            <w:shd w:val="clear" w:color="auto" w:fill="DDDBD9" w:themeFill="accent5" w:themeFillTint="66"/>
          </w:tcPr>
          <w:p w14:paraId="29DCDB90" w14:textId="77777777" w:rsidR="009E5880" w:rsidRPr="00615278" w:rsidRDefault="009E5880" w:rsidP="00C57877">
            <w:pPr>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18DFE421"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9" w:type="dxa"/>
            <w:tcBorders>
              <w:left w:val="single" w:sz="4" w:space="0" w:color="auto"/>
            </w:tcBorders>
            <w:shd w:val="clear" w:color="auto" w:fill="DDDBD9" w:themeFill="accent5" w:themeFillTint="66"/>
          </w:tcPr>
          <w:p w14:paraId="603F7E08"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7ED2F403"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8" w:type="dxa"/>
            <w:tcBorders>
              <w:left w:val="single" w:sz="4" w:space="0" w:color="auto"/>
            </w:tcBorders>
            <w:shd w:val="clear" w:color="auto" w:fill="DDDBD9" w:themeFill="accent5" w:themeFillTint="66"/>
          </w:tcPr>
          <w:p w14:paraId="7DE801A2"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4" w:type="dxa"/>
            <w:shd w:val="clear" w:color="auto" w:fill="DDDBD9" w:themeFill="accent5" w:themeFillTint="66"/>
          </w:tcPr>
          <w:p w14:paraId="4893AF71"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981CB0" w:rsidRPr="005C0907" w14:paraId="2907B6CB" w14:textId="77777777" w:rsidTr="00981CB0">
        <w:trPr>
          <w:cnfStyle w:val="100000000000" w:firstRow="1" w:lastRow="0" w:firstColumn="0" w:lastColumn="0" w:oddVBand="0" w:evenVBand="0" w:oddHBand="0" w:evenHBand="0" w:firstRowFirstColumn="0" w:firstRowLastColumn="0" w:lastRowFirstColumn="0" w:lastRowLastColumn="0"/>
          <w:trHeight w:val="500"/>
          <w:tblHeader/>
        </w:trPr>
        <w:tc>
          <w:tcPr>
            <w:cnfStyle w:val="001000000000" w:firstRow="0" w:lastRow="0" w:firstColumn="1" w:lastColumn="0" w:oddVBand="0" w:evenVBand="0" w:oddHBand="0" w:evenHBand="0" w:firstRowFirstColumn="0" w:firstRowLastColumn="0" w:lastRowFirstColumn="0" w:lastRowLastColumn="0"/>
            <w:tcW w:w="1568" w:type="dxa"/>
          </w:tcPr>
          <w:p w14:paraId="7822711D" w14:textId="6C0C74FC" w:rsidR="006D11C6" w:rsidRPr="00CB3A27" w:rsidRDefault="006D11C6" w:rsidP="006D11C6">
            <w:pPr>
              <w:rPr>
                <w:color w:val="auto"/>
              </w:rPr>
            </w:pPr>
            <w:r w:rsidRPr="00CB3A27">
              <w:rPr>
                <w:color w:val="auto"/>
              </w:rPr>
              <w:t>$</w:t>
            </w:r>
            <w:r w:rsidR="00D60C27">
              <w:rPr>
                <w:color w:val="auto"/>
              </w:rPr>
              <w:t>45.6</w:t>
            </w:r>
            <w:r w:rsidRPr="00CB3A27">
              <w:rPr>
                <w:color w:val="auto"/>
              </w:rPr>
              <w:t xml:space="preserve"> billion</w:t>
            </w:r>
          </w:p>
        </w:tc>
        <w:tc>
          <w:tcPr>
            <w:tcW w:w="1573" w:type="dxa"/>
            <w:tcBorders>
              <w:top w:val="single" w:sz="6" w:space="0" w:color="ACA6A2" w:themeColor="accent5"/>
              <w:bottom w:val="single" w:sz="8" w:space="0" w:color="ACA6A2" w:themeColor="accent5"/>
              <w:right w:val="single" w:sz="4" w:space="0" w:color="auto"/>
            </w:tcBorders>
          </w:tcPr>
          <w:p w14:paraId="5C5A6895" w14:textId="34F0CF19" w:rsidR="006D11C6" w:rsidRPr="00CB3A27" w:rsidRDefault="006D11C6" w:rsidP="006D11C6">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 xml:space="preserve">Down </w:t>
            </w:r>
            <w:r w:rsidR="00D60C27">
              <w:rPr>
                <w:color w:val="auto"/>
              </w:rPr>
              <w:t>43</w:t>
            </w:r>
            <w:r w:rsidRPr="00CB3A27">
              <w:rPr>
                <w:color w:val="auto"/>
              </w:rPr>
              <w:t>%</w:t>
            </w:r>
          </w:p>
        </w:tc>
        <w:tc>
          <w:tcPr>
            <w:tcW w:w="1569" w:type="dxa"/>
            <w:tcBorders>
              <w:left w:val="single" w:sz="4" w:space="0" w:color="auto"/>
            </w:tcBorders>
          </w:tcPr>
          <w:p w14:paraId="136B107F" w14:textId="1545CD1F" w:rsidR="006D11C6" w:rsidRPr="00CB3A27" w:rsidRDefault="00D60C27" w:rsidP="006D11C6">
            <w:pPr>
              <w:cnfStyle w:val="100000000000" w:firstRow="1" w:lastRow="0" w:firstColumn="0" w:lastColumn="0" w:oddVBand="0" w:evenVBand="0" w:oddHBand="0" w:evenHBand="0" w:firstRowFirstColumn="0" w:firstRowLastColumn="0" w:lastRowFirstColumn="0" w:lastRowLastColumn="0"/>
              <w:rPr>
                <w:color w:val="auto"/>
              </w:rPr>
            </w:pPr>
            <w:r>
              <w:rPr>
                <w:color w:val="auto"/>
              </w:rPr>
              <w:t>72.5</w:t>
            </w:r>
            <w:r w:rsidR="006D11C6">
              <w:rPr>
                <w:color w:val="auto"/>
              </w:rPr>
              <w:t xml:space="preserve"> m</w:t>
            </w:r>
            <w:r w:rsidR="006D11C6" w:rsidRPr="00CB3A27">
              <w:rPr>
                <w:color w:val="auto"/>
              </w:rPr>
              <w:t>illion</w:t>
            </w:r>
          </w:p>
        </w:tc>
        <w:tc>
          <w:tcPr>
            <w:tcW w:w="1573" w:type="dxa"/>
            <w:tcBorders>
              <w:top w:val="single" w:sz="6" w:space="0" w:color="ACA6A2" w:themeColor="accent5"/>
              <w:bottom w:val="single" w:sz="8" w:space="0" w:color="ACA6A2" w:themeColor="accent5"/>
              <w:right w:val="single" w:sz="4" w:space="0" w:color="auto"/>
            </w:tcBorders>
          </w:tcPr>
          <w:p w14:paraId="0D648EFD" w14:textId="31DAEC57" w:rsidR="006D11C6" w:rsidRPr="00CB3A27" w:rsidRDefault="006D11C6" w:rsidP="006D11C6">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 xml:space="preserve">Down </w:t>
            </w:r>
            <w:r w:rsidR="00D60C27">
              <w:rPr>
                <w:color w:val="auto"/>
              </w:rPr>
              <w:t>38</w:t>
            </w:r>
            <w:r w:rsidRPr="00CB3A27">
              <w:rPr>
                <w:color w:val="auto"/>
              </w:rPr>
              <w:t>%</w:t>
            </w:r>
          </w:p>
        </w:tc>
        <w:tc>
          <w:tcPr>
            <w:tcW w:w="1568" w:type="dxa"/>
            <w:tcBorders>
              <w:left w:val="single" w:sz="4" w:space="0" w:color="auto"/>
            </w:tcBorders>
          </w:tcPr>
          <w:p w14:paraId="65CE31E3" w14:textId="36A9836C" w:rsidR="006D11C6" w:rsidRPr="00CB3A27" w:rsidRDefault="00D60C27" w:rsidP="006D11C6">
            <w:pPr>
              <w:cnfStyle w:val="100000000000" w:firstRow="1" w:lastRow="0" w:firstColumn="0" w:lastColumn="0" w:oddVBand="0" w:evenVBand="0" w:oddHBand="0" w:evenHBand="0" w:firstRowFirstColumn="0" w:firstRowLastColumn="0" w:lastRowFirstColumn="0" w:lastRowLastColumn="0"/>
              <w:rPr>
                <w:color w:val="auto"/>
              </w:rPr>
            </w:pPr>
            <w:r>
              <w:rPr>
                <w:color w:val="auto"/>
              </w:rPr>
              <w:t>275.4</w:t>
            </w:r>
            <w:r w:rsidR="006D11C6">
              <w:rPr>
                <w:color w:val="auto"/>
              </w:rPr>
              <w:t xml:space="preserve"> m</w:t>
            </w:r>
            <w:r w:rsidR="006D11C6" w:rsidRPr="00CB3A27">
              <w:rPr>
                <w:color w:val="auto"/>
              </w:rPr>
              <w:t>illion</w:t>
            </w:r>
          </w:p>
        </w:tc>
        <w:tc>
          <w:tcPr>
            <w:tcW w:w="1574" w:type="dxa"/>
          </w:tcPr>
          <w:p w14:paraId="325CB139" w14:textId="20239A75" w:rsidR="006D11C6" w:rsidRPr="00CB3A27" w:rsidRDefault="006D11C6" w:rsidP="006D11C6">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 xml:space="preserve">Down </w:t>
            </w:r>
            <w:r w:rsidR="00D60C27">
              <w:rPr>
                <w:color w:val="auto"/>
              </w:rPr>
              <w:t>34</w:t>
            </w:r>
            <w:r w:rsidRPr="00CB3A27">
              <w:rPr>
                <w:color w:val="auto"/>
              </w:rPr>
              <w:t>%</w:t>
            </w:r>
          </w:p>
        </w:tc>
      </w:tr>
    </w:tbl>
    <w:p w14:paraId="224529E0" w14:textId="066E0B33" w:rsidR="003F3C1F" w:rsidRDefault="00C9550B" w:rsidP="00DD3835">
      <w:pPr>
        <w:spacing w:after="120"/>
        <w:rPr>
          <w:rFonts w:ascii="Arial" w:hAnsi="Arial" w:cs="Arial"/>
        </w:rPr>
      </w:pPr>
      <w:r>
        <w:br/>
      </w:r>
      <w:r w:rsidR="00DD3835">
        <w:t>A myriad of varying restrictions and border closures</w:t>
      </w:r>
      <w:r w:rsidR="003F3C1F">
        <w:t xml:space="preserve"> due to COVID-19</w:t>
      </w:r>
      <w:r w:rsidR="00DD3835">
        <w:t xml:space="preserve"> impacted travel for much of the 2020 calendar year. </w:t>
      </w:r>
      <w:r w:rsidR="00DD3835" w:rsidRPr="005C0907">
        <w:t xml:space="preserve">Results for the year ending </w:t>
      </w:r>
      <w:r w:rsidR="00DD3835">
        <w:t>Dec</w:t>
      </w:r>
      <w:r w:rsidR="00DD3835" w:rsidRPr="005C0907">
        <w:t xml:space="preserve">ember 2020 continue to show the </w:t>
      </w:r>
      <w:r w:rsidR="00DD3835">
        <w:t>effe</w:t>
      </w:r>
      <w:r w:rsidR="00DD3835" w:rsidRPr="005C0907">
        <w:t xml:space="preserve">cts of a year devastated </w:t>
      </w:r>
      <w:r w:rsidR="003F3C1F">
        <w:t xml:space="preserve">firstly </w:t>
      </w:r>
      <w:r w:rsidR="00DD3835" w:rsidRPr="005C0907">
        <w:t xml:space="preserve">by bushfires </w:t>
      </w:r>
      <w:r w:rsidR="00157BD9">
        <w:t>then</w:t>
      </w:r>
      <w:r w:rsidR="003F3C1F">
        <w:t xml:space="preserve"> by the global health pandemic fro</w:t>
      </w:r>
      <w:r w:rsidR="00481180">
        <w:t>m</w:t>
      </w:r>
      <w:r w:rsidR="003F3C1F">
        <w:t xml:space="preserve"> COVID-19</w:t>
      </w:r>
      <w:r w:rsidR="00DD3835" w:rsidRPr="005C0907">
        <w:t xml:space="preserve">. </w:t>
      </w:r>
      <w:r w:rsidR="00DD3835">
        <w:rPr>
          <w:rFonts w:ascii="Arial" w:hAnsi="Arial" w:cs="Arial"/>
        </w:rPr>
        <w:t xml:space="preserve">However, signs of improvement can be seen in the December quarter with Australians taking more overnight trips than at any time since the start of the pandemic. </w:t>
      </w:r>
    </w:p>
    <w:p w14:paraId="157C474A" w14:textId="47919D4F" w:rsidR="00833F4C" w:rsidRDefault="00BF3E76" w:rsidP="00481180">
      <w:pPr>
        <w:spacing w:after="120"/>
        <w:rPr>
          <w:rFonts w:ascii="Arial" w:hAnsi="Arial" w:cs="Arial"/>
        </w:rPr>
      </w:pPr>
      <w:r w:rsidRPr="00BF3E76">
        <w:rPr>
          <w:rFonts w:ascii="Arial" w:hAnsi="Arial" w:cs="Arial"/>
        </w:rPr>
        <w:t>Overall, domestic overnight trips fell 38% to 72.5 million in the year ending December 2020, resulting in a decline in spend of 43% or $35.1 billion to $45.6 billion. Further losses of $8.9 billion were seen in results for domestic day travel bringing the total domestic tourism losses for the year to $44.0 billion when compared to the 2019 calendar year (Table 1). Additionally, international travel observed losses of 76% or $34.3 billion, bringing overall losses for tourism to $78.3 billion for the year.</w:t>
      </w:r>
    </w:p>
    <w:p w14:paraId="3D03F4BB" w14:textId="77777777" w:rsidR="006A05CB" w:rsidRDefault="006A05CB" w:rsidP="00481180">
      <w:pPr>
        <w:spacing w:after="120"/>
      </w:pPr>
    </w:p>
    <w:p w14:paraId="26A460D5" w14:textId="271E1DFB" w:rsidR="000B42DB" w:rsidRDefault="000B42DB" w:rsidP="000B42DB">
      <w:pPr>
        <w:spacing w:after="0"/>
      </w:pPr>
      <w:r w:rsidRPr="006F00FD">
        <w:rPr>
          <w:b/>
        </w:rPr>
        <w:t xml:space="preserve">TABLE 1: </w:t>
      </w:r>
      <w:r w:rsidR="00070827">
        <w:rPr>
          <w:b/>
        </w:rPr>
        <w:t>TOURISM</w:t>
      </w:r>
      <w:r w:rsidR="001A52F6">
        <w:rPr>
          <w:b/>
        </w:rPr>
        <w:t xml:space="preserve"> SUMMARY</w:t>
      </w:r>
      <w:r w:rsidRPr="006F00FD">
        <w:rPr>
          <w:b/>
        </w:rPr>
        <w:t xml:space="preserve">, </w:t>
      </w:r>
      <w:r w:rsidR="001A52F6">
        <w:rPr>
          <w:b/>
        </w:rPr>
        <w:t xml:space="preserve">2019 and </w:t>
      </w:r>
      <w:r>
        <w:rPr>
          <w:b/>
        </w:rPr>
        <w:t>2020 Calendar Year</w:t>
      </w:r>
      <w:r w:rsidR="001A52F6">
        <w:rPr>
          <w:b/>
        </w:rPr>
        <w:t>s</w:t>
      </w:r>
    </w:p>
    <w:tbl>
      <w:tblPr>
        <w:tblStyle w:val="TableGrid"/>
        <w:tblW w:w="9295" w:type="dxa"/>
        <w:tblInd w:w="133" w:type="dxa"/>
        <w:tblLook w:val="04A0" w:firstRow="1" w:lastRow="0" w:firstColumn="1" w:lastColumn="0" w:noHBand="0" w:noVBand="1"/>
        <w:tblCaption w:val="Table 1: Domestic travel, January September spend and visitors"/>
        <w:tblDescription w:val="Spend for overnight trips was down 48% from $60.3 billion in 2019 to $31.5 billion in 2020. &#10;Spend for day trips was down 38% from $19.3 billion in 2019 to $12.0 billion in 2020. &#10;Total domestic spend was down 45% from $79.6 billion in 2019 to $43.5 billion in 2020. &#10;Overnight visitors were down 42% from 88.0 million in 2019 to 50.8 million in 2020.&#10;Day trip visitors were down 37% from 186.2 million in 2019 to 116.6 million in 2020.&#10;Total domestic visitors were down 39% from 274.2 million in 2019 to 167.4 million in 2020."/>
      </w:tblPr>
      <w:tblGrid>
        <w:gridCol w:w="2223"/>
        <w:gridCol w:w="2355"/>
        <w:gridCol w:w="2356"/>
        <w:gridCol w:w="2361"/>
      </w:tblGrid>
      <w:tr w:rsidR="000B42DB" w14:paraId="5A937FD9" w14:textId="77777777" w:rsidTr="00981CB0">
        <w:trPr>
          <w:trHeight w:val="146"/>
          <w:tblHeader/>
        </w:trPr>
        <w:tc>
          <w:tcPr>
            <w:tcW w:w="9295" w:type="dxa"/>
            <w:gridSpan w:val="4"/>
          </w:tcPr>
          <w:p w14:paraId="0BA1D5CB" w14:textId="77777777" w:rsidR="000B42DB" w:rsidRPr="00B54D57" w:rsidRDefault="000B42DB" w:rsidP="00E963D0">
            <w:pPr>
              <w:pStyle w:val="Heading1"/>
              <w:outlineLvl w:val="0"/>
              <w:rPr>
                <w:sz w:val="20"/>
                <w:szCs w:val="20"/>
              </w:rPr>
            </w:pPr>
            <w:r w:rsidRPr="00B54D57">
              <w:rPr>
                <w:sz w:val="20"/>
                <w:szCs w:val="20"/>
              </w:rPr>
              <w:t>spend ($ billions)</w:t>
            </w:r>
          </w:p>
        </w:tc>
      </w:tr>
      <w:tr w:rsidR="00013999" w14:paraId="3FD5171D" w14:textId="77777777" w:rsidTr="00981CB0">
        <w:trPr>
          <w:trHeight w:val="146"/>
          <w:tblHeader/>
        </w:trPr>
        <w:tc>
          <w:tcPr>
            <w:tcW w:w="2223" w:type="dxa"/>
          </w:tcPr>
          <w:p w14:paraId="679C7D06" w14:textId="77777777" w:rsidR="000B42DB" w:rsidRPr="00B54D57" w:rsidRDefault="000B42DB" w:rsidP="00E963D0">
            <w:pPr>
              <w:pStyle w:val="Heading1"/>
              <w:outlineLvl w:val="0"/>
              <w:rPr>
                <w:sz w:val="20"/>
                <w:szCs w:val="20"/>
              </w:rPr>
            </w:pPr>
          </w:p>
        </w:tc>
        <w:tc>
          <w:tcPr>
            <w:tcW w:w="2355" w:type="dxa"/>
          </w:tcPr>
          <w:p w14:paraId="79753D2C" w14:textId="77777777" w:rsidR="000B42DB" w:rsidRPr="00B54D57" w:rsidRDefault="000B42DB" w:rsidP="00E963D0">
            <w:pPr>
              <w:pStyle w:val="Heading1"/>
              <w:outlineLvl w:val="0"/>
              <w:rPr>
                <w:sz w:val="20"/>
                <w:szCs w:val="20"/>
              </w:rPr>
            </w:pPr>
            <w:r w:rsidRPr="00B54D57">
              <w:rPr>
                <w:sz w:val="20"/>
                <w:szCs w:val="20"/>
              </w:rPr>
              <w:t>2019</w:t>
            </w:r>
          </w:p>
        </w:tc>
        <w:tc>
          <w:tcPr>
            <w:tcW w:w="2356" w:type="dxa"/>
          </w:tcPr>
          <w:p w14:paraId="21B8B3B4" w14:textId="77777777" w:rsidR="000B42DB" w:rsidRPr="00B54D57" w:rsidRDefault="000B42DB" w:rsidP="00E963D0">
            <w:pPr>
              <w:pStyle w:val="Heading1"/>
              <w:outlineLvl w:val="0"/>
              <w:rPr>
                <w:sz w:val="20"/>
                <w:szCs w:val="20"/>
              </w:rPr>
            </w:pPr>
            <w:r w:rsidRPr="00B54D57">
              <w:rPr>
                <w:sz w:val="20"/>
                <w:szCs w:val="20"/>
              </w:rPr>
              <w:t>2020</w:t>
            </w:r>
          </w:p>
        </w:tc>
        <w:tc>
          <w:tcPr>
            <w:tcW w:w="2360" w:type="dxa"/>
          </w:tcPr>
          <w:p w14:paraId="45D2B777" w14:textId="77777777" w:rsidR="000B42DB" w:rsidRPr="00B54D57" w:rsidRDefault="000B42DB" w:rsidP="00E963D0">
            <w:pPr>
              <w:pStyle w:val="Heading1"/>
              <w:outlineLvl w:val="0"/>
              <w:rPr>
                <w:sz w:val="20"/>
                <w:szCs w:val="20"/>
              </w:rPr>
            </w:pPr>
            <w:r w:rsidRPr="00B54D57">
              <w:rPr>
                <w:sz w:val="20"/>
                <w:szCs w:val="20"/>
              </w:rPr>
              <w:t>Change</w:t>
            </w:r>
          </w:p>
        </w:tc>
      </w:tr>
      <w:tr w:rsidR="00013999" w14:paraId="1DC50057" w14:textId="77777777" w:rsidTr="00981CB0">
        <w:trPr>
          <w:trHeight w:val="146"/>
          <w:tblHeader/>
        </w:trPr>
        <w:tc>
          <w:tcPr>
            <w:tcW w:w="2223" w:type="dxa"/>
          </w:tcPr>
          <w:p w14:paraId="6CE486EE" w14:textId="77777777" w:rsidR="000B42DB" w:rsidRPr="00B54D57" w:rsidRDefault="000B42DB" w:rsidP="00E963D0">
            <w:pPr>
              <w:pStyle w:val="Heading1"/>
              <w:outlineLvl w:val="0"/>
              <w:rPr>
                <w:sz w:val="20"/>
                <w:szCs w:val="20"/>
              </w:rPr>
            </w:pPr>
            <w:r w:rsidRPr="00B54D57">
              <w:rPr>
                <w:sz w:val="20"/>
                <w:szCs w:val="20"/>
              </w:rPr>
              <w:t>Overnight</w:t>
            </w:r>
          </w:p>
        </w:tc>
        <w:tc>
          <w:tcPr>
            <w:tcW w:w="2355" w:type="dxa"/>
          </w:tcPr>
          <w:p w14:paraId="161938AC" w14:textId="77777777" w:rsidR="000B42DB" w:rsidRPr="00B54D57" w:rsidRDefault="000B42DB" w:rsidP="00E963D0">
            <w:pPr>
              <w:pStyle w:val="Heading1"/>
              <w:outlineLvl w:val="0"/>
              <w:rPr>
                <w:sz w:val="20"/>
                <w:szCs w:val="20"/>
              </w:rPr>
            </w:pPr>
            <w:r w:rsidRPr="00B54D57">
              <w:rPr>
                <w:sz w:val="20"/>
                <w:szCs w:val="20"/>
              </w:rPr>
              <w:t>80.7</w:t>
            </w:r>
          </w:p>
        </w:tc>
        <w:tc>
          <w:tcPr>
            <w:tcW w:w="2356" w:type="dxa"/>
          </w:tcPr>
          <w:p w14:paraId="609FDAA6" w14:textId="77777777" w:rsidR="000B42DB" w:rsidRPr="00B54D57" w:rsidRDefault="000B42DB" w:rsidP="00E963D0">
            <w:pPr>
              <w:pStyle w:val="Heading1"/>
              <w:outlineLvl w:val="0"/>
              <w:rPr>
                <w:sz w:val="20"/>
                <w:szCs w:val="20"/>
              </w:rPr>
            </w:pPr>
            <w:r w:rsidRPr="00B54D57">
              <w:rPr>
                <w:sz w:val="20"/>
                <w:szCs w:val="20"/>
              </w:rPr>
              <w:t>45.6</w:t>
            </w:r>
          </w:p>
        </w:tc>
        <w:tc>
          <w:tcPr>
            <w:tcW w:w="2360" w:type="dxa"/>
          </w:tcPr>
          <w:p w14:paraId="6F940D09" w14:textId="77777777" w:rsidR="000B42DB" w:rsidRPr="00B54D57" w:rsidRDefault="000B42DB" w:rsidP="00E963D0">
            <w:pPr>
              <w:pStyle w:val="Heading1"/>
              <w:outlineLvl w:val="0"/>
              <w:rPr>
                <w:sz w:val="20"/>
                <w:szCs w:val="20"/>
              </w:rPr>
            </w:pPr>
            <w:r w:rsidRPr="00B54D57">
              <w:rPr>
                <w:sz w:val="20"/>
                <w:szCs w:val="20"/>
              </w:rPr>
              <w:t>-43%</w:t>
            </w:r>
          </w:p>
        </w:tc>
      </w:tr>
      <w:tr w:rsidR="00013999" w14:paraId="0392830A" w14:textId="77777777" w:rsidTr="00981CB0">
        <w:trPr>
          <w:trHeight w:val="146"/>
          <w:tblHeader/>
        </w:trPr>
        <w:tc>
          <w:tcPr>
            <w:tcW w:w="2223" w:type="dxa"/>
          </w:tcPr>
          <w:p w14:paraId="29AADD01" w14:textId="77777777" w:rsidR="000B42DB" w:rsidRPr="00B54D57" w:rsidRDefault="000B42DB" w:rsidP="00E963D0">
            <w:pPr>
              <w:pStyle w:val="Heading1"/>
              <w:outlineLvl w:val="0"/>
              <w:rPr>
                <w:sz w:val="20"/>
                <w:szCs w:val="20"/>
              </w:rPr>
            </w:pPr>
            <w:r w:rsidRPr="00B54D57">
              <w:rPr>
                <w:sz w:val="20"/>
                <w:szCs w:val="20"/>
              </w:rPr>
              <w:t>Day Trip</w:t>
            </w:r>
          </w:p>
        </w:tc>
        <w:tc>
          <w:tcPr>
            <w:tcW w:w="2355" w:type="dxa"/>
          </w:tcPr>
          <w:p w14:paraId="1AED2936" w14:textId="77777777" w:rsidR="000B42DB" w:rsidRPr="00B54D57" w:rsidRDefault="000B42DB" w:rsidP="00E963D0">
            <w:pPr>
              <w:pStyle w:val="Heading1"/>
              <w:outlineLvl w:val="0"/>
              <w:rPr>
                <w:sz w:val="20"/>
                <w:szCs w:val="20"/>
              </w:rPr>
            </w:pPr>
            <w:r w:rsidRPr="00B54D57">
              <w:rPr>
                <w:sz w:val="20"/>
                <w:szCs w:val="20"/>
              </w:rPr>
              <w:t>26.3</w:t>
            </w:r>
          </w:p>
        </w:tc>
        <w:tc>
          <w:tcPr>
            <w:tcW w:w="2356" w:type="dxa"/>
          </w:tcPr>
          <w:p w14:paraId="1752B8CA" w14:textId="77777777" w:rsidR="000B42DB" w:rsidRPr="00B54D57" w:rsidRDefault="000B42DB" w:rsidP="00E963D0">
            <w:pPr>
              <w:pStyle w:val="Heading1"/>
              <w:outlineLvl w:val="0"/>
              <w:rPr>
                <w:sz w:val="20"/>
                <w:szCs w:val="20"/>
              </w:rPr>
            </w:pPr>
            <w:r w:rsidRPr="00B54D57">
              <w:rPr>
                <w:sz w:val="20"/>
                <w:szCs w:val="20"/>
              </w:rPr>
              <w:t>17.4</w:t>
            </w:r>
          </w:p>
        </w:tc>
        <w:tc>
          <w:tcPr>
            <w:tcW w:w="2360" w:type="dxa"/>
          </w:tcPr>
          <w:p w14:paraId="5B87CB63" w14:textId="77777777" w:rsidR="000B42DB" w:rsidRPr="00B54D57" w:rsidRDefault="000B42DB" w:rsidP="00E963D0">
            <w:pPr>
              <w:pStyle w:val="Heading1"/>
              <w:outlineLvl w:val="0"/>
              <w:rPr>
                <w:sz w:val="20"/>
                <w:szCs w:val="20"/>
              </w:rPr>
            </w:pPr>
            <w:r w:rsidRPr="00B54D57">
              <w:rPr>
                <w:sz w:val="20"/>
                <w:szCs w:val="20"/>
              </w:rPr>
              <w:t>-34%</w:t>
            </w:r>
          </w:p>
        </w:tc>
      </w:tr>
      <w:tr w:rsidR="00070827" w14:paraId="1F6B7EA8" w14:textId="77777777" w:rsidTr="00981CB0">
        <w:trPr>
          <w:trHeight w:val="146"/>
          <w:tblHeader/>
        </w:trPr>
        <w:tc>
          <w:tcPr>
            <w:tcW w:w="2223" w:type="dxa"/>
          </w:tcPr>
          <w:p w14:paraId="4EB78DB5" w14:textId="797A572B" w:rsidR="00070827" w:rsidRPr="00B54D57" w:rsidRDefault="00070827" w:rsidP="00E963D0">
            <w:pPr>
              <w:pStyle w:val="Heading1"/>
              <w:outlineLvl w:val="0"/>
              <w:rPr>
                <w:sz w:val="20"/>
                <w:szCs w:val="20"/>
              </w:rPr>
            </w:pPr>
            <w:r w:rsidRPr="00B54D57">
              <w:rPr>
                <w:sz w:val="20"/>
                <w:szCs w:val="20"/>
              </w:rPr>
              <w:t>INTERNATIONAL</w:t>
            </w:r>
          </w:p>
        </w:tc>
        <w:tc>
          <w:tcPr>
            <w:tcW w:w="2355" w:type="dxa"/>
          </w:tcPr>
          <w:p w14:paraId="72C44699" w14:textId="4D61B9A3" w:rsidR="00070827" w:rsidRPr="00B54D57" w:rsidRDefault="002706CB" w:rsidP="00E963D0">
            <w:pPr>
              <w:pStyle w:val="Heading1"/>
              <w:outlineLvl w:val="0"/>
              <w:rPr>
                <w:sz w:val="20"/>
                <w:szCs w:val="20"/>
              </w:rPr>
            </w:pPr>
            <w:r w:rsidRPr="00B54D57">
              <w:rPr>
                <w:sz w:val="20"/>
                <w:szCs w:val="20"/>
              </w:rPr>
              <w:t>45.4</w:t>
            </w:r>
          </w:p>
        </w:tc>
        <w:tc>
          <w:tcPr>
            <w:tcW w:w="2356" w:type="dxa"/>
          </w:tcPr>
          <w:p w14:paraId="6ED5405C" w14:textId="21A55049" w:rsidR="00070827" w:rsidRPr="00B54D57" w:rsidRDefault="002706CB" w:rsidP="00E963D0">
            <w:pPr>
              <w:pStyle w:val="Heading1"/>
              <w:outlineLvl w:val="0"/>
              <w:rPr>
                <w:sz w:val="20"/>
                <w:szCs w:val="20"/>
              </w:rPr>
            </w:pPr>
            <w:r w:rsidRPr="00B54D57">
              <w:rPr>
                <w:sz w:val="20"/>
                <w:szCs w:val="20"/>
              </w:rPr>
              <w:t>11.0</w:t>
            </w:r>
          </w:p>
        </w:tc>
        <w:tc>
          <w:tcPr>
            <w:tcW w:w="2360" w:type="dxa"/>
          </w:tcPr>
          <w:p w14:paraId="0612EF1A" w14:textId="3A33AF95" w:rsidR="00070827" w:rsidRPr="00B54D57" w:rsidRDefault="002706CB" w:rsidP="00E963D0">
            <w:pPr>
              <w:pStyle w:val="Heading1"/>
              <w:outlineLvl w:val="0"/>
              <w:rPr>
                <w:sz w:val="20"/>
                <w:szCs w:val="20"/>
              </w:rPr>
            </w:pPr>
            <w:r w:rsidRPr="00B54D57">
              <w:rPr>
                <w:sz w:val="20"/>
                <w:szCs w:val="20"/>
              </w:rPr>
              <w:t>-76%</w:t>
            </w:r>
          </w:p>
        </w:tc>
      </w:tr>
      <w:tr w:rsidR="00013999" w14:paraId="2F2A6275" w14:textId="77777777" w:rsidTr="00981CB0">
        <w:trPr>
          <w:trHeight w:val="146"/>
          <w:tblHeader/>
        </w:trPr>
        <w:tc>
          <w:tcPr>
            <w:tcW w:w="2223" w:type="dxa"/>
          </w:tcPr>
          <w:p w14:paraId="26B9C397" w14:textId="77777777" w:rsidR="000B42DB" w:rsidRPr="00B54D57" w:rsidRDefault="000B42DB" w:rsidP="00E963D0">
            <w:pPr>
              <w:pStyle w:val="Heading1"/>
              <w:outlineLvl w:val="0"/>
              <w:rPr>
                <w:sz w:val="20"/>
                <w:szCs w:val="20"/>
              </w:rPr>
            </w:pPr>
            <w:r w:rsidRPr="00B54D57">
              <w:rPr>
                <w:sz w:val="20"/>
                <w:szCs w:val="20"/>
              </w:rPr>
              <w:t>Total</w:t>
            </w:r>
          </w:p>
        </w:tc>
        <w:tc>
          <w:tcPr>
            <w:tcW w:w="2355" w:type="dxa"/>
          </w:tcPr>
          <w:p w14:paraId="3F915118" w14:textId="106C5B15" w:rsidR="000B42DB" w:rsidRPr="00B54D57" w:rsidRDefault="002706CB" w:rsidP="00E963D0">
            <w:pPr>
              <w:pStyle w:val="Heading1"/>
              <w:outlineLvl w:val="0"/>
              <w:rPr>
                <w:sz w:val="20"/>
                <w:szCs w:val="20"/>
              </w:rPr>
            </w:pPr>
            <w:r w:rsidRPr="00B54D57">
              <w:rPr>
                <w:sz w:val="20"/>
                <w:szCs w:val="20"/>
              </w:rPr>
              <w:t>152.4</w:t>
            </w:r>
          </w:p>
        </w:tc>
        <w:tc>
          <w:tcPr>
            <w:tcW w:w="2356" w:type="dxa"/>
          </w:tcPr>
          <w:p w14:paraId="44E0EC5F" w14:textId="6808B618" w:rsidR="000B42DB" w:rsidRPr="00B54D57" w:rsidRDefault="002706CB" w:rsidP="00E963D0">
            <w:pPr>
              <w:pStyle w:val="Heading1"/>
              <w:outlineLvl w:val="0"/>
              <w:rPr>
                <w:sz w:val="20"/>
                <w:szCs w:val="20"/>
              </w:rPr>
            </w:pPr>
            <w:r w:rsidRPr="00B54D57">
              <w:rPr>
                <w:sz w:val="20"/>
                <w:szCs w:val="20"/>
              </w:rPr>
              <w:t>74.1</w:t>
            </w:r>
          </w:p>
        </w:tc>
        <w:tc>
          <w:tcPr>
            <w:tcW w:w="2360" w:type="dxa"/>
          </w:tcPr>
          <w:p w14:paraId="03D8CC83" w14:textId="75395B47" w:rsidR="000B42DB" w:rsidRPr="00B54D57" w:rsidRDefault="002706CB" w:rsidP="00E963D0">
            <w:pPr>
              <w:pStyle w:val="Heading1"/>
              <w:outlineLvl w:val="0"/>
              <w:rPr>
                <w:sz w:val="20"/>
                <w:szCs w:val="20"/>
              </w:rPr>
            </w:pPr>
            <w:r w:rsidRPr="00B54D57">
              <w:rPr>
                <w:sz w:val="20"/>
                <w:szCs w:val="20"/>
              </w:rPr>
              <w:t>-51%</w:t>
            </w:r>
          </w:p>
        </w:tc>
      </w:tr>
      <w:tr w:rsidR="000B42DB" w14:paraId="64AD378A" w14:textId="77777777" w:rsidTr="00981CB0">
        <w:trPr>
          <w:trHeight w:val="146"/>
          <w:tblHeader/>
        </w:trPr>
        <w:tc>
          <w:tcPr>
            <w:tcW w:w="9295" w:type="dxa"/>
            <w:gridSpan w:val="4"/>
          </w:tcPr>
          <w:p w14:paraId="080FE412" w14:textId="77777777" w:rsidR="000B42DB" w:rsidRPr="00B54D57" w:rsidRDefault="000B42DB" w:rsidP="00E963D0">
            <w:pPr>
              <w:pStyle w:val="Heading1"/>
              <w:outlineLvl w:val="0"/>
              <w:rPr>
                <w:sz w:val="20"/>
                <w:szCs w:val="20"/>
              </w:rPr>
            </w:pPr>
            <w:r w:rsidRPr="00B54D57">
              <w:rPr>
                <w:sz w:val="20"/>
                <w:szCs w:val="20"/>
              </w:rPr>
              <w:t>Visitors (millions)</w:t>
            </w:r>
          </w:p>
        </w:tc>
      </w:tr>
      <w:tr w:rsidR="00013999" w14:paraId="65E1DAAA" w14:textId="77777777" w:rsidTr="00981CB0">
        <w:trPr>
          <w:trHeight w:val="146"/>
          <w:tblHeader/>
        </w:trPr>
        <w:tc>
          <w:tcPr>
            <w:tcW w:w="2223" w:type="dxa"/>
          </w:tcPr>
          <w:p w14:paraId="6438A164" w14:textId="77777777" w:rsidR="000B42DB" w:rsidRPr="00B54D57" w:rsidRDefault="000B42DB" w:rsidP="00E963D0">
            <w:pPr>
              <w:pStyle w:val="Heading1"/>
              <w:outlineLvl w:val="0"/>
              <w:rPr>
                <w:sz w:val="20"/>
                <w:szCs w:val="20"/>
              </w:rPr>
            </w:pPr>
          </w:p>
        </w:tc>
        <w:tc>
          <w:tcPr>
            <w:tcW w:w="2355" w:type="dxa"/>
          </w:tcPr>
          <w:p w14:paraId="6B94679F" w14:textId="77777777" w:rsidR="000B42DB" w:rsidRPr="00B54D57" w:rsidRDefault="000B42DB" w:rsidP="00E963D0">
            <w:pPr>
              <w:pStyle w:val="Heading1"/>
              <w:outlineLvl w:val="0"/>
              <w:rPr>
                <w:sz w:val="20"/>
                <w:szCs w:val="20"/>
              </w:rPr>
            </w:pPr>
            <w:r w:rsidRPr="00B54D57">
              <w:rPr>
                <w:sz w:val="20"/>
                <w:szCs w:val="20"/>
              </w:rPr>
              <w:t>2019</w:t>
            </w:r>
          </w:p>
        </w:tc>
        <w:tc>
          <w:tcPr>
            <w:tcW w:w="2356" w:type="dxa"/>
          </w:tcPr>
          <w:p w14:paraId="375826FD" w14:textId="77777777" w:rsidR="000B42DB" w:rsidRPr="00B54D57" w:rsidRDefault="000B42DB" w:rsidP="00E963D0">
            <w:pPr>
              <w:pStyle w:val="Heading1"/>
              <w:outlineLvl w:val="0"/>
              <w:rPr>
                <w:sz w:val="20"/>
                <w:szCs w:val="20"/>
              </w:rPr>
            </w:pPr>
            <w:r w:rsidRPr="00B54D57">
              <w:rPr>
                <w:sz w:val="20"/>
                <w:szCs w:val="20"/>
              </w:rPr>
              <w:t>2020</w:t>
            </w:r>
          </w:p>
        </w:tc>
        <w:tc>
          <w:tcPr>
            <w:tcW w:w="2360" w:type="dxa"/>
          </w:tcPr>
          <w:p w14:paraId="4BDC84DC" w14:textId="77777777" w:rsidR="000B42DB" w:rsidRPr="00B54D57" w:rsidRDefault="000B42DB" w:rsidP="00E963D0">
            <w:pPr>
              <w:pStyle w:val="Heading1"/>
              <w:outlineLvl w:val="0"/>
              <w:rPr>
                <w:sz w:val="20"/>
                <w:szCs w:val="20"/>
              </w:rPr>
            </w:pPr>
            <w:r w:rsidRPr="00B54D57">
              <w:rPr>
                <w:sz w:val="20"/>
                <w:szCs w:val="20"/>
              </w:rPr>
              <w:t>Change</w:t>
            </w:r>
          </w:p>
        </w:tc>
      </w:tr>
      <w:tr w:rsidR="00013999" w14:paraId="51982994" w14:textId="77777777" w:rsidTr="00981CB0">
        <w:trPr>
          <w:trHeight w:val="146"/>
          <w:tblHeader/>
        </w:trPr>
        <w:tc>
          <w:tcPr>
            <w:tcW w:w="2223" w:type="dxa"/>
          </w:tcPr>
          <w:p w14:paraId="248E976F" w14:textId="77777777" w:rsidR="000B42DB" w:rsidRPr="00B54D57" w:rsidRDefault="000B42DB" w:rsidP="00E963D0">
            <w:pPr>
              <w:pStyle w:val="Heading1"/>
              <w:outlineLvl w:val="0"/>
              <w:rPr>
                <w:sz w:val="20"/>
                <w:szCs w:val="20"/>
              </w:rPr>
            </w:pPr>
            <w:r w:rsidRPr="00B54D57">
              <w:rPr>
                <w:sz w:val="20"/>
                <w:szCs w:val="20"/>
              </w:rPr>
              <w:t>Overnight</w:t>
            </w:r>
          </w:p>
        </w:tc>
        <w:tc>
          <w:tcPr>
            <w:tcW w:w="2355" w:type="dxa"/>
          </w:tcPr>
          <w:p w14:paraId="0D54317A" w14:textId="77777777" w:rsidR="000B42DB" w:rsidRPr="00B54D57" w:rsidRDefault="000B42DB" w:rsidP="00E963D0">
            <w:pPr>
              <w:pStyle w:val="Heading1"/>
              <w:outlineLvl w:val="0"/>
              <w:rPr>
                <w:sz w:val="20"/>
                <w:szCs w:val="20"/>
              </w:rPr>
            </w:pPr>
            <w:r w:rsidRPr="00B54D57">
              <w:rPr>
                <w:sz w:val="20"/>
                <w:szCs w:val="20"/>
              </w:rPr>
              <w:t>117.4</w:t>
            </w:r>
            <w:r w:rsidRPr="00B54D57" w:rsidDel="00AA1B34">
              <w:rPr>
                <w:sz w:val="20"/>
                <w:szCs w:val="20"/>
              </w:rPr>
              <w:t xml:space="preserve"> </w:t>
            </w:r>
          </w:p>
        </w:tc>
        <w:tc>
          <w:tcPr>
            <w:tcW w:w="2356" w:type="dxa"/>
          </w:tcPr>
          <w:p w14:paraId="71FAD8FA" w14:textId="77777777" w:rsidR="000B42DB" w:rsidRPr="00B54D57" w:rsidRDefault="000B42DB" w:rsidP="00E963D0">
            <w:pPr>
              <w:pStyle w:val="Heading1"/>
              <w:outlineLvl w:val="0"/>
              <w:rPr>
                <w:sz w:val="20"/>
                <w:szCs w:val="20"/>
              </w:rPr>
            </w:pPr>
            <w:r w:rsidRPr="00B54D57">
              <w:rPr>
                <w:sz w:val="20"/>
                <w:szCs w:val="20"/>
              </w:rPr>
              <w:t>72.5</w:t>
            </w:r>
            <w:r w:rsidRPr="00B54D57" w:rsidDel="00AA1B34">
              <w:rPr>
                <w:sz w:val="20"/>
                <w:szCs w:val="20"/>
              </w:rPr>
              <w:t xml:space="preserve"> </w:t>
            </w:r>
          </w:p>
        </w:tc>
        <w:tc>
          <w:tcPr>
            <w:tcW w:w="2360" w:type="dxa"/>
          </w:tcPr>
          <w:p w14:paraId="3F62EFD9" w14:textId="77777777" w:rsidR="000B42DB" w:rsidRPr="00B54D57" w:rsidRDefault="000B42DB" w:rsidP="00E963D0">
            <w:pPr>
              <w:pStyle w:val="Heading1"/>
              <w:outlineLvl w:val="0"/>
              <w:rPr>
                <w:sz w:val="20"/>
                <w:szCs w:val="20"/>
              </w:rPr>
            </w:pPr>
            <w:r w:rsidRPr="00B54D57">
              <w:rPr>
                <w:sz w:val="20"/>
                <w:szCs w:val="20"/>
              </w:rPr>
              <w:t>-38%</w:t>
            </w:r>
          </w:p>
        </w:tc>
      </w:tr>
      <w:tr w:rsidR="00013999" w14:paraId="0F80076C" w14:textId="77777777" w:rsidTr="00981CB0">
        <w:trPr>
          <w:trHeight w:val="146"/>
          <w:tblHeader/>
        </w:trPr>
        <w:tc>
          <w:tcPr>
            <w:tcW w:w="2223" w:type="dxa"/>
          </w:tcPr>
          <w:p w14:paraId="557FF31F" w14:textId="77777777" w:rsidR="000B42DB" w:rsidRPr="00B54D57" w:rsidRDefault="000B42DB" w:rsidP="00E963D0">
            <w:pPr>
              <w:pStyle w:val="Heading1"/>
              <w:outlineLvl w:val="0"/>
              <w:rPr>
                <w:sz w:val="20"/>
                <w:szCs w:val="20"/>
              </w:rPr>
            </w:pPr>
            <w:r w:rsidRPr="00B54D57">
              <w:rPr>
                <w:sz w:val="20"/>
                <w:szCs w:val="20"/>
              </w:rPr>
              <w:t>Day Trip</w:t>
            </w:r>
          </w:p>
        </w:tc>
        <w:tc>
          <w:tcPr>
            <w:tcW w:w="2355" w:type="dxa"/>
          </w:tcPr>
          <w:p w14:paraId="289EDCBB" w14:textId="77777777" w:rsidR="000B42DB" w:rsidRPr="00B54D57" w:rsidRDefault="000B42DB" w:rsidP="00E963D0">
            <w:pPr>
              <w:pStyle w:val="Heading1"/>
              <w:outlineLvl w:val="0"/>
              <w:rPr>
                <w:sz w:val="20"/>
                <w:szCs w:val="20"/>
              </w:rPr>
            </w:pPr>
            <w:r w:rsidRPr="00B54D57">
              <w:rPr>
                <w:sz w:val="20"/>
                <w:szCs w:val="20"/>
              </w:rPr>
              <w:t>248.3</w:t>
            </w:r>
            <w:r w:rsidRPr="00B54D57" w:rsidDel="00AA1B34">
              <w:rPr>
                <w:sz w:val="20"/>
                <w:szCs w:val="20"/>
              </w:rPr>
              <w:t xml:space="preserve"> </w:t>
            </w:r>
          </w:p>
        </w:tc>
        <w:tc>
          <w:tcPr>
            <w:tcW w:w="2356" w:type="dxa"/>
          </w:tcPr>
          <w:p w14:paraId="7186BE0F" w14:textId="77777777" w:rsidR="000B42DB" w:rsidRPr="00B54D57" w:rsidRDefault="000B42DB" w:rsidP="00E963D0">
            <w:pPr>
              <w:pStyle w:val="Heading1"/>
              <w:outlineLvl w:val="0"/>
              <w:rPr>
                <w:sz w:val="20"/>
                <w:szCs w:val="20"/>
              </w:rPr>
            </w:pPr>
            <w:r w:rsidRPr="00B54D57">
              <w:rPr>
                <w:sz w:val="20"/>
                <w:szCs w:val="20"/>
              </w:rPr>
              <w:t>164.2</w:t>
            </w:r>
            <w:r w:rsidRPr="00B54D57" w:rsidDel="00AA1B34">
              <w:rPr>
                <w:sz w:val="20"/>
                <w:szCs w:val="20"/>
              </w:rPr>
              <w:t xml:space="preserve"> </w:t>
            </w:r>
          </w:p>
        </w:tc>
        <w:tc>
          <w:tcPr>
            <w:tcW w:w="2360" w:type="dxa"/>
          </w:tcPr>
          <w:p w14:paraId="59363444" w14:textId="77777777" w:rsidR="000B42DB" w:rsidRPr="00B54D57" w:rsidRDefault="000B42DB" w:rsidP="00E963D0">
            <w:pPr>
              <w:pStyle w:val="Heading1"/>
              <w:outlineLvl w:val="0"/>
              <w:rPr>
                <w:sz w:val="20"/>
                <w:szCs w:val="20"/>
              </w:rPr>
            </w:pPr>
            <w:r w:rsidRPr="00B54D57">
              <w:rPr>
                <w:sz w:val="20"/>
                <w:szCs w:val="20"/>
              </w:rPr>
              <w:t>-34%</w:t>
            </w:r>
          </w:p>
        </w:tc>
      </w:tr>
      <w:tr w:rsidR="00070827" w14:paraId="6D8495EA" w14:textId="77777777" w:rsidTr="00981CB0">
        <w:trPr>
          <w:trHeight w:val="146"/>
          <w:tblHeader/>
        </w:trPr>
        <w:tc>
          <w:tcPr>
            <w:tcW w:w="2223" w:type="dxa"/>
          </w:tcPr>
          <w:p w14:paraId="3F9BEEFD" w14:textId="2EC653AD" w:rsidR="00070827" w:rsidRPr="00B54D57" w:rsidRDefault="00070827" w:rsidP="00E963D0">
            <w:pPr>
              <w:pStyle w:val="Heading1"/>
              <w:outlineLvl w:val="0"/>
              <w:rPr>
                <w:sz w:val="20"/>
                <w:szCs w:val="20"/>
              </w:rPr>
            </w:pPr>
            <w:r w:rsidRPr="00B54D57">
              <w:rPr>
                <w:sz w:val="20"/>
                <w:szCs w:val="20"/>
              </w:rPr>
              <w:t>INTERNATIONAL</w:t>
            </w:r>
          </w:p>
        </w:tc>
        <w:tc>
          <w:tcPr>
            <w:tcW w:w="2355" w:type="dxa"/>
          </w:tcPr>
          <w:p w14:paraId="5C2C491C" w14:textId="663FBC46" w:rsidR="00070827" w:rsidRPr="00B54D57" w:rsidRDefault="002706CB" w:rsidP="00E963D0">
            <w:pPr>
              <w:pStyle w:val="Heading1"/>
              <w:outlineLvl w:val="0"/>
              <w:rPr>
                <w:sz w:val="20"/>
                <w:szCs w:val="20"/>
              </w:rPr>
            </w:pPr>
            <w:r w:rsidRPr="00B54D57">
              <w:rPr>
                <w:sz w:val="20"/>
                <w:szCs w:val="20"/>
              </w:rPr>
              <w:t>8.7</w:t>
            </w:r>
          </w:p>
        </w:tc>
        <w:tc>
          <w:tcPr>
            <w:tcW w:w="2356" w:type="dxa"/>
          </w:tcPr>
          <w:p w14:paraId="29FD91E9" w14:textId="13F05D96" w:rsidR="00070827" w:rsidRPr="00B54D57" w:rsidRDefault="002706CB" w:rsidP="00E963D0">
            <w:pPr>
              <w:pStyle w:val="Heading1"/>
              <w:outlineLvl w:val="0"/>
              <w:rPr>
                <w:sz w:val="20"/>
                <w:szCs w:val="20"/>
              </w:rPr>
            </w:pPr>
            <w:r w:rsidRPr="00B54D57">
              <w:rPr>
                <w:sz w:val="20"/>
                <w:szCs w:val="20"/>
              </w:rPr>
              <w:t>1.7</w:t>
            </w:r>
          </w:p>
        </w:tc>
        <w:tc>
          <w:tcPr>
            <w:tcW w:w="2360" w:type="dxa"/>
          </w:tcPr>
          <w:p w14:paraId="7FD37035" w14:textId="5FF3E066" w:rsidR="00070827" w:rsidRPr="00B54D57" w:rsidRDefault="002706CB" w:rsidP="00E963D0">
            <w:pPr>
              <w:pStyle w:val="Heading1"/>
              <w:outlineLvl w:val="0"/>
              <w:rPr>
                <w:sz w:val="20"/>
                <w:szCs w:val="20"/>
              </w:rPr>
            </w:pPr>
            <w:r w:rsidRPr="00B54D57">
              <w:rPr>
                <w:sz w:val="20"/>
                <w:szCs w:val="20"/>
              </w:rPr>
              <w:t>-80</w:t>
            </w:r>
            <w:r w:rsidR="006E6B07" w:rsidRPr="00B54D57">
              <w:rPr>
                <w:sz w:val="20"/>
                <w:szCs w:val="20"/>
              </w:rPr>
              <w:t>%</w:t>
            </w:r>
          </w:p>
        </w:tc>
      </w:tr>
      <w:tr w:rsidR="00013999" w14:paraId="7C12A4B3" w14:textId="77777777" w:rsidTr="00981CB0">
        <w:trPr>
          <w:trHeight w:val="146"/>
          <w:tblHeader/>
        </w:trPr>
        <w:tc>
          <w:tcPr>
            <w:tcW w:w="2223" w:type="dxa"/>
          </w:tcPr>
          <w:p w14:paraId="3DA9713B" w14:textId="77777777" w:rsidR="000B42DB" w:rsidRPr="00B54D57" w:rsidRDefault="000B42DB" w:rsidP="00E963D0">
            <w:pPr>
              <w:pStyle w:val="Heading1"/>
              <w:outlineLvl w:val="0"/>
              <w:rPr>
                <w:sz w:val="20"/>
                <w:szCs w:val="20"/>
              </w:rPr>
            </w:pPr>
            <w:r w:rsidRPr="00B54D57">
              <w:rPr>
                <w:sz w:val="20"/>
                <w:szCs w:val="20"/>
              </w:rPr>
              <w:t>Total</w:t>
            </w:r>
          </w:p>
        </w:tc>
        <w:tc>
          <w:tcPr>
            <w:tcW w:w="2355" w:type="dxa"/>
          </w:tcPr>
          <w:p w14:paraId="2869CAB6" w14:textId="100DA33A" w:rsidR="000B42DB" w:rsidRPr="00B54D57" w:rsidRDefault="002706CB" w:rsidP="00E963D0">
            <w:pPr>
              <w:pStyle w:val="Heading1"/>
              <w:outlineLvl w:val="0"/>
              <w:rPr>
                <w:sz w:val="20"/>
                <w:szCs w:val="20"/>
              </w:rPr>
            </w:pPr>
            <w:r w:rsidRPr="00B54D57">
              <w:rPr>
                <w:sz w:val="20"/>
                <w:szCs w:val="20"/>
              </w:rPr>
              <w:t>374.5</w:t>
            </w:r>
          </w:p>
        </w:tc>
        <w:tc>
          <w:tcPr>
            <w:tcW w:w="2356" w:type="dxa"/>
          </w:tcPr>
          <w:p w14:paraId="7D927FA1" w14:textId="763B9835" w:rsidR="000B42DB" w:rsidRPr="00B54D57" w:rsidRDefault="002706CB" w:rsidP="00E963D0">
            <w:pPr>
              <w:pStyle w:val="Heading1"/>
              <w:outlineLvl w:val="0"/>
              <w:rPr>
                <w:sz w:val="20"/>
                <w:szCs w:val="20"/>
              </w:rPr>
            </w:pPr>
            <w:r w:rsidRPr="00B54D57">
              <w:rPr>
                <w:sz w:val="20"/>
                <w:szCs w:val="20"/>
              </w:rPr>
              <w:t>238.4</w:t>
            </w:r>
          </w:p>
        </w:tc>
        <w:tc>
          <w:tcPr>
            <w:tcW w:w="2360" w:type="dxa"/>
          </w:tcPr>
          <w:p w14:paraId="783749AF" w14:textId="29F48644" w:rsidR="000B42DB" w:rsidRPr="00B54D57" w:rsidRDefault="002706CB" w:rsidP="00E963D0">
            <w:pPr>
              <w:pStyle w:val="Heading1"/>
              <w:outlineLvl w:val="0"/>
              <w:rPr>
                <w:sz w:val="20"/>
                <w:szCs w:val="20"/>
              </w:rPr>
            </w:pPr>
            <w:r w:rsidRPr="00B54D57">
              <w:rPr>
                <w:sz w:val="20"/>
                <w:szCs w:val="20"/>
              </w:rPr>
              <w:t>-36</w:t>
            </w:r>
            <w:r w:rsidR="006E6B07" w:rsidRPr="00B54D57">
              <w:rPr>
                <w:sz w:val="20"/>
                <w:szCs w:val="20"/>
              </w:rPr>
              <w:t>%</w:t>
            </w:r>
          </w:p>
        </w:tc>
      </w:tr>
    </w:tbl>
    <w:p w14:paraId="0C590B2E" w14:textId="77777777" w:rsidR="000B42DB" w:rsidRDefault="000B42DB" w:rsidP="00DD3835"/>
    <w:p w14:paraId="0DE241D7" w14:textId="77777777" w:rsidR="000B42DB" w:rsidRDefault="000B42DB" w:rsidP="000B42DB">
      <w:pPr>
        <w:pStyle w:val="Heading3"/>
      </w:pPr>
      <w:r>
        <w:lastRenderedPageBreak/>
        <w:t>INTERSTATE and INTRASTATE TRAVEL</w:t>
      </w:r>
    </w:p>
    <w:p w14:paraId="4BA801A5" w14:textId="03C99F39" w:rsidR="000B42DB" w:rsidRDefault="000C4532" w:rsidP="000B42DB">
      <w:r>
        <w:t>COVID-19 related travel</w:t>
      </w:r>
      <w:r w:rsidR="00F42375">
        <w:t xml:space="preserve"> restrictions and border closures have heavily impacted interstate movement. </w:t>
      </w:r>
      <w:r w:rsidR="002926F2">
        <w:t xml:space="preserve">With Australians switching to travel within their home state the share of </w:t>
      </w:r>
      <w:r w:rsidR="000B42DB">
        <w:t>intrastate overnight trips and spend increase</w:t>
      </w:r>
      <w:r w:rsidR="002926F2">
        <w:t>d</w:t>
      </w:r>
      <w:r w:rsidR="000B42DB">
        <w:t xml:space="preserve"> across all states and territories in the 2020 calendar year. Nationally, the share of overnight intrastate trips increased </w:t>
      </w:r>
      <w:r>
        <w:t>from 67</w:t>
      </w:r>
      <w:r w:rsidR="00A83BE8">
        <w:t>% to</w:t>
      </w:r>
      <w:r>
        <w:t xml:space="preserve"> 81</w:t>
      </w:r>
      <w:r w:rsidR="000B42DB">
        <w:t xml:space="preserve">% </w:t>
      </w:r>
      <w:r>
        <w:t>for overnight trips and 4</w:t>
      </w:r>
      <w:r w:rsidR="00A83BE8">
        <w:t xml:space="preserve">4% </w:t>
      </w:r>
      <w:r>
        <w:t>to 67</w:t>
      </w:r>
      <w:r w:rsidR="000B42DB">
        <w:t>%</w:t>
      </w:r>
      <w:r>
        <w:t xml:space="preserve"> for spend</w:t>
      </w:r>
      <w:r w:rsidR="000B42DB">
        <w:t xml:space="preserve">.  </w:t>
      </w:r>
    </w:p>
    <w:p w14:paraId="762DD2C3" w14:textId="5711E620" w:rsidR="00900D76" w:rsidRDefault="004F42D9" w:rsidP="000B42DB">
      <w:r>
        <w:t xml:space="preserve">While both domestic overnight intrastate and interstate travel fell during the year </w:t>
      </w:r>
      <w:r w:rsidR="00900D76">
        <w:t>the losses in interstate overnight trips and spend were much greater than for intrastate</w:t>
      </w:r>
      <w:r>
        <w:t xml:space="preserve">. </w:t>
      </w:r>
      <w:r w:rsidR="00900D76">
        <w:t xml:space="preserve"> Nationally, interstate overnight trips fell 65% to 13.6 million and spend fell 66% </w:t>
      </w:r>
      <w:r w:rsidR="00114B83">
        <w:t>to $</w:t>
      </w:r>
      <w:r w:rsidR="00114B83" w:rsidRPr="004002D9">
        <w:t>1</w:t>
      </w:r>
      <w:r w:rsidR="002706A3">
        <w:t>5.2</w:t>
      </w:r>
      <w:r w:rsidR="00114B83" w:rsidRPr="004002D9">
        <w:t xml:space="preserve"> billion</w:t>
      </w:r>
      <w:r w:rsidR="00114B83">
        <w:t>. In contra</w:t>
      </w:r>
      <w:r>
        <w:t>s</w:t>
      </w:r>
      <w:r w:rsidR="00114B83">
        <w:t xml:space="preserve">t, </w:t>
      </w:r>
      <w:r>
        <w:t xml:space="preserve">falls in </w:t>
      </w:r>
      <w:r w:rsidR="00114B83">
        <w:t>intrastate overnight trips</w:t>
      </w:r>
      <w:r>
        <w:t xml:space="preserve"> and spend</w:t>
      </w:r>
      <w:r w:rsidR="00114B83">
        <w:t xml:space="preserve"> </w:t>
      </w:r>
      <w:r>
        <w:t xml:space="preserve">were </w:t>
      </w:r>
      <w:r w:rsidR="000C4532">
        <w:t>26% to 58.9</w:t>
      </w:r>
      <w:r w:rsidR="00114B83">
        <w:t xml:space="preserve"> million and </w:t>
      </w:r>
      <w:r w:rsidR="0039321C">
        <w:t>15</w:t>
      </w:r>
      <w:r w:rsidR="00114B83">
        <w:t>%</w:t>
      </w:r>
      <w:r w:rsidR="0039321C">
        <w:t xml:space="preserve"> to $30.4</w:t>
      </w:r>
      <w:r w:rsidR="00114B83">
        <w:t xml:space="preserve"> billion. This was consistent across the country with losses in </w:t>
      </w:r>
      <w:r>
        <w:t xml:space="preserve">interstate </w:t>
      </w:r>
      <w:r w:rsidR="00114B83">
        <w:t xml:space="preserve">travel much greater for all states and territories (see Figure 1). </w:t>
      </w:r>
    </w:p>
    <w:p w14:paraId="739E4DB0" w14:textId="3F651C66" w:rsidR="000B42DB" w:rsidRPr="00045560" w:rsidRDefault="000B42DB" w:rsidP="00045560">
      <w:pPr>
        <w:pStyle w:val="Heading4"/>
        <w:rPr>
          <w:vertAlign w:val="superscript"/>
        </w:rPr>
      </w:pPr>
      <w:r w:rsidRPr="00045560">
        <w:t xml:space="preserve">FIGURE </w:t>
      </w:r>
      <w:r w:rsidR="0053777D" w:rsidRPr="00045560">
        <w:t>1</w:t>
      </w:r>
      <w:r w:rsidRPr="00045560">
        <w:t xml:space="preserve">: </w:t>
      </w:r>
      <w:r w:rsidR="007901FB" w:rsidRPr="00045560">
        <w:t>PER CENT LOSS IN INTERSTATE AND INTRASTATE SPEND BY STATE, YEAR ENDING DECEMBER 2020</w:t>
      </w:r>
      <w:r w:rsidR="000C4532">
        <w:rPr>
          <w:vertAlign w:val="superscript"/>
        </w:rPr>
        <w:t>1</w:t>
      </w:r>
    </w:p>
    <w:p w14:paraId="2F06745E" w14:textId="706C7160" w:rsidR="000B42DB" w:rsidRDefault="007901FB" w:rsidP="000B42DB">
      <w:pPr>
        <w:spacing w:after="0"/>
        <w:rPr>
          <w:b/>
          <w:vertAlign w:val="superscript"/>
        </w:rPr>
      </w:pPr>
      <w:r>
        <w:rPr>
          <w:noProof/>
          <w:lang w:eastAsia="en-AU"/>
        </w:rPr>
        <w:drawing>
          <wp:inline distT="0" distB="0" distL="0" distR="0" wp14:anchorId="0B4668D0" wp14:editId="136CAD37">
            <wp:extent cx="5937250" cy="3829050"/>
            <wp:effectExtent l="0" t="0" r="6350" b="0"/>
            <wp:docPr id="12" name="Chart 12" descr="A column chart that shows the loss in interstate and intrastate spend by state, for the year ending December 2020 Compared to the same period last year:&#10;New South Wales had a 62% loss in interstate and 25% loss in intrastate spend.&#10;Victoria had a 73% loss in interstate and 46% loss in intrastate spend. &#10;Queensland had a 69% loss in interstate and 13% loss in intrastate spend.&#10;South Australia had a 61% loss in interstate and 20% loss in intrastate spend. &#10;Western Australia had a 70% loss in interstate and 11% loss in intrastate spend.&#10;Tasmania had a 53% loss in interstate and 9% loss in intrastate spend.&#10;Northern Territory had a 74% loss in interstate and 15% loss in intrastate spend.&#10;ACT had a 45% loss in interstate spend. " title="FIGURE 1: PER CENT LOSS IN INTERSTATE AND INTRASTATE SPEND BY STATE, YEAR ENDING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125D73" w14:textId="6FE1AB9D" w:rsidR="000B42DB" w:rsidRDefault="000C4532" w:rsidP="000B42DB">
      <w:pPr>
        <w:rPr>
          <w:sz w:val="16"/>
          <w:szCs w:val="16"/>
        </w:rPr>
      </w:pPr>
      <w:r>
        <w:rPr>
          <w:sz w:val="16"/>
          <w:szCs w:val="16"/>
          <w:vertAlign w:val="superscript"/>
        </w:rPr>
        <w:t>1</w:t>
      </w:r>
      <w:r w:rsidR="000B42DB" w:rsidRPr="00593CA6">
        <w:rPr>
          <w:sz w:val="16"/>
          <w:szCs w:val="16"/>
          <w:vertAlign w:val="superscript"/>
        </w:rPr>
        <w:t xml:space="preserve"> </w:t>
      </w:r>
      <w:r w:rsidR="000B42DB" w:rsidRPr="00593CA6">
        <w:rPr>
          <w:sz w:val="16"/>
          <w:szCs w:val="16"/>
        </w:rPr>
        <w:t xml:space="preserve">Due to </w:t>
      </w:r>
      <w:r w:rsidR="000B42DB">
        <w:rPr>
          <w:sz w:val="16"/>
          <w:szCs w:val="16"/>
        </w:rPr>
        <w:t>an insufficient sample</w:t>
      </w:r>
      <w:r w:rsidR="000B42DB" w:rsidRPr="00593CA6">
        <w:rPr>
          <w:sz w:val="16"/>
          <w:szCs w:val="16"/>
        </w:rPr>
        <w:t xml:space="preserve"> intrastate </w:t>
      </w:r>
      <w:r w:rsidR="007901FB">
        <w:rPr>
          <w:sz w:val="16"/>
          <w:szCs w:val="16"/>
        </w:rPr>
        <w:t xml:space="preserve">ACT is not shown </w:t>
      </w:r>
    </w:p>
    <w:p w14:paraId="52A214D8" w14:textId="77777777" w:rsidR="000B42DB" w:rsidRDefault="000B42DB" w:rsidP="000B42DB">
      <w:pPr>
        <w:pStyle w:val="Heading3"/>
      </w:pPr>
      <w:r>
        <w:t>Capital Cities and Regional Travel</w:t>
      </w:r>
    </w:p>
    <w:p w14:paraId="71B023F3" w14:textId="77777777" w:rsidR="002C66CD" w:rsidRDefault="0013103E" w:rsidP="002C66CD">
      <w:r>
        <w:t>Capital cities have been hit harder by the pandemic</w:t>
      </w:r>
      <w:r w:rsidR="00045560">
        <w:t xml:space="preserve"> (see Figure 2)</w:t>
      </w:r>
      <w:r>
        <w:t xml:space="preserve">. During the </w:t>
      </w:r>
      <w:r w:rsidR="000B42DB">
        <w:t xml:space="preserve">year ending December 2020, overnight trips to capital cities fell 52% </w:t>
      </w:r>
      <w:r w:rsidR="00D175CB">
        <w:t xml:space="preserve">to </w:t>
      </w:r>
      <w:r w:rsidR="000B42DB">
        <w:t>23.3 million</w:t>
      </w:r>
      <w:r>
        <w:t xml:space="preserve"> trips</w:t>
      </w:r>
      <w:r w:rsidR="000B42DB">
        <w:t xml:space="preserve">. Comparatively, overnight trips to regional areas fell 30% to </w:t>
      </w:r>
      <w:r w:rsidR="00D175CB">
        <w:t>5</w:t>
      </w:r>
      <w:r w:rsidR="000B42DB">
        <w:t>1.6 million. The contra</w:t>
      </w:r>
      <w:r>
        <w:t>s</w:t>
      </w:r>
      <w:r w:rsidR="000B42DB">
        <w:t xml:space="preserve">t in falls between capital cities and regional areas was even greater for spend. Spend in capital cities fell 60% </w:t>
      </w:r>
      <w:r>
        <w:t xml:space="preserve">(down </w:t>
      </w:r>
      <w:r w:rsidR="000B42DB">
        <w:t>$23.3 billion</w:t>
      </w:r>
      <w:r>
        <w:t>)</w:t>
      </w:r>
      <w:r w:rsidR="000B42DB">
        <w:t xml:space="preserve"> to $15.7 billion</w:t>
      </w:r>
      <w:r>
        <w:t xml:space="preserve"> while spend in regional areas fell </w:t>
      </w:r>
      <w:r w:rsidR="000B42DB">
        <w:t xml:space="preserve">28% </w:t>
      </w:r>
      <w:r>
        <w:t xml:space="preserve">(down </w:t>
      </w:r>
      <w:r w:rsidR="000B42DB">
        <w:t>$11.8 billion</w:t>
      </w:r>
      <w:r>
        <w:t>)</w:t>
      </w:r>
      <w:r w:rsidR="000B42DB">
        <w:t xml:space="preserve"> to</w:t>
      </w:r>
      <w:r>
        <w:t xml:space="preserve"> reach</w:t>
      </w:r>
      <w:r w:rsidR="00F73419">
        <w:t xml:space="preserve"> $29.9</w:t>
      </w:r>
      <w:r w:rsidR="000B42DB">
        <w:t xml:space="preserve"> billion.</w:t>
      </w:r>
      <w:r>
        <w:t xml:space="preserve"> </w:t>
      </w:r>
      <w:r w:rsidR="00D175CB">
        <w:t>This disparity in overnight trips</w:t>
      </w:r>
      <w:r w:rsidR="00BE77DB">
        <w:t xml:space="preserve"> and spend between capital cities and regional is even greater in the December quarter 2020 (see </w:t>
      </w:r>
      <w:r w:rsidR="00045560">
        <w:t>Figure 6</w:t>
      </w:r>
      <w:r w:rsidR="00BE77DB">
        <w:t>).</w:t>
      </w:r>
    </w:p>
    <w:p w14:paraId="38762586" w14:textId="77777777" w:rsidR="002C66CD" w:rsidRDefault="002C66CD">
      <w:r>
        <w:br w:type="page"/>
      </w:r>
    </w:p>
    <w:p w14:paraId="2CC38D27" w14:textId="2ECC5D0C" w:rsidR="00045560" w:rsidRDefault="00045560" w:rsidP="00045560">
      <w:pPr>
        <w:spacing w:after="0"/>
        <w:rPr>
          <w:b/>
        </w:rPr>
      </w:pPr>
      <w:r w:rsidRPr="00D33271">
        <w:rPr>
          <w:b/>
        </w:rPr>
        <w:t xml:space="preserve">FIGURE </w:t>
      </w:r>
      <w:r>
        <w:rPr>
          <w:b/>
        </w:rPr>
        <w:t>2</w:t>
      </w:r>
      <w:r w:rsidRPr="00D33271">
        <w:rPr>
          <w:b/>
        </w:rPr>
        <w:t>: PER CENT CHANGE IN OVERNIGHT TRIPS</w:t>
      </w:r>
      <w:r>
        <w:rPr>
          <w:b/>
        </w:rPr>
        <w:t xml:space="preserve"> AND SPEND TO CAPITAL CITIES AND REGIONAL AREAS, YEAR ENDING DECEMBER 2020</w:t>
      </w:r>
    </w:p>
    <w:p w14:paraId="49DA32CA" w14:textId="5523BD61" w:rsidR="00045560" w:rsidRDefault="00045560" w:rsidP="000B42DB">
      <w:bookmarkStart w:id="0" w:name="_GoBack"/>
      <w:r>
        <w:rPr>
          <w:noProof/>
          <w:lang w:eastAsia="en-AU"/>
        </w:rPr>
        <w:drawing>
          <wp:inline distT="0" distB="0" distL="0" distR="0" wp14:anchorId="57250CE7" wp14:editId="272CBE3E">
            <wp:extent cx="5943600" cy="3181350"/>
            <wp:effectExtent l="0" t="0" r="0" b="0"/>
            <wp:docPr id="5" name="Chart 5" descr="A column chart showing the per cent change in overnight trips and spend for capital cities and regional areas for the year ending December 2020. Compared to the same period last year:&#10;Sydney saw a 56% loss in overnight trips and 65% loss in spend.&#10;Regional New South Wales saw a 29% loss in overnight trips and 24% loss in spend.&#10;Melbourne saw a 69% loss in overnight trips and 73% loss in spend.&#10;Regional Victoria saw a 44% loss in overnight trips and 41% loss in spend.&#10;Brisbane and the Gold Coast saw a 44% loss in overnight trips and 51% loss in spend.&#10;Regional Queensland saw a 28% loss in overnight trips and 29% loss in spend.&#10;Adelaide saw a 53% loss in overnight trips and 54% loss in spend.&#10;Regional South Australia saw a 20% loss in overnight trips and 25% loss in spend.&#10;Perth saw a 34% loss in overnight trips and 49% loss in spend.&#10;Regional Western Australia saw a 15% loss in overnight trips and 12% loss in spend.&#10;Tasmania saw a 32% loss in overnight trips and 41% loss in spend.&#10;Northern Territory saw a 45% loss in overnight trips and 59% loss in spend.&#10;ACT saw a 48% loss in overnight trips and 47% loss in spend." title="FIGURE 2: PER CENT CHANGE IN OVERNIGHT TRIPS AND SPEND TO CAPITAL CITIES AND REGIONAL AREAS, YEAR ENDING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14:paraId="71210974" w14:textId="77777777" w:rsidR="00986AE3" w:rsidRDefault="00986AE3" w:rsidP="00986AE3">
      <w:pPr>
        <w:pStyle w:val="Heading3"/>
      </w:pPr>
      <w:r>
        <w:t xml:space="preserve">AccomModation </w:t>
      </w:r>
    </w:p>
    <w:p w14:paraId="49CE4AE9" w14:textId="09C146E7" w:rsidR="00F01686" w:rsidRDefault="001141AB" w:rsidP="00F01686">
      <w:r>
        <w:t>Overall v</w:t>
      </w:r>
      <w:r w:rsidR="00F01686" w:rsidRPr="009660B9">
        <w:t xml:space="preserve">isitor nights fell </w:t>
      </w:r>
      <w:r w:rsidR="00F01686">
        <w:t>34</w:t>
      </w:r>
      <w:r w:rsidR="00F01686" w:rsidRPr="009660B9">
        <w:t xml:space="preserve">% </w:t>
      </w:r>
      <w:r>
        <w:t xml:space="preserve">(down </w:t>
      </w:r>
      <w:r w:rsidR="00F01686">
        <w:t>142.5</w:t>
      </w:r>
      <w:r w:rsidR="00F01686" w:rsidRPr="009660B9">
        <w:t xml:space="preserve"> million nights</w:t>
      </w:r>
      <w:r>
        <w:t xml:space="preserve">) during </w:t>
      </w:r>
      <w:r w:rsidR="00F01686" w:rsidRPr="009660B9">
        <w:t xml:space="preserve">the </w:t>
      </w:r>
      <w:r w:rsidR="00F01686">
        <w:t>year ending Dec</w:t>
      </w:r>
      <w:r w:rsidR="00F01686" w:rsidRPr="009660B9">
        <w:t>ember</w:t>
      </w:r>
      <w:r>
        <w:t xml:space="preserve"> 2020</w:t>
      </w:r>
      <w:r w:rsidR="00F01686" w:rsidRPr="009660B9">
        <w:t xml:space="preserve">. </w:t>
      </w:r>
      <w:r w:rsidR="00F01686">
        <w:t xml:space="preserve">Although, there </w:t>
      </w:r>
      <w:r>
        <w:t xml:space="preserve">are some </w:t>
      </w:r>
      <w:r w:rsidR="00F01686">
        <w:t>encouraging signs</w:t>
      </w:r>
      <w:r>
        <w:t xml:space="preserve"> of improvement </w:t>
      </w:r>
      <w:r w:rsidR="00F01686">
        <w:t xml:space="preserve">in the December quarter, </w:t>
      </w:r>
      <w:r>
        <w:t xml:space="preserve">hotels, motels, resorts and service apartments continued to see large declines </w:t>
      </w:r>
      <w:r w:rsidR="00F01686">
        <w:t>d</w:t>
      </w:r>
      <w:r w:rsidR="00F01686" w:rsidRPr="009660B9">
        <w:t>ue</w:t>
      </w:r>
      <w:r>
        <w:t xml:space="preserve"> a heavier </w:t>
      </w:r>
      <w:r w:rsidR="00F01686" w:rsidRPr="009660B9">
        <w:t>reliance on interstate and business travel</w:t>
      </w:r>
      <w:r>
        <w:t xml:space="preserve"> which continues to return weaker results. </w:t>
      </w:r>
      <w:r w:rsidR="00F01686">
        <w:t xml:space="preserve"> </w:t>
      </w:r>
    </w:p>
    <w:p w14:paraId="0A1C9BB3" w14:textId="56C9B534" w:rsidR="00F01686" w:rsidRDefault="00ED105A" w:rsidP="00F01686">
      <w:r>
        <w:t>During the year n</w:t>
      </w:r>
      <w:r w:rsidR="00F01686" w:rsidRPr="009660B9">
        <w:t>ights</w:t>
      </w:r>
      <w:r w:rsidR="00F01686">
        <w:t xml:space="preserve"> in </w:t>
      </w:r>
      <w:r w:rsidR="00F01686" w:rsidRPr="009660B9">
        <w:t xml:space="preserve">hotels, motels and resorts </w:t>
      </w:r>
      <w:r w:rsidR="00F01686">
        <w:t>fell</w:t>
      </w:r>
      <w:r w:rsidR="00F01686" w:rsidRPr="009660B9">
        <w:t xml:space="preserve"> </w:t>
      </w:r>
      <w:r w:rsidR="00F01686">
        <w:t>49</w:t>
      </w:r>
      <w:r w:rsidR="00F01686" w:rsidRPr="009660B9">
        <w:t xml:space="preserve">% </w:t>
      </w:r>
      <w:r>
        <w:t xml:space="preserve">(down </w:t>
      </w:r>
      <w:r w:rsidR="00F01686">
        <w:t>49.5</w:t>
      </w:r>
      <w:r w:rsidR="00F01686" w:rsidRPr="009660B9">
        <w:t xml:space="preserve"> million</w:t>
      </w:r>
      <w:r>
        <w:t>)</w:t>
      </w:r>
      <w:r w:rsidR="00F01686" w:rsidRPr="009660B9">
        <w:t xml:space="preserve">. Nights in rented apartments and units were down </w:t>
      </w:r>
      <w:r w:rsidR="00F01686">
        <w:t>29</w:t>
      </w:r>
      <w:r w:rsidR="00F01686" w:rsidRPr="009660B9">
        <w:t xml:space="preserve">% </w:t>
      </w:r>
      <w:r>
        <w:t xml:space="preserve">(down </w:t>
      </w:r>
      <w:r w:rsidR="00F01686">
        <w:t>10.3</w:t>
      </w:r>
      <w:r w:rsidR="00F01686" w:rsidRPr="009660B9">
        <w:t xml:space="preserve"> million</w:t>
      </w:r>
      <w:r>
        <w:t xml:space="preserve"> nights) and </w:t>
      </w:r>
      <w:r w:rsidR="00F01686" w:rsidRPr="009660B9">
        <w:t xml:space="preserve">caravan parks and commercial camping grounds </w:t>
      </w:r>
      <w:r>
        <w:t xml:space="preserve">saw losses of </w:t>
      </w:r>
      <w:r w:rsidR="00F01686">
        <w:t>30</w:t>
      </w:r>
      <w:r w:rsidR="00F01686" w:rsidRPr="009660B9">
        <w:t>%</w:t>
      </w:r>
      <w:r>
        <w:t xml:space="preserve"> (down</w:t>
      </w:r>
      <w:r w:rsidR="00EE6A2B">
        <w:t xml:space="preserve"> </w:t>
      </w:r>
      <w:r w:rsidR="00F01686">
        <w:t>10.9</w:t>
      </w:r>
      <w:r w:rsidR="00F01686" w:rsidRPr="009660B9">
        <w:t xml:space="preserve"> million</w:t>
      </w:r>
      <w:r>
        <w:t xml:space="preserve"> nights</w:t>
      </w:r>
      <w:r w:rsidR="00603694">
        <w:t>)</w:t>
      </w:r>
      <w:r w:rsidR="00F01686">
        <w:t>.</w:t>
      </w:r>
      <w:r w:rsidR="00F01686" w:rsidRPr="009660B9">
        <w:t xml:space="preserve"> There was also a </w:t>
      </w:r>
      <w:r w:rsidR="00F01686">
        <w:t>32</w:t>
      </w:r>
      <w:r w:rsidR="00F01686" w:rsidRPr="009660B9">
        <w:t xml:space="preserve">% or </w:t>
      </w:r>
      <w:r w:rsidR="00F01686">
        <w:t>45.6</w:t>
      </w:r>
      <w:r w:rsidR="00F01686" w:rsidRPr="009660B9">
        <w:t xml:space="preserve"> million fall in nights spent at a friend or relatives property. </w:t>
      </w:r>
    </w:p>
    <w:p w14:paraId="3B9C9006" w14:textId="77777777" w:rsidR="002C66CD" w:rsidRDefault="00F01686" w:rsidP="00986AE3">
      <w:r>
        <w:t xml:space="preserve">The fall in nights by accommodation type was much greater in capital cities than in regional areas (see Figure </w:t>
      </w:r>
      <w:r w:rsidR="00045560">
        <w:t>3</w:t>
      </w:r>
      <w:r>
        <w:t>).</w:t>
      </w:r>
    </w:p>
    <w:p w14:paraId="4D1C24F8" w14:textId="00B2D35E" w:rsidR="00986AE3" w:rsidRDefault="00055B9D" w:rsidP="00055B9D">
      <w:r>
        <w:t>F</w:t>
      </w:r>
      <w:r w:rsidR="00986AE3" w:rsidRPr="009660B9">
        <w:rPr>
          <w:b/>
        </w:rPr>
        <w:t xml:space="preserve">IGURE </w:t>
      </w:r>
      <w:r w:rsidR="00045560">
        <w:rPr>
          <w:b/>
        </w:rPr>
        <w:t>3</w:t>
      </w:r>
      <w:r w:rsidR="00986AE3" w:rsidRPr="009660B9">
        <w:rPr>
          <w:b/>
        </w:rPr>
        <w:t xml:space="preserve">: </w:t>
      </w:r>
      <w:r w:rsidR="00986AE3">
        <w:rPr>
          <w:b/>
        </w:rPr>
        <w:t xml:space="preserve">PER CENT </w:t>
      </w:r>
      <w:r w:rsidR="00986AE3" w:rsidRPr="009660B9">
        <w:rPr>
          <w:b/>
        </w:rPr>
        <w:t>CHANGE IN NIGHTS</w:t>
      </w:r>
      <w:r w:rsidR="00986AE3">
        <w:rPr>
          <w:b/>
        </w:rPr>
        <w:t xml:space="preserve"> BY ACCOMMODATION TYPE</w:t>
      </w:r>
      <w:r w:rsidR="00986AE3" w:rsidRPr="000275C8">
        <w:rPr>
          <w:b/>
        </w:rPr>
        <w:t xml:space="preserve">, </w:t>
      </w:r>
      <w:r w:rsidR="00986AE3">
        <w:rPr>
          <w:b/>
        </w:rPr>
        <w:t>CAPITAL CITIES AND REGIONAL AREAS</w:t>
      </w:r>
      <w:r w:rsidR="00B6583C">
        <w:rPr>
          <w:b/>
        </w:rPr>
        <w:t>,</w:t>
      </w:r>
      <w:r w:rsidR="00986AE3">
        <w:rPr>
          <w:b/>
        </w:rPr>
        <w:t xml:space="preserve"> YEAR ENDING DECEMBER</w:t>
      </w:r>
      <w:r w:rsidR="00986AE3" w:rsidRPr="000275C8">
        <w:rPr>
          <w:b/>
        </w:rPr>
        <w:t xml:space="preserve"> 2020</w:t>
      </w:r>
      <w:r w:rsidR="00986AE3">
        <w:rPr>
          <w:noProof/>
          <w:lang w:eastAsia="en-AU"/>
        </w:rPr>
        <w:drawing>
          <wp:inline distT="0" distB="0" distL="0" distR="0" wp14:anchorId="4C42EC40" wp14:editId="524FC5E7">
            <wp:extent cx="5943600" cy="2581275"/>
            <wp:effectExtent l="0" t="0" r="0" b="9525"/>
            <wp:docPr id="13" name="Chart 13" descr="A column chart showing the change in overnight trips for the year ending December 2020 compared to the same period last year by accommodation type and capital city and regional areas.&#10;Nights spent in hotels and resorts decreased 61% in capital cities and 37% in regional areas.&#10;Nights spent in rented apartments and units decreased 57% in capital cities and 14% in regional areas.&#10;Nights spent in caravan parks or camping decreased 49% in captial cities and 28% in regional areas.&#10;Nights spent satying at the property of a friend or relative decreased 41% in capital cities and 25% in regional areas." title="FIGURE 3: PER CENT CHANGE IN NIGHTS BY ACCOMMODATION TYPE, CAPITAL CITIES AND REGIONAL AREAS, YEAR ENDING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47B716" w14:textId="77777777" w:rsidR="000B42DB" w:rsidRPr="00991968" w:rsidRDefault="000B42DB" w:rsidP="000B42DB">
      <w:pPr>
        <w:pStyle w:val="Heading3"/>
      </w:pPr>
      <w:r w:rsidRPr="00991968">
        <w:t xml:space="preserve">STATES AND TERRITORIES </w:t>
      </w:r>
    </w:p>
    <w:p w14:paraId="2E47AF98" w14:textId="76B34523" w:rsidR="000B42DB" w:rsidRDefault="000B42DB" w:rsidP="000B42DB">
      <w:pPr>
        <w:autoSpaceDE w:val="0"/>
        <w:autoSpaceDN w:val="0"/>
        <w:adjustRightInd w:val="0"/>
        <w:spacing w:before="40" w:after="40" w:line="191" w:lineRule="atLeast"/>
      </w:pPr>
      <w:r w:rsidRPr="00991968">
        <w:t>With COVID-19 effects from March 2020 onwards, all states and territories had a fall in overnight visitors and spend for the</w:t>
      </w:r>
      <w:r>
        <w:t xml:space="preserve"> year ending December 2020 (Figure </w:t>
      </w:r>
      <w:r w:rsidR="00045560">
        <w:t>4</w:t>
      </w:r>
      <w:r w:rsidRPr="00991968">
        <w:t>).</w:t>
      </w:r>
    </w:p>
    <w:p w14:paraId="248CD070" w14:textId="72C37FCC" w:rsidR="003B06D5" w:rsidRDefault="00603694" w:rsidP="00603694">
      <w:pPr>
        <w:spacing w:after="0"/>
        <w:rPr>
          <w:b/>
        </w:rPr>
      </w:pPr>
      <w:r>
        <w:rPr>
          <w:b/>
        </w:rPr>
        <w:br/>
      </w:r>
      <w:r w:rsidR="003B06D5">
        <w:rPr>
          <w:b/>
        </w:rPr>
        <w:t xml:space="preserve">FIGURE </w:t>
      </w:r>
      <w:r w:rsidR="00045560">
        <w:rPr>
          <w:b/>
        </w:rPr>
        <w:t>4</w:t>
      </w:r>
      <w:r w:rsidR="003B06D5">
        <w:rPr>
          <w:b/>
        </w:rPr>
        <w:t>: OVENIGHT TRIPS AND SPEND BY STATE, YE DECEMBER 2020</w:t>
      </w:r>
      <w:r>
        <w:rPr>
          <w:b/>
          <w:vertAlign w:val="superscript"/>
        </w:rPr>
        <w:t>2</w:t>
      </w:r>
      <w:r>
        <w:rPr>
          <w:noProof/>
          <w:lang w:eastAsia="en-AU"/>
        </w:rPr>
        <w:drawing>
          <wp:inline distT="0" distB="0" distL="0" distR="0" wp14:anchorId="510AB28A" wp14:editId="5E9D73B3">
            <wp:extent cx="5777732" cy="2698750"/>
            <wp:effectExtent l="0" t="0" r="0" b="6350"/>
            <wp:docPr id="8" name="Picture 8" descr="An image of Australia that shows the number of visitors and spend in each state or Territory for the year ending December 2020.&#10;New South Wales - 24.4 million visitors and $14.2 billion spend&#10;Victoria -  14.0 million visitors and $7.0 billion spend&#10;Queensland - 16.9 million visitors and $11.8 billion spend&#10;South Australia - 5.5 million visitors and $3.1 billion spend&#10;Western Australia - 8.8 million visitors and $6.1 billion spend&#10;Tasmania - 2.2 million visitors and $1.7 billion spend&#10;Northern Territory - 940,000 visitors and $0.9 billion spend&#10;ACT - 1.7 million visitors and $1.0 billion spend" title="FIGURE 4: OVERNIGHT TRIPS AND SPEND BY STATE, YEAR ENDING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5924" cy="2702576"/>
                    </a:xfrm>
                    <a:prstGeom prst="rect">
                      <a:avLst/>
                    </a:prstGeom>
                  </pic:spPr>
                </pic:pic>
              </a:graphicData>
            </a:graphic>
          </wp:inline>
        </w:drawing>
      </w:r>
    </w:p>
    <w:p w14:paraId="516A0B49" w14:textId="61064302" w:rsidR="000B42DB" w:rsidRDefault="00603694" w:rsidP="000B42DB">
      <w:pPr>
        <w:rPr>
          <w:sz w:val="16"/>
          <w:szCs w:val="16"/>
        </w:rPr>
      </w:pPr>
      <w:r>
        <w:rPr>
          <w:sz w:val="16"/>
          <w:szCs w:val="16"/>
          <w:vertAlign w:val="superscript"/>
        </w:rPr>
        <w:t>2</w:t>
      </w:r>
      <w:r w:rsidR="000B42DB" w:rsidRPr="00781BDD">
        <w:rPr>
          <w:sz w:val="16"/>
          <w:szCs w:val="16"/>
        </w:rPr>
        <w:t xml:space="preserve"> The sum of the total number of visitors for each state will be greater than the total number of visitors for Australia due to individuals who visited more than one state. </w:t>
      </w:r>
    </w:p>
    <w:p w14:paraId="52E9AB22" w14:textId="77777777" w:rsidR="00055B9D" w:rsidRDefault="00055B9D" w:rsidP="004B18EE">
      <w:pPr>
        <w:pStyle w:val="Heading2"/>
      </w:pPr>
    </w:p>
    <w:p w14:paraId="46A7A7A2" w14:textId="77777777" w:rsidR="000B42DB" w:rsidRPr="005C0907" w:rsidRDefault="000B42DB" w:rsidP="004B18EE">
      <w:pPr>
        <w:pStyle w:val="Heading2"/>
      </w:pPr>
      <w:r>
        <w:t>Dec</w:t>
      </w:r>
      <w:r w:rsidRPr="005C0907">
        <w:t>ember Quarter 2020</w:t>
      </w:r>
    </w:p>
    <w:tbl>
      <w:tblPr>
        <w:tblStyle w:val="LightList-Accent5"/>
        <w:tblpPr w:leftFromText="180" w:rightFromText="180" w:vertAnchor="text" w:horzAnchor="margin" w:tblpY="112"/>
        <w:tblW w:w="9356"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September Quarter 2020 Results"/>
      </w:tblPr>
      <w:tblGrid>
        <w:gridCol w:w="1558"/>
        <w:gridCol w:w="1560"/>
        <w:gridCol w:w="1559"/>
        <w:gridCol w:w="1560"/>
        <w:gridCol w:w="1558"/>
        <w:gridCol w:w="1561"/>
      </w:tblGrid>
      <w:tr w:rsidR="000B42DB" w:rsidRPr="005C0907" w14:paraId="63C66A97" w14:textId="77777777" w:rsidTr="00055B9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118" w:type="dxa"/>
            <w:gridSpan w:val="2"/>
          </w:tcPr>
          <w:p w14:paraId="28D6C480" w14:textId="77777777" w:rsidR="000B42DB" w:rsidRPr="005C0907" w:rsidRDefault="000B42DB" w:rsidP="005E7B54">
            <w:pPr>
              <w:rPr>
                <w:b/>
                <w:sz w:val="24"/>
              </w:rPr>
            </w:pPr>
            <w:r w:rsidRPr="005C0907">
              <w:rPr>
                <w:b/>
                <w:sz w:val="24"/>
              </w:rPr>
              <w:t>OVERNIGHT SPEND</w:t>
            </w:r>
          </w:p>
        </w:tc>
        <w:tc>
          <w:tcPr>
            <w:tcW w:w="3119" w:type="dxa"/>
            <w:gridSpan w:val="2"/>
          </w:tcPr>
          <w:p w14:paraId="523D2363" w14:textId="77777777" w:rsidR="000B42DB" w:rsidRPr="005C0907" w:rsidRDefault="000B42DB" w:rsidP="005E7B54">
            <w:pPr>
              <w:cnfStyle w:val="100000000000" w:firstRow="1" w:lastRow="0" w:firstColumn="0" w:lastColumn="0" w:oddVBand="0" w:evenVBand="0" w:oddHBand="0" w:evenHBand="0" w:firstRowFirstColumn="0" w:firstRowLastColumn="0" w:lastRowFirstColumn="0" w:lastRowLastColumn="0"/>
              <w:rPr>
                <w:b/>
                <w:sz w:val="24"/>
              </w:rPr>
            </w:pPr>
            <w:r w:rsidRPr="005C0907">
              <w:rPr>
                <w:b/>
                <w:sz w:val="24"/>
              </w:rPr>
              <w:t>OVERNIGHT TRIPS</w:t>
            </w:r>
          </w:p>
        </w:tc>
        <w:tc>
          <w:tcPr>
            <w:tcW w:w="3119" w:type="dxa"/>
            <w:gridSpan w:val="2"/>
          </w:tcPr>
          <w:p w14:paraId="0E837259" w14:textId="77777777" w:rsidR="000B42DB" w:rsidRPr="005C0907" w:rsidRDefault="000B42DB" w:rsidP="005E7B54">
            <w:pPr>
              <w:cnfStyle w:val="100000000000" w:firstRow="1" w:lastRow="0" w:firstColumn="0" w:lastColumn="0" w:oddVBand="0" w:evenVBand="0" w:oddHBand="0" w:evenHBand="0" w:firstRowFirstColumn="0" w:firstRowLastColumn="0" w:lastRowFirstColumn="0" w:lastRowLastColumn="0"/>
              <w:rPr>
                <w:b/>
                <w:sz w:val="24"/>
              </w:rPr>
            </w:pPr>
            <w:r w:rsidRPr="005C0907">
              <w:rPr>
                <w:b/>
                <w:sz w:val="24"/>
              </w:rPr>
              <w:t>NIGHTS</w:t>
            </w:r>
          </w:p>
        </w:tc>
      </w:tr>
      <w:tr w:rsidR="000B42DB" w:rsidRPr="005C0907" w14:paraId="44EC78FF" w14:textId="77777777" w:rsidTr="00055B9D">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558" w:type="dxa"/>
            <w:shd w:val="clear" w:color="auto" w:fill="DDDBD9" w:themeFill="accent5" w:themeFillTint="66"/>
          </w:tcPr>
          <w:p w14:paraId="4DF40DC7" w14:textId="77777777" w:rsidR="000B42DB" w:rsidRPr="00615278" w:rsidRDefault="000B42DB" w:rsidP="005E7B54">
            <w:pPr>
              <w:rPr>
                <w:b/>
                <w:color w:val="auto"/>
              </w:rPr>
            </w:pPr>
            <w:r w:rsidRPr="00615278">
              <w:rPr>
                <w:b/>
                <w:color w:val="auto"/>
              </w:rPr>
              <w:t>FIGURE</w:t>
            </w:r>
          </w:p>
        </w:tc>
        <w:tc>
          <w:tcPr>
            <w:tcW w:w="1560"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26C16CDA" w14:textId="77777777" w:rsidR="000B42DB" w:rsidRPr="00615278" w:rsidRDefault="000B42DB" w:rsidP="005E7B5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59" w:type="dxa"/>
            <w:tcBorders>
              <w:left w:val="single" w:sz="4" w:space="0" w:color="auto"/>
            </w:tcBorders>
            <w:shd w:val="clear" w:color="auto" w:fill="DDDBD9" w:themeFill="accent5" w:themeFillTint="66"/>
          </w:tcPr>
          <w:p w14:paraId="6579ADB3" w14:textId="77777777" w:rsidR="000B42DB" w:rsidRPr="00615278" w:rsidRDefault="000B42DB" w:rsidP="005E7B5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60"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0809A950" w14:textId="77777777" w:rsidR="000B42DB" w:rsidRPr="00615278" w:rsidRDefault="000B42DB" w:rsidP="005E7B5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58" w:type="dxa"/>
            <w:tcBorders>
              <w:left w:val="single" w:sz="4" w:space="0" w:color="auto"/>
            </w:tcBorders>
            <w:shd w:val="clear" w:color="auto" w:fill="DDDBD9" w:themeFill="accent5" w:themeFillTint="66"/>
          </w:tcPr>
          <w:p w14:paraId="75B10A25" w14:textId="77777777" w:rsidR="000B42DB" w:rsidRPr="00615278" w:rsidRDefault="000B42DB" w:rsidP="005E7B5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61" w:type="dxa"/>
            <w:shd w:val="clear" w:color="auto" w:fill="DDDBD9" w:themeFill="accent5" w:themeFillTint="66"/>
          </w:tcPr>
          <w:p w14:paraId="23DF3477" w14:textId="77777777" w:rsidR="000B42DB" w:rsidRPr="00615278" w:rsidRDefault="000B42DB" w:rsidP="005E7B5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0B42DB" w:rsidRPr="005C0907" w14:paraId="646BBAA4" w14:textId="77777777" w:rsidTr="00055B9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558" w:type="dxa"/>
          </w:tcPr>
          <w:p w14:paraId="3EEA9837" w14:textId="77777777" w:rsidR="000B42DB" w:rsidRPr="00CB3A27" w:rsidRDefault="000B42DB" w:rsidP="005E7B54">
            <w:pPr>
              <w:rPr>
                <w:color w:val="auto"/>
              </w:rPr>
            </w:pPr>
            <w:r>
              <w:rPr>
                <w:color w:val="auto"/>
              </w:rPr>
              <w:t>$14.2</w:t>
            </w:r>
            <w:r w:rsidRPr="00CB3A27">
              <w:rPr>
                <w:color w:val="auto"/>
              </w:rPr>
              <w:t xml:space="preserve"> billion</w:t>
            </w:r>
          </w:p>
        </w:tc>
        <w:tc>
          <w:tcPr>
            <w:tcW w:w="1560" w:type="dxa"/>
            <w:tcBorders>
              <w:top w:val="single" w:sz="6" w:space="0" w:color="ACA6A2" w:themeColor="accent5"/>
              <w:bottom w:val="single" w:sz="8" w:space="0" w:color="ACA6A2" w:themeColor="accent5"/>
              <w:right w:val="single" w:sz="4" w:space="0" w:color="auto"/>
            </w:tcBorders>
          </w:tcPr>
          <w:p w14:paraId="48DE5E0E" w14:textId="77777777" w:rsidR="000B42DB" w:rsidRPr="00CB3A27" w:rsidRDefault="000B42DB" w:rsidP="005E7B5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 xml:space="preserve">Down </w:t>
            </w:r>
            <w:r>
              <w:rPr>
                <w:color w:val="auto"/>
              </w:rPr>
              <w:t>31</w:t>
            </w:r>
            <w:r w:rsidRPr="00CB3A27">
              <w:rPr>
                <w:color w:val="auto"/>
              </w:rPr>
              <w:t>%</w:t>
            </w:r>
          </w:p>
        </w:tc>
        <w:tc>
          <w:tcPr>
            <w:tcW w:w="1559" w:type="dxa"/>
            <w:tcBorders>
              <w:left w:val="single" w:sz="4" w:space="0" w:color="auto"/>
            </w:tcBorders>
          </w:tcPr>
          <w:p w14:paraId="15CB2464" w14:textId="77777777" w:rsidR="000B42DB" w:rsidRPr="00CB3A27" w:rsidRDefault="000B42DB" w:rsidP="005E7B54">
            <w:pPr>
              <w:cnfStyle w:val="100000000000" w:firstRow="1" w:lastRow="0" w:firstColumn="0" w:lastColumn="0" w:oddVBand="0" w:evenVBand="0" w:oddHBand="0" w:evenHBand="0" w:firstRowFirstColumn="0" w:firstRowLastColumn="0" w:lastRowFirstColumn="0" w:lastRowLastColumn="0"/>
              <w:rPr>
                <w:color w:val="auto"/>
              </w:rPr>
            </w:pPr>
            <w:r>
              <w:rPr>
                <w:color w:val="auto"/>
              </w:rPr>
              <w:t>21.7 m</w:t>
            </w:r>
            <w:r w:rsidRPr="00CB3A27">
              <w:rPr>
                <w:color w:val="auto"/>
              </w:rPr>
              <w:t>illion</w:t>
            </w:r>
          </w:p>
        </w:tc>
        <w:tc>
          <w:tcPr>
            <w:tcW w:w="1560" w:type="dxa"/>
            <w:tcBorders>
              <w:top w:val="single" w:sz="6" w:space="0" w:color="ACA6A2" w:themeColor="accent5"/>
              <w:bottom w:val="single" w:sz="8" w:space="0" w:color="ACA6A2" w:themeColor="accent5"/>
              <w:right w:val="single" w:sz="4" w:space="0" w:color="auto"/>
            </w:tcBorders>
          </w:tcPr>
          <w:p w14:paraId="2D3FD9FC" w14:textId="77777777" w:rsidR="000B42DB" w:rsidRPr="00CB3A27" w:rsidRDefault="000B42DB" w:rsidP="005E7B5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 xml:space="preserve">Down </w:t>
            </w:r>
            <w:r>
              <w:rPr>
                <w:color w:val="auto"/>
              </w:rPr>
              <w:t>26</w:t>
            </w:r>
            <w:r w:rsidRPr="00CB3A27">
              <w:rPr>
                <w:color w:val="auto"/>
              </w:rPr>
              <w:t>%</w:t>
            </w:r>
          </w:p>
        </w:tc>
        <w:tc>
          <w:tcPr>
            <w:tcW w:w="1558" w:type="dxa"/>
            <w:tcBorders>
              <w:left w:val="single" w:sz="4" w:space="0" w:color="auto"/>
            </w:tcBorders>
          </w:tcPr>
          <w:p w14:paraId="059A613B" w14:textId="77777777" w:rsidR="000B42DB" w:rsidRPr="00CB3A27" w:rsidRDefault="000B42DB" w:rsidP="005E7B54">
            <w:pPr>
              <w:cnfStyle w:val="100000000000" w:firstRow="1" w:lastRow="0" w:firstColumn="0" w:lastColumn="0" w:oddVBand="0" w:evenVBand="0" w:oddHBand="0" w:evenHBand="0" w:firstRowFirstColumn="0" w:firstRowLastColumn="0" w:lastRowFirstColumn="0" w:lastRowLastColumn="0"/>
              <w:rPr>
                <w:color w:val="auto"/>
              </w:rPr>
            </w:pPr>
            <w:r>
              <w:rPr>
                <w:color w:val="auto"/>
              </w:rPr>
              <w:t>78.7 m</w:t>
            </w:r>
            <w:r w:rsidRPr="00CB3A27">
              <w:rPr>
                <w:color w:val="auto"/>
              </w:rPr>
              <w:t>illion</w:t>
            </w:r>
          </w:p>
        </w:tc>
        <w:tc>
          <w:tcPr>
            <w:tcW w:w="1561" w:type="dxa"/>
          </w:tcPr>
          <w:p w14:paraId="0E90CF41" w14:textId="77777777" w:rsidR="000B42DB" w:rsidRPr="00CB3A27" w:rsidRDefault="000B42DB" w:rsidP="005E7B5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 xml:space="preserve">Down </w:t>
            </w:r>
            <w:r>
              <w:rPr>
                <w:color w:val="auto"/>
              </w:rPr>
              <w:t>24</w:t>
            </w:r>
            <w:r w:rsidRPr="00CB3A27">
              <w:rPr>
                <w:color w:val="auto"/>
              </w:rPr>
              <w:t>%</w:t>
            </w:r>
          </w:p>
        </w:tc>
      </w:tr>
    </w:tbl>
    <w:p w14:paraId="13E4111A" w14:textId="77777777" w:rsidR="000B42DB" w:rsidRPr="005C0907" w:rsidRDefault="000B42DB" w:rsidP="000B42DB"/>
    <w:p w14:paraId="2F70DF06" w14:textId="56DCEE3E" w:rsidR="000B42DB" w:rsidRDefault="000B42DB" w:rsidP="000B42DB">
      <w:pPr>
        <w:spacing w:after="120"/>
        <w:rPr>
          <w:rFonts w:ascii="Arial" w:hAnsi="Arial" w:cs="Arial"/>
        </w:rPr>
      </w:pPr>
      <w:r>
        <w:rPr>
          <w:rFonts w:ascii="Arial" w:hAnsi="Arial" w:cs="Arial"/>
        </w:rPr>
        <w:t xml:space="preserve">Intrastate continued to drive the recovery in domestic overnight travel in the December quarter. While </w:t>
      </w:r>
      <w:r w:rsidR="00613D8B">
        <w:rPr>
          <w:rFonts w:ascii="Arial" w:hAnsi="Arial" w:cs="Arial"/>
        </w:rPr>
        <w:t xml:space="preserve">overnight trip </w:t>
      </w:r>
      <w:r>
        <w:rPr>
          <w:rFonts w:ascii="Arial" w:hAnsi="Arial" w:cs="Arial"/>
        </w:rPr>
        <w:t xml:space="preserve">numbers </w:t>
      </w:r>
      <w:r w:rsidR="00613D8B">
        <w:rPr>
          <w:rFonts w:ascii="Arial" w:hAnsi="Arial" w:cs="Arial"/>
        </w:rPr>
        <w:t xml:space="preserve">fell </w:t>
      </w:r>
      <w:r>
        <w:rPr>
          <w:rFonts w:ascii="Arial" w:hAnsi="Arial" w:cs="Arial"/>
        </w:rPr>
        <w:t xml:space="preserve">26% </w:t>
      </w:r>
      <w:r w:rsidR="00613D8B">
        <w:rPr>
          <w:rFonts w:ascii="Arial" w:hAnsi="Arial" w:cs="Arial"/>
        </w:rPr>
        <w:t>(down</w:t>
      </w:r>
      <w:r>
        <w:rPr>
          <w:rFonts w:ascii="Arial" w:hAnsi="Arial" w:cs="Arial"/>
        </w:rPr>
        <w:t xml:space="preserve"> </w:t>
      </w:r>
      <w:r w:rsidR="00C83792">
        <w:rPr>
          <w:rFonts w:ascii="Arial" w:hAnsi="Arial" w:cs="Arial"/>
        </w:rPr>
        <w:t xml:space="preserve">7.8 million to </w:t>
      </w:r>
      <w:r>
        <w:rPr>
          <w:rFonts w:ascii="Arial" w:hAnsi="Arial" w:cs="Arial"/>
        </w:rPr>
        <w:t>21.7 million</w:t>
      </w:r>
      <w:r w:rsidR="00613D8B">
        <w:rPr>
          <w:rFonts w:ascii="Arial" w:hAnsi="Arial" w:cs="Arial"/>
        </w:rPr>
        <w:t>)</w:t>
      </w:r>
      <w:r>
        <w:rPr>
          <w:rFonts w:ascii="Arial" w:hAnsi="Arial" w:cs="Arial"/>
        </w:rPr>
        <w:t xml:space="preserve"> and spend </w:t>
      </w:r>
      <w:r w:rsidR="00613D8B">
        <w:rPr>
          <w:rFonts w:ascii="Arial" w:hAnsi="Arial" w:cs="Arial"/>
        </w:rPr>
        <w:t xml:space="preserve">fell </w:t>
      </w:r>
      <w:r>
        <w:rPr>
          <w:rFonts w:ascii="Arial" w:hAnsi="Arial" w:cs="Arial"/>
        </w:rPr>
        <w:t>31%</w:t>
      </w:r>
      <w:r w:rsidR="00613D8B">
        <w:rPr>
          <w:rFonts w:ascii="Arial" w:hAnsi="Arial" w:cs="Arial"/>
        </w:rPr>
        <w:t xml:space="preserve"> (down </w:t>
      </w:r>
      <w:r w:rsidR="00FC2688">
        <w:rPr>
          <w:rFonts w:ascii="Arial" w:hAnsi="Arial" w:cs="Arial"/>
        </w:rPr>
        <w:t xml:space="preserve">$6.2 billion to </w:t>
      </w:r>
      <w:r>
        <w:rPr>
          <w:rFonts w:ascii="Arial" w:hAnsi="Arial" w:cs="Arial"/>
        </w:rPr>
        <w:t>$14.2 billion</w:t>
      </w:r>
      <w:r w:rsidR="00613D8B">
        <w:rPr>
          <w:rFonts w:ascii="Arial" w:hAnsi="Arial" w:cs="Arial"/>
        </w:rPr>
        <w:t>)</w:t>
      </w:r>
      <w:r>
        <w:rPr>
          <w:rFonts w:ascii="Arial" w:hAnsi="Arial" w:cs="Arial"/>
        </w:rPr>
        <w:t xml:space="preserve">, this was an improvement on the </w:t>
      </w:r>
      <w:r w:rsidR="00613D8B">
        <w:rPr>
          <w:rFonts w:ascii="Arial" w:hAnsi="Arial" w:cs="Arial"/>
        </w:rPr>
        <w:t xml:space="preserve">previous falls of </w:t>
      </w:r>
      <w:r>
        <w:rPr>
          <w:rFonts w:ascii="Arial" w:hAnsi="Arial" w:cs="Arial"/>
        </w:rPr>
        <w:t xml:space="preserve">42% and 53% seen in the September quarter. </w:t>
      </w:r>
    </w:p>
    <w:p w14:paraId="1828B516" w14:textId="1BCA9FAA" w:rsidR="000B42DB" w:rsidRPr="005C0907" w:rsidRDefault="000B42DB" w:rsidP="000B42DB">
      <w:pPr>
        <w:spacing w:after="120"/>
      </w:pPr>
      <w:r>
        <w:rPr>
          <w:rFonts w:ascii="Arial" w:eastAsia="Calibri" w:hAnsi="Arial" w:cs="Arial"/>
        </w:rPr>
        <w:t>R</w:t>
      </w:r>
      <w:r w:rsidRPr="00F569A5">
        <w:rPr>
          <w:rFonts w:ascii="Arial" w:eastAsia="Calibri" w:hAnsi="Arial" w:cs="Arial"/>
        </w:rPr>
        <w:t xml:space="preserve">egional areas </w:t>
      </w:r>
      <w:r>
        <w:rPr>
          <w:rFonts w:ascii="Arial" w:eastAsia="Calibri" w:hAnsi="Arial" w:cs="Arial"/>
        </w:rPr>
        <w:t xml:space="preserve">continued to </w:t>
      </w:r>
      <w:r w:rsidRPr="00F569A5">
        <w:rPr>
          <w:rFonts w:ascii="Arial" w:eastAsia="Calibri" w:hAnsi="Arial" w:cs="Arial"/>
        </w:rPr>
        <w:t>far</w:t>
      </w:r>
      <w:r>
        <w:rPr>
          <w:rFonts w:ascii="Arial" w:eastAsia="Calibri" w:hAnsi="Arial" w:cs="Arial"/>
        </w:rPr>
        <w:t xml:space="preserve">e </w:t>
      </w:r>
      <w:r w:rsidRPr="00F569A5">
        <w:rPr>
          <w:rFonts w:ascii="Arial" w:eastAsia="Calibri" w:hAnsi="Arial" w:cs="Arial"/>
        </w:rPr>
        <w:t>better than capital cities</w:t>
      </w:r>
      <w:r>
        <w:rPr>
          <w:rFonts w:ascii="Arial" w:eastAsia="Calibri" w:hAnsi="Arial" w:cs="Arial"/>
        </w:rPr>
        <w:t xml:space="preserve"> </w:t>
      </w:r>
      <w:r w:rsidR="00DF69FF">
        <w:rPr>
          <w:rFonts w:ascii="Arial" w:eastAsia="Calibri" w:hAnsi="Arial" w:cs="Arial"/>
        </w:rPr>
        <w:t xml:space="preserve">during the </w:t>
      </w:r>
      <w:r>
        <w:rPr>
          <w:rFonts w:ascii="Arial" w:eastAsia="Calibri" w:hAnsi="Arial" w:cs="Arial"/>
        </w:rPr>
        <w:t>December quarter</w:t>
      </w:r>
      <w:r w:rsidRPr="00F569A5">
        <w:rPr>
          <w:rFonts w:ascii="Arial" w:eastAsia="Calibri" w:hAnsi="Arial" w:cs="Arial"/>
        </w:rPr>
        <w:t>.</w:t>
      </w:r>
      <w:r>
        <w:rPr>
          <w:rFonts w:ascii="Arial" w:eastAsia="Calibri" w:hAnsi="Arial" w:cs="Arial"/>
        </w:rPr>
        <w:t xml:space="preserve"> While capital cities continued to record large losses in comparison to the same period last year, spend in regional areas </w:t>
      </w:r>
      <w:r w:rsidR="00DF69FF">
        <w:rPr>
          <w:rFonts w:ascii="Arial" w:eastAsia="Calibri" w:hAnsi="Arial" w:cs="Arial"/>
        </w:rPr>
        <w:t xml:space="preserve">was stronger </w:t>
      </w:r>
      <w:r>
        <w:rPr>
          <w:rFonts w:ascii="Arial" w:eastAsia="Calibri" w:hAnsi="Arial" w:cs="Arial"/>
        </w:rPr>
        <w:t>in N</w:t>
      </w:r>
      <w:r w:rsidR="005357C6">
        <w:rPr>
          <w:rFonts w:ascii="Arial" w:eastAsia="Calibri" w:hAnsi="Arial" w:cs="Arial"/>
        </w:rPr>
        <w:t xml:space="preserve">ew </w:t>
      </w:r>
      <w:r>
        <w:rPr>
          <w:rFonts w:ascii="Arial" w:eastAsia="Calibri" w:hAnsi="Arial" w:cs="Arial"/>
        </w:rPr>
        <w:t>S</w:t>
      </w:r>
      <w:r w:rsidR="005357C6">
        <w:rPr>
          <w:rFonts w:ascii="Arial" w:eastAsia="Calibri" w:hAnsi="Arial" w:cs="Arial"/>
        </w:rPr>
        <w:t xml:space="preserve">outh </w:t>
      </w:r>
      <w:r>
        <w:rPr>
          <w:rFonts w:ascii="Arial" w:eastAsia="Calibri" w:hAnsi="Arial" w:cs="Arial"/>
        </w:rPr>
        <w:t>W</w:t>
      </w:r>
      <w:r w:rsidR="005357C6">
        <w:rPr>
          <w:rFonts w:ascii="Arial" w:eastAsia="Calibri" w:hAnsi="Arial" w:cs="Arial"/>
        </w:rPr>
        <w:t>ales (NSW)</w:t>
      </w:r>
      <w:r>
        <w:rPr>
          <w:rFonts w:ascii="Arial" w:eastAsia="Calibri" w:hAnsi="Arial" w:cs="Arial"/>
        </w:rPr>
        <w:t xml:space="preserve"> (up 12%), S</w:t>
      </w:r>
      <w:r w:rsidR="005357C6">
        <w:rPr>
          <w:rFonts w:ascii="Arial" w:eastAsia="Calibri" w:hAnsi="Arial" w:cs="Arial"/>
        </w:rPr>
        <w:t xml:space="preserve">outh </w:t>
      </w:r>
      <w:r>
        <w:rPr>
          <w:rFonts w:ascii="Arial" w:eastAsia="Calibri" w:hAnsi="Arial" w:cs="Arial"/>
        </w:rPr>
        <w:t>A</w:t>
      </w:r>
      <w:r w:rsidR="005357C6">
        <w:rPr>
          <w:rFonts w:ascii="Arial" w:eastAsia="Calibri" w:hAnsi="Arial" w:cs="Arial"/>
        </w:rPr>
        <w:t>ustralia (SA)</w:t>
      </w:r>
      <w:r>
        <w:rPr>
          <w:rFonts w:ascii="Arial" w:eastAsia="Calibri" w:hAnsi="Arial" w:cs="Arial"/>
        </w:rPr>
        <w:t xml:space="preserve"> (up 9%) and W</w:t>
      </w:r>
      <w:r w:rsidR="005357C6">
        <w:rPr>
          <w:rFonts w:ascii="Arial" w:eastAsia="Calibri" w:hAnsi="Arial" w:cs="Arial"/>
        </w:rPr>
        <w:t xml:space="preserve">estern </w:t>
      </w:r>
      <w:r>
        <w:rPr>
          <w:rFonts w:ascii="Arial" w:eastAsia="Calibri" w:hAnsi="Arial" w:cs="Arial"/>
        </w:rPr>
        <w:t>A</w:t>
      </w:r>
      <w:r w:rsidR="005357C6">
        <w:rPr>
          <w:rFonts w:ascii="Arial" w:eastAsia="Calibri" w:hAnsi="Arial" w:cs="Arial"/>
        </w:rPr>
        <w:t>ustralia (WA)</w:t>
      </w:r>
      <w:r>
        <w:rPr>
          <w:rFonts w:ascii="Arial" w:eastAsia="Calibri" w:hAnsi="Arial" w:cs="Arial"/>
        </w:rPr>
        <w:t xml:space="preserve"> (up 23%).</w:t>
      </w:r>
    </w:p>
    <w:p w14:paraId="410BAB8B" w14:textId="77777777" w:rsidR="00473803" w:rsidRDefault="006F00FD" w:rsidP="006F00FD">
      <w:pPr>
        <w:pStyle w:val="Heading3"/>
      </w:pPr>
      <w:r>
        <w:t>INTERSTATE and INTRASTATE TRAVEL</w:t>
      </w:r>
    </w:p>
    <w:p w14:paraId="23C22640" w14:textId="475BFD1F" w:rsidR="00F953CA" w:rsidRDefault="006F00FD">
      <w:r w:rsidRPr="00991968">
        <w:t>During the</w:t>
      </w:r>
      <w:r w:rsidR="00BD6B5F">
        <w:t xml:space="preserve"> Dec</w:t>
      </w:r>
      <w:r w:rsidRPr="00991968">
        <w:t>ember quarter 2020</w:t>
      </w:r>
      <w:r w:rsidR="0034211E">
        <w:t>,</w:t>
      </w:r>
      <w:r w:rsidRPr="00991968">
        <w:t xml:space="preserve"> states and territories </w:t>
      </w:r>
      <w:r w:rsidR="00AA50D6">
        <w:t>saw an easing in</w:t>
      </w:r>
      <w:r w:rsidR="00477459" w:rsidRPr="00991968">
        <w:t xml:space="preserve"> </w:t>
      </w:r>
      <w:r w:rsidRPr="00991968">
        <w:t>restrictions allowing increased movement</w:t>
      </w:r>
      <w:r w:rsidR="00477459">
        <w:t xml:space="preserve"> </w:t>
      </w:r>
      <w:r w:rsidR="00AA50D6">
        <w:t xml:space="preserve">both </w:t>
      </w:r>
      <w:r w:rsidR="00477459">
        <w:t xml:space="preserve">within </w:t>
      </w:r>
      <w:r w:rsidR="00AA50D6">
        <w:t xml:space="preserve">and between </w:t>
      </w:r>
      <w:r w:rsidR="00477459">
        <w:t>state borders</w:t>
      </w:r>
      <w:r w:rsidR="00AA50D6">
        <w:t xml:space="preserve">. </w:t>
      </w:r>
      <w:r w:rsidR="000A6473">
        <w:t xml:space="preserve"> The most significant of these changes was the end of the lockdown in Victoria</w:t>
      </w:r>
      <w:r w:rsidR="005357C6">
        <w:t xml:space="preserve"> (VIC)</w:t>
      </w:r>
      <w:r w:rsidR="000A6473">
        <w:t xml:space="preserve"> and subsequent opening of the border to other states and territories. Despite outbreaks in SA resulting in a snap three day lockdown and in Greater Sydney before Christmas, results in December quarter were encouraging. </w:t>
      </w:r>
    </w:p>
    <w:p w14:paraId="400DC261" w14:textId="2CE811CD" w:rsidR="00F36466" w:rsidRDefault="00F36466" w:rsidP="00781BDD">
      <w:r w:rsidRPr="00F36466">
        <w:t>In</w:t>
      </w:r>
      <w:r>
        <w:t xml:space="preserve"> m</w:t>
      </w:r>
      <w:r w:rsidR="007C6600">
        <w:t>ost</w:t>
      </w:r>
      <w:r>
        <w:t xml:space="preserve"> states including </w:t>
      </w:r>
      <w:r w:rsidR="007C6600">
        <w:t xml:space="preserve">NSW, </w:t>
      </w:r>
      <w:r w:rsidR="005357C6">
        <w:t>Queensland (</w:t>
      </w:r>
      <w:r>
        <w:t>QLD</w:t>
      </w:r>
      <w:r w:rsidR="005357C6">
        <w:t>)</w:t>
      </w:r>
      <w:r>
        <w:t xml:space="preserve">, </w:t>
      </w:r>
      <w:r w:rsidR="007C6600">
        <w:t xml:space="preserve">SA, </w:t>
      </w:r>
      <w:r w:rsidRPr="00F36466">
        <w:t xml:space="preserve">WA, </w:t>
      </w:r>
      <w:r w:rsidR="005357C6">
        <w:t>Tasmania (</w:t>
      </w:r>
      <w:r w:rsidRPr="00F36466">
        <w:t>TA</w:t>
      </w:r>
      <w:r>
        <w:t>S</w:t>
      </w:r>
      <w:r w:rsidR="005357C6">
        <w:t>)</w:t>
      </w:r>
      <w:r>
        <w:t xml:space="preserve"> and</w:t>
      </w:r>
      <w:r w:rsidR="005357C6">
        <w:t xml:space="preserve"> the</w:t>
      </w:r>
      <w:r>
        <w:t xml:space="preserve"> N</w:t>
      </w:r>
      <w:r w:rsidR="005357C6">
        <w:t xml:space="preserve">orthern </w:t>
      </w:r>
      <w:r>
        <w:t>T</w:t>
      </w:r>
      <w:r w:rsidR="005357C6">
        <w:t>erritory (NT)</w:t>
      </w:r>
      <w:r>
        <w:t xml:space="preserve"> intrastate </w:t>
      </w:r>
      <w:r w:rsidR="00EE6A2B">
        <w:t>trips</w:t>
      </w:r>
      <w:r>
        <w:t xml:space="preserve"> and</w:t>
      </w:r>
      <w:r w:rsidR="00477459">
        <w:t>/or</w:t>
      </w:r>
      <w:r w:rsidRPr="00F36466">
        <w:t xml:space="preserve"> spend </w:t>
      </w:r>
      <w:r w:rsidR="00BC5592">
        <w:t xml:space="preserve">increased during the </w:t>
      </w:r>
      <w:r w:rsidR="007C6600">
        <w:t>Dec</w:t>
      </w:r>
      <w:r w:rsidRPr="00F36466">
        <w:t>ember quarter 2020</w:t>
      </w:r>
      <w:r w:rsidR="00A05448">
        <w:t xml:space="preserve"> in comparison to the same period last year</w:t>
      </w:r>
      <w:r w:rsidRPr="00F36466">
        <w:t xml:space="preserve">. </w:t>
      </w:r>
      <w:r w:rsidR="00477459">
        <w:t>In contrast, t</w:t>
      </w:r>
      <w:r w:rsidR="00477459" w:rsidRPr="00F36466">
        <w:t xml:space="preserve">he </w:t>
      </w:r>
      <w:r w:rsidRPr="00F36466">
        <w:t xml:space="preserve">large domestic </w:t>
      </w:r>
      <w:r w:rsidR="00BC5592">
        <w:t xml:space="preserve">overnight </w:t>
      </w:r>
      <w:r w:rsidRPr="00F36466">
        <w:t>tourism market of Victoria (</w:t>
      </w:r>
      <w:r w:rsidR="00897307">
        <w:t xml:space="preserve">easing </w:t>
      </w:r>
      <w:r w:rsidR="00BC5592">
        <w:t xml:space="preserve">out </w:t>
      </w:r>
      <w:r w:rsidR="00897307">
        <w:t>of restrictions from its second lockdown</w:t>
      </w:r>
      <w:r w:rsidRPr="00F36466">
        <w:t xml:space="preserve">) </w:t>
      </w:r>
      <w:r w:rsidR="00897307">
        <w:t>c</w:t>
      </w:r>
      <w:r w:rsidR="00477459">
        <w:t>ontinued</w:t>
      </w:r>
      <w:r w:rsidRPr="00F36466">
        <w:t xml:space="preserve"> to see </w:t>
      </w:r>
      <w:r w:rsidR="00BC5592">
        <w:t xml:space="preserve">a fall </w:t>
      </w:r>
      <w:r w:rsidRPr="00F36466">
        <w:t xml:space="preserve">in </w:t>
      </w:r>
      <w:r w:rsidR="00BC5592">
        <w:t xml:space="preserve">both </w:t>
      </w:r>
      <w:r w:rsidRPr="00F36466">
        <w:t>intrastate trips a</w:t>
      </w:r>
      <w:r>
        <w:t xml:space="preserve">nd spend (Figure </w:t>
      </w:r>
      <w:r w:rsidR="00045560">
        <w:t>5</w:t>
      </w:r>
      <w:r>
        <w:t>).</w:t>
      </w:r>
    </w:p>
    <w:p w14:paraId="1D4F4914" w14:textId="56CE85D6" w:rsidR="00A05448" w:rsidRDefault="00F953CA" w:rsidP="00781BDD">
      <w:r>
        <w:t>While nationally intrastate trips</w:t>
      </w:r>
      <w:r w:rsidR="00473803">
        <w:t xml:space="preserve"> in the December quarter</w:t>
      </w:r>
      <w:r>
        <w:t xml:space="preserve"> fell </w:t>
      </w:r>
      <w:r w:rsidR="00897307">
        <w:t>6</w:t>
      </w:r>
      <w:r>
        <w:t xml:space="preserve">% </w:t>
      </w:r>
      <w:r w:rsidR="00BC5592">
        <w:t xml:space="preserve">(down </w:t>
      </w:r>
      <w:r w:rsidR="00897307">
        <w:t>1.2</w:t>
      </w:r>
      <w:r>
        <w:t xml:space="preserve"> million</w:t>
      </w:r>
      <w:r w:rsidR="00BC5592">
        <w:t>)</w:t>
      </w:r>
      <w:r w:rsidR="00897307">
        <w:t>,</w:t>
      </w:r>
      <w:r>
        <w:t xml:space="preserve"> spend </w:t>
      </w:r>
      <w:r w:rsidR="00477459">
        <w:t xml:space="preserve">was </w:t>
      </w:r>
      <w:r w:rsidR="00897307">
        <w:t>up</w:t>
      </w:r>
      <w:r w:rsidR="00477459">
        <w:t xml:space="preserve"> </w:t>
      </w:r>
      <w:r>
        <w:t xml:space="preserve">by </w:t>
      </w:r>
      <w:r w:rsidR="00897307">
        <w:t>2</w:t>
      </w:r>
      <w:r w:rsidR="00D151BD">
        <w:t>2</w:t>
      </w:r>
      <w:r>
        <w:t xml:space="preserve">% </w:t>
      </w:r>
      <w:r w:rsidR="00BC5592">
        <w:t xml:space="preserve">(increasing by </w:t>
      </w:r>
      <w:r>
        <w:t>$</w:t>
      </w:r>
      <w:r w:rsidR="00897307">
        <w:t>1.9</w:t>
      </w:r>
      <w:r>
        <w:t xml:space="preserve"> </w:t>
      </w:r>
      <w:r w:rsidR="00897307">
        <w:t>b</w:t>
      </w:r>
      <w:r>
        <w:t>illion</w:t>
      </w:r>
      <w:r w:rsidR="00BC5592">
        <w:t>)</w:t>
      </w:r>
      <w:r w:rsidR="00897307">
        <w:t>.</w:t>
      </w:r>
      <w:r>
        <w:t xml:space="preserve"> </w:t>
      </w:r>
      <w:r w:rsidR="00897307">
        <w:t xml:space="preserve">The increased spend </w:t>
      </w:r>
      <w:r w:rsidR="00BC5592">
        <w:t xml:space="preserve">came on the back of </w:t>
      </w:r>
      <w:r w:rsidR="009F721A">
        <w:t>intrastate</w:t>
      </w:r>
      <w:r w:rsidR="00BC5592">
        <w:t xml:space="preserve"> nights increasing by </w:t>
      </w:r>
      <w:r w:rsidR="004B18EE">
        <w:t>5</w:t>
      </w:r>
      <w:r w:rsidR="009F721A">
        <w:t>%</w:t>
      </w:r>
      <w:r w:rsidR="00BC5592">
        <w:t>,</w:t>
      </w:r>
      <w:r w:rsidR="009F721A">
        <w:t xml:space="preserve"> with </w:t>
      </w:r>
      <w:r w:rsidR="00897307">
        <w:t xml:space="preserve">travellers </w:t>
      </w:r>
      <w:r w:rsidR="00131FF6">
        <w:t xml:space="preserve">in most states and territories </w:t>
      </w:r>
      <w:r w:rsidR="00897307">
        <w:t>taking longer trips on average in their home state.</w:t>
      </w:r>
      <w:r w:rsidR="00473803">
        <w:t xml:space="preserve"> </w:t>
      </w:r>
    </w:p>
    <w:p w14:paraId="401ACD24" w14:textId="10772558" w:rsidR="00331B0E" w:rsidRDefault="00331B0E" w:rsidP="00331B0E">
      <w:pPr>
        <w:spacing w:after="0"/>
      </w:pPr>
      <w:r>
        <w:t>Interstate trips saw an increase during the December quarter compared with the September quarter 2020. However, nationally interstate overnight trips during the December quarter were still down 65% (down 6.5 million trips) to 3.5 million and spend 70% (down $8.1 billion) to $3.6 billion on the same period last year.</w:t>
      </w:r>
    </w:p>
    <w:p w14:paraId="35465C9E" w14:textId="77777777" w:rsidR="00331B0E" w:rsidRDefault="00331B0E" w:rsidP="00331B0E">
      <w:pPr>
        <w:spacing w:after="0"/>
      </w:pPr>
    </w:p>
    <w:p w14:paraId="20CA6B40" w14:textId="5F3CA9AE" w:rsidR="0034211E" w:rsidRPr="002C66CD" w:rsidRDefault="006F00FD" w:rsidP="00331B0E">
      <w:pPr>
        <w:spacing w:after="0"/>
        <w:rPr>
          <w:b/>
        </w:rPr>
      </w:pPr>
      <w:r w:rsidRPr="00135A9A">
        <w:rPr>
          <w:b/>
        </w:rPr>
        <w:t>FIGURE</w:t>
      </w:r>
      <w:r w:rsidR="00135A9A" w:rsidRPr="00135A9A">
        <w:rPr>
          <w:b/>
        </w:rPr>
        <w:t xml:space="preserve"> </w:t>
      </w:r>
      <w:r w:rsidR="00045560">
        <w:rPr>
          <w:b/>
        </w:rPr>
        <w:t>5</w:t>
      </w:r>
      <w:r w:rsidRPr="00135A9A">
        <w:rPr>
          <w:b/>
        </w:rPr>
        <w:t xml:space="preserve">: </w:t>
      </w:r>
      <w:r w:rsidR="00A87EA7" w:rsidRPr="00135A9A">
        <w:rPr>
          <w:b/>
        </w:rPr>
        <w:t xml:space="preserve">INTRASTATE </w:t>
      </w:r>
      <w:r w:rsidR="00C743C5" w:rsidRPr="00135A9A">
        <w:rPr>
          <w:b/>
        </w:rPr>
        <w:t xml:space="preserve">PER CENT </w:t>
      </w:r>
      <w:r w:rsidR="00A87EA7" w:rsidRPr="00135A9A">
        <w:rPr>
          <w:b/>
        </w:rPr>
        <w:t>CHANGES</w:t>
      </w:r>
      <w:r w:rsidR="00A87EA7">
        <w:rPr>
          <w:b/>
        </w:rPr>
        <w:t xml:space="preserve"> IN </w:t>
      </w:r>
      <w:r w:rsidR="004851E6">
        <w:rPr>
          <w:b/>
        </w:rPr>
        <w:t xml:space="preserve">OVERNIGHT </w:t>
      </w:r>
      <w:r w:rsidR="00A87EA7">
        <w:rPr>
          <w:b/>
        </w:rPr>
        <w:t>TRIPS AND SPEND</w:t>
      </w:r>
      <w:r w:rsidR="004851E6">
        <w:rPr>
          <w:b/>
        </w:rPr>
        <w:t>,</w:t>
      </w:r>
      <w:r w:rsidR="00781BDD">
        <w:rPr>
          <w:b/>
        </w:rPr>
        <w:t xml:space="preserve"> BY STATE,</w:t>
      </w:r>
      <w:r w:rsidR="004851E6">
        <w:rPr>
          <w:b/>
        </w:rPr>
        <w:t xml:space="preserve"> </w:t>
      </w:r>
      <w:r w:rsidR="00BF06F0">
        <w:rPr>
          <w:b/>
        </w:rPr>
        <w:t>DEC</w:t>
      </w:r>
      <w:r w:rsidR="004851E6">
        <w:rPr>
          <w:b/>
        </w:rPr>
        <w:t>EMBER QUARTER 2020</w:t>
      </w:r>
      <w:r w:rsidR="004B18EE">
        <w:rPr>
          <w:b/>
          <w:vertAlign w:val="superscript"/>
        </w:rPr>
        <w:t>3</w:t>
      </w:r>
    </w:p>
    <w:p w14:paraId="47472970" w14:textId="44AA70CB" w:rsidR="0034211E" w:rsidRDefault="0034211E" w:rsidP="00981CB0">
      <w:pPr>
        <w:spacing w:after="0"/>
        <w:ind w:right="-330"/>
        <w:rPr>
          <w:b/>
          <w:vertAlign w:val="superscript"/>
        </w:rPr>
      </w:pPr>
      <w:r>
        <w:rPr>
          <w:noProof/>
          <w:lang w:eastAsia="en-AU"/>
        </w:rPr>
        <w:drawing>
          <wp:inline distT="0" distB="0" distL="0" distR="0" wp14:anchorId="59B5E64C" wp14:editId="00FC56BE">
            <wp:extent cx="5886450" cy="3219450"/>
            <wp:effectExtent l="0" t="0" r="0" b="0"/>
            <wp:docPr id="4" name="Chart 4" descr="A column chart that shows the loss in interstate trips and spend by state, for the December quarter 2020 Compared to the same period last year:&#10;New South Wales had a 6% loss in trips and 9% increase in spend.&#10;Victoria had a 26% loss in trips and 34% loss in spend.&#10;Queensland had a 4% loss in trips and 16% increase in spend.&#10;South Australia had a 3% increase in trips and 12% increase in spend.&#10;Western Australia had a 4% increase in trips and 22% increase in spend.&#10;Tasmania had a 46% increase in trips and 33% increase in spend.&#10;Northern Territory had a 6% increase in trips and 34% increase in spend.&#10;" title="FIGURE 5: INTRASTATE PER CENT CHANGES IN OVERNIGHT TRIPS AND SPEND, BY STATE, DECEMBER QUART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AC118D" w14:textId="68CDFD46" w:rsidR="004B18EE" w:rsidRDefault="00430B7B" w:rsidP="004B18EE">
      <w:pPr>
        <w:rPr>
          <w:sz w:val="16"/>
          <w:szCs w:val="16"/>
        </w:rPr>
      </w:pPr>
      <w:r>
        <w:rPr>
          <w:sz w:val="16"/>
          <w:szCs w:val="16"/>
          <w:vertAlign w:val="superscript"/>
        </w:rPr>
        <w:t>3</w:t>
      </w:r>
      <w:r w:rsidR="004B18EE" w:rsidRPr="00593CA6">
        <w:rPr>
          <w:sz w:val="16"/>
          <w:szCs w:val="16"/>
          <w:vertAlign w:val="superscript"/>
        </w:rPr>
        <w:t xml:space="preserve"> </w:t>
      </w:r>
      <w:r w:rsidR="004B18EE" w:rsidRPr="00593CA6">
        <w:rPr>
          <w:sz w:val="16"/>
          <w:szCs w:val="16"/>
        </w:rPr>
        <w:t xml:space="preserve">Due to </w:t>
      </w:r>
      <w:r w:rsidR="004B18EE">
        <w:rPr>
          <w:sz w:val="16"/>
          <w:szCs w:val="16"/>
        </w:rPr>
        <w:t>an insufficient sample</w:t>
      </w:r>
      <w:r w:rsidR="004B18EE" w:rsidRPr="00593CA6">
        <w:rPr>
          <w:sz w:val="16"/>
          <w:szCs w:val="16"/>
        </w:rPr>
        <w:t xml:space="preserve"> intrastate </w:t>
      </w:r>
      <w:r w:rsidR="004B18EE">
        <w:rPr>
          <w:sz w:val="16"/>
          <w:szCs w:val="16"/>
        </w:rPr>
        <w:t xml:space="preserve">ACT is not shown </w:t>
      </w:r>
    </w:p>
    <w:p w14:paraId="6147DF39" w14:textId="77777777" w:rsidR="006F00FD" w:rsidRDefault="006F00FD" w:rsidP="006F00FD">
      <w:pPr>
        <w:pStyle w:val="Heading3"/>
      </w:pPr>
      <w:r>
        <w:t>Capital Cities and Regional Travel</w:t>
      </w:r>
    </w:p>
    <w:p w14:paraId="278ABC0F" w14:textId="77777777" w:rsidR="00331B0E" w:rsidRDefault="00331B0E" w:rsidP="001E46F4">
      <w:r w:rsidRPr="00331B0E">
        <w:t>During the December quarter 2020, regional areas continued to fare far better than capital cities (Figure 6). Regional areas have benefited by being less reliant on interstate and business travel and relatively free of COVID outbreaks. These areas have been key destinations for capital city residents looking to enjoy a break particularly in their home state.</w:t>
      </w:r>
    </w:p>
    <w:p w14:paraId="2FE9C3A0" w14:textId="105D4F0A" w:rsidR="00055B9D" w:rsidRPr="001E46F4" w:rsidRDefault="006F00FD" w:rsidP="001E46F4">
      <w:r w:rsidRPr="00D33271">
        <w:t xml:space="preserve">Overall, overnight trips to regional areas declined </w:t>
      </w:r>
      <w:r w:rsidR="00530C6E">
        <w:t>11</w:t>
      </w:r>
      <w:r w:rsidRPr="00D33271">
        <w:t>%</w:t>
      </w:r>
      <w:r w:rsidR="007E647B">
        <w:t xml:space="preserve"> (down </w:t>
      </w:r>
      <w:r w:rsidR="00481180">
        <w:t>2.0 million</w:t>
      </w:r>
      <w:r w:rsidR="007E647B">
        <w:t>)</w:t>
      </w:r>
      <w:r w:rsidRPr="00D33271">
        <w:t xml:space="preserve"> to </w:t>
      </w:r>
      <w:r w:rsidR="00530C6E">
        <w:t>15.9</w:t>
      </w:r>
      <w:r w:rsidRPr="00D33271">
        <w:t xml:space="preserve"> million and spend fell 2%</w:t>
      </w:r>
      <w:r w:rsidR="007E647B">
        <w:t xml:space="preserve"> (down $</w:t>
      </w:r>
      <w:r w:rsidR="00481180">
        <w:t>2</w:t>
      </w:r>
      <w:r w:rsidR="009141BB">
        <w:t>28 million</w:t>
      </w:r>
      <w:r w:rsidR="007E647B">
        <w:t>)</w:t>
      </w:r>
      <w:r w:rsidRPr="00D33271">
        <w:t xml:space="preserve"> to $</w:t>
      </w:r>
      <w:r w:rsidR="00530C6E">
        <w:t>9.9</w:t>
      </w:r>
      <w:r w:rsidRPr="00D33271">
        <w:t xml:space="preserve"> billion</w:t>
      </w:r>
      <w:r w:rsidR="00B6316F" w:rsidRPr="00D33271">
        <w:t xml:space="preserve"> in </w:t>
      </w:r>
      <w:r w:rsidR="007E647B">
        <w:t xml:space="preserve">the </w:t>
      </w:r>
      <w:r w:rsidR="00530C6E">
        <w:t>Dec</w:t>
      </w:r>
      <w:r w:rsidR="00B6316F" w:rsidRPr="00D33271">
        <w:t>ember quarter 2020</w:t>
      </w:r>
      <w:r w:rsidRPr="00D33271">
        <w:t xml:space="preserve">. In comparison, overnight trips to capital cities fell </w:t>
      </w:r>
      <w:r w:rsidR="00530C6E">
        <w:t>49</w:t>
      </w:r>
      <w:r w:rsidRPr="00D33271">
        <w:t>%</w:t>
      </w:r>
      <w:r w:rsidR="007E647B">
        <w:t xml:space="preserve"> (down </w:t>
      </w:r>
      <w:r w:rsidR="00481180">
        <w:t>6.3 million</w:t>
      </w:r>
      <w:r w:rsidR="007E647B">
        <w:t>)</w:t>
      </w:r>
      <w:r w:rsidRPr="00D33271">
        <w:t xml:space="preserve"> to </w:t>
      </w:r>
      <w:r w:rsidR="00530C6E">
        <w:t>6.5</w:t>
      </w:r>
      <w:r w:rsidRPr="00D33271">
        <w:t xml:space="preserve"> million and spend </w:t>
      </w:r>
      <w:r w:rsidR="007E647B">
        <w:t xml:space="preserve">fell </w:t>
      </w:r>
      <w:r w:rsidR="00530C6E">
        <w:t>58</w:t>
      </w:r>
      <w:r w:rsidRPr="00D33271">
        <w:t>%</w:t>
      </w:r>
      <w:r w:rsidR="007E647B">
        <w:t xml:space="preserve"> (down $</w:t>
      </w:r>
      <w:r w:rsidR="00481180">
        <w:t>6.0</w:t>
      </w:r>
      <w:r w:rsidR="005357C6">
        <w:t xml:space="preserve"> </w:t>
      </w:r>
      <w:r w:rsidR="00481180">
        <w:t>billion</w:t>
      </w:r>
      <w:r w:rsidR="007E647B">
        <w:t>)</w:t>
      </w:r>
      <w:r w:rsidRPr="00D33271">
        <w:t xml:space="preserve"> to $</w:t>
      </w:r>
      <w:r w:rsidR="00530C6E">
        <w:t>4</w:t>
      </w:r>
      <w:r w:rsidRPr="00D33271">
        <w:t>.3 billion.</w:t>
      </w:r>
    </w:p>
    <w:p w14:paraId="5CCDAAF0" w14:textId="77777777" w:rsidR="001E46F4" w:rsidRDefault="001E46F4">
      <w:pPr>
        <w:rPr>
          <w:b/>
        </w:rPr>
      </w:pPr>
      <w:r>
        <w:rPr>
          <w:b/>
        </w:rPr>
        <w:br w:type="page"/>
      </w:r>
    </w:p>
    <w:p w14:paraId="5068F4EC" w14:textId="075B836D" w:rsidR="00BA300B" w:rsidRDefault="006F00FD" w:rsidP="00F01686">
      <w:pPr>
        <w:spacing w:after="0"/>
        <w:rPr>
          <w:b/>
        </w:rPr>
      </w:pPr>
      <w:r w:rsidRPr="00D33271">
        <w:rPr>
          <w:b/>
        </w:rPr>
        <w:t xml:space="preserve">FIGURE </w:t>
      </w:r>
      <w:r w:rsidR="00045560">
        <w:rPr>
          <w:b/>
        </w:rPr>
        <w:t>6</w:t>
      </w:r>
      <w:r w:rsidRPr="00D33271">
        <w:rPr>
          <w:b/>
        </w:rPr>
        <w:t xml:space="preserve">: </w:t>
      </w:r>
      <w:r w:rsidR="00695431" w:rsidRPr="00D33271">
        <w:rPr>
          <w:b/>
        </w:rPr>
        <w:t xml:space="preserve">PER CENT CHANGE IN </w:t>
      </w:r>
      <w:r w:rsidR="00BA300B" w:rsidRPr="00D33271">
        <w:rPr>
          <w:b/>
        </w:rPr>
        <w:t>OVERNIGHT TRIPS</w:t>
      </w:r>
      <w:r w:rsidR="00BA300B">
        <w:rPr>
          <w:b/>
        </w:rPr>
        <w:t xml:space="preserve"> </w:t>
      </w:r>
      <w:r w:rsidR="00B07163">
        <w:rPr>
          <w:b/>
        </w:rPr>
        <w:t xml:space="preserve">AND SPEND </w:t>
      </w:r>
      <w:r w:rsidR="00BA300B">
        <w:rPr>
          <w:b/>
        </w:rPr>
        <w:t xml:space="preserve">TO CAPITAL CITIES AND REGIONAL AREAS, </w:t>
      </w:r>
      <w:r w:rsidR="00B07163">
        <w:rPr>
          <w:b/>
        </w:rPr>
        <w:t>DEC</w:t>
      </w:r>
      <w:r w:rsidR="00BA300B">
        <w:rPr>
          <w:b/>
        </w:rPr>
        <w:t>EMBER QUARTER 2020</w:t>
      </w:r>
    </w:p>
    <w:p w14:paraId="67E2E829" w14:textId="7B5E8BBA" w:rsidR="00B07163" w:rsidRDefault="00B07163" w:rsidP="006F00FD">
      <w:pPr>
        <w:rPr>
          <w:b/>
        </w:rPr>
      </w:pPr>
      <w:r>
        <w:rPr>
          <w:noProof/>
          <w:lang w:eastAsia="en-AU"/>
        </w:rPr>
        <w:drawing>
          <wp:inline distT="0" distB="0" distL="0" distR="0" wp14:anchorId="75235B66" wp14:editId="1BB2A5CD">
            <wp:extent cx="5829300" cy="3352800"/>
            <wp:effectExtent l="0" t="0" r="0" b="0"/>
            <wp:docPr id="1" name="Chart 1" descr="A column chart showing the per cent change in overnight trips and spend for capital cities and regional areas for the December quarter 2020. &#10;Compared to the same period last year:&#10;Sydney saw a 54% loss in overnight trips and 62% loss in spend.&#10;Regional New South Wales saw an 8% loss in overnight trips and a 12% increase in spend.&#10;Melbourne saw a 76% loss in overnight trips and 83% loss in spend.&#10;Regional Victoria saw a 26% loss in overnight trips and 32% loss in spend.&#10;Brisbane and the Gold Coast saw a 35% loss in overnight trips and 43% loss in spend.&#10;Regional Queensland saw a 14% loss in overnight trips and 6% loss in spend.&#10;Adelaide saw a 49% loss in overnight trips and 54% loss in spend.&#10;Regional South Australia saw a 6% loss in overnight trips and a 9% increase in spend.&#10;Perth saw a 31% loss in overnight trips and 48% loss in spend.&#10;Regional Western Australia saw no change in overnight trips and a 23% increase in spend.&#10;Tasmania saw a 14% loss in overnight trips and 51% loss in spend.&#10;Northern Territory saw a 31% loss in overnight trips and 32% loss in spend.&#10;ACT saw a 35% loss in overnight trips and 17% loss in spend." title="FIGURE 6: PER CENT CHANGE IN OVERNIGHT TRIPS AND SPEND TO CAPITAL CITIES AND REGIONAL AREAS, DECEMBER QUART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B07163" w:rsidSect="00414B78">
      <w:type w:val="continuous"/>
      <w:pgSz w:w="11906" w:h="16838" w:code="9"/>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53898" w14:textId="77777777" w:rsidR="0006094D" w:rsidRDefault="0006094D" w:rsidP="00E072F0">
      <w:r>
        <w:separator/>
      </w:r>
    </w:p>
  </w:endnote>
  <w:endnote w:type="continuationSeparator" w:id="0">
    <w:p w14:paraId="4A53C24C" w14:textId="77777777" w:rsidR="0006094D" w:rsidRDefault="0006094D" w:rsidP="00E0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Light">
    <w:altName w:val="Trade Gothic LT Std Light"/>
    <w:panose1 w:val="00000000000000000000"/>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D4728" w14:textId="77777777" w:rsidR="0006094D" w:rsidRDefault="0006094D" w:rsidP="00E072F0">
      <w:r>
        <w:separator/>
      </w:r>
    </w:p>
  </w:footnote>
  <w:footnote w:type="continuationSeparator" w:id="0">
    <w:p w14:paraId="29DD817E" w14:textId="77777777" w:rsidR="0006094D" w:rsidRDefault="0006094D" w:rsidP="00E0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72FCC" w14:textId="0261A6BE" w:rsidR="003B0773" w:rsidRPr="00414B78" w:rsidRDefault="003B0773" w:rsidP="00F23989">
    <w:pPr>
      <w:tabs>
        <w:tab w:val="center" w:pos="4513"/>
        <w:tab w:val="right" w:pos="9026"/>
      </w:tabs>
      <w:spacing w:after="0" w:line="240" w:lineRule="auto"/>
      <w:rPr>
        <w:color w:val="ACA6A2" w:themeColor="accent5"/>
        <w:sz w:val="36"/>
        <w:szCs w:val="36"/>
      </w:rPr>
    </w:pPr>
    <w:r w:rsidRPr="00414B78">
      <w:rPr>
        <w:noProof/>
        <w:lang w:eastAsia="en-AU"/>
      </w:rPr>
      <mc:AlternateContent>
        <mc:Choice Requires="wps">
          <w:drawing>
            <wp:inline distT="0" distB="0" distL="0" distR="0" wp14:anchorId="1184DE2C" wp14:editId="54F9BC7F">
              <wp:extent cx="712800" cy="694800"/>
              <wp:effectExtent l="0" t="0" r="0" b="0"/>
              <wp:docPr id="3" name="Rectangle 3" title="Page number"/>
              <wp:cNvGraphicFramePr/>
              <a:graphic xmlns:a="http://schemas.openxmlformats.org/drawingml/2006/main">
                <a:graphicData uri="http://schemas.microsoft.com/office/word/2010/wordprocessingShape">
                  <wps:wsp>
                    <wps:cNvSpPr/>
                    <wps:spPr>
                      <a:xfrm>
                        <a:off x="0" y="0"/>
                        <a:ext cx="712800" cy="694800"/>
                      </a:xfrm>
                      <a:prstGeom prst="rect">
                        <a:avLst/>
                      </a:prstGeom>
                      <a:solidFill>
                        <a:srgbClr val="ACA6A2"/>
                      </a:solidFill>
                      <a:ln w="25400" cap="flat" cmpd="sng" algn="ctr">
                        <a:noFill/>
                        <a:prstDash val="solid"/>
                      </a:ln>
                      <a:effectLst/>
                    </wps:spPr>
                    <wps:txbx>
                      <w:txbxContent>
                        <w:p w14:paraId="4CF10280" w14:textId="0BC12D01" w:rsidR="00741347" w:rsidRDefault="00741347"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sidR="004C5D01">
                            <w:rPr>
                              <w:noProof/>
                              <w:color w:val="FFFFFF" w:themeColor="background1"/>
                              <w:sz w:val="36"/>
                              <w:szCs w:val="36"/>
                            </w:rPr>
                            <w:t>6</w:t>
                          </w:r>
                          <w:r w:rsidRPr="00414B78">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84DE2C" id="Rectangle 3" o:spid="_x0000_s1026" alt="Title: Page number" style="width:56.15pt;height:5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" fillcolor="#aca6a2" stroked="f" strokeweight="2pt">
              <v:textbox>
                <w:txbxContent>
                  <w:p w14:paraId="4CF10280" w14:textId="0BC12D01" w:rsidR="00741347" w:rsidRDefault="00741347"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sidR="004C5D01">
                      <w:rPr>
                        <w:noProof/>
                        <w:color w:val="FFFFFF" w:themeColor="background1"/>
                        <w:sz w:val="36"/>
                        <w:szCs w:val="36"/>
                      </w:rPr>
                      <w:t>6</w:t>
                    </w:r>
                    <w:r w:rsidRPr="00414B78">
                      <w:rPr>
                        <w:noProof/>
                        <w:color w:val="FFFFFF" w:themeColor="background1"/>
                        <w:sz w:val="36"/>
                        <w:szCs w:val="36"/>
                      </w:rPr>
                      <w:fldChar w:fldCharType="end"/>
                    </w:r>
                  </w:p>
                </w:txbxContent>
              </v:textbox>
              <w10:anchorlock/>
            </v:rect>
          </w:pict>
        </mc:Fallback>
      </mc:AlternateContent>
    </w:r>
  </w:p>
  <w:p w14:paraId="2F717463" w14:textId="77777777" w:rsidR="003B0773" w:rsidRDefault="003B0773" w:rsidP="007C2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61C2" w14:textId="77468A15" w:rsidR="003B0773" w:rsidRPr="00C136FE" w:rsidRDefault="003B0773" w:rsidP="00F23989">
    <w:pPr>
      <w:pStyle w:val="Header"/>
      <w:ind w:left="-567"/>
      <w:rPr>
        <w:color w:val="ACA6A2" w:themeColor="accent5"/>
        <w:sz w:val="36"/>
        <w:szCs w:val="36"/>
      </w:rPr>
    </w:pPr>
    <w:r>
      <w:rPr>
        <w:noProof/>
        <w:lang w:eastAsia="en-AU"/>
      </w:rPr>
      <mc:AlternateContent>
        <mc:Choice Requires="wps">
          <w:drawing>
            <wp:inline distT="0" distB="0" distL="0" distR="0" wp14:anchorId="4913F565" wp14:editId="23248C1D">
              <wp:extent cx="714375" cy="695325"/>
              <wp:effectExtent l="0" t="0" r="9525" b="9525"/>
              <wp:docPr id="2" name="Rectangle 2" title="Page number"/>
              <wp:cNvGraphicFramePr/>
              <a:graphic xmlns:a="http://schemas.openxmlformats.org/drawingml/2006/main">
                <a:graphicData uri="http://schemas.microsoft.com/office/word/2010/wordprocessingShape">
                  <wps:wsp>
                    <wps:cNvSpPr/>
                    <wps:spPr>
                      <a:xfrm>
                        <a:off x="0" y="0"/>
                        <a:ext cx="714375" cy="695325"/>
                      </a:xfrm>
                      <a:prstGeom prst="rect">
                        <a:avLst/>
                      </a:prstGeom>
                      <a:solidFill>
                        <a:srgbClr val="ACA6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4844E" w14:textId="4C1FFE0A" w:rsidR="00741347" w:rsidRDefault="00741347"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sidR="004C5D01">
                            <w:rPr>
                              <w:noProof/>
                              <w:color w:val="FFFFFF" w:themeColor="background1"/>
                              <w:sz w:val="36"/>
                              <w:szCs w:val="36"/>
                            </w:rPr>
                            <w:t>5</w:t>
                          </w:r>
                          <w:r w:rsidRPr="00CF10C4">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3F565" id="Rectangle 2" o:spid="_x0000_s1027" alt="Title: Page number" style="width:56.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" fillcolor="#aca6a2" stroked="f" strokeweight="2pt">
              <v:textbox>
                <w:txbxContent>
                  <w:p w14:paraId="7914844E" w14:textId="4C1FFE0A" w:rsidR="00741347" w:rsidRDefault="00741347"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sidR="004C5D01">
                      <w:rPr>
                        <w:noProof/>
                        <w:color w:val="FFFFFF" w:themeColor="background1"/>
                        <w:sz w:val="36"/>
                        <w:szCs w:val="36"/>
                      </w:rPr>
                      <w:t>5</w:t>
                    </w:r>
                    <w:r w:rsidRPr="00CF10C4">
                      <w:rPr>
                        <w:noProof/>
                        <w:color w:val="FFFFFF" w:themeColor="background1"/>
                        <w:sz w:val="36"/>
                        <w:szCs w:val="36"/>
                      </w:rPr>
                      <w:fldChar w:fldCharType="end"/>
                    </w:r>
                  </w:p>
                </w:txbxContent>
              </v:textbox>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1629" w14:textId="77777777" w:rsidR="003B0773" w:rsidRDefault="003B0773">
    <w:pPr>
      <w:pStyle w:val="Header"/>
    </w:pPr>
    <w:r>
      <w:rPr>
        <w:noProof/>
        <w:lang w:eastAsia="en-AU"/>
      </w:rPr>
      <w:drawing>
        <wp:anchor distT="0" distB="0" distL="114300" distR="114300" simplePos="0" relativeHeight="251658752" behindDoc="0" locked="0" layoutInCell="1" allowOverlap="1" wp14:anchorId="191A0E65" wp14:editId="0DCF0D65">
          <wp:simplePos x="0" y="0"/>
          <wp:positionH relativeFrom="column">
            <wp:posOffset>-914400</wp:posOffset>
          </wp:positionH>
          <wp:positionV relativeFrom="paragraph">
            <wp:posOffset>0</wp:posOffset>
          </wp:positionV>
          <wp:extent cx="7566500" cy="1454297"/>
          <wp:effectExtent l="0" t="0" r="0" b="0"/>
          <wp:wrapNone/>
          <wp:docPr id="6" name="Picture 6" descr="Banner with the Australian Government Austrade and Tourism Research Australia logos." title="Austrade and Tourism Research Australi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500" cy="145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A7EE8"/>
    <w:multiLevelType w:val="hybridMultilevel"/>
    <w:tmpl w:val="69F2E714"/>
    <w:lvl w:ilvl="0" w:tplc="899EEEA4">
      <w:start w:val="1"/>
      <w:numFmt w:val="bullet"/>
      <w:pStyle w:val="ListParagraph"/>
      <w:lvlText w:val=""/>
      <w:lvlJc w:val="left"/>
      <w:pPr>
        <w:ind w:left="720" w:hanging="360"/>
      </w:pPr>
      <w:rPr>
        <w:rFonts w:ascii="Wingdings" w:hAnsi="Wingdings" w:hint="default"/>
        <w:color w:val="D4D71E" w:themeColor="accent3"/>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F43A0E"/>
    <w:multiLevelType w:val="hybridMultilevel"/>
    <w:tmpl w:val="CC4A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A27E4"/>
    <w:multiLevelType w:val="hybridMultilevel"/>
    <w:tmpl w:val="2CA4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357B3D"/>
    <w:multiLevelType w:val="hybridMultilevel"/>
    <w:tmpl w:val="5DAE58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484A19"/>
    <w:multiLevelType w:val="hybridMultilevel"/>
    <w:tmpl w:val="BB0C754C"/>
    <w:lvl w:ilvl="0" w:tplc="78B8CA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26"/>
    <w:rsid w:val="00000D86"/>
    <w:rsid w:val="00013999"/>
    <w:rsid w:val="00020480"/>
    <w:rsid w:val="00033670"/>
    <w:rsid w:val="000370FE"/>
    <w:rsid w:val="00041B38"/>
    <w:rsid w:val="00042CAB"/>
    <w:rsid w:val="00045560"/>
    <w:rsid w:val="00045A17"/>
    <w:rsid w:val="000516DD"/>
    <w:rsid w:val="00055B9D"/>
    <w:rsid w:val="0006094D"/>
    <w:rsid w:val="00065CEA"/>
    <w:rsid w:val="00070827"/>
    <w:rsid w:val="00070896"/>
    <w:rsid w:val="0007447B"/>
    <w:rsid w:val="000751A6"/>
    <w:rsid w:val="000875F3"/>
    <w:rsid w:val="000A6473"/>
    <w:rsid w:val="000B0534"/>
    <w:rsid w:val="000B42DB"/>
    <w:rsid w:val="000C4434"/>
    <w:rsid w:val="000C4532"/>
    <w:rsid w:val="000D3225"/>
    <w:rsid w:val="000D6F2F"/>
    <w:rsid w:val="000E1BAE"/>
    <w:rsid w:val="000E4029"/>
    <w:rsid w:val="000E4DC4"/>
    <w:rsid w:val="000E6F61"/>
    <w:rsid w:val="00100BD8"/>
    <w:rsid w:val="00102DFF"/>
    <w:rsid w:val="00110E56"/>
    <w:rsid w:val="00111C40"/>
    <w:rsid w:val="001141AB"/>
    <w:rsid w:val="00114B83"/>
    <w:rsid w:val="00124FCE"/>
    <w:rsid w:val="00127FED"/>
    <w:rsid w:val="0013103E"/>
    <w:rsid w:val="00131FF6"/>
    <w:rsid w:val="00135A9A"/>
    <w:rsid w:val="001458AA"/>
    <w:rsid w:val="00155470"/>
    <w:rsid w:val="00157BD9"/>
    <w:rsid w:val="00162CE5"/>
    <w:rsid w:val="00166466"/>
    <w:rsid w:val="001933DE"/>
    <w:rsid w:val="00193F07"/>
    <w:rsid w:val="00196FD5"/>
    <w:rsid w:val="001A4443"/>
    <w:rsid w:val="001A52F6"/>
    <w:rsid w:val="001B099E"/>
    <w:rsid w:val="001B23A7"/>
    <w:rsid w:val="001B7A72"/>
    <w:rsid w:val="001C0B22"/>
    <w:rsid w:val="001C7872"/>
    <w:rsid w:val="001D648F"/>
    <w:rsid w:val="001E22EE"/>
    <w:rsid w:val="001E2C20"/>
    <w:rsid w:val="001E46F4"/>
    <w:rsid w:val="001F12D8"/>
    <w:rsid w:val="001F3CC3"/>
    <w:rsid w:val="00201562"/>
    <w:rsid w:val="0020204C"/>
    <w:rsid w:val="00205A17"/>
    <w:rsid w:val="0020702C"/>
    <w:rsid w:val="00207E9D"/>
    <w:rsid w:val="00210EC0"/>
    <w:rsid w:val="00223C0A"/>
    <w:rsid w:val="00224FD9"/>
    <w:rsid w:val="00233C95"/>
    <w:rsid w:val="002376EE"/>
    <w:rsid w:val="00243A7B"/>
    <w:rsid w:val="002641F3"/>
    <w:rsid w:val="00265E3B"/>
    <w:rsid w:val="002706A3"/>
    <w:rsid w:val="002706CB"/>
    <w:rsid w:val="002727BD"/>
    <w:rsid w:val="00274E17"/>
    <w:rsid w:val="002926F2"/>
    <w:rsid w:val="002A104D"/>
    <w:rsid w:val="002B2127"/>
    <w:rsid w:val="002C66CD"/>
    <w:rsid w:val="002D7772"/>
    <w:rsid w:val="002F1777"/>
    <w:rsid w:val="002F6D4D"/>
    <w:rsid w:val="00301B49"/>
    <w:rsid w:val="00302873"/>
    <w:rsid w:val="00307F82"/>
    <w:rsid w:val="00310B93"/>
    <w:rsid w:val="00331B0E"/>
    <w:rsid w:val="003339C7"/>
    <w:rsid w:val="0034108E"/>
    <w:rsid w:val="003414FC"/>
    <w:rsid w:val="0034211E"/>
    <w:rsid w:val="0034438D"/>
    <w:rsid w:val="0034531C"/>
    <w:rsid w:val="00355255"/>
    <w:rsid w:val="00365CD8"/>
    <w:rsid w:val="00371E6C"/>
    <w:rsid w:val="0037628E"/>
    <w:rsid w:val="003852F2"/>
    <w:rsid w:val="00386193"/>
    <w:rsid w:val="0039321C"/>
    <w:rsid w:val="003B06D5"/>
    <w:rsid w:val="003B0773"/>
    <w:rsid w:val="003B654F"/>
    <w:rsid w:val="003B727C"/>
    <w:rsid w:val="003F3C1F"/>
    <w:rsid w:val="003F59B0"/>
    <w:rsid w:val="003F7E5F"/>
    <w:rsid w:val="00400145"/>
    <w:rsid w:val="004002D9"/>
    <w:rsid w:val="00401BAA"/>
    <w:rsid w:val="004128A9"/>
    <w:rsid w:val="00414B78"/>
    <w:rsid w:val="004173C6"/>
    <w:rsid w:val="004265F4"/>
    <w:rsid w:val="00430B7B"/>
    <w:rsid w:val="004314A6"/>
    <w:rsid w:val="0043491F"/>
    <w:rsid w:val="00443ED9"/>
    <w:rsid w:val="00446B61"/>
    <w:rsid w:val="004601F9"/>
    <w:rsid w:val="0046073A"/>
    <w:rsid w:val="004659A7"/>
    <w:rsid w:val="004663BF"/>
    <w:rsid w:val="00471A47"/>
    <w:rsid w:val="00473803"/>
    <w:rsid w:val="00477459"/>
    <w:rsid w:val="00481180"/>
    <w:rsid w:val="004833B4"/>
    <w:rsid w:val="004851E6"/>
    <w:rsid w:val="004A26A8"/>
    <w:rsid w:val="004A369C"/>
    <w:rsid w:val="004A6F39"/>
    <w:rsid w:val="004B18EE"/>
    <w:rsid w:val="004B6C4A"/>
    <w:rsid w:val="004C2D3F"/>
    <w:rsid w:val="004C5D01"/>
    <w:rsid w:val="004D1D07"/>
    <w:rsid w:val="004D4600"/>
    <w:rsid w:val="004D5E44"/>
    <w:rsid w:val="004E0D47"/>
    <w:rsid w:val="004E7FF3"/>
    <w:rsid w:val="004F42D9"/>
    <w:rsid w:val="005026BA"/>
    <w:rsid w:val="00513157"/>
    <w:rsid w:val="00515A53"/>
    <w:rsid w:val="00530C6E"/>
    <w:rsid w:val="0053129C"/>
    <w:rsid w:val="005357C6"/>
    <w:rsid w:val="0053777D"/>
    <w:rsid w:val="00544106"/>
    <w:rsid w:val="00546874"/>
    <w:rsid w:val="005561EB"/>
    <w:rsid w:val="0057041B"/>
    <w:rsid w:val="00574C7C"/>
    <w:rsid w:val="00577C7F"/>
    <w:rsid w:val="00584196"/>
    <w:rsid w:val="00586ECE"/>
    <w:rsid w:val="00593CA6"/>
    <w:rsid w:val="005943DC"/>
    <w:rsid w:val="005978D8"/>
    <w:rsid w:val="005B2CF5"/>
    <w:rsid w:val="005C0907"/>
    <w:rsid w:val="005C36B0"/>
    <w:rsid w:val="005D04C0"/>
    <w:rsid w:val="005D2C8F"/>
    <w:rsid w:val="005D2DB4"/>
    <w:rsid w:val="005E1C35"/>
    <w:rsid w:val="005E58E4"/>
    <w:rsid w:val="005F0A92"/>
    <w:rsid w:val="005F51CD"/>
    <w:rsid w:val="005F7665"/>
    <w:rsid w:val="00601689"/>
    <w:rsid w:val="00603694"/>
    <w:rsid w:val="0060587C"/>
    <w:rsid w:val="006134D7"/>
    <w:rsid w:val="00613D8B"/>
    <w:rsid w:val="00614311"/>
    <w:rsid w:val="00614502"/>
    <w:rsid w:val="00615278"/>
    <w:rsid w:val="00617377"/>
    <w:rsid w:val="00620C80"/>
    <w:rsid w:val="0062331E"/>
    <w:rsid w:val="00630076"/>
    <w:rsid w:val="0063661C"/>
    <w:rsid w:val="0063672B"/>
    <w:rsid w:val="006469AB"/>
    <w:rsid w:val="00663CA9"/>
    <w:rsid w:val="00671607"/>
    <w:rsid w:val="006839D2"/>
    <w:rsid w:val="0069356F"/>
    <w:rsid w:val="00695431"/>
    <w:rsid w:val="00695758"/>
    <w:rsid w:val="00696B8E"/>
    <w:rsid w:val="006A05CB"/>
    <w:rsid w:val="006B000B"/>
    <w:rsid w:val="006B7A98"/>
    <w:rsid w:val="006C15DD"/>
    <w:rsid w:val="006D11C6"/>
    <w:rsid w:val="006E6B07"/>
    <w:rsid w:val="006E7233"/>
    <w:rsid w:val="006E7C7D"/>
    <w:rsid w:val="006F00FD"/>
    <w:rsid w:val="006F0DFC"/>
    <w:rsid w:val="006F3F5E"/>
    <w:rsid w:val="00707AA0"/>
    <w:rsid w:val="00720162"/>
    <w:rsid w:val="007208BF"/>
    <w:rsid w:val="00734555"/>
    <w:rsid w:val="00737782"/>
    <w:rsid w:val="00741347"/>
    <w:rsid w:val="00744455"/>
    <w:rsid w:val="00755C72"/>
    <w:rsid w:val="007659F6"/>
    <w:rsid w:val="007701F1"/>
    <w:rsid w:val="007746F0"/>
    <w:rsid w:val="00781BDD"/>
    <w:rsid w:val="007846D7"/>
    <w:rsid w:val="00786041"/>
    <w:rsid w:val="007901FB"/>
    <w:rsid w:val="00796D22"/>
    <w:rsid w:val="00797F14"/>
    <w:rsid w:val="007C000C"/>
    <w:rsid w:val="007C0B73"/>
    <w:rsid w:val="007C2A11"/>
    <w:rsid w:val="007C38FA"/>
    <w:rsid w:val="007C6600"/>
    <w:rsid w:val="007D50DC"/>
    <w:rsid w:val="007D6F24"/>
    <w:rsid w:val="007E647B"/>
    <w:rsid w:val="008008A5"/>
    <w:rsid w:val="008033D4"/>
    <w:rsid w:val="008048CC"/>
    <w:rsid w:val="00812FAB"/>
    <w:rsid w:val="0082161B"/>
    <w:rsid w:val="00833F2D"/>
    <w:rsid w:val="00833F4C"/>
    <w:rsid w:val="00837B34"/>
    <w:rsid w:val="00843175"/>
    <w:rsid w:val="008533AB"/>
    <w:rsid w:val="0086500E"/>
    <w:rsid w:val="00891BF6"/>
    <w:rsid w:val="00891E92"/>
    <w:rsid w:val="00897307"/>
    <w:rsid w:val="008A3B74"/>
    <w:rsid w:val="008A4740"/>
    <w:rsid w:val="008B5D41"/>
    <w:rsid w:val="008B7B74"/>
    <w:rsid w:val="008C56F4"/>
    <w:rsid w:val="008E4510"/>
    <w:rsid w:val="008E65DE"/>
    <w:rsid w:val="008F0E82"/>
    <w:rsid w:val="008F3EB1"/>
    <w:rsid w:val="008F77DB"/>
    <w:rsid w:val="00900D76"/>
    <w:rsid w:val="0090517C"/>
    <w:rsid w:val="00912E5C"/>
    <w:rsid w:val="009141BB"/>
    <w:rsid w:val="00924C47"/>
    <w:rsid w:val="009251A8"/>
    <w:rsid w:val="0092532D"/>
    <w:rsid w:val="00934C55"/>
    <w:rsid w:val="0093732B"/>
    <w:rsid w:val="00941887"/>
    <w:rsid w:val="00945413"/>
    <w:rsid w:val="009660B9"/>
    <w:rsid w:val="00981CB0"/>
    <w:rsid w:val="00986AE3"/>
    <w:rsid w:val="00991968"/>
    <w:rsid w:val="009953EA"/>
    <w:rsid w:val="009956A3"/>
    <w:rsid w:val="009A67C3"/>
    <w:rsid w:val="009A7A6F"/>
    <w:rsid w:val="009B3C9B"/>
    <w:rsid w:val="009C3F90"/>
    <w:rsid w:val="009C4B8D"/>
    <w:rsid w:val="009D1774"/>
    <w:rsid w:val="009D7088"/>
    <w:rsid w:val="009E5632"/>
    <w:rsid w:val="009E5880"/>
    <w:rsid w:val="009F3DE1"/>
    <w:rsid w:val="009F721A"/>
    <w:rsid w:val="00A00689"/>
    <w:rsid w:val="00A03D8E"/>
    <w:rsid w:val="00A05448"/>
    <w:rsid w:val="00A148F4"/>
    <w:rsid w:val="00A20CF7"/>
    <w:rsid w:val="00A231D1"/>
    <w:rsid w:val="00A308FE"/>
    <w:rsid w:val="00A31308"/>
    <w:rsid w:val="00A37106"/>
    <w:rsid w:val="00A375F5"/>
    <w:rsid w:val="00A50217"/>
    <w:rsid w:val="00A5769C"/>
    <w:rsid w:val="00A57FB8"/>
    <w:rsid w:val="00A6163B"/>
    <w:rsid w:val="00A62B3C"/>
    <w:rsid w:val="00A62D0E"/>
    <w:rsid w:val="00A64AA5"/>
    <w:rsid w:val="00A75946"/>
    <w:rsid w:val="00A7595D"/>
    <w:rsid w:val="00A83BE8"/>
    <w:rsid w:val="00A868FF"/>
    <w:rsid w:val="00A870C8"/>
    <w:rsid w:val="00A87EA7"/>
    <w:rsid w:val="00AA1B34"/>
    <w:rsid w:val="00AA393D"/>
    <w:rsid w:val="00AA50D6"/>
    <w:rsid w:val="00AA7C0A"/>
    <w:rsid w:val="00AB0BA2"/>
    <w:rsid w:val="00AB27D9"/>
    <w:rsid w:val="00AB2870"/>
    <w:rsid w:val="00AC0439"/>
    <w:rsid w:val="00AD228F"/>
    <w:rsid w:val="00B00909"/>
    <w:rsid w:val="00B0422F"/>
    <w:rsid w:val="00B06535"/>
    <w:rsid w:val="00B07163"/>
    <w:rsid w:val="00B1065F"/>
    <w:rsid w:val="00B11E40"/>
    <w:rsid w:val="00B14425"/>
    <w:rsid w:val="00B17926"/>
    <w:rsid w:val="00B21EBF"/>
    <w:rsid w:val="00B23EDF"/>
    <w:rsid w:val="00B363D2"/>
    <w:rsid w:val="00B373AC"/>
    <w:rsid w:val="00B378D3"/>
    <w:rsid w:val="00B41406"/>
    <w:rsid w:val="00B4529D"/>
    <w:rsid w:val="00B50E50"/>
    <w:rsid w:val="00B545BF"/>
    <w:rsid w:val="00B54D57"/>
    <w:rsid w:val="00B54FE0"/>
    <w:rsid w:val="00B6316F"/>
    <w:rsid w:val="00B6583C"/>
    <w:rsid w:val="00B76E4B"/>
    <w:rsid w:val="00B802DB"/>
    <w:rsid w:val="00B87DAC"/>
    <w:rsid w:val="00BA1AF3"/>
    <w:rsid w:val="00BA2F14"/>
    <w:rsid w:val="00BA300B"/>
    <w:rsid w:val="00BA3156"/>
    <w:rsid w:val="00BA4066"/>
    <w:rsid w:val="00BA7124"/>
    <w:rsid w:val="00BA7D6A"/>
    <w:rsid w:val="00BB1294"/>
    <w:rsid w:val="00BB2F87"/>
    <w:rsid w:val="00BC5592"/>
    <w:rsid w:val="00BC582C"/>
    <w:rsid w:val="00BC6990"/>
    <w:rsid w:val="00BD3140"/>
    <w:rsid w:val="00BD3C43"/>
    <w:rsid w:val="00BD6B5F"/>
    <w:rsid w:val="00BE593F"/>
    <w:rsid w:val="00BE77DB"/>
    <w:rsid w:val="00BF06F0"/>
    <w:rsid w:val="00BF24EF"/>
    <w:rsid w:val="00BF3E76"/>
    <w:rsid w:val="00C008A9"/>
    <w:rsid w:val="00C00B0D"/>
    <w:rsid w:val="00C01279"/>
    <w:rsid w:val="00C020AF"/>
    <w:rsid w:val="00C11019"/>
    <w:rsid w:val="00C13542"/>
    <w:rsid w:val="00C136FE"/>
    <w:rsid w:val="00C42110"/>
    <w:rsid w:val="00C47B66"/>
    <w:rsid w:val="00C57877"/>
    <w:rsid w:val="00C61F64"/>
    <w:rsid w:val="00C743C5"/>
    <w:rsid w:val="00C83792"/>
    <w:rsid w:val="00C83A53"/>
    <w:rsid w:val="00C869F3"/>
    <w:rsid w:val="00C9550B"/>
    <w:rsid w:val="00C96131"/>
    <w:rsid w:val="00CB1BD1"/>
    <w:rsid w:val="00CB3A27"/>
    <w:rsid w:val="00CC120A"/>
    <w:rsid w:val="00CC4245"/>
    <w:rsid w:val="00CC49B4"/>
    <w:rsid w:val="00CD7B58"/>
    <w:rsid w:val="00CE0C70"/>
    <w:rsid w:val="00CF10C4"/>
    <w:rsid w:val="00CF3A19"/>
    <w:rsid w:val="00CF4C5C"/>
    <w:rsid w:val="00CF6285"/>
    <w:rsid w:val="00D03616"/>
    <w:rsid w:val="00D11097"/>
    <w:rsid w:val="00D151BD"/>
    <w:rsid w:val="00D175CB"/>
    <w:rsid w:val="00D258E7"/>
    <w:rsid w:val="00D315E7"/>
    <w:rsid w:val="00D33271"/>
    <w:rsid w:val="00D375B3"/>
    <w:rsid w:val="00D40108"/>
    <w:rsid w:val="00D57C07"/>
    <w:rsid w:val="00D60C27"/>
    <w:rsid w:val="00D84F63"/>
    <w:rsid w:val="00D86412"/>
    <w:rsid w:val="00D90A77"/>
    <w:rsid w:val="00D94AC0"/>
    <w:rsid w:val="00D96EC3"/>
    <w:rsid w:val="00DA123D"/>
    <w:rsid w:val="00DA22E1"/>
    <w:rsid w:val="00DA343A"/>
    <w:rsid w:val="00DB47D5"/>
    <w:rsid w:val="00DC5DB4"/>
    <w:rsid w:val="00DD3835"/>
    <w:rsid w:val="00DD6D85"/>
    <w:rsid w:val="00DE07EB"/>
    <w:rsid w:val="00DE09BB"/>
    <w:rsid w:val="00DE64FC"/>
    <w:rsid w:val="00DF5DCC"/>
    <w:rsid w:val="00DF69FF"/>
    <w:rsid w:val="00E0107A"/>
    <w:rsid w:val="00E072F0"/>
    <w:rsid w:val="00E206DC"/>
    <w:rsid w:val="00E25BE0"/>
    <w:rsid w:val="00E42231"/>
    <w:rsid w:val="00E44B79"/>
    <w:rsid w:val="00E47269"/>
    <w:rsid w:val="00E53BD7"/>
    <w:rsid w:val="00E55997"/>
    <w:rsid w:val="00E61080"/>
    <w:rsid w:val="00E6538D"/>
    <w:rsid w:val="00E65D62"/>
    <w:rsid w:val="00E71929"/>
    <w:rsid w:val="00E86327"/>
    <w:rsid w:val="00E8725E"/>
    <w:rsid w:val="00E90481"/>
    <w:rsid w:val="00E919D6"/>
    <w:rsid w:val="00E963D0"/>
    <w:rsid w:val="00EA0052"/>
    <w:rsid w:val="00EA5E28"/>
    <w:rsid w:val="00EB19EC"/>
    <w:rsid w:val="00EC13FD"/>
    <w:rsid w:val="00ED105A"/>
    <w:rsid w:val="00EE2C36"/>
    <w:rsid w:val="00EE6937"/>
    <w:rsid w:val="00EE6A2B"/>
    <w:rsid w:val="00EF504E"/>
    <w:rsid w:val="00F00DEE"/>
    <w:rsid w:val="00F01686"/>
    <w:rsid w:val="00F03E09"/>
    <w:rsid w:val="00F061C0"/>
    <w:rsid w:val="00F119B2"/>
    <w:rsid w:val="00F17F67"/>
    <w:rsid w:val="00F23989"/>
    <w:rsid w:val="00F26FDA"/>
    <w:rsid w:val="00F36466"/>
    <w:rsid w:val="00F3791F"/>
    <w:rsid w:val="00F41CC9"/>
    <w:rsid w:val="00F42375"/>
    <w:rsid w:val="00F458EC"/>
    <w:rsid w:val="00F47B0A"/>
    <w:rsid w:val="00F537B4"/>
    <w:rsid w:val="00F56CF5"/>
    <w:rsid w:val="00F66585"/>
    <w:rsid w:val="00F67B1F"/>
    <w:rsid w:val="00F70D0A"/>
    <w:rsid w:val="00F73419"/>
    <w:rsid w:val="00F8040B"/>
    <w:rsid w:val="00F80CBB"/>
    <w:rsid w:val="00F94A91"/>
    <w:rsid w:val="00F953CA"/>
    <w:rsid w:val="00FA3D84"/>
    <w:rsid w:val="00FA5F86"/>
    <w:rsid w:val="00FB0CF5"/>
    <w:rsid w:val="00FB662A"/>
    <w:rsid w:val="00FB6D68"/>
    <w:rsid w:val="00FC2688"/>
    <w:rsid w:val="00FC5EF4"/>
    <w:rsid w:val="00FC7182"/>
    <w:rsid w:val="00FD47E3"/>
    <w:rsid w:val="00FD5D79"/>
    <w:rsid w:val="00FD735C"/>
    <w:rsid w:val="00FE029E"/>
    <w:rsid w:val="00FE2F16"/>
    <w:rsid w:val="00FF2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7CAA6"/>
  <w15:docId w15:val="{42E269B3-2F64-443A-BF08-E33A2A1E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78"/>
    <w:rPr>
      <w:sz w:val="20"/>
      <w:szCs w:val="20"/>
    </w:rPr>
  </w:style>
  <w:style w:type="paragraph" w:styleId="Heading1">
    <w:name w:val="heading 1"/>
    <w:basedOn w:val="Normal"/>
    <w:next w:val="Normal"/>
    <w:link w:val="Heading1Char"/>
    <w:autoRedefine/>
    <w:uiPriority w:val="9"/>
    <w:qFormat/>
    <w:rsid w:val="00E963D0"/>
    <w:pPr>
      <w:keepNext/>
      <w:keepLines/>
      <w:spacing w:before="120" w:after="120" w:line="240" w:lineRule="auto"/>
      <w:jc w:val="center"/>
      <w:outlineLvl w:val="0"/>
    </w:pPr>
    <w:rPr>
      <w:rFonts w:eastAsiaTheme="majorEastAsia" w:cstheme="minorHAnsi"/>
      <w:bCs/>
      <w:caps/>
      <w:color w:val="008BB6"/>
      <w:sz w:val="18"/>
      <w:szCs w:val="18"/>
    </w:rPr>
  </w:style>
  <w:style w:type="paragraph" w:styleId="Heading2">
    <w:name w:val="heading 2"/>
    <w:basedOn w:val="Normal"/>
    <w:next w:val="Normal"/>
    <w:link w:val="Heading2Char"/>
    <w:autoRedefine/>
    <w:uiPriority w:val="9"/>
    <w:unhideWhenUsed/>
    <w:qFormat/>
    <w:rsid w:val="004B18EE"/>
    <w:pPr>
      <w:keepNext/>
      <w:keepLines/>
      <w:spacing w:before="200" w:after="0"/>
      <w:outlineLvl w:val="1"/>
    </w:pPr>
    <w:rPr>
      <w:rFonts w:ascii="Arial Narrow" w:eastAsiaTheme="majorEastAsia" w:hAnsi="Arial Narrow" w:cstheme="majorBidi"/>
      <w:bCs/>
      <w:caps/>
      <w:color w:val="ACA6A2"/>
      <w:sz w:val="36"/>
      <w:szCs w:val="36"/>
    </w:rPr>
  </w:style>
  <w:style w:type="paragraph" w:styleId="Heading3">
    <w:name w:val="heading 3"/>
    <w:basedOn w:val="Normal"/>
    <w:next w:val="Normal"/>
    <w:link w:val="Heading3Char"/>
    <w:autoRedefine/>
    <w:uiPriority w:val="9"/>
    <w:unhideWhenUsed/>
    <w:qFormat/>
    <w:rsid w:val="00CF10C4"/>
    <w:pPr>
      <w:keepNext/>
      <w:keepLines/>
      <w:spacing w:before="200" w:after="0"/>
      <w:outlineLvl w:val="2"/>
    </w:pPr>
    <w:rPr>
      <w:rFonts w:asciiTheme="majorHAnsi" w:eastAsiaTheme="majorEastAsia" w:hAnsiTheme="majorHAnsi" w:cstheme="majorBidi"/>
      <w:bCs/>
      <w:caps/>
      <w:color w:val="008BB6"/>
    </w:rPr>
  </w:style>
  <w:style w:type="paragraph" w:styleId="Heading4">
    <w:name w:val="heading 4"/>
    <w:basedOn w:val="Heading3"/>
    <w:next w:val="Normal"/>
    <w:link w:val="Heading4Char"/>
    <w:autoRedefine/>
    <w:uiPriority w:val="9"/>
    <w:unhideWhenUsed/>
    <w:qFormat/>
    <w:rsid w:val="00045560"/>
    <w:pPr>
      <w:outlineLvl w:val="3"/>
    </w:pPr>
    <w:rPr>
      <w:b/>
      <w:caps w:val="0"/>
      <w:color w:val="auto"/>
    </w:rPr>
  </w:style>
  <w:style w:type="paragraph" w:styleId="Heading5">
    <w:name w:val="heading 5"/>
    <w:basedOn w:val="Normal"/>
    <w:next w:val="Normal"/>
    <w:link w:val="Heading5Char"/>
    <w:uiPriority w:val="9"/>
    <w:unhideWhenUsed/>
    <w:qFormat/>
    <w:rsid w:val="00473803"/>
    <w:pPr>
      <w:keepNext/>
      <w:keepLines/>
      <w:spacing w:before="40" w:after="0"/>
      <w:outlineLvl w:val="4"/>
    </w:pPr>
    <w:rPr>
      <w:rFonts w:asciiTheme="majorHAnsi" w:eastAsiaTheme="majorEastAsia" w:hAnsiTheme="majorHAnsi" w:cstheme="majorBidi"/>
      <w:color w:val="E4BA0E" w:themeColor="accent1" w:themeShade="BF"/>
    </w:rPr>
  </w:style>
  <w:style w:type="paragraph" w:styleId="Heading6">
    <w:name w:val="heading 6"/>
    <w:basedOn w:val="Normal"/>
    <w:next w:val="Normal"/>
    <w:link w:val="Heading6Char"/>
    <w:uiPriority w:val="9"/>
    <w:unhideWhenUsed/>
    <w:qFormat/>
    <w:rsid w:val="00473803"/>
    <w:pPr>
      <w:keepNext/>
      <w:keepLines/>
      <w:spacing w:before="40" w:after="0"/>
      <w:outlineLvl w:val="5"/>
    </w:pPr>
    <w:rPr>
      <w:rFonts w:asciiTheme="majorHAnsi" w:eastAsiaTheme="majorEastAsia" w:hAnsiTheme="majorHAnsi" w:cstheme="majorBidi"/>
      <w:color w:val="977B09" w:themeColor="accent1" w:themeShade="7F"/>
    </w:rPr>
  </w:style>
  <w:style w:type="paragraph" w:styleId="Heading7">
    <w:name w:val="heading 7"/>
    <w:basedOn w:val="Normal"/>
    <w:next w:val="Normal"/>
    <w:link w:val="Heading7Char"/>
    <w:uiPriority w:val="9"/>
    <w:unhideWhenUsed/>
    <w:qFormat/>
    <w:rsid w:val="00473803"/>
    <w:pPr>
      <w:keepNext/>
      <w:keepLines/>
      <w:spacing w:before="40" w:after="0"/>
      <w:outlineLvl w:val="6"/>
    </w:pPr>
    <w:rPr>
      <w:rFonts w:asciiTheme="majorHAnsi" w:eastAsiaTheme="majorEastAsia" w:hAnsiTheme="majorHAnsi" w:cstheme="majorBidi"/>
      <w:i/>
      <w:iCs/>
      <w:color w:val="977B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D0"/>
    <w:rPr>
      <w:rFonts w:eastAsiaTheme="majorEastAsia" w:cstheme="minorHAnsi"/>
      <w:bCs/>
      <w:caps/>
      <w:color w:val="008BB6"/>
      <w:sz w:val="18"/>
      <w:szCs w:val="18"/>
    </w:rPr>
  </w:style>
  <w:style w:type="character" w:customStyle="1" w:styleId="Heading2Char">
    <w:name w:val="Heading 2 Char"/>
    <w:basedOn w:val="DefaultParagraphFont"/>
    <w:link w:val="Heading2"/>
    <w:uiPriority w:val="9"/>
    <w:rsid w:val="004B18EE"/>
    <w:rPr>
      <w:rFonts w:ascii="Arial Narrow" w:eastAsiaTheme="majorEastAsia" w:hAnsi="Arial Narrow" w:cstheme="majorBidi"/>
      <w:bCs/>
      <w:caps/>
      <w:color w:val="ACA6A2"/>
      <w:sz w:val="36"/>
      <w:szCs w:val="36"/>
    </w:rPr>
  </w:style>
  <w:style w:type="character" w:customStyle="1" w:styleId="Heading3Char">
    <w:name w:val="Heading 3 Char"/>
    <w:basedOn w:val="DefaultParagraphFont"/>
    <w:link w:val="Heading3"/>
    <w:uiPriority w:val="9"/>
    <w:rsid w:val="00CF10C4"/>
    <w:rPr>
      <w:rFonts w:asciiTheme="majorHAnsi" w:eastAsiaTheme="majorEastAsia" w:hAnsiTheme="majorHAnsi" w:cstheme="majorBidi"/>
      <w:bCs/>
      <w:caps/>
      <w:color w:val="008BB6"/>
      <w:sz w:val="20"/>
      <w:szCs w:val="20"/>
    </w:rPr>
  </w:style>
  <w:style w:type="character" w:customStyle="1" w:styleId="Heading4Char">
    <w:name w:val="Heading 4 Char"/>
    <w:basedOn w:val="DefaultParagraphFont"/>
    <w:link w:val="Heading4"/>
    <w:uiPriority w:val="9"/>
    <w:rsid w:val="00045560"/>
    <w:rPr>
      <w:rFonts w:asciiTheme="majorHAnsi" w:eastAsiaTheme="majorEastAsia" w:hAnsiTheme="majorHAnsi" w:cstheme="majorBidi"/>
      <w:b/>
      <w:bCs/>
      <w:sz w:val="20"/>
      <w:szCs w:val="20"/>
    </w:rPr>
  </w:style>
  <w:style w:type="table" w:styleId="TableGrid">
    <w:name w:val="Table Grid"/>
    <w:basedOn w:val="TableNormal"/>
    <w:uiPriority w:val="59"/>
    <w:rsid w:val="0063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72F0"/>
    <w:pPr>
      <w:keepNext/>
      <w:spacing w:line="240" w:lineRule="auto"/>
    </w:pPr>
    <w:rPr>
      <w:bCs/>
      <w:caps/>
      <w:color w:val="ACA6A2" w:themeColor="accent5"/>
    </w:rPr>
  </w:style>
  <w:style w:type="paragraph" w:customStyle="1" w:styleId="Note">
    <w:name w:val="Note"/>
    <w:basedOn w:val="Normal"/>
    <w:link w:val="NoteChar"/>
    <w:qFormat/>
    <w:rsid w:val="00E072F0"/>
    <w:pPr>
      <w:spacing w:before="120"/>
    </w:pPr>
    <w:rPr>
      <w:color w:val="ACA6A2" w:themeColor="accent5"/>
      <w:sz w:val="16"/>
      <w:szCs w:val="16"/>
    </w:rPr>
  </w:style>
  <w:style w:type="table" w:styleId="LightShading-Accent4">
    <w:name w:val="Light Shading Accent 4"/>
    <w:basedOn w:val="TableNormal"/>
    <w:uiPriority w:val="60"/>
    <w:rsid w:val="0063661C"/>
    <w:pPr>
      <w:spacing w:after="0" w:line="240" w:lineRule="auto"/>
    </w:pPr>
    <w:rPr>
      <w:color w:val="006788" w:themeColor="accent4" w:themeShade="BF"/>
    </w:rPr>
    <w:tblPr>
      <w:tblStyleRowBandSize w:val="1"/>
      <w:tblStyleColBandSize w:val="1"/>
      <w:tblBorders>
        <w:top w:val="single" w:sz="8" w:space="0" w:color="008BB6" w:themeColor="accent4"/>
        <w:bottom w:val="single" w:sz="8" w:space="0" w:color="008BB6" w:themeColor="accent4"/>
      </w:tblBorders>
    </w:tblPr>
    <w:tblStylePr w:type="fir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la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EBFF" w:themeFill="accent4" w:themeFillTint="3F"/>
      </w:tcPr>
    </w:tblStylePr>
    <w:tblStylePr w:type="band1Horz">
      <w:tblPr/>
      <w:tcPr>
        <w:tcBorders>
          <w:left w:val="nil"/>
          <w:right w:val="nil"/>
          <w:insideH w:val="nil"/>
          <w:insideV w:val="nil"/>
        </w:tcBorders>
        <w:shd w:val="clear" w:color="auto" w:fill="ADEBFF" w:themeFill="accent4" w:themeFillTint="3F"/>
      </w:tcPr>
    </w:tblStylePr>
  </w:style>
  <w:style w:type="character" w:customStyle="1" w:styleId="NoteChar">
    <w:name w:val="Note Char"/>
    <w:basedOn w:val="DefaultParagraphFont"/>
    <w:link w:val="Note"/>
    <w:rsid w:val="00E072F0"/>
    <w:rPr>
      <w:color w:val="ACA6A2" w:themeColor="accent5"/>
      <w:sz w:val="16"/>
      <w:szCs w:val="16"/>
    </w:rPr>
  </w:style>
  <w:style w:type="table" w:styleId="LightList-Accent4">
    <w:name w:val="Light List Accent 4"/>
    <w:basedOn w:val="TableNormal"/>
    <w:uiPriority w:val="61"/>
    <w:rsid w:val="0063661C"/>
    <w:pPr>
      <w:spacing w:after="0" w:line="240" w:lineRule="auto"/>
    </w:pPr>
    <w:tblPr>
      <w:tblStyleRowBandSize w:val="1"/>
      <w:tblStyleColBandSize w:val="1"/>
      <w:tblBorders>
        <w:top w:val="single" w:sz="8" w:space="0" w:color="008BB6" w:themeColor="accent4"/>
        <w:left w:val="single" w:sz="8" w:space="0" w:color="008BB6" w:themeColor="accent4"/>
        <w:bottom w:val="single" w:sz="8" w:space="0" w:color="008BB6" w:themeColor="accent4"/>
        <w:right w:val="single" w:sz="8" w:space="0" w:color="008BB6" w:themeColor="accent4"/>
      </w:tblBorders>
    </w:tblPr>
    <w:tblStylePr w:type="firstRow">
      <w:pPr>
        <w:spacing w:before="0" w:after="0" w:line="240" w:lineRule="auto"/>
      </w:pPr>
      <w:rPr>
        <w:b/>
        <w:bCs/>
        <w:color w:val="FFFFFF" w:themeColor="background1"/>
      </w:rPr>
      <w:tblPr/>
      <w:tcPr>
        <w:shd w:val="clear" w:color="auto" w:fill="008BB6" w:themeFill="accent4"/>
      </w:tcPr>
    </w:tblStylePr>
    <w:tblStylePr w:type="lastRow">
      <w:pPr>
        <w:spacing w:before="0" w:after="0" w:line="240" w:lineRule="auto"/>
      </w:pPr>
      <w:rPr>
        <w:b/>
        <w:bCs/>
      </w:rPr>
      <w:tblPr/>
      <w:tcPr>
        <w:tcBorders>
          <w:top w:val="double" w:sz="6" w:space="0" w:color="008BB6" w:themeColor="accent4"/>
          <w:left w:val="single" w:sz="8" w:space="0" w:color="008BB6" w:themeColor="accent4"/>
          <w:bottom w:val="single" w:sz="8" w:space="0" w:color="008BB6" w:themeColor="accent4"/>
          <w:right w:val="single" w:sz="8" w:space="0" w:color="008BB6" w:themeColor="accent4"/>
        </w:tcBorders>
      </w:tcPr>
    </w:tblStylePr>
    <w:tblStylePr w:type="firstCol">
      <w:rPr>
        <w:b/>
        <w:bCs/>
      </w:rPr>
    </w:tblStylePr>
    <w:tblStylePr w:type="lastCol">
      <w:rPr>
        <w:b/>
        <w:bCs/>
      </w:rPr>
    </w:tblStylePr>
    <w:tblStylePr w:type="band1Vert">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tblStylePr w:type="band1Horz">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style>
  <w:style w:type="table" w:styleId="LightList-Accent5">
    <w:name w:val="Light List Accent 5"/>
    <w:aliases w:val="TRA"/>
    <w:basedOn w:val="TableNormal"/>
    <w:uiPriority w:val="61"/>
    <w:rsid w:val="003F7E5F"/>
    <w:pPr>
      <w:spacing w:before="120" w:after="120" w:line="240" w:lineRule="auto"/>
    </w:pPr>
    <w:rPr>
      <w:sz w:val="18"/>
    </w:rPr>
    <w:tblPr>
      <w:tblStyleRowBandSize w:val="1"/>
      <w:tblStyleColBandSize w:val="1"/>
      <w:tblBorders>
        <w:top w:val="single" w:sz="8" w:space="0" w:color="ACA6A2" w:themeColor="accent5"/>
        <w:left w:val="single" w:sz="8" w:space="0" w:color="ACA6A2" w:themeColor="accent5"/>
        <w:bottom w:val="single" w:sz="8" w:space="0" w:color="ACA6A2" w:themeColor="accent5"/>
        <w:right w:val="single" w:sz="8" w:space="0" w:color="ACA6A2" w:themeColor="accent5"/>
      </w:tblBorders>
    </w:tblPr>
    <w:tblStylePr w:type="firstRow">
      <w:pPr>
        <w:wordWrap/>
        <w:spacing w:beforeLines="0" w:before="120" w:beforeAutospacing="0" w:afterLines="0" w:after="120" w:afterAutospacing="0" w:line="240" w:lineRule="auto"/>
      </w:pPr>
      <w:rPr>
        <w:rFonts w:ascii="Arial" w:hAnsi="Arial"/>
        <w:b w:val="0"/>
        <w:bCs/>
        <w:color w:val="FFFFFF" w:themeColor="background1"/>
        <w:sz w:val="22"/>
      </w:rPr>
      <w:tblPr/>
      <w:tcPr>
        <w:shd w:val="clear" w:color="auto" w:fill="ACA6A2" w:themeFill="accent5"/>
      </w:tcPr>
    </w:tblStylePr>
    <w:tblStylePr w:type="lastRow">
      <w:pPr>
        <w:wordWrap/>
        <w:spacing w:beforeLines="0" w:before="120" w:beforeAutospacing="0" w:afterLines="0" w:after="120" w:afterAutospacing="0" w:line="240" w:lineRule="auto"/>
      </w:pPr>
      <w:rPr>
        <w:rFonts w:ascii="Arial" w:hAnsi="Arial"/>
        <w:b w:val="0"/>
        <w:bCs/>
        <w:sz w:val="18"/>
      </w:rPr>
      <w:tblPr/>
      <w:tcPr>
        <w:shd w:val="clear" w:color="auto" w:fill="ACA6A2" w:themeFill="accent5"/>
      </w:tcPr>
    </w:tblStylePr>
    <w:tblStylePr w:type="firstCol">
      <w:rPr>
        <w:rFonts w:ascii="Arial" w:hAnsi="Arial"/>
        <w:b w:val="0"/>
        <w:bCs/>
        <w:sz w:val="18"/>
      </w:rPr>
    </w:tblStylePr>
    <w:tblStylePr w:type="lastCol">
      <w:rPr>
        <w:rFonts w:ascii="Arial" w:hAnsi="Arial"/>
        <w:b w:val="0"/>
        <w:bCs/>
        <w:sz w:val="18"/>
      </w:rPr>
    </w:tblStylePr>
    <w:tblStylePr w:type="band1Vert">
      <w:rPr>
        <w:rFonts w:ascii="Arial" w:hAnsi="Arial"/>
        <w:sz w:val="18"/>
      </w:rPr>
      <w:tblPr/>
      <w:tcPr>
        <w:shd w:val="clear" w:color="auto" w:fill="DEDBD5" w:themeFill="background2"/>
      </w:tcPr>
    </w:tblStylePr>
    <w:tblStylePr w:type="band1Horz">
      <w:rPr>
        <w:rFonts w:ascii="Arial" w:hAnsi="Arial"/>
        <w:sz w:val="18"/>
      </w:rPr>
    </w:tblStylePr>
    <w:tblStylePr w:type="band2Horz">
      <w:rPr>
        <w:rFonts w:ascii="Arial" w:hAnsi="Arial"/>
        <w:sz w:val="18"/>
      </w:rPr>
      <w:tblPr/>
      <w:tcPr>
        <w:shd w:val="clear" w:color="auto" w:fill="DEDBD5" w:themeFill="background2"/>
      </w:tcPr>
    </w:tblStylePr>
  </w:style>
  <w:style w:type="paragraph" w:styleId="Header">
    <w:name w:val="header"/>
    <w:basedOn w:val="Normal"/>
    <w:link w:val="HeaderChar"/>
    <w:uiPriority w:val="99"/>
    <w:unhideWhenUsed/>
    <w:rsid w:val="003F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E5F"/>
  </w:style>
  <w:style w:type="paragraph" w:styleId="Footer">
    <w:name w:val="footer"/>
    <w:basedOn w:val="Normal"/>
    <w:link w:val="FooterChar"/>
    <w:uiPriority w:val="99"/>
    <w:unhideWhenUsed/>
    <w:rsid w:val="003F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E5F"/>
  </w:style>
  <w:style w:type="paragraph" w:styleId="Title">
    <w:name w:val="Title"/>
    <w:basedOn w:val="Normal"/>
    <w:next w:val="Normal"/>
    <w:link w:val="TitleChar"/>
    <w:autoRedefine/>
    <w:uiPriority w:val="10"/>
    <w:qFormat/>
    <w:rsid w:val="0062331E"/>
    <w:pPr>
      <w:spacing w:after="240" w:line="240" w:lineRule="auto"/>
    </w:pPr>
    <w:rPr>
      <w:rFonts w:ascii="Arial Narrow" w:eastAsiaTheme="majorEastAsia" w:hAnsi="Arial Narrow" w:cstheme="majorBidi"/>
      <w:b/>
      <w:caps/>
      <w:color w:val="ACA6A2"/>
      <w:spacing w:val="5"/>
      <w:kern w:val="28"/>
      <w:sz w:val="72"/>
      <w:szCs w:val="72"/>
    </w:rPr>
  </w:style>
  <w:style w:type="character" w:customStyle="1" w:styleId="TitleChar">
    <w:name w:val="Title Char"/>
    <w:basedOn w:val="DefaultParagraphFont"/>
    <w:link w:val="Title"/>
    <w:uiPriority w:val="10"/>
    <w:rsid w:val="0062331E"/>
    <w:rPr>
      <w:rFonts w:ascii="Arial Narrow" w:eastAsiaTheme="majorEastAsia" w:hAnsi="Arial Narrow" w:cstheme="majorBidi"/>
      <w:b/>
      <w:caps/>
      <w:color w:val="ACA6A2"/>
      <w:spacing w:val="5"/>
      <w:kern w:val="28"/>
      <w:sz w:val="72"/>
      <w:szCs w:val="72"/>
    </w:rPr>
  </w:style>
  <w:style w:type="paragraph" w:styleId="ListParagraph">
    <w:name w:val="List Paragraph"/>
    <w:basedOn w:val="Normal"/>
    <w:uiPriority w:val="34"/>
    <w:qFormat/>
    <w:rsid w:val="005D2C8F"/>
    <w:pPr>
      <w:numPr>
        <w:numId w:val="4"/>
      </w:numPr>
      <w:spacing w:line="240" w:lineRule="auto"/>
      <w:contextualSpacing/>
    </w:pPr>
    <w:rPr>
      <w:rFonts w:cstheme="minorHAnsi"/>
    </w:rPr>
  </w:style>
  <w:style w:type="paragraph" w:styleId="BalloonText">
    <w:name w:val="Balloon Text"/>
    <w:basedOn w:val="Normal"/>
    <w:link w:val="BalloonTextChar"/>
    <w:uiPriority w:val="99"/>
    <w:semiHidden/>
    <w:unhideWhenUsed/>
    <w:rsid w:val="00A3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F5"/>
    <w:rPr>
      <w:rFonts w:ascii="Tahoma" w:hAnsi="Tahoma" w:cs="Tahoma"/>
      <w:sz w:val="16"/>
      <w:szCs w:val="16"/>
    </w:rPr>
  </w:style>
  <w:style w:type="paragraph" w:customStyle="1" w:styleId="Tablecolumnheading">
    <w:name w:val="Table/column heading"/>
    <w:basedOn w:val="Normal"/>
    <w:link w:val="TablecolumnheadingChar"/>
    <w:qFormat/>
    <w:rsid w:val="00E61080"/>
    <w:pPr>
      <w:framePr w:hSpace="180" w:wrap="around" w:vAnchor="text" w:hAnchor="margin" w:y="112"/>
      <w:spacing w:before="120" w:after="120" w:line="240" w:lineRule="auto"/>
    </w:pPr>
    <w:rPr>
      <w:rFonts w:ascii="Arial" w:hAnsi="Arial"/>
      <w:b/>
      <w:bCs/>
      <w:color w:val="FFFFFF" w:themeColor="background1"/>
    </w:rPr>
  </w:style>
  <w:style w:type="character" w:customStyle="1" w:styleId="TablecolumnheadingChar">
    <w:name w:val="Table/column heading Char"/>
    <w:basedOn w:val="DefaultParagraphFont"/>
    <w:link w:val="Tablecolumnheading"/>
    <w:rsid w:val="00E61080"/>
    <w:rPr>
      <w:rFonts w:ascii="Arial" w:hAnsi="Arial"/>
      <w:b/>
      <w:bCs/>
      <w:color w:val="FFFFFF" w:themeColor="background1"/>
      <w:sz w:val="20"/>
      <w:szCs w:val="20"/>
    </w:rPr>
  </w:style>
  <w:style w:type="paragraph" w:customStyle="1" w:styleId="Default">
    <w:name w:val="Default"/>
    <w:rsid w:val="005943DC"/>
    <w:pPr>
      <w:autoSpaceDE w:val="0"/>
      <w:autoSpaceDN w:val="0"/>
      <w:adjustRightInd w:val="0"/>
      <w:spacing w:after="0" w:line="240" w:lineRule="auto"/>
    </w:pPr>
    <w:rPr>
      <w:rFonts w:ascii="Trade Gothic LT Std Light" w:hAnsi="Trade Gothic LT Std Light" w:cs="Trade Gothic LT Std Light"/>
      <w:color w:val="000000"/>
      <w:sz w:val="24"/>
      <w:szCs w:val="24"/>
    </w:rPr>
  </w:style>
  <w:style w:type="paragraph" w:customStyle="1" w:styleId="Pa4">
    <w:name w:val="Pa4"/>
    <w:basedOn w:val="Default"/>
    <w:next w:val="Default"/>
    <w:uiPriority w:val="99"/>
    <w:rsid w:val="00A308FE"/>
    <w:pPr>
      <w:spacing w:line="191" w:lineRule="atLeast"/>
    </w:pPr>
    <w:rPr>
      <w:rFonts w:cstheme="minorBidi"/>
      <w:color w:val="auto"/>
    </w:rPr>
  </w:style>
  <w:style w:type="paragraph" w:customStyle="1" w:styleId="Pa12">
    <w:name w:val="Pa12"/>
    <w:basedOn w:val="Default"/>
    <w:next w:val="Default"/>
    <w:uiPriority w:val="99"/>
    <w:rsid w:val="00991968"/>
    <w:pPr>
      <w:spacing w:line="241" w:lineRule="atLeast"/>
    </w:pPr>
    <w:rPr>
      <w:rFonts w:ascii="TradeGothic" w:hAnsi="TradeGothic" w:cstheme="minorBidi"/>
      <w:color w:val="auto"/>
    </w:rPr>
  </w:style>
  <w:style w:type="character" w:styleId="CommentReference">
    <w:name w:val="annotation reference"/>
    <w:basedOn w:val="DefaultParagraphFont"/>
    <w:uiPriority w:val="99"/>
    <w:semiHidden/>
    <w:unhideWhenUsed/>
    <w:rsid w:val="00045A17"/>
    <w:rPr>
      <w:sz w:val="16"/>
      <w:szCs w:val="16"/>
    </w:rPr>
  </w:style>
  <w:style w:type="paragraph" w:styleId="CommentText">
    <w:name w:val="annotation text"/>
    <w:basedOn w:val="Normal"/>
    <w:link w:val="CommentTextChar"/>
    <w:uiPriority w:val="99"/>
    <w:semiHidden/>
    <w:unhideWhenUsed/>
    <w:rsid w:val="00045A17"/>
    <w:pPr>
      <w:spacing w:line="240" w:lineRule="auto"/>
    </w:pPr>
  </w:style>
  <w:style w:type="character" w:customStyle="1" w:styleId="CommentTextChar">
    <w:name w:val="Comment Text Char"/>
    <w:basedOn w:val="DefaultParagraphFont"/>
    <w:link w:val="CommentText"/>
    <w:uiPriority w:val="99"/>
    <w:semiHidden/>
    <w:rsid w:val="00045A17"/>
    <w:rPr>
      <w:sz w:val="20"/>
      <w:szCs w:val="20"/>
    </w:rPr>
  </w:style>
  <w:style w:type="paragraph" w:styleId="CommentSubject">
    <w:name w:val="annotation subject"/>
    <w:basedOn w:val="CommentText"/>
    <w:next w:val="CommentText"/>
    <w:link w:val="CommentSubjectChar"/>
    <w:uiPriority w:val="99"/>
    <w:semiHidden/>
    <w:unhideWhenUsed/>
    <w:rsid w:val="00045A17"/>
    <w:rPr>
      <w:b/>
      <w:bCs/>
    </w:rPr>
  </w:style>
  <w:style w:type="character" w:customStyle="1" w:styleId="CommentSubjectChar">
    <w:name w:val="Comment Subject Char"/>
    <w:basedOn w:val="CommentTextChar"/>
    <w:link w:val="CommentSubject"/>
    <w:uiPriority w:val="99"/>
    <w:semiHidden/>
    <w:rsid w:val="00045A17"/>
    <w:rPr>
      <w:b/>
      <w:bCs/>
      <w:sz w:val="20"/>
      <w:szCs w:val="20"/>
    </w:rPr>
  </w:style>
  <w:style w:type="character" w:customStyle="1" w:styleId="Heading5Char">
    <w:name w:val="Heading 5 Char"/>
    <w:basedOn w:val="DefaultParagraphFont"/>
    <w:link w:val="Heading5"/>
    <w:uiPriority w:val="9"/>
    <w:rsid w:val="00473803"/>
    <w:rPr>
      <w:rFonts w:asciiTheme="majorHAnsi" w:eastAsiaTheme="majorEastAsia" w:hAnsiTheme="majorHAnsi" w:cstheme="majorBidi"/>
      <w:color w:val="E4BA0E" w:themeColor="accent1" w:themeShade="BF"/>
      <w:sz w:val="20"/>
      <w:szCs w:val="20"/>
    </w:rPr>
  </w:style>
  <w:style w:type="character" w:customStyle="1" w:styleId="Heading6Char">
    <w:name w:val="Heading 6 Char"/>
    <w:basedOn w:val="DefaultParagraphFont"/>
    <w:link w:val="Heading6"/>
    <w:uiPriority w:val="9"/>
    <w:rsid w:val="00473803"/>
    <w:rPr>
      <w:rFonts w:asciiTheme="majorHAnsi" w:eastAsiaTheme="majorEastAsia" w:hAnsiTheme="majorHAnsi" w:cstheme="majorBidi"/>
      <w:color w:val="977B09" w:themeColor="accent1" w:themeShade="7F"/>
      <w:sz w:val="20"/>
      <w:szCs w:val="20"/>
    </w:rPr>
  </w:style>
  <w:style w:type="character" w:customStyle="1" w:styleId="Heading7Char">
    <w:name w:val="Heading 7 Char"/>
    <w:basedOn w:val="DefaultParagraphFont"/>
    <w:link w:val="Heading7"/>
    <w:uiPriority w:val="9"/>
    <w:rsid w:val="00473803"/>
    <w:rPr>
      <w:rFonts w:asciiTheme="majorHAnsi" w:eastAsiaTheme="majorEastAsia" w:hAnsiTheme="majorHAnsi" w:cstheme="majorBidi"/>
      <w:i/>
      <w:iCs/>
      <w:color w:val="977B09"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0929">
      <w:bodyDiv w:val="1"/>
      <w:marLeft w:val="0"/>
      <w:marRight w:val="0"/>
      <w:marTop w:val="0"/>
      <w:marBottom w:val="0"/>
      <w:divBdr>
        <w:top w:val="none" w:sz="0" w:space="0" w:color="auto"/>
        <w:left w:val="none" w:sz="0" w:space="0" w:color="auto"/>
        <w:bottom w:val="none" w:sz="0" w:space="0" w:color="auto"/>
        <w:right w:val="none" w:sz="0" w:space="0" w:color="auto"/>
      </w:divBdr>
    </w:div>
    <w:div w:id="773941895">
      <w:bodyDiv w:val="1"/>
      <w:marLeft w:val="0"/>
      <w:marRight w:val="0"/>
      <w:marTop w:val="0"/>
      <w:marBottom w:val="0"/>
      <w:divBdr>
        <w:top w:val="none" w:sz="0" w:space="0" w:color="auto"/>
        <w:left w:val="none" w:sz="0" w:space="0" w:color="auto"/>
        <w:bottom w:val="none" w:sz="0" w:space="0" w:color="auto"/>
        <w:right w:val="none" w:sz="0" w:space="0" w:color="auto"/>
      </w:divBdr>
    </w:div>
    <w:div w:id="1412703802">
      <w:bodyDiv w:val="1"/>
      <w:marLeft w:val="0"/>
      <w:marRight w:val="0"/>
      <w:marTop w:val="0"/>
      <w:marBottom w:val="0"/>
      <w:divBdr>
        <w:top w:val="none" w:sz="0" w:space="0" w:color="auto"/>
        <w:left w:val="none" w:sz="0" w:space="0" w:color="auto"/>
        <w:bottom w:val="none" w:sz="0" w:space="0" w:color="auto"/>
        <w:right w:val="none" w:sz="0" w:space="0" w:color="auto"/>
      </w:divBdr>
    </w:div>
    <w:div w:id="1604454419">
      <w:bodyDiv w:val="1"/>
      <w:marLeft w:val="0"/>
      <w:marRight w:val="0"/>
      <w:marTop w:val="0"/>
      <w:marBottom w:val="0"/>
      <w:divBdr>
        <w:top w:val="none" w:sz="0" w:space="0" w:color="auto"/>
        <w:left w:val="none" w:sz="0" w:space="0" w:color="auto"/>
        <w:bottom w:val="none" w:sz="0" w:space="0" w:color="auto"/>
        <w:right w:val="none" w:sz="0" w:space="0" w:color="auto"/>
      </w:divBdr>
    </w:div>
    <w:div w:id="1672873657">
      <w:bodyDiv w:val="1"/>
      <w:marLeft w:val="0"/>
      <w:marRight w:val="0"/>
      <w:marTop w:val="0"/>
      <w:marBottom w:val="0"/>
      <w:divBdr>
        <w:top w:val="none" w:sz="0" w:space="0" w:color="auto"/>
        <w:left w:val="none" w:sz="0" w:space="0" w:color="auto"/>
        <w:bottom w:val="none" w:sz="0" w:space="0" w:color="auto"/>
        <w:right w:val="none" w:sz="0" w:space="0" w:color="auto"/>
      </w:divBdr>
    </w:div>
    <w:div w:id="1742216034">
      <w:bodyDiv w:val="1"/>
      <w:marLeft w:val="0"/>
      <w:marRight w:val="0"/>
      <w:marTop w:val="0"/>
      <w:marBottom w:val="0"/>
      <w:divBdr>
        <w:top w:val="none" w:sz="0" w:space="0" w:color="auto"/>
        <w:left w:val="none" w:sz="0" w:space="0" w:color="auto"/>
        <w:bottom w:val="none" w:sz="0" w:space="0" w:color="auto"/>
        <w:right w:val="none" w:sz="0" w:space="0" w:color="auto"/>
      </w:divBdr>
    </w:div>
    <w:div w:id="1791243589">
      <w:bodyDiv w:val="1"/>
      <w:marLeft w:val="0"/>
      <w:marRight w:val="0"/>
      <w:marTop w:val="0"/>
      <w:marBottom w:val="0"/>
      <w:divBdr>
        <w:top w:val="none" w:sz="0" w:space="0" w:color="auto"/>
        <w:left w:val="none" w:sz="0" w:space="0" w:color="auto"/>
        <w:bottom w:val="none" w:sz="0" w:space="0" w:color="auto"/>
        <w:right w:val="none" w:sz="0" w:space="0" w:color="auto"/>
      </w:divBdr>
    </w:div>
    <w:div w:id="2066684381">
      <w:bodyDiv w:val="1"/>
      <w:marLeft w:val="0"/>
      <w:marRight w:val="0"/>
      <w:marTop w:val="0"/>
      <w:marBottom w:val="0"/>
      <w:divBdr>
        <w:top w:val="none" w:sz="0" w:space="0" w:color="auto"/>
        <w:left w:val="none" w:sz="0" w:space="0" w:color="auto"/>
        <w:bottom w:val="none" w:sz="0" w:space="0" w:color="auto"/>
        <w:right w:val="none" w:sz="0" w:space="0" w:color="auto"/>
      </w:divBdr>
    </w:div>
    <w:div w:id="20978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RA\Outreach%20and%20Regional%20Research\Administration\TRA%20Corporate%20Style\Templates\TRA_SimpleWordTemplate_March20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NVS%20Summary%20Checks\Dec%202020\NVS%20Summary%20Data%20-%20Dec%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NVS%20Summary%20Checks\Dec%202020\NVS%20Summary%20Data%20-%20Dec%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NVS%20Summary%20Checks\Dec%202020\NVS%20Summary%20Data%20-%20Dec%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NVS%20Summary%20Checks\Dec%202020\NVS%20Summary%20Data%20-%20Dec%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NVS%20Summary%20Checks\Dec%202020\NVS%20Summary%20Data%20-%20Dec%20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09492382816297E-2"/>
          <c:y val="3.7924495776590246E-2"/>
          <c:w val="0.92104641182857927"/>
          <c:h val="0.78484323229635944"/>
        </c:manualLayout>
      </c:layout>
      <c:barChart>
        <c:barDir val="col"/>
        <c:grouping val="clustered"/>
        <c:varyColors val="0"/>
        <c:ser>
          <c:idx val="0"/>
          <c:order val="0"/>
          <c:tx>
            <c:strRef>
              <c:f>'[NVS Summary Data - Dec 20.xlsx]Quarter Charts'!$B$56</c:f>
              <c:strCache>
                <c:ptCount val="1"/>
                <c:pt idx="0">
                  <c:v>Interstate</c:v>
                </c:pt>
              </c:strCache>
            </c:strRef>
          </c:tx>
          <c:spPr>
            <a:solidFill>
              <a:srgbClr val="C9DB2F"/>
            </a:solidFill>
            <a:ln w="9525">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Charts'!$A$57:$A$64</c:f>
              <c:strCache>
                <c:ptCount val="8"/>
                <c:pt idx="0">
                  <c:v>New South Wales</c:v>
                </c:pt>
                <c:pt idx="1">
                  <c:v>Victoria</c:v>
                </c:pt>
                <c:pt idx="2">
                  <c:v>Queensland</c:v>
                </c:pt>
                <c:pt idx="3">
                  <c:v>South Australia</c:v>
                </c:pt>
                <c:pt idx="4">
                  <c:v>Western Australia</c:v>
                </c:pt>
                <c:pt idx="5">
                  <c:v>Tasmania</c:v>
                </c:pt>
                <c:pt idx="6">
                  <c:v>Northern Territory</c:v>
                </c:pt>
                <c:pt idx="7">
                  <c:v>ACT</c:v>
                </c:pt>
              </c:strCache>
            </c:strRef>
          </c:cat>
          <c:val>
            <c:numRef>
              <c:f>'[NVS Summary Data - Dec 20.xlsx]Quarter Charts'!$B$57:$B$64</c:f>
              <c:numCache>
                <c:formatCode>General</c:formatCode>
                <c:ptCount val="8"/>
                <c:pt idx="0">
                  <c:v>-62</c:v>
                </c:pt>
                <c:pt idx="1">
                  <c:v>-73</c:v>
                </c:pt>
                <c:pt idx="2">
                  <c:v>-69</c:v>
                </c:pt>
                <c:pt idx="3">
                  <c:v>-61</c:v>
                </c:pt>
                <c:pt idx="4">
                  <c:v>-70</c:v>
                </c:pt>
                <c:pt idx="5">
                  <c:v>-53</c:v>
                </c:pt>
                <c:pt idx="6">
                  <c:v>-74</c:v>
                </c:pt>
                <c:pt idx="7">
                  <c:v>-45</c:v>
                </c:pt>
              </c:numCache>
            </c:numRef>
          </c:val>
        </c:ser>
        <c:ser>
          <c:idx val="1"/>
          <c:order val="1"/>
          <c:tx>
            <c:strRef>
              <c:f>'[NVS Summary Data - Dec 20.xlsx]Quarter Charts'!$C$56</c:f>
              <c:strCache>
                <c:ptCount val="1"/>
                <c:pt idx="0">
                  <c:v>Intrastate</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Charts'!$A$57:$A$64</c:f>
              <c:strCache>
                <c:ptCount val="8"/>
                <c:pt idx="0">
                  <c:v>New South Wales</c:v>
                </c:pt>
                <c:pt idx="1">
                  <c:v>Victoria</c:v>
                </c:pt>
                <c:pt idx="2">
                  <c:v>Queensland</c:v>
                </c:pt>
                <c:pt idx="3">
                  <c:v>South Australia</c:v>
                </c:pt>
                <c:pt idx="4">
                  <c:v>Western Australia</c:v>
                </c:pt>
                <c:pt idx="5">
                  <c:v>Tasmania</c:v>
                </c:pt>
                <c:pt idx="6">
                  <c:v>Northern Territory</c:v>
                </c:pt>
                <c:pt idx="7">
                  <c:v>ACT</c:v>
                </c:pt>
              </c:strCache>
            </c:strRef>
          </c:cat>
          <c:val>
            <c:numRef>
              <c:f>'[NVS Summary Data - Dec 20.xlsx]Quarter Charts'!$C$57:$C$64</c:f>
              <c:numCache>
                <c:formatCode>General</c:formatCode>
                <c:ptCount val="8"/>
                <c:pt idx="0">
                  <c:v>-25</c:v>
                </c:pt>
                <c:pt idx="1">
                  <c:v>-46</c:v>
                </c:pt>
                <c:pt idx="2">
                  <c:v>-13</c:v>
                </c:pt>
                <c:pt idx="3">
                  <c:v>-20</c:v>
                </c:pt>
                <c:pt idx="4">
                  <c:v>-11</c:v>
                </c:pt>
                <c:pt idx="5">
                  <c:v>-9</c:v>
                </c:pt>
                <c:pt idx="6">
                  <c:v>-15</c:v>
                </c:pt>
              </c:numCache>
            </c:numRef>
          </c:val>
        </c:ser>
        <c:dLbls>
          <c:showLegendKey val="0"/>
          <c:showVal val="0"/>
          <c:showCatName val="0"/>
          <c:showSerName val="0"/>
          <c:showPercent val="0"/>
          <c:showBubbleSize val="0"/>
        </c:dLbls>
        <c:gapWidth val="100"/>
        <c:overlap val="-27"/>
        <c:axId val="308048536"/>
        <c:axId val="308051672"/>
      </c:barChart>
      <c:catAx>
        <c:axId val="3080485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8051672"/>
        <c:crosses val="autoZero"/>
        <c:auto val="1"/>
        <c:lblAlgn val="ctr"/>
        <c:lblOffset val="100"/>
        <c:noMultiLvlLbl val="0"/>
      </c:catAx>
      <c:valAx>
        <c:axId val="308051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48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Charts!$B$74</c:f>
              <c:strCache>
                <c:ptCount val="1"/>
                <c:pt idx="0">
                  <c:v>Trips</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Charts!$A$75:$A$87</c:f>
              <c:strCache>
                <c:ptCount val="13"/>
                <c:pt idx="0">
                  <c:v>Sydney</c:v>
                </c:pt>
                <c:pt idx="1">
                  <c:v>Regional NSW</c:v>
                </c:pt>
                <c:pt idx="2">
                  <c:v>Melbourne</c:v>
                </c:pt>
                <c:pt idx="3">
                  <c:v>Regional VIC</c:v>
                </c:pt>
                <c:pt idx="4">
                  <c:v>Brisbane/Gold Coast</c:v>
                </c:pt>
                <c:pt idx="5">
                  <c:v>Regional QLD</c:v>
                </c:pt>
                <c:pt idx="6">
                  <c:v>Adelaide</c:v>
                </c:pt>
                <c:pt idx="7">
                  <c:v>Regional SA</c:v>
                </c:pt>
                <c:pt idx="8">
                  <c:v>Destination Perth</c:v>
                </c:pt>
                <c:pt idx="9">
                  <c:v>Regional WA</c:v>
                </c:pt>
                <c:pt idx="10">
                  <c:v>TAS</c:v>
                </c:pt>
                <c:pt idx="11">
                  <c:v>NT</c:v>
                </c:pt>
                <c:pt idx="12">
                  <c:v>ACT</c:v>
                </c:pt>
              </c:strCache>
            </c:strRef>
          </c:cat>
          <c:val>
            <c:numRef>
              <c:f>Charts!$B$75:$B$87</c:f>
              <c:numCache>
                <c:formatCode>General</c:formatCode>
                <c:ptCount val="13"/>
                <c:pt idx="0">
                  <c:v>-56</c:v>
                </c:pt>
                <c:pt idx="1">
                  <c:v>-29</c:v>
                </c:pt>
                <c:pt idx="2">
                  <c:v>-69</c:v>
                </c:pt>
                <c:pt idx="3">
                  <c:v>-44</c:v>
                </c:pt>
                <c:pt idx="4">
                  <c:v>-44</c:v>
                </c:pt>
                <c:pt idx="5">
                  <c:v>-28</c:v>
                </c:pt>
                <c:pt idx="6">
                  <c:v>-53</c:v>
                </c:pt>
                <c:pt idx="7">
                  <c:v>-20</c:v>
                </c:pt>
                <c:pt idx="8">
                  <c:v>-34</c:v>
                </c:pt>
                <c:pt idx="9">
                  <c:v>-15</c:v>
                </c:pt>
                <c:pt idx="10">
                  <c:v>-32</c:v>
                </c:pt>
                <c:pt idx="11">
                  <c:v>-45</c:v>
                </c:pt>
                <c:pt idx="12">
                  <c:v>-48</c:v>
                </c:pt>
              </c:numCache>
            </c:numRef>
          </c:val>
        </c:ser>
        <c:ser>
          <c:idx val="1"/>
          <c:order val="1"/>
          <c:tx>
            <c:strRef>
              <c:f>Charts!$C$74</c:f>
              <c:strCache>
                <c:ptCount val="1"/>
                <c:pt idx="0">
                  <c:v>Spend</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Charts!$A$75:$A$87</c:f>
              <c:strCache>
                <c:ptCount val="13"/>
                <c:pt idx="0">
                  <c:v>Sydney</c:v>
                </c:pt>
                <c:pt idx="1">
                  <c:v>Regional NSW</c:v>
                </c:pt>
                <c:pt idx="2">
                  <c:v>Melbourne</c:v>
                </c:pt>
                <c:pt idx="3">
                  <c:v>Regional VIC</c:v>
                </c:pt>
                <c:pt idx="4">
                  <c:v>Brisbane/Gold Coast</c:v>
                </c:pt>
                <c:pt idx="5">
                  <c:v>Regional QLD</c:v>
                </c:pt>
                <c:pt idx="6">
                  <c:v>Adelaide</c:v>
                </c:pt>
                <c:pt idx="7">
                  <c:v>Regional SA</c:v>
                </c:pt>
                <c:pt idx="8">
                  <c:v>Destination Perth</c:v>
                </c:pt>
                <c:pt idx="9">
                  <c:v>Regional WA</c:v>
                </c:pt>
                <c:pt idx="10">
                  <c:v>TAS</c:v>
                </c:pt>
                <c:pt idx="11">
                  <c:v>NT</c:v>
                </c:pt>
                <c:pt idx="12">
                  <c:v>ACT</c:v>
                </c:pt>
              </c:strCache>
            </c:strRef>
          </c:cat>
          <c:val>
            <c:numRef>
              <c:f>Charts!$C$75:$C$87</c:f>
              <c:numCache>
                <c:formatCode>General</c:formatCode>
                <c:ptCount val="13"/>
                <c:pt idx="0">
                  <c:v>-65</c:v>
                </c:pt>
                <c:pt idx="1">
                  <c:v>-24</c:v>
                </c:pt>
                <c:pt idx="2">
                  <c:v>-73</c:v>
                </c:pt>
                <c:pt idx="3">
                  <c:v>-41</c:v>
                </c:pt>
                <c:pt idx="4">
                  <c:v>-51</c:v>
                </c:pt>
                <c:pt idx="5">
                  <c:v>-29</c:v>
                </c:pt>
                <c:pt idx="6">
                  <c:v>-54</c:v>
                </c:pt>
                <c:pt idx="7">
                  <c:v>-25</c:v>
                </c:pt>
                <c:pt idx="8">
                  <c:v>-49</c:v>
                </c:pt>
                <c:pt idx="9">
                  <c:v>-12</c:v>
                </c:pt>
                <c:pt idx="10">
                  <c:v>-41</c:v>
                </c:pt>
                <c:pt idx="11">
                  <c:v>-59</c:v>
                </c:pt>
                <c:pt idx="12">
                  <c:v>-47</c:v>
                </c:pt>
              </c:numCache>
            </c:numRef>
          </c:val>
        </c:ser>
        <c:dLbls>
          <c:showLegendKey val="0"/>
          <c:showVal val="0"/>
          <c:showCatName val="0"/>
          <c:showSerName val="0"/>
          <c:showPercent val="0"/>
          <c:showBubbleSize val="0"/>
        </c:dLbls>
        <c:gapWidth val="120"/>
        <c:overlap val="-30"/>
        <c:axId val="308051280"/>
        <c:axId val="308052064"/>
      </c:barChart>
      <c:catAx>
        <c:axId val="3080512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8052064"/>
        <c:crosses val="autoZero"/>
        <c:auto val="1"/>
        <c:lblAlgn val="ctr"/>
        <c:lblOffset val="100"/>
        <c:noMultiLvlLbl val="0"/>
      </c:catAx>
      <c:valAx>
        <c:axId val="30805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51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'[NVS Summary Data - Dec 20.xlsx]Quarter Charts'!$N$24</c:f>
              <c:strCache>
                <c:ptCount val="1"/>
                <c:pt idx="0">
                  <c:v>Capital Cities</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Charts'!$M$25:$M$28</c:f>
              <c:strCache>
                <c:ptCount val="4"/>
                <c:pt idx="0">
                  <c:v>Hotel and Resort</c:v>
                </c:pt>
                <c:pt idx="1">
                  <c:v>Rented Apartment/Unit</c:v>
                </c:pt>
                <c:pt idx="2">
                  <c:v>Caravan Park or Camping</c:v>
                </c:pt>
                <c:pt idx="3">
                  <c:v>Friends or Relatives Property</c:v>
                </c:pt>
              </c:strCache>
            </c:strRef>
          </c:cat>
          <c:val>
            <c:numRef>
              <c:f>'[NVS Summary Data - Dec 20.xlsx]Quarter Charts'!$N$25:$N$28</c:f>
              <c:numCache>
                <c:formatCode>General</c:formatCode>
                <c:ptCount val="4"/>
                <c:pt idx="0">
                  <c:v>-61</c:v>
                </c:pt>
                <c:pt idx="1">
                  <c:v>-57</c:v>
                </c:pt>
                <c:pt idx="2">
                  <c:v>-49</c:v>
                </c:pt>
                <c:pt idx="3">
                  <c:v>-41</c:v>
                </c:pt>
              </c:numCache>
            </c:numRef>
          </c:val>
        </c:ser>
        <c:ser>
          <c:idx val="1"/>
          <c:order val="1"/>
          <c:tx>
            <c:strRef>
              <c:f>'[NVS Summary Data - Dec 20.xlsx]Quarter Charts'!$O$24</c:f>
              <c:strCache>
                <c:ptCount val="1"/>
                <c:pt idx="0">
                  <c:v>Regional</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Charts'!$M$25:$M$28</c:f>
              <c:strCache>
                <c:ptCount val="4"/>
                <c:pt idx="0">
                  <c:v>Hotel and Resort</c:v>
                </c:pt>
                <c:pt idx="1">
                  <c:v>Rented Apartment/Unit</c:v>
                </c:pt>
                <c:pt idx="2">
                  <c:v>Caravan Park or Camping</c:v>
                </c:pt>
                <c:pt idx="3">
                  <c:v>Friends or Relatives Property</c:v>
                </c:pt>
              </c:strCache>
            </c:strRef>
          </c:cat>
          <c:val>
            <c:numRef>
              <c:f>'[NVS Summary Data - Dec 20.xlsx]Quarter Charts'!$O$25:$O$28</c:f>
              <c:numCache>
                <c:formatCode>General</c:formatCode>
                <c:ptCount val="4"/>
                <c:pt idx="0">
                  <c:v>-37</c:v>
                </c:pt>
                <c:pt idx="1">
                  <c:v>-14</c:v>
                </c:pt>
                <c:pt idx="2">
                  <c:v>-28</c:v>
                </c:pt>
                <c:pt idx="3">
                  <c:v>-25</c:v>
                </c:pt>
              </c:numCache>
            </c:numRef>
          </c:val>
        </c:ser>
        <c:dLbls>
          <c:showLegendKey val="0"/>
          <c:showVal val="0"/>
          <c:showCatName val="0"/>
          <c:showSerName val="0"/>
          <c:showPercent val="0"/>
          <c:showBubbleSize val="0"/>
        </c:dLbls>
        <c:gapWidth val="219"/>
        <c:overlap val="-27"/>
        <c:axId val="308049712"/>
        <c:axId val="308055984"/>
      </c:barChart>
      <c:catAx>
        <c:axId val="3080497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55984"/>
        <c:crosses val="autoZero"/>
        <c:auto val="1"/>
        <c:lblAlgn val="ctr"/>
        <c:lblOffset val="100"/>
        <c:noMultiLvlLbl val="0"/>
      </c:catAx>
      <c:valAx>
        <c:axId val="30805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49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'[NVS Summary Data - Dec 20.xlsx]Quarter Charts'!$B$1</c:f>
              <c:strCache>
                <c:ptCount val="1"/>
                <c:pt idx="0">
                  <c:v>Trips</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Charts'!$A$2:$A$8</c:f>
              <c:strCache>
                <c:ptCount val="7"/>
                <c:pt idx="0">
                  <c:v>New South Wales</c:v>
                </c:pt>
                <c:pt idx="1">
                  <c:v>Victoria</c:v>
                </c:pt>
                <c:pt idx="2">
                  <c:v>Queensland</c:v>
                </c:pt>
                <c:pt idx="3">
                  <c:v>South Australia</c:v>
                </c:pt>
                <c:pt idx="4">
                  <c:v>Western Australia</c:v>
                </c:pt>
                <c:pt idx="5">
                  <c:v>Tasmania</c:v>
                </c:pt>
                <c:pt idx="6">
                  <c:v>Northern Territory</c:v>
                </c:pt>
              </c:strCache>
            </c:strRef>
          </c:cat>
          <c:val>
            <c:numRef>
              <c:f>'[NVS Summary Data - Dec 20.xlsx]Quarter Charts'!$B$2:$B$8</c:f>
              <c:numCache>
                <c:formatCode>General</c:formatCode>
                <c:ptCount val="7"/>
                <c:pt idx="0">
                  <c:v>-6</c:v>
                </c:pt>
                <c:pt idx="1">
                  <c:v>-26</c:v>
                </c:pt>
                <c:pt idx="2">
                  <c:v>-4</c:v>
                </c:pt>
                <c:pt idx="3">
                  <c:v>3</c:v>
                </c:pt>
                <c:pt idx="4">
                  <c:v>4</c:v>
                </c:pt>
                <c:pt idx="5">
                  <c:v>46</c:v>
                </c:pt>
                <c:pt idx="6">
                  <c:v>6</c:v>
                </c:pt>
              </c:numCache>
            </c:numRef>
          </c:val>
        </c:ser>
        <c:ser>
          <c:idx val="1"/>
          <c:order val="1"/>
          <c:tx>
            <c:strRef>
              <c:f>'[NVS Summary Data - Dec 20.xlsx]Quarter Charts'!$C$1</c:f>
              <c:strCache>
                <c:ptCount val="1"/>
                <c:pt idx="0">
                  <c:v>Spend</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Charts'!$A$2:$A$8</c:f>
              <c:strCache>
                <c:ptCount val="7"/>
                <c:pt idx="0">
                  <c:v>New South Wales</c:v>
                </c:pt>
                <c:pt idx="1">
                  <c:v>Victoria</c:v>
                </c:pt>
                <c:pt idx="2">
                  <c:v>Queensland</c:v>
                </c:pt>
                <c:pt idx="3">
                  <c:v>South Australia</c:v>
                </c:pt>
                <c:pt idx="4">
                  <c:v>Western Australia</c:v>
                </c:pt>
                <c:pt idx="5">
                  <c:v>Tasmania</c:v>
                </c:pt>
                <c:pt idx="6">
                  <c:v>Northern Territory</c:v>
                </c:pt>
              </c:strCache>
            </c:strRef>
          </c:cat>
          <c:val>
            <c:numRef>
              <c:f>'[NVS Summary Data - Dec 20.xlsx]Quarter Charts'!$C$2:$C$8</c:f>
              <c:numCache>
                <c:formatCode>General</c:formatCode>
                <c:ptCount val="7"/>
                <c:pt idx="0">
                  <c:v>9</c:v>
                </c:pt>
                <c:pt idx="1">
                  <c:v>-34</c:v>
                </c:pt>
                <c:pt idx="2">
                  <c:v>16</c:v>
                </c:pt>
                <c:pt idx="3">
                  <c:v>12</c:v>
                </c:pt>
                <c:pt idx="4">
                  <c:v>22</c:v>
                </c:pt>
                <c:pt idx="5">
                  <c:v>33</c:v>
                </c:pt>
                <c:pt idx="6">
                  <c:v>34</c:v>
                </c:pt>
              </c:numCache>
            </c:numRef>
          </c:val>
        </c:ser>
        <c:dLbls>
          <c:showLegendKey val="0"/>
          <c:showVal val="0"/>
          <c:showCatName val="0"/>
          <c:showSerName val="0"/>
          <c:showPercent val="0"/>
          <c:showBubbleSize val="0"/>
        </c:dLbls>
        <c:gapWidth val="219"/>
        <c:overlap val="-27"/>
        <c:axId val="308049320"/>
        <c:axId val="308050104"/>
      </c:barChart>
      <c:catAx>
        <c:axId val="3080493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50104"/>
        <c:crosses val="autoZero"/>
        <c:auto val="1"/>
        <c:lblAlgn val="ctr"/>
        <c:lblOffset val="100"/>
        <c:noMultiLvlLbl val="0"/>
      </c:catAx>
      <c:valAx>
        <c:axId val="30805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49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'[NVS Summary Data - Dec 20.xlsx]Quarter Charts'!$B$18</c:f>
              <c:strCache>
                <c:ptCount val="1"/>
                <c:pt idx="0">
                  <c:v>Trips</c:v>
                </c:pt>
              </c:strCache>
            </c:strRef>
          </c:tx>
          <c:spPr>
            <a:solidFill>
              <a:srgbClr val="C9DB2F"/>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Charts'!$A$19:$A$31</c:f>
              <c:strCache>
                <c:ptCount val="13"/>
                <c:pt idx="0">
                  <c:v>Sydney</c:v>
                </c:pt>
                <c:pt idx="1">
                  <c:v>Regional NSW</c:v>
                </c:pt>
                <c:pt idx="2">
                  <c:v>Melbourne</c:v>
                </c:pt>
                <c:pt idx="3">
                  <c:v>Regional VIC</c:v>
                </c:pt>
                <c:pt idx="4">
                  <c:v>Brisbane/Gold Coast</c:v>
                </c:pt>
                <c:pt idx="5">
                  <c:v>Regional QLD</c:v>
                </c:pt>
                <c:pt idx="6">
                  <c:v>Adelaide</c:v>
                </c:pt>
                <c:pt idx="7">
                  <c:v>Regional SA</c:v>
                </c:pt>
                <c:pt idx="8">
                  <c:v>Destination Perth</c:v>
                </c:pt>
                <c:pt idx="9">
                  <c:v>Regional WA</c:v>
                </c:pt>
                <c:pt idx="10">
                  <c:v>TAS</c:v>
                </c:pt>
                <c:pt idx="11">
                  <c:v>NT</c:v>
                </c:pt>
                <c:pt idx="12">
                  <c:v>ACT</c:v>
                </c:pt>
              </c:strCache>
            </c:strRef>
          </c:cat>
          <c:val>
            <c:numRef>
              <c:f>'[NVS Summary Data - Dec 20.xlsx]Quarter Charts'!$B$19:$B$31</c:f>
              <c:numCache>
                <c:formatCode>General</c:formatCode>
                <c:ptCount val="13"/>
                <c:pt idx="0">
                  <c:v>-54</c:v>
                </c:pt>
                <c:pt idx="1">
                  <c:v>-8</c:v>
                </c:pt>
                <c:pt idx="2">
                  <c:v>-76</c:v>
                </c:pt>
                <c:pt idx="3">
                  <c:v>-26</c:v>
                </c:pt>
                <c:pt idx="4">
                  <c:v>-35</c:v>
                </c:pt>
                <c:pt idx="5">
                  <c:v>-14</c:v>
                </c:pt>
                <c:pt idx="6">
                  <c:v>-49</c:v>
                </c:pt>
                <c:pt idx="7">
                  <c:v>-6</c:v>
                </c:pt>
                <c:pt idx="8">
                  <c:v>-31</c:v>
                </c:pt>
                <c:pt idx="9">
                  <c:v>0</c:v>
                </c:pt>
                <c:pt idx="10">
                  <c:v>-14</c:v>
                </c:pt>
                <c:pt idx="11">
                  <c:v>-31</c:v>
                </c:pt>
                <c:pt idx="12">
                  <c:v>-35</c:v>
                </c:pt>
              </c:numCache>
            </c:numRef>
          </c:val>
        </c:ser>
        <c:ser>
          <c:idx val="1"/>
          <c:order val="1"/>
          <c:tx>
            <c:strRef>
              <c:f>'[NVS Summary Data - Dec 20.xlsx]Quarter Charts'!$C$18</c:f>
              <c:strCache>
                <c:ptCount val="1"/>
                <c:pt idx="0">
                  <c:v>Spend</c:v>
                </c:pt>
              </c:strCache>
            </c:strRef>
          </c:tx>
          <c:spPr>
            <a:solidFill>
              <a:srgbClr val="007FA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Summary Data - Dec 20.xlsx]Quarter Charts'!$A$19:$A$31</c:f>
              <c:strCache>
                <c:ptCount val="13"/>
                <c:pt idx="0">
                  <c:v>Sydney</c:v>
                </c:pt>
                <c:pt idx="1">
                  <c:v>Regional NSW</c:v>
                </c:pt>
                <c:pt idx="2">
                  <c:v>Melbourne</c:v>
                </c:pt>
                <c:pt idx="3">
                  <c:v>Regional VIC</c:v>
                </c:pt>
                <c:pt idx="4">
                  <c:v>Brisbane/Gold Coast</c:v>
                </c:pt>
                <c:pt idx="5">
                  <c:v>Regional QLD</c:v>
                </c:pt>
                <c:pt idx="6">
                  <c:v>Adelaide</c:v>
                </c:pt>
                <c:pt idx="7">
                  <c:v>Regional SA</c:v>
                </c:pt>
                <c:pt idx="8">
                  <c:v>Destination Perth</c:v>
                </c:pt>
                <c:pt idx="9">
                  <c:v>Regional WA</c:v>
                </c:pt>
                <c:pt idx="10">
                  <c:v>TAS</c:v>
                </c:pt>
                <c:pt idx="11">
                  <c:v>NT</c:v>
                </c:pt>
                <c:pt idx="12">
                  <c:v>ACT</c:v>
                </c:pt>
              </c:strCache>
            </c:strRef>
          </c:cat>
          <c:val>
            <c:numRef>
              <c:f>'[NVS Summary Data - Dec 20.xlsx]Quarter Charts'!$C$19:$C$31</c:f>
              <c:numCache>
                <c:formatCode>General</c:formatCode>
                <c:ptCount val="13"/>
                <c:pt idx="0">
                  <c:v>-62</c:v>
                </c:pt>
                <c:pt idx="1">
                  <c:v>12</c:v>
                </c:pt>
                <c:pt idx="2">
                  <c:v>-83</c:v>
                </c:pt>
                <c:pt idx="3">
                  <c:v>-32</c:v>
                </c:pt>
                <c:pt idx="4">
                  <c:v>-43</c:v>
                </c:pt>
                <c:pt idx="5">
                  <c:v>-6</c:v>
                </c:pt>
                <c:pt idx="6">
                  <c:v>-54</c:v>
                </c:pt>
                <c:pt idx="7">
                  <c:v>9</c:v>
                </c:pt>
                <c:pt idx="8">
                  <c:v>-48</c:v>
                </c:pt>
                <c:pt idx="9">
                  <c:v>23</c:v>
                </c:pt>
                <c:pt idx="10">
                  <c:v>-51</c:v>
                </c:pt>
                <c:pt idx="11">
                  <c:v>-32</c:v>
                </c:pt>
                <c:pt idx="12">
                  <c:v>-17</c:v>
                </c:pt>
              </c:numCache>
            </c:numRef>
          </c:val>
        </c:ser>
        <c:dLbls>
          <c:showLegendKey val="0"/>
          <c:showVal val="0"/>
          <c:showCatName val="0"/>
          <c:showSerName val="0"/>
          <c:showPercent val="0"/>
          <c:showBubbleSize val="0"/>
        </c:dLbls>
        <c:gapWidth val="100"/>
        <c:overlap val="-27"/>
        <c:axId val="308054024"/>
        <c:axId val="309300608"/>
      </c:barChart>
      <c:catAx>
        <c:axId val="3080540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9300608"/>
        <c:crosses val="autoZero"/>
        <c:auto val="1"/>
        <c:lblAlgn val="ctr"/>
        <c:lblOffset val="100"/>
        <c:noMultiLvlLbl val="0"/>
      </c:catAx>
      <c:valAx>
        <c:axId val="30930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08054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i="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RA_Style_2013">
  <a:themeElements>
    <a:clrScheme name="TRA 2013 Style">
      <a:dk1>
        <a:sysClr val="windowText" lastClr="000000"/>
      </a:dk1>
      <a:lt1>
        <a:sysClr val="window" lastClr="FFFFFF"/>
      </a:lt1>
      <a:dk2>
        <a:srgbClr val="008BB6"/>
      </a:dk2>
      <a:lt2>
        <a:srgbClr val="DEDBD5"/>
      </a:lt2>
      <a:accent1>
        <a:srgbClr val="F4D450"/>
      </a:accent1>
      <a:accent2>
        <a:srgbClr val="F04B54"/>
      </a:accent2>
      <a:accent3>
        <a:srgbClr val="D4D71E"/>
      </a:accent3>
      <a:accent4>
        <a:srgbClr val="008BB6"/>
      </a:accent4>
      <a:accent5>
        <a:srgbClr val="ACA6A2"/>
      </a:accent5>
      <a:accent6>
        <a:srgbClr val="6AB2A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0B89-0105-4EF6-B938-DCA5AD9A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TRA_SimpleWordTemplate_March2014</Template>
  <TotalTime>397</TotalTime>
  <Pages>6</Pages>
  <Words>1214</Words>
  <Characters>6926</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Document title</vt:lpstr>
      <vt:lpstr>    Year Ending December 2020</vt:lpstr>
      <vt:lpstr>        INTERSTATE and INTRASTATE TRAVEL</vt:lpstr>
      <vt:lpstr>        Capital Cities and Regional Travel</vt:lpstr>
      <vt:lpstr>        AccomModation </vt:lpstr>
      <vt:lpstr>        STATES AND TERRITORIES </vt:lpstr>
      <vt:lpstr>    </vt:lpstr>
      <vt:lpstr>    December Quarter 2020</vt:lpstr>
      <vt:lpstr>        INTERSTATE and INTRASTATE TRAVEL</vt:lpstr>
      <vt:lpstr>        Capital Cities and Regional Travel</vt:lpstr>
    </vt:vector>
  </TitlesOfParts>
  <Company>Department of the Prime Minister and Cabinet</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Andrea-Seselja (Canberra)</dc:creator>
  <cp:lastModifiedBy>Jessica-BarrittEyles</cp:lastModifiedBy>
  <cp:revision>39</cp:revision>
  <cp:lastPrinted>2021-03-19T00:51:00Z</cp:lastPrinted>
  <dcterms:created xsi:type="dcterms:W3CDTF">2021-03-14T21:54:00Z</dcterms:created>
  <dcterms:modified xsi:type="dcterms:W3CDTF">2021-03-21T21:53:00Z</dcterms:modified>
</cp:coreProperties>
</file>