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D200" w14:textId="15EDB644" w:rsidR="00D00EE0" w:rsidRPr="00DB6836" w:rsidRDefault="0010593E" w:rsidP="00D00EE0">
      <w:pPr>
        <w:pStyle w:val="Spacer-cover"/>
      </w:pPr>
      <w:r w:rsidRPr="00D204C3">
        <w:rPr>
          <w:noProof/>
          <w:lang w:eastAsia="en-AU"/>
        </w:rPr>
        <w:drawing>
          <wp:anchor distT="0" distB="0" distL="114300" distR="114300" simplePos="0" relativeHeight="251660288" behindDoc="1" locked="1" layoutInCell="1" allowOverlap="1" wp14:anchorId="39904319" wp14:editId="5AE97843">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D00EE0">
        <w:rPr>
          <w:noProof/>
          <w:lang w:eastAsia="en-AU"/>
        </w:rPr>
        <w:drawing>
          <wp:anchor distT="0" distB="0" distL="114300" distR="114300" simplePos="0" relativeHeight="251663360" behindDoc="1" locked="1" layoutInCell="1" allowOverlap="1" wp14:anchorId="4A3FF61E" wp14:editId="49B78805">
            <wp:simplePos x="0" y="0"/>
            <wp:positionH relativeFrom="page">
              <wp:posOffset>472440</wp:posOffset>
            </wp:positionH>
            <wp:positionV relativeFrom="page">
              <wp:posOffset>467360</wp:posOffset>
            </wp:positionV>
            <wp:extent cx="3178175" cy="503555"/>
            <wp:effectExtent l="0" t="0" r="317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TIC_Asset 2.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8175" cy="503555"/>
                    </a:xfrm>
                    <a:prstGeom prst="rect">
                      <a:avLst/>
                    </a:prstGeom>
                  </pic:spPr>
                </pic:pic>
              </a:graphicData>
            </a:graphic>
            <wp14:sizeRelH relativeFrom="margin">
              <wp14:pctWidth>0</wp14:pctWidth>
            </wp14:sizeRelH>
            <wp14:sizeRelV relativeFrom="margin">
              <wp14:pctHeight>0</wp14:pctHeight>
            </wp14:sizeRelV>
          </wp:anchor>
        </w:drawing>
      </w:r>
      <w:r w:rsidR="00D00EE0">
        <w:rPr>
          <w:noProof/>
          <w:lang w:eastAsia="en-AU"/>
        </w:rPr>
        <w:drawing>
          <wp:anchor distT="0" distB="0" distL="114300" distR="114300" simplePos="0" relativeHeight="251662336" behindDoc="1" locked="1" layoutInCell="1" allowOverlap="1" wp14:anchorId="11E0A7E5" wp14:editId="75F7C2DB">
            <wp:simplePos x="0" y="0"/>
            <wp:positionH relativeFrom="page">
              <wp:posOffset>-104775</wp:posOffset>
            </wp:positionH>
            <wp:positionV relativeFrom="page">
              <wp:posOffset>9525</wp:posOffset>
            </wp:positionV>
            <wp:extent cx="7667625" cy="2790825"/>
            <wp:effectExtent l="0" t="0" r="9525" b="9525"/>
            <wp:wrapNone/>
            <wp:docPr id="6" name="Graphic 6" descr="A blurry purpl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 blurry purple and green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67625" cy="2790825"/>
                    </a:xfrm>
                    <a:prstGeom prst="rect">
                      <a:avLst/>
                    </a:prstGeom>
                  </pic:spPr>
                </pic:pic>
              </a:graphicData>
            </a:graphic>
            <wp14:sizeRelH relativeFrom="margin">
              <wp14:pctWidth>0</wp14:pctWidth>
            </wp14:sizeRelH>
            <wp14:sizeRelV relativeFrom="margin">
              <wp14:pctHeight>0</wp14:pctHeight>
            </wp14:sizeRelV>
          </wp:anchor>
        </w:drawing>
      </w:r>
    </w:p>
    <w:p w14:paraId="0FA159CE" w14:textId="7424AA2F" w:rsidR="00D00EE0" w:rsidRDefault="00BA2A4E" w:rsidP="00223B43">
      <w:pPr>
        <w:pStyle w:val="Title"/>
        <w:rPr>
          <w:sz w:val="36"/>
          <w:szCs w:val="36"/>
        </w:rPr>
      </w:pPr>
      <w:r w:rsidRPr="00D00EE0">
        <w:rPr>
          <w:sz w:val="36"/>
          <w:szCs w:val="36"/>
        </w:rPr>
        <w:t>N</w:t>
      </w:r>
      <w:r w:rsidR="00E2779A" w:rsidRPr="00D00EE0">
        <w:rPr>
          <w:sz w:val="36"/>
          <w:szCs w:val="36"/>
        </w:rPr>
        <w:t xml:space="preserve">ATIONAL VISITOR SURVEY RESULTS </w:t>
      </w:r>
    </w:p>
    <w:p w14:paraId="16A51BAA" w14:textId="5B32FD2C" w:rsidR="00B96FF7" w:rsidRDefault="002A6A70" w:rsidP="00223B43">
      <w:pPr>
        <w:pStyle w:val="Title"/>
        <w:rPr>
          <w:sz w:val="36"/>
          <w:szCs w:val="36"/>
        </w:rPr>
      </w:pPr>
      <w:r>
        <w:rPr>
          <w:noProof/>
        </w:rPr>
        <w:drawing>
          <wp:anchor distT="0" distB="0" distL="114300" distR="114300" simplePos="0" relativeHeight="251664384" behindDoc="1" locked="0" layoutInCell="1" allowOverlap="1" wp14:anchorId="0567F52E" wp14:editId="5D96DC5A">
            <wp:simplePos x="0" y="0"/>
            <wp:positionH relativeFrom="margin">
              <wp:posOffset>-361950</wp:posOffset>
            </wp:positionH>
            <wp:positionV relativeFrom="paragraph">
              <wp:posOffset>333375</wp:posOffset>
            </wp:positionV>
            <wp:extent cx="7372350" cy="7816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372350" cy="781685"/>
                    </a:xfrm>
                    <a:prstGeom prst="rect">
                      <a:avLst/>
                    </a:prstGeom>
                  </pic:spPr>
                </pic:pic>
              </a:graphicData>
            </a:graphic>
            <wp14:sizeRelH relativeFrom="margin">
              <wp14:pctWidth>0</wp14:pctWidth>
            </wp14:sizeRelH>
            <wp14:sizeRelV relativeFrom="margin">
              <wp14:pctHeight>0</wp14:pctHeight>
            </wp14:sizeRelV>
          </wp:anchor>
        </w:drawing>
      </w:r>
      <w:r w:rsidR="00C64025">
        <w:rPr>
          <w:sz w:val="36"/>
          <w:szCs w:val="36"/>
        </w:rPr>
        <w:t>SEPTEMBER</w:t>
      </w:r>
      <w:r w:rsidR="00E2779A" w:rsidRPr="00D00EE0">
        <w:rPr>
          <w:sz w:val="36"/>
          <w:szCs w:val="36"/>
        </w:rPr>
        <w:t xml:space="preserve"> QUARTER 202</w:t>
      </w:r>
      <w:r w:rsidR="00C43C01" w:rsidRPr="00D00EE0">
        <w:rPr>
          <w:sz w:val="36"/>
          <w:szCs w:val="36"/>
        </w:rPr>
        <w:t>3</w:t>
      </w:r>
    </w:p>
    <w:p w14:paraId="41AFFF9B" w14:textId="21468C09" w:rsidR="002A6A70" w:rsidRDefault="002A6A70" w:rsidP="002A6A70"/>
    <w:p w14:paraId="736744A6" w14:textId="6AD6DC1C" w:rsidR="00165E47" w:rsidRDefault="00165E47" w:rsidP="00572276">
      <w:pPr>
        <w:pStyle w:val="Heading2"/>
        <w:rPr>
          <w:sz w:val="2"/>
          <w:szCs w:val="2"/>
        </w:rPr>
      </w:pPr>
    </w:p>
    <w:p w14:paraId="5EE4B5F4" w14:textId="40BE2A4B" w:rsidR="002A6A70" w:rsidRPr="002A6A70" w:rsidRDefault="002A6A70" w:rsidP="002A6A70"/>
    <w:p w14:paraId="49E7B41F" w14:textId="77777777" w:rsidR="00603236" w:rsidRPr="00C618FA" w:rsidRDefault="00603236" w:rsidP="009D3C84"/>
    <w:p w14:paraId="5C9F6959" w14:textId="55EE4C56" w:rsidR="00F1258B" w:rsidRDefault="00C64025" w:rsidP="00F1258B">
      <w:pPr>
        <w:pStyle w:val="Heading2"/>
        <w:spacing w:before="160"/>
      </w:pPr>
      <w:r w:rsidRPr="00FD4567">
        <w:t>September</w:t>
      </w:r>
      <w:r w:rsidR="00584BF4" w:rsidRPr="00FD4567">
        <w:t xml:space="preserve"> quarter 202</w:t>
      </w:r>
      <w:r w:rsidR="00C43C01" w:rsidRPr="00FD4567">
        <w:t>3</w:t>
      </w:r>
    </w:p>
    <w:p w14:paraId="79909955" w14:textId="0E01E7FE" w:rsidR="00584BF4" w:rsidRPr="00FD4567" w:rsidRDefault="00C40C7A" w:rsidP="00F1258B">
      <w:pPr>
        <w:pStyle w:val="Heading2"/>
        <w:spacing w:before="160"/>
      </w:pPr>
      <w:r>
        <w:rPr>
          <w:noProof/>
        </w:rPr>
        <w:drawing>
          <wp:inline distT="0" distB="0" distL="0" distR="0" wp14:anchorId="7A2DB15E" wp14:editId="40537CCA">
            <wp:extent cx="6645910" cy="721360"/>
            <wp:effectExtent l="0" t="0" r="2540" b="2540"/>
            <wp:docPr id="2122297702" name="Picture 1" descr="In the September quarter 2023:&#10;&#10;Overnight spend was $28.4 billion, up 1% on the September quarter 2022&#10;&#10;Overnight trips were 27.8 million, up 1% on the September quarter 2022&#10;&#10;Nights away were 101.2 million, down 2% on the September quart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97702" name="Picture 1" descr="In the September quarter 2023:&#10;&#10;Overnight spend was $28.4 billion, up 1% on the September quarter 2022&#10;&#10;Overnight trips were 27.8 million, up 1% on the September quarter 2022&#10;&#10;Nights away were 101.2 million, down 2% on the September quarter 2022"/>
                    <pic:cNvPicPr/>
                  </pic:nvPicPr>
                  <pic:blipFill>
                    <a:blip r:embed="rId18"/>
                    <a:stretch>
                      <a:fillRect/>
                    </a:stretch>
                  </pic:blipFill>
                  <pic:spPr>
                    <a:xfrm>
                      <a:off x="0" y="0"/>
                      <a:ext cx="6645910" cy="721360"/>
                    </a:xfrm>
                    <a:prstGeom prst="rect">
                      <a:avLst/>
                    </a:prstGeom>
                  </pic:spPr>
                </pic:pic>
              </a:graphicData>
            </a:graphic>
          </wp:inline>
        </w:drawing>
      </w:r>
      <w:r w:rsidR="00B72F01" w:rsidRPr="00FD4567">
        <w:rPr>
          <w:noProof/>
        </w:rPr>
        <w:t xml:space="preserve"> </w:t>
      </w:r>
    </w:p>
    <w:p w14:paraId="300CD985" w14:textId="258EC5E5" w:rsidR="00B43476" w:rsidRPr="00FD5168" w:rsidRDefault="00B43476" w:rsidP="00B43476">
      <w:pPr>
        <w:pStyle w:val="Heading2"/>
        <w:spacing w:before="160"/>
      </w:pPr>
      <w:r w:rsidRPr="00FD4567">
        <w:t xml:space="preserve">Year ending </w:t>
      </w:r>
      <w:r w:rsidR="00C64025" w:rsidRPr="00FD4567">
        <w:t>September</w:t>
      </w:r>
      <w:r w:rsidRPr="00FD4567">
        <w:t xml:space="preserve"> 202</w:t>
      </w:r>
      <w:r w:rsidR="00C43C01" w:rsidRPr="00FD4567">
        <w:t>3</w:t>
      </w:r>
    </w:p>
    <w:p w14:paraId="71707554" w14:textId="77777777" w:rsidR="00B72F01" w:rsidRDefault="00B545A4" w:rsidP="00B43476">
      <w:r>
        <w:rPr>
          <w:noProof/>
        </w:rPr>
        <w:drawing>
          <wp:inline distT="0" distB="0" distL="0" distR="0" wp14:anchorId="753D3A95" wp14:editId="2C8E4EE8">
            <wp:extent cx="6645910" cy="726440"/>
            <wp:effectExtent l="0" t="0" r="2540" b="0"/>
            <wp:docPr id="827073570" name="Picture 1" descr="In the year ending September 2023:&#10;&#10;Overnight spend was $108.7 billion, up 24% on the year ending September 2022&#10;&#10;Overnight trips were 111.6 million, up 10% on the year ending September 2022&#10;&#10;Nights away were 402.9 million, up 7% on the year ending Sept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073570" name="Picture 1" descr="In the year ending September 2023:&#10;&#10;Overnight spend was $108.7 billion, up 24% on the year ending September 2022&#10;&#10;Overnight trips were 111.6 million, up 10% on the year ending September 2022&#10;&#10;Nights away were 402.9 million, up 7% on the year ending September 2022"/>
                    <pic:cNvPicPr/>
                  </pic:nvPicPr>
                  <pic:blipFill>
                    <a:blip r:embed="rId19"/>
                    <a:stretch>
                      <a:fillRect/>
                    </a:stretch>
                  </pic:blipFill>
                  <pic:spPr>
                    <a:xfrm>
                      <a:off x="0" y="0"/>
                      <a:ext cx="6645910" cy="726440"/>
                    </a:xfrm>
                    <a:prstGeom prst="rect">
                      <a:avLst/>
                    </a:prstGeom>
                  </pic:spPr>
                </pic:pic>
              </a:graphicData>
            </a:graphic>
          </wp:inline>
        </w:drawing>
      </w:r>
    </w:p>
    <w:p w14:paraId="0D0D9D18" w14:textId="442E0074" w:rsidR="003F07B9" w:rsidRPr="00A762C9" w:rsidRDefault="003F07B9" w:rsidP="002A6A70">
      <w:pPr>
        <w:pStyle w:val="Heading2"/>
        <w:spacing w:before="240"/>
      </w:pPr>
      <w:r w:rsidRPr="00A762C9">
        <w:t xml:space="preserve">Domestic </w:t>
      </w:r>
      <w:r w:rsidR="003D5229" w:rsidRPr="00A762C9">
        <w:t>t</w:t>
      </w:r>
      <w:r w:rsidRPr="00A762C9">
        <w:t xml:space="preserve">ourism </w:t>
      </w:r>
      <w:r w:rsidR="0075235E">
        <w:t>growth steadies</w:t>
      </w:r>
      <w:r w:rsidR="00603236" w:rsidRPr="00A762C9">
        <w:t xml:space="preserve"> following</w:t>
      </w:r>
      <w:r w:rsidR="002A3A5D">
        <w:t xml:space="preserve"> </w:t>
      </w:r>
      <w:r w:rsidR="00E629EA">
        <w:t xml:space="preserve">a </w:t>
      </w:r>
      <w:r w:rsidR="002A3A5D">
        <w:t>strong</w:t>
      </w:r>
      <w:r w:rsidR="00A762C9" w:rsidRPr="00A762C9">
        <w:t xml:space="preserve"> </w:t>
      </w:r>
      <w:proofErr w:type="gramStart"/>
      <w:r w:rsidR="00603236" w:rsidRPr="00A762C9">
        <w:t>recovery</w:t>
      </w:r>
      <w:proofErr w:type="gramEnd"/>
    </w:p>
    <w:p w14:paraId="171111B8" w14:textId="77777777" w:rsidR="004D5976" w:rsidRPr="0075235E" w:rsidRDefault="004D5976" w:rsidP="004D5976">
      <w:pPr>
        <w:rPr>
          <w:rFonts w:cs="Times New Roman"/>
        </w:rPr>
      </w:pPr>
      <w:bookmarkStart w:id="0" w:name="_Hlk152855620"/>
      <w:r w:rsidRPr="0075235E">
        <w:rPr>
          <w:rFonts w:cs="Times New Roman"/>
        </w:rPr>
        <w:t xml:space="preserve">The September quarter 2023 domestic tourism results showed growth stabilising following a period of strong growth coming out of the pandemic, recording similar results to the same period last year (Figure 1) as cost-of-living pressures moderate discretionary consumption. Spend and trips increased 1% but nights fell 2%, suggesting a desire by Australians to continue travelling but take shorter trips to manage costs. Older Australians recorded strong travel results, although this was offset by softer results for younger age groups. </w:t>
      </w:r>
    </w:p>
    <w:bookmarkEnd w:id="0"/>
    <w:p w14:paraId="033A931C" w14:textId="77777777" w:rsidR="0075235E" w:rsidRPr="0075235E" w:rsidRDefault="0075235E" w:rsidP="0075235E">
      <w:pPr>
        <w:rPr>
          <w:rFonts w:cs="Times New Roman"/>
        </w:rPr>
      </w:pPr>
      <w:r w:rsidRPr="0075235E">
        <w:rPr>
          <w:rFonts w:cs="Times New Roman"/>
        </w:rPr>
        <w:t>The year ending September 2023 results saw a strong recovery from the COVID-19 impacted year ending September 2022, with improvements in overnight spend (up 24%), trips (up 10%) and nights (up 7%). The proportion of spend in capital cities and regional areas continued to rebalance towards pre-pandemic levels.</w:t>
      </w:r>
    </w:p>
    <w:p w14:paraId="4FAF0B0A" w14:textId="5466B789" w:rsidR="00055731" w:rsidRPr="00055731" w:rsidRDefault="00055731" w:rsidP="008F60EF">
      <w:pPr>
        <w:rPr>
          <w:b/>
          <w:bCs/>
        </w:rPr>
      </w:pPr>
      <w:r w:rsidRPr="00FD4567">
        <w:rPr>
          <w:b/>
          <w:bCs/>
        </w:rPr>
        <w:t xml:space="preserve">Figure 1. Percent change </w:t>
      </w:r>
      <w:r w:rsidR="008805E0" w:rsidRPr="00FD4567">
        <w:rPr>
          <w:b/>
          <w:bCs/>
        </w:rPr>
        <w:t xml:space="preserve">for spend, overnight trips and nights </w:t>
      </w:r>
      <w:r w:rsidRPr="00FD4567">
        <w:rPr>
          <w:b/>
          <w:bCs/>
        </w:rPr>
        <w:t>compared the same period in the previous year</w:t>
      </w:r>
      <w:r w:rsidR="008805E0" w:rsidRPr="00FD4567">
        <w:rPr>
          <w:b/>
          <w:bCs/>
        </w:rPr>
        <w:t xml:space="preserve">, </w:t>
      </w:r>
      <w:r w:rsidR="00A762C9" w:rsidRPr="00FD4567">
        <w:rPr>
          <w:b/>
          <w:bCs/>
        </w:rPr>
        <w:t xml:space="preserve">March </w:t>
      </w:r>
      <w:r w:rsidR="008805E0" w:rsidRPr="00FD4567">
        <w:rPr>
          <w:b/>
          <w:bCs/>
        </w:rPr>
        <w:t>quarter 202</w:t>
      </w:r>
      <w:r w:rsidR="00A762C9" w:rsidRPr="00FD4567">
        <w:rPr>
          <w:b/>
          <w:bCs/>
        </w:rPr>
        <w:t>2</w:t>
      </w:r>
      <w:r w:rsidR="008805E0" w:rsidRPr="00FD4567">
        <w:rPr>
          <w:b/>
          <w:bCs/>
        </w:rPr>
        <w:t xml:space="preserve"> to </w:t>
      </w:r>
      <w:r w:rsidR="00A762C9" w:rsidRPr="00FD4567">
        <w:rPr>
          <w:b/>
          <w:bCs/>
        </w:rPr>
        <w:t>September</w:t>
      </w:r>
      <w:r w:rsidR="008805E0" w:rsidRPr="00FD4567">
        <w:rPr>
          <w:b/>
          <w:bCs/>
        </w:rPr>
        <w:t xml:space="preserve"> quarter </w:t>
      </w:r>
      <w:proofErr w:type="gramStart"/>
      <w:r w:rsidR="008805E0" w:rsidRPr="00FD4567">
        <w:rPr>
          <w:b/>
          <w:bCs/>
        </w:rPr>
        <w:t>2023</w:t>
      </w:r>
      <w:proofErr w:type="gramEnd"/>
    </w:p>
    <w:p w14:paraId="74F66B88" w14:textId="1FDBFBFD" w:rsidR="007D69C5" w:rsidRDefault="00A762C9" w:rsidP="00A762C9">
      <w:pPr>
        <w:tabs>
          <w:tab w:val="left" w:pos="780"/>
        </w:tabs>
        <w:rPr>
          <w:b/>
          <w:bCs/>
          <w:color w:val="1E988A" w:themeColor="background2"/>
          <w:sz w:val="26"/>
          <w:szCs w:val="26"/>
        </w:rPr>
      </w:pPr>
      <w:r>
        <w:rPr>
          <w:noProof/>
        </w:rPr>
        <w:drawing>
          <wp:inline distT="0" distB="0" distL="0" distR="0" wp14:anchorId="555EED0E" wp14:editId="7BE5616B">
            <wp:extent cx="6667500" cy="2028825"/>
            <wp:effectExtent l="0" t="0" r="0" b="0"/>
            <wp:docPr id="692345716" name="Chart 1" descr="Figure 1 shows the percent change for spend, overnight trips and nights compared the same period in the previous year, for the March quarter 2022 to the September quarter 2023&#10;&#10;Compared to the same period in the previous year, spend in:&#10;• the March quarter 2022 was up 14%&#10;• the June quarter 2022 was up 29%&#10;• the September quarter 2022 was up 201%&#10;• the December quarter 2022 was up 96%&#10;• the March quarter 2023 was up 33%&#10;• the June quarter 2023 was up 1%&#10;• the September quarter 2023 was up 1%&#10;&#10;Compared to the same period in the previous year, overnight trips in:&#10;• the March quarter 2022 was on par&#10;• the June quarter 2022 was up 15%&#10;• the September quarter 2022 was up 133%&#10;• the December quarter 2022 was up 32%&#10;• the March quarter 2023 was up 15%&#10;• the June quarter 2023 was down 2%&#10;• the September quarter 2023 was up 1%&#10; &#10;Compared to the same period in the previous year, nights away in:&#10;• the March quarter 2022 was down 3%&#10;• the June quarter 2022 was up 10%&#10;• the September quarter 2022 was up 92%&#10;• the December quarter 2022 was up 31%&#10;• the March quarter 2023 was up 10%&#10;• the June quarter 2023 was down 5%&#10;• the September quarter 2023 was down 2%">
              <a:extLst xmlns:a="http://schemas.openxmlformats.org/drawingml/2006/main">
                <a:ext uri="{FF2B5EF4-FFF2-40B4-BE49-F238E27FC236}">
                  <a16:creationId xmlns:a16="http://schemas.microsoft.com/office/drawing/2014/main" id="{E52D6864-004A-407B-A21F-186AB56EB3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Grid"/>
        <w:tblW w:w="10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5250"/>
      </w:tblGrid>
      <w:tr w:rsidR="00573BD9" w:rsidRPr="00FD4567" w14:paraId="4F641D93" w14:textId="77777777" w:rsidTr="0075235E">
        <w:trPr>
          <w:trHeight w:val="5995"/>
        </w:trPr>
        <w:tc>
          <w:tcPr>
            <w:tcW w:w="5529" w:type="dxa"/>
          </w:tcPr>
          <w:p w14:paraId="1B3386E2" w14:textId="44ABACF5" w:rsidR="00573BD9" w:rsidRPr="00FD4567" w:rsidRDefault="00A76916" w:rsidP="002B049C">
            <w:pPr>
              <w:rPr>
                <w:b/>
                <w:bCs/>
                <w:color w:val="1E988A" w:themeColor="background2"/>
                <w:sz w:val="26"/>
                <w:szCs w:val="26"/>
              </w:rPr>
            </w:pPr>
            <w:r>
              <w:rPr>
                <w:b/>
                <w:bCs/>
                <w:color w:val="1E988A" w:themeColor="background2"/>
                <w:sz w:val="26"/>
                <w:szCs w:val="26"/>
              </w:rPr>
              <w:lastRenderedPageBreak/>
              <w:br/>
            </w:r>
            <w:r w:rsidR="0075235E" w:rsidRPr="0075235E">
              <w:rPr>
                <w:rFonts w:cs="Times New Roman"/>
                <w:b/>
                <w:bCs/>
                <w:color w:val="1E988A" w:themeColor="background2"/>
                <w:sz w:val="26"/>
                <w:szCs w:val="26"/>
              </w:rPr>
              <w:t xml:space="preserve">Share of spend in capital cities and regions rebalancing toward pre-pandemic </w:t>
            </w:r>
            <w:proofErr w:type="gramStart"/>
            <w:r w:rsidR="0075235E" w:rsidRPr="0075235E">
              <w:rPr>
                <w:rFonts w:cs="Times New Roman"/>
                <w:b/>
                <w:bCs/>
                <w:color w:val="1E988A" w:themeColor="background2"/>
                <w:sz w:val="26"/>
                <w:szCs w:val="26"/>
              </w:rPr>
              <w:t>shares</w:t>
            </w:r>
            <w:proofErr w:type="gramEnd"/>
          </w:p>
          <w:p w14:paraId="0D524541" w14:textId="77777777" w:rsidR="009D0881" w:rsidRPr="00FD4567" w:rsidRDefault="009D0881" w:rsidP="002B049C"/>
          <w:p w14:paraId="24B4D28F" w14:textId="77777777" w:rsidR="0075235E" w:rsidRPr="0075235E" w:rsidRDefault="0075235E" w:rsidP="0075235E">
            <w:pPr>
              <w:rPr>
                <w:rFonts w:cs="Times New Roman"/>
              </w:rPr>
            </w:pPr>
            <w:r w:rsidRPr="0075235E">
              <w:rPr>
                <w:rFonts w:cs="Times New Roman"/>
              </w:rPr>
              <w:t xml:space="preserve">The proportion of domestic overnight spend in capital cities and regional areas continued to rebalance towards pre-pandemic levels in the year ending September 2023. </w:t>
            </w:r>
          </w:p>
          <w:p w14:paraId="47FE77CA" w14:textId="77777777" w:rsidR="0075235E" w:rsidRPr="0075235E" w:rsidRDefault="0075235E" w:rsidP="0075235E">
            <w:pPr>
              <w:rPr>
                <w:rFonts w:cs="Times New Roman"/>
              </w:rPr>
            </w:pPr>
          </w:p>
          <w:p w14:paraId="084650EF" w14:textId="77777777" w:rsidR="0075235E" w:rsidRPr="0075235E" w:rsidRDefault="0075235E" w:rsidP="0075235E">
            <w:pPr>
              <w:rPr>
                <w:rFonts w:cs="Times New Roman"/>
              </w:rPr>
            </w:pPr>
            <w:r w:rsidRPr="0075235E">
              <w:rPr>
                <w:rFonts w:cs="Times New Roman"/>
              </w:rPr>
              <w:t>Results for the year ending September 2023 show spend in capital cities accounted for 47% of domestic overnight spend. This is closing in on pre-pandemic levels (year ending September 2019) where capital cities accounted for 49% of domestic overnight spend. This had dropped to only 34% in 2021 as COVID-19 lockdowns across the country hit capital cities harder.</w:t>
            </w:r>
          </w:p>
          <w:p w14:paraId="1C1DDF88" w14:textId="77777777" w:rsidR="00275672" w:rsidRPr="00FD4567" w:rsidRDefault="00275672" w:rsidP="002B049C"/>
          <w:p w14:paraId="39CBE8DA" w14:textId="23FF12E5" w:rsidR="00275672" w:rsidRPr="00FD4567" w:rsidRDefault="00275672" w:rsidP="00275672">
            <w:r w:rsidRPr="00FD4567">
              <w:t xml:space="preserve">Overall, in the year ending September 2023, domestic overnight spend </w:t>
            </w:r>
            <w:r w:rsidR="00596A10" w:rsidRPr="00FD4567">
              <w:t xml:space="preserve">in capital cities </w:t>
            </w:r>
            <w:r w:rsidRPr="00FD4567">
              <w:t>was $50.6 billion, up:</w:t>
            </w:r>
          </w:p>
          <w:p w14:paraId="66899CEE" w14:textId="2C5C2829" w:rsidR="00A76916" w:rsidRPr="00FD4567" w:rsidRDefault="00275672" w:rsidP="00275672">
            <w:pPr>
              <w:pStyle w:val="ListParagraph"/>
              <w:numPr>
                <w:ilvl w:val="0"/>
                <w:numId w:val="13"/>
              </w:numPr>
              <w:rPr>
                <w:rFonts w:asciiTheme="minorHAnsi" w:hAnsiTheme="minorHAnsi"/>
              </w:rPr>
            </w:pPr>
            <w:r w:rsidRPr="00FD4567">
              <w:rPr>
                <w:rFonts w:asciiTheme="minorHAnsi" w:hAnsiTheme="minorHAnsi"/>
              </w:rPr>
              <w:t xml:space="preserve">42% or $15.0 billion on </w:t>
            </w:r>
            <w:r w:rsidR="003270E1" w:rsidRPr="00FD4567">
              <w:rPr>
                <w:rFonts w:asciiTheme="minorHAnsi" w:hAnsiTheme="minorHAnsi"/>
              </w:rPr>
              <w:t xml:space="preserve">a COVID-19 impacted </w:t>
            </w:r>
            <w:proofErr w:type="gramStart"/>
            <w:r w:rsidRPr="00FD4567">
              <w:rPr>
                <w:rFonts w:asciiTheme="minorHAnsi" w:hAnsiTheme="minorHAnsi"/>
              </w:rPr>
              <w:t>2022</w:t>
            </w:r>
            <w:proofErr w:type="gramEnd"/>
            <w:r w:rsidR="009D0881" w:rsidRPr="00FD4567">
              <w:rPr>
                <w:rFonts w:asciiTheme="minorHAnsi" w:hAnsiTheme="minorHAnsi"/>
              </w:rPr>
              <w:t xml:space="preserve"> </w:t>
            </w:r>
          </w:p>
          <w:p w14:paraId="785319B1" w14:textId="6F570EBE" w:rsidR="00A76916" w:rsidRPr="00FD4567" w:rsidRDefault="00A76916" w:rsidP="00FD4567">
            <w:pPr>
              <w:pStyle w:val="ListParagraph"/>
              <w:numPr>
                <w:ilvl w:val="0"/>
                <w:numId w:val="13"/>
              </w:numPr>
            </w:pPr>
            <w:r w:rsidRPr="00FD4567">
              <w:rPr>
                <w:rFonts w:asciiTheme="minorHAnsi" w:hAnsiTheme="minorHAnsi"/>
              </w:rPr>
              <w:t>32% or $12.</w:t>
            </w:r>
            <w:r w:rsidR="00FD4567" w:rsidRPr="00FD4567">
              <w:rPr>
                <w:rFonts w:asciiTheme="minorHAnsi" w:hAnsiTheme="minorHAnsi"/>
              </w:rPr>
              <w:t>2</w:t>
            </w:r>
            <w:r w:rsidRPr="00FD4567">
              <w:rPr>
                <w:rFonts w:asciiTheme="minorHAnsi" w:hAnsiTheme="minorHAnsi"/>
              </w:rPr>
              <w:t xml:space="preserve"> billion on 2019</w:t>
            </w:r>
            <w:r w:rsidR="00573BD9" w:rsidRPr="00FD4567">
              <w:rPr>
                <w:rFonts w:asciiTheme="minorHAnsi" w:hAnsiTheme="minorHAnsi"/>
              </w:rPr>
              <w:t xml:space="preserve">  </w:t>
            </w:r>
          </w:p>
        </w:tc>
        <w:tc>
          <w:tcPr>
            <w:tcW w:w="5250" w:type="dxa"/>
          </w:tcPr>
          <w:p w14:paraId="603FEEDF" w14:textId="2845C133" w:rsidR="004C5A6F" w:rsidRPr="00FD4567" w:rsidRDefault="00A76916" w:rsidP="004C5A6F">
            <w:r w:rsidRPr="00FD4567">
              <w:rPr>
                <w:b/>
                <w:bCs/>
              </w:rPr>
              <w:br/>
            </w:r>
            <w:r w:rsidR="004C5A6F" w:rsidRPr="00FD4567">
              <w:t>In the September quarter 2023 domestic overnight spend</w:t>
            </w:r>
            <w:r w:rsidR="00426994" w:rsidRPr="00FD4567">
              <w:t xml:space="preserve"> in capital cities</w:t>
            </w:r>
            <w:r w:rsidR="004C5A6F" w:rsidRPr="00FD4567">
              <w:t xml:space="preserve"> was up:</w:t>
            </w:r>
          </w:p>
          <w:p w14:paraId="0FBBD0F5" w14:textId="77777777" w:rsidR="004C5A6F" w:rsidRPr="00FD4567" w:rsidRDefault="004C5A6F" w:rsidP="004C5A6F">
            <w:pPr>
              <w:pStyle w:val="ListParagraph"/>
              <w:numPr>
                <w:ilvl w:val="0"/>
                <w:numId w:val="13"/>
              </w:numPr>
              <w:rPr>
                <w:rFonts w:asciiTheme="minorHAnsi" w:hAnsiTheme="minorHAnsi"/>
              </w:rPr>
            </w:pPr>
            <w:r w:rsidRPr="00FD4567">
              <w:rPr>
                <w:rFonts w:asciiTheme="minorHAnsi" w:hAnsiTheme="minorHAnsi"/>
              </w:rPr>
              <w:t xml:space="preserve">8% or $941 million on a COVID-19 impacted </w:t>
            </w:r>
            <w:proofErr w:type="gramStart"/>
            <w:r w:rsidRPr="00FD4567">
              <w:rPr>
                <w:rFonts w:asciiTheme="minorHAnsi" w:hAnsiTheme="minorHAnsi"/>
              </w:rPr>
              <w:t>2022</w:t>
            </w:r>
            <w:proofErr w:type="gramEnd"/>
          </w:p>
          <w:p w14:paraId="74CBAF01" w14:textId="212F259A" w:rsidR="004C5A6F" w:rsidRPr="00FD4567" w:rsidRDefault="004C5A6F" w:rsidP="00FD4567">
            <w:pPr>
              <w:pStyle w:val="ListParagraph"/>
              <w:numPr>
                <w:ilvl w:val="0"/>
                <w:numId w:val="13"/>
              </w:numPr>
            </w:pPr>
            <w:r w:rsidRPr="00FD4567">
              <w:rPr>
                <w:rFonts w:asciiTheme="minorHAnsi" w:hAnsiTheme="minorHAnsi"/>
              </w:rPr>
              <w:t xml:space="preserve">30% or $3.0 billion on </w:t>
            </w:r>
            <w:r w:rsidR="0075235E">
              <w:rPr>
                <w:rFonts w:asciiTheme="minorHAnsi" w:hAnsiTheme="minorHAnsi"/>
              </w:rPr>
              <w:t xml:space="preserve">the same quarter in </w:t>
            </w:r>
            <w:r w:rsidRPr="00FD4567">
              <w:rPr>
                <w:rFonts w:asciiTheme="minorHAnsi" w:hAnsiTheme="minorHAnsi"/>
              </w:rPr>
              <w:t>2019</w:t>
            </w:r>
          </w:p>
          <w:p w14:paraId="61146B2A" w14:textId="77777777" w:rsidR="004C5A6F" w:rsidRPr="00FD4567" w:rsidRDefault="004C5A6F" w:rsidP="002B049C">
            <w:pPr>
              <w:rPr>
                <w:b/>
                <w:bCs/>
              </w:rPr>
            </w:pPr>
          </w:p>
          <w:p w14:paraId="46A56EB0" w14:textId="6952AAD8" w:rsidR="00573BD9" w:rsidRPr="00FD4567" w:rsidRDefault="00573BD9" w:rsidP="002B049C">
            <w:pPr>
              <w:rPr>
                <w:b/>
                <w:bCs/>
                <w:color w:val="1E988A" w:themeColor="background2"/>
                <w:sz w:val="26"/>
                <w:szCs w:val="26"/>
              </w:rPr>
            </w:pPr>
            <w:r w:rsidRPr="00FD4567">
              <w:rPr>
                <w:b/>
                <w:bCs/>
              </w:rPr>
              <w:t xml:space="preserve">Figure 2: Proportion of </w:t>
            </w:r>
            <w:r w:rsidR="007B7B79">
              <w:rPr>
                <w:b/>
                <w:bCs/>
              </w:rPr>
              <w:t xml:space="preserve">domestic overnight </w:t>
            </w:r>
            <w:r w:rsidRPr="00FD4567">
              <w:rPr>
                <w:b/>
                <w:bCs/>
              </w:rPr>
              <w:t>spend, capital cities compared to regional areas, year ending September 2019-2023</w:t>
            </w:r>
            <w:r w:rsidRPr="00FD4567">
              <w:rPr>
                <w:b/>
                <w:bCs/>
                <w:color w:val="1E988A" w:themeColor="background2"/>
                <w:sz w:val="26"/>
                <w:szCs w:val="26"/>
              </w:rPr>
              <w:t xml:space="preserve"> </w:t>
            </w:r>
          </w:p>
          <w:p w14:paraId="270D96EF" w14:textId="2501D581" w:rsidR="00573BD9" w:rsidRPr="00FD4567" w:rsidRDefault="009D0881" w:rsidP="002B049C">
            <w:pPr>
              <w:rPr>
                <w:b/>
                <w:bCs/>
                <w:color w:val="1E988A" w:themeColor="background2"/>
                <w:sz w:val="26"/>
                <w:szCs w:val="26"/>
              </w:rPr>
            </w:pPr>
            <w:r w:rsidRPr="00FD4567">
              <w:rPr>
                <w:noProof/>
              </w:rPr>
              <w:drawing>
                <wp:inline distT="0" distB="0" distL="0" distR="0" wp14:anchorId="526882E4" wp14:editId="57CE870E">
                  <wp:extent cx="3377712" cy="2236470"/>
                  <wp:effectExtent l="0" t="0" r="0" b="0"/>
                  <wp:docPr id="1499093357" name="Chart 1" descr="Figure 2 shows the proportion of domestic overnight spend attributed to capital cities and regional areas for the year ending September 2019 to the year ending September 2023.&#10;&#10;In the year ending 2019, 51% of domestic overnight spend was in regional Australia compared to 49% in capital cities. &#10;&#10;&#10;In the year ending 2020, 58% of domestic overnight spend was in regional Australia compared to 42% in capital cities. &#10;&#10;&#10;In the year ending 2021, 66% of domestic overnight spend was in regional Australia compared to 34% in capital cities. &#10;&#10;&#10;In the year ending 2022, 59% of domestic overnight spend was in regional Australia compared to 41% in capital cities. &#10;&#10;&#10;In the year ending 2023, 53% of domestic overnight spend was in regional Australia compared to 47% in capital cities. ">
                    <a:extLst xmlns:a="http://schemas.openxmlformats.org/drawingml/2006/main">
                      <a:ext uri="{FF2B5EF4-FFF2-40B4-BE49-F238E27FC236}">
                        <a16:creationId xmlns:a16="http://schemas.microsoft.com/office/drawing/2014/main" id="{47769606-CBDE-122D-4849-5F20DC70DD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tbl>
      <w:tblPr>
        <w:tblStyle w:val="TableGrid"/>
        <w:tblpPr w:leftFromText="180" w:rightFromText="180" w:vertAnchor="page" w:horzAnchor="margin" w:tblpY="7216"/>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3"/>
        <w:gridCol w:w="5067"/>
      </w:tblGrid>
      <w:tr w:rsidR="001B6EB8" w14:paraId="3BD2FE0A" w14:textId="77777777" w:rsidTr="0075235E">
        <w:trPr>
          <w:trHeight w:val="7270"/>
        </w:trPr>
        <w:tc>
          <w:tcPr>
            <w:tcW w:w="5723" w:type="dxa"/>
          </w:tcPr>
          <w:p w14:paraId="1930B584" w14:textId="0EC94329" w:rsidR="001B6EB8" w:rsidRPr="00FD4567" w:rsidRDefault="0075235E" w:rsidP="0075235E">
            <w:pPr>
              <w:rPr>
                <w:b/>
                <w:bCs/>
                <w:color w:val="1E988A" w:themeColor="background2"/>
                <w:sz w:val="26"/>
                <w:szCs w:val="26"/>
              </w:rPr>
            </w:pPr>
            <w:r>
              <w:rPr>
                <w:b/>
                <w:bCs/>
                <w:color w:val="1E988A" w:themeColor="background2"/>
                <w:sz w:val="26"/>
                <w:szCs w:val="26"/>
              </w:rPr>
              <w:br/>
            </w:r>
            <w:r w:rsidR="001B6EB8" w:rsidRPr="00FD4567">
              <w:rPr>
                <w:b/>
                <w:bCs/>
                <w:color w:val="1E988A" w:themeColor="background2"/>
                <w:sz w:val="26"/>
                <w:szCs w:val="26"/>
              </w:rPr>
              <w:t xml:space="preserve">Strength in travel by older Australians </w:t>
            </w:r>
          </w:p>
          <w:p w14:paraId="7CB04E55" w14:textId="77777777" w:rsidR="001B6EB8" w:rsidRPr="00FD4567" w:rsidRDefault="001B6EB8" w:rsidP="0075235E"/>
          <w:p w14:paraId="12BA1ABA" w14:textId="77777777" w:rsidR="001B6EB8" w:rsidRPr="00FD4567" w:rsidRDefault="001B6EB8" w:rsidP="0075235E">
            <w:r w:rsidRPr="00FD4567">
              <w:t xml:space="preserve">There were large differences observed between the results for younger and older travellers (Figure 3). These differences are likely driven by cost-of-living pressures impacting age groups in different ways. </w:t>
            </w:r>
          </w:p>
          <w:p w14:paraId="08A01130" w14:textId="77777777" w:rsidR="001B6EB8" w:rsidRPr="00FD4567" w:rsidRDefault="001B6EB8" w:rsidP="0075235E">
            <w:pPr>
              <w:rPr>
                <w:b/>
                <w:bCs/>
              </w:rPr>
            </w:pPr>
          </w:p>
          <w:p w14:paraId="7FC01A14" w14:textId="77777777" w:rsidR="001B6EB8" w:rsidRPr="00FD4567" w:rsidRDefault="001B6EB8" w:rsidP="0075235E">
            <w:pPr>
              <w:rPr>
                <w:b/>
                <w:bCs/>
              </w:rPr>
            </w:pPr>
            <w:r w:rsidRPr="00FD4567">
              <w:rPr>
                <w:b/>
                <w:bCs/>
              </w:rPr>
              <w:t xml:space="preserve">Figure 3: Percentage change in trips and spend by age group, September quarter 2023 compared to September quarter </w:t>
            </w:r>
            <w:proofErr w:type="gramStart"/>
            <w:r w:rsidRPr="00FD4567">
              <w:rPr>
                <w:b/>
                <w:bCs/>
              </w:rPr>
              <w:t>2022</w:t>
            </w:r>
            <w:proofErr w:type="gramEnd"/>
          </w:p>
          <w:p w14:paraId="07B56196" w14:textId="77777777" w:rsidR="001B6EB8" w:rsidRPr="00FD4567" w:rsidRDefault="001B6EB8" w:rsidP="0075235E">
            <w:r w:rsidRPr="00FD4567">
              <w:rPr>
                <w:noProof/>
              </w:rPr>
              <w:drawing>
                <wp:inline distT="0" distB="0" distL="0" distR="0" wp14:anchorId="64545744" wp14:editId="08E67B37">
                  <wp:extent cx="3540057" cy="3149600"/>
                  <wp:effectExtent l="0" t="0" r="3810" b="0"/>
                  <wp:docPr id="755323910" name="Picture 1" descr="Figure 3 shows the change in trips and spend for the September quarter 2023 compared to September quarter 2022 by age group.&#10;&#10;• For 15-24 year olds, trips were down 13% and spend was down 17%&#10;• For 25-34 year olds, trips were on par and spend was down 5%&#10;• For 35-44 year olds, trips were on par and spend was down 13%&#10;• For 45-54 year olds, trips were on par and spend was up 8%&#10;• For 55-64 year olds, trips were up 8% and spend was up 24%&#10;• For those 65 and over, trips were up 10% and spend was up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23910" name="Picture 1" descr="Figure 3 shows the change in trips and spend for the September quarter 2023 compared to September quarter 2022 by age group.&#10;&#10;• For 15-24 year olds, trips were down 13% and spend was down 17%&#10;• For 25-34 year olds, trips were on par and spend was down 5%&#10;• For 35-44 year olds, trips were on par and spend was down 13%&#10;• For 45-54 year olds, trips were on par and spend was up 8%&#10;• For 55-64 year olds, trips were up 8% and spend was up 24%&#10;• For those 65 and over, trips were up 10% and spend was up 7%&#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9321" cy="3157843"/>
                          </a:xfrm>
                          <a:prstGeom prst="rect">
                            <a:avLst/>
                          </a:prstGeom>
                          <a:noFill/>
                        </pic:spPr>
                      </pic:pic>
                    </a:graphicData>
                  </a:graphic>
                </wp:inline>
              </w:drawing>
            </w:r>
          </w:p>
        </w:tc>
        <w:tc>
          <w:tcPr>
            <w:tcW w:w="5067" w:type="dxa"/>
          </w:tcPr>
          <w:p w14:paraId="546D75C2" w14:textId="77777777" w:rsidR="001B6EB8" w:rsidRPr="00FD4567" w:rsidRDefault="001B6EB8" w:rsidP="0075235E"/>
          <w:p w14:paraId="064B6B26" w14:textId="77777777" w:rsidR="001B6EB8" w:rsidRPr="00FD4567" w:rsidRDefault="001B6EB8" w:rsidP="0075235E"/>
          <w:p w14:paraId="294A1BEB" w14:textId="77777777" w:rsidR="0075235E" w:rsidRPr="00FD4567" w:rsidRDefault="0075235E" w:rsidP="0075235E">
            <w:r w:rsidRPr="00FD4567">
              <w:t xml:space="preserve">The </w:t>
            </w:r>
            <w:hyperlink r:id="rId23" w:history="1">
              <w:r w:rsidRPr="00AD4B10">
                <w:rPr>
                  <w:rStyle w:val="Hyperlink"/>
                </w:rPr>
                <w:t xml:space="preserve">November </w:t>
              </w:r>
              <w:proofErr w:type="spellStart"/>
              <w:r w:rsidRPr="00AD4B10">
                <w:rPr>
                  <w:rStyle w:val="Hyperlink"/>
                </w:rPr>
                <w:t>CommBankiQ</w:t>
              </w:r>
              <w:proofErr w:type="spellEnd"/>
              <w:r w:rsidRPr="00AD4B10">
                <w:rPr>
                  <w:rStyle w:val="Hyperlink"/>
                </w:rPr>
                <w:t xml:space="preserve"> Cost of Living Insights report</w:t>
              </w:r>
            </w:hyperlink>
            <w:r w:rsidRPr="00FD4567">
              <w:t xml:space="preserve"> found that on average, age groups of 18-39 cut back on spending in the September quarter 2023 whereas those aged 40+ increased</w:t>
            </w:r>
            <w:r>
              <w:t xml:space="preserve"> their spending</w:t>
            </w:r>
            <w:r w:rsidRPr="00FD4567">
              <w:t>.</w:t>
            </w:r>
          </w:p>
          <w:p w14:paraId="1B1DD5B9" w14:textId="77777777" w:rsidR="0075235E" w:rsidRPr="00FD4567" w:rsidRDefault="0075235E" w:rsidP="0075235E"/>
          <w:p w14:paraId="629CDB65" w14:textId="77777777" w:rsidR="0075235E" w:rsidRPr="00FD4567" w:rsidRDefault="0075235E" w:rsidP="0075235E">
            <w:r w:rsidRPr="00FD4567">
              <w:t xml:space="preserve">Trips declined for the youngest group of travellers (15-24 years) in the September quarter 2023, down 13% on the September quarter 2022. Comparatively, older travellers aged 55-64 years and 65+ years saw increases in trips of 8% and 10% respectively. </w:t>
            </w:r>
          </w:p>
          <w:p w14:paraId="36998C95" w14:textId="77777777" w:rsidR="0075235E" w:rsidRPr="00FD4567" w:rsidRDefault="0075235E" w:rsidP="0075235E"/>
          <w:p w14:paraId="3BB2F045" w14:textId="77777777" w:rsidR="0075235E" w:rsidRPr="00FD4567" w:rsidRDefault="0075235E" w:rsidP="0075235E">
            <w:r w:rsidRPr="00FD4567">
              <w:t>In the September quarter 2023, larger differences were observed for spend between the age groups compared to September quarter 2022. Younger age groups saw declines in spend</w:t>
            </w:r>
            <w:r>
              <w:t>, which was</w:t>
            </w:r>
            <w:r w:rsidRPr="00FD4567">
              <w:t xml:space="preserve"> down:</w:t>
            </w:r>
            <w:r w:rsidRPr="00FD4567">
              <w:br/>
            </w:r>
          </w:p>
          <w:p w14:paraId="5AB84D20" w14:textId="77777777" w:rsidR="0075235E" w:rsidRPr="00FD4567" w:rsidRDefault="0075235E" w:rsidP="0075235E">
            <w:pPr>
              <w:pStyle w:val="ListParagraph"/>
              <w:numPr>
                <w:ilvl w:val="0"/>
                <w:numId w:val="4"/>
              </w:numPr>
              <w:rPr>
                <w:rFonts w:asciiTheme="majorHAnsi" w:hAnsiTheme="majorHAnsi"/>
              </w:rPr>
            </w:pPr>
            <w:r w:rsidRPr="00FD4567">
              <w:rPr>
                <w:rFonts w:asciiTheme="majorHAnsi" w:hAnsiTheme="majorHAnsi"/>
              </w:rPr>
              <w:t>17% for those aged 15-24 years</w:t>
            </w:r>
          </w:p>
          <w:p w14:paraId="6B739818" w14:textId="77777777" w:rsidR="0075235E" w:rsidRPr="00FD4567" w:rsidRDefault="0075235E" w:rsidP="0075235E">
            <w:pPr>
              <w:pStyle w:val="ListParagraph"/>
              <w:numPr>
                <w:ilvl w:val="0"/>
                <w:numId w:val="4"/>
              </w:numPr>
              <w:rPr>
                <w:rFonts w:asciiTheme="majorHAnsi" w:hAnsiTheme="majorHAnsi"/>
              </w:rPr>
            </w:pPr>
            <w:r w:rsidRPr="00FD4567">
              <w:rPr>
                <w:rFonts w:asciiTheme="majorHAnsi" w:hAnsiTheme="majorHAnsi"/>
              </w:rPr>
              <w:t xml:space="preserve">5% for those aged 25-34 years </w:t>
            </w:r>
          </w:p>
          <w:p w14:paraId="4C9EB7E5" w14:textId="77777777" w:rsidR="0075235E" w:rsidRPr="00FD4567" w:rsidRDefault="0075235E" w:rsidP="0075235E">
            <w:pPr>
              <w:pStyle w:val="ListParagraph"/>
              <w:numPr>
                <w:ilvl w:val="0"/>
                <w:numId w:val="4"/>
              </w:numPr>
              <w:rPr>
                <w:rFonts w:asciiTheme="majorHAnsi" w:hAnsiTheme="majorHAnsi"/>
              </w:rPr>
            </w:pPr>
            <w:r w:rsidRPr="00FD4567">
              <w:rPr>
                <w:rFonts w:asciiTheme="majorHAnsi" w:hAnsiTheme="majorHAnsi"/>
              </w:rPr>
              <w:t>13% for those aged 35-44 years</w:t>
            </w:r>
          </w:p>
          <w:p w14:paraId="0001AAAE" w14:textId="77777777" w:rsidR="0075235E" w:rsidRPr="00FD4567" w:rsidRDefault="0075235E" w:rsidP="0075235E"/>
          <w:p w14:paraId="5AFD8A8F" w14:textId="77777777" w:rsidR="0075235E" w:rsidRPr="00FD4567" w:rsidRDefault="0075235E" w:rsidP="0075235E">
            <w:r w:rsidRPr="00FD4567">
              <w:t xml:space="preserve">In comparison, older age groups spent more in </w:t>
            </w:r>
            <w:r>
              <w:t xml:space="preserve">the </w:t>
            </w:r>
            <w:r w:rsidRPr="00FD4567">
              <w:t>September quarter 2023. Spend was up:</w:t>
            </w:r>
          </w:p>
          <w:p w14:paraId="4BB97661" w14:textId="77777777" w:rsidR="0075235E" w:rsidRPr="00FD4567" w:rsidRDefault="0075235E" w:rsidP="0075235E"/>
          <w:p w14:paraId="24FF3431" w14:textId="77777777" w:rsidR="0075235E" w:rsidRPr="00FD4567" w:rsidRDefault="0075235E" w:rsidP="0075235E">
            <w:pPr>
              <w:pStyle w:val="ListParagraph"/>
              <w:numPr>
                <w:ilvl w:val="0"/>
                <w:numId w:val="4"/>
              </w:numPr>
              <w:rPr>
                <w:rFonts w:asciiTheme="majorHAnsi" w:hAnsiTheme="majorHAnsi"/>
              </w:rPr>
            </w:pPr>
            <w:r w:rsidRPr="00FD4567">
              <w:rPr>
                <w:rFonts w:asciiTheme="majorHAnsi" w:hAnsiTheme="majorHAnsi"/>
              </w:rPr>
              <w:t>8% for those aged 45-54 years</w:t>
            </w:r>
          </w:p>
          <w:p w14:paraId="6D82042E" w14:textId="77777777" w:rsidR="0075235E" w:rsidRPr="00FD4567" w:rsidRDefault="0075235E" w:rsidP="0075235E">
            <w:pPr>
              <w:pStyle w:val="ListParagraph"/>
              <w:numPr>
                <w:ilvl w:val="0"/>
                <w:numId w:val="4"/>
              </w:numPr>
              <w:rPr>
                <w:rFonts w:asciiTheme="majorHAnsi" w:hAnsiTheme="majorHAnsi"/>
              </w:rPr>
            </w:pPr>
            <w:r w:rsidRPr="00FD4567">
              <w:rPr>
                <w:rFonts w:asciiTheme="majorHAnsi" w:hAnsiTheme="majorHAnsi"/>
              </w:rPr>
              <w:t>24% for those aged 55-64 years</w:t>
            </w:r>
          </w:p>
          <w:p w14:paraId="043CBB3C" w14:textId="4AD5C14B" w:rsidR="001B6EB8" w:rsidRPr="0075235E" w:rsidRDefault="0075235E" w:rsidP="0075235E">
            <w:pPr>
              <w:pStyle w:val="ListParagraph"/>
              <w:numPr>
                <w:ilvl w:val="0"/>
                <w:numId w:val="4"/>
              </w:numPr>
              <w:rPr>
                <w:rFonts w:asciiTheme="majorHAnsi" w:hAnsiTheme="majorHAnsi"/>
              </w:rPr>
            </w:pPr>
            <w:r w:rsidRPr="00FD4567">
              <w:rPr>
                <w:rFonts w:asciiTheme="majorHAnsi" w:hAnsiTheme="majorHAnsi"/>
              </w:rPr>
              <w:t>7% for those aged 65+ years</w:t>
            </w:r>
          </w:p>
          <w:p w14:paraId="28E7A43F" w14:textId="77777777" w:rsidR="001B6EB8" w:rsidRDefault="001B6EB8" w:rsidP="0075235E"/>
          <w:p w14:paraId="5994C83F" w14:textId="77777777" w:rsidR="001B6EB8" w:rsidRPr="00A8280C" w:rsidRDefault="001B6EB8" w:rsidP="0075235E"/>
        </w:tc>
      </w:tr>
      <w:tr w:rsidR="001B6EB8" w14:paraId="083E97DB" w14:textId="77777777" w:rsidTr="0075235E">
        <w:trPr>
          <w:trHeight w:val="80"/>
        </w:trPr>
        <w:tc>
          <w:tcPr>
            <w:tcW w:w="5723" w:type="dxa"/>
          </w:tcPr>
          <w:p w14:paraId="2868A7B7" w14:textId="77777777" w:rsidR="001B6EB8" w:rsidRPr="00933D28" w:rsidRDefault="001B6EB8" w:rsidP="0075235E">
            <w:pPr>
              <w:rPr>
                <w:b/>
                <w:bCs/>
              </w:rPr>
            </w:pPr>
          </w:p>
        </w:tc>
        <w:tc>
          <w:tcPr>
            <w:tcW w:w="5067" w:type="dxa"/>
          </w:tcPr>
          <w:p w14:paraId="51F6E867" w14:textId="77777777" w:rsidR="001B6EB8" w:rsidRPr="00933D28" w:rsidRDefault="001B6EB8" w:rsidP="0075235E">
            <w:pPr>
              <w:rPr>
                <w:b/>
                <w:bCs/>
              </w:rPr>
            </w:pPr>
          </w:p>
        </w:tc>
      </w:tr>
    </w:tbl>
    <w:p w14:paraId="5327F7CF" w14:textId="77777777" w:rsidR="00974FE8" w:rsidRDefault="00974FE8" w:rsidP="00024E9B">
      <w:pPr>
        <w:rPr>
          <w:b/>
          <w:bCs/>
        </w:rPr>
        <w:sectPr w:rsidR="00974FE8" w:rsidSect="007D69C5">
          <w:headerReference w:type="default" r:id="rId24"/>
          <w:footerReference w:type="default" r:id="rId25"/>
          <w:footerReference w:type="first" r:id="rId26"/>
          <w:footnotePr>
            <w:numStart w:val="2"/>
          </w:footnotePr>
          <w:pgSz w:w="11906" w:h="16838" w:code="9"/>
          <w:pgMar w:top="720" w:right="720" w:bottom="720" w:left="720" w:header="454" w:footer="851" w:gutter="0"/>
          <w:cols w:space="720"/>
          <w:titlePg/>
          <w:docGrid w:linePitch="360"/>
        </w:sectPr>
      </w:pPr>
    </w:p>
    <w:p w14:paraId="17CC8034" w14:textId="346FA87A" w:rsidR="00591B22" w:rsidRPr="00D204C3" w:rsidRDefault="008F60EF" w:rsidP="00024E9B">
      <w:pPr>
        <w:pStyle w:val="Heading2"/>
        <w:spacing w:before="0" w:after="120"/>
      </w:pPr>
      <w:r>
        <w:lastRenderedPageBreak/>
        <w:t>S</w:t>
      </w:r>
      <w:r w:rsidR="00591B22" w:rsidRPr="00D204C3">
        <w:t>tates and territories</w:t>
      </w:r>
    </w:p>
    <w:p w14:paraId="3194AD9B" w14:textId="7716EA35" w:rsidR="00FF05C4" w:rsidRPr="00FD4567" w:rsidRDefault="005D1384" w:rsidP="00FF05C4">
      <w:r w:rsidRPr="006C0BD8">
        <w:t>Results for o</w:t>
      </w:r>
      <w:r w:rsidR="00FF05C4" w:rsidRPr="006C0BD8">
        <w:t xml:space="preserve">vernight </w:t>
      </w:r>
      <w:r w:rsidR="00A318F6" w:rsidRPr="006C0BD8">
        <w:t>trips and spend</w:t>
      </w:r>
      <w:r w:rsidR="00FF05C4" w:rsidRPr="006C0BD8">
        <w:t xml:space="preserve"> in the </w:t>
      </w:r>
      <w:r w:rsidR="006C0BD8" w:rsidRPr="006C0BD8">
        <w:t>September</w:t>
      </w:r>
      <w:r w:rsidR="00FF05C4" w:rsidRPr="006C0BD8">
        <w:t xml:space="preserve"> </w:t>
      </w:r>
      <w:r w:rsidRPr="006C0BD8">
        <w:t xml:space="preserve">quarter were mixed when compared to </w:t>
      </w:r>
      <w:r w:rsidRPr="00FD4567">
        <w:t xml:space="preserve">the </w:t>
      </w:r>
      <w:r w:rsidR="006C0BD8" w:rsidRPr="00FD4567">
        <w:t>September</w:t>
      </w:r>
      <w:r w:rsidRPr="00FD4567">
        <w:t xml:space="preserve"> quarter 2022</w:t>
      </w:r>
      <w:r w:rsidR="00FF05C4" w:rsidRPr="00FD4567">
        <w:t xml:space="preserve"> (Figure </w:t>
      </w:r>
      <w:r w:rsidR="002F4E0D" w:rsidRPr="00FD4567">
        <w:t>4</w:t>
      </w:r>
      <w:r w:rsidR="00FF05C4" w:rsidRPr="00FD4567">
        <w:t>).</w:t>
      </w:r>
      <w:r w:rsidR="00A318F6" w:rsidRPr="00FD4567">
        <w:t xml:space="preserve"> </w:t>
      </w:r>
    </w:p>
    <w:p w14:paraId="30135CE9" w14:textId="5D9898E9" w:rsidR="00024E9B" w:rsidRPr="00FD4567" w:rsidRDefault="006C0BD8" w:rsidP="00FF05C4">
      <w:r w:rsidRPr="00FD4567">
        <w:t xml:space="preserve">Victoria, South Australia, </w:t>
      </w:r>
      <w:proofErr w:type="gramStart"/>
      <w:r w:rsidRPr="00FD4567">
        <w:t>Tasmania</w:t>
      </w:r>
      <w:proofErr w:type="gramEnd"/>
      <w:r w:rsidRPr="00FD4567">
        <w:t xml:space="preserve"> and the Australian Capital Territory</w:t>
      </w:r>
      <w:r w:rsidR="005D1384" w:rsidRPr="00FD4567">
        <w:t xml:space="preserve"> recorded increases in both overnight trips and spend</w:t>
      </w:r>
      <w:r w:rsidR="00024E9B" w:rsidRPr="00FD4567">
        <w:t xml:space="preserve">, while </w:t>
      </w:r>
      <w:r w:rsidRPr="00FD4567">
        <w:t>the</w:t>
      </w:r>
      <w:r w:rsidR="00024E9B" w:rsidRPr="00FD4567">
        <w:t xml:space="preserve"> Northern Territory saw decreases. Results for </w:t>
      </w:r>
      <w:r w:rsidRPr="00FD4567">
        <w:t xml:space="preserve">New South Wales, Queensland and Western Australia </w:t>
      </w:r>
      <w:r w:rsidR="00024E9B" w:rsidRPr="00FD4567">
        <w:t>were mixed</w:t>
      </w:r>
      <w:r w:rsidRPr="00FD4567">
        <w:t>.</w:t>
      </w:r>
      <w:r w:rsidR="00786121" w:rsidRPr="00FD4567">
        <w:t xml:space="preserve"> </w:t>
      </w:r>
      <w:r w:rsidRPr="00FD4567">
        <w:t>S</w:t>
      </w:r>
      <w:r w:rsidR="00786121" w:rsidRPr="00FD4567">
        <w:t xml:space="preserve">pend </w:t>
      </w:r>
      <w:r w:rsidRPr="00FD4567">
        <w:t xml:space="preserve">was </w:t>
      </w:r>
      <w:r w:rsidR="00786121" w:rsidRPr="00FD4567">
        <w:t>up while the number of trips fell</w:t>
      </w:r>
      <w:r w:rsidRPr="00FD4567">
        <w:t xml:space="preserve"> in Queensland and Western Australia but spend was down and trips on par in New South Wales</w:t>
      </w:r>
      <w:r w:rsidR="00974159" w:rsidRPr="00FD4567">
        <w:t xml:space="preserve"> when compared to the September quarter 2022</w:t>
      </w:r>
      <w:r w:rsidR="00024E9B" w:rsidRPr="00FD4567">
        <w:t>.</w:t>
      </w:r>
    </w:p>
    <w:p w14:paraId="1BFE7E97" w14:textId="39ACBC6F" w:rsidR="005D1384" w:rsidRPr="00FD4567" w:rsidRDefault="00974159" w:rsidP="00FF05C4">
      <w:r w:rsidRPr="00FD4567">
        <w:t>Victoria saw the</w:t>
      </w:r>
      <w:r w:rsidR="005D1384" w:rsidRPr="00FD4567">
        <w:t xml:space="preserve"> largest increase in trips</w:t>
      </w:r>
      <w:r w:rsidR="00A94125" w:rsidRPr="00FD4567">
        <w:t xml:space="preserve"> (up 149,000 or 2%)</w:t>
      </w:r>
      <w:r w:rsidRPr="00FD4567">
        <w:t xml:space="preserve"> </w:t>
      </w:r>
      <w:r w:rsidR="005D1384" w:rsidRPr="00FD4567">
        <w:t xml:space="preserve">followed by </w:t>
      </w:r>
      <w:r w:rsidR="00841AD8" w:rsidRPr="00FD4567">
        <w:t>Tasmania</w:t>
      </w:r>
      <w:r w:rsidR="00024E9B" w:rsidRPr="00FD4567">
        <w:t xml:space="preserve"> (up 1</w:t>
      </w:r>
      <w:r w:rsidR="00841AD8" w:rsidRPr="00FD4567">
        <w:t>42</w:t>
      </w:r>
      <w:r w:rsidR="00024E9B" w:rsidRPr="00FD4567">
        <w:t xml:space="preserve">,000 or </w:t>
      </w:r>
      <w:r w:rsidR="00841AD8" w:rsidRPr="00FD4567">
        <w:t>28</w:t>
      </w:r>
      <w:r w:rsidR="00024E9B" w:rsidRPr="00FD4567">
        <w:t xml:space="preserve">%). The largest decrease was in </w:t>
      </w:r>
      <w:r w:rsidR="00841AD8" w:rsidRPr="00FD4567">
        <w:t>the Northern Territory</w:t>
      </w:r>
      <w:r w:rsidR="00024E9B" w:rsidRPr="00FD4567">
        <w:t xml:space="preserve"> (down </w:t>
      </w:r>
      <w:r w:rsidR="00841AD8" w:rsidRPr="00FD4567">
        <w:t>106</w:t>
      </w:r>
      <w:r w:rsidR="00024E9B" w:rsidRPr="00FD4567">
        <w:t>,000 or 1</w:t>
      </w:r>
      <w:r w:rsidR="00841AD8" w:rsidRPr="00FD4567">
        <w:t>8</w:t>
      </w:r>
      <w:r w:rsidR="00024E9B" w:rsidRPr="00FD4567">
        <w:t>%)</w:t>
      </w:r>
    </w:p>
    <w:p w14:paraId="58DEED71" w14:textId="7EA6483B" w:rsidR="005D1384" w:rsidRPr="00FD4567" w:rsidRDefault="00974159" w:rsidP="00FF05C4">
      <w:r w:rsidRPr="00FD4567">
        <w:t>Queensland saw t</w:t>
      </w:r>
      <w:r w:rsidR="00024E9B" w:rsidRPr="00FD4567">
        <w:t xml:space="preserve">he largest increase in spend </w:t>
      </w:r>
      <w:r w:rsidR="006272AA" w:rsidRPr="00FD4567">
        <w:t>(up $238</w:t>
      </w:r>
      <w:r w:rsidR="0075235E">
        <w:t xml:space="preserve"> million</w:t>
      </w:r>
      <w:r w:rsidR="006272AA" w:rsidRPr="00FD4567">
        <w:t xml:space="preserve"> or 3%) </w:t>
      </w:r>
      <w:r w:rsidR="00024E9B" w:rsidRPr="00FD4567">
        <w:t xml:space="preserve">followed by Western Australia (up </w:t>
      </w:r>
      <w:r w:rsidR="00841AD8" w:rsidRPr="00FD4567">
        <w:t>$182</w:t>
      </w:r>
      <w:r w:rsidR="0075235E">
        <w:t xml:space="preserve"> million</w:t>
      </w:r>
      <w:r w:rsidR="00024E9B" w:rsidRPr="00FD4567">
        <w:t xml:space="preserve"> or </w:t>
      </w:r>
      <w:r w:rsidR="00841AD8" w:rsidRPr="00FD4567">
        <w:t>6</w:t>
      </w:r>
      <w:r w:rsidR="00024E9B" w:rsidRPr="00FD4567">
        <w:t xml:space="preserve">%). The largest decreases </w:t>
      </w:r>
      <w:r w:rsidR="00126B19" w:rsidRPr="00FD4567">
        <w:t>were</w:t>
      </w:r>
      <w:r w:rsidR="00024E9B" w:rsidRPr="00FD4567">
        <w:t xml:space="preserve"> </w:t>
      </w:r>
      <w:r w:rsidR="00786121" w:rsidRPr="00FD4567">
        <w:t xml:space="preserve">in </w:t>
      </w:r>
      <w:r w:rsidR="00841AD8" w:rsidRPr="00FD4567">
        <w:t>New South Wales</w:t>
      </w:r>
      <w:r w:rsidR="00024E9B" w:rsidRPr="00FD4567">
        <w:t xml:space="preserve"> (down </w:t>
      </w:r>
      <w:r w:rsidR="00841AD8" w:rsidRPr="00FD4567">
        <w:t>$301</w:t>
      </w:r>
      <w:r w:rsidR="0075235E">
        <w:t xml:space="preserve"> million</w:t>
      </w:r>
      <w:r w:rsidR="00024E9B" w:rsidRPr="00FD4567">
        <w:t xml:space="preserve"> or </w:t>
      </w:r>
      <w:r w:rsidR="00FD4567" w:rsidRPr="00FD4567">
        <w:t>4%</w:t>
      </w:r>
      <w:r w:rsidR="00024E9B" w:rsidRPr="00FD4567">
        <w:t xml:space="preserve">) and </w:t>
      </w:r>
      <w:r w:rsidR="00841AD8" w:rsidRPr="00FD4567">
        <w:t>the Northern Territory</w:t>
      </w:r>
      <w:r w:rsidR="00024E9B" w:rsidRPr="00FD4567">
        <w:t xml:space="preserve"> (down </w:t>
      </w:r>
      <w:r w:rsidR="00841AD8" w:rsidRPr="00FD4567">
        <w:t>$115</w:t>
      </w:r>
      <w:r w:rsidR="0075235E">
        <w:t xml:space="preserve"> million</w:t>
      </w:r>
      <w:r w:rsidR="00024E9B" w:rsidRPr="00FD4567">
        <w:t xml:space="preserve"> or </w:t>
      </w:r>
      <w:r w:rsidR="00841AD8" w:rsidRPr="00FD4567">
        <w:t>10</w:t>
      </w:r>
      <w:r w:rsidR="00024E9B" w:rsidRPr="00FD4567">
        <w:t>%).</w:t>
      </w:r>
    </w:p>
    <w:p w14:paraId="385D21AC" w14:textId="67D66DDA" w:rsidR="00472341" w:rsidRDefault="00591B22" w:rsidP="00024E9B">
      <w:pPr>
        <w:rPr>
          <w:noProof/>
        </w:rPr>
      </w:pPr>
      <w:r w:rsidRPr="00FD4567">
        <w:rPr>
          <w:b/>
          <w:bCs/>
        </w:rPr>
        <w:t xml:space="preserve">Figure </w:t>
      </w:r>
      <w:r w:rsidR="002F4E0D" w:rsidRPr="00FD4567">
        <w:rPr>
          <w:b/>
          <w:bCs/>
        </w:rPr>
        <w:t>4</w:t>
      </w:r>
      <w:r w:rsidRPr="00FD4567">
        <w:rPr>
          <w:b/>
          <w:bCs/>
        </w:rPr>
        <w:t xml:space="preserve">. Overnight trips and spend by </w:t>
      </w:r>
      <w:r w:rsidR="00B62147" w:rsidRPr="00FD4567">
        <w:rPr>
          <w:b/>
          <w:bCs/>
        </w:rPr>
        <w:t>s</w:t>
      </w:r>
      <w:r w:rsidRPr="00FD4567">
        <w:rPr>
          <w:b/>
          <w:bCs/>
        </w:rPr>
        <w:t>tate</w:t>
      </w:r>
      <w:r w:rsidR="00B62147" w:rsidRPr="00FD4567">
        <w:rPr>
          <w:b/>
          <w:bCs/>
        </w:rPr>
        <w:t xml:space="preserve"> and territory</w:t>
      </w:r>
      <w:r w:rsidRPr="00FD4567">
        <w:rPr>
          <w:b/>
          <w:bCs/>
        </w:rPr>
        <w:t>,</w:t>
      </w:r>
      <w:r w:rsidR="004D7FA1" w:rsidRPr="00FD4567">
        <w:rPr>
          <w:b/>
          <w:bCs/>
        </w:rPr>
        <w:t xml:space="preserve"> </w:t>
      </w:r>
      <w:r w:rsidR="00C64025" w:rsidRPr="00FD4567">
        <w:rPr>
          <w:b/>
          <w:bCs/>
        </w:rPr>
        <w:t>September</w:t>
      </w:r>
      <w:r w:rsidR="0013397D" w:rsidRPr="00FD4567">
        <w:rPr>
          <w:b/>
          <w:bCs/>
        </w:rPr>
        <w:t xml:space="preserve"> </w:t>
      </w:r>
      <w:r w:rsidR="004D7FA1" w:rsidRPr="00FD4567">
        <w:rPr>
          <w:b/>
          <w:bCs/>
        </w:rPr>
        <w:t xml:space="preserve">quarter </w:t>
      </w:r>
      <w:r w:rsidR="00830B68" w:rsidRPr="00FD4567">
        <w:rPr>
          <w:b/>
          <w:bCs/>
        </w:rPr>
        <w:t>202</w:t>
      </w:r>
      <w:r w:rsidR="00744CB7" w:rsidRPr="00FD4567">
        <w:rPr>
          <w:b/>
          <w:bCs/>
        </w:rPr>
        <w:t>3</w:t>
      </w:r>
      <w:r w:rsidR="00830B68" w:rsidRPr="00FD4567">
        <w:rPr>
          <w:b/>
          <w:bCs/>
        </w:rPr>
        <w:t xml:space="preserve"> compared to </w:t>
      </w:r>
      <w:r w:rsidR="00C64025" w:rsidRPr="00FD4567">
        <w:rPr>
          <w:b/>
          <w:bCs/>
        </w:rPr>
        <w:t>September</w:t>
      </w:r>
      <w:r w:rsidR="004D7FA1" w:rsidRPr="00FD4567">
        <w:rPr>
          <w:b/>
          <w:bCs/>
        </w:rPr>
        <w:t xml:space="preserve"> quarter</w:t>
      </w:r>
      <w:r w:rsidR="00744CB7" w:rsidRPr="00FD4567">
        <w:rPr>
          <w:b/>
          <w:bCs/>
        </w:rPr>
        <w:t xml:space="preserve"> </w:t>
      </w:r>
      <w:proofErr w:type="gramStart"/>
      <w:r w:rsidR="00830B68" w:rsidRPr="00FD4567">
        <w:rPr>
          <w:b/>
          <w:bCs/>
        </w:rPr>
        <w:t>20</w:t>
      </w:r>
      <w:r w:rsidR="00510418" w:rsidRPr="00FD4567">
        <w:rPr>
          <w:b/>
          <w:bCs/>
        </w:rPr>
        <w:t>2</w:t>
      </w:r>
      <w:r w:rsidR="007F0E66" w:rsidRPr="00FD4567">
        <w:rPr>
          <w:b/>
          <w:bCs/>
        </w:rPr>
        <w:t>2</w:t>
      </w:r>
      <w:proofErr w:type="gramEnd"/>
    </w:p>
    <w:p w14:paraId="6777566D" w14:textId="5C8ACEB5" w:rsidR="00FD4567" w:rsidRDefault="006C32BA" w:rsidP="00024E9B">
      <w:pPr>
        <w:rPr>
          <w:b/>
          <w:bCs/>
        </w:rPr>
      </w:pPr>
      <w:r>
        <w:rPr>
          <w:noProof/>
        </w:rPr>
        <w:drawing>
          <wp:inline distT="0" distB="0" distL="0" distR="0" wp14:anchorId="5428D968" wp14:editId="741EAEF6">
            <wp:extent cx="6120130" cy="3274060"/>
            <wp:effectExtent l="0" t="0" r="0" b="2540"/>
            <wp:docPr id="8169191" name="Picture 1" descr="An image of Australia that illustrates the number of trips and spend in each state or territory for the September quarter 2023. The per cent change on the September quarter 2022 is also shown.&#10;&#10;• New South Wales – 8.8 million trips and $7.3 billion spend, on par and down 4% respectively&#10;• Victoria – 6.5 million trips and $5.6 billion spend, up 2% and up 1% respectively&#10;• Queensland – 6.9 million trips and $8.5 billion spend, down 1% and up 3% respectively&#10;• South Australia – 1.8 million trips and $1.7 billion spend, up 1% and up 7% respectively&#10;• Western Australia – 2.8 million trips and $3.0 billion spend, down 2% and up 6% respectively&#10;• Tasmania – 0.7 million trips and $0.7 billion spend, up 28% and up 34% respectively&#10;• Northern Territory – 0.5 million trips and $1.0 billion spend, down 18% and down 10% respectively&#10;• ACT – 0.9 million trips and $0.7 billion spend, up 8% and up 8% respective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191" name="Picture 1" descr="An image of Australia that illustrates the number of trips and spend in each state or territory for the September quarter 2023. The per cent change on the September quarter 2022 is also shown.&#10;&#10;• New South Wales – 8.8 million trips and $7.3 billion spend, on par and down 4% respectively&#10;• Victoria – 6.5 million trips and $5.6 billion spend, up 2% and up 1% respectively&#10;• Queensland – 6.9 million trips and $8.5 billion spend, down 1% and up 3% respectively&#10;• South Australia – 1.8 million trips and $1.7 billion spend, up 1% and up 7% respectively&#10;• Western Australia – 2.8 million trips and $3.0 billion spend, down 2% and up 6% respectively&#10;• Tasmania – 0.7 million trips and $0.7 billion spend, up 28% and up 34% respectively&#10;• Northern Territory – 0.5 million trips and $1.0 billion spend, down 18% and down 10% respectively&#10;• ACT – 0.9 million trips and $0.7 billion spend, up 8% and up 8% respectively.&#10;"/>
                    <pic:cNvPicPr/>
                  </pic:nvPicPr>
                  <pic:blipFill>
                    <a:blip r:embed="rId27"/>
                    <a:stretch>
                      <a:fillRect/>
                    </a:stretch>
                  </pic:blipFill>
                  <pic:spPr>
                    <a:xfrm>
                      <a:off x="0" y="0"/>
                      <a:ext cx="6120130" cy="3274060"/>
                    </a:xfrm>
                    <a:prstGeom prst="rect">
                      <a:avLst/>
                    </a:prstGeom>
                  </pic:spPr>
                </pic:pic>
              </a:graphicData>
            </a:graphic>
          </wp:inline>
        </w:drawing>
      </w:r>
    </w:p>
    <w:p w14:paraId="16F38144" w14:textId="19FA7D59" w:rsidR="00C77A5D" w:rsidRDefault="00C77A5D" w:rsidP="00472341">
      <w:pPr>
        <w:rPr>
          <w:b/>
          <w:bCs/>
        </w:rPr>
      </w:pPr>
      <w:r>
        <w:rPr>
          <w:b/>
          <w:bCs/>
          <w:color w:val="1E988A" w:themeColor="background2"/>
          <w:sz w:val="26"/>
          <w:szCs w:val="26"/>
        </w:rPr>
        <w:t xml:space="preserve">Year ending </w:t>
      </w:r>
      <w:r w:rsidR="00C64025">
        <w:rPr>
          <w:b/>
          <w:bCs/>
          <w:color w:val="1E988A" w:themeColor="background2"/>
          <w:sz w:val="26"/>
          <w:szCs w:val="26"/>
        </w:rPr>
        <w:t>September</w:t>
      </w:r>
      <w:r>
        <w:rPr>
          <w:b/>
          <w:bCs/>
          <w:color w:val="1E988A" w:themeColor="background2"/>
          <w:sz w:val="26"/>
          <w:szCs w:val="26"/>
        </w:rPr>
        <w:t xml:space="preserve"> 2023</w:t>
      </w:r>
    </w:p>
    <w:p w14:paraId="16B2DC15" w14:textId="730042E4" w:rsidR="00C77A5D" w:rsidRPr="00FD4567" w:rsidRDefault="00C77A5D" w:rsidP="00C77A5D">
      <w:r w:rsidRPr="00472341">
        <w:t xml:space="preserve">In the </w:t>
      </w:r>
      <w:r w:rsidRPr="00FD4567">
        <w:t xml:space="preserve">year ending </w:t>
      </w:r>
      <w:r w:rsidR="00472341" w:rsidRPr="00FD4567">
        <w:t>September</w:t>
      </w:r>
      <w:r w:rsidRPr="00FD4567">
        <w:t xml:space="preserve"> 2023, Australians took 111.</w:t>
      </w:r>
      <w:r w:rsidR="00472341" w:rsidRPr="00FD4567">
        <w:t>6</w:t>
      </w:r>
      <w:r w:rsidRPr="00FD4567">
        <w:t xml:space="preserve"> million trips</w:t>
      </w:r>
      <w:r w:rsidR="00786121" w:rsidRPr="00FD4567">
        <w:t xml:space="preserve"> for</w:t>
      </w:r>
      <w:r w:rsidRPr="00FD4567">
        <w:t xml:space="preserve"> 40</w:t>
      </w:r>
      <w:r w:rsidR="00472341" w:rsidRPr="00FD4567">
        <w:t>2.9</w:t>
      </w:r>
      <w:r w:rsidRPr="00FD4567">
        <w:t xml:space="preserve"> million nights away and </w:t>
      </w:r>
      <w:r w:rsidR="00786121" w:rsidRPr="00FD4567">
        <w:t xml:space="preserve">spent </w:t>
      </w:r>
      <w:r w:rsidRPr="00FD4567">
        <w:t>$108.</w:t>
      </w:r>
      <w:r w:rsidR="00472341" w:rsidRPr="00FD4567">
        <w:t>7</w:t>
      </w:r>
      <w:r w:rsidRPr="00FD4567">
        <w:t xml:space="preserve"> billion. Compared to the year ending </w:t>
      </w:r>
      <w:r w:rsidR="00472341" w:rsidRPr="00FD4567">
        <w:t>September</w:t>
      </w:r>
      <w:r w:rsidRPr="00FD4567">
        <w:t xml:space="preserve"> 2022 (COVID-19 impacted), this was:</w:t>
      </w:r>
    </w:p>
    <w:p w14:paraId="66B1C4F4" w14:textId="350FA21B" w:rsidR="00C77A5D" w:rsidRPr="00FD4567" w:rsidRDefault="00C77A5D" w:rsidP="00C77A5D">
      <w:pPr>
        <w:pStyle w:val="ListParagraph"/>
        <w:numPr>
          <w:ilvl w:val="0"/>
          <w:numId w:val="6"/>
        </w:numPr>
        <w:rPr>
          <w:rFonts w:asciiTheme="majorHAnsi" w:hAnsiTheme="majorHAnsi"/>
        </w:rPr>
      </w:pPr>
      <w:r w:rsidRPr="00FD4567">
        <w:rPr>
          <w:rFonts w:asciiTheme="majorHAnsi" w:hAnsiTheme="majorHAnsi"/>
        </w:rPr>
        <w:t xml:space="preserve">up </w:t>
      </w:r>
      <w:r w:rsidR="00472341" w:rsidRPr="00FD4567">
        <w:rPr>
          <w:rFonts w:asciiTheme="majorHAnsi" w:hAnsiTheme="majorHAnsi"/>
        </w:rPr>
        <w:t>10.0</w:t>
      </w:r>
      <w:r w:rsidRPr="00FD4567">
        <w:rPr>
          <w:rFonts w:asciiTheme="majorHAnsi" w:hAnsiTheme="majorHAnsi"/>
        </w:rPr>
        <w:t xml:space="preserve"> million or </w:t>
      </w:r>
      <w:r w:rsidR="00472341" w:rsidRPr="00FD4567">
        <w:rPr>
          <w:rFonts w:asciiTheme="majorHAnsi" w:hAnsiTheme="majorHAnsi"/>
        </w:rPr>
        <w:t>1</w:t>
      </w:r>
      <w:r w:rsidRPr="00FD4567">
        <w:rPr>
          <w:rFonts w:asciiTheme="majorHAnsi" w:hAnsiTheme="majorHAnsi"/>
        </w:rPr>
        <w:t xml:space="preserve">0% for overnight trips </w:t>
      </w:r>
    </w:p>
    <w:p w14:paraId="4CDDAEBD" w14:textId="7E3DD651" w:rsidR="00C77A5D" w:rsidRPr="00FD4567" w:rsidRDefault="00C77A5D" w:rsidP="00C77A5D">
      <w:pPr>
        <w:pStyle w:val="ListParagraph"/>
        <w:numPr>
          <w:ilvl w:val="0"/>
          <w:numId w:val="6"/>
        </w:numPr>
        <w:rPr>
          <w:rFonts w:asciiTheme="majorHAnsi" w:hAnsiTheme="majorHAnsi"/>
        </w:rPr>
      </w:pPr>
      <w:r w:rsidRPr="00FD4567">
        <w:rPr>
          <w:rFonts w:asciiTheme="majorHAnsi" w:hAnsiTheme="majorHAnsi"/>
        </w:rPr>
        <w:t xml:space="preserve">up </w:t>
      </w:r>
      <w:r w:rsidR="00472341" w:rsidRPr="00FD4567">
        <w:rPr>
          <w:rFonts w:asciiTheme="majorHAnsi" w:hAnsiTheme="majorHAnsi"/>
        </w:rPr>
        <w:t>26.3</w:t>
      </w:r>
      <w:r w:rsidRPr="00FD4567">
        <w:rPr>
          <w:rFonts w:asciiTheme="majorHAnsi" w:hAnsiTheme="majorHAnsi"/>
        </w:rPr>
        <w:t xml:space="preserve"> million or </w:t>
      </w:r>
      <w:r w:rsidR="00472341" w:rsidRPr="00FD4567">
        <w:rPr>
          <w:rFonts w:asciiTheme="majorHAnsi" w:hAnsiTheme="majorHAnsi"/>
        </w:rPr>
        <w:t>7</w:t>
      </w:r>
      <w:r w:rsidRPr="00FD4567">
        <w:rPr>
          <w:rFonts w:asciiTheme="majorHAnsi" w:hAnsiTheme="majorHAnsi"/>
        </w:rPr>
        <w:t>% for nights away</w:t>
      </w:r>
    </w:p>
    <w:p w14:paraId="6C4B8CB8" w14:textId="3A026E51" w:rsidR="00C77A5D" w:rsidRPr="00FD4567" w:rsidRDefault="00C77A5D" w:rsidP="00C77A5D">
      <w:pPr>
        <w:pStyle w:val="ListParagraph"/>
        <w:numPr>
          <w:ilvl w:val="0"/>
          <w:numId w:val="6"/>
        </w:numPr>
        <w:rPr>
          <w:rFonts w:asciiTheme="majorHAnsi" w:hAnsiTheme="majorHAnsi"/>
        </w:rPr>
      </w:pPr>
      <w:r w:rsidRPr="00FD4567">
        <w:rPr>
          <w:rFonts w:asciiTheme="majorHAnsi" w:hAnsiTheme="majorHAnsi"/>
        </w:rPr>
        <w:t>up $</w:t>
      </w:r>
      <w:r w:rsidR="00472341" w:rsidRPr="00FD4567">
        <w:rPr>
          <w:rFonts w:asciiTheme="majorHAnsi" w:hAnsiTheme="majorHAnsi"/>
        </w:rPr>
        <w:t>20.9</w:t>
      </w:r>
      <w:r w:rsidRPr="00FD4567">
        <w:rPr>
          <w:rFonts w:asciiTheme="majorHAnsi" w:hAnsiTheme="majorHAnsi"/>
        </w:rPr>
        <w:t xml:space="preserve"> billion or </w:t>
      </w:r>
      <w:r w:rsidR="00472341" w:rsidRPr="00FD4567">
        <w:rPr>
          <w:rFonts w:asciiTheme="majorHAnsi" w:hAnsiTheme="majorHAnsi"/>
        </w:rPr>
        <w:t>24</w:t>
      </w:r>
      <w:r w:rsidRPr="00FD4567">
        <w:rPr>
          <w:rFonts w:asciiTheme="majorHAnsi" w:hAnsiTheme="majorHAnsi"/>
        </w:rPr>
        <w:t>% for spend.</w:t>
      </w:r>
    </w:p>
    <w:p w14:paraId="2C0E815E" w14:textId="77777777" w:rsidR="002A1D54" w:rsidRPr="00FD4567" w:rsidRDefault="002A1D54" w:rsidP="002A1D54">
      <w:pPr>
        <w:pStyle w:val="ListParagraph"/>
        <w:rPr>
          <w:rFonts w:asciiTheme="majorHAnsi" w:hAnsiTheme="majorHAnsi"/>
        </w:rPr>
      </w:pPr>
    </w:p>
    <w:p w14:paraId="29626828" w14:textId="7006CABE" w:rsidR="00C77A5D" w:rsidRPr="00FD4567" w:rsidRDefault="00C77A5D" w:rsidP="00C77A5D">
      <w:pPr>
        <w:rPr>
          <w:rFonts w:asciiTheme="majorHAnsi" w:hAnsiTheme="majorHAnsi"/>
        </w:rPr>
      </w:pPr>
      <w:r w:rsidRPr="00FD4567">
        <w:rPr>
          <w:rFonts w:asciiTheme="majorHAnsi" w:hAnsiTheme="majorHAnsi"/>
        </w:rPr>
        <w:t xml:space="preserve">Compared to the year ending </w:t>
      </w:r>
      <w:r w:rsidR="00FA4991" w:rsidRPr="00FD4567">
        <w:rPr>
          <w:rFonts w:asciiTheme="majorHAnsi" w:hAnsiTheme="majorHAnsi"/>
        </w:rPr>
        <w:t>September</w:t>
      </w:r>
      <w:r w:rsidRPr="00FD4567">
        <w:rPr>
          <w:rFonts w:asciiTheme="majorHAnsi" w:hAnsiTheme="majorHAnsi"/>
        </w:rPr>
        <w:t xml:space="preserve"> 2019, this was:</w:t>
      </w:r>
    </w:p>
    <w:p w14:paraId="3F427D01" w14:textId="1D7EA301" w:rsidR="00C77A5D" w:rsidRPr="00FD4567" w:rsidRDefault="00C77A5D" w:rsidP="00C77A5D">
      <w:pPr>
        <w:pStyle w:val="ListParagraph"/>
        <w:numPr>
          <w:ilvl w:val="0"/>
          <w:numId w:val="7"/>
        </w:numPr>
        <w:rPr>
          <w:rFonts w:asciiTheme="majorHAnsi" w:hAnsiTheme="majorHAnsi"/>
        </w:rPr>
      </w:pPr>
      <w:r w:rsidRPr="00FD4567">
        <w:rPr>
          <w:rFonts w:asciiTheme="majorHAnsi" w:hAnsiTheme="majorHAnsi"/>
        </w:rPr>
        <w:t xml:space="preserve">down </w:t>
      </w:r>
      <w:r w:rsidR="00FA4991" w:rsidRPr="00FD4567">
        <w:rPr>
          <w:rFonts w:asciiTheme="majorHAnsi" w:hAnsiTheme="majorHAnsi"/>
        </w:rPr>
        <w:t>4.1</w:t>
      </w:r>
      <w:r w:rsidRPr="00FD4567">
        <w:rPr>
          <w:rFonts w:asciiTheme="majorHAnsi" w:hAnsiTheme="majorHAnsi"/>
        </w:rPr>
        <w:t xml:space="preserve"> million or </w:t>
      </w:r>
      <w:r w:rsidR="00FA4991" w:rsidRPr="00FD4567">
        <w:rPr>
          <w:rFonts w:asciiTheme="majorHAnsi" w:hAnsiTheme="majorHAnsi"/>
        </w:rPr>
        <w:t>4</w:t>
      </w:r>
      <w:r w:rsidRPr="00FD4567">
        <w:rPr>
          <w:rFonts w:asciiTheme="majorHAnsi" w:hAnsiTheme="majorHAnsi"/>
        </w:rPr>
        <w:t>% for overnight trips</w:t>
      </w:r>
    </w:p>
    <w:p w14:paraId="74C26B39" w14:textId="091E915D" w:rsidR="00C77A5D" w:rsidRPr="00FD4567" w:rsidRDefault="00FA4991" w:rsidP="00C77A5D">
      <w:pPr>
        <w:pStyle w:val="ListParagraph"/>
        <w:numPr>
          <w:ilvl w:val="0"/>
          <w:numId w:val="7"/>
        </w:numPr>
        <w:rPr>
          <w:rFonts w:asciiTheme="majorHAnsi" w:hAnsiTheme="majorHAnsi"/>
        </w:rPr>
      </w:pPr>
      <w:r w:rsidRPr="00FD4567">
        <w:rPr>
          <w:rFonts w:asciiTheme="majorHAnsi" w:hAnsiTheme="majorHAnsi"/>
        </w:rPr>
        <w:t>down</w:t>
      </w:r>
      <w:r w:rsidR="00C77A5D" w:rsidRPr="00FD4567">
        <w:rPr>
          <w:rFonts w:asciiTheme="majorHAnsi" w:hAnsiTheme="majorHAnsi"/>
        </w:rPr>
        <w:t xml:space="preserve"> </w:t>
      </w:r>
      <w:r w:rsidRPr="00FD4567">
        <w:rPr>
          <w:rFonts w:asciiTheme="majorHAnsi" w:hAnsiTheme="majorHAnsi"/>
        </w:rPr>
        <w:t>7.2</w:t>
      </w:r>
      <w:r w:rsidR="00C77A5D" w:rsidRPr="00FD4567">
        <w:rPr>
          <w:rFonts w:asciiTheme="majorHAnsi" w:hAnsiTheme="majorHAnsi"/>
        </w:rPr>
        <w:t xml:space="preserve"> million or </w:t>
      </w:r>
      <w:r w:rsidRPr="00FD4567">
        <w:rPr>
          <w:rFonts w:asciiTheme="majorHAnsi" w:hAnsiTheme="majorHAnsi"/>
        </w:rPr>
        <w:t>2</w:t>
      </w:r>
      <w:r w:rsidR="00C77A5D" w:rsidRPr="00FD4567">
        <w:rPr>
          <w:rFonts w:asciiTheme="majorHAnsi" w:hAnsiTheme="majorHAnsi"/>
        </w:rPr>
        <w:t>% for nights away</w:t>
      </w:r>
    </w:p>
    <w:p w14:paraId="4AA1FFED" w14:textId="24F4ECA5" w:rsidR="007F0E66" w:rsidRPr="00FA4991" w:rsidRDefault="00C77A5D" w:rsidP="002A1D54">
      <w:pPr>
        <w:pStyle w:val="ListParagraph"/>
        <w:numPr>
          <w:ilvl w:val="0"/>
          <w:numId w:val="7"/>
        </w:numPr>
        <w:rPr>
          <w:rFonts w:asciiTheme="majorHAnsi" w:hAnsiTheme="majorHAnsi"/>
        </w:rPr>
      </w:pPr>
      <w:r w:rsidRPr="00FD4567">
        <w:rPr>
          <w:rFonts w:asciiTheme="majorHAnsi" w:hAnsiTheme="majorHAnsi"/>
        </w:rPr>
        <w:t>up $</w:t>
      </w:r>
      <w:r w:rsidR="00FA4991" w:rsidRPr="00FD4567">
        <w:rPr>
          <w:rFonts w:asciiTheme="majorHAnsi" w:hAnsiTheme="majorHAnsi"/>
        </w:rPr>
        <w:t>29.6</w:t>
      </w:r>
      <w:r w:rsidRPr="00FD4567">
        <w:rPr>
          <w:rFonts w:asciiTheme="majorHAnsi" w:hAnsiTheme="majorHAnsi"/>
        </w:rPr>
        <w:t xml:space="preserve"> billion or </w:t>
      </w:r>
      <w:r w:rsidR="00FA4991" w:rsidRPr="00FD4567">
        <w:rPr>
          <w:rFonts w:asciiTheme="majorHAnsi" w:hAnsiTheme="majorHAnsi"/>
        </w:rPr>
        <w:t>37</w:t>
      </w:r>
      <w:r w:rsidRPr="00FD4567">
        <w:rPr>
          <w:rFonts w:asciiTheme="majorHAnsi" w:hAnsiTheme="majorHAnsi"/>
        </w:rPr>
        <w:t>% for</w:t>
      </w:r>
      <w:r w:rsidRPr="00FA4991">
        <w:rPr>
          <w:rFonts w:asciiTheme="majorHAnsi" w:hAnsiTheme="majorHAnsi"/>
        </w:rPr>
        <w:t xml:space="preserve"> spend.</w:t>
      </w:r>
    </w:p>
    <w:p w14:paraId="76899C61" w14:textId="77777777" w:rsidR="007F0E66" w:rsidRPr="009D3C84" w:rsidRDefault="007F0E66" w:rsidP="002A1D54">
      <w:pPr>
        <w:rPr>
          <w:i/>
          <w:iCs/>
        </w:rPr>
      </w:pPr>
    </w:p>
    <w:p w14:paraId="46B7CBB6" w14:textId="58712E8D" w:rsidR="00475122" w:rsidRPr="009D3C84" w:rsidRDefault="00D82214" w:rsidP="008617F3">
      <w:pPr>
        <w:pStyle w:val="Caption"/>
        <w:rPr>
          <w:sz w:val="12"/>
          <w:szCs w:val="12"/>
        </w:rPr>
      </w:pPr>
      <w:r w:rsidRPr="009D3C84">
        <w:rPr>
          <w:sz w:val="12"/>
          <w:szCs w:val="12"/>
        </w:rP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While care has been taken to ensure the information in this report is accurate, the Commonwealth does not accept any liability for any loss arising from reliance on the information, or from any error or omission, in the report.</w:t>
      </w:r>
    </w:p>
    <w:sectPr w:rsidR="00475122" w:rsidRPr="009D3C84" w:rsidSect="008617F3">
      <w:footnotePr>
        <w:numStart w:val="2"/>
      </w:footnotePr>
      <w:type w:val="continuous"/>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3192" w14:textId="77777777" w:rsidR="00FB0679" w:rsidRDefault="00FB0679" w:rsidP="00D52B20">
      <w:pPr>
        <w:spacing w:after="0" w:line="240" w:lineRule="auto"/>
      </w:pPr>
      <w:r>
        <w:separator/>
      </w:r>
    </w:p>
  </w:endnote>
  <w:endnote w:type="continuationSeparator" w:id="0">
    <w:p w14:paraId="33A5BEF1" w14:textId="77777777" w:rsidR="00FB0679" w:rsidRDefault="00FB0679"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U Sans BETA Text Light">
    <w:panose1 w:val="00000000000000000000"/>
    <w:charset w:val="00"/>
    <w:family w:val="modern"/>
    <w:notTrueType/>
    <w:pitch w:val="variable"/>
    <w:sig w:usb0="00000003" w:usb1="00000000" w:usb2="00000000" w:usb3="00000000" w:csb0="00000001" w:csb1="00000000"/>
  </w:font>
  <w:font w:name="AU Sans BETA Text Medium">
    <w:panose1 w:val="00000000000000000000"/>
    <w:charset w:val="00"/>
    <w:family w:val="moder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224D" w14:textId="5198CEF3" w:rsidR="006B3279" w:rsidRPr="006B3279" w:rsidRDefault="00BC216F" w:rsidP="006B3279">
    <w:pPr>
      <w:pStyle w:val="Footer"/>
    </w:pPr>
    <w:r>
      <w:t xml:space="preserve">NATIONAL VISITOR SURVEY RESULTS – </w:t>
    </w:r>
    <w:r w:rsidR="00C64025">
      <w:t>September</w:t>
    </w:r>
    <w:r w:rsidR="00C9295A">
      <w:t xml:space="preserve"> </w:t>
    </w:r>
    <w:r>
      <w:t>Quarter 202</w:t>
    </w:r>
    <w:r w:rsidR="00317BFF">
      <w:t>3</w:t>
    </w:r>
    <w:r>
      <w:t xml:space="preserve">,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43B9" w14:textId="09A0831B" w:rsidR="00B7523B" w:rsidRPr="00B7523B" w:rsidRDefault="00BC216F" w:rsidP="00B7523B">
    <w:pPr>
      <w:pStyle w:val="Footer"/>
    </w:pPr>
    <w:r>
      <w:t>NATIONAL VISITOR SURVEY RESULTS</w:t>
    </w:r>
    <w:r w:rsidR="00750D77">
      <w:t xml:space="preserve"> – </w:t>
    </w:r>
    <w:r w:rsidR="00C64025">
      <w:t>September</w:t>
    </w:r>
    <w:r w:rsidR="0026226E">
      <w:t xml:space="preserve"> </w:t>
    </w:r>
    <w:r>
      <w:t>Quarter 202</w:t>
    </w:r>
    <w:r w:rsidR="0026226E">
      <w:t>3</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4030" w14:textId="77777777" w:rsidR="00FB0679" w:rsidRDefault="00FB0679" w:rsidP="00D52B20">
      <w:pPr>
        <w:spacing w:after="0" w:line="240" w:lineRule="auto"/>
      </w:pPr>
    </w:p>
  </w:footnote>
  <w:footnote w:type="continuationSeparator" w:id="0">
    <w:p w14:paraId="3E76C3EE" w14:textId="77777777" w:rsidR="00FB0679" w:rsidRDefault="00FB0679"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C5CE" w14:textId="77777777" w:rsidR="006B3279" w:rsidRDefault="00F5033A">
    <w:pPr>
      <w:pStyle w:val="Header"/>
    </w:pPr>
    <w:r>
      <w:rPr>
        <w:noProof/>
        <w:lang w:eastAsia="en-AU"/>
      </w:rPr>
      <mc:AlternateContent>
        <mc:Choice Requires="wps">
          <w:drawing>
            <wp:anchor distT="0" distB="0" distL="114300" distR="114300" simplePos="0" relativeHeight="251659264" behindDoc="1" locked="1" layoutInCell="1" allowOverlap="1" wp14:anchorId="5C822561" wp14:editId="43D764C8">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FFEA490"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" fillcolor="#2e1a47 [3215]" stroked="f" strokeweight="2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CF21C7"/>
    <w:multiLevelType w:val="hybridMultilevel"/>
    <w:tmpl w:val="08A26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AE0496"/>
    <w:multiLevelType w:val="hybridMultilevel"/>
    <w:tmpl w:val="595A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A769E8"/>
    <w:multiLevelType w:val="hybridMultilevel"/>
    <w:tmpl w:val="86C22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1E5DC9"/>
    <w:multiLevelType w:val="hybridMultilevel"/>
    <w:tmpl w:val="707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D84D8A"/>
    <w:multiLevelType w:val="hybridMultilevel"/>
    <w:tmpl w:val="DCE2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002A1A"/>
    <w:multiLevelType w:val="hybridMultilevel"/>
    <w:tmpl w:val="B114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5F2A2434"/>
    <w:multiLevelType w:val="hybridMultilevel"/>
    <w:tmpl w:val="DC6241E0"/>
    <w:lvl w:ilvl="0" w:tplc="81728ACA">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AB57B8"/>
    <w:multiLevelType w:val="hybridMultilevel"/>
    <w:tmpl w:val="E7983E1C"/>
    <w:lvl w:ilvl="0" w:tplc="1DCA1D1A">
      <w:start w:val="1"/>
      <w:numFmt w:val="bullet"/>
      <w:lvlText w:val=""/>
      <w:lvlJc w:val="left"/>
      <w:pPr>
        <w:ind w:left="720" w:hanging="360"/>
      </w:pPr>
      <w:rPr>
        <w:rFonts w:ascii="Symbol" w:eastAsiaTheme="minorEastAsia" w:hAnsi="Symbol" w:cstheme="minorBidi" w:hint="default"/>
        <w:b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0E55EC"/>
    <w:multiLevelType w:val="hybridMultilevel"/>
    <w:tmpl w:val="3216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9D3117"/>
    <w:multiLevelType w:val="hybridMultilevel"/>
    <w:tmpl w:val="0130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3947521">
    <w:abstractNumId w:val="0"/>
  </w:num>
  <w:num w:numId="2" w16cid:durableId="1417286819">
    <w:abstractNumId w:val="7"/>
  </w:num>
  <w:num w:numId="3" w16cid:durableId="1999142564">
    <w:abstractNumId w:val="8"/>
  </w:num>
  <w:num w:numId="4" w16cid:durableId="1367485285">
    <w:abstractNumId w:val="1"/>
  </w:num>
  <w:num w:numId="5" w16cid:durableId="2001351968">
    <w:abstractNumId w:val="5"/>
  </w:num>
  <w:num w:numId="6" w16cid:durableId="1552571387">
    <w:abstractNumId w:val="11"/>
  </w:num>
  <w:num w:numId="7" w16cid:durableId="909195284">
    <w:abstractNumId w:val="3"/>
  </w:num>
  <w:num w:numId="8" w16cid:durableId="1125805596">
    <w:abstractNumId w:val="12"/>
  </w:num>
  <w:num w:numId="9" w16cid:durableId="816070247">
    <w:abstractNumId w:val="6"/>
  </w:num>
  <w:num w:numId="10" w16cid:durableId="1299341782">
    <w:abstractNumId w:val="4"/>
  </w:num>
  <w:num w:numId="11" w16cid:durableId="2065445768">
    <w:abstractNumId w:val="2"/>
  </w:num>
  <w:num w:numId="12" w16cid:durableId="1955280963">
    <w:abstractNumId w:val="10"/>
  </w:num>
  <w:num w:numId="13" w16cid:durableId="90533984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11B3"/>
    <w:rsid w:val="00001E06"/>
    <w:rsid w:val="00005326"/>
    <w:rsid w:val="00005880"/>
    <w:rsid w:val="00007835"/>
    <w:rsid w:val="00007E6F"/>
    <w:rsid w:val="00011528"/>
    <w:rsid w:val="00012A80"/>
    <w:rsid w:val="00015FCE"/>
    <w:rsid w:val="000170DA"/>
    <w:rsid w:val="00017AC1"/>
    <w:rsid w:val="000223BC"/>
    <w:rsid w:val="0002399C"/>
    <w:rsid w:val="00024E9B"/>
    <w:rsid w:val="000258DE"/>
    <w:rsid w:val="00027E60"/>
    <w:rsid w:val="00034766"/>
    <w:rsid w:val="00034EC8"/>
    <w:rsid w:val="00036AEB"/>
    <w:rsid w:val="00036C75"/>
    <w:rsid w:val="00037106"/>
    <w:rsid w:val="00037937"/>
    <w:rsid w:val="00043F81"/>
    <w:rsid w:val="00050B0A"/>
    <w:rsid w:val="00052CEA"/>
    <w:rsid w:val="0005495A"/>
    <w:rsid w:val="00054C78"/>
    <w:rsid w:val="00054CFC"/>
    <w:rsid w:val="00055488"/>
    <w:rsid w:val="00055731"/>
    <w:rsid w:val="00055757"/>
    <w:rsid w:val="00055EAC"/>
    <w:rsid w:val="000569C6"/>
    <w:rsid w:val="00060D64"/>
    <w:rsid w:val="00061606"/>
    <w:rsid w:val="00064649"/>
    <w:rsid w:val="00065B18"/>
    <w:rsid w:val="00070A7F"/>
    <w:rsid w:val="00071E18"/>
    <w:rsid w:val="000725FB"/>
    <w:rsid w:val="0007350A"/>
    <w:rsid w:val="00074B85"/>
    <w:rsid w:val="00077249"/>
    <w:rsid w:val="0008002F"/>
    <w:rsid w:val="00080913"/>
    <w:rsid w:val="00080E22"/>
    <w:rsid w:val="00082067"/>
    <w:rsid w:val="00082CED"/>
    <w:rsid w:val="000833BF"/>
    <w:rsid w:val="00084C0E"/>
    <w:rsid w:val="00085998"/>
    <w:rsid w:val="00086C3F"/>
    <w:rsid w:val="0009117F"/>
    <w:rsid w:val="00094D05"/>
    <w:rsid w:val="00095EE6"/>
    <w:rsid w:val="00096A24"/>
    <w:rsid w:val="00096DE3"/>
    <w:rsid w:val="00096ED6"/>
    <w:rsid w:val="000A202D"/>
    <w:rsid w:val="000A4AF1"/>
    <w:rsid w:val="000A52C4"/>
    <w:rsid w:val="000A58B7"/>
    <w:rsid w:val="000A5D74"/>
    <w:rsid w:val="000A7B4E"/>
    <w:rsid w:val="000B1492"/>
    <w:rsid w:val="000B1F2F"/>
    <w:rsid w:val="000B3E04"/>
    <w:rsid w:val="000B4A0D"/>
    <w:rsid w:val="000B627D"/>
    <w:rsid w:val="000B7FC6"/>
    <w:rsid w:val="000C162F"/>
    <w:rsid w:val="000C2ECA"/>
    <w:rsid w:val="000C385A"/>
    <w:rsid w:val="000C43BC"/>
    <w:rsid w:val="000C4E42"/>
    <w:rsid w:val="000C5160"/>
    <w:rsid w:val="000D022E"/>
    <w:rsid w:val="000D05DD"/>
    <w:rsid w:val="000D11A5"/>
    <w:rsid w:val="000D11ED"/>
    <w:rsid w:val="000D1742"/>
    <w:rsid w:val="000D291A"/>
    <w:rsid w:val="000D33B5"/>
    <w:rsid w:val="000D3784"/>
    <w:rsid w:val="000D4D84"/>
    <w:rsid w:val="000D69EC"/>
    <w:rsid w:val="000D7E16"/>
    <w:rsid w:val="000E0871"/>
    <w:rsid w:val="000E0A47"/>
    <w:rsid w:val="000E4493"/>
    <w:rsid w:val="000E4DD3"/>
    <w:rsid w:val="000E7BA2"/>
    <w:rsid w:val="000F1139"/>
    <w:rsid w:val="000F1352"/>
    <w:rsid w:val="000F1DE0"/>
    <w:rsid w:val="000F3126"/>
    <w:rsid w:val="000F3AF5"/>
    <w:rsid w:val="000F3F9A"/>
    <w:rsid w:val="000F4805"/>
    <w:rsid w:val="000F4ACE"/>
    <w:rsid w:val="000F51FC"/>
    <w:rsid w:val="000F5777"/>
    <w:rsid w:val="00101D42"/>
    <w:rsid w:val="00101FE5"/>
    <w:rsid w:val="00102761"/>
    <w:rsid w:val="00103198"/>
    <w:rsid w:val="0010593E"/>
    <w:rsid w:val="00106927"/>
    <w:rsid w:val="00107337"/>
    <w:rsid w:val="00107DEC"/>
    <w:rsid w:val="00110806"/>
    <w:rsid w:val="00110B6B"/>
    <w:rsid w:val="00111C50"/>
    <w:rsid w:val="00112CDC"/>
    <w:rsid w:val="00113B87"/>
    <w:rsid w:val="0011418F"/>
    <w:rsid w:val="001155C9"/>
    <w:rsid w:val="00116E4E"/>
    <w:rsid w:val="0011785C"/>
    <w:rsid w:val="00121799"/>
    <w:rsid w:val="001221CA"/>
    <w:rsid w:val="001223E4"/>
    <w:rsid w:val="0012274D"/>
    <w:rsid w:val="00123340"/>
    <w:rsid w:val="001235B5"/>
    <w:rsid w:val="00123D56"/>
    <w:rsid w:val="00125C7D"/>
    <w:rsid w:val="00126B19"/>
    <w:rsid w:val="00131618"/>
    <w:rsid w:val="00132683"/>
    <w:rsid w:val="001330B3"/>
    <w:rsid w:val="0013397D"/>
    <w:rsid w:val="001353D9"/>
    <w:rsid w:val="0013590D"/>
    <w:rsid w:val="001401BD"/>
    <w:rsid w:val="00140D0C"/>
    <w:rsid w:val="001412FD"/>
    <w:rsid w:val="00143E5C"/>
    <w:rsid w:val="00144BBC"/>
    <w:rsid w:val="00145C2D"/>
    <w:rsid w:val="00146F4A"/>
    <w:rsid w:val="00147EE9"/>
    <w:rsid w:val="00152795"/>
    <w:rsid w:val="00153DB1"/>
    <w:rsid w:val="00154B17"/>
    <w:rsid w:val="0015677C"/>
    <w:rsid w:val="00160FDA"/>
    <w:rsid w:val="0016215E"/>
    <w:rsid w:val="0016231B"/>
    <w:rsid w:val="0016423D"/>
    <w:rsid w:val="00165E47"/>
    <w:rsid w:val="00167017"/>
    <w:rsid w:val="00167250"/>
    <w:rsid w:val="00171585"/>
    <w:rsid w:val="00174A50"/>
    <w:rsid w:val="00174B20"/>
    <w:rsid w:val="0017667A"/>
    <w:rsid w:val="00176A44"/>
    <w:rsid w:val="00177AC9"/>
    <w:rsid w:val="001808DA"/>
    <w:rsid w:val="00180FF0"/>
    <w:rsid w:val="0018327C"/>
    <w:rsid w:val="001863CA"/>
    <w:rsid w:val="00186F6A"/>
    <w:rsid w:val="00187E9F"/>
    <w:rsid w:val="00191D95"/>
    <w:rsid w:val="00192280"/>
    <w:rsid w:val="001924FB"/>
    <w:rsid w:val="00193392"/>
    <w:rsid w:val="001939D9"/>
    <w:rsid w:val="00194AE7"/>
    <w:rsid w:val="001961E5"/>
    <w:rsid w:val="001A119C"/>
    <w:rsid w:val="001A1F56"/>
    <w:rsid w:val="001A333C"/>
    <w:rsid w:val="001A50D9"/>
    <w:rsid w:val="001A5137"/>
    <w:rsid w:val="001A5B12"/>
    <w:rsid w:val="001A68D4"/>
    <w:rsid w:val="001A6C65"/>
    <w:rsid w:val="001A7D05"/>
    <w:rsid w:val="001B3311"/>
    <w:rsid w:val="001B370E"/>
    <w:rsid w:val="001B3AB6"/>
    <w:rsid w:val="001B4078"/>
    <w:rsid w:val="001B57C1"/>
    <w:rsid w:val="001B5E50"/>
    <w:rsid w:val="001B6009"/>
    <w:rsid w:val="001B6EB8"/>
    <w:rsid w:val="001B7065"/>
    <w:rsid w:val="001B72B0"/>
    <w:rsid w:val="001C2C56"/>
    <w:rsid w:val="001C43A2"/>
    <w:rsid w:val="001C4FDC"/>
    <w:rsid w:val="001C6520"/>
    <w:rsid w:val="001C6D8F"/>
    <w:rsid w:val="001C76FF"/>
    <w:rsid w:val="001D0762"/>
    <w:rsid w:val="001D168B"/>
    <w:rsid w:val="001D3CCE"/>
    <w:rsid w:val="001E00A3"/>
    <w:rsid w:val="001E0769"/>
    <w:rsid w:val="001E1037"/>
    <w:rsid w:val="001E1C5B"/>
    <w:rsid w:val="001E25CB"/>
    <w:rsid w:val="001E33B7"/>
    <w:rsid w:val="001E5110"/>
    <w:rsid w:val="001F5A0A"/>
    <w:rsid w:val="001F62B3"/>
    <w:rsid w:val="001F7E1F"/>
    <w:rsid w:val="00200A49"/>
    <w:rsid w:val="002012F6"/>
    <w:rsid w:val="00205330"/>
    <w:rsid w:val="0020657C"/>
    <w:rsid w:val="0020670F"/>
    <w:rsid w:val="0021123D"/>
    <w:rsid w:val="00213652"/>
    <w:rsid w:val="00215A80"/>
    <w:rsid w:val="00215D34"/>
    <w:rsid w:val="002160F2"/>
    <w:rsid w:val="00223B2F"/>
    <w:rsid w:val="00223B43"/>
    <w:rsid w:val="00224059"/>
    <w:rsid w:val="0022438A"/>
    <w:rsid w:val="00224C94"/>
    <w:rsid w:val="002259D6"/>
    <w:rsid w:val="0023098B"/>
    <w:rsid w:val="0023123F"/>
    <w:rsid w:val="002312D1"/>
    <w:rsid w:val="00231354"/>
    <w:rsid w:val="00233572"/>
    <w:rsid w:val="002345AE"/>
    <w:rsid w:val="002376C5"/>
    <w:rsid w:val="00240083"/>
    <w:rsid w:val="002412B8"/>
    <w:rsid w:val="002413D4"/>
    <w:rsid w:val="002416A0"/>
    <w:rsid w:val="00241C1A"/>
    <w:rsid w:val="00245A97"/>
    <w:rsid w:val="00251A1D"/>
    <w:rsid w:val="0025201A"/>
    <w:rsid w:val="00252502"/>
    <w:rsid w:val="00252908"/>
    <w:rsid w:val="00253E09"/>
    <w:rsid w:val="00255492"/>
    <w:rsid w:val="0025575C"/>
    <w:rsid w:val="00255B47"/>
    <w:rsid w:val="00255E68"/>
    <w:rsid w:val="0026226E"/>
    <w:rsid w:val="002625AA"/>
    <w:rsid w:val="00266E7A"/>
    <w:rsid w:val="00273412"/>
    <w:rsid w:val="00274E7F"/>
    <w:rsid w:val="00275672"/>
    <w:rsid w:val="002771A0"/>
    <w:rsid w:val="00277B6D"/>
    <w:rsid w:val="00280403"/>
    <w:rsid w:val="00280A82"/>
    <w:rsid w:val="00280EB7"/>
    <w:rsid w:val="00284F90"/>
    <w:rsid w:val="0028550E"/>
    <w:rsid w:val="0028604D"/>
    <w:rsid w:val="002864E8"/>
    <w:rsid w:val="00286595"/>
    <w:rsid w:val="002872E1"/>
    <w:rsid w:val="0028780F"/>
    <w:rsid w:val="00293C88"/>
    <w:rsid w:val="00294D4F"/>
    <w:rsid w:val="00294EEA"/>
    <w:rsid w:val="00295B18"/>
    <w:rsid w:val="00297773"/>
    <w:rsid w:val="002A0532"/>
    <w:rsid w:val="002A1B3E"/>
    <w:rsid w:val="002A1D54"/>
    <w:rsid w:val="002A273D"/>
    <w:rsid w:val="002A3A5D"/>
    <w:rsid w:val="002A41CB"/>
    <w:rsid w:val="002A6A70"/>
    <w:rsid w:val="002B049C"/>
    <w:rsid w:val="002B2872"/>
    <w:rsid w:val="002B300C"/>
    <w:rsid w:val="002B4139"/>
    <w:rsid w:val="002B41DB"/>
    <w:rsid w:val="002B5344"/>
    <w:rsid w:val="002B64CF"/>
    <w:rsid w:val="002C0E46"/>
    <w:rsid w:val="002C1647"/>
    <w:rsid w:val="002C360C"/>
    <w:rsid w:val="002C3686"/>
    <w:rsid w:val="002C44EA"/>
    <w:rsid w:val="002C46BB"/>
    <w:rsid w:val="002C6A4A"/>
    <w:rsid w:val="002C6A53"/>
    <w:rsid w:val="002C7FF4"/>
    <w:rsid w:val="002D0266"/>
    <w:rsid w:val="002D1005"/>
    <w:rsid w:val="002D1F99"/>
    <w:rsid w:val="002D2648"/>
    <w:rsid w:val="002D27F1"/>
    <w:rsid w:val="002D306D"/>
    <w:rsid w:val="002D34CE"/>
    <w:rsid w:val="002D362E"/>
    <w:rsid w:val="002D614F"/>
    <w:rsid w:val="002D63CB"/>
    <w:rsid w:val="002D7EDD"/>
    <w:rsid w:val="002E0AC1"/>
    <w:rsid w:val="002E38BF"/>
    <w:rsid w:val="002E48C1"/>
    <w:rsid w:val="002F0987"/>
    <w:rsid w:val="002F0BB5"/>
    <w:rsid w:val="002F157E"/>
    <w:rsid w:val="002F35A2"/>
    <w:rsid w:val="002F4B83"/>
    <w:rsid w:val="002F4E0D"/>
    <w:rsid w:val="002F4EE0"/>
    <w:rsid w:val="002F5987"/>
    <w:rsid w:val="002F6B31"/>
    <w:rsid w:val="002F7959"/>
    <w:rsid w:val="002F7AE5"/>
    <w:rsid w:val="003015BF"/>
    <w:rsid w:val="00303764"/>
    <w:rsid w:val="00303D60"/>
    <w:rsid w:val="00305F78"/>
    <w:rsid w:val="0030653B"/>
    <w:rsid w:val="00311FA7"/>
    <w:rsid w:val="00312555"/>
    <w:rsid w:val="00313275"/>
    <w:rsid w:val="00313B2B"/>
    <w:rsid w:val="003152C0"/>
    <w:rsid w:val="00316A7F"/>
    <w:rsid w:val="00317BFF"/>
    <w:rsid w:val="003202E6"/>
    <w:rsid w:val="00321FE4"/>
    <w:rsid w:val="0032327B"/>
    <w:rsid w:val="003266AE"/>
    <w:rsid w:val="003270E1"/>
    <w:rsid w:val="00327B43"/>
    <w:rsid w:val="00330586"/>
    <w:rsid w:val="00330C7D"/>
    <w:rsid w:val="00331304"/>
    <w:rsid w:val="00331EC7"/>
    <w:rsid w:val="00334DD7"/>
    <w:rsid w:val="00335760"/>
    <w:rsid w:val="00340D9C"/>
    <w:rsid w:val="0034163B"/>
    <w:rsid w:val="00341DCC"/>
    <w:rsid w:val="0034310A"/>
    <w:rsid w:val="00343399"/>
    <w:rsid w:val="003437EE"/>
    <w:rsid w:val="00343D07"/>
    <w:rsid w:val="00343F90"/>
    <w:rsid w:val="0034446B"/>
    <w:rsid w:val="00347537"/>
    <w:rsid w:val="00351BEA"/>
    <w:rsid w:val="003522E4"/>
    <w:rsid w:val="003548D0"/>
    <w:rsid w:val="00355D4A"/>
    <w:rsid w:val="003569E6"/>
    <w:rsid w:val="003573C9"/>
    <w:rsid w:val="00360AD8"/>
    <w:rsid w:val="003616C0"/>
    <w:rsid w:val="00362E9D"/>
    <w:rsid w:val="003646C0"/>
    <w:rsid w:val="003657F4"/>
    <w:rsid w:val="00366A29"/>
    <w:rsid w:val="00367966"/>
    <w:rsid w:val="00374CF6"/>
    <w:rsid w:val="00375265"/>
    <w:rsid w:val="00376485"/>
    <w:rsid w:val="00377D1C"/>
    <w:rsid w:val="00381A51"/>
    <w:rsid w:val="0038333D"/>
    <w:rsid w:val="0038379B"/>
    <w:rsid w:val="00384E45"/>
    <w:rsid w:val="00386C13"/>
    <w:rsid w:val="00387F88"/>
    <w:rsid w:val="00387F8C"/>
    <w:rsid w:val="00391E4F"/>
    <w:rsid w:val="00392741"/>
    <w:rsid w:val="00393473"/>
    <w:rsid w:val="003959B0"/>
    <w:rsid w:val="00395D62"/>
    <w:rsid w:val="00396170"/>
    <w:rsid w:val="003963F8"/>
    <w:rsid w:val="00397239"/>
    <w:rsid w:val="003A017A"/>
    <w:rsid w:val="003A04F7"/>
    <w:rsid w:val="003A09F5"/>
    <w:rsid w:val="003A427A"/>
    <w:rsid w:val="003A4639"/>
    <w:rsid w:val="003A6D04"/>
    <w:rsid w:val="003A7509"/>
    <w:rsid w:val="003B24E8"/>
    <w:rsid w:val="003B573F"/>
    <w:rsid w:val="003B7192"/>
    <w:rsid w:val="003B7F1A"/>
    <w:rsid w:val="003C28A9"/>
    <w:rsid w:val="003C3EE7"/>
    <w:rsid w:val="003C57FD"/>
    <w:rsid w:val="003C6093"/>
    <w:rsid w:val="003C6F54"/>
    <w:rsid w:val="003C78FC"/>
    <w:rsid w:val="003D02C5"/>
    <w:rsid w:val="003D08E5"/>
    <w:rsid w:val="003D340E"/>
    <w:rsid w:val="003D365E"/>
    <w:rsid w:val="003D5229"/>
    <w:rsid w:val="003D5FE0"/>
    <w:rsid w:val="003E233C"/>
    <w:rsid w:val="003E303D"/>
    <w:rsid w:val="003E346D"/>
    <w:rsid w:val="003E64D9"/>
    <w:rsid w:val="003E704E"/>
    <w:rsid w:val="003F07B9"/>
    <w:rsid w:val="003F1E74"/>
    <w:rsid w:val="003F3904"/>
    <w:rsid w:val="003F3CC3"/>
    <w:rsid w:val="003F700A"/>
    <w:rsid w:val="00401D95"/>
    <w:rsid w:val="00403DEA"/>
    <w:rsid w:val="00407047"/>
    <w:rsid w:val="004072BA"/>
    <w:rsid w:val="004078E0"/>
    <w:rsid w:val="004150E0"/>
    <w:rsid w:val="00416004"/>
    <w:rsid w:val="00420E6E"/>
    <w:rsid w:val="00420E8B"/>
    <w:rsid w:val="00421281"/>
    <w:rsid w:val="0042201B"/>
    <w:rsid w:val="0042337C"/>
    <w:rsid w:val="004260F1"/>
    <w:rsid w:val="00426559"/>
    <w:rsid w:val="00426994"/>
    <w:rsid w:val="00427150"/>
    <w:rsid w:val="004274DC"/>
    <w:rsid w:val="004316FE"/>
    <w:rsid w:val="004330A7"/>
    <w:rsid w:val="0043404B"/>
    <w:rsid w:val="00434B66"/>
    <w:rsid w:val="0043585B"/>
    <w:rsid w:val="00436642"/>
    <w:rsid w:val="004367B5"/>
    <w:rsid w:val="004367D0"/>
    <w:rsid w:val="00441363"/>
    <w:rsid w:val="00442733"/>
    <w:rsid w:val="00443404"/>
    <w:rsid w:val="00444B7B"/>
    <w:rsid w:val="00446565"/>
    <w:rsid w:val="00452B90"/>
    <w:rsid w:val="00454D44"/>
    <w:rsid w:val="004559CB"/>
    <w:rsid w:val="0045679F"/>
    <w:rsid w:val="00460ED6"/>
    <w:rsid w:val="0046114D"/>
    <w:rsid w:val="00461E86"/>
    <w:rsid w:val="00462CFD"/>
    <w:rsid w:val="00464990"/>
    <w:rsid w:val="00465848"/>
    <w:rsid w:val="00466FB9"/>
    <w:rsid w:val="004677B9"/>
    <w:rsid w:val="0047061A"/>
    <w:rsid w:val="0047121E"/>
    <w:rsid w:val="00472341"/>
    <w:rsid w:val="004736F2"/>
    <w:rsid w:val="004745F9"/>
    <w:rsid w:val="00475122"/>
    <w:rsid w:val="00477089"/>
    <w:rsid w:val="0048124C"/>
    <w:rsid w:val="004816B1"/>
    <w:rsid w:val="0048259D"/>
    <w:rsid w:val="0048419C"/>
    <w:rsid w:val="00486998"/>
    <w:rsid w:val="0048706A"/>
    <w:rsid w:val="00487922"/>
    <w:rsid w:val="0049133A"/>
    <w:rsid w:val="00491EBC"/>
    <w:rsid w:val="00491F26"/>
    <w:rsid w:val="00492DA1"/>
    <w:rsid w:val="00492EB1"/>
    <w:rsid w:val="00494C91"/>
    <w:rsid w:val="004A01B1"/>
    <w:rsid w:val="004A0D20"/>
    <w:rsid w:val="004A337E"/>
    <w:rsid w:val="004A33DA"/>
    <w:rsid w:val="004A5042"/>
    <w:rsid w:val="004B2FDC"/>
    <w:rsid w:val="004B3586"/>
    <w:rsid w:val="004B3D29"/>
    <w:rsid w:val="004B5EC6"/>
    <w:rsid w:val="004B6255"/>
    <w:rsid w:val="004B6969"/>
    <w:rsid w:val="004B6C0C"/>
    <w:rsid w:val="004B6FAA"/>
    <w:rsid w:val="004B740D"/>
    <w:rsid w:val="004B7423"/>
    <w:rsid w:val="004B79EC"/>
    <w:rsid w:val="004B7DF6"/>
    <w:rsid w:val="004C206F"/>
    <w:rsid w:val="004C33EC"/>
    <w:rsid w:val="004C3559"/>
    <w:rsid w:val="004C5A6F"/>
    <w:rsid w:val="004D21DB"/>
    <w:rsid w:val="004D5976"/>
    <w:rsid w:val="004D5A14"/>
    <w:rsid w:val="004D68CD"/>
    <w:rsid w:val="004D68D2"/>
    <w:rsid w:val="004D7FA1"/>
    <w:rsid w:val="004E2881"/>
    <w:rsid w:val="004E56AF"/>
    <w:rsid w:val="004E7D20"/>
    <w:rsid w:val="004F1B24"/>
    <w:rsid w:val="004F1EEA"/>
    <w:rsid w:val="004F1FFC"/>
    <w:rsid w:val="004F537E"/>
    <w:rsid w:val="004F5B2B"/>
    <w:rsid w:val="004F5C4D"/>
    <w:rsid w:val="004F6B38"/>
    <w:rsid w:val="004F6E14"/>
    <w:rsid w:val="004F6E2F"/>
    <w:rsid w:val="004F7D22"/>
    <w:rsid w:val="005016EE"/>
    <w:rsid w:val="00504D0B"/>
    <w:rsid w:val="00505091"/>
    <w:rsid w:val="0050658A"/>
    <w:rsid w:val="0050710A"/>
    <w:rsid w:val="00510418"/>
    <w:rsid w:val="00510B0F"/>
    <w:rsid w:val="00511A7D"/>
    <w:rsid w:val="00511B5A"/>
    <w:rsid w:val="00511EA9"/>
    <w:rsid w:val="0051222F"/>
    <w:rsid w:val="00513F6D"/>
    <w:rsid w:val="00514953"/>
    <w:rsid w:val="005159F8"/>
    <w:rsid w:val="00515C54"/>
    <w:rsid w:val="0051674E"/>
    <w:rsid w:val="00523970"/>
    <w:rsid w:val="00523B99"/>
    <w:rsid w:val="00523CFF"/>
    <w:rsid w:val="0052404D"/>
    <w:rsid w:val="0052670A"/>
    <w:rsid w:val="00527233"/>
    <w:rsid w:val="00530418"/>
    <w:rsid w:val="005306C9"/>
    <w:rsid w:val="00533E79"/>
    <w:rsid w:val="005367E8"/>
    <w:rsid w:val="00536B38"/>
    <w:rsid w:val="00537743"/>
    <w:rsid w:val="00537D74"/>
    <w:rsid w:val="0054013A"/>
    <w:rsid w:val="0054060E"/>
    <w:rsid w:val="0054151E"/>
    <w:rsid w:val="00541949"/>
    <w:rsid w:val="005434B0"/>
    <w:rsid w:val="005435AF"/>
    <w:rsid w:val="00544F35"/>
    <w:rsid w:val="005458FF"/>
    <w:rsid w:val="00545DB5"/>
    <w:rsid w:val="00550DBF"/>
    <w:rsid w:val="0055278F"/>
    <w:rsid w:val="00554137"/>
    <w:rsid w:val="00555DD2"/>
    <w:rsid w:val="00556BE4"/>
    <w:rsid w:val="00556C15"/>
    <w:rsid w:val="00556E3E"/>
    <w:rsid w:val="00560343"/>
    <w:rsid w:val="005604E3"/>
    <w:rsid w:val="0056392D"/>
    <w:rsid w:val="005648C7"/>
    <w:rsid w:val="005667EE"/>
    <w:rsid w:val="00566ED3"/>
    <w:rsid w:val="00567372"/>
    <w:rsid w:val="00572276"/>
    <w:rsid w:val="0057356B"/>
    <w:rsid w:val="00573BD9"/>
    <w:rsid w:val="00574F2F"/>
    <w:rsid w:val="00575101"/>
    <w:rsid w:val="005772CD"/>
    <w:rsid w:val="00580F73"/>
    <w:rsid w:val="00584BF4"/>
    <w:rsid w:val="00585215"/>
    <w:rsid w:val="0058609E"/>
    <w:rsid w:val="005876A1"/>
    <w:rsid w:val="0059044C"/>
    <w:rsid w:val="00590E7C"/>
    <w:rsid w:val="0059110F"/>
    <w:rsid w:val="005912C7"/>
    <w:rsid w:val="0059173E"/>
    <w:rsid w:val="00591B22"/>
    <w:rsid w:val="00594767"/>
    <w:rsid w:val="00596098"/>
    <w:rsid w:val="00596245"/>
    <w:rsid w:val="00596A10"/>
    <w:rsid w:val="005A0A5E"/>
    <w:rsid w:val="005A0DAE"/>
    <w:rsid w:val="005A1207"/>
    <w:rsid w:val="005A160D"/>
    <w:rsid w:val="005A1936"/>
    <w:rsid w:val="005A2B65"/>
    <w:rsid w:val="005A3169"/>
    <w:rsid w:val="005A324E"/>
    <w:rsid w:val="005A65AD"/>
    <w:rsid w:val="005A6F07"/>
    <w:rsid w:val="005B03F8"/>
    <w:rsid w:val="005B121B"/>
    <w:rsid w:val="005B3210"/>
    <w:rsid w:val="005B4313"/>
    <w:rsid w:val="005B466C"/>
    <w:rsid w:val="005B53A8"/>
    <w:rsid w:val="005B586A"/>
    <w:rsid w:val="005B7297"/>
    <w:rsid w:val="005C32DA"/>
    <w:rsid w:val="005C4C00"/>
    <w:rsid w:val="005C59EA"/>
    <w:rsid w:val="005C6DD4"/>
    <w:rsid w:val="005C7274"/>
    <w:rsid w:val="005D1384"/>
    <w:rsid w:val="005D2F75"/>
    <w:rsid w:val="005D2F98"/>
    <w:rsid w:val="005D3534"/>
    <w:rsid w:val="005E060D"/>
    <w:rsid w:val="005E079D"/>
    <w:rsid w:val="005E5C83"/>
    <w:rsid w:val="005F0F42"/>
    <w:rsid w:val="005F1BE3"/>
    <w:rsid w:val="005F6C65"/>
    <w:rsid w:val="005F74B1"/>
    <w:rsid w:val="005F7D19"/>
    <w:rsid w:val="00600F2D"/>
    <w:rsid w:val="006025AE"/>
    <w:rsid w:val="00603236"/>
    <w:rsid w:val="00603975"/>
    <w:rsid w:val="00605049"/>
    <w:rsid w:val="00606398"/>
    <w:rsid w:val="00610CDC"/>
    <w:rsid w:val="006123CC"/>
    <w:rsid w:val="0061300D"/>
    <w:rsid w:val="00613926"/>
    <w:rsid w:val="006145A0"/>
    <w:rsid w:val="00615C85"/>
    <w:rsid w:val="00621484"/>
    <w:rsid w:val="00623E94"/>
    <w:rsid w:val="006254B3"/>
    <w:rsid w:val="0062562C"/>
    <w:rsid w:val="006272AA"/>
    <w:rsid w:val="00627C77"/>
    <w:rsid w:val="00627E18"/>
    <w:rsid w:val="00627FEF"/>
    <w:rsid w:val="006314E7"/>
    <w:rsid w:val="0063213C"/>
    <w:rsid w:val="006336D7"/>
    <w:rsid w:val="00633A13"/>
    <w:rsid w:val="006351EF"/>
    <w:rsid w:val="006355DF"/>
    <w:rsid w:val="00636860"/>
    <w:rsid w:val="00637487"/>
    <w:rsid w:val="00637B8C"/>
    <w:rsid w:val="006443BE"/>
    <w:rsid w:val="00647085"/>
    <w:rsid w:val="00647903"/>
    <w:rsid w:val="00647CBF"/>
    <w:rsid w:val="0065284F"/>
    <w:rsid w:val="00653FDB"/>
    <w:rsid w:val="00655E7E"/>
    <w:rsid w:val="006565AE"/>
    <w:rsid w:val="006571DF"/>
    <w:rsid w:val="00657547"/>
    <w:rsid w:val="006610E6"/>
    <w:rsid w:val="006638D5"/>
    <w:rsid w:val="00663962"/>
    <w:rsid w:val="00663FCF"/>
    <w:rsid w:val="00665959"/>
    <w:rsid w:val="0066636C"/>
    <w:rsid w:val="0066636D"/>
    <w:rsid w:val="00666ABF"/>
    <w:rsid w:val="00667C08"/>
    <w:rsid w:val="00670864"/>
    <w:rsid w:val="0067127F"/>
    <w:rsid w:val="0067284F"/>
    <w:rsid w:val="00673853"/>
    <w:rsid w:val="00673B32"/>
    <w:rsid w:val="006763EE"/>
    <w:rsid w:val="00676F0F"/>
    <w:rsid w:val="0068106B"/>
    <w:rsid w:val="00681284"/>
    <w:rsid w:val="006833C9"/>
    <w:rsid w:val="00684CBA"/>
    <w:rsid w:val="0068577D"/>
    <w:rsid w:val="00691270"/>
    <w:rsid w:val="00693636"/>
    <w:rsid w:val="0069564C"/>
    <w:rsid w:val="006A2908"/>
    <w:rsid w:val="006A319D"/>
    <w:rsid w:val="006A375C"/>
    <w:rsid w:val="006A5BF3"/>
    <w:rsid w:val="006A6383"/>
    <w:rsid w:val="006A7BE1"/>
    <w:rsid w:val="006B056F"/>
    <w:rsid w:val="006B120C"/>
    <w:rsid w:val="006B1417"/>
    <w:rsid w:val="006B1491"/>
    <w:rsid w:val="006B2BC7"/>
    <w:rsid w:val="006B3279"/>
    <w:rsid w:val="006B36B8"/>
    <w:rsid w:val="006B4350"/>
    <w:rsid w:val="006B485F"/>
    <w:rsid w:val="006C0BD8"/>
    <w:rsid w:val="006C32BA"/>
    <w:rsid w:val="006C3E97"/>
    <w:rsid w:val="006C6596"/>
    <w:rsid w:val="006D16DB"/>
    <w:rsid w:val="006D1AA7"/>
    <w:rsid w:val="006D4C87"/>
    <w:rsid w:val="006E0759"/>
    <w:rsid w:val="006E0987"/>
    <w:rsid w:val="006E23DB"/>
    <w:rsid w:val="006E2C51"/>
    <w:rsid w:val="006E39F9"/>
    <w:rsid w:val="006E43CB"/>
    <w:rsid w:val="006E60C2"/>
    <w:rsid w:val="006E6D55"/>
    <w:rsid w:val="006F24AB"/>
    <w:rsid w:val="006F5866"/>
    <w:rsid w:val="007015A0"/>
    <w:rsid w:val="00702EED"/>
    <w:rsid w:val="007038BF"/>
    <w:rsid w:val="00705E50"/>
    <w:rsid w:val="007076D2"/>
    <w:rsid w:val="00707726"/>
    <w:rsid w:val="00707AEB"/>
    <w:rsid w:val="00710CCC"/>
    <w:rsid w:val="00713A34"/>
    <w:rsid w:val="00713D0D"/>
    <w:rsid w:val="00714245"/>
    <w:rsid w:val="00714F76"/>
    <w:rsid w:val="00716B8F"/>
    <w:rsid w:val="00721501"/>
    <w:rsid w:val="00722FC1"/>
    <w:rsid w:val="00723C2B"/>
    <w:rsid w:val="007242D9"/>
    <w:rsid w:val="00724698"/>
    <w:rsid w:val="00725A6A"/>
    <w:rsid w:val="00725B35"/>
    <w:rsid w:val="00734CC5"/>
    <w:rsid w:val="0073556D"/>
    <w:rsid w:val="00737584"/>
    <w:rsid w:val="0074039F"/>
    <w:rsid w:val="00741442"/>
    <w:rsid w:val="007441FE"/>
    <w:rsid w:val="00744CB7"/>
    <w:rsid w:val="00745287"/>
    <w:rsid w:val="00745777"/>
    <w:rsid w:val="00745C78"/>
    <w:rsid w:val="00746531"/>
    <w:rsid w:val="00747D02"/>
    <w:rsid w:val="00750D77"/>
    <w:rsid w:val="00751C7B"/>
    <w:rsid w:val="0075235E"/>
    <w:rsid w:val="00753FF7"/>
    <w:rsid w:val="00755E8B"/>
    <w:rsid w:val="00756A90"/>
    <w:rsid w:val="00756FDE"/>
    <w:rsid w:val="00757798"/>
    <w:rsid w:val="00757E37"/>
    <w:rsid w:val="00761629"/>
    <w:rsid w:val="00761685"/>
    <w:rsid w:val="00761737"/>
    <w:rsid w:val="00761D0F"/>
    <w:rsid w:val="0076509D"/>
    <w:rsid w:val="007700BC"/>
    <w:rsid w:val="00771C48"/>
    <w:rsid w:val="00773C4B"/>
    <w:rsid w:val="00774425"/>
    <w:rsid w:val="00775DA3"/>
    <w:rsid w:val="007761C7"/>
    <w:rsid w:val="00777A70"/>
    <w:rsid w:val="00780CAB"/>
    <w:rsid w:val="0078284B"/>
    <w:rsid w:val="007850A9"/>
    <w:rsid w:val="00785A6B"/>
    <w:rsid w:val="00786121"/>
    <w:rsid w:val="007874E4"/>
    <w:rsid w:val="00787E01"/>
    <w:rsid w:val="00792C81"/>
    <w:rsid w:val="007938C2"/>
    <w:rsid w:val="007955A3"/>
    <w:rsid w:val="00795B31"/>
    <w:rsid w:val="00796586"/>
    <w:rsid w:val="007A0085"/>
    <w:rsid w:val="007A11B5"/>
    <w:rsid w:val="007A23CF"/>
    <w:rsid w:val="007A2FE1"/>
    <w:rsid w:val="007A4FA7"/>
    <w:rsid w:val="007B3DBD"/>
    <w:rsid w:val="007B454A"/>
    <w:rsid w:val="007B489C"/>
    <w:rsid w:val="007B4E2E"/>
    <w:rsid w:val="007B5BCF"/>
    <w:rsid w:val="007B67E4"/>
    <w:rsid w:val="007B7319"/>
    <w:rsid w:val="007B741F"/>
    <w:rsid w:val="007B7B79"/>
    <w:rsid w:val="007C07F4"/>
    <w:rsid w:val="007C153F"/>
    <w:rsid w:val="007C1C95"/>
    <w:rsid w:val="007C1D9A"/>
    <w:rsid w:val="007C204D"/>
    <w:rsid w:val="007C2126"/>
    <w:rsid w:val="007C23E6"/>
    <w:rsid w:val="007C655E"/>
    <w:rsid w:val="007D0912"/>
    <w:rsid w:val="007D3B7F"/>
    <w:rsid w:val="007D3EBB"/>
    <w:rsid w:val="007D4F95"/>
    <w:rsid w:val="007D680B"/>
    <w:rsid w:val="007D69C5"/>
    <w:rsid w:val="007D7774"/>
    <w:rsid w:val="007E1D77"/>
    <w:rsid w:val="007E331A"/>
    <w:rsid w:val="007E345B"/>
    <w:rsid w:val="007E3872"/>
    <w:rsid w:val="007E4F89"/>
    <w:rsid w:val="007F0E66"/>
    <w:rsid w:val="007F533D"/>
    <w:rsid w:val="007F641D"/>
    <w:rsid w:val="007F70A1"/>
    <w:rsid w:val="007F7251"/>
    <w:rsid w:val="0080037A"/>
    <w:rsid w:val="00801618"/>
    <w:rsid w:val="00801914"/>
    <w:rsid w:val="008031B8"/>
    <w:rsid w:val="0080416E"/>
    <w:rsid w:val="0080458A"/>
    <w:rsid w:val="00804594"/>
    <w:rsid w:val="0080608F"/>
    <w:rsid w:val="008060D4"/>
    <w:rsid w:val="008066C4"/>
    <w:rsid w:val="00811115"/>
    <w:rsid w:val="00811654"/>
    <w:rsid w:val="00813C62"/>
    <w:rsid w:val="00814FD6"/>
    <w:rsid w:val="00815579"/>
    <w:rsid w:val="00816108"/>
    <w:rsid w:val="0082007F"/>
    <w:rsid w:val="008205BB"/>
    <w:rsid w:val="00820990"/>
    <w:rsid w:val="00821AC0"/>
    <w:rsid w:val="00822182"/>
    <w:rsid w:val="00822838"/>
    <w:rsid w:val="00824140"/>
    <w:rsid w:val="00827F3F"/>
    <w:rsid w:val="00830B68"/>
    <w:rsid w:val="00830BEC"/>
    <w:rsid w:val="00833D38"/>
    <w:rsid w:val="008355CD"/>
    <w:rsid w:val="008368F4"/>
    <w:rsid w:val="0083707A"/>
    <w:rsid w:val="00840F2D"/>
    <w:rsid w:val="00841AD8"/>
    <w:rsid w:val="00843580"/>
    <w:rsid w:val="00843A98"/>
    <w:rsid w:val="0084462C"/>
    <w:rsid w:val="0084637C"/>
    <w:rsid w:val="0085241C"/>
    <w:rsid w:val="00853BE4"/>
    <w:rsid w:val="008541C7"/>
    <w:rsid w:val="00857792"/>
    <w:rsid w:val="008577CF"/>
    <w:rsid w:val="00860D15"/>
    <w:rsid w:val="008617F3"/>
    <w:rsid w:val="008622EA"/>
    <w:rsid w:val="008625F4"/>
    <w:rsid w:val="0086435D"/>
    <w:rsid w:val="008710DB"/>
    <w:rsid w:val="008729E4"/>
    <w:rsid w:val="00873B9B"/>
    <w:rsid w:val="00873CD2"/>
    <w:rsid w:val="00875BBB"/>
    <w:rsid w:val="00876A6E"/>
    <w:rsid w:val="00876D2D"/>
    <w:rsid w:val="00877087"/>
    <w:rsid w:val="0087730A"/>
    <w:rsid w:val="0087752C"/>
    <w:rsid w:val="008776F1"/>
    <w:rsid w:val="008805E0"/>
    <w:rsid w:val="008843AF"/>
    <w:rsid w:val="00884A08"/>
    <w:rsid w:val="0088603C"/>
    <w:rsid w:val="008904B7"/>
    <w:rsid w:val="008916DE"/>
    <w:rsid w:val="00891CF6"/>
    <w:rsid w:val="008921D8"/>
    <w:rsid w:val="00892CD4"/>
    <w:rsid w:val="00892EA3"/>
    <w:rsid w:val="00893451"/>
    <w:rsid w:val="00893ADF"/>
    <w:rsid w:val="00896858"/>
    <w:rsid w:val="008A2A20"/>
    <w:rsid w:val="008A38A1"/>
    <w:rsid w:val="008A3979"/>
    <w:rsid w:val="008A50EB"/>
    <w:rsid w:val="008A605B"/>
    <w:rsid w:val="008B191A"/>
    <w:rsid w:val="008B5922"/>
    <w:rsid w:val="008B593B"/>
    <w:rsid w:val="008B79B0"/>
    <w:rsid w:val="008B7F2C"/>
    <w:rsid w:val="008C13E5"/>
    <w:rsid w:val="008C1C50"/>
    <w:rsid w:val="008C412F"/>
    <w:rsid w:val="008C581E"/>
    <w:rsid w:val="008C5B3C"/>
    <w:rsid w:val="008C6848"/>
    <w:rsid w:val="008C68FE"/>
    <w:rsid w:val="008D123A"/>
    <w:rsid w:val="008D3534"/>
    <w:rsid w:val="008D4E3D"/>
    <w:rsid w:val="008D4FE2"/>
    <w:rsid w:val="008D674A"/>
    <w:rsid w:val="008D77F3"/>
    <w:rsid w:val="008E11EE"/>
    <w:rsid w:val="008E1593"/>
    <w:rsid w:val="008E1D7B"/>
    <w:rsid w:val="008E2C79"/>
    <w:rsid w:val="008E2D24"/>
    <w:rsid w:val="008E4411"/>
    <w:rsid w:val="008E4416"/>
    <w:rsid w:val="008E47E7"/>
    <w:rsid w:val="008E6205"/>
    <w:rsid w:val="008F1404"/>
    <w:rsid w:val="008F2711"/>
    <w:rsid w:val="008F3930"/>
    <w:rsid w:val="008F60CF"/>
    <w:rsid w:val="008F60EF"/>
    <w:rsid w:val="008F6CE2"/>
    <w:rsid w:val="009002DA"/>
    <w:rsid w:val="009006E5"/>
    <w:rsid w:val="00900804"/>
    <w:rsid w:val="00901666"/>
    <w:rsid w:val="00904A33"/>
    <w:rsid w:val="00905818"/>
    <w:rsid w:val="00910778"/>
    <w:rsid w:val="00910ADF"/>
    <w:rsid w:val="0091226E"/>
    <w:rsid w:val="0091295D"/>
    <w:rsid w:val="00913D5D"/>
    <w:rsid w:val="009141C6"/>
    <w:rsid w:val="00914290"/>
    <w:rsid w:val="00914FC9"/>
    <w:rsid w:val="009153AA"/>
    <w:rsid w:val="00920CA4"/>
    <w:rsid w:val="009215C4"/>
    <w:rsid w:val="009262FD"/>
    <w:rsid w:val="00927BDA"/>
    <w:rsid w:val="00933D28"/>
    <w:rsid w:val="00933E82"/>
    <w:rsid w:val="009344F1"/>
    <w:rsid w:val="0093498F"/>
    <w:rsid w:val="00935EA7"/>
    <w:rsid w:val="00942592"/>
    <w:rsid w:val="00942705"/>
    <w:rsid w:val="0094280B"/>
    <w:rsid w:val="00942F95"/>
    <w:rsid w:val="00943959"/>
    <w:rsid w:val="00943D78"/>
    <w:rsid w:val="00945597"/>
    <w:rsid w:val="00950DF6"/>
    <w:rsid w:val="009529AA"/>
    <w:rsid w:val="00953277"/>
    <w:rsid w:val="009539EC"/>
    <w:rsid w:val="00954701"/>
    <w:rsid w:val="00954865"/>
    <w:rsid w:val="0095601B"/>
    <w:rsid w:val="009562EB"/>
    <w:rsid w:val="009634C1"/>
    <w:rsid w:val="00964DAB"/>
    <w:rsid w:val="00965359"/>
    <w:rsid w:val="009658A3"/>
    <w:rsid w:val="00966202"/>
    <w:rsid w:val="00973EA6"/>
    <w:rsid w:val="00974159"/>
    <w:rsid w:val="00974A55"/>
    <w:rsid w:val="00974E98"/>
    <w:rsid w:val="00974FE8"/>
    <w:rsid w:val="00975EAE"/>
    <w:rsid w:val="00977142"/>
    <w:rsid w:val="00977250"/>
    <w:rsid w:val="0098217F"/>
    <w:rsid w:val="00983573"/>
    <w:rsid w:val="009837EA"/>
    <w:rsid w:val="00986190"/>
    <w:rsid w:val="009870C9"/>
    <w:rsid w:val="0098798C"/>
    <w:rsid w:val="009920A1"/>
    <w:rsid w:val="00993423"/>
    <w:rsid w:val="00995439"/>
    <w:rsid w:val="00995B0E"/>
    <w:rsid w:val="009A0B20"/>
    <w:rsid w:val="009A1DD8"/>
    <w:rsid w:val="009A4720"/>
    <w:rsid w:val="009A5915"/>
    <w:rsid w:val="009A6276"/>
    <w:rsid w:val="009B3879"/>
    <w:rsid w:val="009B5067"/>
    <w:rsid w:val="009B58A9"/>
    <w:rsid w:val="009B604D"/>
    <w:rsid w:val="009B7247"/>
    <w:rsid w:val="009B7554"/>
    <w:rsid w:val="009B7EF5"/>
    <w:rsid w:val="009C095D"/>
    <w:rsid w:val="009C3795"/>
    <w:rsid w:val="009C47C1"/>
    <w:rsid w:val="009C679D"/>
    <w:rsid w:val="009C74EC"/>
    <w:rsid w:val="009D0881"/>
    <w:rsid w:val="009D208D"/>
    <w:rsid w:val="009D3C84"/>
    <w:rsid w:val="009D6091"/>
    <w:rsid w:val="009D638E"/>
    <w:rsid w:val="009E2199"/>
    <w:rsid w:val="009F0527"/>
    <w:rsid w:val="009F11B6"/>
    <w:rsid w:val="009F2A2D"/>
    <w:rsid w:val="009F2C12"/>
    <w:rsid w:val="009F53B0"/>
    <w:rsid w:val="00A03AC5"/>
    <w:rsid w:val="00A04171"/>
    <w:rsid w:val="00A04343"/>
    <w:rsid w:val="00A04492"/>
    <w:rsid w:val="00A06A93"/>
    <w:rsid w:val="00A070B8"/>
    <w:rsid w:val="00A07482"/>
    <w:rsid w:val="00A079A5"/>
    <w:rsid w:val="00A1128D"/>
    <w:rsid w:val="00A1176C"/>
    <w:rsid w:val="00A14C58"/>
    <w:rsid w:val="00A169CE"/>
    <w:rsid w:val="00A20F62"/>
    <w:rsid w:val="00A23680"/>
    <w:rsid w:val="00A26004"/>
    <w:rsid w:val="00A27BB2"/>
    <w:rsid w:val="00A318F6"/>
    <w:rsid w:val="00A34CFD"/>
    <w:rsid w:val="00A35908"/>
    <w:rsid w:val="00A365A8"/>
    <w:rsid w:val="00A37915"/>
    <w:rsid w:val="00A37C72"/>
    <w:rsid w:val="00A40019"/>
    <w:rsid w:val="00A41382"/>
    <w:rsid w:val="00A4163E"/>
    <w:rsid w:val="00A41B5A"/>
    <w:rsid w:val="00A46B9F"/>
    <w:rsid w:val="00A4718C"/>
    <w:rsid w:val="00A47904"/>
    <w:rsid w:val="00A50959"/>
    <w:rsid w:val="00A52140"/>
    <w:rsid w:val="00A52927"/>
    <w:rsid w:val="00A55081"/>
    <w:rsid w:val="00A553F8"/>
    <w:rsid w:val="00A5675F"/>
    <w:rsid w:val="00A56FE6"/>
    <w:rsid w:val="00A5786C"/>
    <w:rsid w:val="00A57D81"/>
    <w:rsid w:val="00A63C24"/>
    <w:rsid w:val="00A63CDE"/>
    <w:rsid w:val="00A66F76"/>
    <w:rsid w:val="00A674D8"/>
    <w:rsid w:val="00A6795B"/>
    <w:rsid w:val="00A700C5"/>
    <w:rsid w:val="00A749CC"/>
    <w:rsid w:val="00A762C9"/>
    <w:rsid w:val="00A767A8"/>
    <w:rsid w:val="00A76916"/>
    <w:rsid w:val="00A8280C"/>
    <w:rsid w:val="00A82978"/>
    <w:rsid w:val="00A83B57"/>
    <w:rsid w:val="00A84879"/>
    <w:rsid w:val="00A86422"/>
    <w:rsid w:val="00A870F1"/>
    <w:rsid w:val="00A874D1"/>
    <w:rsid w:val="00A909DE"/>
    <w:rsid w:val="00A929EA"/>
    <w:rsid w:val="00A92E28"/>
    <w:rsid w:val="00A93D9A"/>
    <w:rsid w:val="00A94125"/>
    <w:rsid w:val="00A95C2D"/>
    <w:rsid w:val="00A9712B"/>
    <w:rsid w:val="00AA00CE"/>
    <w:rsid w:val="00AA286D"/>
    <w:rsid w:val="00AB02F4"/>
    <w:rsid w:val="00AB13FF"/>
    <w:rsid w:val="00AB16B1"/>
    <w:rsid w:val="00AB1C06"/>
    <w:rsid w:val="00AB1E67"/>
    <w:rsid w:val="00AB438B"/>
    <w:rsid w:val="00AC0BE1"/>
    <w:rsid w:val="00AC1722"/>
    <w:rsid w:val="00AC25D4"/>
    <w:rsid w:val="00AC514A"/>
    <w:rsid w:val="00AC54B7"/>
    <w:rsid w:val="00AD192D"/>
    <w:rsid w:val="00AD4228"/>
    <w:rsid w:val="00AD4340"/>
    <w:rsid w:val="00AD4B10"/>
    <w:rsid w:val="00AD697A"/>
    <w:rsid w:val="00AD77D8"/>
    <w:rsid w:val="00AD7809"/>
    <w:rsid w:val="00AE0B25"/>
    <w:rsid w:val="00AE1088"/>
    <w:rsid w:val="00AE2464"/>
    <w:rsid w:val="00AE27E1"/>
    <w:rsid w:val="00AE39DD"/>
    <w:rsid w:val="00AE74F4"/>
    <w:rsid w:val="00AF0559"/>
    <w:rsid w:val="00AF43A3"/>
    <w:rsid w:val="00AF5AE1"/>
    <w:rsid w:val="00AF5D5E"/>
    <w:rsid w:val="00AF6EBD"/>
    <w:rsid w:val="00B00760"/>
    <w:rsid w:val="00B01395"/>
    <w:rsid w:val="00B016CF"/>
    <w:rsid w:val="00B03315"/>
    <w:rsid w:val="00B0348E"/>
    <w:rsid w:val="00B040D3"/>
    <w:rsid w:val="00B04760"/>
    <w:rsid w:val="00B0480E"/>
    <w:rsid w:val="00B149AE"/>
    <w:rsid w:val="00B15A27"/>
    <w:rsid w:val="00B163B1"/>
    <w:rsid w:val="00B20EBA"/>
    <w:rsid w:val="00B21353"/>
    <w:rsid w:val="00B2197B"/>
    <w:rsid w:val="00B2364D"/>
    <w:rsid w:val="00B241BA"/>
    <w:rsid w:val="00B267E4"/>
    <w:rsid w:val="00B30D6E"/>
    <w:rsid w:val="00B3152A"/>
    <w:rsid w:val="00B31E97"/>
    <w:rsid w:val="00B3444F"/>
    <w:rsid w:val="00B351F1"/>
    <w:rsid w:val="00B35D4A"/>
    <w:rsid w:val="00B36E00"/>
    <w:rsid w:val="00B36E14"/>
    <w:rsid w:val="00B37935"/>
    <w:rsid w:val="00B37EDE"/>
    <w:rsid w:val="00B412F5"/>
    <w:rsid w:val="00B4176F"/>
    <w:rsid w:val="00B42947"/>
    <w:rsid w:val="00B43476"/>
    <w:rsid w:val="00B434F1"/>
    <w:rsid w:val="00B44D3E"/>
    <w:rsid w:val="00B45D31"/>
    <w:rsid w:val="00B511CF"/>
    <w:rsid w:val="00B51664"/>
    <w:rsid w:val="00B5178F"/>
    <w:rsid w:val="00B51C7B"/>
    <w:rsid w:val="00B51DCC"/>
    <w:rsid w:val="00B51E6A"/>
    <w:rsid w:val="00B522E1"/>
    <w:rsid w:val="00B5303E"/>
    <w:rsid w:val="00B538AA"/>
    <w:rsid w:val="00B53DBC"/>
    <w:rsid w:val="00B541A3"/>
    <w:rsid w:val="00B545A4"/>
    <w:rsid w:val="00B54889"/>
    <w:rsid w:val="00B54EA3"/>
    <w:rsid w:val="00B55F07"/>
    <w:rsid w:val="00B56C33"/>
    <w:rsid w:val="00B5737F"/>
    <w:rsid w:val="00B6018C"/>
    <w:rsid w:val="00B60885"/>
    <w:rsid w:val="00B618C2"/>
    <w:rsid w:val="00B61E12"/>
    <w:rsid w:val="00B62147"/>
    <w:rsid w:val="00B62683"/>
    <w:rsid w:val="00B63151"/>
    <w:rsid w:val="00B64C3A"/>
    <w:rsid w:val="00B70076"/>
    <w:rsid w:val="00B71AAA"/>
    <w:rsid w:val="00B71E33"/>
    <w:rsid w:val="00B72ABD"/>
    <w:rsid w:val="00B72F01"/>
    <w:rsid w:val="00B74086"/>
    <w:rsid w:val="00B7523B"/>
    <w:rsid w:val="00B76FF8"/>
    <w:rsid w:val="00B77ADF"/>
    <w:rsid w:val="00B81331"/>
    <w:rsid w:val="00B816C8"/>
    <w:rsid w:val="00B82769"/>
    <w:rsid w:val="00B84EFF"/>
    <w:rsid w:val="00B86987"/>
    <w:rsid w:val="00B87AAD"/>
    <w:rsid w:val="00B92789"/>
    <w:rsid w:val="00B9347C"/>
    <w:rsid w:val="00B94C35"/>
    <w:rsid w:val="00B9564A"/>
    <w:rsid w:val="00B96FF7"/>
    <w:rsid w:val="00B975D3"/>
    <w:rsid w:val="00B978AB"/>
    <w:rsid w:val="00BA1B28"/>
    <w:rsid w:val="00BA2A4E"/>
    <w:rsid w:val="00BA3385"/>
    <w:rsid w:val="00BA3479"/>
    <w:rsid w:val="00BA443A"/>
    <w:rsid w:val="00BA50C7"/>
    <w:rsid w:val="00BA5517"/>
    <w:rsid w:val="00BA55BC"/>
    <w:rsid w:val="00BB0254"/>
    <w:rsid w:val="00BB0D9F"/>
    <w:rsid w:val="00BB5DFE"/>
    <w:rsid w:val="00BB614C"/>
    <w:rsid w:val="00BC17CB"/>
    <w:rsid w:val="00BC216F"/>
    <w:rsid w:val="00BC4677"/>
    <w:rsid w:val="00BC59BB"/>
    <w:rsid w:val="00BC6403"/>
    <w:rsid w:val="00BC6BC1"/>
    <w:rsid w:val="00BC7621"/>
    <w:rsid w:val="00BC7C46"/>
    <w:rsid w:val="00BD05C2"/>
    <w:rsid w:val="00BD6C26"/>
    <w:rsid w:val="00BD7B38"/>
    <w:rsid w:val="00BD7F10"/>
    <w:rsid w:val="00BE048A"/>
    <w:rsid w:val="00BE0650"/>
    <w:rsid w:val="00BE2251"/>
    <w:rsid w:val="00BE29EB"/>
    <w:rsid w:val="00BE5599"/>
    <w:rsid w:val="00BE574A"/>
    <w:rsid w:val="00BE5776"/>
    <w:rsid w:val="00BE5948"/>
    <w:rsid w:val="00BF0C18"/>
    <w:rsid w:val="00BF28AE"/>
    <w:rsid w:val="00BF36E6"/>
    <w:rsid w:val="00BF6781"/>
    <w:rsid w:val="00BF73C9"/>
    <w:rsid w:val="00BF78BB"/>
    <w:rsid w:val="00C002FB"/>
    <w:rsid w:val="00C0062D"/>
    <w:rsid w:val="00C012DF"/>
    <w:rsid w:val="00C03D68"/>
    <w:rsid w:val="00C04FC3"/>
    <w:rsid w:val="00C07A55"/>
    <w:rsid w:val="00C10998"/>
    <w:rsid w:val="00C10A93"/>
    <w:rsid w:val="00C132E8"/>
    <w:rsid w:val="00C15D5E"/>
    <w:rsid w:val="00C16725"/>
    <w:rsid w:val="00C21626"/>
    <w:rsid w:val="00C21635"/>
    <w:rsid w:val="00C23180"/>
    <w:rsid w:val="00C2477A"/>
    <w:rsid w:val="00C2611E"/>
    <w:rsid w:val="00C265E3"/>
    <w:rsid w:val="00C26997"/>
    <w:rsid w:val="00C27472"/>
    <w:rsid w:val="00C32CDD"/>
    <w:rsid w:val="00C32F82"/>
    <w:rsid w:val="00C33E9A"/>
    <w:rsid w:val="00C35322"/>
    <w:rsid w:val="00C37BF5"/>
    <w:rsid w:val="00C40C7A"/>
    <w:rsid w:val="00C40CAD"/>
    <w:rsid w:val="00C41A75"/>
    <w:rsid w:val="00C43C01"/>
    <w:rsid w:val="00C45A13"/>
    <w:rsid w:val="00C46B63"/>
    <w:rsid w:val="00C46FBD"/>
    <w:rsid w:val="00C501CD"/>
    <w:rsid w:val="00C5105D"/>
    <w:rsid w:val="00C53891"/>
    <w:rsid w:val="00C53EE2"/>
    <w:rsid w:val="00C5418F"/>
    <w:rsid w:val="00C54861"/>
    <w:rsid w:val="00C5526E"/>
    <w:rsid w:val="00C55361"/>
    <w:rsid w:val="00C5551A"/>
    <w:rsid w:val="00C557B5"/>
    <w:rsid w:val="00C558DB"/>
    <w:rsid w:val="00C63020"/>
    <w:rsid w:val="00C6354D"/>
    <w:rsid w:val="00C64025"/>
    <w:rsid w:val="00C677FC"/>
    <w:rsid w:val="00C736CD"/>
    <w:rsid w:val="00C73C3D"/>
    <w:rsid w:val="00C75031"/>
    <w:rsid w:val="00C75C73"/>
    <w:rsid w:val="00C77A5D"/>
    <w:rsid w:val="00C80335"/>
    <w:rsid w:val="00C818BC"/>
    <w:rsid w:val="00C81EC5"/>
    <w:rsid w:val="00C82285"/>
    <w:rsid w:val="00C82449"/>
    <w:rsid w:val="00C86133"/>
    <w:rsid w:val="00C9295A"/>
    <w:rsid w:val="00C92EB2"/>
    <w:rsid w:val="00C935BF"/>
    <w:rsid w:val="00C94092"/>
    <w:rsid w:val="00C95C02"/>
    <w:rsid w:val="00C96636"/>
    <w:rsid w:val="00C97972"/>
    <w:rsid w:val="00CA0F59"/>
    <w:rsid w:val="00CA192C"/>
    <w:rsid w:val="00CA3820"/>
    <w:rsid w:val="00CA570B"/>
    <w:rsid w:val="00CA5DE9"/>
    <w:rsid w:val="00CA7BF2"/>
    <w:rsid w:val="00CB03FC"/>
    <w:rsid w:val="00CB2236"/>
    <w:rsid w:val="00CC16B3"/>
    <w:rsid w:val="00CC1F0B"/>
    <w:rsid w:val="00CC562C"/>
    <w:rsid w:val="00CC5940"/>
    <w:rsid w:val="00CD3DC9"/>
    <w:rsid w:val="00CD3FD6"/>
    <w:rsid w:val="00CD6F8E"/>
    <w:rsid w:val="00CE02EE"/>
    <w:rsid w:val="00CE076D"/>
    <w:rsid w:val="00CF050B"/>
    <w:rsid w:val="00CF24AA"/>
    <w:rsid w:val="00CF363B"/>
    <w:rsid w:val="00CF3C99"/>
    <w:rsid w:val="00CF4202"/>
    <w:rsid w:val="00CF60A7"/>
    <w:rsid w:val="00CF7690"/>
    <w:rsid w:val="00CF7963"/>
    <w:rsid w:val="00D00E6E"/>
    <w:rsid w:val="00D00EE0"/>
    <w:rsid w:val="00D015BC"/>
    <w:rsid w:val="00D01BF8"/>
    <w:rsid w:val="00D0325A"/>
    <w:rsid w:val="00D03B5C"/>
    <w:rsid w:val="00D0419F"/>
    <w:rsid w:val="00D041E2"/>
    <w:rsid w:val="00D0473B"/>
    <w:rsid w:val="00D0648C"/>
    <w:rsid w:val="00D0690C"/>
    <w:rsid w:val="00D109A5"/>
    <w:rsid w:val="00D145A6"/>
    <w:rsid w:val="00D14600"/>
    <w:rsid w:val="00D15D0C"/>
    <w:rsid w:val="00D17F34"/>
    <w:rsid w:val="00D204C3"/>
    <w:rsid w:val="00D20D17"/>
    <w:rsid w:val="00D22DC7"/>
    <w:rsid w:val="00D2782A"/>
    <w:rsid w:val="00D30FA4"/>
    <w:rsid w:val="00D31C36"/>
    <w:rsid w:val="00D31CFA"/>
    <w:rsid w:val="00D31E05"/>
    <w:rsid w:val="00D32FEA"/>
    <w:rsid w:val="00D33B6C"/>
    <w:rsid w:val="00D340A2"/>
    <w:rsid w:val="00D34105"/>
    <w:rsid w:val="00D348AB"/>
    <w:rsid w:val="00D36912"/>
    <w:rsid w:val="00D372C9"/>
    <w:rsid w:val="00D41570"/>
    <w:rsid w:val="00D42F64"/>
    <w:rsid w:val="00D42FD5"/>
    <w:rsid w:val="00D43BB3"/>
    <w:rsid w:val="00D46AE6"/>
    <w:rsid w:val="00D46E4B"/>
    <w:rsid w:val="00D47495"/>
    <w:rsid w:val="00D47E24"/>
    <w:rsid w:val="00D50424"/>
    <w:rsid w:val="00D52B20"/>
    <w:rsid w:val="00D53465"/>
    <w:rsid w:val="00D536BC"/>
    <w:rsid w:val="00D53ADE"/>
    <w:rsid w:val="00D6210C"/>
    <w:rsid w:val="00D6261D"/>
    <w:rsid w:val="00D62FB1"/>
    <w:rsid w:val="00D63C9B"/>
    <w:rsid w:val="00D648C4"/>
    <w:rsid w:val="00D649D1"/>
    <w:rsid w:val="00D65FFD"/>
    <w:rsid w:val="00D670F5"/>
    <w:rsid w:val="00D71671"/>
    <w:rsid w:val="00D732CA"/>
    <w:rsid w:val="00D73AE4"/>
    <w:rsid w:val="00D76594"/>
    <w:rsid w:val="00D7676C"/>
    <w:rsid w:val="00D82214"/>
    <w:rsid w:val="00D83F1C"/>
    <w:rsid w:val="00D86BAF"/>
    <w:rsid w:val="00D87367"/>
    <w:rsid w:val="00D90052"/>
    <w:rsid w:val="00D90B71"/>
    <w:rsid w:val="00D90E3D"/>
    <w:rsid w:val="00D91189"/>
    <w:rsid w:val="00D93D39"/>
    <w:rsid w:val="00D95368"/>
    <w:rsid w:val="00D95B30"/>
    <w:rsid w:val="00D95EFB"/>
    <w:rsid w:val="00D96878"/>
    <w:rsid w:val="00DA004E"/>
    <w:rsid w:val="00DA0CE4"/>
    <w:rsid w:val="00DA3BE9"/>
    <w:rsid w:val="00DA6C2A"/>
    <w:rsid w:val="00DA6EAC"/>
    <w:rsid w:val="00DB316D"/>
    <w:rsid w:val="00DB3564"/>
    <w:rsid w:val="00DB3DA4"/>
    <w:rsid w:val="00DB7F56"/>
    <w:rsid w:val="00DC534C"/>
    <w:rsid w:val="00DC5BC3"/>
    <w:rsid w:val="00DC6899"/>
    <w:rsid w:val="00DC777D"/>
    <w:rsid w:val="00DD21E9"/>
    <w:rsid w:val="00DD2BDE"/>
    <w:rsid w:val="00DD3014"/>
    <w:rsid w:val="00DD6353"/>
    <w:rsid w:val="00DD7324"/>
    <w:rsid w:val="00DD7BAC"/>
    <w:rsid w:val="00DE0314"/>
    <w:rsid w:val="00DE06D1"/>
    <w:rsid w:val="00DE17FD"/>
    <w:rsid w:val="00DE439F"/>
    <w:rsid w:val="00DE4FC6"/>
    <w:rsid w:val="00DE5C71"/>
    <w:rsid w:val="00DE75FB"/>
    <w:rsid w:val="00DF172A"/>
    <w:rsid w:val="00DF52C5"/>
    <w:rsid w:val="00E006C4"/>
    <w:rsid w:val="00E0072B"/>
    <w:rsid w:val="00E03846"/>
    <w:rsid w:val="00E04B0C"/>
    <w:rsid w:val="00E053C2"/>
    <w:rsid w:val="00E054E3"/>
    <w:rsid w:val="00E05AFF"/>
    <w:rsid w:val="00E1075E"/>
    <w:rsid w:val="00E10A00"/>
    <w:rsid w:val="00E112F3"/>
    <w:rsid w:val="00E1171E"/>
    <w:rsid w:val="00E121E3"/>
    <w:rsid w:val="00E12B6D"/>
    <w:rsid w:val="00E14794"/>
    <w:rsid w:val="00E14946"/>
    <w:rsid w:val="00E16CDD"/>
    <w:rsid w:val="00E21A11"/>
    <w:rsid w:val="00E22659"/>
    <w:rsid w:val="00E24CEB"/>
    <w:rsid w:val="00E24F8B"/>
    <w:rsid w:val="00E25B66"/>
    <w:rsid w:val="00E268A9"/>
    <w:rsid w:val="00E270AB"/>
    <w:rsid w:val="00E2779A"/>
    <w:rsid w:val="00E30DB2"/>
    <w:rsid w:val="00E3115C"/>
    <w:rsid w:val="00E31522"/>
    <w:rsid w:val="00E31CA8"/>
    <w:rsid w:val="00E34AC5"/>
    <w:rsid w:val="00E354E5"/>
    <w:rsid w:val="00E406ED"/>
    <w:rsid w:val="00E41E92"/>
    <w:rsid w:val="00E41FA5"/>
    <w:rsid w:val="00E42ABF"/>
    <w:rsid w:val="00E4349F"/>
    <w:rsid w:val="00E44593"/>
    <w:rsid w:val="00E4490A"/>
    <w:rsid w:val="00E44EBC"/>
    <w:rsid w:val="00E44FDA"/>
    <w:rsid w:val="00E46867"/>
    <w:rsid w:val="00E500AC"/>
    <w:rsid w:val="00E5076E"/>
    <w:rsid w:val="00E55B52"/>
    <w:rsid w:val="00E625B5"/>
    <w:rsid w:val="00E629EA"/>
    <w:rsid w:val="00E630AD"/>
    <w:rsid w:val="00E63726"/>
    <w:rsid w:val="00E65EDE"/>
    <w:rsid w:val="00E6607A"/>
    <w:rsid w:val="00E6784B"/>
    <w:rsid w:val="00E67AF9"/>
    <w:rsid w:val="00E70B43"/>
    <w:rsid w:val="00E70D94"/>
    <w:rsid w:val="00E71A3F"/>
    <w:rsid w:val="00E721A4"/>
    <w:rsid w:val="00E72F47"/>
    <w:rsid w:val="00E74D55"/>
    <w:rsid w:val="00E75D11"/>
    <w:rsid w:val="00E75D78"/>
    <w:rsid w:val="00E772ED"/>
    <w:rsid w:val="00E7731B"/>
    <w:rsid w:val="00E80444"/>
    <w:rsid w:val="00E80D85"/>
    <w:rsid w:val="00E833C7"/>
    <w:rsid w:val="00E846FD"/>
    <w:rsid w:val="00E85BCC"/>
    <w:rsid w:val="00E87CF0"/>
    <w:rsid w:val="00E9204D"/>
    <w:rsid w:val="00E93D24"/>
    <w:rsid w:val="00E94643"/>
    <w:rsid w:val="00E948F8"/>
    <w:rsid w:val="00E95088"/>
    <w:rsid w:val="00E95F24"/>
    <w:rsid w:val="00E965A8"/>
    <w:rsid w:val="00E97AB7"/>
    <w:rsid w:val="00E97C3C"/>
    <w:rsid w:val="00E97CAA"/>
    <w:rsid w:val="00E97F13"/>
    <w:rsid w:val="00EA0E17"/>
    <w:rsid w:val="00EA1A25"/>
    <w:rsid w:val="00EA1F22"/>
    <w:rsid w:val="00EA236E"/>
    <w:rsid w:val="00EA2682"/>
    <w:rsid w:val="00EA2C03"/>
    <w:rsid w:val="00EA33E4"/>
    <w:rsid w:val="00EA377D"/>
    <w:rsid w:val="00EA5D03"/>
    <w:rsid w:val="00EA6C02"/>
    <w:rsid w:val="00EB006A"/>
    <w:rsid w:val="00EB0403"/>
    <w:rsid w:val="00EB55D9"/>
    <w:rsid w:val="00EB55EE"/>
    <w:rsid w:val="00EB6704"/>
    <w:rsid w:val="00EC22BF"/>
    <w:rsid w:val="00EC2F1B"/>
    <w:rsid w:val="00EC4480"/>
    <w:rsid w:val="00EC46CE"/>
    <w:rsid w:val="00EC5114"/>
    <w:rsid w:val="00EC66F2"/>
    <w:rsid w:val="00EC73BC"/>
    <w:rsid w:val="00EC74CF"/>
    <w:rsid w:val="00ED2526"/>
    <w:rsid w:val="00ED2D11"/>
    <w:rsid w:val="00ED586D"/>
    <w:rsid w:val="00ED663B"/>
    <w:rsid w:val="00ED6F02"/>
    <w:rsid w:val="00ED778E"/>
    <w:rsid w:val="00ED7FA4"/>
    <w:rsid w:val="00EE01B5"/>
    <w:rsid w:val="00EE0298"/>
    <w:rsid w:val="00EE0C61"/>
    <w:rsid w:val="00EE3B68"/>
    <w:rsid w:val="00EE570A"/>
    <w:rsid w:val="00EE5C05"/>
    <w:rsid w:val="00EE7BB1"/>
    <w:rsid w:val="00EF06B2"/>
    <w:rsid w:val="00EF089C"/>
    <w:rsid w:val="00EF0A02"/>
    <w:rsid w:val="00EF1AF5"/>
    <w:rsid w:val="00EF1CD9"/>
    <w:rsid w:val="00EF2D70"/>
    <w:rsid w:val="00EF2E35"/>
    <w:rsid w:val="00EF46F9"/>
    <w:rsid w:val="00EF4B2E"/>
    <w:rsid w:val="00EF741C"/>
    <w:rsid w:val="00EF75DC"/>
    <w:rsid w:val="00EF76DD"/>
    <w:rsid w:val="00F0247A"/>
    <w:rsid w:val="00F02F9F"/>
    <w:rsid w:val="00F03FA5"/>
    <w:rsid w:val="00F06DC6"/>
    <w:rsid w:val="00F07501"/>
    <w:rsid w:val="00F10681"/>
    <w:rsid w:val="00F10B6D"/>
    <w:rsid w:val="00F10FAE"/>
    <w:rsid w:val="00F1258B"/>
    <w:rsid w:val="00F16160"/>
    <w:rsid w:val="00F17DB1"/>
    <w:rsid w:val="00F17F62"/>
    <w:rsid w:val="00F216BC"/>
    <w:rsid w:val="00F21968"/>
    <w:rsid w:val="00F2507F"/>
    <w:rsid w:val="00F277DD"/>
    <w:rsid w:val="00F27A22"/>
    <w:rsid w:val="00F32461"/>
    <w:rsid w:val="00F32E9B"/>
    <w:rsid w:val="00F33EC4"/>
    <w:rsid w:val="00F34D84"/>
    <w:rsid w:val="00F37A1B"/>
    <w:rsid w:val="00F40877"/>
    <w:rsid w:val="00F41B77"/>
    <w:rsid w:val="00F44041"/>
    <w:rsid w:val="00F44F4E"/>
    <w:rsid w:val="00F46CC5"/>
    <w:rsid w:val="00F47D3D"/>
    <w:rsid w:val="00F5033A"/>
    <w:rsid w:val="00F51B12"/>
    <w:rsid w:val="00F5285D"/>
    <w:rsid w:val="00F63E73"/>
    <w:rsid w:val="00F647C9"/>
    <w:rsid w:val="00F66978"/>
    <w:rsid w:val="00F67602"/>
    <w:rsid w:val="00F67974"/>
    <w:rsid w:val="00F732A3"/>
    <w:rsid w:val="00F73C0E"/>
    <w:rsid w:val="00F77FCC"/>
    <w:rsid w:val="00F8171A"/>
    <w:rsid w:val="00F828ED"/>
    <w:rsid w:val="00F82EF4"/>
    <w:rsid w:val="00F8432B"/>
    <w:rsid w:val="00F84EB8"/>
    <w:rsid w:val="00F85829"/>
    <w:rsid w:val="00F8663C"/>
    <w:rsid w:val="00F87AF2"/>
    <w:rsid w:val="00F91BC0"/>
    <w:rsid w:val="00F92EBE"/>
    <w:rsid w:val="00F96C2D"/>
    <w:rsid w:val="00F97797"/>
    <w:rsid w:val="00F97EFC"/>
    <w:rsid w:val="00FA134B"/>
    <w:rsid w:val="00FA2422"/>
    <w:rsid w:val="00FA24A2"/>
    <w:rsid w:val="00FA27DF"/>
    <w:rsid w:val="00FA4991"/>
    <w:rsid w:val="00FA6EDB"/>
    <w:rsid w:val="00FA77C7"/>
    <w:rsid w:val="00FB0679"/>
    <w:rsid w:val="00FB0BDC"/>
    <w:rsid w:val="00FB1257"/>
    <w:rsid w:val="00FB169F"/>
    <w:rsid w:val="00FB3F64"/>
    <w:rsid w:val="00FB7EDE"/>
    <w:rsid w:val="00FC6FE5"/>
    <w:rsid w:val="00FD28C3"/>
    <w:rsid w:val="00FD3ACE"/>
    <w:rsid w:val="00FD3AFF"/>
    <w:rsid w:val="00FD403E"/>
    <w:rsid w:val="00FD4567"/>
    <w:rsid w:val="00FD5012"/>
    <w:rsid w:val="00FD5168"/>
    <w:rsid w:val="00FD62A3"/>
    <w:rsid w:val="00FE0649"/>
    <w:rsid w:val="00FE11FB"/>
    <w:rsid w:val="00FE1671"/>
    <w:rsid w:val="00FE41C6"/>
    <w:rsid w:val="00FF05C4"/>
    <w:rsid w:val="00FF173F"/>
    <w:rsid w:val="00FF4280"/>
    <w:rsid w:val="00FF4F4C"/>
    <w:rsid w:val="00FF7A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4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79D"/>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unhideWhenUsed/>
    <w:rsid w:val="008541C7"/>
    <w:pPr>
      <w:spacing w:line="240" w:lineRule="auto"/>
    </w:pPr>
  </w:style>
  <w:style w:type="character" w:customStyle="1" w:styleId="CommentTextChar">
    <w:name w:val="Comment Text Char"/>
    <w:basedOn w:val="DefaultParagraphFont"/>
    <w:link w:val="CommentText"/>
    <w:uiPriority w:val="99"/>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 w:type="paragraph" w:styleId="Revision">
    <w:name w:val="Revision"/>
    <w:hidden/>
    <w:uiPriority w:val="99"/>
    <w:semiHidden/>
    <w:rsid w:val="000C4E42"/>
    <w:pPr>
      <w:spacing w:after="0" w:line="240" w:lineRule="auto"/>
    </w:pPr>
  </w:style>
  <w:style w:type="table" w:styleId="TableGrid">
    <w:name w:val="Table Grid"/>
    <w:basedOn w:val="TableNormal"/>
    <w:uiPriority w:val="59"/>
    <w:rsid w:val="005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674E"/>
    <w:pPr>
      <w:spacing w:after="0" w:line="240" w:lineRule="auto"/>
    </w:pPr>
  </w:style>
  <w:style w:type="character" w:styleId="Hyperlink">
    <w:name w:val="Hyperlink"/>
    <w:basedOn w:val="DefaultParagraphFont"/>
    <w:uiPriority w:val="99"/>
    <w:unhideWhenUsed/>
    <w:rsid w:val="008355CD"/>
    <w:rPr>
      <w:color w:val="2E1A47" w:themeColor="hyperlink"/>
      <w:u w:val="single"/>
    </w:rPr>
  </w:style>
  <w:style w:type="character" w:styleId="UnresolvedMention">
    <w:name w:val="Unresolved Mention"/>
    <w:basedOn w:val="DefaultParagraphFont"/>
    <w:uiPriority w:val="99"/>
    <w:semiHidden/>
    <w:unhideWhenUsed/>
    <w:rsid w:val="008355CD"/>
    <w:rPr>
      <w:color w:val="605E5C"/>
      <w:shd w:val="clear" w:color="auto" w:fill="E1DFDD"/>
    </w:rPr>
  </w:style>
  <w:style w:type="character" w:styleId="FollowedHyperlink">
    <w:name w:val="FollowedHyperlink"/>
    <w:basedOn w:val="DefaultParagraphFont"/>
    <w:uiPriority w:val="99"/>
    <w:semiHidden/>
    <w:unhideWhenUsed/>
    <w:rsid w:val="006C32BA"/>
    <w:rPr>
      <w:color w:val="2E1A4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3977">
      <w:bodyDiv w:val="1"/>
      <w:marLeft w:val="0"/>
      <w:marRight w:val="0"/>
      <w:marTop w:val="0"/>
      <w:marBottom w:val="0"/>
      <w:divBdr>
        <w:top w:val="none" w:sz="0" w:space="0" w:color="auto"/>
        <w:left w:val="none" w:sz="0" w:space="0" w:color="auto"/>
        <w:bottom w:val="none" w:sz="0" w:space="0" w:color="auto"/>
        <w:right w:val="none" w:sz="0" w:space="0" w:color="auto"/>
      </w:divBdr>
    </w:div>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155030693">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533689060">
      <w:bodyDiv w:val="1"/>
      <w:marLeft w:val="0"/>
      <w:marRight w:val="0"/>
      <w:marTop w:val="0"/>
      <w:marBottom w:val="0"/>
      <w:divBdr>
        <w:top w:val="none" w:sz="0" w:space="0" w:color="auto"/>
        <w:left w:val="none" w:sz="0" w:space="0" w:color="auto"/>
        <w:bottom w:val="none" w:sz="0" w:space="0" w:color="auto"/>
        <w:right w:val="none" w:sz="0" w:space="0" w:color="auto"/>
      </w:divBdr>
    </w:div>
    <w:div w:id="1669945213">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hyperlink" Target="https://www.commbank.com.au/articles/newsroom/2023/11/cost-of-living-november23.html"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DA-UA-FP-11.global.austrade.int\CANBGroupData$\Tourism\TRA\Surveys\NVS\NVS%20quarterly%20pubs\2023\3.%20September%20Quarter\Charts\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A-UA-FP-11.global.austrade.int\CANBGroupData$\Tourism\TRA\Surveys\NVS\NVS%20quarterly%20pubs\2023\3.%20September%20Quarter\Charts\Char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650731524141012E-2"/>
          <c:y val="2.7016056375225968E-2"/>
          <c:w val="0.87060251659719001"/>
          <c:h val="0.73192332386417225"/>
        </c:manualLayout>
      </c:layout>
      <c:barChart>
        <c:barDir val="col"/>
        <c:grouping val="clustered"/>
        <c:varyColors val="0"/>
        <c:ser>
          <c:idx val="1"/>
          <c:order val="0"/>
          <c:tx>
            <c:strRef>
              <c:f>'[Charts.xlsx]qtr % change'!$N$11</c:f>
              <c:strCache>
                <c:ptCount val="1"/>
                <c:pt idx="0">
                  <c:v>MQ 2022</c:v>
                </c:pt>
              </c:strCache>
            </c:strRef>
          </c:tx>
          <c:spPr>
            <a:solidFill>
              <a:srgbClr val="7030A0"/>
            </a:solidFill>
            <a:ln>
              <a:noFill/>
            </a:ln>
            <a:effectLst/>
          </c:spPr>
          <c:invertIfNegative val="0"/>
          <c:dLbls>
            <c:dLbl>
              <c:idx val="0"/>
              <c:layout>
                <c:manualLayout>
                  <c:x val="-3.334957046015872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8D-4027-9EDA-31888C04E51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'[Charts.xlsx]qtr % change'!$M$20:$M$22</c:f>
              <c:strCache>
                <c:ptCount val="3"/>
                <c:pt idx="0">
                  <c:v>Spend</c:v>
                </c:pt>
                <c:pt idx="1">
                  <c:v>Overnight trips</c:v>
                </c:pt>
                <c:pt idx="2">
                  <c:v>Nights</c:v>
                </c:pt>
              </c:strCache>
            </c:strRef>
          </c:cat>
          <c:val>
            <c:numRef>
              <c:f>'[Charts.xlsx]qtr % change'!$O$20:$O$22</c:f>
              <c:numCache>
                <c:formatCode>0%</c:formatCode>
                <c:ptCount val="3"/>
                <c:pt idx="0">
                  <c:v>0.14399725788149564</c:v>
                </c:pt>
                <c:pt idx="1">
                  <c:v>4.3762340789155196E-4</c:v>
                </c:pt>
                <c:pt idx="2">
                  <c:v>-2.7879755519413352E-2</c:v>
                </c:pt>
              </c:numCache>
            </c:numRef>
          </c:val>
          <c:extLst>
            <c:ext xmlns:c16="http://schemas.microsoft.com/office/drawing/2014/chart" uri="{C3380CC4-5D6E-409C-BE32-E72D297353CC}">
              <c16:uniqueId val="{00000001-3A8D-4027-9EDA-31888C04E516}"/>
            </c:ext>
          </c:extLst>
        </c:ser>
        <c:ser>
          <c:idx val="2"/>
          <c:order val="1"/>
          <c:tx>
            <c:strRef>
              <c:f>'[Charts.xlsx]qtr % change'!$O$11</c:f>
              <c:strCache>
                <c:ptCount val="1"/>
                <c:pt idx="0">
                  <c:v>JQ 2022</c:v>
                </c:pt>
              </c:strCache>
            </c:strRef>
          </c:tx>
          <c:spPr>
            <a:solidFill>
              <a:schemeClr val="accent3"/>
            </a:solidFill>
            <a:ln>
              <a:noFill/>
            </a:ln>
            <a:effectLst/>
          </c:spPr>
          <c:invertIfNegative val="0"/>
          <c:dLbls>
            <c:dLbl>
              <c:idx val="0"/>
              <c:layout>
                <c:manualLayout>
                  <c:x val="0"/>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8D-4027-9EDA-31888C04E516}"/>
                </c:ext>
              </c:extLst>
            </c:dLbl>
            <c:dLbl>
              <c:idx val="1"/>
              <c:layout>
                <c:manualLayout>
                  <c:x val="-3.3349570460159037E-3"/>
                  <c:y val="-7.572856173500626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8D-4027-9EDA-31888C04E51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'[Charts.xlsx]qtr % change'!$M$20:$M$22</c:f>
              <c:strCache>
                <c:ptCount val="3"/>
                <c:pt idx="0">
                  <c:v>Spend</c:v>
                </c:pt>
                <c:pt idx="1">
                  <c:v>Overnight trips</c:v>
                </c:pt>
                <c:pt idx="2">
                  <c:v>Nights</c:v>
                </c:pt>
              </c:strCache>
            </c:strRef>
          </c:cat>
          <c:val>
            <c:numRef>
              <c:f>'[Charts.xlsx]qtr % change'!$P$20:$P$22</c:f>
              <c:numCache>
                <c:formatCode>0%</c:formatCode>
                <c:ptCount val="3"/>
                <c:pt idx="0">
                  <c:v>0.29272568518902764</c:v>
                </c:pt>
                <c:pt idx="1">
                  <c:v>0.15225934844833966</c:v>
                </c:pt>
                <c:pt idx="2">
                  <c:v>9.8212859368130401E-2</c:v>
                </c:pt>
              </c:numCache>
            </c:numRef>
          </c:val>
          <c:extLst>
            <c:ext xmlns:c16="http://schemas.microsoft.com/office/drawing/2014/chart" uri="{C3380CC4-5D6E-409C-BE32-E72D297353CC}">
              <c16:uniqueId val="{00000004-3A8D-4027-9EDA-31888C04E516}"/>
            </c:ext>
          </c:extLst>
        </c:ser>
        <c:ser>
          <c:idx val="3"/>
          <c:order val="2"/>
          <c:tx>
            <c:strRef>
              <c:f>'[Charts.xlsx]qtr % change'!$P$11</c:f>
              <c:strCache>
                <c:ptCount val="1"/>
                <c:pt idx="0">
                  <c:v>SQ 2022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'[Charts.xlsx]qtr % change'!$M$20:$M$22</c:f>
              <c:strCache>
                <c:ptCount val="3"/>
                <c:pt idx="0">
                  <c:v>Spend</c:v>
                </c:pt>
                <c:pt idx="1">
                  <c:v>Overnight trips</c:v>
                </c:pt>
                <c:pt idx="2">
                  <c:v>Nights</c:v>
                </c:pt>
              </c:strCache>
            </c:strRef>
          </c:cat>
          <c:val>
            <c:numRef>
              <c:f>'[Charts.xlsx]qtr % change'!$Q$20:$Q$22</c:f>
              <c:numCache>
                <c:formatCode>0%</c:formatCode>
                <c:ptCount val="3"/>
                <c:pt idx="0">
                  <c:v>2.0139101927829022</c:v>
                </c:pt>
                <c:pt idx="1">
                  <c:v>1.3309398673283135</c:v>
                </c:pt>
                <c:pt idx="2">
                  <c:v>0.92432153947539719</c:v>
                </c:pt>
              </c:numCache>
            </c:numRef>
          </c:val>
          <c:extLst>
            <c:ext xmlns:c16="http://schemas.microsoft.com/office/drawing/2014/chart" uri="{C3380CC4-5D6E-409C-BE32-E72D297353CC}">
              <c16:uniqueId val="{00000005-3A8D-4027-9EDA-31888C04E516}"/>
            </c:ext>
          </c:extLst>
        </c:ser>
        <c:ser>
          <c:idx val="4"/>
          <c:order val="3"/>
          <c:tx>
            <c:strRef>
              <c:f>'[Charts.xlsx]qtr % change'!$Q$11</c:f>
              <c:strCache>
                <c:ptCount val="1"/>
                <c:pt idx="0">
                  <c:v>DQ 2022</c:v>
                </c:pt>
              </c:strCache>
            </c:strRef>
          </c:tx>
          <c:spPr>
            <a:solidFill>
              <a:schemeClr val="accent5"/>
            </a:solidFill>
            <a:ln>
              <a:noFill/>
            </a:ln>
            <a:effectLst/>
          </c:spPr>
          <c:invertIfNegative val="0"/>
          <c:dLbls>
            <c:dLbl>
              <c:idx val="0"/>
              <c:layout>
                <c:manualLayout>
                  <c:x val="3.3349570460158426E-3"/>
                  <c:y val="4.130696539517105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A8D-4027-9EDA-31888C04E516}"/>
                </c:ext>
              </c:extLst>
            </c:dLbl>
            <c:dLbl>
              <c:idx val="2"/>
              <c:layout>
                <c:manualLayout>
                  <c:x val="3.334957046015720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A8D-4027-9EDA-31888C04E51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'[Charts.xlsx]qtr % change'!$M$20:$M$22</c:f>
              <c:strCache>
                <c:ptCount val="3"/>
                <c:pt idx="0">
                  <c:v>Spend</c:v>
                </c:pt>
                <c:pt idx="1">
                  <c:v>Overnight trips</c:v>
                </c:pt>
                <c:pt idx="2">
                  <c:v>Nights</c:v>
                </c:pt>
              </c:strCache>
            </c:strRef>
          </c:cat>
          <c:val>
            <c:numRef>
              <c:f>'[Charts.xlsx]qtr % change'!$R$20:$R$22</c:f>
              <c:numCache>
                <c:formatCode>0%</c:formatCode>
                <c:ptCount val="3"/>
                <c:pt idx="0">
                  <c:v>0.96346873973252256</c:v>
                </c:pt>
                <c:pt idx="1">
                  <c:v>0.3158154300248508</c:v>
                </c:pt>
                <c:pt idx="2">
                  <c:v>0.30864000781319922</c:v>
                </c:pt>
              </c:numCache>
            </c:numRef>
          </c:val>
          <c:extLst>
            <c:ext xmlns:c16="http://schemas.microsoft.com/office/drawing/2014/chart" uri="{C3380CC4-5D6E-409C-BE32-E72D297353CC}">
              <c16:uniqueId val="{00000008-3A8D-4027-9EDA-31888C04E516}"/>
            </c:ext>
          </c:extLst>
        </c:ser>
        <c:ser>
          <c:idx val="5"/>
          <c:order val="4"/>
          <c:tx>
            <c:strRef>
              <c:f>'[Charts.xlsx]qtr % change'!$R$11</c:f>
              <c:strCache>
                <c:ptCount val="1"/>
                <c:pt idx="0">
                  <c:v>MQ 2023</c:v>
                </c:pt>
              </c:strCache>
            </c:strRef>
          </c:tx>
          <c:spPr>
            <a:solidFill>
              <a:schemeClr val="accent6"/>
            </a:solidFill>
            <a:ln>
              <a:noFill/>
            </a:ln>
            <a:effectLst/>
          </c:spPr>
          <c:invertIfNegative val="0"/>
          <c:dLbls>
            <c:dLbl>
              <c:idx val="0"/>
              <c:layout>
                <c:manualLayout>
                  <c:x val="3.3349570460157814E-3"/>
                  <c:y val="-7.572856173500626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A8D-4027-9EDA-31888C04E516}"/>
                </c:ext>
              </c:extLst>
            </c:dLbl>
            <c:dLbl>
              <c:idx val="1"/>
              <c:layout>
                <c:manualLayout>
                  <c:x val="3.334957046015842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A8D-4027-9EDA-31888C04E516}"/>
                </c:ext>
              </c:extLst>
            </c:dLbl>
            <c:dLbl>
              <c:idx val="2"/>
              <c:layout>
                <c:manualLayout>
                  <c:x val="1.6674785230079213E-3"/>
                  <c:y val="8.261393079034135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A8D-4027-9EDA-31888C04E51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'[Charts.xlsx]qtr % change'!$M$20:$M$22</c:f>
              <c:strCache>
                <c:ptCount val="3"/>
                <c:pt idx="0">
                  <c:v>Spend</c:v>
                </c:pt>
                <c:pt idx="1">
                  <c:v>Overnight trips</c:v>
                </c:pt>
                <c:pt idx="2">
                  <c:v>Nights</c:v>
                </c:pt>
              </c:strCache>
            </c:strRef>
          </c:cat>
          <c:val>
            <c:numRef>
              <c:f>'[Charts.xlsx]qtr % change'!$S$20:$S$22</c:f>
              <c:numCache>
                <c:formatCode>0%</c:formatCode>
                <c:ptCount val="3"/>
                <c:pt idx="0">
                  <c:v>0.33430574409006875</c:v>
                </c:pt>
                <c:pt idx="1">
                  <c:v>0.15053528458887455</c:v>
                </c:pt>
                <c:pt idx="2">
                  <c:v>9.7148498607496636E-2</c:v>
                </c:pt>
              </c:numCache>
            </c:numRef>
          </c:val>
          <c:extLst>
            <c:ext xmlns:c16="http://schemas.microsoft.com/office/drawing/2014/chart" uri="{C3380CC4-5D6E-409C-BE32-E72D297353CC}">
              <c16:uniqueId val="{0000000C-3A8D-4027-9EDA-31888C04E516}"/>
            </c:ext>
          </c:extLst>
        </c:ser>
        <c:ser>
          <c:idx val="6"/>
          <c:order val="5"/>
          <c:tx>
            <c:strRef>
              <c:f>'[Charts.xlsx]qtr % change'!$S$11</c:f>
              <c:strCache>
                <c:ptCount val="1"/>
                <c:pt idx="0">
                  <c:v>JQ 2023</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'[Charts.xlsx]qtr % change'!$M$20:$M$22</c:f>
              <c:strCache>
                <c:ptCount val="3"/>
                <c:pt idx="0">
                  <c:v>Spend</c:v>
                </c:pt>
                <c:pt idx="1">
                  <c:v>Overnight trips</c:v>
                </c:pt>
                <c:pt idx="2">
                  <c:v>Nights</c:v>
                </c:pt>
              </c:strCache>
            </c:strRef>
          </c:cat>
          <c:val>
            <c:numRef>
              <c:f>'[Charts.xlsx]qtr % change'!$T$20:$T$22</c:f>
              <c:numCache>
                <c:formatCode>0%</c:formatCode>
                <c:ptCount val="3"/>
                <c:pt idx="0">
                  <c:v>7.5812655203892909E-3</c:v>
                </c:pt>
                <c:pt idx="1">
                  <c:v>-1.8567837797912823E-2</c:v>
                </c:pt>
                <c:pt idx="2">
                  <c:v>-4.7185430330628386E-2</c:v>
                </c:pt>
              </c:numCache>
            </c:numRef>
          </c:val>
          <c:extLst>
            <c:ext xmlns:c16="http://schemas.microsoft.com/office/drawing/2014/chart" uri="{C3380CC4-5D6E-409C-BE32-E72D297353CC}">
              <c16:uniqueId val="{0000000D-3A8D-4027-9EDA-31888C04E516}"/>
            </c:ext>
          </c:extLst>
        </c:ser>
        <c:ser>
          <c:idx val="7"/>
          <c:order val="6"/>
          <c:tx>
            <c:strRef>
              <c:f>'[Charts.xlsx]qtr % change'!$T$11</c:f>
              <c:strCache>
                <c:ptCount val="1"/>
                <c:pt idx="0">
                  <c:v>SQ 2023</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'[Charts.xlsx]qtr % change'!$M$20:$M$22</c:f>
              <c:strCache>
                <c:ptCount val="3"/>
                <c:pt idx="0">
                  <c:v>Spend</c:v>
                </c:pt>
                <c:pt idx="1">
                  <c:v>Overnight trips</c:v>
                </c:pt>
                <c:pt idx="2">
                  <c:v>Nights</c:v>
                </c:pt>
              </c:strCache>
            </c:strRef>
          </c:cat>
          <c:val>
            <c:numRef>
              <c:f>'[Charts.xlsx]qtr % change'!$U$20:$U$22</c:f>
              <c:numCache>
                <c:formatCode>0%</c:formatCode>
                <c:ptCount val="3"/>
                <c:pt idx="0">
                  <c:v>1.423112681125005E-2</c:v>
                </c:pt>
                <c:pt idx="1">
                  <c:v>7.8928939892719541E-3</c:v>
                </c:pt>
                <c:pt idx="2">
                  <c:v>-1.7087274015782916E-2</c:v>
                </c:pt>
              </c:numCache>
            </c:numRef>
          </c:val>
          <c:extLst>
            <c:ext xmlns:c16="http://schemas.microsoft.com/office/drawing/2014/chart" uri="{C3380CC4-5D6E-409C-BE32-E72D297353CC}">
              <c16:uniqueId val="{0000000E-3A8D-4027-9EDA-31888C04E516}"/>
            </c:ext>
          </c:extLst>
        </c:ser>
        <c:dLbls>
          <c:dLblPos val="outEnd"/>
          <c:showLegendKey val="0"/>
          <c:showVal val="1"/>
          <c:showCatName val="0"/>
          <c:showSerName val="0"/>
          <c:showPercent val="0"/>
          <c:showBubbleSize val="0"/>
        </c:dLbls>
        <c:gapWidth val="150"/>
        <c:axId val="275743759"/>
        <c:axId val="275745679"/>
      </c:barChart>
      <c:catAx>
        <c:axId val="275743759"/>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75745679"/>
        <c:crosses val="autoZero"/>
        <c:auto val="1"/>
        <c:lblAlgn val="ctr"/>
        <c:lblOffset val="100"/>
        <c:noMultiLvlLbl val="0"/>
      </c:catAx>
      <c:valAx>
        <c:axId val="27574567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75743759"/>
        <c:crosses val="autoZero"/>
        <c:crossBetween val="between"/>
      </c:valAx>
      <c:spPr>
        <a:noFill/>
        <a:ln>
          <a:noFill/>
        </a:ln>
        <a:effectLst/>
      </c:spPr>
    </c:plotArea>
    <c:legend>
      <c:legendPos val="b"/>
      <c:layout>
        <c:manualLayout>
          <c:xMode val="edge"/>
          <c:yMode val="edge"/>
          <c:x val="7.728953880764905E-2"/>
          <c:y val="0.88711446280482542"/>
          <c:w val="0.87208743907011621"/>
          <c:h val="0.112885537195174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53471302812812"/>
          <c:y val="5.33462657613967E-2"/>
          <c:w val="0.82246823682437931"/>
          <c:h val="0.72209612256275924"/>
        </c:manualLayout>
      </c:layout>
      <c:barChart>
        <c:barDir val="col"/>
        <c:grouping val="stacked"/>
        <c:varyColors val="0"/>
        <c:ser>
          <c:idx val="0"/>
          <c:order val="0"/>
          <c:tx>
            <c:strRef>
              <c:f>'[Charts.xlsx]capreg - yr'!$J$22</c:f>
              <c:strCache>
                <c:ptCount val="1"/>
                <c:pt idx="0">
                  <c:v>Capital cities and Gold Coast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'[Charts.xlsx]capreg - yr'!$K$21:$O$21</c:f>
              <c:numCache>
                <c:formatCode>General</c:formatCode>
                <c:ptCount val="5"/>
                <c:pt idx="0">
                  <c:v>2019</c:v>
                </c:pt>
                <c:pt idx="1">
                  <c:v>2020</c:v>
                </c:pt>
                <c:pt idx="2">
                  <c:v>2021</c:v>
                </c:pt>
                <c:pt idx="3">
                  <c:v>2022</c:v>
                </c:pt>
                <c:pt idx="4">
                  <c:v>2023</c:v>
                </c:pt>
              </c:numCache>
            </c:numRef>
          </c:cat>
          <c:val>
            <c:numRef>
              <c:f>'[Charts.xlsx]capreg - yr'!$K$22:$O$22</c:f>
              <c:numCache>
                <c:formatCode>0</c:formatCode>
                <c:ptCount val="5"/>
                <c:pt idx="0">
                  <c:v>48.548966075130188</c:v>
                </c:pt>
                <c:pt idx="1">
                  <c:v>41.838504528810944</c:v>
                </c:pt>
                <c:pt idx="2">
                  <c:v>34.178876728961228</c:v>
                </c:pt>
                <c:pt idx="3">
                  <c:v>40.654833785230927</c:v>
                </c:pt>
                <c:pt idx="4">
                  <c:v>46.5867481185714</c:v>
                </c:pt>
              </c:numCache>
            </c:numRef>
          </c:val>
          <c:extLst>
            <c:ext xmlns:c16="http://schemas.microsoft.com/office/drawing/2014/chart" uri="{C3380CC4-5D6E-409C-BE32-E72D297353CC}">
              <c16:uniqueId val="{00000000-4D37-431A-A77C-96506490D009}"/>
            </c:ext>
          </c:extLst>
        </c:ser>
        <c:ser>
          <c:idx val="1"/>
          <c:order val="1"/>
          <c:tx>
            <c:strRef>
              <c:f>'[Charts.xlsx]capreg - yr'!$J$23</c:f>
              <c:strCache>
                <c:ptCount val="1"/>
                <c:pt idx="0">
                  <c:v>Regional Australia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'[Charts.xlsx]capreg - yr'!$K$21:$O$21</c:f>
              <c:numCache>
                <c:formatCode>General</c:formatCode>
                <c:ptCount val="5"/>
                <c:pt idx="0">
                  <c:v>2019</c:v>
                </c:pt>
                <c:pt idx="1">
                  <c:v>2020</c:v>
                </c:pt>
                <c:pt idx="2">
                  <c:v>2021</c:v>
                </c:pt>
                <c:pt idx="3">
                  <c:v>2022</c:v>
                </c:pt>
                <c:pt idx="4">
                  <c:v>2023</c:v>
                </c:pt>
              </c:numCache>
            </c:numRef>
          </c:cat>
          <c:val>
            <c:numRef>
              <c:f>'[Charts.xlsx]capreg - yr'!$K$23:$O$23</c:f>
              <c:numCache>
                <c:formatCode>0</c:formatCode>
                <c:ptCount val="5"/>
                <c:pt idx="0">
                  <c:v>51.451033924869819</c:v>
                </c:pt>
                <c:pt idx="1">
                  <c:v>58.161495471189049</c:v>
                </c:pt>
                <c:pt idx="2">
                  <c:v>65.821123271038772</c:v>
                </c:pt>
                <c:pt idx="3">
                  <c:v>59.345166214769073</c:v>
                </c:pt>
                <c:pt idx="4">
                  <c:v>53.4132518814286</c:v>
                </c:pt>
              </c:numCache>
            </c:numRef>
          </c:val>
          <c:extLst>
            <c:ext xmlns:c16="http://schemas.microsoft.com/office/drawing/2014/chart" uri="{C3380CC4-5D6E-409C-BE32-E72D297353CC}">
              <c16:uniqueId val="{00000001-4D37-431A-A77C-96506490D009}"/>
            </c:ext>
          </c:extLst>
        </c:ser>
        <c:dLbls>
          <c:showLegendKey val="0"/>
          <c:showVal val="0"/>
          <c:showCatName val="0"/>
          <c:showSerName val="0"/>
          <c:showPercent val="0"/>
          <c:showBubbleSize val="0"/>
        </c:dLbls>
        <c:gapWidth val="150"/>
        <c:overlap val="100"/>
        <c:axId val="427503663"/>
        <c:axId val="583750223"/>
      </c:barChart>
      <c:catAx>
        <c:axId val="427503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750223"/>
        <c:crosses val="autoZero"/>
        <c:auto val="1"/>
        <c:lblAlgn val="ctr"/>
        <c:lblOffset val="100"/>
        <c:noMultiLvlLbl val="0"/>
      </c:catAx>
      <c:valAx>
        <c:axId val="5837502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503663"/>
        <c:crosses val="autoZero"/>
        <c:crossBetween val="between"/>
      </c:valAx>
      <c:spPr>
        <a:noFill/>
        <a:ln>
          <a:noFill/>
        </a:ln>
        <a:effectLst/>
      </c:spPr>
    </c:plotArea>
    <c:legend>
      <c:legendPos val="b"/>
      <c:layout>
        <c:manualLayout>
          <c:xMode val="edge"/>
          <c:yMode val="edge"/>
          <c:x val="2.0951343500363109E-2"/>
          <c:y val="0.88442991667748616"/>
          <c:w val="0.9"/>
          <c:h val="8.162245965617052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66d92cf1-08e1-41e5-92d3-0cdcdb1e2433" ContentTypeId="0x01010004862C10171BD149BCA86DC4F354848008" PreviousValue="false"/>
</file>

<file path=customXml/item5.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2.xml><?xml version="1.0" encoding="utf-8"?>
<ds:datastoreItem xmlns:ds="http://schemas.openxmlformats.org/officeDocument/2006/customXml" ds:itemID="{DF1A0A30-8970-4E85-B808-4DBA2136EAA9}">
  <ds:schemaRefs>
    <ds:schemaRef ds:uri="http://schemas.microsoft.com/sharepoint/events"/>
  </ds:schemaRefs>
</ds:datastoreItem>
</file>

<file path=customXml/itemProps3.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4.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5.xml><?xml version="1.0" encoding="utf-8"?>
<ds:datastoreItem xmlns:ds="http://schemas.openxmlformats.org/officeDocument/2006/customXml" ds:itemID="{0E3AD30B-EF9F-4108-9EB5-72C5870F2F0E}">
  <ds:schemaRefs>
    <ds:schemaRef ds:uri="http://purl.org/dc/elements/1.1/"/>
    <ds:schemaRef ds:uri="http://schemas.openxmlformats.org/package/2006/metadata/core-properties"/>
    <ds:schemaRef ds:uri="http://purl.org/dc/terms/"/>
    <ds:schemaRef ds:uri="http://www.w3.org/XML/1998/namespace"/>
    <ds:schemaRef ds:uri="52d2b1bf-f310-45e2-aba7-632ee969a559"/>
    <ds:schemaRef ds:uri="http://schemas.microsoft.com/office/infopath/2007/PartnerControls"/>
    <ds:schemaRef ds:uri="http://purl.org/dc/dcmitype/"/>
    <ds:schemaRef ds:uri="http://schemas.microsoft.com/office/2006/documentManagement/types"/>
    <ds:schemaRef ds:uri="2124141f-bf93-4eca-8662-34a4511e35c8"/>
    <ds:schemaRef ds:uri="http://schemas.microsoft.com/office/2006/metadata/properties"/>
  </ds:schemaRefs>
</ds:datastoreItem>
</file>

<file path=customXml/itemProps6.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2023-12-08T02:08:00Z</dcterms:created>
  <dcterms:modified xsi:type="dcterms:W3CDTF">2023-12-11T00:20:00Z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ies>
</file>