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0B73" w14:textId="77777777" w:rsidR="00544F35" w:rsidRPr="00D204C3" w:rsidRDefault="0010593E" w:rsidP="00223B43">
      <w:pPr>
        <w:pStyle w:val="Spacer-cover"/>
      </w:pPr>
      <w:r w:rsidRPr="00D204C3">
        <w:rPr>
          <w:noProof/>
          <w:lang w:eastAsia="en-AU"/>
        </w:rPr>
        <w:drawing>
          <wp:anchor distT="0" distB="0" distL="114300" distR="114300" simplePos="0" relativeHeight="251660288" behindDoc="1" locked="1" layoutInCell="1" allowOverlap="1" wp14:anchorId="39904319" wp14:editId="52B34E80">
            <wp:simplePos x="0" y="0"/>
            <wp:positionH relativeFrom="margin">
              <wp:posOffset>-120015</wp:posOffset>
            </wp:positionH>
            <wp:positionV relativeFrom="margin">
              <wp:posOffset>-246380</wp:posOffset>
            </wp:positionV>
            <wp:extent cx="3230245" cy="1068705"/>
            <wp:effectExtent l="0" t="0" r="0" b="0"/>
            <wp:wrapNone/>
            <wp:docPr id="1"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9">
                      <a:extLst>
                        <a:ext uri="{C183D7F6-B498-43B3-948B-1728B52AA6E4}">
                          <adec:decorative xmlns:adec="http://schemas.microsoft.com/office/drawing/2017/decorative" val="1"/>
                        </a:ext>
                      </a:extLst>
                    </pic:cNvPr>
                    <pic:cNvPicPr/>
                  </pic:nvPicPr>
                  <pic:blipFill>
                    <a:blip r:embed="rId13"/>
                    <a:stretch>
                      <a:fillRect/>
                    </a:stretch>
                  </pic:blipFill>
                  <pic:spPr>
                    <a:xfrm>
                      <a:off x="0" y="0"/>
                      <a:ext cx="3230245" cy="1068705"/>
                    </a:xfrm>
                    <a:prstGeom prst="rect">
                      <a:avLst/>
                    </a:prstGeom>
                  </pic:spPr>
                </pic:pic>
              </a:graphicData>
            </a:graphic>
            <wp14:sizeRelH relativeFrom="margin">
              <wp14:pctWidth>0</wp14:pctWidth>
            </wp14:sizeRelH>
            <wp14:sizeRelV relativeFrom="margin">
              <wp14:pctHeight>0</wp14:pctHeight>
            </wp14:sizeRelV>
          </wp:anchor>
        </w:drawing>
      </w:r>
      <w:r w:rsidR="00544F35" w:rsidRPr="00D204C3">
        <w:rPr>
          <w:noProof/>
          <w:lang w:eastAsia="en-AU"/>
        </w:rPr>
        <w:drawing>
          <wp:anchor distT="0" distB="0" distL="114300" distR="114300" simplePos="0" relativeHeight="251658240" behindDoc="1" locked="1" layoutInCell="1" allowOverlap="1" wp14:anchorId="171B8711" wp14:editId="39423628">
            <wp:simplePos x="0" y="0"/>
            <wp:positionH relativeFrom="page">
              <wp:posOffset>288290</wp:posOffset>
            </wp:positionH>
            <wp:positionV relativeFrom="page">
              <wp:posOffset>288290</wp:posOffset>
            </wp:positionV>
            <wp:extent cx="6984000" cy="2232000"/>
            <wp:effectExtent l="0" t="0" r="762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84000" cy="2232000"/>
                    </a:xfrm>
                    <a:prstGeom prst="rect">
                      <a:avLst/>
                    </a:prstGeom>
                  </pic:spPr>
                </pic:pic>
              </a:graphicData>
            </a:graphic>
            <wp14:sizeRelH relativeFrom="margin">
              <wp14:pctWidth>0</wp14:pctWidth>
            </wp14:sizeRelH>
            <wp14:sizeRelV relativeFrom="margin">
              <wp14:pctHeight>0</wp14:pctHeight>
            </wp14:sizeRelV>
          </wp:anchor>
        </w:drawing>
      </w:r>
    </w:p>
    <w:p w14:paraId="16A51BAA" w14:textId="65DACBAF" w:rsidR="00B96FF7" w:rsidRPr="00D204C3" w:rsidRDefault="00BA2A4E" w:rsidP="00223B43">
      <w:pPr>
        <w:pStyle w:val="Title"/>
      </w:pPr>
      <w:r>
        <w:t>N</w:t>
      </w:r>
      <w:r w:rsidR="00E2779A">
        <w:t xml:space="preserve">ATIONAL VISITOR SURVEY RESULTS </w:t>
      </w:r>
      <w:r w:rsidR="005D3534">
        <w:t>M</w:t>
      </w:r>
      <w:r w:rsidR="00D43BB3">
        <w:t>ARCH</w:t>
      </w:r>
      <w:r w:rsidR="00E2779A">
        <w:t xml:space="preserve"> QUARTER 202</w:t>
      </w:r>
      <w:r w:rsidR="00C43C01">
        <w:t>3</w:t>
      </w:r>
    </w:p>
    <w:p w14:paraId="736744A6" w14:textId="77777777" w:rsidR="00165E47" w:rsidRPr="00D204C3" w:rsidRDefault="00165E47" w:rsidP="00572276">
      <w:pPr>
        <w:pStyle w:val="Heading2"/>
        <w:rPr>
          <w:sz w:val="2"/>
          <w:szCs w:val="2"/>
        </w:rPr>
      </w:pPr>
    </w:p>
    <w:p w14:paraId="4153463A" w14:textId="065D38BA" w:rsidR="00DE4FC6" w:rsidRDefault="00DE4FC6" w:rsidP="00EF76DD">
      <w:pPr>
        <w:pStyle w:val="Quote"/>
        <w:pBdr>
          <w:bottom w:val="single" w:sz="4" w:space="5" w:color="2E1A47" w:themeColor="text2"/>
        </w:pBdr>
        <w:spacing w:after="120"/>
        <w:ind w:right="0"/>
      </w:pPr>
      <w:bookmarkStart w:id="0" w:name="_Hlk97281665"/>
      <w:r w:rsidRPr="00D204C3">
        <w:rPr>
          <w:b/>
          <w:bCs/>
        </w:rPr>
        <w:t xml:space="preserve">Note: </w:t>
      </w:r>
      <w:r>
        <w:t>S</w:t>
      </w:r>
      <w:r w:rsidRPr="00D204C3">
        <w:t>ummary results for</w:t>
      </w:r>
      <w:r>
        <w:t xml:space="preserve"> the </w:t>
      </w:r>
      <w:r w:rsidR="005D3534">
        <w:t>March</w:t>
      </w:r>
      <w:r>
        <w:t xml:space="preserve"> quarter</w:t>
      </w:r>
      <w:r w:rsidR="00D82214">
        <w:t xml:space="preserve"> 202</w:t>
      </w:r>
      <w:r w:rsidR="00C43C01">
        <w:t>3</w:t>
      </w:r>
      <w:r>
        <w:t xml:space="preserve">, and the year ending </w:t>
      </w:r>
      <w:r w:rsidR="005D3534">
        <w:t>March</w:t>
      </w:r>
      <w:r>
        <w:t xml:space="preserve"> 202</w:t>
      </w:r>
      <w:r w:rsidR="00C43C01">
        <w:t>3</w:t>
      </w:r>
      <w:r>
        <w:t xml:space="preserve">, are compared to the </w:t>
      </w:r>
      <w:r w:rsidR="005D3534">
        <w:t>March</w:t>
      </w:r>
      <w:r>
        <w:t xml:space="preserve"> quarter</w:t>
      </w:r>
      <w:r w:rsidR="00D82214">
        <w:t xml:space="preserve"> 20</w:t>
      </w:r>
      <w:r w:rsidR="005D3534">
        <w:t>20</w:t>
      </w:r>
      <w:r>
        <w:t xml:space="preserve">, and the year ending </w:t>
      </w:r>
      <w:r w:rsidR="005D3534">
        <w:t>March</w:t>
      </w:r>
      <w:r>
        <w:t xml:space="preserve"> 20</w:t>
      </w:r>
      <w:r w:rsidR="005D3534">
        <w:t>20</w:t>
      </w:r>
      <w:r>
        <w:t xml:space="preserve"> unless stated otherwise. </w:t>
      </w:r>
      <w:bookmarkEnd w:id="0"/>
    </w:p>
    <w:p w14:paraId="5C9F6959" w14:textId="6A8A3CB5" w:rsidR="00F1258B" w:rsidRDefault="008916DE" w:rsidP="00F1258B">
      <w:pPr>
        <w:pStyle w:val="Heading2"/>
        <w:spacing w:before="160"/>
      </w:pPr>
      <w:r>
        <w:t>March</w:t>
      </w:r>
      <w:r w:rsidR="00584BF4" w:rsidRPr="00FD5168">
        <w:t xml:space="preserve"> quarter 202</w:t>
      </w:r>
      <w:r w:rsidR="00C43C01">
        <w:t>3</w:t>
      </w:r>
    </w:p>
    <w:p w14:paraId="79909955" w14:textId="11ED4A1D" w:rsidR="00584BF4" w:rsidRDefault="00B72F01" w:rsidP="00F1258B">
      <w:pPr>
        <w:pStyle w:val="Heading2"/>
        <w:spacing w:before="160"/>
      </w:pPr>
      <w:r>
        <w:rPr>
          <w:noProof/>
        </w:rPr>
        <w:drawing>
          <wp:inline distT="0" distB="0" distL="0" distR="0" wp14:anchorId="651AF36D" wp14:editId="55F99741">
            <wp:extent cx="6120130" cy="654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654050"/>
                    </a:xfrm>
                    <a:prstGeom prst="rect">
                      <a:avLst/>
                    </a:prstGeom>
                  </pic:spPr>
                </pic:pic>
              </a:graphicData>
            </a:graphic>
          </wp:inline>
        </w:drawing>
      </w:r>
      <w:r>
        <w:rPr>
          <w:noProof/>
        </w:rPr>
        <w:t xml:space="preserve"> </w:t>
      </w:r>
    </w:p>
    <w:p w14:paraId="300CD985" w14:textId="4DEDE96B" w:rsidR="00B43476" w:rsidRPr="00FD5168" w:rsidRDefault="00B43476" w:rsidP="00B43476">
      <w:pPr>
        <w:pStyle w:val="Heading2"/>
        <w:spacing w:before="160"/>
      </w:pPr>
      <w:r w:rsidRPr="00FD5168">
        <w:t xml:space="preserve">Year ending </w:t>
      </w:r>
      <w:r w:rsidR="008916DE">
        <w:t>March</w:t>
      </w:r>
      <w:r w:rsidRPr="00FD5168">
        <w:t xml:space="preserve"> 202</w:t>
      </w:r>
      <w:r w:rsidR="00C43C01">
        <w:t>3</w:t>
      </w:r>
    </w:p>
    <w:p w14:paraId="71707554" w14:textId="7D566F53" w:rsidR="00B72F01" w:rsidRDefault="00B72F01" w:rsidP="00B43476">
      <w:r>
        <w:rPr>
          <w:noProof/>
        </w:rPr>
        <w:drawing>
          <wp:inline distT="0" distB="0" distL="0" distR="0" wp14:anchorId="77F9AB86" wp14:editId="15251FB8">
            <wp:extent cx="6120130" cy="6527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65278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5466"/>
      </w:tblGrid>
      <w:tr w:rsidR="005A6F07" w14:paraId="552CE606" w14:textId="77777777" w:rsidTr="00037106">
        <w:tc>
          <w:tcPr>
            <w:tcW w:w="9638" w:type="dxa"/>
            <w:gridSpan w:val="2"/>
          </w:tcPr>
          <w:p w14:paraId="49D0242F" w14:textId="77777777" w:rsidR="00840F2D" w:rsidRDefault="00840F2D" w:rsidP="005A6F07">
            <w:pPr>
              <w:pStyle w:val="Heading2"/>
              <w:spacing w:before="0" w:after="0"/>
            </w:pPr>
          </w:p>
          <w:p w14:paraId="56A00D59" w14:textId="76A94F2F" w:rsidR="005A6F07" w:rsidRPr="005A6F07" w:rsidRDefault="00313275" w:rsidP="005A6F07">
            <w:pPr>
              <w:pStyle w:val="Heading2"/>
              <w:spacing w:before="0" w:after="0"/>
            </w:pPr>
            <w:r>
              <w:t>March quarter</w:t>
            </w:r>
            <w:r w:rsidR="005B4313">
              <w:t xml:space="preserve"> summary</w:t>
            </w:r>
            <w:r>
              <w:t xml:space="preserve"> </w:t>
            </w:r>
          </w:p>
        </w:tc>
      </w:tr>
      <w:tr w:rsidR="005A6F07" w14:paraId="621A04EA" w14:textId="77777777" w:rsidTr="00EF76DD">
        <w:tc>
          <w:tcPr>
            <w:tcW w:w="4682" w:type="dxa"/>
          </w:tcPr>
          <w:p w14:paraId="25FDDECB" w14:textId="77777777" w:rsidR="00F77FCC" w:rsidRDefault="00F77FCC" w:rsidP="005A6F07">
            <w:pPr>
              <w:rPr>
                <w:color w:val="FF0000"/>
              </w:rPr>
            </w:pPr>
          </w:p>
          <w:p w14:paraId="1DE0F7D4" w14:textId="77777777" w:rsidR="00B72F01" w:rsidRDefault="00B72F01" w:rsidP="00B72F01">
            <w:r>
              <w:t>The March quarter 2023 spend continued to perform strongly, exceeding the March quarter 2020 by 53%. Overnight trips and nights away rose by 16% and 13% respectively when compared to the same period.</w:t>
            </w:r>
          </w:p>
          <w:p w14:paraId="7ADC6AA3" w14:textId="77777777" w:rsidR="00B72F01" w:rsidRDefault="00B72F01" w:rsidP="00B72F01">
            <w:pPr>
              <w:spacing w:after="0" w:line="240" w:lineRule="auto"/>
            </w:pPr>
          </w:p>
          <w:p w14:paraId="75468F91" w14:textId="5A90440D" w:rsidR="009B58A9" w:rsidRDefault="00B72F01" w:rsidP="00B72F01">
            <w:r>
              <w:t>The forward-looking overnight domestic trip rate indicator (Figure 1) showed an increase in April 2023 (Easter and school holidays) followed by a slightly milder May.</w:t>
            </w:r>
          </w:p>
          <w:p w14:paraId="0FF20C11" w14:textId="77777777" w:rsidR="005A6F07" w:rsidRDefault="005A6F07" w:rsidP="00BE574A"/>
          <w:p w14:paraId="5521DF7A" w14:textId="77777777" w:rsidR="00840F2D" w:rsidRDefault="00840F2D" w:rsidP="00BE574A"/>
          <w:p w14:paraId="47615201" w14:textId="77777777" w:rsidR="00840F2D" w:rsidRDefault="00840F2D" w:rsidP="00BE574A"/>
          <w:p w14:paraId="648C2008" w14:textId="77777777" w:rsidR="00840F2D" w:rsidRDefault="00840F2D" w:rsidP="00BE574A"/>
          <w:p w14:paraId="0C046AFD" w14:textId="77777777" w:rsidR="00840F2D" w:rsidRDefault="00840F2D" w:rsidP="00BE574A"/>
          <w:p w14:paraId="2B6F38CA" w14:textId="77777777" w:rsidR="00840F2D" w:rsidRDefault="00840F2D" w:rsidP="00BE574A"/>
          <w:p w14:paraId="0527002F" w14:textId="77777777" w:rsidR="00840F2D" w:rsidRDefault="00840F2D" w:rsidP="00BE574A"/>
          <w:p w14:paraId="7D90C973" w14:textId="60FA80AB" w:rsidR="00840F2D" w:rsidRDefault="00840F2D" w:rsidP="00BE574A"/>
        </w:tc>
        <w:tc>
          <w:tcPr>
            <w:tcW w:w="4956" w:type="dxa"/>
          </w:tcPr>
          <w:p w14:paraId="4597C2C9" w14:textId="77777777" w:rsidR="000F1139" w:rsidRDefault="000F1139" w:rsidP="000F1139">
            <w:pPr>
              <w:rPr>
                <w:b/>
                <w:bCs/>
                <w:noProof/>
              </w:rPr>
            </w:pPr>
            <w:r w:rsidRPr="001B5E50">
              <w:rPr>
                <w:b/>
                <w:bCs/>
              </w:rPr>
              <w:t xml:space="preserve">Figure </w:t>
            </w:r>
            <w:r>
              <w:rPr>
                <w:b/>
                <w:bCs/>
              </w:rPr>
              <w:t>1</w:t>
            </w:r>
            <w:r w:rsidRPr="001B5E50">
              <w:rPr>
                <w:b/>
                <w:bCs/>
              </w:rPr>
              <w:t xml:space="preserve">. Domestic overnight trips and trip rates, </w:t>
            </w:r>
            <w:r>
              <w:rPr>
                <w:b/>
                <w:bCs/>
              </w:rPr>
              <w:t>April 2022</w:t>
            </w:r>
            <w:r w:rsidRPr="001B5E50">
              <w:rPr>
                <w:b/>
                <w:bCs/>
              </w:rPr>
              <w:t xml:space="preserve"> </w:t>
            </w:r>
            <w:r w:rsidRPr="00511B5A">
              <w:rPr>
                <w:b/>
                <w:bCs/>
              </w:rPr>
              <w:t xml:space="preserve">to </w:t>
            </w:r>
            <w:r>
              <w:rPr>
                <w:b/>
                <w:bCs/>
              </w:rPr>
              <w:t>May</w:t>
            </w:r>
            <w:r w:rsidRPr="00511B5A">
              <w:rPr>
                <w:b/>
                <w:bCs/>
              </w:rPr>
              <w:t xml:space="preserve"> </w:t>
            </w:r>
            <w:r w:rsidRPr="001B5E50">
              <w:rPr>
                <w:b/>
                <w:bCs/>
              </w:rPr>
              <w:t>202</w:t>
            </w:r>
            <w:r>
              <w:rPr>
                <w:b/>
                <w:bCs/>
              </w:rPr>
              <w:t>3</w:t>
            </w:r>
            <w:r w:rsidRPr="001B5E50">
              <w:rPr>
                <w:b/>
                <w:bCs/>
                <w:vertAlign w:val="superscript"/>
              </w:rPr>
              <w:t>1</w:t>
            </w:r>
            <w:r w:rsidRPr="001B5E50">
              <w:rPr>
                <w:b/>
                <w:bCs/>
                <w:noProof/>
              </w:rPr>
              <w:t xml:space="preserve">  </w:t>
            </w:r>
          </w:p>
          <w:p w14:paraId="65B94E51" w14:textId="44494A7D" w:rsidR="00EF76DD" w:rsidRDefault="000F1139" w:rsidP="00FF7A01">
            <w:pPr>
              <w:rPr>
                <w:b/>
                <w:bCs/>
                <w:noProof/>
              </w:rPr>
            </w:pPr>
            <w:r>
              <w:rPr>
                <w:noProof/>
              </w:rPr>
              <w:drawing>
                <wp:inline distT="0" distB="0" distL="0" distR="0" wp14:anchorId="4ABB6AD0" wp14:editId="75CB360D">
                  <wp:extent cx="3333750" cy="2428875"/>
                  <wp:effectExtent l="0" t="0" r="0" b="9525"/>
                  <wp:docPr id="15" name="Picture 15" descr="The chart illustrates the number of domestic overnight trips taken by month from April 2022 to May 2023. The chart also illustrates the trip rate for NVS respondents from April 2022 to May 2023. &#10;The chart shows that the trip rate follows a similar pattern to the number of domestic overnight trips. As the trip rate data is available two months in advance of the overnight trips data it can provide insight for where overnight trips are likely to head in April and May 2023.&#10;There were 11 million domestic overnight trips in April 2022, this dropped to 9 million in May and to 8 million in June. In March 2023, there were approximately 10 million overnight trips.&#10;The trip rate followed a similar pattern, in April 2022, almost 31 per cent of NVS respondents reported taking one or more trips in the preceding 28 days. This increased in May but dropped to 28 per cent in June 2022. There was then a sharp improvement in trip rates in April 2023 to 33 per cent before coming back down to 30 per cent in May.&#10;This indicates that this trend is likely to be observed in the April and May 2023 overnight trips data once this becomes availab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e chart illustrates the number of domestic overnight trips taken by month from April 2022 to May 2023. The chart also illustrates the trip rate for NVS respondents from April 2022 to May 2023. &#10;The chart shows that the trip rate follows a similar pattern to the number of domestic overnight trips. As the trip rate data is available two months in advance of the overnight trips data it can provide insight for where overnight trips are likely to head in April and May 2023.&#10;There were 11 million domestic overnight trips in April 2022, this dropped to 9 million in May and to 8 million in June. In March 2023, there were approximately 10 million overnight trips.&#10;The trip rate followed a similar pattern, in April 2022, almost 31 per cent of NVS respondents reported taking one or more trips in the preceding 28 days. This increased in May but dropped to 28 per cent in June 2022. There was then a sharp improvement in trip rates in April 2023 to 33 per cent before coming back down to 30 per cent in May.&#10;This indicates that this trend is likely to be observed in the April and May 2023 overnight trips data once this becomes available.&#10;"/>
                          <pic:cNvPicPr/>
                        </pic:nvPicPr>
                        <pic:blipFill>
                          <a:blip r:embed="rId17"/>
                          <a:stretch>
                            <a:fillRect/>
                          </a:stretch>
                        </pic:blipFill>
                        <pic:spPr>
                          <a:xfrm>
                            <a:off x="0" y="0"/>
                            <a:ext cx="3333750" cy="2428875"/>
                          </a:xfrm>
                          <a:prstGeom prst="rect">
                            <a:avLst/>
                          </a:prstGeom>
                        </pic:spPr>
                      </pic:pic>
                    </a:graphicData>
                  </a:graphic>
                </wp:inline>
              </w:drawing>
            </w:r>
            <w:r w:rsidR="00FF7A01" w:rsidRPr="001B5E50">
              <w:rPr>
                <w:b/>
                <w:bCs/>
              </w:rPr>
              <w:t xml:space="preserve"> </w:t>
            </w:r>
          </w:p>
          <w:p w14:paraId="5466F3AD" w14:textId="77777777" w:rsidR="00FF7A01" w:rsidRDefault="005A6F07" w:rsidP="00FF7A01">
            <w:pPr>
              <w:rPr>
                <w:rFonts w:ascii="AU Sans BETA Text Light" w:hAnsi="AU Sans BETA Text Light" w:cs="AU Sans BETA Text Light"/>
                <w:sz w:val="14"/>
                <w:szCs w:val="14"/>
              </w:rPr>
            </w:pPr>
            <w:r w:rsidRPr="009C095D">
              <w:rPr>
                <w:rFonts w:ascii="AU Sans BETA Text Light" w:hAnsi="AU Sans BETA Text Light"/>
                <w:sz w:val="24"/>
                <w:szCs w:val="24"/>
              </w:rPr>
              <w:t xml:space="preserve"> </w:t>
            </w:r>
            <w:r w:rsidRPr="009C095D">
              <w:rPr>
                <w:rFonts w:ascii="AU Sans BETA Text Light" w:hAnsi="AU Sans BETA Text Light" w:cs="AU Sans BETA Text Light"/>
                <w:position w:val="5"/>
                <w:sz w:val="8"/>
                <w:szCs w:val="8"/>
                <w:vertAlign w:val="superscript"/>
              </w:rPr>
              <w:t xml:space="preserve">1 </w:t>
            </w:r>
            <w:r w:rsidR="00FF7A01" w:rsidRPr="00FF7A01">
              <w:rPr>
                <w:rFonts w:ascii="AU Sans BETA Text Light" w:hAnsi="AU Sans BETA Text Light" w:cs="AU Sans BETA Text Light"/>
                <w:sz w:val="14"/>
                <w:szCs w:val="14"/>
              </w:rPr>
              <w:t>The trip rate reports whether a respondent has taken a trip in the past four weeks. The trip rate of 30.10% for May 2023 indicates a high level of NVS respondents reported taking one or more overnight trips in the preceding 28 days (the reference period). The return date will have been in April 2023 for some of these trips reported in May 2023.</w:t>
            </w:r>
          </w:p>
          <w:p w14:paraId="5D2F449D" w14:textId="77777777" w:rsidR="00FF7A01" w:rsidRPr="00FF7A01" w:rsidRDefault="00FF7A01" w:rsidP="00FF7A01">
            <w:pPr>
              <w:spacing w:after="0" w:line="240" w:lineRule="auto"/>
              <w:rPr>
                <w:rFonts w:ascii="AU Sans BETA Text Light" w:hAnsi="AU Sans BETA Text Light" w:cs="AU Sans BETA Text Light"/>
                <w:sz w:val="14"/>
                <w:szCs w:val="14"/>
              </w:rPr>
            </w:pPr>
          </w:p>
          <w:p w14:paraId="368D343E" w14:textId="0C9F187B" w:rsidR="005A6F07" w:rsidRDefault="00FF7A01" w:rsidP="00FF7A01">
            <w:r w:rsidRPr="00FF7A01">
              <w:rPr>
                <w:rFonts w:ascii="AU Sans BETA Text Light" w:hAnsi="AU Sans BETA Text Light" w:cs="AU Sans BETA Text Light"/>
                <w:sz w:val="14"/>
                <w:szCs w:val="14"/>
              </w:rPr>
              <w:t>The trip estimate of 9.5 million for the month of March refers to overnight trips returned from in that month.</w:t>
            </w:r>
          </w:p>
        </w:tc>
      </w:tr>
      <w:tr w:rsidR="00D95B30" w14:paraId="54EAEB92" w14:textId="77777777" w:rsidTr="008F60CF">
        <w:tc>
          <w:tcPr>
            <w:tcW w:w="4682" w:type="dxa"/>
          </w:tcPr>
          <w:p w14:paraId="40C79B32" w14:textId="087ED0F2" w:rsidR="00D95B30" w:rsidRDefault="00D95B30" w:rsidP="005A6F07"/>
        </w:tc>
        <w:tc>
          <w:tcPr>
            <w:tcW w:w="4956" w:type="dxa"/>
          </w:tcPr>
          <w:p w14:paraId="4499A20F" w14:textId="77777777" w:rsidR="00D95B30" w:rsidRDefault="00D95B30" w:rsidP="005A6F07">
            <w:pPr>
              <w:rPr>
                <w:b/>
                <w:bCs/>
              </w:rPr>
            </w:pPr>
          </w:p>
        </w:tc>
      </w:tr>
    </w:tbl>
    <w:p w14:paraId="45F9760D" w14:textId="5B588607" w:rsidR="00EA236E" w:rsidRDefault="00EA236E" w:rsidP="00EF46F9">
      <w:pPr>
        <w:rPr>
          <w:b/>
          <w:bCs/>
          <w:color w:val="1E988A" w:themeColor="background2"/>
          <w:sz w:val="26"/>
          <w:szCs w:val="26"/>
        </w:rPr>
      </w:pPr>
      <w:r>
        <w:rPr>
          <w:b/>
          <w:bCs/>
          <w:color w:val="1E988A" w:themeColor="background2"/>
          <w:sz w:val="26"/>
          <w:szCs w:val="26"/>
        </w:rPr>
        <w:lastRenderedPageBreak/>
        <w:t xml:space="preserve">Travellers return to capital </w:t>
      </w:r>
      <w:proofErr w:type="gramStart"/>
      <w:r>
        <w:rPr>
          <w:b/>
          <w:bCs/>
          <w:color w:val="1E988A" w:themeColor="background2"/>
          <w:sz w:val="26"/>
          <w:szCs w:val="26"/>
        </w:rPr>
        <w:t>cities</w:t>
      </w:r>
      <w:proofErr w:type="gramEnd"/>
    </w:p>
    <w:p w14:paraId="5E8BAD28" w14:textId="23248952" w:rsidR="003569E6" w:rsidRDefault="003569E6" w:rsidP="003569E6">
      <w:pPr>
        <w:rPr>
          <w:b/>
          <w:bCs/>
          <w:color w:val="1E988A" w:themeColor="accent3"/>
          <w:sz w:val="22"/>
          <w:szCs w:val="22"/>
        </w:rPr>
      </w:pPr>
      <w:r>
        <w:t>Domestic overnight travellers continued to return to capital cities in the year ending March 2023,</w:t>
      </w:r>
      <w:r>
        <w:t xml:space="preserve"> </w:t>
      </w:r>
      <w:r>
        <w:t>nearing levels seen in the year ending March 2020 (Figure 2).</w:t>
      </w:r>
      <w:r w:rsidRPr="00DA6EAC">
        <w:rPr>
          <w:b/>
          <w:bCs/>
          <w:color w:val="1E988A" w:themeColor="accent3"/>
          <w:sz w:val="22"/>
          <w:szCs w:val="22"/>
        </w:rPr>
        <w:t xml:space="preserve"> </w:t>
      </w:r>
    </w:p>
    <w:p w14:paraId="0D8DB4B2" w14:textId="77777777" w:rsidR="003569E6" w:rsidRDefault="003569E6" w:rsidP="003569E6">
      <w:pPr>
        <w:rPr>
          <w:b/>
          <w:bCs/>
          <w:color w:val="1E988A" w:themeColor="accent3"/>
          <w:sz w:val="22"/>
          <w:szCs w:val="22"/>
        </w:rPr>
      </w:pPr>
    </w:p>
    <w:p w14:paraId="24E4952B" w14:textId="23248952" w:rsidR="00B00760" w:rsidRPr="00DA6EAC" w:rsidRDefault="00B00760" w:rsidP="003569E6">
      <w:pPr>
        <w:rPr>
          <w:b/>
          <w:bCs/>
          <w:color w:val="1E988A" w:themeColor="accent3"/>
          <w:sz w:val="22"/>
          <w:szCs w:val="22"/>
        </w:rPr>
      </w:pPr>
      <w:r w:rsidRPr="00DA6EAC">
        <w:rPr>
          <w:b/>
          <w:bCs/>
          <w:color w:val="1E988A" w:themeColor="accent3"/>
          <w:sz w:val="22"/>
          <w:szCs w:val="22"/>
        </w:rPr>
        <w:t xml:space="preserve">Capital </w:t>
      </w:r>
      <w:proofErr w:type="gramStart"/>
      <w:r w:rsidRPr="00DA6EAC">
        <w:rPr>
          <w:b/>
          <w:bCs/>
          <w:color w:val="1E988A" w:themeColor="accent3"/>
          <w:sz w:val="22"/>
          <w:szCs w:val="22"/>
        </w:rPr>
        <w:t>cities</w:t>
      </w:r>
      <w:proofErr w:type="gramEnd"/>
    </w:p>
    <w:p w14:paraId="2B57D57F" w14:textId="77777777" w:rsidR="003569E6" w:rsidRDefault="003569E6" w:rsidP="003569E6">
      <w:pPr>
        <w:pStyle w:val="NoSpacing"/>
      </w:pPr>
      <w:r>
        <w:t>In the year ending March 2023, Australians took 44.2 million trips to capital cities and spent $49.1 billion. This was a:</w:t>
      </w:r>
    </w:p>
    <w:p w14:paraId="1EF456CE" w14:textId="77777777" w:rsidR="003569E6" w:rsidRDefault="003569E6" w:rsidP="003569E6">
      <w:pPr>
        <w:pStyle w:val="NoSpacing"/>
      </w:pPr>
    </w:p>
    <w:p w14:paraId="63A63137" w14:textId="777DFEB2" w:rsidR="003569E6" w:rsidRDefault="003569E6" w:rsidP="003569E6">
      <w:pPr>
        <w:pStyle w:val="NoSpacing"/>
        <w:numPr>
          <w:ilvl w:val="0"/>
          <w:numId w:val="41"/>
        </w:numPr>
      </w:pPr>
      <w:r>
        <w:t>63% increase in overnight trips and a 113% increase in spend when compared to the year ending March 2022</w:t>
      </w:r>
    </w:p>
    <w:p w14:paraId="43A897F3" w14:textId="37A0FB42" w:rsidR="00B00760" w:rsidRDefault="003569E6" w:rsidP="003569E6">
      <w:pPr>
        <w:pStyle w:val="NoSpacing"/>
        <w:numPr>
          <w:ilvl w:val="0"/>
          <w:numId w:val="41"/>
        </w:numPr>
      </w:pPr>
      <w:r>
        <w:t>6% decrease in overnight trips but a 29% increase in spend when compared to the year ending March 2020.</w:t>
      </w:r>
    </w:p>
    <w:p w14:paraId="39AB30DA" w14:textId="77777777" w:rsidR="003569E6" w:rsidRPr="00240083" w:rsidRDefault="003569E6" w:rsidP="003569E6">
      <w:pPr>
        <w:pStyle w:val="NoSpacing"/>
      </w:pPr>
    </w:p>
    <w:p w14:paraId="35DA2C9B" w14:textId="77777777" w:rsidR="00B00760" w:rsidRPr="00DA6EAC" w:rsidRDefault="00B00760" w:rsidP="00B00760">
      <w:pPr>
        <w:rPr>
          <w:b/>
          <w:bCs/>
          <w:color w:val="1E988A" w:themeColor="accent3"/>
          <w:sz w:val="22"/>
          <w:szCs w:val="22"/>
        </w:rPr>
      </w:pPr>
      <w:r>
        <w:rPr>
          <w:b/>
          <w:bCs/>
          <w:color w:val="1E988A" w:themeColor="accent3"/>
          <w:sz w:val="22"/>
          <w:szCs w:val="22"/>
        </w:rPr>
        <w:t>Regional areas</w:t>
      </w:r>
    </w:p>
    <w:p w14:paraId="2AB6AC01" w14:textId="77777777" w:rsidR="003569E6" w:rsidRDefault="003569E6" w:rsidP="003569E6">
      <w:r>
        <w:t>Travel to regional areas also performed well. Overnight trips exceeded the year ending March 2020 levels for the first time since the onset of the pandemic.</w:t>
      </w:r>
    </w:p>
    <w:p w14:paraId="3CF16354" w14:textId="77777777" w:rsidR="003569E6" w:rsidRDefault="003569E6" w:rsidP="003569E6">
      <w:r>
        <w:t>In the year ending March 2023, Australians took 72.9 million trips to regional areas and spent $59.0 billion. This was a:</w:t>
      </w:r>
    </w:p>
    <w:p w14:paraId="137C5380" w14:textId="33E44C4E" w:rsidR="003569E6" w:rsidRDefault="003569E6" w:rsidP="003569E6">
      <w:pPr>
        <w:pStyle w:val="NoSpacing"/>
        <w:numPr>
          <w:ilvl w:val="0"/>
          <w:numId w:val="41"/>
        </w:numPr>
      </w:pPr>
      <w:r>
        <w:t>25% increase in overnight trips and a 46% increase in spend when compared to the year ending March 2022</w:t>
      </w:r>
    </w:p>
    <w:p w14:paraId="4C054B43" w14:textId="585016F7" w:rsidR="0028604D" w:rsidRDefault="003569E6" w:rsidP="003569E6">
      <w:pPr>
        <w:pStyle w:val="NoSpacing"/>
        <w:numPr>
          <w:ilvl w:val="0"/>
          <w:numId w:val="41"/>
        </w:numPr>
      </w:pPr>
      <w:r>
        <w:t>4% increase in overnight trips and a 45% increase in spend when compared to the year ending March 2020.</w:t>
      </w:r>
    </w:p>
    <w:p w14:paraId="43AEC767" w14:textId="77777777" w:rsidR="003569E6" w:rsidRDefault="003569E6" w:rsidP="003569E6">
      <w:pPr>
        <w:pStyle w:val="NoSpacing"/>
      </w:pPr>
    </w:p>
    <w:p w14:paraId="724F261D" w14:textId="27194450" w:rsidR="0028604D" w:rsidRPr="0028604D" w:rsidRDefault="0028604D" w:rsidP="0028604D">
      <w:pPr>
        <w:rPr>
          <w:b/>
          <w:bCs/>
        </w:rPr>
      </w:pPr>
      <w:r w:rsidRPr="00E71A3F">
        <w:rPr>
          <w:b/>
          <w:bCs/>
        </w:rPr>
        <w:t>Figure 2. Overnight trips to capital cities &amp; regional areas, Year ending March 2015 to 2023</w:t>
      </w:r>
    </w:p>
    <w:p w14:paraId="428D267A" w14:textId="31820CF4" w:rsidR="00C43C01" w:rsidRDefault="00A749CC" w:rsidP="0028604D">
      <w:pPr>
        <w:jc w:val="center"/>
        <w:rPr>
          <w:color w:val="FF0000"/>
        </w:rPr>
      </w:pPr>
      <w:r>
        <w:rPr>
          <w:noProof/>
        </w:rPr>
        <w:drawing>
          <wp:inline distT="0" distB="0" distL="0" distR="0" wp14:anchorId="6537C953" wp14:editId="2A93E5F4">
            <wp:extent cx="6120130" cy="3519805"/>
            <wp:effectExtent l="0" t="0" r="0" b="4445"/>
            <wp:docPr id="16" name="Picture 16" descr="The chart shows overnight trips to capital cities and regional areas, from the year ending March 2015 to 2023. &#10;Overnight trips to capital cities increased year on year at a moderate level from year ending March 2015 with 35 million overnight trips to 2020 with 47 million overnight trips. This is followed by a sharp drop in year ending March 2021 due to impacts from the COVID-19 pandemic. In year ending March 2023, overnight trips to capital cities almost recovered to levels seen in 2020 at 44 million overnight trips. &#10;Overnight trips to regional areas had a similar pattern with overnight trips to capital cities. However, in year ending March 2023 overnight trips to regional areas exceeded levels seen in 2020 at 73 million overnights trips. This is a 4 per cent increase.&#10;Domestic overnight spend have since shown strong recovery. In 2021, domestic overnight spend increased by 33% from 2020. In 2022, domestic overnight spend increased by 67% from 2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e chart shows overnight trips to capital cities and regional areas, from the year ending March 2015 to 2023. &#10;Overnight trips to capital cities increased year on year at a moderate level from year ending March 2015 with 35 million overnight trips to 2020 with 47 million overnight trips. This is followed by a sharp drop in year ending March 2021 due to impacts from the COVID-19 pandemic. In year ending March 2023, overnight trips to capital cities almost recovered to levels seen in 2020 at 44 million overnight trips. &#10;Overnight trips to regional areas had a similar pattern with overnight trips to capital cities. However, in year ending March 2023 overnight trips to regional areas exceeded levels seen in 2020 at 73 million overnights trips. This is a 4 per cent increase.&#10;Domestic overnight spend have since shown strong recovery. In 2021, domestic overnight spend increased by 33% from 2020. In 2022, domestic overnight spend increased by 67% from 2021.&#10;"/>
                    <pic:cNvPicPr/>
                  </pic:nvPicPr>
                  <pic:blipFill>
                    <a:blip r:embed="rId18"/>
                    <a:stretch>
                      <a:fillRect/>
                    </a:stretch>
                  </pic:blipFill>
                  <pic:spPr>
                    <a:xfrm>
                      <a:off x="0" y="0"/>
                      <a:ext cx="6120130" cy="3519805"/>
                    </a:xfrm>
                    <a:prstGeom prst="rect">
                      <a:avLst/>
                    </a:prstGeom>
                  </pic:spPr>
                </pic:pic>
              </a:graphicData>
            </a:graphic>
          </wp:inline>
        </w:drawing>
      </w:r>
    </w:p>
    <w:p w14:paraId="6D9D36B4" w14:textId="0F5E7D45" w:rsidR="00681284" w:rsidRDefault="00681284" w:rsidP="00037937">
      <w:pPr>
        <w:rPr>
          <w:b/>
          <w:bCs/>
        </w:rPr>
      </w:pPr>
    </w:p>
    <w:p w14:paraId="50996EA9" w14:textId="77777777" w:rsidR="00681284" w:rsidRDefault="00681284" w:rsidP="00037937">
      <w:pPr>
        <w:rPr>
          <w:b/>
          <w:bCs/>
        </w:rPr>
      </w:pPr>
    </w:p>
    <w:p w14:paraId="39D23071" w14:textId="77777777" w:rsidR="009A4720" w:rsidRDefault="009A4720" w:rsidP="00037937">
      <w:pPr>
        <w:rPr>
          <w:b/>
          <w:bCs/>
        </w:rPr>
      </w:pPr>
    </w:p>
    <w:p w14:paraId="4AC52FD9" w14:textId="77777777" w:rsidR="00840F2D" w:rsidRDefault="00840F2D" w:rsidP="00037937">
      <w:pPr>
        <w:rPr>
          <w:b/>
          <w:bCs/>
        </w:rPr>
      </w:pPr>
    </w:p>
    <w:p w14:paraId="74B321D5" w14:textId="78B25E20" w:rsidR="009A4720" w:rsidRDefault="00330586" w:rsidP="009A4720">
      <w:pPr>
        <w:rPr>
          <w:b/>
          <w:bCs/>
        </w:rPr>
      </w:pPr>
      <w:r>
        <w:rPr>
          <w:b/>
          <w:bCs/>
          <w:color w:val="1E988A" w:themeColor="background2"/>
          <w:sz w:val="26"/>
          <w:szCs w:val="26"/>
        </w:rPr>
        <w:t xml:space="preserve">Holiday travel </w:t>
      </w:r>
      <w:r w:rsidR="00EF4B2E">
        <w:rPr>
          <w:b/>
          <w:bCs/>
          <w:color w:val="1E988A" w:themeColor="background2"/>
          <w:sz w:val="26"/>
          <w:szCs w:val="26"/>
        </w:rPr>
        <w:t>drives the return to</w:t>
      </w:r>
      <w:r>
        <w:rPr>
          <w:b/>
          <w:bCs/>
          <w:color w:val="1E988A" w:themeColor="background2"/>
          <w:sz w:val="26"/>
          <w:szCs w:val="26"/>
        </w:rPr>
        <w:t xml:space="preserve"> capital </w:t>
      </w:r>
      <w:proofErr w:type="gramStart"/>
      <w:r>
        <w:rPr>
          <w:b/>
          <w:bCs/>
          <w:color w:val="1E988A" w:themeColor="background2"/>
          <w:sz w:val="26"/>
          <w:szCs w:val="26"/>
        </w:rPr>
        <w:t>cities</w:t>
      </w:r>
      <w:proofErr w:type="gramEnd"/>
    </w:p>
    <w:p w14:paraId="12374AAE" w14:textId="77777777" w:rsidR="00977250" w:rsidRDefault="00977250" w:rsidP="009A4720">
      <w:r w:rsidRPr="00977250">
        <w:t>The March quarter 2023 saw holiday trips drive the return to capital cities. This was followed by business trips, with both exceeding the March quarter 2022 levels.</w:t>
      </w:r>
    </w:p>
    <w:p w14:paraId="2250C070" w14:textId="77777777" w:rsidR="00BC7C46" w:rsidRDefault="00BC7C46" w:rsidP="009A47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912"/>
      </w:tblGrid>
      <w:tr w:rsidR="00977250" w14:paraId="650ECB15" w14:textId="77777777" w:rsidTr="00BC7C46">
        <w:tc>
          <w:tcPr>
            <w:tcW w:w="4673" w:type="dxa"/>
          </w:tcPr>
          <w:p w14:paraId="14161934" w14:textId="77777777" w:rsidR="00977250" w:rsidRPr="00DA6EAC" w:rsidRDefault="00977250" w:rsidP="00977250">
            <w:pPr>
              <w:rPr>
                <w:b/>
                <w:bCs/>
                <w:color w:val="1E988A" w:themeColor="accent3"/>
                <w:sz w:val="22"/>
                <w:szCs w:val="22"/>
              </w:rPr>
            </w:pPr>
            <w:r w:rsidRPr="00DA6EAC">
              <w:rPr>
                <w:b/>
                <w:bCs/>
                <w:color w:val="1E988A" w:themeColor="accent3"/>
                <w:sz w:val="22"/>
                <w:szCs w:val="22"/>
              </w:rPr>
              <w:t xml:space="preserve">Capital </w:t>
            </w:r>
            <w:proofErr w:type="gramStart"/>
            <w:r w:rsidRPr="00DA6EAC">
              <w:rPr>
                <w:b/>
                <w:bCs/>
                <w:color w:val="1E988A" w:themeColor="accent3"/>
                <w:sz w:val="22"/>
                <w:szCs w:val="22"/>
              </w:rPr>
              <w:t>cities</w:t>
            </w:r>
            <w:proofErr w:type="gramEnd"/>
          </w:p>
          <w:p w14:paraId="50C3E28F" w14:textId="77777777" w:rsidR="00977250" w:rsidRDefault="00977250" w:rsidP="00977250"/>
          <w:p w14:paraId="4D86E278" w14:textId="77777777" w:rsidR="00977250" w:rsidRDefault="00977250" w:rsidP="00977250">
            <w:r>
              <w:t>When compared to the March quarter 2022:</w:t>
            </w:r>
          </w:p>
          <w:p w14:paraId="00A58F5F" w14:textId="77777777" w:rsidR="00977250" w:rsidRDefault="00977250" w:rsidP="00977250">
            <w:pPr>
              <w:spacing w:after="0" w:line="240" w:lineRule="auto"/>
            </w:pPr>
          </w:p>
          <w:p w14:paraId="74030C3F" w14:textId="79AF5BE3" w:rsidR="00977250" w:rsidRPr="00977250" w:rsidRDefault="00977250" w:rsidP="00977250">
            <w:pPr>
              <w:pStyle w:val="ListParagraph"/>
              <w:numPr>
                <w:ilvl w:val="0"/>
                <w:numId w:val="37"/>
              </w:numPr>
              <w:rPr>
                <w:rFonts w:asciiTheme="minorHAnsi" w:hAnsiTheme="minorHAnsi" w:cstheme="minorBidi"/>
                <w:lang w:eastAsia="zh-CN"/>
              </w:rPr>
            </w:pPr>
            <w:r w:rsidRPr="00977250">
              <w:rPr>
                <w:rFonts w:asciiTheme="minorHAnsi" w:hAnsiTheme="minorHAnsi" w:cstheme="minorBidi"/>
                <w:lang w:eastAsia="zh-CN"/>
              </w:rPr>
              <w:t xml:space="preserve">Holiday travel rose by 41% or 1.2 million </w:t>
            </w:r>
            <w:proofErr w:type="gramStart"/>
            <w:r w:rsidRPr="00977250">
              <w:rPr>
                <w:rFonts w:asciiTheme="minorHAnsi" w:hAnsiTheme="minorHAnsi" w:cstheme="minorBidi"/>
                <w:lang w:eastAsia="zh-CN"/>
              </w:rPr>
              <w:t>trips</w:t>
            </w:r>
            <w:proofErr w:type="gramEnd"/>
          </w:p>
          <w:p w14:paraId="1DC6C36F" w14:textId="68BD8DEA" w:rsidR="00977250" w:rsidRPr="00977250" w:rsidRDefault="00977250" w:rsidP="00977250">
            <w:pPr>
              <w:pStyle w:val="ListParagraph"/>
              <w:numPr>
                <w:ilvl w:val="0"/>
                <w:numId w:val="37"/>
              </w:numPr>
              <w:rPr>
                <w:rFonts w:asciiTheme="minorHAnsi" w:hAnsiTheme="minorHAnsi" w:cstheme="minorBidi"/>
                <w:lang w:eastAsia="zh-CN"/>
              </w:rPr>
            </w:pPr>
            <w:r w:rsidRPr="00977250">
              <w:rPr>
                <w:rFonts w:asciiTheme="minorHAnsi" w:hAnsiTheme="minorHAnsi" w:cstheme="minorBidi"/>
                <w:lang w:eastAsia="zh-CN"/>
              </w:rPr>
              <w:t xml:space="preserve">Business travel rose by 35% or 523,000 </w:t>
            </w:r>
            <w:proofErr w:type="gramStart"/>
            <w:r w:rsidRPr="00977250">
              <w:rPr>
                <w:rFonts w:asciiTheme="minorHAnsi" w:hAnsiTheme="minorHAnsi" w:cstheme="minorBidi"/>
                <w:lang w:eastAsia="zh-CN"/>
              </w:rPr>
              <w:t>trips</w:t>
            </w:r>
            <w:proofErr w:type="gramEnd"/>
          </w:p>
          <w:p w14:paraId="6D443DF5" w14:textId="4AFA30CF" w:rsidR="00977250" w:rsidRPr="00977250" w:rsidRDefault="00977250" w:rsidP="00977250">
            <w:pPr>
              <w:pStyle w:val="ListParagraph"/>
              <w:numPr>
                <w:ilvl w:val="0"/>
                <w:numId w:val="37"/>
              </w:numPr>
              <w:rPr>
                <w:rFonts w:asciiTheme="minorHAnsi" w:hAnsiTheme="minorHAnsi" w:cstheme="minorBidi"/>
                <w:lang w:eastAsia="zh-CN"/>
              </w:rPr>
            </w:pPr>
            <w:r w:rsidRPr="00977250">
              <w:rPr>
                <w:rFonts w:asciiTheme="minorHAnsi" w:hAnsiTheme="minorHAnsi" w:cstheme="minorBidi"/>
                <w:lang w:eastAsia="zh-CN"/>
              </w:rPr>
              <w:t>Travel for visiting friends and relatives rose by 15% or 473,000 trips.</w:t>
            </w:r>
          </w:p>
          <w:p w14:paraId="01E00336" w14:textId="77777777" w:rsidR="00977250" w:rsidRDefault="00977250" w:rsidP="00977250"/>
          <w:p w14:paraId="6E09C887" w14:textId="4BC28E75" w:rsidR="00977250" w:rsidRDefault="00977250" w:rsidP="00977250">
            <w:r>
              <w:t>When compared to the March quarter 2020:</w:t>
            </w:r>
          </w:p>
          <w:p w14:paraId="20917C1E" w14:textId="77777777" w:rsidR="00977250" w:rsidRDefault="00977250" w:rsidP="00977250">
            <w:pPr>
              <w:spacing w:after="0" w:line="240" w:lineRule="auto"/>
            </w:pPr>
          </w:p>
          <w:p w14:paraId="085ECBDF" w14:textId="7A2A8827" w:rsidR="00977250" w:rsidRPr="00977250" w:rsidRDefault="00977250" w:rsidP="00977250">
            <w:pPr>
              <w:pStyle w:val="ListParagraph"/>
              <w:numPr>
                <w:ilvl w:val="0"/>
                <w:numId w:val="37"/>
              </w:numPr>
              <w:rPr>
                <w:rFonts w:asciiTheme="minorHAnsi" w:hAnsiTheme="minorHAnsi" w:cstheme="minorBidi"/>
                <w:lang w:eastAsia="zh-CN"/>
              </w:rPr>
            </w:pPr>
            <w:r w:rsidRPr="00977250">
              <w:rPr>
                <w:rFonts w:asciiTheme="minorHAnsi" w:hAnsiTheme="minorHAnsi" w:cstheme="minorBidi"/>
                <w:lang w:eastAsia="zh-CN"/>
              </w:rPr>
              <w:t xml:space="preserve">Holiday travel rose by 40% or 1.2 million </w:t>
            </w:r>
            <w:proofErr w:type="gramStart"/>
            <w:r w:rsidRPr="00977250">
              <w:rPr>
                <w:rFonts w:asciiTheme="minorHAnsi" w:hAnsiTheme="minorHAnsi" w:cstheme="minorBidi"/>
                <w:lang w:eastAsia="zh-CN"/>
              </w:rPr>
              <w:t>trips</w:t>
            </w:r>
            <w:proofErr w:type="gramEnd"/>
          </w:p>
          <w:p w14:paraId="37BFE1FC" w14:textId="4CB6362E" w:rsidR="00977250" w:rsidRPr="00977250" w:rsidRDefault="00977250" w:rsidP="00977250">
            <w:pPr>
              <w:pStyle w:val="ListParagraph"/>
              <w:numPr>
                <w:ilvl w:val="0"/>
                <w:numId w:val="37"/>
              </w:numPr>
              <w:rPr>
                <w:rFonts w:asciiTheme="minorHAnsi" w:hAnsiTheme="minorHAnsi" w:cstheme="minorBidi"/>
                <w:lang w:eastAsia="zh-CN"/>
              </w:rPr>
            </w:pPr>
            <w:r w:rsidRPr="00977250">
              <w:rPr>
                <w:rFonts w:asciiTheme="minorHAnsi" w:hAnsiTheme="minorHAnsi" w:cstheme="minorBidi"/>
                <w:lang w:eastAsia="zh-CN"/>
              </w:rPr>
              <w:t xml:space="preserve">Travel for visiting friends and relatives rose by 6% or 205,000 </w:t>
            </w:r>
            <w:proofErr w:type="gramStart"/>
            <w:r w:rsidRPr="00977250">
              <w:rPr>
                <w:rFonts w:asciiTheme="minorHAnsi" w:hAnsiTheme="minorHAnsi" w:cstheme="minorBidi"/>
                <w:lang w:eastAsia="zh-CN"/>
              </w:rPr>
              <w:t>trips</w:t>
            </w:r>
            <w:proofErr w:type="gramEnd"/>
          </w:p>
          <w:p w14:paraId="680F83C5" w14:textId="77777777" w:rsidR="00977250" w:rsidRPr="00977250" w:rsidRDefault="00977250" w:rsidP="00977250">
            <w:pPr>
              <w:pStyle w:val="ListParagraph"/>
              <w:numPr>
                <w:ilvl w:val="0"/>
                <w:numId w:val="37"/>
              </w:numPr>
              <w:rPr>
                <w:b/>
                <w:bCs/>
                <w:color w:val="1E988A" w:themeColor="accent3"/>
                <w:sz w:val="22"/>
                <w:szCs w:val="22"/>
              </w:rPr>
            </w:pPr>
            <w:r w:rsidRPr="00977250">
              <w:rPr>
                <w:rFonts w:asciiTheme="minorHAnsi" w:hAnsiTheme="minorHAnsi" w:cstheme="minorBidi"/>
                <w:lang w:eastAsia="zh-CN"/>
              </w:rPr>
              <w:t>Business travel fell by 12% or 283,000 trips.</w:t>
            </w:r>
          </w:p>
          <w:p w14:paraId="3F8F2299" w14:textId="77777777" w:rsidR="00977250" w:rsidRDefault="00977250" w:rsidP="00977250">
            <w:pPr>
              <w:rPr>
                <w:b/>
                <w:bCs/>
                <w:color w:val="1E988A" w:themeColor="accent3"/>
                <w:sz w:val="22"/>
                <w:szCs w:val="22"/>
              </w:rPr>
            </w:pPr>
          </w:p>
          <w:p w14:paraId="3F336FCF" w14:textId="5FA7B31C" w:rsidR="00977250" w:rsidRPr="00977250" w:rsidRDefault="00977250" w:rsidP="00977250">
            <w:pPr>
              <w:rPr>
                <w:b/>
                <w:bCs/>
                <w:color w:val="1E988A" w:themeColor="accent3"/>
                <w:sz w:val="22"/>
                <w:szCs w:val="22"/>
              </w:rPr>
            </w:pPr>
          </w:p>
        </w:tc>
        <w:tc>
          <w:tcPr>
            <w:tcW w:w="4955" w:type="dxa"/>
          </w:tcPr>
          <w:p w14:paraId="0B10FFF1" w14:textId="77777777" w:rsidR="00977250" w:rsidRDefault="00977250" w:rsidP="00977250">
            <w:pPr>
              <w:rPr>
                <w:b/>
                <w:bCs/>
              </w:rPr>
            </w:pPr>
            <w:r w:rsidRPr="00E71A3F">
              <w:rPr>
                <w:b/>
                <w:bCs/>
              </w:rPr>
              <w:t xml:space="preserve">Figure 3. </w:t>
            </w:r>
            <w:r>
              <w:rPr>
                <w:b/>
                <w:bCs/>
              </w:rPr>
              <w:t>Overnight trips to c</w:t>
            </w:r>
            <w:r w:rsidRPr="00E71A3F">
              <w:rPr>
                <w:b/>
                <w:bCs/>
              </w:rPr>
              <w:t xml:space="preserve">apital </w:t>
            </w:r>
            <w:r>
              <w:rPr>
                <w:b/>
                <w:bCs/>
              </w:rPr>
              <w:t>c</w:t>
            </w:r>
            <w:r w:rsidRPr="00E71A3F">
              <w:rPr>
                <w:b/>
                <w:bCs/>
              </w:rPr>
              <w:t>itie</w:t>
            </w:r>
            <w:r>
              <w:rPr>
                <w:b/>
                <w:bCs/>
              </w:rPr>
              <w:t>s</w:t>
            </w:r>
            <w:r w:rsidRPr="00E71A3F">
              <w:rPr>
                <w:b/>
                <w:bCs/>
              </w:rPr>
              <w:t>, March quarter 2020 to 2023</w:t>
            </w:r>
          </w:p>
          <w:p w14:paraId="35A6BA7D" w14:textId="77777777" w:rsidR="00977250" w:rsidRDefault="00977250" w:rsidP="00EA2C03">
            <w:pPr>
              <w:rPr>
                <w:b/>
                <w:bCs/>
                <w:color w:val="1E988A" w:themeColor="accent3"/>
                <w:sz w:val="22"/>
                <w:szCs w:val="22"/>
              </w:rPr>
            </w:pPr>
          </w:p>
          <w:p w14:paraId="335528E6" w14:textId="50EDEE44" w:rsidR="00977250" w:rsidRDefault="00977250" w:rsidP="00EA2C03">
            <w:pPr>
              <w:rPr>
                <w:b/>
                <w:bCs/>
                <w:color w:val="1E988A" w:themeColor="accent3"/>
                <w:sz w:val="22"/>
                <w:szCs w:val="22"/>
              </w:rPr>
            </w:pPr>
            <w:r>
              <w:rPr>
                <w:noProof/>
              </w:rPr>
              <w:drawing>
                <wp:inline distT="0" distB="0" distL="0" distR="0" wp14:anchorId="52DA9393" wp14:editId="1FCEF6D5">
                  <wp:extent cx="3074400" cy="3240000"/>
                  <wp:effectExtent l="0" t="0" r="0" b="0"/>
                  <wp:docPr id="17" name="Picture 17" descr="The chart shows overnight trips to capital cities by travel purpose, from the March quarter 2020 to 2023.&#10;In the March quarter 2020, overnight trips to capital cities had 3,463 thousand trips visiting friends and relatives, holiday travel had 3,026 thousand trips, 2,297 thousand business trips and 873 thousand travel for other purposes. This is followed by a drop in all travel purposes due to the impacts from the COVID-19 pandemic.&#10;In the March quarter 2022, overnight trips to capital cities for holiday travel and visiting friends and relatives recovered from March quarter 2020 to 4,250 (40 per cent higher) and 3,667 (6 per cent higher) thousand trips. Business travel and travel for other purposes remained lower at 2,014 (12 per cent lower) and 770 (12 per cent lower) thousand trip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he chart shows overnight trips to capital cities by travel purpose, from the March quarter 2020 to 2023.&#10;In the March quarter 2020, overnight trips to capital cities had 3,463 thousand trips visiting friends and relatives, holiday travel had 3,026 thousand trips, 2,297 thousand business trips and 873 thousand travel for other purposes. This is followed by a drop in all travel purposes due to the impacts from the COVID-19 pandemic.&#10;In the March quarter 2022, overnight trips to capital cities for holiday travel and visiting friends and relatives recovered from March quarter 2020 to 4,250 (40 per cent higher) and 3,667 (6 per cent higher) thousand trips. Business travel and travel for other purposes remained lower at 2,014 (12 per cent lower) and 770 (12 per cent lower) thousand trips.&#10;"/>
                          <pic:cNvPicPr/>
                        </pic:nvPicPr>
                        <pic:blipFill>
                          <a:blip r:embed="rId19"/>
                          <a:stretch>
                            <a:fillRect/>
                          </a:stretch>
                        </pic:blipFill>
                        <pic:spPr>
                          <a:xfrm>
                            <a:off x="0" y="0"/>
                            <a:ext cx="3074400" cy="3240000"/>
                          </a:xfrm>
                          <a:prstGeom prst="rect">
                            <a:avLst/>
                          </a:prstGeom>
                        </pic:spPr>
                      </pic:pic>
                    </a:graphicData>
                  </a:graphic>
                </wp:inline>
              </w:drawing>
            </w:r>
          </w:p>
        </w:tc>
      </w:tr>
      <w:tr w:rsidR="00977250" w14:paraId="5D9D8BD8" w14:textId="77777777" w:rsidTr="00BC7C46">
        <w:tc>
          <w:tcPr>
            <w:tcW w:w="4673" w:type="dxa"/>
          </w:tcPr>
          <w:p w14:paraId="6A26BD35" w14:textId="77777777" w:rsidR="00977250" w:rsidRDefault="00977250" w:rsidP="00EA2C03">
            <w:pPr>
              <w:rPr>
                <w:b/>
                <w:bCs/>
                <w:color w:val="1E988A" w:themeColor="accent3"/>
                <w:sz w:val="22"/>
                <w:szCs w:val="22"/>
              </w:rPr>
            </w:pPr>
          </w:p>
          <w:p w14:paraId="0391C212" w14:textId="7B9EE9F9" w:rsidR="00977250" w:rsidRDefault="00977250" w:rsidP="00EA2C03">
            <w:pPr>
              <w:rPr>
                <w:b/>
                <w:bCs/>
                <w:color w:val="1E988A" w:themeColor="accent3"/>
                <w:sz w:val="22"/>
                <w:szCs w:val="22"/>
              </w:rPr>
            </w:pPr>
          </w:p>
        </w:tc>
        <w:tc>
          <w:tcPr>
            <w:tcW w:w="4955" w:type="dxa"/>
          </w:tcPr>
          <w:p w14:paraId="09CECD10" w14:textId="77777777" w:rsidR="00977250" w:rsidRDefault="00977250" w:rsidP="00EA2C03">
            <w:pPr>
              <w:rPr>
                <w:b/>
                <w:bCs/>
                <w:color w:val="1E988A" w:themeColor="accent3"/>
                <w:sz w:val="22"/>
                <w:szCs w:val="22"/>
              </w:rPr>
            </w:pPr>
          </w:p>
        </w:tc>
      </w:tr>
      <w:tr w:rsidR="00977250" w14:paraId="6737E20A" w14:textId="77777777" w:rsidTr="00BC7C46">
        <w:tc>
          <w:tcPr>
            <w:tcW w:w="4673" w:type="dxa"/>
          </w:tcPr>
          <w:p w14:paraId="47AB801E" w14:textId="77777777" w:rsidR="00977250" w:rsidRDefault="00977250" w:rsidP="00977250">
            <w:pPr>
              <w:rPr>
                <w:b/>
                <w:bCs/>
              </w:rPr>
            </w:pPr>
            <w:r w:rsidRPr="00E71A3F">
              <w:rPr>
                <w:b/>
                <w:bCs/>
              </w:rPr>
              <w:t xml:space="preserve">Figure 4. </w:t>
            </w:r>
            <w:r>
              <w:rPr>
                <w:b/>
                <w:bCs/>
              </w:rPr>
              <w:t>Overnight trips to r</w:t>
            </w:r>
            <w:r w:rsidRPr="00E71A3F">
              <w:rPr>
                <w:b/>
                <w:bCs/>
              </w:rPr>
              <w:t>egional areas, March quarter 2020 to 2023</w:t>
            </w:r>
          </w:p>
          <w:p w14:paraId="68BDF115" w14:textId="77777777" w:rsidR="00977250" w:rsidRDefault="00977250" w:rsidP="00EA2C03">
            <w:pPr>
              <w:rPr>
                <w:b/>
                <w:bCs/>
                <w:color w:val="1E988A" w:themeColor="accent3"/>
                <w:sz w:val="22"/>
                <w:szCs w:val="22"/>
              </w:rPr>
            </w:pPr>
          </w:p>
          <w:p w14:paraId="36D5CDFF" w14:textId="1F0E9E16" w:rsidR="00977250" w:rsidRDefault="00977250" w:rsidP="00EA2C03">
            <w:pPr>
              <w:rPr>
                <w:b/>
                <w:bCs/>
                <w:color w:val="1E988A" w:themeColor="accent3"/>
                <w:sz w:val="22"/>
                <w:szCs w:val="22"/>
              </w:rPr>
            </w:pPr>
            <w:r>
              <w:rPr>
                <w:noProof/>
              </w:rPr>
              <w:drawing>
                <wp:inline distT="0" distB="0" distL="0" distR="0" wp14:anchorId="0ED37342" wp14:editId="7B46A2F1">
                  <wp:extent cx="2952000" cy="3240000"/>
                  <wp:effectExtent l="0" t="0" r="1270" b="0"/>
                  <wp:docPr id="18" name="Picture 18" descr="The chart shows overnight trips to regional areas by travel purpose, from the March quarter 2020 to 2023.&#10;In the March quarter 2020, regional areas had 7.6 million holiday trips, 5 million trips visiting friends and relatives, 3 million business trips and 0.9 million trips for other purposes. This is followed by a drop in business trips in the March quarter 2021 due to the impacts from the COVID-19 pandemic. Visiting friends and relatives, holiday trips and travel for other purposes were all higher when compared to the March quarter 2020.&#10;In the March quarter 2022, overnight trips to regional areas had all travel by purpose increase above levels seen in March quarter 2020 except for travel for other purposes (8 per cent lower). Holiday travel had 10 million trips (29 per cent higher), visiting friends and relatives travel had 6 million thousand trips (17 per cent higher) and business travel had 3 million trips (2 per cent high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e chart shows overnight trips to regional areas by travel purpose, from the March quarter 2020 to 2023.&#10;In the March quarter 2020, regional areas had 7.6 million holiday trips, 5 million trips visiting friends and relatives, 3 million business trips and 0.9 million trips for other purposes. This is followed by a drop in business trips in the March quarter 2021 due to the impacts from the COVID-19 pandemic. Visiting friends and relatives, holiday trips and travel for other purposes were all higher when compared to the March quarter 2020.&#10;In the March quarter 2022, overnight trips to regional areas had all travel by purpose increase above levels seen in March quarter 2020 except for travel for other purposes (8 per cent lower). Holiday travel had 10 million trips (29 per cent higher), visiting friends and relatives travel had 6 million thousand trips (17 per cent higher) and business travel had 3 million trips (2 per cent higher).&#10;"/>
                          <pic:cNvPicPr/>
                        </pic:nvPicPr>
                        <pic:blipFill>
                          <a:blip r:embed="rId20"/>
                          <a:stretch>
                            <a:fillRect/>
                          </a:stretch>
                        </pic:blipFill>
                        <pic:spPr>
                          <a:xfrm>
                            <a:off x="0" y="0"/>
                            <a:ext cx="2952000" cy="3240000"/>
                          </a:xfrm>
                          <a:prstGeom prst="rect">
                            <a:avLst/>
                          </a:prstGeom>
                        </pic:spPr>
                      </pic:pic>
                    </a:graphicData>
                  </a:graphic>
                </wp:inline>
              </w:drawing>
            </w:r>
          </w:p>
        </w:tc>
        <w:tc>
          <w:tcPr>
            <w:tcW w:w="4955" w:type="dxa"/>
          </w:tcPr>
          <w:p w14:paraId="476A2B4D" w14:textId="77777777" w:rsidR="00977250" w:rsidRPr="00DA6EAC" w:rsidRDefault="00977250" w:rsidP="00977250">
            <w:pPr>
              <w:rPr>
                <w:b/>
                <w:bCs/>
                <w:color w:val="1E988A" w:themeColor="accent3"/>
                <w:sz w:val="22"/>
                <w:szCs w:val="22"/>
              </w:rPr>
            </w:pPr>
            <w:r>
              <w:rPr>
                <w:b/>
                <w:bCs/>
                <w:color w:val="1E988A" w:themeColor="accent3"/>
                <w:sz w:val="22"/>
                <w:szCs w:val="22"/>
              </w:rPr>
              <w:t>Regional areas</w:t>
            </w:r>
          </w:p>
          <w:p w14:paraId="3EE0B165" w14:textId="77777777" w:rsidR="00977250" w:rsidRDefault="00977250" w:rsidP="00EA2C03">
            <w:pPr>
              <w:rPr>
                <w:b/>
                <w:bCs/>
                <w:color w:val="1E988A" w:themeColor="accent3"/>
                <w:sz w:val="22"/>
                <w:szCs w:val="22"/>
              </w:rPr>
            </w:pPr>
          </w:p>
          <w:p w14:paraId="6D5DFD23" w14:textId="77777777" w:rsidR="00977250" w:rsidRDefault="00977250" w:rsidP="00F96C2D">
            <w:r>
              <w:t>When compared to the March quarter 2022:</w:t>
            </w:r>
          </w:p>
          <w:p w14:paraId="74BE550B" w14:textId="77777777" w:rsidR="00F96C2D" w:rsidRDefault="00F96C2D" w:rsidP="00F96C2D"/>
          <w:p w14:paraId="49C51C74" w14:textId="13A32490" w:rsidR="00977250" w:rsidRPr="00F96C2D" w:rsidRDefault="00977250" w:rsidP="00F96C2D">
            <w:pPr>
              <w:pStyle w:val="ListParagraph"/>
              <w:numPr>
                <w:ilvl w:val="0"/>
                <w:numId w:val="38"/>
              </w:numPr>
              <w:rPr>
                <w:rFonts w:asciiTheme="minorHAnsi" w:hAnsiTheme="minorHAnsi" w:cstheme="minorBidi"/>
                <w:lang w:eastAsia="zh-CN"/>
              </w:rPr>
            </w:pPr>
            <w:r w:rsidRPr="00F96C2D">
              <w:rPr>
                <w:rFonts w:asciiTheme="minorHAnsi" w:hAnsiTheme="minorHAnsi" w:cstheme="minorBidi"/>
                <w:lang w:eastAsia="zh-CN"/>
              </w:rPr>
              <w:t xml:space="preserve">Travel for visiting friends and relatives rose by 13% or 693,000 </w:t>
            </w:r>
            <w:proofErr w:type="gramStart"/>
            <w:r w:rsidRPr="00F96C2D">
              <w:rPr>
                <w:rFonts w:asciiTheme="minorHAnsi" w:hAnsiTheme="minorHAnsi" w:cstheme="minorBidi"/>
                <w:lang w:eastAsia="zh-CN"/>
              </w:rPr>
              <w:t>trips</w:t>
            </w:r>
            <w:proofErr w:type="gramEnd"/>
          </w:p>
          <w:p w14:paraId="29E167FB" w14:textId="77777777" w:rsidR="00977250" w:rsidRPr="00C15D5E" w:rsidRDefault="00977250" w:rsidP="00977250">
            <w:pPr>
              <w:pStyle w:val="ListParagraph"/>
              <w:numPr>
                <w:ilvl w:val="0"/>
                <w:numId w:val="38"/>
              </w:numPr>
              <w:rPr>
                <w:rFonts w:asciiTheme="minorHAnsi" w:hAnsiTheme="minorHAnsi" w:cstheme="minorBidi"/>
                <w:lang w:eastAsia="zh-CN"/>
              </w:rPr>
            </w:pPr>
            <w:r w:rsidRPr="006763EE">
              <w:rPr>
                <w:rFonts w:asciiTheme="minorHAnsi" w:hAnsiTheme="minorHAnsi" w:cstheme="minorBidi"/>
                <w:lang w:eastAsia="zh-CN"/>
              </w:rPr>
              <w:t xml:space="preserve">Business travel rose by 27% or 607,000 </w:t>
            </w:r>
            <w:proofErr w:type="gramStart"/>
            <w:r w:rsidRPr="006763EE">
              <w:rPr>
                <w:rFonts w:asciiTheme="minorHAnsi" w:hAnsiTheme="minorHAnsi" w:cstheme="minorBidi"/>
                <w:lang w:eastAsia="zh-CN"/>
              </w:rPr>
              <w:t>trips</w:t>
            </w:r>
            <w:proofErr w:type="gramEnd"/>
          </w:p>
          <w:p w14:paraId="475ED9DB" w14:textId="77777777" w:rsidR="00977250" w:rsidRPr="00C15D5E" w:rsidRDefault="00977250" w:rsidP="00977250">
            <w:pPr>
              <w:pStyle w:val="ListParagraph"/>
              <w:numPr>
                <w:ilvl w:val="0"/>
                <w:numId w:val="38"/>
              </w:numPr>
              <w:rPr>
                <w:rFonts w:asciiTheme="minorHAnsi" w:hAnsiTheme="minorHAnsi" w:cstheme="minorBidi"/>
                <w:lang w:eastAsia="zh-CN"/>
              </w:rPr>
            </w:pPr>
            <w:r w:rsidRPr="00C15D5E">
              <w:rPr>
                <w:rFonts w:asciiTheme="minorHAnsi" w:hAnsiTheme="minorHAnsi" w:cstheme="minorBidi"/>
                <w:lang w:eastAsia="zh-CN"/>
              </w:rPr>
              <w:t>Holiday travel rose by 3% or 254,000 trips.</w:t>
            </w:r>
          </w:p>
          <w:p w14:paraId="1CD87FF3" w14:textId="77777777" w:rsidR="00977250" w:rsidRPr="00EA2C03" w:rsidRDefault="00977250" w:rsidP="00977250"/>
          <w:p w14:paraId="38B15B81" w14:textId="77777777" w:rsidR="00977250" w:rsidRDefault="00977250" w:rsidP="00977250">
            <w:r>
              <w:t>When compared to the March quarter 2020:</w:t>
            </w:r>
          </w:p>
          <w:p w14:paraId="2F0BCB56" w14:textId="77777777" w:rsidR="00BC7C46" w:rsidRPr="00BC7C46" w:rsidRDefault="00BC7C46" w:rsidP="00BC7C46"/>
          <w:p w14:paraId="07102F9F" w14:textId="178A487E" w:rsidR="00977250" w:rsidRDefault="00977250" w:rsidP="00977250">
            <w:pPr>
              <w:pStyle w:val="ListParagraph"/>
              <w:numPr>
                <w:ilvl w:val="0"/>
                <w:numId w:val="36"/>
              </w:numPr>
              <w:rPr>
                <w:rFonts w:asciiTheme="minorHAnsi" w:hAnsiTheme="minorHAnsi" w:cstheme="minorBidi"/>
                <w:lang w:eastAsia="zh-CN"/>
              </w:rPr>
            </w:pPr>
            <w:r w:rsidRPr="00EF4B2E">
              <w:rPr>
                <w:rFonts w:asciiTheme="minorHAnsi" w:hAnsiTheme="minorHAnsi" w:cstheme="minorBidi"/>
                <w:lang w:eastAsia="zh-CN"/>
              </w:rPr>
              <w:t xml:space="preserve">Holiday travel rose </w:t>
            </w:r>
            <w:r>
              <w:rPr>
                <w:rFonts w:asciiTheme="minorHAnsi" w:hAnsiTheme="minorHAnsi" w:cstheme="minorBidi"/>
                <w:lang w:eastAsia="zh-CN"/>
              </w:rPr>
              <w:t xml:space="preserve">by </w:t>
            </w:r>
            <w:r w:rsidRPr="00E71A3F">
              <w:rPr>
                <w:rFonts w:asciiTheme="minorHAnsi" w:hAnsiTheme="minorHAnsi" w:cstheme="minorBidi"/>
                <w:lang w:eastAsia="zh-CN"/>
              </w:rPr>
              <w:t xml:space="preserve">29% or 2.2 million </w:t>
            </w:r>
            <w:proofErr w:type="gramStart"/>
            <w:r w:rsidRPr="00E71A3F">
              <w:rPr>
                <w:rFonts w:asciiTheme="minorHAnsi" w:hAnsiTheme="minorHAnsi" w:cstheme="minorBidi"/>
                <w:lang w:eastAsia="zh-CN"/>
              </w:rPr>
              <w:t>trips</w:t>
            </w:r>
            <w:proofErr w:type="gramEnd"/>
          </w:p>
          <w:p w14:paraId="12FF8C61" w14:textId="77777777" w:rsidR="00977250" w:rsidRDefault="00977250" w:rsidP="00977250">
            <w:pPr>
              <w:pStyle w:val="ListParagraph"/>
              <w:numPr>
                <w:ilvl w:val="0"/>
                <w:numId w:val="36"/>
              </w:numPr>
              <w:rPr>
                <w:rFonts w:asciiTheme="minorHAnsi" w:hAnsiTheme="minorHAnsi" w:cstheme="minorBidi"/>
                <w:lang w:eastAsia="zh-CN"/>
              </w:rPr>
            </w:pPr>
            <w:r>
              <w:rPr>
                <w:rFonts w:asciiTheme="minorHAnsi" w:hAnsiTheme="minorHAnsi" w:cstheme="minorBidi"/>
                <w:lang w:eastAsia="zh-CN"/>
              </w:rPr>
              <w:t xml:space="preserve">Travel for visiting friends and relatives rose by </w:t>
            </w:r>
            <w:r w:rsidRPr="00E71A3F">
              <w:rPr>
                <w:rFonts w:asciiTheme="minorHAnsi" w:hAnsiTheme="minorHAnsi" w:cstheme="minorBidi"/>
                <w:lang w:eastAsia="zh-CN"/>
              </w:rPr>
              <w:t>17% or 841,00</w:t>
            </w:r>
            <w:r>
              <w:rPr>
                <w:rFonts w:asciiTheme="minorHAnsi" w:hAnsiTheme="minorHAnsi" w:cstheme="minorBidi"/>
                <w:lang w:eastAsia="zh-CN"/>
              </w:rPr>
              <w:t xml:space="preserve">0 </w:t>
            </w:r>
            <w:proofErr w:type="gramStart"/>
            <w:r>
              <w:rPr>
                <w:rFonts w:asciiTheme="minorHAnsi" w:hAnsiTheme="minorHAnsi" w:cstheme="minorBidi"/>
                <w:lang w:eastAsia="zh-CN"/>
              </w:rPr>
              <w:t>trips</w:t>
            </w:r>
            <w:proofErr w:type="gramEnd"/>
          </w:p>
          <w:p w14:paraId="70B91FC1" w14:textId="77777777" w:rsidR="00977250" w:rsidRDefault="00977250" w:rsidP="00977250">
            <w:pPr>
              <w:pStyle w:val="ListParagraph"/>
              <w:numPr>
                <w:ilvl w:val="0"/>
                <w:numId w:val="36"/>
              </w:numPr>
              <w:rPr>
                <w:rFonts w:asciiTheme="minorHAnsi" w:hAnsiTheme="minorHAnsi" w:cstheme="minorBidi"/>
                <w:lang w:eastAsia="zh-CN"/>
              </w:rPr>
            </w:pPr>
            <w:r>
              <w:rPr>
                <w:rFonts w:asciiTheme="minorHAnsi" w:hAnsiTheme="minorHAnsi" w:cstheme="minorBidi"/>
                <w:lang w:eastAsia="zh-CN"/>
              </w:rPr>
              <w:t xml:space="preserve">Business travel rose by </w:t>
            </w:r>
            <w:r w:rsidRPr="00E71A3F">
              <w:rPr>
                <w:rFonts w:asciiTheme="minorHAnsi" w:hAnsiTheme="minorHAnsi" w:cstheme="minorBidi"/>
                <w:lang w:eastAsia="zh-CN"/>
              </w:rPr>
              <w:t>2% or 54,000</w:t>
            </w:r>
            <w:r>
              <w:rPr>
                <w:rFonts w:asciiTheme="minorHAnsi" w:hAnsiTheme="minorHAnsi" w:cstheme="minorBidi"/>
                <w:lang w:eastAsia="zh-CN"/>
              </w:rPr>
              <w:t xml:space="preserve"> trips.</w:t>
            </w:r>
          </w:p>
          <w:p w14:paraId="6CCB8C91" w14:textId="77777777" w:rsidR="00977250" w:rsidRDefault="00977250" w:rsidP="00EA2C03">
            <w:pPr>
              <w:rPr>
                <w:b/>
                <w:bCs/>
                <w:color w:val="1E988A" w:themeColor="accent3"/>
                <w:sz w:val="22"/>
                <w:szCs w:val="22"/>
              </w:rPr>
            </w:pPr>
          </w:p>
          <w:p w14:paraId="434C752C" w14:textId="4D025033" w:rsidR="00977250" w:rsidRDefault="00977250" w:rsidP="00EA2C03">
            <w:pPr>
              <w:rPr>
                <w:b/>
                <w:bCs/>
                <w:color w:val="1E988A" w:themeColor="accent3"/>
                <w:sz w:val="22"/>
                <w:szCs w:val="22"/>
              </w:rPr>
            </w:pPr>
          </w:p>
        </w:tc>
      </w:tr>
    </w:tbl>
    <w:p w14:paraId="05CF68A6" w14:textId="0A12D9AA" w:rsidR="001A5B12" w:rsidRDefault="001A5B12" w:rsidP="00EA2C03">
      <w:pPr>
        <w:rPr>
          <w:b/>
          <w:bCs/>
          <w:color w:val="1E988A" w:themeColor="accent3"/>
          <w:sz w:val="22"/>
          <w:szCs w:val="22"/>
        </w:rPr>
        <w:sectPr w:rsidR="001A5B12" w:rsidSect="004A0D20">
          <w:headerReference w:type="default" r:id="rId21"/>
          <w:footerReference w:type="default" r:id="rId22"/>
          <w:footerReference w:type="first" r:id="rId23"/>
          <w:footnotePr>
            <w:numStart w:val="2"/>
          </w:footnotePr>
          <w:pgSz w:w="11906" w:h="16838" w:code="9"/>
          <w:pgMar w:top="1021" w:right="1134" w:bottom="1474" w:left="1134" w:header="454" w:footer="851" w:gutter="0"/>
          <w:cols w:space="720"/>
          <w:titlePg/>
          <w:docGrid w:linePitch="360"/>
        </w:sectPr>
      </w:pPr>
    </w:p>
    <w:tbl>
      <w:tblPr>
        <w:tblStyle w:val="TableGrid"/>
        <w:tblW w:w="10060" w:type="dxa"/>
        <w:tblLook w:val="04A0" w:firstRow="1" w:lastRow="0" w:firstColumn="1" w:lastColumn="0" w:noHBand="0" w:noVBand="1"/>
      </w:tblPr>
      <w:tblGrid>
        <w:gridCol w:w="4744"/>
        <w:gridCol w:w="5316"/>
      </w:tblGrid>
      <w:tr w:rsidR="00D33B6C" w14:paraId="77EC5EFC" w14:textId="77777777" w:rsidTr="00BC7C46">
        <w:trPr>
          <w:trHeight w:val="3544"/>
        </w:trPr>
        <w:tc>
          <w:tcPr>
            <w:tcW w:w="4744" w:type="dxa"/>
            <w:tcBorders>
              <w:top w:val="nil"/>
              <w:left w:val="nil"/>
              <w:bottom w:val="nil"/>
              <w:right w:val="nil"/>
            </w:tcBorders>
          </w:tcPr>
          <w:p w14:paraId="06B3B065" w14:textId="4A1EB81F" w:rsidR="00D33B6C" w:rsidRDefault="00D33B6C" w:rsidP="00E641A8">
            <w:pPr>
              <w:spacing w:after="120"/>
              <w:rPr>
                <w:b/>
                <w:bCs/>
                <w:color w:val="1E988A" w:themeColor="background2"/>
                <w:sz w:val="26"/>
                <w:szCs w:val="26"/>
              </w:rPr>
            </w:pPr>
            <w:proofErr w:type="gramStart"/>
            <w:r>
              <w:rPr>
                <w:b/>
                <w:bCs/>
                <w:color w:val="1E988A" w:themeColor="background2"/>
                <w:sz w:val="26"/>
                <w:szCs w:val="26"/>
              </w:rPr>
              <w:lastRenderedPageBreak/>
              <w:t>Travellers</w:t>
            </w:r>
            <w:proofErr w:type="gramEnd"/>
            <w:r>
              <w:rPr>
                <w:b/>
                <w:bCs/>
                <w:color w:val="1E988A" w:themeColor="background2"/>
                <w:sz w:val="26"/>
                <w:szCs w:val="26"/>
              </w:rPr>
              <w:t xml:space="preserve"> spending more per trip</w:t>
            </w:r>
          </w:p>
          <w:p w14:paraId="48A98064" w14:textId="16D13164" w:rsidR="005B03F8" w:rsidRDefault="00D33B6C" w:rsidP="00E641A8">
            <w:r w:rsidRPr="00AF0559">
              <w:t xml:space="preserve">Travellers </w:t>
            </w:r>
            <w:r w:rsidR="00E87CF0">
              <w:t>were</w:t>
            </w:r>
            <w:r w:rsidRPr="00AF0559">
              <w:t xml:space="preserve"> spending more per</w:t>
            </w:r>
            <w:r w:rsidR="00BE5599">
              <w:t xml:space="preserve"> </w:t>
            </w:r>
            <w:r w:rsidRPr="00AF0559">
              <w:t>trip</w:t>
            </w:r>
            <w:r w:rsidR="00B53DBC">
              <w:t xml:space="preserve"> when compared to the previous March quarters. </w:t>
            </w:r>
            <w:r w:rsidR="005B03F8">
              <w:t>Compared to the March quarter 202</w:t>
            </w:r>
            <w:r w:rsidR="001F7E1F">
              <w:t>0</w:t>
            </w:r>
            <w:r w:rsidR="005B03F8">
              <w:t xml:space="preserve">, the average spend per trip </w:t>
            </w:r>
            <w:r w:rsidR="00FF05C4">
              <w:t>was (Figure 5)</w:t>
            </w:r>
            <w:r w:rsidR="005B03F8">
              <w:t>:</w:t>
            </w:r>
          </w:p>
          <w:p w14:paraId="6073637D" w14:textId="77777777" w:rsidR="00B53DBC" w:rsidRDefault="00B53DBC" w:rsidP="005B03F8"/>
          <w:p w14:paraId="5923687E" w14:textId="4F9EC8AA" w:rsidR="00B53DBC" w:rsidRDefault="00B53DBC" w:rsidP="00B53DBC">
            <w:pPr>
              <w:pStyle w:val="ListParagraph"/>
              <w:numPr>
                <w:ilvl w:val="0"/>
                <w:numId w:val="27"/>
              </w:numPr>
              <w:rPr>
                <w:rFonts w:asciiTheme="minorHAnsi" w:hAnsiTheme="minorHAnsi"/>
              </w:rPr>
            </w:pPr>
            <w:r w:rsidRPr="00B53DBC">
              <w:rPr>
                <w:rFonts w:asciiTheme="minorHAnsi" w:hAnsiTheme="minorHAnsi"/>
              </w:rPr>
              <w:t xml:space="preserve">$964 in the March quarter 2023, up 31% </w:t>
            </w:r>
          </w:p>
          <w:p w14:paraId="0CE18061" w14:textId="77777777" w:rsidR="00B53DBC" w:rsidRPr="00B53DBC" w:rsidRDefault="00B53DBC" w:rsidP="00B53DBC"/>
          <w:p w14:paraId="18E26E8D" w14:textId="793E86E9" w:rsidR="00B53DBC" w:rsidRDefault="00B53DBC" w:rsidP="00B53DBC">
            <w:pPr>
              <w:pStyle w:val="ListParagraph"/>
              <w:numPr>
                <w:ilvl w:val="0"/>
                <w:numId w:val="27"/>
              </w:numPr>
              <w:rPr>
                <w:rFonts w:asciiTheme="minorHAnsi" w:hAnsiTheme="minorHAnsi"/>
              </w:rPr>
            </w:pPr>
            <w:r w:rsidRPr="00B53DBC">
              <w:rPr>
                <w:rFonts w:asciiTheme="minorHAnsi" w:hAnsiTheme="minorHAnsi"/>
              </w:rPr>
              <w:t>$83</w:t>
            </w:r>
            <w:r w:rsidR="00FF05C4">
              <w:rPr>
                <w:rFonts w:asciiTheme="minorHAnsi" w:hAnsiTheme="minorHAnsi"/>
              </w:rPr>
              <w:t>2</w:t>
            </w:r>
            <w:r w:rsidRPr="00B53DBC">
              <w:rPr>
                <w:rFonts w:asciiTheme="minorHAnsi" w:hAnsiTheme="minorHAnsi"/>
              </w:rPr>
              <w:t xml:space="preserve"> in the March quarter 2022, up 13%</w:t>
            </w:r>
          </w:p>
          <w:p w14:paraId="0C0142FA" w14:textId="77777777" w:rsidR="00B53DBC" w:rsidRPr="00B53DBC" w:rsidRDefault="00B53DBC" w:rsidP="00B53DBC"/>
          <w:p w14:paraId="272CDD2A" w14:textId="7B850456" w:rsidR="00B53DBC" w:rsidRPr="00C21635" w:rsidRDefault="00B53DBC" w:rsidP="00B53DBC">
            <w:pPr>
              <w:pStyle w:val="ListParagraph"/>
              <w:numPr>
                <w:ilvl w:val="0"/>
                <w:numId w:val="27"/>
              </w:numPr>
              <w:rPr>
                <w:rFonts w:asciiTheme="minorHAnsi" w:hAnsiTheme="minorHAnsi"/>
              </w:rPr>
            </w:pPr>
            <w:r w:rsidRPr="00B53DBC">
              <w:rPr>
                <w:rFonts w:asciiTheme="minorHAnsi" w:hAnsiTheme="minorHAnsi"/>
              </w:rPr>
              <w:t>$727 in the March quarter 2021, down 1%</w:t>
            </w:r>
            <w:r w:rsidR="005B03F8">
              <w:rPr>
                <w:rFonts w:asciiTheme="minorHAnsi" w:hAnsiTheme="minorHAnsi"/>
              </w:rPr>
              <w:t>.</w:t>
            </w:r>
          </w:p>
        </w:tc>
        <w:tc>
          <w:tcPr>
            <w:tcW w:w="5316" w:type="dxa"/>
            <w:tcBorders>
              <w:top w:val="nil"/>
              <w:left w:val="nil"/>
              <w:bottom w:val="nil"/>
              <w:right w:val="nil"/>
            </w:tcBorders>
          </w:tcPr>
          <w:p w14:paraId="633C25BB" w14:textId="6FE3A74C" w:rsidR="00D33B6C" w:rsidRDefault="00D33B6C" w:rsidP="00E641A8">
            <w:pPr>
              <w:rPr>
                <w:b/>
                <w:bCs/>
              </w:rPr>
            </w:pPr>
            <w:r w:rsidRPr="00B53DBC">
              <w:rPr>
                <w:b/>
                <w:bCs/>
              </w:rPr>
              <w:t xml:space="preserve">Figure </w:t>
            </w:r>
            <w:r w:rsidR="009A4720" w:rsidRPr="00B53DBC">
              <w:rPr>
                <w:b/>
                <w:bCs/>
              </w:rPr>
              <w:t>5</w:t>
            </w:r>
            <w:r w:rsidRPr="00B53DBC">
              <w:rPr>
                <w:b/>
                <w:bCs/>
              </w:rPr>
              <w:t xml:space="preserve">. Average </w:t>
            </w:r>
            <w:proofErr w:type="gramStart"/>
            <w:r w:rsidRPr="00B53DBC">
              <w:rPr>
                <w:b/>
                <w:bCs/>
              </w:rPr>
              <w:t>spend</w:t>
            </w:r>
            <w:proofErr w:type="gramEnd"/>
            <w:r w:rsidRPr="00B53DBC">
              <w:rPr>
                <w:b/>
                <w:bCs/>
              </w:rPr>
              <w:t xml:space="preserve"> per</w:t>
            </w:r>
            <w:r w:rsidR="00BE5599">
              <w:rPr>
                <w:b/>
                <w:bCs/>
              </w:rPr>
              <w:t xml:space="preserve"> </w:t>
            </w:r>
            <w:r w:rsidRPr="00B53DBC">
              <w:rPr>
                <w:b/>
                <w:bCs/>
              </w:rPr>
              <w:t>trip, March quarter 2020 to 2023</w:t>
            </w:r>
          </w:p>
          <w:p w14:paraId="1580593E" w14:textId="4541C948" w:rsidR="00D33B6C" w:rsidRPr="00B53DBC" w:rsidRDefault="00BC7C46" w:rsidP="00E641A8">
            <w:pPr>
              <w:rPr>
                <w:b/>
                <w:bCs/>
              </w:rPr>
            </w:pPr>
            <w:r>
              <w:rPr>
                <w:noProof/>
              </w:rPr>
              <w:drawing>
                <wp:inline distT="0" distB="0" distL="0" distR="0" wp14:anchorId="671548D4" wp14:editId="5E620528">
                  <wp:extent cx="3057525" cy="2144456"/>
                  <wp:effectExtent l="0" t="0" r="0" b="8255"/>
                  <wp:docPr id="19" name="Picture 19" descr="The chart shows average spend per trip, from the March quarter 2020 to 2023.&#10;March quarter 2020, travellers spent on average $735.58 per trip. &#10;March quarter 2021 travellers spent on average $727.22. This is 1 per cent lower compared to March quarter 2020. &#10;March quarter 2022 travellers spent on average $831.57. This is 13 per cent higher compared to March quarter 2020. &#10;March quarter 2023 travellers spent on average $964.39. This is 31 per cent higher compared to March quarter 2020.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e chart shows average spend per trip, from the March quarter 2020 to 2023.&#10;March quarter 2020, travellers spent on average $735.58 per trip. &#10;March quarter 2021 travellers spent on average $727.22. This is 1 per cent lower compared to March quarter 2020. &#10;March quarter 2022 travellers spent on average $831.57. This is 13 per cent higher compared to March quarter 2020. &#10;March quarter 2023 travellers spent on average $964.39. This is 31 per cent higher compared to March quarter 2020. &#10;&#10;"/>
                          <pic:cNvPicPr/>
                        </pic:nvPicPr>
                        <pic:blipFill>
                          <a:blip r:embed="rId24"/>
                          <a:stretch>
                            <a:fillRect/>
                          </a:stretch>
                        </pic:blipFill>
                        <pic:spPr>
                          <a:xfrm>
                            <a:off x="0" y="0"/>
                            <a:ext cx="3057525" cy="2144456"/>
                          </a:xfrm>
                          <a:prstGeom prst="rect">
                            <a:avLst/>
                          </a:prstGeom>
                        </pic:spPr>
                      </pic:pic>
                    </a:graphicData>
                  </a:graphic>
                </wp:inline>
              </w:drawing>
            </w:r>
          </w:p>
        </w:tc>
      </w:tr>
    </w:tbl>
    <w:p w14:paraId="17CC8034" w14:textId="70D1145A" w:rsidR="00591B22" w:rsidRPr="00D204C3" w:rsidRDefault="00591B22" w:rsidP="00DA0CE4">
      <w:pPr>
        <w:pStyle w:val="Heading2"/>
      </w:pPr>
      <w:r w:rsidRPr="00D204C3">
        <w:t>States and territories</w:t>
      </w:r>
    </w:p>
    <w:p w14:paraId="3194AD9B" w14:textId="21DDAC18" w:rsidR="00FF05C4" w:rsidRDefault="00FF05C4" w:rsidP="00FF05C4">
      <w:r>
        <w:t>Overnight spend in the year ending March 2023 exceeded the year ending March 2020 levels across all</w:t>
      </w:r>
      <w:r>
        <w:t xml:space="preserve"> </w:t>
      </w:r>
      <w:r>
        <w:t>states and territories (Figure 6).</w:t>
      </w:r>
    </w:p>
    <w:p w14:paraId="3A9C695B" w14:textId="77777777" w:rsidR="00FF05C4" w:rsidRDefault="00FF05C4" w:rsidP="00FF05C4">
      <w:r>
        <w:t>Queensland showed the strongest domestic tourism in the year ending March 2023 results. Overnight</w:t>
      </w:r>
      <w:r>
        <w:t xml:space="preserve"> </w:t>
      </w:r>
      <w:r>
        <w:t>trips to Queensland were up 5% and spend was up 55% or $10.4 billion. Western Australia and the</w:t>
      </w:r>
      <w:r>
        <w:t xml:space="preserve"> </w:t>
      </w:r>
      <w:r>
        <w:t>Australian Capital Territory also experienced growth in overnight trip numbers. All Australian states and</w:t>
      </w:r>
      <w:r>
        <w:t xml:space="preserve"> </w:t>
      </w:r>
      <w:r>
        <w:t>territories saw growth in visitor spend of 31% or more.</w:t>
      </w:r>
    </w:p>
    <w:p w14:paraId="499B6B74" w14:textId="62358782" w:rsidR="00591B22" w:rsidRDefault="00591B22" w:rsidP="00FF05C4">
      <w:pPr>
        <w:rPr>
          <w:b/>
          <w:bCs/>
        </w:rPr>
      </w:pPr>
      <w:r w:rsidRPr="008F2711">
        <w:rPr>
          <w:b/>
          <w:bCs/>
        </w:rPr>
        <w:t xml:space="preserve">Figure </w:t>
      </w:r>
      <w:r w:rsidR="009A4720" w:rsidRPr="008F2711">
        <w:rPr>
          <w:b/>
          <w:bCs/>
        </w:rPr>
        <w:t>6</w:t>
      </w:r>
      <w:r w:rsidRPr="008F2711">
        <w:rPr>
          <w:b/>
          <w:bCs/>
        </w:rPr>
        <w:t xml:space="preserve">. Overnight trips and spend by </w:t>
      </w:r>
      <w:r w:rsidR="00B62147" w:rsidRPr="008F2711">
        <w:rPr>
          <w:b/>
          <w:bCs/>
        </w:rPr>
        <w:t>s</w:t>
      </w:r>
      <w:r w:rsidRPr="008F2711">
        <w:rPr>
          <w:b/>
          <w:bCs/>
        </w:rPr>
        <w:t>tate</w:t>
      </w:r>
      <w:r w:rsidR="00B62147" w:rsidRPr="008F2711">
        <w:rPr>
          <w:b/>
          <w:bCs/>
        </w:rPr>
        <w:t xml:space="preserve"> and territory</w:t>
      </w:r>
      <w:r w:rsidRPr="008F2711">
        <w:rPr>
          <w:b/>
          <w:bCs/>
        </w:rPr>
        <w:t>,</w:t>
      </w:r>
      <w:r w:rsidR="00744CB7" w:rsidRPr="008F2711">
        <w:rPr>
          <w:b/>
          <w:bCs/>
        </w:rPr>
        <w:t xml:space="preserve"> year ending March</w:t>
      </w:r>
      <w:r w:rsidR="0013397D" w:rsidRPr="008F2711">
        <w:rPr>
          <w:b/>
          <w:bCs/>
        </w:rPr>
        <w:t xml:space="preserve"> </w:t>
      </w:r>
      <w:r w:rsidR="00830B68" w:rsidRPr="008F2711">
        <w:rPr>
          <w:b/>
          <w:bCs/>
        </w:rPr>
        <w:t>202</w:t>
      </w:r>
      <w:r w:rsidR="00744CB7" w:rsidRPr="008F2711">
        <w:rPr>
          <w:b/>
          <w:bCs/>
        </w:rPr>
        <w:t>3</w:t>
      </w:r>
      <w:r w:rsidR="00830B68" w:rsidRPr="008F2711">
        <w:rPr>
          <w:b/>
          <w:bCs/>
        </w:rPr>
        <w:t xml:space="preserve"> compared to </w:t>
      </w:r>
      <w:r w:rsidR="00A06A93" w:rsidRPr="008F2711">
        <w:rPr>
          <w:b/>
          <w:bCs/>
        </w:rPr>
        <w:t xml:space="preserve">the </w:t>
      </w:r>
      <w:r w:rsidR="00744CB7" w:rsidRPr="008F2711">
        <w:rPr>
          <w:b/>
          <w:bCs/>
        </w:rPr>
        <w:t xml:space="preserve">year ending March </w:t>
      </w:r>
      <w:r w:rsidR="00830B68" w:rsidRPr="008F2711">
        <w:rPr>
          <w:b/>
          <w:bCs/>
        </w:rPr>
        <w:t>20</w:t>
      </w:r>
      <w:r w:rsidR="00510418" w:rsidRPr="008F2711">
        <w:rPr>
          <w:b/>
          <w:bCs/>
        </w:rPr>
        <w:t>20</w:t>
      </w:r>
    </w:p>
    <w:p w14:paraId="0418BA69" w14:textId="762A67BD" w:rsidR="00F96C2D" w:rsidRPr="00B016CF" w:rsidRDefault="00F96C2D" w:rsidP="00FF05C4">
      <w:pPr>
        <w:rPr>
          <w:b/>
          <w:bCs/>
          <w:color w:val="FF0000"/>
        </w:rPr>
      </w:pPr>
      <w:r>
        <w:rPr>
          <w:noProof/>
        </w:rPr>
        <w:drawing>
          <wp:inline distT="0" distB="0" distL="0" distR="0" wp14:anchorId="53DAA1B0" wp14:editId="1A145409">
            <wp:extent cx="6120130" cy="3171825"/>
            <wp:effectExtent l="0" t="0" r="0" b="9525"/>
            <wp:docPr id="20" name="Picture 20" descr="An image of Australia that illustrates the number of trips and spend in each state or territory from the year ending March 2020 to the year ending March 2023. The per cent change on the year ending March 2020 is also shown.&#10;&#10;New South Wales – 36.1 million trips and $29.9 billion spend, down 3% and up 31% respectively&#10;Victoria – 27.5 million trips and $22.3 billion spend, down 3% and up 33% respectively&#10;Queensland – 26.0 million trips and $29.3 billion spend, both up 5% and 55% respectively&#10;South Australia – 7.5 million trips and $6.5 billion spend, down 4% and up 31% respectively&#10;Western Australia – 11.1 million trips and $11.1 billion spend, both up 4% and up 32% respectively&#10;Tasmania – 3.0 million trips and $3.8 billion spend, down 3% and up 31% respectively&#10;Northern Territory - 1.6 million trips and $2.8 billion spend, down 6% and up 32% respectively&#10;ACT – 3.2 million trips and $2.4 billion spend, both up 5% and up 32% respective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n image of Australia that illustrates the number of trips and spend in each state or territory from the year ending March 2020 to the year ending March 2023. The per cent change on the year ending March 2020 is also shown.&#10;&#10;New South Wales – 36.1 million trips and $29.9 billion spend, down 3% and up 31% respectively&#10;Victoria – 27.5 million trips and $22.3 billion spend, down 3% and up 33% respectively&#10;Queensland – 26.0 million trips and $29.3 billion spend, both up 5% and 55% respectively&#10;South Australia – 7.5 million trips and $6.5 billion spend, down 4% and up 31% respectively&#10;Western Australia – 11.1 million trips and $11.1 billion spend, both up 4% and up 32% respectively&#10;Tasmania – 3.0 million trips and $3.8 billion spend, down 3% and up 31% respectively&#10;Northern Territory - 1.6 million trips and $2.8 billion spend, down 6% and up 32% respectively&#10;ACT – 3.2 million trips and $2.4 billion spend, both up 5% and up 32% respectively.&#10;"/>
                    <pic:cNvPicPr/>
                  </pic:nvPicPr>
                  <pic:blipFill>
                    <a:blip r:embed="rId25"/>
                    <a:stretch>
                      <a:fillRect/>
                    </a:stretch>
                  </pic:blipFill>
                  <pic:spPr>
                    <a:xfrm>
                      <a:off x="0" y="0"/>
                      <a:ext cx="6120130" cy="3171825"/>
                    </a:xfrm>
                    <a:prstGeom prst="rect">
                      <a:avLst/>
                    </a:prstGeom>
                  </pic:spPr>
                </pic:pic>
              </a:graphicData>
            </a:graphic>
          </wp:inline>
        </w:drawing>
      </w:r>
    </w:p>
    <w:p w14:paraId="7DC431DE" w14:textId="4B837942" w:rsidR="00591B22" w:rsidRPr="00D204C3" w:rsidRDefault="00591B22" w:rsidP="00C21635">
      <w:pPr>
        <w:jc w:val="center"/>
      </w:pPr>
    </w:p>
    <w:p w14:paraId="7ACF0BA3" w14:textId="77777777" w:rsidR="00D82214" w:rsidRPr="005876A1" w:rsidRDefault="00D82214" w:rsidP="00D82214">
      <w:pPr>
        <w:pStyle w:val="Caption"/>
        <w:rPr>
          <w:sz w:val="16"/>
          <w:szCs w:val="16"/>
        </w:rPr>
      </w:pPr>
      <w:r w:rsidRPr="005876A1">
        <w:rPr>
          <w:sz w:val="16"/>
          <w:szCs w:val="16"/>
        </w:rPr>
        <w:t xml:space="preserve">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 </w:t>
      </w:r>
    </w:p>
    <w:p w14:paraId="46B7CBB6" w14:textId="3B5CD77C" w:rsidR="00475122" w:rsidRDefault="00D82214" w:rsidP="008617F3">
      <w:pPr>
        <w:pStyle w:val="Caption"/>
      </w:pPr>
      <w:r w:rsidRPr="005876A1">
        <w:rPr>
          <w:sz w:val="16"/>
          <w:szCs w:val="16"/>
        </w:rPr>
        <w:t>While care has been taken to ensure the information in this report is accurate, the Commonwealth does not accept any liability for any loss arising from reliance on the information, or from any error or omission, in the report.</w:t>
      </w:r>
    </w:p>
    <w:sectPr w:rsidR="00475122" w:rsidSect="008617F3">
      <w:footnotePr>
        <w:numStart w:val="2"/>
      </w:footnotePr>
      <w:type w:val="continuous"/>
      <w:pgSz w:w="11906" w:h="16838" w:code="9"/>
      <w:pgMar w:top="1021" w:right="1134" w:bottom="1474" w:left="1134"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6AF70" w14:textId="77777777" w:rsidR="0011418F" w:rsidRDefault="0011418F" w:rsidP="00D52B20">
      <w:pPr>
        <w:spacing w:after="0" w:line="240" w:lineRule="auto"/>
      </w:pPr>
      <w:r>
        <w:separator/>
      </w:r>
    </w:p>
  </w:endnote>
  <w:endnote w:type="continuationSeparator" w:id="0">
    <w:p w14:paraId="557CB493" w14:textId="77777777" w:rsidR="0011418F" w:rsidRDefault="0011418F" w:rsidP="00D5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U Sans BETA Text Light">
    <w:altName w:val="AU Sans BETA Text Light"/>
    <w:panose1 w:val="00000000000000000000"/>
    <w:charset w:val="00"/>
    <w:family w:val="swiss"/>
    <w:notTrueType/>
    <w:pitch w:val="default"/>
    <w:sig w:usb0="00000003" w:usb1="00000000" w:usb2="00000000" w:usb3="00000000" w:csb0="00000001" w:csb1="00000000"/>
  </w:font>
  <w:font w:name="AU Sans BETA Text Medium">
    <w:altName w:val="Calibri"/>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224D" w14:textId="3F21D7A9" w:rsidR="006B3279" w:rsidRPr="006B3279" w:rsidRDefault="00BC216F" w:rsidP="006B3279">
    <w:pPr>
      <w:pStyle w:val="Footer"/>
    </w:pPr>
    <w:r>
      <w:t xml:space="preserve">NATIONAL VISITOR SURVEY RESULTS – </w:t>
    </w:r>
    <w:r w:rsidR="00317BFF">
      <w:t>March</w:t>
    </w:r>
    <w:r w:rsidR="00C9295A">
      <w:t xml:space="preserve"> </w:t>
    </w:r>
    <w:r>
      <w:t>Quarter 202</w:t>
    </w:r>
    <w:r w:rsidR="00317BFF">
      <w:t>3</w:t>
    </w:r>
    <w:r>
      <w:t xml:space="preserve">, Tourism Research Australia </w:t>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43B9" w14:textId="54795E12" w:rsidR="00B7523B" w:rsidRPr="00B7523B" w:rsidRDefault="00BC216F" w:rsidP="00B7523B">
    <w:pPr>
      <w:pStyle w:val="Footer"/>
    </w:pPr>
    <w:r>
      <w:t>NATIONAL VISITOR SURVEY RESULTS</w:t>
    </w:r>
    <w:r w:rsidR="00750D77">
      <w:t xml:space="preserve"> – </w:t>
    </w:r>
    <w:r w:rsidR="0026226E">
      <w:t xml:space="preserve">March </w:t>
    </w:r>
    <w:r>
      <w:t>Quarter 202</w:t>
    </w:r>
    <w:r w:rsidR="0026226E">
      <w:t>3</w:t>
    </w:r>
    <w:r w:rsidR="00750D77">
      <w:t>, Tourism Research Australia</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62C3" w14:textId="77777777" w:rsidR="0011418F" w:rsidRDefault="0011418F" w:rsidP="00D52B20">
      <w:pPr>
        <w:spacing w:after="0" w:line="240" w:lineRule="auto"/>
      </w:pPr>
    </w:p>
  </w:footnote>
  <w:footnote w:type="continuationSeparator" w:id="0">
    <w:p w14:paraId="2ADB8842" w14:textId="77777777" w:rsidR="0011418F" w:rsidRDefault="0011418F" w:rsidP="00D5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C5CE" w14:textId="77777777" w:rsidR="006B3279" w:rsidRDefault="00F5033A">
    <w:pPr>
      <w:pStyle w:val="Header"/>
    </w:pPr>
    <w:r>
      <w:rPr>
        <w:noProof/>
        <w:lang w:eastAsia="en-AU"/>
      </w:rPr>
      <mc:AlternateContent>
        <mc:Choice Requires="wps">
          <w:drawing>
            <wp:anchor distT="0" distB="0" distL="114300" distR="114300" simplePos="0" relativeHeight="251659264" behindDoc="1" locked="1" layoutInCell="1" allowOverlap="1" wp14:anchorId="5C822561" wp14:editId="43D764C8">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EA490" id="Rectangle 2" o:spid="_x0000_s1026" alt="&quot;&quot;" style="position:absolute;margin-left:0;margin-top:22.7pt;width:549.9pt;height:1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8HjgIAAIQFAAAOAAAAZHJzL2Uyb0RvYy54bWysVFFP3DAMfp+0/xDlfbRXHQxO9NAJxDQJ&#10;AQImnkOaXCslcZbkrnf79XOStgcM7WHaSxrH9mf7q+3zi51WZCuc78DUdHZUUiIMh6Yz65r+eLr+&#10;ckqJD8w0TIERNd0LTy+Wnz+d93YhKmhBNcIRBDF+0duatiHYRVF43grN/BFYYVApwWkWUHTronGs&#10;R3StiqosT4oeXGMdcOE9vl5lJV0mfCkFD3dSehGIqinmFtLp0vkSz2J5zhZrx2zb8SEN9g9ZaNYZ&#10;DDpBXbHAyMZ1f0DpjjvwIMMRB12AlB0XqQasZla+q+axZVakWpAcbyea/P+D5bfbe0e6pqYVJYZp&#10;/EUPSBozayVIFenprV+g1aO9d4Pk8Rpr3Umn4xerILtE6X6iVOwC4fh4cnY6L0tknqOump3EO8IU&#10;B2/rfPgmQJN4qanD6IlJtr3xIZuOJjGYB9U1151SSYhtIi6VI1uGPzjsUsYI/sZKmWhrIHplwPhS&#10;xMJyKekW9kpEO2UehERGMPkqJZJ68RCEcS5MmGVVyxqRYx9jZWNpk0cqNAFGZInxJ+wB4G0BI3bO&#10;crCPriK18uRc/i2x7Dx5pMhgwuSsOwPuIwCFVQ2Rs/1IUqYmsvQCzR77xUEeJG/5dYe/7Yb5cM8c&#10;Tg7+adwG4Q4PqaCvKQw3Slpwvz56j/bY0KilpMdJrKn/uWFOUKK+G2z1s9l8Hkc3CfPjrxUK7rXm&#10;5bXGbPQlYC/McO9Ynq7RPqjxKh3oZ1waqxgVVcxwjF1THtwoXIa8IXDtcLFaJTMcV8vCjXm0PIJH&#10;VmNbPu2embND7wbs+lsYp5Yt3rVwto2eBlabALJL/X3gdeAbRz01zrCW4i55LSerw/Jc/gYAAP//&#10;AwBQSwMEFAAGAAgAAAAhABApoATcAAAABwEAAA8AAABkcnMvZG93bnJldi54bWxMj8FOwzAQRO9I&#10;/IO1SNyoAwqQhGyqqBKHilMLQuLmxksSYa9D7Dbm73FPcBzNaOZNvY7WiBPNfnSMcLvKQBB3To/c&#10;I7y9Pt8UIHxQrJVxTAg/5GHdXF7UqtJu4R2d9qEXqYR9pRCGEKZKSt8NZJVfuYk4eZ9utiokOfdS&#10;z2pJ5dbIuyx7kFaNnBYGNdFmoO5rf7QIm+3y3ppi+9EXtmxfotzN7XdEvL6K7ROIQDH8heGMn9Ch&#10;SUwHd2TthUFIRwJCfp+DOLtZWaYnB4THMgfZ1PI/f/MLAAD//wMAUEsBAi0AFAAGAAgAAAAhALaD&#10;OJL+AAAA4QEAABMAAAAAAAAAAAAAAAAAAAAAAFtDb250ZW50X1R5cGVzXS54bWxQSwECLQAUAAYA&#10;CAAAACEAOP0h/9YAAACUAQAACwAAAAAAAAAAAAAAAAAvAQAAX3JlbHMvLnJlbHNQSwECLQAUAAYA&#10;CAAAACEAfAwvB44CAACEBQAADgAAAAAAAAAAAAAAAAAuAgAAZHJzL2Uyb0RvYy54bWxQSwECLQAU&#10;AAYACAAAACEAECmgBNwAAAAHAQAADwAAAAAAAAAAAAAAAADoBAAAZHJzL2Rvd25yZXYueG1sUEsF&#10;BgAAAAAEAAQA8wAAAPEFAAAAAA==&#10;" fillcolor="#2e1a47 [3215]" stroked="f" strokeweight="2pt">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2146492"/>
    <w:multiLevelType w:val="hybridMultilevel"/>
    <w:tmpl w:val="190E797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F5A41"/>
    <w:multiLevelType w:val="hybridMultilevel"/>
    <w:tmpl w:val="0758FD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70C0A18"/>
    <w:multiLevelType w:val="hybridMultilevel"/>
    <w:tmpl w:val="DC925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9F70ED"/>
    <w:multiLevelType w:val="hybridMultilevel"/>
    <w:tmpl w:val="C608C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FE5965"/>
    <w:multiLevelType w:val="hybridMultilevel"/>
    <w:tmpl w:val="7B6EC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EC3D86"/>
    <w:multiLevelType w:val="hybridMultilevel"/>
    <w:tmpl w:val="175ED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803024"/>
    <w:multiLevelType w:val="hybridMultilevel"/>
    <w:tmpl w:val="028C2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FA7F29"/>
    <w:multiLevelType w:val="hybridMultilevel"/>
    <w:tmpl w:val="0758FD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E695188"/>
    <w:multiLevelType w:val="hybridMultilevel"/>
    <w:tmpl w:val="309A0E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6517D8"/>
    <w:multiLevelType w:val="hybridMultilevel"/>
    <w:tmpl w:val="C8BC8598"/>
    <w:lvl w:ilvl="0" w:tplc="4A6C8E9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CD0C35"/>
    <w:multiLevelType w:val="hybridMultilevel"/>
    <w:tmpl w:val="0BA2B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4A0BBF"/>
    <w:multiLevelType w:val="hybridMultilevel"/>
    <w:tmpl w:val="AFDC0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A96D26"/>
    <w:multiLevelType w:val="hybridMultilevel"/>
    <w:tmpl w:val="3278A7FA"/>
    <w:lvl w:ilvl="0" w:tplc="4A6C8E9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CE6CF1"/>
    <w:multiLevelType w:val="hybridMultilevel"/>
    <w:tmpl w:val="488EB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1F77A9"/>
    <w:multiLevelType w:val="hybridMultilevel"/>
    <w:tmpl w:val="D722B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C11FA5"/>
    <w:multiLevelType w:val="hybridMultilevel"/>
    <w:tmpl w:val="69FA3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B4AE9"/>
    <w:multiLevelType w:val="hybridMultilevel"/>
    <w:tmpl w:val="983EF5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DED610C"/>
    <w:multiLevelType w:val="hybridMultilevel"/>
    <w:tmpl w:val="0758FD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FCA7388"/>
    <w:multiLevelType w:val="hybridMultilevel"/>
    <w:tmpl w:val="CC86A6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464225D9"/>
    <w:multiLevelType w:val="hybridMultilevel"/>
    <w:tmpl w:val="6B147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E42258"/>
    <w:multiLevelType w:val="hybridMultilevel"/>
    <w:tmpl w:val="8C6C9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A211F3"/>
    <w:multiLevelType w:val="hybridMultilevel"/>
    <w:tmpl w:val="A0009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FF126E"/>
    <w:multiLevelType w:val="hybridMultilevel"/>
    <w:tmpl w:val="5748E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AA102C"/>
    <w:multiLevelType w:val="hybridMultilevel"/>
    <w:tmpl w:val="577C8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B10FA4"/>
    <w:multiLevelType w:val="hybridMultilevel"/>
    <w:tmpl w:val="983EF5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1882796"/>
    <w:multiLevelType w:val="hybridMultilevel"/>
    <w:tmpl w:val="03788F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B46384"/>
    <w:multiLevelType w:val="hybridMultilevel"/>
    <w:tmpl w:val="F184DE8C"/>
    <w:lvl w:ilvl="0" w:tplc="4A6C8E9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0B6ADE"/>
    <w:multiLevelType w:val="hybridMultilevel"/>
    <w:tmpl w:val="C18A7528"/>
    <w:lvl w:ilvl="0" w:tplc="B22CC526">
      <w:start w:val="1"/>
      <w:numFmt w:val="bullet"/>
      <w:lvlText w:val="-"/>
      <w:lvlJc w:val="left"/>
      <w:pPr>
        <w:ind w:left="720" w:hanging="360"/>
      </w:pPr>
      <w:rPr>
        <w:rFonts w:ascii="Verdana" w:eastAsiaTheme="minorEastAsia"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4441C8"/>
    <w:multiLevelType w:val="hybridMultilevel"/>
    <w:tmpl w:val="0758FD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F980EB0"/>
    <w:multiLevelType w:val="hybridMultilevel"/>
    <w:tmpl w:val="983EF5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2FC1837"/>
    <w:multiLevelType w:val="hybridMultilevel"/>
    <w:tmpl w:val="50EA7BC2"/>
    <w:lvl w:ilvl="0" w:tplc="4A6C8E9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FF7BA8"/>
    <w:multiLevelType w:val="hybridMultilevel"/>
    <w:tmpl w:val="4A5AC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4827A3"/>
    <w:multiLevelType w:val="hybridMultilevel"/>
    <w:tmpl w:val="0758FD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9B04777"/>
    <w:multiLevelType w:val="hybridMultilevel"/>
    <w:tmpl w:val="E36AE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1C393E"/>
    <w:multiLevelType w:val="hybridMultilevel"/>
    <w:tmpl w:val="AF7E06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4C573B"/>
    <w:multiLevelType w:val="hybridMultilevel"/>
    <w:tmpl w:val="5808B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CA2BA3"/>
    <w:multiLevelType w:val="hybridMultilevel"/>
    <w:tmpl w:val="A98E5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503E0F"/>
    <w:multiLevelType w:val="hybridMultilevel"/>
    <w:tmpl w:val="0B480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AB1ECD"/>
    <w:multiLevelType w:val="hybridMultilevel"/>
    <w:tmpl w:val="967CA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AD2223"/>
    <w:multiLevelType w:val="hybridMultilevel"/>
    <w:tmpl w:val="8F8EA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B233A17"/>
    <w:multiLevelType w:val="hybridMultilevel"/>
    <w:tmpl w:val="A8A07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3947521">
    <w:abstractNumId w:val="0"/>
  </w:num>
  <w:num w:numId="2" w16cid:durableId="1417286819">
    <w:abstractNumId w:val="20"/>
  </w:num>
  <w:num w:numId="3" w16cid:durableId="1999142564">
    <w:abstractNumId w:val="21"/>
  </w:num>
  <w:num w:numId="4" w16cid:durableId="2047945544">
    <w:abstractNumId w:val="9"/>
  </w:num>
  <w:num w:numId="5" w16cid:durableId="815073152">
    <w:abstractNumId w:val="41"/>
  </w:num>
  <w:num w:numId="6" w16cid:durableId="1420713575">
    <w:abstractNumId w:val="27"/>
  </w:num>
  <w:num w:numId="7" w16cid:durableId="1769497591">
    <w:abstractNumId w:val="17"/>
  </w:num>
  <w:num w:numId="8" w16cid:durableId="1298605435">
    <w:abstractNumId w:val="32"/>
  </w:num>
  <w:num w:numId="9" w16cid:durableId="400980345">
    <w:abstractNumId w:val="31"/>
  </w:num>
  <w:num w:numId="10" w16cid:durableId="1915504955">
    <w:abstractNumId w:val="2"/>
  </w:num>
  <w:num w:numId="11" w16cid:durableId="533495566">
    <w:abstractNumId w:val="18"/>
  </w:num>
  <w:num w:numId="12" w16cid:durableId="389773563">
    <w:abstractNumId w:val="8"/>
  </w:num>
  <w:num w:numId="13" w16cid:durableId="19167271">
    <w:abstractNumId w:val="35"/>
  </w:num>
  <w:num w:numId="14" w16cid:durableId="1353413516">
    <w:abstractNumId w:val="42"/>
  </w:num>
  <w:num w:numId="15" w16cid:durableId="944582374">
    <w:abstractNumId w:val="19"/>
  </w:num>
  <w:num w:numId="16" w16cid:durableId="763961661">
    <w:abstractNumId w:val="30"/>
  </w:num>
  <w:num w:numId="17" w16cid:durableId="1388144371">
    <w:abstractNumId w:val="37"/>
  </w:num>
  <w:num w:numId="18" w16cid:durableId="1451974632">
    <w:abstractNumId w:val="28"/>
  </w:num>
  <w:num w:numId="19" w16cid:durableId="1898542446">
    <w:abstractNumId w:val="26"/>
  </w:num>
  <w:num w:numId="20" w16cid:durableId="132330353">
    <w:abstractNumId w:val="14"/>
  </w:num>
  <w:num w:numId="21" w16cid:durableId="1023361761">
    <w:abstractNumId w:val="39"/>
  </w:num>
  <w:num w:numId="22" w16cid:durableId="1005522039">
    <w:abstractNumId w:val="36"/>
  </w:num>
  <w:num w:numId="23" w16cid:durableId="872307891">
    <w:abstractNumId w:val="3"/>
  </w:num>
  <w:num w:numId="24" w16cid:durableId="505442475">
    <w:abstractNumId w:val="11"/>
  </w:num>
  <w:num w:numId="25" w16cid:durableId="1479225634">
    <w:abstractNumId w:val="7"/>
  </w:num>
  <w:num w:numId="26" w16cid:durableId="667371462">
    <w:abstractNumId w:val="25"/>
  </w:num>
  <w:num w:numId="27" w16cid:durableId="280958189">
    <w:abstractNumId w:val="1"/>
  </w:num>
  <w:num w:numId="28" w16cid:durableId="407968767">
    <w:abstractNumId w:val="12"/>
  </w:num>
  <w:num w:numId="29" w16cid:durableId="1460298057">
    <w:abstractNumId w:val="5"/>
  </w:num>
  <w:num w:numId="30" w16cid:durableId="839543534">
    <w:abstractNumId w:val="38"/>
  </w:num>
  <w:num w:numId="31" w16cid:durableId="879822216">
    <w:abstractNumId w:val="34"/>
  </w:num>
  <w:num w:numId="32" w16cid:durableId="509103337">
    <w:abstractNumId w:val="23"/>
  </w:num>
  <w:num w:numId="33" w16cid:durableId="1809936795">
    <w:abstractNumId w:val="4"/>
  </w:num>
  <w:num w:numId="34" w16cid:durableId="1198860358">
    <w:abstractNumId w:val="22"/>
  </w:num>
  <w:num w:numId="35" w16cid:durableId="1936550417">
    <w:abstractNumId w:val="29"/>
  </w:num>
  <w:num w:numId="36" w16cid:durableId="317467846">
    <w:abstractNumId w:val="33"/>
  </w:num>
  <w:num w:numId="37" w16cid:durableId="1028334478">
    <w:abstractNumId w:val="13"/>
  </w:num>
  <w:num w:numId="38" w16cid:durableId="999770170">
    <w:abstractNumId w:val="10"/>
  </w:num>
  <w:num w:numId="39" w16cid:durableId="1623457959">
    <w:abstractNumId w:val="15"/>
  </w:num>
  <w:num w:numId="40" w16cid:durableId="153105901">
    <w:abstractNumId w:val="6"/>
  </w:num>
  <w:num w:numId="41" w16cid:durableId="867260778">
    <w:abstractNumId w:val="43"/>
  </w:num>
  <w:num w:numId="42" w16cid:durableId="334497816">
    <w:abstractNumId w:val="16"/>
  </w:num>
  <w:num w:numId="43" w16cid:durableId="995492825">
    <w:abstractNumId w:val="24"/>
  </w:num>
  <w:num w:numId="44" w16cid:durableId="424618009">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8"/>
    <w:rsid w:val="000011B3"/>
    <w:rsid w:val="00001E06"/>
    <w:rsid w:val="00005326"/>
    <w:rsid w:val="00005880"/>
    <w:rsid w:val="00007835"/>
    <w:rsid w:val="00007E6F"/>
    <w:rsid w:val="00011528"/>
    <w:rsid w:val="00012A80"/>
    <w:rsid w:val="00015FCE"/>
    <w:rsid w:val="000170DA"/>
    <w:rsid w:val="00017AC1"/>
    <w:rsid w:val="0002399C"/>
    <w:rsid w:val="000258DE"/>
    <w:rsid w:val="00027E60"/>
    <w:rsid w:val="00034766"/>
    <w:rsid w:val="00034EC8"/>
    <w:rsid w:val="00036AEB"/>
    <w:rsid w:val="00036C75"/>
    <w:rsid w:val="00037106"/>
    <w:rsid w:val="00037937"/>
    <w:rsid w:val="00043F81"/>
    <w:rsid w:val="00050B0A"/>
    <w:rsid w:val="00052CEA"/>
    <w:rsid w:val="00054CFC"/>
    <w:rsid w:val="00055488"/>
    <w:rsid w:val="00055757"/>
    <w:rsid w:val="00055EAC"/>
    <w:rsid w:val="000569C6"/>
    <w:rsid w:val="00060D64"/>
    <w:rsid w:val="00061606"/>
    <w:rsid w:val="00064649"/>
    <w:rsid w:val="00065B18"/>
    <w:rsid w:val="00070A7F"/>
    <w:rsid w:val="00071E18"/>
    <w:rsid w:val="000725FB"/>
    <w:rsid w:val="0007350A"/>
    <w:rsid w:val="00077249"/>
    <w:rsid w:val="0008002F"/>
    <w:rsid w:val="00080913"/>
    <w:rsid w:val="00080E22"/>
    <w:rsid w:val="00082067"/>
    <w:rsid w:val="00082CED"/>
    <w:rsid w:val="000833BF"/>
    <w:rsid w:val="00086C3F"/>
    <w:rsid w:val="0009117F"/>
    <w:rsid w:val="00095EE6"/>
    <w:rsid w:val="00096A24"/>
    <w:rsid w:val="00096DE3"/>
    <w:rsid w:val="00096ED6"/>
    <w:rsid w:val="000A202D"/>
    <w:rsid w:val="000A4AF1"/>
    <w:rsid w:val="000A58B7"/>
    <w:rsid w:val="000A5D74"/>
    <w:rsid w:val="000A7B4E"/>
    <w:rsid w:val="000B1492"/>
    <w:rsid w:val="000B1F2F"/>
    <w:rsid w:val="000B3E04"/>
    <w:rsid w:val="000B4A0D"/>
    <w:rsid w:val="000B627D"/>
    <w:rsid w:val="000C162F"/>
    <w:rsid w:val="000C2ECA"/>
    <w:rsid w:val="000C385A"/>
    <w:rsid w:val="000C43BC"/>
    <w:rsid w:val="000C4E42"/>
    <w:rsid w:val="000C5160"/>
    <w:rsid w:val="000D022E"/>
    <w:rsid w:val="000D05DD"/>
    <w:rsid w:val="000D11A5"/>
    <w:rsid w:val="000D11ED"/>
    <w:rsid w:val="000D1742"/>
    <w:rsid w:val="000D291A"/>
    <w:rsid w:val="000D33B5"/>
    <w:rsid w:val="000D3784"/>
    <w:rsid w:val="000D4D84"/>
    <w:rsid w:val="000D69EC"/>
    <w:rsid w:val="000D7E16"/>
    <w:rsid w:val="000E0871"/>
    <w:rsid w:val="000E0A47"/>
    <w:rsid w:val="000E4DD3"/>
    <w:rsid w:val="000E7BA2"/>
    <w:rsid w:val="000F1139"/>
    <w:rsid w:val="000F1352"/>
    <w:rsid w:val="000F1DE0"/>
    <w:rsid w:val="000F3126"/>
    <w:rsid w:val="000F3AF5"/>
    <w:rsid w:val="000F3F9A"/>
    <w:rsid w:val="000F4805"/>
    <w:rsid w:val="000F4ACE"/>
    <w:rsid w:val="000F51FC"/>
    <w:rsid w:val="000F5777"/>
    <w:rsid w:val="00101D42"/>
    <w:rsid w:val="00101FE5"/>
    <w:rsid w:val="00102761"/>
    <w:rsid w:val="00103198"/>
    <w:rsid w:val="0010593E"/>
    <w:rsid w:val="00106927"/>
    <w:rsid w:val="00107DEC"/>
    <w:rsid w:val="00110806"/>
    <w:rsid w:val="00110B6B"/>
    <w:rsid w:val="00111C50"/>
    <w:rsid w:val="00112CDC"/>
    <w:rsid w:val="00113B87"/>
    <w:rsid w:val="0011418F"/>
    <w:rsid w:val="001155C9"/>
    <w:rsid w:val="00116E4E"/>
    <w:rsid w:val="0011785C"/>
    <w:rsid w:val="00121799"/>
    <w:rsid w:val="001221CA"/>
    <w:rsid w:val="001223E4"/>
    <w:rsid w:val="0012274D"/>
    <w:rsid w:val="00123340"/>
    <w:rsid w:val="001235B5"/>
    <w:rsid w:val="00123D56"/>
    <w:rsid w:val="00125C7D"/>
    <w:rsid w:val="00131618"/>
    <w:rsid w:val="00132683"/>
    <w:rsid w:val="001330B3"/>
    <w:rsid w:val="0013397D"/>
    <w:rsid w:val="001353D9"/>
    <w:rsid w:val="0013590D"/>
    <w:rsid w:val="001401BD"/>
    <w:rsid w:val="00140D0C"/>
    <w:rsid w:val="001412FD"/>
    <w:rsid w:val="00143E5C"/>
    <w:rsid w:val="00144BBC"/>
    <w:rsid w:val="00145C2D"/>
    <w:rsid w:val="00146F4A"/>
    <w:rsid w:val="00152795"/>
    <w:rsid w:val="00153DB1"/>
    <w:rsid w:val="00154B17"/>
    <w:rsid w:val="0015677C"/>
    <w:rsid w:val="00160FDA"/>
    <w:rsid w:val="0016215E"/>
    <w:rsid w:val="0016231B"/>
    <w:rsid w:val="0016423D"/>
    <w:rsid w:val="00165E47"/>
    <w:rsid w:val="00167017"/>
    <w:rsid w:val="00167250"/>
    <w:rsid w:val="00171585"/>
    <w:rsid w:val="00174A50"/>
    <w:rsid w:val="00174B20"/>
    <w:rsid w:val="0017667A"/>
    <w:rsid w:val="00176A44"/>
    <w:rsid w:val="00177AC9"/>
    <w:rsid w:val="001808DA"/>
    <w:rsid w:val="00180FF0"/>
    <w:rsid w:val="0018327C"/>
    <w:rsid w:val="001863CA"/>
    <w:rsid w:val="00186F6A"/>
    <w:rsid w:val="00187E9F"/>
    <w:rsid w:val="00191D95"/>
    <w:rsid w:val="00192280"/>
    <w:rsid w:val="001924FB"/>
    <w:rsid w:val="00193392"/>
    <w:rsid w:val="001939D9"/>
    <w:rsid w:val="00194AE7"/>
    <w:rsid w:val="001961E5"/>
    <w:rsid w:val="001A119C"/>
    <w:rsid w:val="001A1F56"/>
    <w:rsid w:val="001A333C"/>
    <w:rsid w:val="001A50D9"/>
    <w:rsid w:val="001A5B12"/>
    <w:rsid w:val="001A68D4"/>
    <w:rsid w:val="001A6C65"/>
    <w:rsid w:val="001A7D05"/>
    <w:rsid w:val="001B3311"/>
    <w:rsid w:val="001B370E"/>
    <w:rsid w:val="001B3AB6"/>
    <w:rsid w:val="001B4078"/>
    <w:rsid w:val="001B57C1"/>
    <w:rsid w:val="001B5E50"/>
    <w:rsid w:val="001B7065"/>
    <w:rsid w:val="001B72B0"/>
    <w:rsid w:val="001C2C56"/>
    <w:rsid w:val="001C43A2"/>
    <w:rsid w:val="001C4FDC"/>
    <w:rsid w:val="001C6D8F"/>
    <w:rsid w:val="001D168B"/>
    <w:rsid w:val="001D3CCE"/>
    <w:rsid w:val="001E00A3"/>
    <w:rsid w:val="001E0769"/>
    <w:rsid w:val="001E1037"/>
    <w:rsid w:val="001E1C5B"/>
    <w:rsid w:val="001E25CB"/>
    <w:rsid w:val="001E33B7"/>
    <w:rsid w:val="001E5110"/>
    <w:rsid w:val="001F5A0A"/>
    <w:rsid w:val="001F7E1F"/>
    <w:rsid w:val="00200A49"/>
    <w:rsid w:val="002012F6"/>
    <w:rsid w:val="00205330"/>
    <w:rsid w:val="0020657C"/>
    <w:rsid w:val="0020670F"/>
    <w:rsid w:val="0021123D"/>
    <w:rsid w:val="00213652"/>
    <w:rsid w:val="00215A80"/>
    <w:rsid w:val="00215D34"/>
    <w:rsid w:val="002160F2"/>
    <w:rsid w:val="00223B2F"/>
    <w:rsid w:val="00223B43"/>
    <w:rsid w:val="00224059"/>
    <w:rsid w:val="0022438A"/>
    <w:rsid w:val="00224C94"/>
    <w:rsid w:val="002259D6"/>
    <w:rsid w:val="0023123F"/>
    <w:rsid w:val="002312D1"/>
    <w:rsid w:val="00231354"/>
    <w:rsid w:val="00233572"/>
    <w:rsid w:val="002345AE"/>
    <w:rsid w:val="002376C5"/>
    <w:rsid w:val="00240083"/>
    <w:rsid w:val="002412B8"/>
    <w:rsid w:val="002413D4"/>
    <w:rsid w:val="002416A0"/>
    <w:rsid w:val="00241C1A"/>
    <w:rsid w:val="00245A97"/>
    <w:rsid w:val="00251A1D"/>
    <w:rsid w:val="0025201A"/>
    <w:rsid w:val="00252502"/>
    <w:rsid w:val="00252908"/>
    <w:rsid w:val="00253E09"/>
    <w:rsid w:val="00255492"/>
    <w:rsid w:val="0025575C"/>
    <w:rsid w:val="00255B47"/>
    <w:rsid w:val="00255E68"/>
    <w:rsid w:val="0026226E"/>
    <w:rsid w:val="002625AA"/>
    <w:rsid w:val="00266E7A"/>
    <w:rsid w:val="00273412"/>
    <w:rsid w:val="00274E7F"/>
    <w:rsid w:val="002771A0"/>
    <w:rsid w:val="00277B6D"/>
    <w:rsid w:val="00280403"/>
    <w:rsid w:val="00280A82"/>
    <w:rsid w:val="00280EB7"/>
    <w:rsid w:val="00284F90"/>
    <w:rsid w:val="0028550E"/>
    <w:rsid w:val="0028604D"/>
    <w:rsid w:val="002864E8"/>
    <w:rsid w:val="00286595"/>
    <w:rsid w:val="002872E1"/>
    <w:rsid w:val="0028780F"/>
    <w:rsid w:val="00293C88"/>
    <w:rsid w:val="00294D4F"/>
    <w:rsid w:val="00295B18"/>
    <w:rsid w:val="002A0532"/>
    <w:rsid w:val="002A1B3E"/>
    <w:rsid w:val="002A273D"/>
    <w:rsid w:val="002A41CB"/>
    <w:rsid w:val="002B2872"/>
    <w:rsid w:val="002B300C"/>
    <w:rsid w:val="002B4139"/>
    <w:rsid w:val="002B41DB"/>
    <w:rsid w:val="002B64CF"/>
    <w:rsid w:val="002C0E46"/>
    <w:rsid w:val="002C1647"/>
    <w:rsid w:val="002C360C"/>
    <w:rsid w:val="002C3686"/>
    <w:rsid w:val="002C44EA"/>
    <w:rsid w:val="002C46BB"/>
    <w:rsid w:val="002C6A4A"/>
    <w:rsid w:val="002C7FF4"/>
    <w:rsid w:val="002D1005"/>
    <w:rsid w:val="002D1F99"/>
    <w:rsid w:val="002D2648"/>
    <w:rsid w:val="002D27F1"/>
    <w:rsid w:val="002D34CE"/>
    <w:rsid w:val="002D362E"/>
    <w:rsid w:val="002D614F"/>
    <w:rsid w:val="002D63CB"/>
    <w:rsid w:val="002D7EDD"/>
    <w:rsid w:val="002E0AC1"/>
    <w:rsid w:val="002E38BF"/>
    <w:rsid w:val="002E48C1"/>
    <w:rsid w:val="002F0987"/>
    <w:rsid w:val="002F0BB5"/>
    <w:rsid w:val="002F157E"/>
    <w:rsid w:val="002F35A2"/>
    <w:rsid w:val="002F4B83"/>
    <w:rsid w:val="002F4EE0"/>
    <w:rsid w:val="002F5987"/>
    <w:rsid w:val="002F7959"/>
    <w:rsid w:val="002F7AE5"/>
    <w:rsid w:val="003015BF"/>
    <w:rsid w:val="00303764"/>
    <w:rsid w:val="00305F78"/>
    <w:rsid w:val="0030653B"/>
    <w:rsid w:val="00311FA7"/>
    <w:rsid w:val="00312555"/>
    <w:rsid w:val="00313275"/>
    <w:rsid w:val="00313B2B"/>
    <w:rsid w:val="003152C0"/>
    <w:rsid w:val="00316A7F"/>
    <w:rsid w:val="00317BFF"/>
    <w:rsid w:val="003202E6"/>
    <w:rsid w:val="00321FE4"/>
    <w:rsid w:val="0032327B"/>
    <w:rsid w:val="003266AE"/>
    <w:rsid w:val="00327B43"/>
    <w:rsid w:val="00330586"/>
    <w:rsid w:val="00330C7D"/>
    <w:rsid w:val="00331EC7"/>
    <w:rsid w:val="00334DD7"/>
    <w:rsid w:val="00335760"/>
    <w:rsid w:val="00340D9C"/>
    <w:rsid w:val="00341DCC"/>
    <w:rsid w:val="0034310A"/>
    <w:rsid w:val="003437EE"/>
    <w:rsid w:val="00343D07"/>
    <w:rsid w:val="00343F90"/>
    <w:rsid w:val="0034446B"/>
    <w:rsid w:val="00347537"/>
    <w:rsid w:val="00351BEA"/>
    <w:rsid w:val="003522E4"/>
    <w:rsid w:val="003548D0"/>
    <w:rsid w:val="003569E6"/>
    <w:rsid w:val="003573C9"/>
    <w:rsid w:val="003616C0"/>
    <w:rsid w:val="00362E9D"/>
    <w:rsid w:val="003646C0"/>
    <w:rsid w:val="003657F4"/>
    <w:rsid w:val="00374CF6"/>
    <w:rsid w:val="00375265"/>
    <w:rsid w:val="00376485"/>
    <w:rsid w:val="00377D1C"/>
    <w:rsid w:val="00381A51"/>
    <w:rsid w:val="0038333D"/>
    <w:rsid w:val="0038379B"/>
    <w:rsid w:val="00384E45"/>
    <w:rsid w:val="00386C13"/>
    <w:rsid w:val="00387F8C"/>
    <w:rsid w:val="00391E4F"/>
    <w:rsid w:val="00393473"/>
    <w:rsid w:val="003959B0"/>
    <w:rsid w:val="00395D62"/>
    <w:rsid w:val="00396170"/>
    <w:rsid w:val="003963F8"/>
    <w:rsid w:val="00397239"/>
    <w:rsid w:val="003A017A"/>
    <w:rsid w:val="003A04F7"/>
    <w:rsid w:val="003A09F5"/>
    <w:rsid w:val="003A427A"/>
    <w:rsid w:val="003A4639"/>
    <w:rsid w:val="003A6D04"/>
    <w:rsid w:val="003A7509"/>
    <w:rsid w:val="003B24E8"/>
    <w:rsid w:val="003B573F"/>
    <w:rsid w:val="003B7192"/>
    <w:rsid w:val="003B7F1A"/>
    <w:rsid w:val="003C28A9"/>
    <w:rsid w:val="003C3EE7"/>
    <w:rsid w:val="003C57FD"/>
    <w:rsid w:val="003C6F54"/>
    <w:rsid w:val="003C78FC"/>
    <w:rsid w:val="003D02C5"/>
    <w:rsid w:val="003D08E5"/>
    <w:rsid w:val="003D340E"/>
    <w:rsid w:val="003D5FE0"/>
    <w:rsid w:val="003E233C"/>
    <w:rsid w:val="003E303D"/>
    <w:rsid w:val="003E346D"/>
    <w:rsid w:val="003E64D9"/>
    <w:rsid w:val="003E704E"/>
    <w:rsid w:val="003F3904"/>
    <w:rsid w:val="003F3CC3"/>
    <w:rsid w:val="00401D95"/>
    <w:rsid w:val="00403DEA"/>
    <w:rsid w:val="00407047"/>
    <w:rsid w:val="004072BA"/>
    <w:rsid w:val="004078E0"/>
    <w:rsid w:val="004150E0"/>
    <w:rsid w:val="00416004"/>
    <w:rsid w:val="00420E6E"/>
    <w:rsid w:val="00420E8B"/>
    <w:rsid w:val="00421281"/>
    <w:rsid w:val="0042201B"/>
    <w:rsid w:val="0042337C"/>
    <w:rsid w:val="004260F1"/>
    <w:rsid w:val="00426559"/>
    <w:rsid w:val="00427150"/>
    <w:rsid w:val="004274DC"/>
    <w:rsid w:val="004316FE"/>
    <w:rsid w:val="004330A7"/>
    <w:rsid w:val="0043404B"/>
    <w:rsid w:val="00434B66"/>
    <w:rsid w:val="0043585B"/>
    <w:rsid w:val="00436642"/>
    <w:rsid w:val="004367B5"/>
    <w:rsid w:val="004367D0"/>
    <w:rsid w:val="00441363"/>
    <w:rsid w:val="00442733"/>
    <w:rsid w:val="00444B7B"/>
    <w:rsid w:val="00446565"/>
    <w:rsid w:val="00452B90"/>
    <w:rsid w:val="00454D44"/>
    <w:rsid w:val="004559CB"/>
    <w:rsid w:val="0045679F"/>
    <w:rsid w:val="00460ED6"/>
    <w:rsid w:val="0046114D"/>
    <w:rsid w:val="00461E86"/>
    <w:rsid w:val="00462CFD"/>
    <w:rsid w:val="00464990"/>
    <w:rsid w:val="00465848"/>
    <w:rsid w:val="00466FB9"/>
    <w:rsid w:val="004677B9"/>
    <w:rsid w:val="0047061A"/>
    <w:rsid w:val="0047121E"/>
    <w:rsid w:val="004736F2"/>
    <w:rsid w:val="00475122"/>
    <w:rsid w:val="00477089"/>
    <w:rsid w:val="0048124C"/>
    <w:rsid w:val="004816B1"/>
    <w:rsid w:val="0048259D"/>
    <w:rsid w:val="0048419C"/>
    <w:rsid w:val="00486998"/>
    <w:rsid w:val="0048706A"/>
    <w:rsid w:val="00487922"/>
    <w:rsid w:val="0049133A"/>
    <w:rsid w:val="00491EBC"/>
    <w:rsid w:val="00491F26"/>
    <w:rsid w:val="00492DA1"/>
    <w:rsid w:val="00492EB1"/>
    <w:rsid w:val="004A01B1"/>
    <w:rsid w:val="004A0D20"/>
    <w:rsid w:val="004A337E"/>
    <w:rsid w:val="004A33DA"/>
    <w:rsid w:val="004A5042"/>
    <w:rsid w:val="004B2FDC"/>
    <w:rsid w:val="004B3586"/>
    <w:rsid w:val="004B5EC6"/>
    <w:rsid w:val="004B6255"/>
    <w:rsid w:val="004B6969"/>
    <w:rsid w:val="004B6C0C"/>
    <w:rsid w:val="004B6FAA"/>
    <w:rsid w:val="004B740D"/>
    <w:rsid w:val="004B7423"/>
    <w:rsid w:val="004B79EC"/>
    <w:rsid w:val="004B7DF6"/>
    <w:rsid w:val="004C206F"/>
    <w:rsid w:val="004C33EC"/>
    <w:rsid w:val="004C3559"/>
    <w:rsid w:val="004D21DB"/>
    <w:rsid w:val="004D5A14"/>
    <w:rsid w:val="004D68CD"/>
    <w:rsid w:val="004D68D2"/>
    <w:rsid w:val="004E2881"/>
    <w:rsid w:val="004E56AF"/>
    <w:rsid w:val="004F1EEA"/>
    <w:rsid w:val="004F537E"/>
    <w:rsid w:val="004F5C4D"/>
    <w:rsid w:val="004F6E14"/>
    <w:rsid w:val="004F6E2F"/>
    <w:rsid w:val="005016EE"/>
    <w:rsid w:val="00504D0B"/>
    <w:rsid w:val="00505091"/>
    <w:rsid w:val="0050658A"/>
    <w:rsid w:val="0050710A"/>
    <w:rsid w:val="00510418"/>
    <w:rsid w:val="00510B0F"/>
    <w:rsid w:val="00511A7D"/>
    <w:rsid w:val="00511B5A"/>
    <w:rsid w:val="00511EA9"/>
    <w:rsid w:val="0051222F"/>
    <w:rsid w:val="00513F6D"/>
    <w:rsid w:val="00514953"/>
    <w:rsid w:val="005159F8"/>
    <w:rsid w:val="00515C54"/>
    <w:rsid w:val="0051674E"/>
    <w:rsid w:val="00523B99"/>
    <w:rsid w:val="00523CFF"/>
    <w:rsid w:val="0052404D"/>
    <w:rsid w:val="0052670A"/>
    <w:rsid w:val="00527233"/>
    <w:rsid w:val="00530418"/>
    <w:rsid w:val="005306C9"/>
    <w:rsid w:val="00533E79"/>
    <w:rsid w:val="005367E8"/>
    <w:rsid w:val="00536B38"/>
    <w:rsid w:val="00537743"/>
    <w:rsid w:val="00537D74"/>
    <w:rsid w:val="0054013A"/>
    <w:rsid w:val="0054060E"/>
    <w:rsid w:val="0054151E"/>
    <w:rsid w:val="00541949"/>
    <w:rsid w:val="005434B0"/>
    <w:rsid w:val="005435AF"/>
    <w:rsid w:val="00544F35"/>
    <w:rsid w:val="005458FF"/>
    <w:rsid w:val="00545DB5"/>
    <w:rsid w:val="00550DBF"/>
    <w:rsid w:val="0055278F"/>
    <w:rsid w:val="00554137"/>
    <w:rsid w:val="00555DD2"/>
    <w:rsid w:val="00556BE4"/>
    <w:rsid w:val="00556C15"/>
    <w:rsid w:val="00556E3E"/>
    <w:rsid w:val="00560343"/>
    <w:rsid w:val="005604E3"/>
    <w:rsid w:val="0056392D"/>
    <w:rsid w:val="005648C7"/>
    <w:rsid w:val="005667EE"/>
    <w:rsid w:val="00566ED3"/>
    <w:rsid w:val="00567372"/>
    <w:rsid w:val="00572276"/>
    <w:rsid w:val="0057356B"/>
    <w:rsid w:val="00574F2F"/>
    <w:rsid w:val="00575101"/>
    <w:rsid w:val="005772CD"/>
    <w:rsid w:val="00580F73"/>
    <w:rsid w:val="00584BF4"/>
    <w:rsid w:val="00585215"/>
    <w:rsid w:val="0058609E"/>
    <w:rsid w:val="005876A1"/>
    <w:rsid w:val="0059044C"/>
    <w:rsid w:val="00590E7C"/>
    <w:rsid w:val="0059110F"/>
    <w:rsid w:val="005912C7"/>
    <w:rsid w:val="0059173E"/>
    <w:rsid w:val="00591B22"/>
    <w:rsid w:val="00594767"/>
    <w:rsid w:val="00596098"/>
    <w:rsid w:val="00596245"/>
    <w:rsid w:val="005A0A5E"/>
    <w:rsid w:val="005A0DAE"/>
    <w:rsid w:val="005A1207"/>
    <w:rsid w:val="005A160D"/>
    <w:rsid w:val="005A1936"/>
    <w:rsid w:val="005A2B65"/>
    <w:rsid w:val="005A3169"/>
    <w:rsid w:val="005A324E"/>
    <w:rsid w:val="005A65AD"/>
    <w:rsid w:val="005A6F07"/>
    <w:rsid w:val="005B03F8"/>
    <w:rsid w:val="005B121B"/>
    <w:rsid w:val="005B3210"/>
    <w:rsid w:val="005B4313"/>
    <w:rsid w:val="005B466C"/>
    <w:rsid w:val="005B53A8"/>
    <w:rsid w:val="005B586A"/>
    <w:rsid w:val="005B7297"/>
    <w:rsid w:val="005C4C00"/>
    <w:rsid w:val="005C59EA"/>
    <w:rsid w:val="005D2F75"/>
    <w:rsid w:val="005D2F98"/>
    <w:rsid w:val="005D3534"/>
    <w:rsid w:val="005E060D"/>
    <w:rsid w:val="005E5C83"/>
    <w:rsid w:val="005F0F42"/>
    <w:rsid w:val="005F6C65"/>
    <w:rsid w:val="005F74B1"/>
    <w:rsid w:val="005F7D19"/>
    <w:rsid w:val="00600F2D"/>
    <w:rsid w:val="00603975"/>
    <w:rsid w:val="00605049"/>
    <w:rsid w:val="00610CDC"/>
    <w:rsid w:val="006123CC"/>
    <w:rsid w:val="0061300D"/>
    <w:rsid w:val="00613926"/>
    <w:rsid w:val="006145A0"/>
    <w:rsid w:val="00621484"/>
    <w:rsid w:val="006254B3"/>
    <w:rsid w:val="0062562C"/>
    <w:rsid w:val="00627C77"/>
    <w:rsid w:val="00627E18"/>
    <w:rsid w:val="00627FEF"/>
    <w:rsid w:val="006314E7"/>
    <w:rsid w:val="0063213C"/>
    <w:rsid w:val="006336D7"/>
    <w:rsid w:val="00633A13"/>
    <w:rsid w:val="006351EF"/>
    <w:rsid w:val="006355DF"/>
    <w:rsid w:val="00636860"/>
    <w:rsid w:val="00637487"/>
    <w:rsid w:val="00637B8C"/>
    <w:rsid w:val="006443BE"/>
    <w:rsid w:val="00647085"/>
    <w:rsid w:val="00647903"/>
    <w:rsid w:val="00647CBF"/>
    <w:rsid w:val="0065284F"/>
    <w:rsid w:val="00653FDB"/>
    <w:rsid w:val="00655E7E"/>
    <w:rsid w:val="006565AE"/>
    <w:rsid w:val="006571DF"/>
    <w:rsid w:val="00657547"/>
    <w:rsid w:val="006610E6"/>
    <w:rsid w:val="006638D5"/>
    <w:rsid w:val="00663962"/>
    <w:rsid w:val="00663FCF"/>
    <w:rsid w:val="00665959"/>
    <w:rsid w:val="0066636C"/>
    <w:rsid w:val="00666ABF"/>
    <w:rsid w:val="00670864"/>
    <w:rsid w:val="0067127F"/>
    <w:rsid w:val="0067284F"/>
    <w:rsid w:val="00673853"/>
    <w:rsid w:val="00673B32"/>
    <w:rsid w:val="006763EE"/>
    <w:rsid w:val="0068106B"/>
    <w:rsid w:val="00681284"/>
    <w:rsid w:val="006833C9"/>
    <w:rsid w:val="00684CBA"/>
    <w:rsid w:val="0068577D"/>
    <w:rsid w:val="00691270"/>
    <w:rsid w:val="00693636"/>
    <w:rsid w:val="0069564C"/>
    <w:rsid w:val="006A2908"/>
    <w:rsid w:val="006A319D"/>
    <w:rsid w:val="006A375C"/>
    <w:rsid w:val="006A5BF3"/>
    <w:rsid w:val="006A6383"/>
    <w:rsid w:val="006A7BE1"/>
    <w:rsid w:val="006B056F"/>
    <w:rsid w:val="006B120C"/>
    <w:rsid w:val="006B1417"/>
    <w:rsid w:val="006B1491"/>
    <w:rsid w:val="006B2BC7"/>
    <w:rsid w:val="006B3279"/>
    <w:rsid w:val="006B36B8"/>
    <w:rsid w:val="006B4350"/>
    <w:rsid w:val="006B485F"/>
    <w:rsid w:val="006C3E97"/>
    <w:rsid w:val="006C6596"/>
    <w:rsid w:val="006D16DB"/>
    <w:rsid w:val="006D1AA7"/>
    <w:rsid w:val="006D4C87"/>
    <w:rsid w:val="006E0759"/>
    <w:rsid w:val="006E0987"/>
    <w:rsid w:val="006E23DB"/>
    <w:rsid w:val="006E2C51"/>
    <w:rsid w:val="006E39F9"/>
    <w:rsid w:val="006E43CB"/>
    <w:rsid w:val="006E60C2"/>
    <w:rsid w:val="006E6D55"/>
    <w:rsid w:val="006F24AB"/>
    <w:rsid w:val="006F5866"/>
    <w:rsid w:val="007015A0"/>
    <w:rsid w:val="007038BF"/>
    <w:rsid w:val="00705E50"/>
    <w:rsid w:val="007076D2"/>
    <w:rsid w:val="00707726"/>
    <w:rsid w:val="00707AEB"/>
    <w:rsid w:val="00710CCC"/>
    <w:rsid w:val="00713A34"/>
    <w:rsid w:val="00713D0D"/>
    <w:rsid w:val="00714245"/>
    <w:rsid w:val="00714F76"/>
    <w:rsid w:val="00716B8F"/>
    <w:rsid w:val="00721501"/>
    <w:rsid w:val="00722FC1"/>
    <w:rsid w:val="00723C2B"/>
    <w:rsid w:val="007242D9"/>
    <w:rsid w:val="00725A6A"/>
    <w:rsid w:val="00725B35"/>
    <w:rsid w:val="00734CC5"/>
    <w:rsid w:val="0073556D"/>
    <w:rsid w:val="00737584"/>
    <w:rsid w:val="0074039F"/>
    <w:rsid w:val="00741442"/>
    <w:rsid w:val="00744CB7"/>
    <w:rsid w:val="00745287"/>
    <w:rsid w:val="00745777"/>
    <w:rsid w:val="00745C78"/>
    <w:rsid w:val="00746531"/>
    <w:rsid w:val="00747D02"/>
    <w:rsid w:val="00750D77"/>
    <w:rsid w:val="00751C7B"/>
    <w:rsid w:val="00753FF7"/>
    <w:rsid w:val="00755E8B"/>
    <w:rsid w:val="00756FDE"/>
    <w:rsid w:val="00757798"/>
    <w:rsid w:val="00757E37"/>
    <w:rsid w:val="00761737"/>
    <w:rsid w:val="00761D0F"/>
    <w:rsid w:val="0076509D"/>
    <w:rsid w:val="007700BC"/>
    <w:rsid w:val="00771C48"/>
    <w:rsid w:val="00774425"/>
    <w:rsid w:val="00775DA3"/>
    <w:rsid w:val="007761C7"/>
    <w:rsid w:val="00777A70"/>
    <w:rsid w:val="00780CAB"/>
    <w:rsid w:val="0078284B"/>
    <w:rsid w:val="007850A9"/>
    <w:rsid w:val="00785A6B"/>
    <w:rsid w:val="00792C81"/>
    <w:rsid w:val="007938C2"/>
    <w:rsid w:val="007955A3"/>
    <w:rsid w:val="00795B31"/>
    <w:rsid w:val="007A0085"/>
    <w:rsid w:val="007A11B5"/>
    <w:rsid w:val="007A23CF"/>
    <w:rsid w:val="007A2FE1"/>
    <w:rsid w:val="007B454A"/>
    <w:rsid w:val="007B489C"/>
    <w:rsid w:val="007B4E2E"/>
    <w:rsid w:val="007B5BCF"/>
    <w:rsid w:val="007B67E4"/>
    <w:rsid w:val="007B7319"/>
    <w:rsid w:val="007B741F"/>
    <w:rsid w:val="007C07F4"/>
    <w:rsid w:val="007C153F"/>
    <w:rsid w:val="007C1C95"/>
    <w:rsid w:val="007C1D9A"/>
    <w:rsid w:val="007C204D"/>
    <w:rsid w:val="007C2126"/>
    <w:rsid w:val="007C23E6"/>
    <w:rsid w:val="007C655E"/>
    <w:rsid w:val="007D0912"/>
    <w:rsid w:val="007D3B7F"/>
    <w:rsid w:val="007D3EBB"/>
    <w:rsid w:val="007D4F95"/>
    <w:rsid w:val="007D680B"/>
    <w:rsid w:val="007D7774"/>
    <w:rsid w:val="007E1D77"/>
    <w:rsid w:val="007E331A"/>
    <w:rsid w:val="007E345B"/>
    <w:rsid w:val="007E3872"/>
    <w:rsid w:val="007E4F89"/>
    <w:rsid w:val="007F533D"/>
    <w:rsid w:val="007F641D"/>
    <w:rsid w:val="007F70A1"/>
    <w:rsid w:val="007F7251"/>
    <w:rsid w:val="0080037A"/>
    <w:rsid w:val="00801914"/>
    <w:rsid w:val="008031B8"/>
    <w:rsid w:val="0080416E"/>
    <w:rsid w:val="0080458A"/>
    <w:rsid w:val="00804594"/>
    <w:rsid w:val="0080608F"/>
    <w:rsid w:val="008060D4"/>
    <w:rsid w:val="008066C4"/>
    <w:rsid w:val="00811115"/>
    <w:rsid w:val="00811654"/>
    <w:rsid w:val="00813C62"/>
    <w:rsid w:val="00814FD6"/>
    <w:rsid w:val="00816108"/>
    <w:rsid w:val="0082007F"/>
    <w:rsid w:val="008205BB"/>
    <w:rsid w:val="00820990"/>
    <w:rsid w:val="00821AC0"/>
    <w:rsid w:val="00822182"/>
    <w:rsid w:val="00822838"/>
    <w:rsid w:val="00824140"/>
    <w:rsid w:val="00827F3F"/>
    <w:rsid w:val="00830B68"/>
    <w:rsid w:val="00833D38"/>
    <w:rsid w:val="008368F4"/>
    <w:rsid w:val="0083707A"/>
    <w:rsid w:val="00840F2D"/>
    <w:rsid w:val="00843580"/>
    <w:rsid w:val="00843A98"/>
    <w:rsid w:val="0084462C"/>
    <w:rsid w:val="0084637C"/>
    <w:rsid w:val="0085241C"/>
    <w:rsid w:val="008541C7"/>
    <w:rsid w:val="00857792"/>
    <w:rsid w:val="008577CF"/>
    <w:rsid w:val="00860D15"/>
    <w:rsid w:val="008617F3"/>
    <w:rsid w:val="008622EA"/>
    <w:rsid w:val="008625F4"/>
    <w:rsid w:val="008710DB"/>
    <w:rsid w:val="008729E4"/>
    <w:rsid w:val="00873B9B"/>
    <w:rsid w:val="00875BBB"/>
    <w:rsid w:val="00876A6E"/>
    <w:rsid w:val="00876D2D"/>
    <w:rsid w:val="00877087"/>
    <w:rsid w:val="0087730A"/>
    <w:rsid w:val="0087752C"/>
    <w:rsid w:val="008776F1"/>
    <w:rsid w:val="008843AF"/>
    <w:rsid w:val="00884A08"/>
    <w:rsid w:val="0088603C"/>
    <w:rsid w:val="008904B7"/>
    <w:rsid w:val="008916DE"/>
    <w:rsid w:val="00891CF6"/>
    <w:rsid w:val="00892EA3"/>
    <w:rsid w:val="00893451"/>
    <w:rsid w:val="00893ADF"/>
    <w:rsid w:val="00896858"/>
    <w:rsid w:val="008A2A20"/>
    <w:rsid w:val="008A38A1"/>
    <w:rsid w:val="008A3979"/>
    <w:rsid w:val="008A50EB"/>
    <w:rsid w:val="008B5922"/>
    <w:rsid w:val="008B593B"/>
    <w:rsid w:val="008B79B0"/>
    <w:rsid w:val="008B7F2C"/>
    <w:rsid w:val="008C13E5"/>
    <w:rsid w:val="008C1C50"/>
    <w:rsid w:val="008C412F"/>
    <w:rsid w:val="008C581E"/>
    <w:rsid w:val="008C5B3C"/>
    <w:rsid w:val="008C6848"/>
    <w:rsid w:val="008C68FE"/>
    <w:rsid w:val="008D123A"/>
    <w:rsid w:val="008D3534"/>
    <w:rsid w:val="008D4E3D"/>
    <w:rsid w:val="008D4FE2"/>
    <w:rsid w:val="008D674A"/>
    <w:rsid w:val="008D77F3"/>
    <w:rsid w:val="008E1593"/>
    <w:rsid w:val="008E1D7B"/>
    <w:rsid w:val="008E2C79"/>
    <w:rsid w:val="008E2D24"/>
    <w:rsid w:val="008E47E7"/>
    <w:rsid w:val="008E6205"/>
    <w:rsid w:val="008F1404"/>
    <w:rsid w:val="008F2711"/>
    <w:rsid w:val="008F3930"/>
    <w:rsid w:val="008F60CF"/>
    <w:rsid w:val="008F6CE2"/>
    <w:rsid w:val="009002DA"/>
    <w:rsid w:val="009006E5"/>
    <w:rsid w:val="00900804"/>
    <w:rsid w:val="00901666"/>
    <w:rsid w:val="00905818"/>
    <w:rsid w:val="00910ADF"/>
    <w:rsid w:val="0091226E"/>
    <w:rsid w:val="0091295D"/>
    <w:rsid w:val="00913D5D"/>
    <w:rsid w:val="009141C6"/>
    <w:rsid w:val="00914290"/>
    <w:rsid w:val="00914FC9"/>
    <w:rsid w:val="009153AA"/>
    <w:rsid w:val="00920CA4"/>
    <w:rsid w:val="009215C4"/>
    <w:rsid w:val="009262FD"/>
    <w:rsid w:val="00927BDA"/>
    <w:rsid w:val="009344F1"/>
    <w:rsid w:val="0093498F"/>
    <w:rsid w:val="00935EA7"/>
    <w:rsid w:val="00942592"/>
    <w:rsid w:val="00942705"/>
    <w:rsid w:val="0094280B"/>
    <w:rsid w:val="00943959"/>
    <w:rsid w:val="00943D78"/>
    <w:rsid w:val="00945597"/>
    <w:rsid w:val="00950DF6"/>
    <w:rsid w:val="009529AA"/>
    <w:rsid w:val="00953277"/>
    <w:rsid w:val="009539EC"/>
    <w:rsid w:val="00954701"/>
    <w:rsid w:val="00954865"/>
    <w:rsid w:val="009562EB"/>
    <w:rsid w:val="009634C1"/>
    <w:rsid w:val="00964DAB"/>
    <w:rsid w:val="00965359"/>
    <w:rsid w:val="009658A3"/>
    <w:rsid w:val="00966202"/>
    <w:rsid w:val="00973EA6"/>
    <w:rsid w:val="00974A55"/>
    <w:rsid w:val="00975EAE"/>
    <w:rsid w:val="00977250"/>
    <w:rsid w:val="0098217F"/>
    <w:rsid w:val="00983573"/>
    <w:rsid w:val="009870C9"/>
    <w:rsid w:val="0098798C"/>
    <w:rsid w:val="009920A1"/>
    <w:rsid w:val="00993423"/>
    <w:rsid w:val="00995B0E"/>
    <w:rsid w:val="009A0B20"/>
    <w:rsid w:val="009A1DD8"/>
    <w:rsid w:val="009A4720"/>
    <w:rsid w:val="009A5915"/>
    <w:rsid w:val="009A6276"/>
    <w:rsid w:val="009B3879"/>
    <w:rsid w:val="009B5067"/>
    <w:rsid w:val="009B58A9"/>
    <w:rsid w:val="009B604D"/>
    <w:rsid w:val="009B7247"/>
    <w:rsid w:val="009B7554"/>
    <w:rsid w:val="009B7EF5"/>
    <w:rsid w:val="009C095D"/>
    <w:rsid w:val="009C3795"/>
    <w:rsid w:val="009C47C1"/>
    <w:rsid w:val="009C679D"/>
    <w:rsid w:val="009D208D"/>
    <w:rsid w:val="009D6091"/>
    <w:rsid w:val="009D638E"/>
    <w:rsid w:val="009E2199"/>
    <w:rsid w:val="009F0527"/>
    <w:rsid w:val="009F11B6"/>
    <w:rsid w:val="009F2A2D"/>
    <w:rsid w:val="009F2C12"/>
    <w:rsid w:val="009F53B0"/>
    <w:rsid w:val="00A03AC5"/>
    <w:rsid w:val="00A04171"/>
    <w:rsid w:val="00A04343"/>
    <w:rsid w:val="00A04492"/>
    <w:rsid w:val="00A06A93"/>
    <w:rsid w:val="00A070B8"/>
    <w:rsid w:val="00A07482"/>
    <w:rsid w:val="00A079A5"/>
    <w:rsid w:val="00A1176C"/>
    <w:rsid w:val="00A14C58"/>
    <w:rsid w:val="00A169CE"/>
    <w:rsid w:val="00A20F62"/>
    <w:rsid w:val="00A23680"/>
    <w:rsid w:val="00A26004"/>
    <w:rsid w:val="00A27BB2"/>
    <w:rsid w:val="00A34CFD"/>
    <w:rsid w:val="00A35908"/>
    <w:rsid w:val="00A365A8"/>
    <w:rsid w:val="00A37915"/>
    <w:rsid w:val="00A37C72"/>
    <w:rsid w:val="00A40019"/>
    <w:rsid w:val="00A41382"/>
    <w:rsid w:val="00A4163E"/>
    <w:rsid w:val="00A41B5A"/>
    <w:rsid w:val="00A46B9F"/>
    <w:rsid w:val="00A4718C"/>
    <w:rsid w:val="00A47904"/>
    <w:rsid w:val="00A50959"/>
    <w:rsid w:val="00A52140"/>
    <w:rsid w:val="00A52927"/>
    <w:rsid w:val="00A553F8"/>
    <w:rsid w:val="00A5675F"/>
    <w:rsid w:val="00A56FE6"/>
    <w:rsid w:val="00A5786C"/>
    <w:rsid w:val="00A57D81"/>
    <w:rsid w:val="00A63C24"/>
    <w:rsid w:val="00A63CDE"/>
    <w:rsid w:val="00A674D8"/>
    <w:rsid w:val="00A6795B"/>
    <w:rsid w:val="00A700C5"/>
    <w:rsid w:val="00A749CC"/>
    <w:rsid w:val="00A767A8"/>
    <w:rsid w:val="00A82978"/>
    <w:rsid w:val="00A83B57"/>
    <w:rsid w:val="00A86422"/>
    <w:rsid w:val="00A870F1"/>
    <w:rsid w:val="00A909DE"/>
    <w:rsid w:val="00A929EA"/>
    <w:rsid w:val="00A93D9A"/>
    <w:rsid w:val="00A95C2D"/>
    <w:rsid w:val="00A9712B"/>
    <w:rsid w:val="00AA00CE"/>
    <w:rsid w:val="00AA286D"/>
    <w:rsid w:val="00AB02F4"/>
    <w:rsid w:val="00AB13FF"/>
    <w:rsid w:val="00AB16B1"/>
    <w:rsid w:val="00AB1C06"/>
    <w:rsid w:val="00AB1E67"/>
    <w:rsid w:val="00AB438B"/>
    <w:rsid w:val="00AC0BE1"/>
    <w:rsid w:val="00AC1722"/>
    <w:rsid w:val="00AC25D4"/>
    <w:rsid w:val="00AC514A"/>
    <w:rsid w:val="00AC54B7"/>
    <w:rsid w:val="00AD192D"/>
    <w:rsid w:val="00AD4340"/>
    <w:rsid w:val="00AD697A"/>
    <w:rsid w:val="00AD7809"/>
    <w:rsid w:val="00AE0B25"/>
    <w:rsid w:val="00AE1088"/>
    <w:rsid w:val="00AE2464"/>
    <w:rsid w:val="00AE39DD"/>
    <w:rsid w:val="00AE74F4"/>
    <w:rsid w:val="00AF0559"/>
    <w:rsid w:val="00AF43A3"/>
    <w:rsid w:val="00AF5AE1"/>
    <w:rsid w:val="00AF5D5E"/>
    <w:rsid w:val="00AF6EBD"/>
    <w:rsid w:val="00B00760"/>
    <w:rsid w:val="00B01395"/>
    <w:rsid w:val="00B016CF"/>
    <w:rsid w:val="00B03315"/>
    <w:rsid w:val="00B0348E"/>
    <w:rsid w:val="00B040D3"/>
    <w:rsid w:val="00B04760"/>
    <w:rsid w:val="00B0480E"/>
    <w:rsid w:val="00B149AE"/>
    <w:rsid w:val="00B15A27"/>
    <w:rsid w:val="00B163B1"/>
    <w:rsid w:val="00B20EBA"/>
    <w:rsid w:val="00B21353"/>
    <w:rsid w:val="00B2197B"/>
    <w:rsid w:val="00B2364D"/>
    <w:rsid w:val="00B241BA"/>
    <w:rsid w:val="00B267E4"/>
    <w:rsid w:val="00B3152A"/>
    <w:rsid w:val="00B31E97"/>
    <w:rsid w:val="00B3444F"/>
    <w:rsid w:val="00B351F1"/>
    <w:rsid w:val="00B35D4A"/>
    <w:rsid w:val="00B36E00"/>
    <w:rsid w:val="00B36E14"/>
    <w:rsid w:val="00B37935"/>
    <w:rsid w:val="00B37EDE"/>
    <w:rsid w:val="00B412F5"/>
    <w:rsid w:val="00B42947"/>
    <w:rsid w:val="00B43476"/>
    <w:rsid w:val="00B434F1"/>
    <w:rsid w:val="00B44D3E"/>
    <w:rsid w:val="00B45D31"/>
    <w:rsid w:val="00B511CF"/>
    <w:rsid w:val="00B51664"/>
    <w:rsid w:val="00B5178F"/>
    <w:rsid w:val="00B51C7B"/>
    <w:rsid w:val="00B51E6A"/>
    <w:rsid w:val="00B522E1"/>
    <w:rsid w:val="00B5303E"/>
    <w:rsid w:val="00B538AA"/>
    <w:rsid w:val="00B53DBC"/>
    <w:rsid w:val="00B541A3"/>
    <w:rsid w:val="00B54889"/>
    <w:rsid w:val="00B54EA3"/>
    <w:rsid w:val="00B55F07"/>
    <w:rsid w:val="00B56C33"/>
    <w:rsid w:val="00B5737F"/>
    <w:rsid w:val="00B6018C"/>
    <w:rsid w:val="00B60885"/>
    <w:rsid w:val="00B618C2"/>
    <w:rsid w:val="00B61E12"/>
    <w:rsid w:val="00B62147"/>
    <w:rsid w:val="00B62683"/>
    <w:rsid w:val="00B64C3A"/>
    <w:rsid w:val="00B70076"/>
    <w:rsid w:val="00B71AAA"/>
    <w:rsid w:val="00B71E33"/>
    <w:rsid w:val="00B72F01"/>
    <w:rsid w:val="00B7523B"/>
    <w:rsid w:val="00B76FF8"/>
    <w:rsid w:val="00B77ADF"/>
    <w:rsid w:val="00B81331"/>
    <w:rsid w:val="00B816C8"/>
    <w:rsid w:val="00B82769"/>
    <w:rsid w:val="00B84EFF"/>
    <w:rsid w:val="00B86987"/>
    <w:rsid w:val="00B87AAD"/>
    <w:rsid w:val="00B92789"/>
    <w:rsid w:val="00B9347C"/>
    <w:rsid w:val="00B94C35"/>
    <w:rsid w:val="00B96FF7"/>
    <w:rsid w:val="00B975D3"/>
    <w:rsid w:val="00B978AB"/>
    <w:rsid w:val="00BA1B28"/>
    <w:rsid w:val="00BA2A4E"/>
    <w:rsid w:val="00BA3385"/>
    <w:rsid w:val="00BA3479"/>
    <w:rsid w:val="00BA443A"/>
    <w:rsid w:val="00BA50C7"/>
    <w:rsid w:val="00BA55BC"/>
    <w:rsid w:val="00BB0254"/>
    <w:rsid w:val="00BB0D9F"/>
    <w:rsid w:val="00BB5DFE"/>
    <w:rsid w:val="00BC17CB"/>
    <w:rsid w:val="00BC216F"/>
    <w:rsid w:val="00BC4677"/>
    <w:rsid w:val="00BC59BB"/>
    <w:rsid w:val="00BC6403"/>
    <w:rsid w:val="00BC6BC1"/>
    <w:rsid w:val="00BC7621"/>
    <w:rsid w:val="00BC7C46"/>
    <w:rsid w:val="00BD05C2"/>
    <w:rsid w:val="00BD6C26"/>
    <w:rsid w:val="00BD7B38"/>
    <w:rsid w:val="00BD7F10"/>
    <w:rsid w:val="00BE048A"/>
    <w:rsid w:val="00BE0650"/>
    <w:rsid w:val="00BE2251"/>
    <w:rsid w:val="00BE29EB"/>
    <w:rsid w:val="00BE5599"/>
    <w:rsid w:val="00BE574A"/>
    <w:rsid w:val="00BE5776"/>
    <w:rsid w:val="00BE5948"/>
    <w:rsid w:val="00BF0C18"/>
    <w:rsid w:val="00BF28AE"/>
    <w:rsid w:val="00BF36E6"/>
    <w:rsid w:val="00BF6781"/>
    <w:rsid w:val="00BF73C9"/>
    <w:rsid w:val="00BF78BB"/>
    <w:rsid w:val="00C002FB"/>
    <w:rsid w:val="00C0062D"/>
    <w:rsid w:val="00C03D68"/>
    <w:rsid w:val="00C04FC3"/>
    <w:rsid w:val="00C07A55"/>
    <w:rsid w:val="00C15D5E"/>
    <w:rsid w:val="00C16725"/>
    <w:rsid w:val="00C21635"/>
    <w:rsid w:val="00C23180"/>
    <w:rsid w:val="00C2477A"/>
    <w:rsid w:val="00C2611E"/>
    <w:rsid w:val="00C265E3"/>
    <w:rsid w:val="00C26997"/>
    <w:rsid w:val="00C27472"/>
    <w:rsid w:val="00C32CDD"/>
    <w:rsid w:val="00C32F82"/>
    <w:rsid w:val="00C33E9A"/>
    <w:rsid w:val="00C35322"/>
    <w:rsid w:val="00C37BF5"/>
    <w:rsid w:val="00C40CAD"/>
    <w:rsid w:val="00C41A75"/>
    <w:rsid w:val="00C43C01"/>
    <w:rsid w:val="00C45A13"/>
    <w:rsid w:val="00C46B63"/>
    <w:rsid w:val="00C46FBD"/>
    <w:rsid w:val="00C501CD"/>
    <w:rsid w:val="00C5105D"/>
    <w:rsid w:val="00C53891"/>
    <w:rsid w:val="00C53EE2"/>
    <w:rsid w:val="00C5418F"/>
    <w:rsid w:val="00C54861"/>
    <w:rsid w:val="00C5526E"/>
    <w:rsid w:val="00C55361"/>
    <w:rsid w:val="00C5551A"/>
    <w:rsid w:val="00C557B5"/>
    <w:rsid w:val="00C558DB"/>
    <w:rsid w:val="00C63020"/>
    <w:rsid w:val="00C677FC"/>
    <w:rsid w:val="00C736CD"/>
    <w:rsid w:val="00C73C3D"/>
    <w:rsid w:val="00C75031"/>
    <w:rsid w:val="00C75C73"/>
    <w:rsid w:val="00C80335"/>
    <w:rsid w:val="00C818BC"/>
    <w:rsid w:val="00C81EC5"/>
    <w:rsid w:val="00C82285"/>
    <w:rsid w:val="00C82449"/>
    <w:rsid w:val="00C86133"/>
    <w:rsid w:val="00C9295A"/>
    <w:rsid w:val="00C92EB2"/>
    <w:rsid w:val="00C935BF"/>
    <w:rsid w:val="00C94092"/>
    <w:rsid w:val="00C95C02"/>
    <w:rsid w:val="00C96636"/>
    <w:rsid w:val="00C97972"/>
    <w:rsid w:val="00CA0F59"/>
    <w:rsid w:val="00CA192C"/>
    <w:rsid w:val="00CA3820"/>
    <w:rsid w:val="00CA570B"/>
    <w:rsid w:val="00CA5DE9"/>
    <w:rsid w:val="00CA7BF2"/>
    <w:rsid w:val="00CB03FC"/>
    <w:rsid w:val="00CB2236"/>
    <w:rsid w:val="00CC16B3"/>
    <w:rsid w:val="00CC1F0B"/>
    <w:rsid w:val="00CC562C"/>
    <w:rsid w:val="00CD3DC9"/>
    <w:rsid w:val="00CD3FD6"/>
    <w:rsid w:val="00CD6F8E"/>
    <w:rsid w:val="00CE076D"/>
    <w:rsid w:val="00CF050B"/>
    <w:rsid w:val="00CF24AA"/>
    <w:rsid w:val="00CF363B"/>
    <w:rsid w:val="00CF3C99"/>
    <w:rsid w:val="00CF4202"/>
    <w:rsid w:val="00CF60A7"/>
    <w:rsid w:val="00CF7690"/>
    <w:rsid w:val="00CF7963"/>
    <w:rsid w:val="00D00E6E"/>
    <w:rsid w:val="00D015BC"/>
    <w:rsid w:val="00D01BF8"/>
    <w:rsid w:val="00D0325A"/>
    <w:rsid w:val="00D03B5C"/>
    <w:rsid w:val="00D0419F"/>
    <w:rsid w:val="00D041E2"/>
    <w:rsid w:val="00D0473B"/>
    <w:rsid w:val="00D0648C"/>
    <w:rsid w:val="00D0690C"/>
    <w:rsid w:val="00D109A5"/>
    <w:rsid w:val="00D145A6"/>
    <w:rsid w:val="00D14600"/>
    <w:rsid w:val="00D15D0C"/>
    <w:rsid w:val="00D17F34"/>
    <w:rsid w:val="00D204C3"/>
    <w:rsid w:val="00D20D17"/>
    <w:rsid w:val="00D22DC7"/>
    <w:rsid w:val="00D2782A"/>
    <w:rsid w:val="00D30FA4"/>
    <w:rsid w:val="00D31C36"/>
    <w:rsid w:val="00D31CFA"/>
    <w:rsid w:val="00D31E05"/>
    <w:rsid w:val="00D32FEA"/>
    <w:rsid w:val="00D33B6C"/>
    <w:rsid w:val="00D340A2"/>
    <w:rsid w:val="00D34105"/>
    <w:rsid w:val="00D348AB"/>
    <w:rsid w:val="00D36912"/>
    <w:rsid w:val="00D372C9"/>
    <w:rsid w:val="00D41570"/>
    <w:rsid w:val="00D42F64"/>
    <w:rsid w:val="00D42FD5"/>
    <w:rsid w:val="00D43BB3"/>
    <w:rsid w:val="00D46AE6"/>
    <w:rsid w:val="00D46E4B"/>
    <w:rsid w:val="00D47495"/>
    <w:rsid w:val="00D47E24"/>
    <w:rsid w:val="00D50424"/>
    <w:rsid w:val="00D52B20"/>
    <w:rsid w:val="00D53465"/>
    <w:rsid w:val="00D536BC"/>
    <w:rsid w:val="00D53ADE"/>
    <w:rsid w:val="00D6261D"/>
    <w:rsid w:val="00D62FB1"/>
    <w:rsid w:val="00D63C9B"/>
    <w:rsid w:val="00D648C4"/>
    <w:rsid w:val="00D649D1"/>
    <w:rsid w:val="00D65FFD"/>
    <w:rsid w:val="00D670F5"/>
    <w:rsid w:val="00D71671"/>
    <w:rsid w:val="00D73AE4"/>
    <w:rsid w:val="00D76594"/>
    <w:rsid w:val="00D7676C"/>
    <w:rsid w:val="00D82214"/>
    <w:rsid w:val="00D83F1C"/>
    <w:rsid w:val="00D86BAF"/>
    <w:rsid w:val="00D87367"/>
    <w:rsid w:val="00D90052"/>
    <w:rsid w:val="00D90B71"/>
    <w:rsid w:val="00D90E3D"/>
    <w:rsid w:val="00D91189"/>
    <w:rsid w:val="00D93D39"/>
    <w:rsid w:val="00D95368"/>
    <w:rsid w:val="00D95B30"/>
    <w:rsid w:val="00D95EFB"/>
    <w:rsid w:val="00D96878"/>
    <w:rsid w:val="00DA004E"/>
    <w:rsid w:val="00DA0CE4"/>
    <w:rsid w:val="00DA3BE9"/>
    <w:rsid w:val="00DA6C2A"/>
    <w:rsid w:val="00DA6EAC"/>
    <w:rsid w:val="00DB316D"/>
    <w:rsid w:val="00DB3DA4"/>
    <w:rsid w:val="00DB7F56"/>
    <w:rsid w:val="00DC534C"/>
    <w:rsid w:val="00DC5BC3"/>
    <w:rsid w:val="00DC6899"/>
    <w:rsid w:val="00DC777D"/>
    <w:rsid w:val="00DD2BDE"/>
    <w:rsid w:val="00DD3014"/>
    <w:rsid w:val="00DD6353"/>
    <w:rsid w:val="00DD7324"/>
    <w:rsid w:val="00DE0314"/>
    <w:rsid w:val="00DE06D1"/>
    <w:rsid w:val="00DE17FD"/>
    <w:rsid w:val="00DE439F"/>
    <w:rsid w:val="00DE4FC6"/>
    <w:rsid w:val="00DE5C71"/>
    <w:rsid w:val="00DE75FB"/>
    <w:rsid w:val="00DF172A"/>
    <w:rsid w:val="00DF52C5"/>
    <w:rsid w:val="00E006C4"/>
    <w:rsid w:val="00E0072B"/>
    <w:rsid w:val="00E03846"/>
    <w:rsid w:val="00E04B0C"/>
    <w:rsid w:val="00E053C2"/>
    <w:rsid w:val="00E05AFF"/>
    <w:rsid w:val="00E1075E"/>
    <w:rsid w:val="00E10A00"/>
    <w:rsid w:val="00E112F3"/>
    <w:rsid w:val="00E1171E"/>
    <w:rsid w:val="00E121E3"/>
    <w:rsid w:val="00E12B6D"/>
    <w:rsid w:val="00E14794"/>
    <w:rsid w:val="00E14946"/>
    <w:rsid w:val="00E16CDD"/>
    <w:rsid w:val="00E22659"/>
    <w:rsid w:val="00E24CEB"/>
    <w:rsid w:val="00E24F8B"/>
    <w:rsid w:val="00E25B66"/>
    <w:rsid w:val="00E2779A"/>
    <w:rsid w:val="00E30DB2"/>
    <w:rsid w:val="00E3115C"/>
    <w:rsid w:val="00E31522"/>
    <w:rsid w:val="00E31CA8"/>
    <w:rsid w:val="00E34AC5"/>
    <w:rsid w:val="00E41E92"/>
    <w:rsid w:val="00E41FA5"/>
    <w:rsid w:val="00E42ABF"/>
    <w:rsid w:val="00E4349F"/>
    <w:rsid w:val="00E44593"/>
    <w:rsid w:val="00E4490A"/>
    <w:rsid w:val="00E44EBC"/>
    <w:rsid w:val="00E44FDA"/>
    <w:rsid w:val="00E46867"/>
    <w:rsid w:val="00E500AC"/>
    <w:rsid w:val="00E5076E"/>
    <w:rsid w:val="00E625B5"/>
    <w:rsid w:val="00E630AD"/>
    <w:rsid w:val="00E63726"/>
    <w:rsid w:val="00E6607A"/>
    <w:rsid w:val="00E6784B"/>
    <w:rsid w:val="00E67AF9"/>
    <w:rsid w:val="00E70B43"/>
    <w:rsid w:val="00E70D94"/>
    <w:rsid w:val="00E71A3F"/>
    <w:rsid w:val="00E721A4"/>
    <w:rsid w:val="00E72F47"/>
    <w:rsid w:val="00E74D55"/>
    <w:rsid w:val="00E75D11"/>
    <w:rsid w:val="00E75D78"/>
    <w:rsid w:val="00E772ED"/>
    <w:rsid w:val="00E7731B"/>
    <w:rsid w:val="00E80444"/>
    <w:rsid w:val="00E80D85"/>
    <w:rsid w:val="00E833C7"/>
    <w:rsid w:val="00E846FD"/>
    <w:rsid w:val="00E85BCC"/>
    <w:rsid w:val="00E87CF0"/>
    <w:rsid w:val="00E9204D"/>
    <w:rsid w:val="00E93D24"/>
    <w:rsid w:val="00E94643"/>
    <w:rsid w:val="00E948F8"/>
    <w:rsid w:val="00E95088"/>
    <w:rsid w:val="00E95F24"/>
    <w:rsid w:val="00E965A8"/>
    <w:rsid w:val="00E97AB7"/>
    <w:rsid w:val="00E97C3C"/>
    <w:rsid w:val="00E97CAA"/>
    <w:rsid w:val="00E97F13"/>
    <w:rsid w:val="00EA0E17"/>
    <w:rsid w:val="00EA1A25"/>
    <w:rsid w:val="00EA1F22"/>
    <w:rsid w:val="00EA236E"/>
    <w:rsid w:val="00EA2682"/>
    <w:rsid w:val="00EA2C03"/>
    <w:rsid w:val="00EA33E4"/>
    <w:rsid w:val="00EA377D"/>
    <w:rsid w:val="00EA5D03"/>
    <w:rsid w:val="00EA6C02"/>
    <w:rsid w:val="00EB0403"/>
    <w:rsid w:val="00EB55D9"/>
    <w:rsid w:val="00EB55EE"/>
    <w:rsid w:val="00EC22BF"/>
    <w:rsid w:val="00EC2F1B"/>
    <w:rsid w:val="00EC4480"/>
    <w:rsid w:val="00EC46CE"/>
    <w:rsid w:val="00EC5114"/>
    <w:rsid w:val="00EC66F2"/>
    <w:rsid w:val="00EC73BC"/>
    <w:rsid w:val="00EC74CF"/>
    <w:rsid w:val="00ED2526"/>
    <w:rsid w:val="00ED2D11"/>
    <w:rsid w:val="00ED586D"/>
    <w:rsid w:val="00ED663B"/>
    <w:rsid w:val="00ED6F02"/>
    <w:rsid w:val="00ED778E"/>
    <w:rsid w:val="00ED7FA4"/>
    <w:rsid w:val="00EE01B5"/>
    <w:rsid w:val="00EE0298"/>
    <w:rsid w:val="00EE0C61"/>
    <w:rsid w:val="00EE3B68"/>
    <w:rsid w:val="00EE570A"/>
    <w:rsid w:val="00EE7BB1"/>
    <w:rsid w:val="00EF06B2"/>
    <w:rsid w:val="00EF089C"/>
    <w:rsid w:val="00EF0A02"/>
    <w:rsid w:val="00EF1AF5"/>
    <w:rsid w:val="00EF1CD9"/>
    <w:rsid w:val="00EF2D70"/>
    <w:rsid w:val="00EF2E35"/>
    <w:rsid w:val="00EF46F9"/>
    <w:rsid w:val="00EF4B2E"/>
    <w:rsid w:val="00EF741C"/>
    <w:rsid w:val="00EF75DC"/>
    <w:rsid w:val="00EF76DD"/>
    <w:rsid w:val="00F0247A"/>
    <w:rsid w:val="00F02F9F"/>
    <w:rsid w:val="00F03FA5"/>
    <w:rsid w:val="00F06DC6"/>
    <w:rsid w:val="00F07501"/>
    <w:rsid w:val="00F10681"/>
    <w:rsid w:val="00F10B6D"/>
    <w:rsid w:val="00F10FAE"/>
    <w:rsid w:val="00F1258B"/>
    <w:rsid w:val="00F16160"/>
    <w:rsid w:val="00F17DB1"/>
    <w:rsid w:val="00F17F62"/>
    <w:rsid w:val="00F216BC"/>
    <w:rsid w:val="00F21968"/>
    <w:rsid w:val="00F2507F"/>
    <w:rsid w:val="00F277DD"/>
    <w:rsid w:val="00F27A22"/>
    <w:rsid w:val="00F32461"/>
    <w:rsid w:val="00F32E9B"/>
    <w:rsid w:val="00F33EC4"/>
    <w:rsid w:val="00F34D84"/>
    <w:rsid w:val="00F37A1B"/>
    <w:rsid w:val="00F41B77"/>
    <w:rsid w:val="00F44041"/>
    <w:rsid w:val="00F46CC5"/>
    <w:rsid w:val="00F47D3D"/>
    <w:rsid w:val="00F5033A"/>
    <w:rsid w:val="00F51B12"/>
    <w:rsid w:val="00F5285D"/>
    <w:rsid w:val="00F63E73"/>
    <w:rsid w:val="00F647C9"/>
    <w:rsid w:val="00F66978"/>
    <w:rsid w:val="00F67602"/>
    <w:rsid w:val="00F67974"/>
    <w:rsid w:val="00F732A3"/>
    <w:rsid w:val="00F73C0E"/>
    <w:rsid w:val="00F77FCC"/>
    <w:rsid w:val="00F8171A"/>
    <w:rsid w:val="00F828ED"/>
    <w:rsid w:val="00F82EF4"/>
    <w:rsid w:val="00F8432B"/>
    <w:rsid w:val="00F84EB8"/>
    <w:rsid w:val="00F85829"/>
    <w:rsid w:val="00F8663C"/>
    <w:rsid w:val="00F87AF2"/>
    <w:rsid w:val="00F91BC0"/>
    <w:rsid w:val="00F92EBE"/>
    <w:rsid w:val="00F96C2D"/>
    <w:rsid w:val="00F97797"/>
    <w:rsid w:val="00F97EFC"/>
    <w:rsid w:val="00FA134B"/>
    <w:rsid w:val="00FA2422"/>
    <w:rsid w:val="00FA24A2"/>
    <w:rsid w:val="00FA27DF"/>
    <w:rsid w:val="00FA6EDB"/>
    <w:rsid w:val="00FA77C7"/>
    <w:rsid w:val="00FB0BDC"/>
    <w:rsid w:val="00FB1257"/>
    <w:rsid w:val="00FB3F64"/>
    <w:rsid w:val="00FB7EDE"/>
    <w:rsid w:val="00FC6FE5"/>
    <w:rsid w:val="00FD28C3"/>
    <w:rsid w:val="00FD3ACE"/>
    <w:rsid w:val="00FD3AFF"/>
    <w:rsid w:val="00FD403E"/>
    <w:rsid w:val="00FD5168"/>
    <w:rsid w:val="00FD62A3"/>
    <w:rsid w:val="00FE0649"/>
    <w:rsid w:val="00FE11FB"/>
    <w:rsid w:val="00FE41C6"/>
    <w:rsid w:val="00FF05C4"/>
    <w:rsid w:val="00FF173F"/>
    <w:rsid w:val="00FF4280"/>
    <w:rsid w:val="00FF4F4C"/>
    <w:rsid w:val="00FF7A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64F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50"/>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3"/>
      </w:numPr>
      <w:snapToGrid w:val="0"/>
      <w:spacing w:after="40"/>
    </w:pPr>
  </w:style>
  <w:style w:type="paragraph" w:styleId="ListNumber2">
    <w:name w:val="List Number 2"/>
    <w:basedOn w:val="Normal"/>
    <w:uiPriority w:val="99"/>
    <w:unhideWhenUsed/>
    <w:qFormat/>
    <w:rsid w:val="006314E7"/>
    <w:pPr>
      <w:numPr>
        <w:ilvl w:val="1"/>
        <w:numId w:val="3"/>
      </w:numPr>
      <w:spacing w:after="40"/>
    </w:pPr>
  </w:style>
  <w:style w:type="paragraph" w:styleId="ListNumber3">
    <w:name w:val="List Number 3"/>
    <w:basedOn w:val="Normal"/>
    <w:uiPriority w:val="99"/>
    <w:unhideWhenUsed/>
    <w:qFormat/>
    <w:rsid w:val="006314E7"/>
    <w:pPr>
      <w:numPr>
        <w:ilvl w:val="2"/>
        <w:numId w:val="3"/>
      </w:numPr>
      <w:snapToGrid w:val="0"/>
      <w:spacing w:after="40"/>
    </w:pPr>
  </w:style>
  <w:style w:type="character" w:styleId="PlaceholderText">
    <w:name w:val="Placeholder Text"/>
    <w:basedOn w:val="DefaultParagraphFont"/>
    <w:uiPriority w:val="99"/>
    <w:semiHidden/>
    <w:rsid w:val="00EF2E35"/>
    <w:rPr>
      <w:color w:val="808080"/>
    </w:rPr>
  </w:style>
  <w:style w:type="paragraph" w:customStyle="1" w:styleId="Default">
    <w:name w:val="Default"/>
    <w:rsid w:val="00165E47"/>
    <w:pPr>
      <w:autoSpaceDE w:val="0"/>
      <w:autoSpaceDN w:val="0"/>
      <w:adjustRightInd w:val="0"/>
      <w:spacing w:after="0" w:line="240" w:lineRule="auto"/>
    </w:pPr>
    <w:rPr>
      <w:rFonts w:ascii="AU Sans BETA Text Light" w:hAnsi="AU Sans BETA Text Light" w:cs="AU Sans BETA Text Light"/>
      <w:color w:val="000000"/>
      <w:sz w:val="24"/>
      <w:szCs w:val="24"/>
    </w:rPr>
  </w:style>
  <w:style w:type="paragraph" w:customStyle="1" w:styleId="Pa2">
    <w:name w:val="Pa2"/>
    <w:basedOn w:val="Default"/>
    <w:next w:val="Default"/>
    <w:uiPriority w:val="99"/>
    <w:rsid w:val="00165E47"/>
    <w:pPr>
      <w:spacing w:line="181" w:lineRule="atLeast"/>
    </w:pPr>
    <w:rPr>
      <w:rFonts w:cstheme="minorBidi"/>
      <w:color w:val="auto"/>
    </w:rPr>
  </w:style>
  <w:style w:type="paragraph" w:customStyle="1" w:styleId="Pa4">
    <w:name w:val="Pa4"/>
    <w:basedOn w:val="Default"/>
    <w:next w:val="Default"/>
    <w:uiPriority w:val="99"/>
    <w:rsid w:val="00750D77"/>
    <w:pPr>
      <w:spacing w:line="141" w:lineRule="atLeast"/>
    </w:pPr>
    <w:rPr>
      <w:rFonts w:cstheme="minorBidi"/>
      <w:color w:val="auto"/>
    </w:rPr>
  </w:style>
  <w:style w:type="character" w:styleId="Emphasis">
    <w:name w:val="Emphasis"/>
    <w:basedOn w:val="DefaultParagraphFont"/>
    <w:uiPriority w:val="20"/>
    <w:qFormat/>
    <w:rsid w:val="002D2648"/>
    <w:rPr>
      <w:i/>
      <w:iCs/>
    </w:rPr>
  </w:style>
  <w:style w:type="character" w:styleId="CommentReference">
    <w:name w:val="annotation reference"/>
    <w:basedOn w:val="DefaultParagraphFont"/>
    <w:uiPriority w:val="99"/>
    <w:semiHidden/>
    <w:unhideWhenUsed/>
    <w:rsid w:val="008541C7"/>
    <w:rPr>
      <w:sz w:val="16"/>
      <w:szCs w:val="16"/>
    </w:rPr>
  </w:style>
  <w:style w:type="paragraph" w:styleId="CommentText">
    <w:name w:val="annotation text"/>
    <w:basedOn w:val="Normal"/>
    <w:link w:val="CommentTextChar"/>
    <w:uiPriority w:val="99"/>
    <w:unhideWhenUsed/>
    <w:rsid w:val="008541C7"/>
    <w:pPr>
      <w:spacing w:line="240" w:lineRule="auto"/>
    </w:pPr>
  </w:style>
  <w:style w:type="character" w:customStyle="1" w:styleId="CommentTextChar">
    <w:name w:val="Comment Text Char"/>
    <w:basedOn w:val="DefaultParagraphFont"/>
    <w:link w:val="CommentText"/>
    <w:uiPriority w:val="99"/>
    <w:rsid w:val="008541C7"/>
  </w:style>
  <w:style w:type="paragraph" w:styleId="CommentSubject">
    <w:name w:val="annotation subject"/>
    <w:basedOn w:val="CommentText"/>
    <w:next w:val="CommentText"/>
    <w:link w:val="CommentSubjectChar"/>
    <w:uiPriority w:val="99"/>
    <w:semiHidden/>
    <w:unhideWhenUsed/>
    <w:rsid w:val="008541C7"/>
    <w:rPr>
      <w:b/>
      <w:bCs/>
    </w:rPr>
  </w:style>
  <w:style w:type="character" w:customStyle="1" w:styleId="CommentSubjectChar">
    <w:name w:val="Comment Subject Char"/>
    <w:basedOn w:val="CommentTextChar"/>
    <w:link w:val="CommentSubject"/>
    <w:uiPriority w:val="99"/>
    <w:semiHidden/>
    <w:rsid w:val="008541C7"/>
    <w:rPr>
      <w:b/>
      <w:bCs/>
    </w:rPr>
  </w:style>
  <w:style w:type="character" w:customStyle="1" w:styleId="A3">
    <w:name w:val="A3"/>
    <w:uiPriority w:val="99"/>
    <w:rsid w:val="00591B22"/>
    <w:rPr>
      <w:rFonts w:ascii="AU Sans BETA Text Medium" w:hAnsi="AU Sans BETA Text Medium" w:cs="AU Sans BETA Text Medium"/>
      <w:color w:val="000000"/>
      <w:sz w:val="10"/>
      <w:szCs w:val="10"/>
    </w:rPr>
  </w:style>
  <w:style w:type="paragraph" w:customStyle="1" w:styleId="Pa10">
    <w:name w:val="Pa10"/>
    <w:basedOn w:val="Default"/>
    <w:next w:val="Default"/>
    <w:uiPriority w:val="99"/>
    <w:rsid w:val="00591B22"/>
    <w:pPr>
      <w:spacing w:line="141" w:lineRule="atLeast"/>
    </w:pPr>
    <w:rPr>
      <w:rFonts w:cstheme="minorBidi"/>
      <w:color w:val="auto"/>
    </w:rPr>
  </w:style>
  <w:style w:type="paragraph" w:styleId="Caption">
    <w:name w:val="caption"/>
    <w:basedOn w:val="Normal"/>
    <w:next w:val="Normal"/>
    <w:uiPriority w:val="35"/>
    <w:unhideWhenUsed/>
    <w:qFormat/>
    <w:rsid w:val="00591B22"/>
    <w:pPr>
      <w:spacing w:after="200" w:line="240" w:lineRule="auto"/>
    </w:pPr>
    <w:rPr>
      <w:i/>
      <w:iCs/>
      <w:color w:val="2E1A47" w:themeColor="text2"/>
      <w:sz w:val="18"/>
      <w:szCs w:val="18"/>
    </w:rPr>
  </w:style>
  <w:style w:type="character" w:customStyle="1" w:styleId="ListParagraphChar">
    <w:name w:val="List Paragraph Char"/>
    <w:aliases w:val="Bullet point Char,Bulleted Para Char,CV text Char,Dot pt Char,F5 List Paragraph Char,FooterText Char,L Char,List Paragraph1 Char,List Paragraph11 Char,List Paragraph111 Char,List Paragraph2 Char,Main Char,NFP GP Bulleted List Char"/>
    <w:basedOn w:val="DefaultParagraphFont"/>
    <w:link w:val="ListParagraph"/>
    <w:uiPriority w:val="34"/>
    <w:locked/>
    <w:rsid w:val="003616C0"/>
    <w:rPr>
      <w:rFonts w:ascii="Calibri" w:hAnsi="Calibri" w:cs="Calibri"/>
      <w:lang w:eastAsia="en-US"/>
    </w:rPr>
  </w:style>
  <w:style w:type="paragraph" w:styleId="ListParagraph">
    <w:name w:val="List Paragraph"/>
    <w:aliases w:val="Bullet point,Bulleted Para,CV text,Dot pt,F5 List Paragraph,FooterText,L,List Paragraph1,List Paragraph11,List Paragraph111,List Paragraph2,Main,Medium Grid 1 - Accent 21,NFP GP Bulleted List,Numbered Paragraph,Recommendation,Table text,列"/>
    <w:basedOn w:val="Normal"/>
    <w:link w:val="ListParagraphChar"/>
    <w:uiPriority w:val="34"/>
    <w:qFormat/>
    <w:rsid w:val="003616C0"/>
    <w:pPr>
      <w:spacing w:after="0" w:line="240" w:lineRule="auto"/>
      <w:ind w:left="720"/>
    </w:pPr>
    <w:rPr>
      <w:rFonts w:ascii="Calibri" w:hAnsi="Calibri" w:cs="Calibri"/>
      <w:lang w:eastAsia="en-US"/>
    </w:rPr>
  </w:style>
  <w:style w:type="paragraph" w:styleId="Revision">
    <w:name w:val="Revision"/>
    <w:hidden/>
    <w:uiPriority w:val="99"/>
    <w:semiHidden/>
    <w:rsid w:val="000C4E42"/>
    <w:pPr>
      <w:spacing w:after="0" w:line="240" w:lineRule="auto"/>
    </w:pPr>
  </w:style>
  <w:style w:type="table" w:styleId="TableGrid">
    <w:name w:val="Table Grid"/>
    <w:basedOn w:val="TableNormal"/>
    <w:uiPriority w:val="59"/>
    <w:rsid w:val="005A6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67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3977">
      <w:bodyDiv w:val="1"/>
      <w:marLeft w:val="0"/>
      <w:marRight w:val="0"/>
      <w:marTop w:val="0"/>
      <w:marBottom w:val="0"/>
      <w:divBdr>
        <w:top w:val="none" w:sz="0" w:space="0" w:color="auto"/>
        <w:left w:val="none" w:sz="0" w:space="0" w:color="auto"/>
        <w:bottom w:val="none" w:sz="0" w:space="0" w:color="auto"/>
        <w:right w:val="none" w:sz="0" w:space="0" w:color="auto"/>
      </w:divBdr>
    </w:div>
    <w:div w:id="118887437">
      <w:bodyDiv w:val="1"/>
      <w:marLeft w:val="0"/>
      <w:marRight w:val="0"/>
      <w:marTop w:val="0"/>
      <w:marBottom w:val="0"/>
      <w:divBdr>
        <w:top w:val="none" w:sz="0" w:space="0" w:color="auto"/>
        <w:left w:val="none" w:sz="0" w:space="0" w:color="auto"/>
        <w:bottom w:val="none" w:sz="0" w:space="0" w:color="auto"/>
        <w:right w:val="none" w:sz="0" w:space="0" w:color="auto"/>
      </w:divBdr>
    </w:div>
    <w:div w:id="315650726">
      <w:bodyDiv w:val="1"/>
      <w:marLeft w:val="0"/>
      <w:marRight w:val="0"/>
      <w:marTop w:val="0"/>
      <w:marBottom w:val="0"/>
      <w:divBdr>
        <w:top w:val="none" w:sz="0" w:space="0" w:color="auto"/>
        <w:left w:val="none" w:sz="0" w:space="0" w:color="auto"/>
        <w:bottom w:val="none" w:sz="0" w:space="0" w:color="auto"/>
        <w:right w:val="none" w:sz="0" w:space="0" w:color="auto"/>
      </w:divBdr>
    </w:div>
    <w:div w:id="501898181">
      <w:bodyDiv w:val="1"/>
      <w:marLeft w:val="0"/>
      <w:marRight w:val="0"/>
      <w:marTop w:val="0"/>
      <w:marBottom w:val="0"/>
      <w:divBdr>
        <w:top w:val="none" w:sz="0" w:space="0" w:color="auto"/>
        <w:left w:val="none" w:sz="0" w:space="0" w:color="auto"/>
        <w:bottom w:val="none" w:sz="0" w:space="0" w:color="auto"/>
        <w:right w:val="none" w:sz="0" w:space="0" w:color="auto"/>
      </w:divBdr>
    </w:div>
    <w:div w:id="567963659">
      <w:bodyDiv w:val="1"/>
      <w:marLeft w:val="0"/>
      <w:marRight w:val="0"/>
      <w:marTop w:val="0"/>
      <w:marBottom w:val="0"/>
      <w:divBdr>
        <w:top w:val="none" w:sz="0" w:space="0" w:color="auto"/>
        <w:left w:val="none" w:sz="0" w:space="0" w:color="auto"/>
        <w:bottom w:val="none" w:sz="0" w:space="0" w:color="auto"/>
        <w:right w:val="none" w:sz="0" w:space="0" w:color="auto"/>
      </w:divBdr>
    </w:div>
    <w:div w:id="807938709">
      <w:bodyDiv w:val="1"/>
      <w:marLeft w:val="0"/>
      <w:marRight w:val="0"/>
      <w:marTop w:val="0"/>
      <w:marBottom w:val="0"/>
      <w:divBdr>
        <w:top w:val="none" w:sz="0" w:space="0" w:color="auto"/>
        <w:left w:val="none" w:sz="0" w:space="0" w:color="auto"/>
        <w:bottom w:val="none" w:sz="0" w:space="0" w:color="auto"/>
        <w:right w:val="none" w:sz="0" w:space="0" w:color="auto"/>
      </w:divBdr>
    </w:div>
    <w:div w:id="853374000">
      <w:bodyDiv w:val="1"/>
      <w:marLeft w:val="0"/>
      <w:marRight w:val="0"/>
      <w:marTop w:val="0"/>
      <w:marBottom w:val="0"/>
      <w:divBdr>
        <w:top w:val="none" w:sz="0" w:space="0" w:color="auto"/>
        <w:left w:val="none" w:sz="0" w:space="0" w:color="auto"/>
        <w:bottom w:val="none" w:sz="0" w:space="0" w:color="auto"/>
        <w:right w:val="none" w:sz="0" w:space="0" w:color="auto"/>
      </w:divBdr>
    </w:div>
    <w:div w:id="977145568">
      <w:bodyDiv w:val="1"/>
      <w:marLeft w:val="0"/>
      <w:marRight w:val="0"/>
      <w:marTop w:val="0"/>
      <w:marBottom w:val="0"/>
      <w:divBdr>
        <w:top w:val="none" w:sz="0" w:space="0" w:color="auto"/>
        <w:left w:val="none" w:sz="0" w:space="0" w:color="auto"/>
        <w:bottom w:val="none" w:sz="0" w:space="0" w:color="auto"/>
        <w:right w:val="none" w:sz="0" w:space="0" w:color="auto"/>
      </w:divBdr>
    </w:div>
    <w:div w:id="1102144265">
      <w:bodyDiv w:val="1"/>
      <w:marLeft w:val="0"/>
      <w:marRight w:val="0"/>
      <w:marTop w:val="0"/>
      <w:marBottom w:val="0"/>
      <w:divBdr>
        <w:top w:val="none" w:sz="0" w:space="0" w:color="auto"/>
        <w:left w:val="none" w:sz="0" w:space="0" w:color="auto"/>
        <w:bottom w:val="none" w:sz="0" w:space="0" w:color="auto"/>
        <w:right w:val="none" w:sz="0" w:space="0" w:color="auto"/>
      </w:divBdr>
    </w:div>
    <w:div w:id="1115095851">
      <w:bodyDiv w:val="1"/>
      <w:marLeft w:val="0"/>
      <w:marRight w:val="0"/>
      <w:marTop w:val="0"/>
      <w:marBottom w:val="0"/>
      <w:divBdr>
        <w:top w:val="none" w:sz="0" w:space="0" w:color="auto"/>
        <w:left w:val="none" w:sz="0" w:space="0" w:color="auto"/>
        <w:bottom w:val="none" w:sz="0" w:space="0" w:color="auto"/>
        <w:right w:val="none" w:sz="0" w:space="0" w:color="auto"/>
      </w:divBdr>
    </w:div>
    <w:div w:id="1155030693">
      <w:bodyDiv w:val="1"/>
      <w:marLeft w:val="0"/>
      <w:marRight w:val="0"/>
      <w:marTop w:val="0"/>
      <w:marBottom w:val="0"/>
      <w:divBdr>
        <w:top w:val="none" w:sz="0" w:space="0" w:color="auto"/>
        <w:left w:val="none" w:sz="0" w:space="0" w:color="auto"/>
        <w:bottom w:val="none" w:sz="0" w:space="0" w:color="auto"/>
        <w:right w:val="none" w:sz="0" w:space="0" w:color="auto"/>
      </w:divBdr>
    </w:div>
    <w:div w:id="1275482488">
      <w:bodyDiv w:val="1"/>
      <w:marLeft w:val="0"/>
      <w:marRight w:val="0"/>
      <w:marTop w:val="0"/>
      <w:marBottom w:val="0"/>
      <w:divBdr>
        <w:top w:val="none" w:sz="0" w:space="0" w:color="auto"/>
        <w:left w:val="none" w:sz="0" w:space="0" w:color="auto"/>
        <w:bottom w:val="none" w:sz="0" w:space="0" w:color="auto"/>
        <w:right w:val="none" w:sz="0" w:space="0" w:color="auto"/>
      </w:divBdr>
    </w:div>
    <w:div w:id="1356345597">
      <w:bodyDiv w:val="1"/>
      <w:marLeft w:val="0"/>
      <w:marRight w:val="0"/>
      <w:marTop w:val="0"/>
      <w:marBottom w:val="0"/>
      <w:divBdr>
        <w:top w:val="none" w:sz="0" w:space="0" w:color="auto"/>
        <w:left w:val="none" w:sz="0" w:space="0" w:color="auto"/>
        <w:bottom w:val="none" w:sz="0" w:space="0" w:color="auto"/>
        <w:right w:val="none" w:sz="0" w:space="0" w:color="auto"/>
      </w:divBdr>
    </w:div>
    <w:div w:id="1533689060">
      <w:bodyDiv w:val="1"/>
      <w:marLeft w:val="0"/>
      <w:marRight w:val="0"/>
      <w:marTop w:val="0"/>
      <w:marBottom w:val="0"/>
      <w:divBdr>
        <w:top w:val="none" w:sz="0" w:space="0" w:color="auto"/>
        <w:left w:val="none" w:sz="0" w:space="0" w:color="auto"/>
        <w:bottom w:val="none" w:sz="0" w:space="0" w:color="auto"/>
        <w:right w:val="none" w:sz="0" w:space="0" w:color="auto"/>
      </w:divBdr>
    </w:div>
    <w:div w:id="1669945213">
      <w:bodyDiv w:val="1"/>
      <w:marLeft w:val="0"/>
      <w:marRight w:val="0"/>
      <w:marTop w:val="0"/>
      <w:marBottom w:val="0"/>
      <w:divBdr>
        <w:top w:val="none" w:sz="0" w:space="0" w:color="auto"/>
        <w:left w:val="none" w:sz="0" w:space="0" w:color="auto"/>
        <w:bottom w:val="none" w:sz="0" w:space="0" w:color="auto"/>
        <w:right w:val="none" w:sz="0" w:space="0" w:color="auto"/>
      </w:divBdr>
    </w:div>
    <w:div w:id="1691564722">
      <w:bodyDiv w:val="1"/>
      <w:marLeft w:val="0"/>
      <w:marRight w:val="0"/>
      <w:marTop w:val="0"/>
      <w:marBottom w:val="0"/>
      <w:divBdr>
        <w:top w:val="none" w:sz="0" w:space="0" w:color="auto"/>
        <w:left w:val="none" w:sz="0" w:space="0" w:color="auto"/>
        <w:bottom w:val="none" w:sz="0" w:space="0" w:color="auto"/>
        <w:right w:val="none" w:sz="0" w:space="0" w:color="auto"/>
      </w:divBdr>
    </w:div>
    <w:div w:id="1749183352">
      <w:bodyDiv w:val="1"/>
      <w:marLeft w:val="0"/>
      <w:marRight w:val="0"/>
      <w:marTop w:val="0"/>
      <w:marBottom w:val="0"/>
      <w:divBdr>
        <w:top w:val="none" w:sz="0" w:space="0" w:color="auto"/>
        <w:left w:val="none" w:sz="0" w:space="0" w:color="auto"/>
        <w:bottom w:val="none" w:sz="0" w:space="0" w:color="auto"/>
        <w:right w:val="none" w:sz="0" w:space="0" w:color="auto"/>
      </w:divBdr>
    </w:div>
    <w:div w:id="18734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4ECA0727F7BD2C4BB4EA25657F69D276" ma:contentTypeVersion="50" ma:contentTypeDescription="" ma:contentTypeScope="" ma:versionID="df19df020ab2e7b575ca7a4f3a5651eb">
  <xsd:schema xmlns:xsd="http://www.w3.org/2001/XMLSchema" xmlns:xs="http://www.w3.org/2001/XMLSchema" xmlns:p="http://schemas.microsoft.com/office/2006/metadata/properties" xmlns:ns2="2124141f-bf93-4eca-8662-34a4511e35c8" xmlns:ns3="52d2b1bf-f310-45e2-aba7-632ee969a559" targetNamespace="http://schemas.microsoft.com/office/2006/metadata/properties" ma:root="true" ma:fieldsID="94b5deb50d8396ed4d127d7d4e6e43d3" ns2:_="" ns3:_="">
    <xsd:import namespace="2124141f-bf93-4eca-8662-34a4511e35c8"/>
    <xsd:import namespace="52d2b1bf-f310-45e2-aba7-632ee969a559"/>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28efd44-0473-4dbe-bbaf-6d90c8279169}" ma:internalName="TaxCatchAll" ma:showField="CatchAllData"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28efd44-0473-4dbe-bbaf-6d90c8279169}" ma:internalName="TaxCatchAllLabel" ma:readOnly="true" ma:showField="CatchAllDataLabel"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2b1bf-f310-45e2-aba7-632ee969a559"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Tradestart-Access xmlns="2124141f-bf93-4eca-8662-34a4511e35c8">true</Tradestart-Access>
    <TaxCatchAll xmlns="2124141f-bf93-4eca-8662-34a4511e35c8"/>
    <Operational-Doc-Desc xmlns="2124141f-bf93-4eca-8662-34a4511e35c8" xsi:nil="true"/>
    <_dlc_DocId xmlns="52d2b1bf-f310-45e2-aba7-632ee969a559">HUB02-373-153</_dlc_DocId>
    <_dlc_DocIdUrl xmlns="52d2b1bf-f310-45e2-aba7-632ee969a559">
      <Url>http://thehub/ws/co/sra/_layouts/15/DocIdRedir.aspx?ID=HUB02-373-153</Url>
      <Description>HUB02-373-153</Description>
    </_dlc_DocIdUrl>
  </documentManagement>
</p:properties>
</file>

<file path=customXml/item4.xml><?xml version="1.0" encoding="utf-8"?>
<?mso-contentType ?>
<SharedContentType xmlns="Microsoft.SharePoint.Taxonomy.ContentTypeSync" SourceId="66d92cf1-08e1-41e5-92d3-0cdcdb1e2433" ContentTypeId="0x01010004862C10171BD149BCA86DC4F354848008"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75CF63-0983-4CB1-997E-566C11809F55}">
  <ds:schemaRefs>
    <ds:schemaRef ds:uri="http://schemas.microsoft.com/sharepoint/v3/contenttype/forms"/>
  </ds:schemaRefs>
</ds:datastoreItem>
</file>

<file path=customXml/itemProps2.xml><?xml version="1.0" encoding="utf-8"?>
<ds:datastoreItem xmlns:ds="http://schemas.openxmlformats.org/officeDocument/2006/customXml" ds:itemID="{3A1D5EE9-79FB-4553-80AD-999044BCD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52d2b1bf-f310-45e2-aba7-632ee969a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AD30B-EF9F-4108-9EB5-72C5870F2F0E}">
  <ds:schemaRefs>
    <ds:schemaRef ds:uri="http://schemas.microsoft.com/office/2006/metadata/properties"/>
    <ds:schemaRef ds:uri="http://schemas.microsoft.com/office/infopath/2007/PartnerControls"/>
    <ds:schemaRef ds:uri="2124141f-bf93-4eca-8662-34a4511e35c8"/>
    <ds:schemaRef ds:uri="52d2b1bf-f310-45e2-aba7-632ee969a559"/>
  </ds:schemaRefs>
</ds:datastoreItem>
</file>

<file path=customXml/itemProps4.xml><?xml version="1.0" encoding="utf-8"?>
<ds:datastoreItem xmlns:ds="http://schemas.openxmlformats.org/officeDocument/2006/customXml" ds:itemID="{96820555-8F42-4474-BE63-C929B2B60732}">
  <ds:schemaRefs>
    <ds:schemaRef ds:uri="Microsoft.SharePoint.Taxonomy.ContentTypeSync"/>
  </ds:schemaRefs>
</ds:datastoreItem>
</file>

<file path=customXml/itemProps5.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customXml/itemProps6.xml><?xml version="1.0" encoding="utf-8"?>
<ds:datastoreItem xmlns:ds="http://schemas.openxmlformats.org/officeDocument/2006/customXml" ds:itemID="{DF1A0A30-8970-4E85-B808-4DBA2136EAA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2023-06-07T06:39:00Z</dcterms:created>
  <dcterms:modified xsi:type="dcterms:W3CDTF">2023-06-14T00:27:00Z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0x01010004862C10171BD149BCA86DC4F354848008004ECA0727F7BD2C4BB4EA25657F69D276</vt:lpwstr>
  </property>
  <property fmtid="{D5CDD505-2E9C-101B-9397-08002B2CF9AE}" pid="3" name="_dlc_DocIdItemGuid">
    <vt:lpwstr>9d3511e8-1bf1-4c14-8f7b-d1f829eb2b53</vt:lpwstr>
  </property>
  <property fmtid="{D5CDD505-2E9C-101B-9397-08002B2CF9AE}" pid="4" name="Protective Markings">
    <vt:lpwstr/>
  </property>
</Properties>
</file>