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263C79CB" w:rsidR="00D00EE0" w:rsidRPr="003F4AB7" w:rsidRDefault="0010593E" w:rsidP="00D00EE0">
      <w:pPr>
        <w:pStyle w:val="Spacer-cover"/>
      </w:pPr>
      <w:r w:rsidRPr="003F4AB7">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3F4AB7">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3F4AB7">
        <w:rPr>
          <w:noProof/>
          <w:lang w:eastAsia="en-AU"/>
        </w:rPr>
        <w:drawing>
          <wp:anchor distT="0" distB="0" distL="114300" distR="114300" simplePos="0" relativeHeight="251662336" behindDoc="1" locked="1" layoutInCell="1" allowOverlap="1" wp14:anchorId="11E0A7E5" wp14:editId="75F7C2DB">
            <wp:simplePos x="0" y="0"/>
            <wp:positionH relativeFrom="page">
              <wp:posOffset>-104775</wp:posOffset>
            </wp:positionH>
            <wp:positionV relativeFrom="page">
              <wp:posOffset>9525</wp:posOffset>
            </wp:positionV>
            <wp:extent cx="7667625" cy="27908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r w:rsidR="00931202">
        <w:t xml:space="preserve">Know </w:t>
      </w:r>
    </w:p>
    <w:p w14:paraId="0FA159CE" w14:textId="7424AA2F" w:rsidR="00D00EE0" w:rsidRPr="003F4AB7" w:rsidRDefault="00BA2A4E" w:rsidP="00223B43">
      <w:pPr>
        <w:pStyle w:val="Title"/>
        <w:rPr>
          <w:sz w:val="36"/>
          <w:szCs w:val="36"/>
        </w:rPr>
      </w:pPr>
      <w:r w:rsidRPr="003F4AB7">
        <w:rPr>
          <w:sz w:val="36"/>
          <w:szCs w:val="36"/>
        </w:rPr>
        <w:t>N</w:t>
      </w:r>
      <w:r w:rsidR="00E2779A" w:rsidRPr="003F4AB7">
        <w:rPr>
          <w:sz w:val="36"/>
          <w:szCs w:val="36"/>
        </w:rPr>
        <w:t xml:space="preserve">ATIONAL VISITOR SURVEY RESULTS </w:t>
      </w:r>
    </w:p>
    <w:p w14:paraId="16A51BAA" w14:textId="05265D20" w:rsidR="00B96FF7" w:rsidRPr="003F4AB7" w:rsidRDefault="002A6A70" w:rsidP="00223B43">
      <w:pPr>
        <w:pStyle w:val="Title"/>
        <w:rPr>
          <w:sz w:val="36"/>
          <w:szCs w:val="36"/>
        </w:rPr>
      </w:pPr>
      <w:r w:rsidRPr="003F4AB7">
        <w:rPr>
          <w:noProof/>
          <w:sz w:val="36"/>
          <w:szCs w:val="36"/>
        </w:rPr>
        <w:drawing>
          <wp:anchor distT="0" distB="0" distL="114300" distR="114300" simplePos="0" relativeHeight="251664384" behindDoc="1" locked="0" layoutInCell="1" allowOverlap="1" wp14:anchorId="0567F52E" wp14:editId="5D96DC5A">
            <wp:simplePos x="0" y="0"/>
            <wp:positionH relativeFrom="margin">
              <wp:posOffset>-361950</wp:posOffset>
            </wp:positionH>
            <wp:positionV relativeFrom="paragraph">
              <wp:posOffset>333375</wp:posOffset>
            </wp:positionV>
            <wp:extent cx="7372350" cy="7816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1A2FE9" w:rsidRPr="003F4AB7">
        <w:rPr>
          <w:sz w:val="36"/>
          <w:szCs w:val="36"/>
        </w:rPr>
        <w:t>MARCH</w:t>
      </w:r>
      <w:r w:rsidR="00E2779A" w:rsidRPr="003F4AB7">
        <w:rPr>
          <w:sz w:val="36"/>
          <w:szCs w:val="36"/>
        </w:rPr>
        <w:t xml:space="preserve"> QUARTER 202</w:t>
      </w:r>
      <w:r w:rsidR="001A2FE9" w:rsidRPr="003F4AB7">
        <w:rPr>
          <w:sz w:val="36"/>
          <w:szCs w:val="36"/>
        </w:rPr>
        <w:t>4</w:t>
      </w:r>
    </w:p>
    <w:p w14:paraId="41AFFF9B" w14:textId="21468C09" w:rsidR="002A6A70" w:rsidRPr="003F4AB7" w:rsidRDefault="002A6A70" w:rsidP="002A6A70"/>
    <w:p w14:paraId="736744A6" w14:textId="6AD6DC1C" w:rsidR="00165E47" w:rsidRPr="003F4AB7" w:rsidRDefault="00165E47" w:rsidP="00572276">
      <w:pPr>
        <w:pStyle w:val="Heading2"/>
        <w:rPr>
          <w:sz w:val="2"/>
          <w:szCs w:val="2"/>
        </w:rPr>
      </w:pPr>
    </w:p>
    <w:p w14:paraId="5EE4B5F4" w14:textId="40BE2A4B" w:rsidR="002A6A70" w:rsidRPr="003F4AB7" w:rsidRDefault="002A6A70" w:rsidP="002A6A70"/>
    <w:p w14:paraId="49E7B41F" w14:textId="77777777" w:rsidR="00603236" w:rsidRPr="003F4AB7" w:rsidRDefault="00603236" w:rsidP="009D3C84"/>
    <w:p w14:paraId="5C9F6959" w14:textId="54FC317B" w:rsidR="00F1258B" w:rsidRPr="003F4AB7" w:rsidRDefault="001A2FE9" w:rsidP="00F1258B">
      <w:pPr>
        <w:pStyle w:val="Heading2"/>
        <w:spacing w:before="160"/>
      </w:pPr>
      <w:r w:rsidRPr="003F4AB7">
        <w:t>March</w:t>
      </w:r>
      <w:r w:rsidR="00584BF4" w:rsidRPr="003F4AB7">
        <w:t xml:space="preserve"> quarter 202</w:t>
      </w:r>
      <w:r w:rsidRPr="003F4AB7">
        <w:t>4</w:t>
      </w:r>
    </w:p>
    <w:p w14:paraId="79909955" w14:textId="7C26FE20" w:rsidR="00584BF4" w:rsidRPr="003F4AB7" w:rsidRDefault="00335C51" w:rsidP="00F1258B">
      <w:pPr>
        <w:pStyle w:val="Heading2"/>
        <w:spacing w:before="160"/>
      </w:pPr>
      <w:r w:rsidRPr="003F4AB7">
        <w:rPr>
          <w:noProof/>
        </w:rPr>
        <w:drawing>
          <wp:inline distT="0" distB="0" distL="0" distR="0" wp14:anchorId="29DF8179" wp14:editId="1D2916A5">
            <wp:extent cx="6645910" cy="725170"/>
            <wp:effectExtent l="0" t="0" r="2540" b="0"/>
            <wp:docPr id="2813971" name="Picture 1" descr="In the March quarter 2024:&#10;&#10;Overnight spend was $27.4 billion, on par with March quarter 2023.&#10;&#10;Overnight trips were 28.8 million, up 2% on the March quarter 2023&#10;&#10;Nights away were 107.6 million, down 1% on the March quarter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971" name="Picture 1" descr="In the March quarter 2024:&#10;&#10;Overnight spend was $27.4 billion, on par with March quarter 2023.&#10;&#10;Overnight trips were 28.8 million, up 2% on the March quarter 2023&#10;&#10;Nights away were 107.6 million, down 1% on the March quarter 2023."/>
                    <pic:cNvPicPr/>
                  </pic:nvPicPr>
                  <pic:blipFill>
                    <a:blip r:embed="rId18"/>
                    <a:stretch>
                      <a:fillRect/>
                    </a:stretch>
                  </pic:blipFill>
                  <pic:spPr>
                    <a:xfrm>
                      <a:off x="0" y="0"/>
                      <a:ext cx="6645910" cy="725170"/>
                    </a:xfrm>
                    <a:prstGeom prst="rect">
                      <a:avLst/>
                    </a:prstGeom>
                  </pic:spPr>
                </pic:pic>
              </a:graphicData>
            </a:graphic>
          </wp:inline>
        </w:drawing>
      </w:r>
      <w:r w:rsidR="00B72F01" w:rsidRPr="003F4AB7">
        <w:rPr>
          <w:noProof/>
        </w:rPr>
        <w:t xml:space="preserve"> </w:t>
      </w:r>
    </w:p>
    <w:p w14:paraId="300CD985" w14:textId="373FDE34" w:rsidR="00B43476" w:rsidRPr="003F4AB7" w:rsidRDefault="00B43476" w:rsidP="00B43476">
      <w:pPr>
        <w:pStyle w:val="Heading2"/>
        <w:spacing w:before="160"/>
      </w:pPr>
      <w:r w:rsidRPr="003F4AB7">
        <w:t xml:space="preserve">Year ending </w:t>
      </w:r>
      <w:r w:rsidR="001A2FE9" w:rsidRPr="003F4AB7">
        <w:t>March</w:t>
      </w:r>
      <w:r w:rsidRPr="003F4AB7">
        <w:t xml:space="preserve"> 202</w:t>
      </w:r>
      <w:r w:rsidR="001A2FE9" w:rsidRPr="003F4AB7">
        <w:t>4</w:t>
      </w:r>
    </w:p>
    <w:p w14:paraId="71707554" w14:textId="0BEFC5CD" w:rsidR="00B72F01" w:rsidRPr="003F4AB7" w:rsidRDefault="008E7854" w:rsidP="00B43476">
      <w:r w:rsidRPr="003F4AB7">
        <w:rPr>
          <w:noProof/>
        </w:rPr>
        <w:drawing>
          <wp:inline distT="0" distB="0" distL="0" distR="0" wp14:anchorId="0884032C" wp14:editId="016ED50A">
            <wp:extent cx="6645910" cy="703580"/>
            <wp:effectExtent l="0" t="0" r="2540" b="1270"/>
            <wp:docPr id="1864365926" name="Picture 1" descr="In the year ending March 2024:&#10;&#10;Overnight spend was $109.4 billion, up 1% on the year ending March 2023&#10;&#10;Overnight trips were 113.0 million, up 1% on the year ending March 2023&#10;&#10;Nights away were 401.2 million, down 2% on the year ending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65926" name="Picture 1" descr="In the year ending March 2024:&#10;&#10;Overnight spend was $109.4 billion, up 1% on the year ending March 2023&#10;&#10;Overnight trips were 113.0 million, up 1% on the year ending March 2023&#10;&#10;Nights away were 401.2 million, down 2% on the year ending March 2023."/>
                    <pic:cNvPicPr/>
                  </pic:nvPicPr>
                  <pic:blipFill>
                    <a:blip r:embed="rId19"/>
                    <a:stretch>
                      <a:fillRect/>
                    </a:stretch>
                  </pic:blipFill>
                  <pic:spPr>
                    <a:xfrm>
                      <a:off x="0" y="0"/>
                      <a:ext cx="6645910" cy="703580"/>
                    </a:xfrm>
                    <a:prstGeom prst="rect">
                      <a:avLst/>
                    </a:prstGeom>
                  </pic:spPr>
                </pic:pic>
              </a:graphicData>
            </a:graphic>
          </wp:inline>
        </w:drawing>
      </w:r>
    </w:p>
    <w:p w14:paraId="0D0D9D18" w14:textId="4763668C" w:rsidR="003F07B9" w:rsidRPr="003F4AB7" w:rsidRDefault="009822C6" w:rsidP="002A6A70">
      <w:pPr>
        <w:pStyle w:val="Heading2"/>
        <w:spacing w:before="240"/>
      </w:pPr>
      <w:r w:rsidRPr="003F4AB7">
        <w:t xml:space="preserve">Domestic tourism remained </w:t>
      </w:r>
      <w:proofErr w:type="gramStart"/>
      <w:r w:rsidRPr="003F4AB7">
        <w:t>stable</w:t>
      </w:r>
      <w:proofErr w:type="gramEnd"/>
    </w:p>
    <w:p w14:paraId="018CFF3A" w14:textId="77873FC0" w:rsidR="00455A07" w:rsidRPr="003F4AB7" w:rsidRDefault="00816870" w:rsidP="004D5976">
      <w:pPr>
        <w:rPr>
          <w:rFonts w:cs="Times New Roman"/>
        </w:rPr>
      </w:pPr>
      <w:bookmarkStart w:id="0" w:name="_Hlk161060535"/>
      <w:bookmarkStart w:id="1" w:name="_Hlk152855620"/>
      <w:r w:rsidRPr="003F4AB7">
        <w:rPr>
          <w:rFonts w:cs="Times New Roman"/>
        </w:rPr>
        <w:t xml:space="preserve">Domestic tourism </w:t>
      </w:r>
      <w:r w:rsidR="00A606A6" w:rsidRPr="003F4AB7">
        <w:rPr>
          <w:rFonts w:cs="Times New Roman"/>
        </w:rPr>
        <w:t>remained stable</w:t>
      </w:r>
      <w:r w:rsidR="0045692B" w:rsidRPr="003F4AB7">
        <w:rPr>
          <w:rFonts w:cs="Times New Roman"/>
        </w:rPr>
        <w:t xml:space="preserve"> </w:t>
      </w:r>
      <w:r w:rsidRPr="003F4AB7">
        <w:rPr>
          <w:rFonts w:cs="Times New Roman"/>
        </w:rPr>
        <w:t>in t</w:t>
      </w:r>
      <w:r w:rsidR="00455A07" w:rsidRPr="003F4AB7">
        <w:rPr>
          <w:rFonts w:cs="Times New Roman"/>
        </w:rPr>
        <w:t xml:space="preserve">he </w:t>
      </w:r>
      <w:r w:rsidR="00A606A6" w:rsidRPr="003F4AB7">
        <w:rPr>
          <w:rFonts w:cs="Times New Roman"/>
        </w:rPr>
        <w:t>March</w:t>
      </w:r>
      <w:r w:rsidR="00455A07" w:rsidRPr="003F4AB7">
        <w:rPr>
          <w:rFonts w:cs="Times New Roman"/>
        </w:rPr>
        <w:t xml:space="preserve"> quarter 202</w:t>
      </w:r>
      <w:r w:rsidR="00A606A6" w:rsidRPr="003F4AB7">
        <w:rPr>
          <w:rFonts w:cs="Times New Roman"/>
        </w:rPr>
        <w:t>4</w:t>
      </w:r>
      <w:r w:rsidR="00152A24">
        <w:rPr>
          <w:rFonts w:cs="Times New Roman"/>
        </w:rPr>
        <w:t xml:space="preserve"> relative to the same quarter a year ago</w:t>
      </w:r>
      <w:r w:rsidR="00697684" w:rsidRPr="003F4AB7">
        <w:rPr>
          <w:rFonts w:cs="Times New Roman"/>
        </w:rPr>
        <w:t>.</w:t>
      </w:r>
      <w:r w:rsidR="00BA003E" w:rsidRPr="003F4AB7">
        <w:rPr>
          <w:rFonts w:cs="Times New Roman"/>
        </w:rPr>
        <w:t xml:space="preserve"> </w:t>
      </w:r>
      <w:r w:rsidR="0067595C" w:rsidRPr="003F4AB7">
        <w:rPr>
          <w:rFonts w:cs="Times New Roman"/>
        </w:rPr>
        <w:t>S</w:t>
      </w:r>
      <w:r w:rsidR="001B42B6" w:rsidRPr="003F4AB7">
        <w:rPr>
          <w:rFonts w:cs="Times New Roman"/>
        </w:rPr>
        <w:t xml:space="preserve">pend </w:t>
      </w:r>
      <w:r w:rsidR="00DF3151" w:rsidRPr="003F4AB7">
        <w:rPr>
          <w:rFonts w:cs="Times New Roman"/>
        </w:rPr>
        <w:t>w</w:t>
      </w:r>
      <w:r w:rsidR="005775A4" w:rsidRPr="003F4AB7">
        <w:rPr>
          <w:rFonts w:cs="Times New Roman"/>
        </w:rPr>
        <w:t>as</w:t>
      </w:r>
      <w:r w:rsidR="00DF3151" w:rsidRPr="003F4AB7">
        <w:rPr>
          <w:rFonts w:cs="Times New Roman"/>
        </w:rPr>
        <w:t xml:space="preserve"> </w:t>
      </w:r>
      <w:r w:rsidR="0067595C" w:rsidRPr="003F4AB7">
        <w:rPr>
          <w:rFonts w:cs="Times New Roman"/>
        </w:rPr>
        <w:t>flat</w:t>
      </w:r>
      <w:r w:rsidR="001B42B6" w:rsidRPr="003F4AB7">
        <w:rPr>
          <w:rFonts w:cs="Times New Roman"/>
        </w:rPr>
        <w:t xml:space="preserve">, trips </w:t>
      </w:r>
      <w:r w:rsidR="00DF3151" w:rsidRPr="003F4AB7">
        <w:rPr>
          <w:rFonts w:cs="Times New Roman"/>
        </w:rPr>
        <w:t>were</w:t>
      </w:r>
      <w:r w:rsidR="001B42B6" w:rsidRPr="003F4AB7">
        <w:rPr>
          <w:rFonts w:cs="Times New Roman"/>
        </w:rPr>
        <w:t xml:space="preserve"> </w:t>
      </w:r>
      <w:r w:rsidR="005775A4" w:rsidRPr="003F4AB7">
        <w:rPr>
          <w:rFonts w:cs="Times New Roman"/>
        </w:rPr>
        <w:t xml:space="preserve">up </w:t>
      </w:r>
      <w:r w:rsidR="00A606A6" w:rsidRPr="003F4AB7">
        <w:rPr>
          <w:rFonts w:cs="Times New Roman"/>
        </w:rPr>
        <w:t>2</w:t>
      </w:r>
      <w:r w:rsidR="001B42B6" w:rsidRPr="003F4AB7">
        <w:rPr>
          <w:rFonts w:cs="Times New Roman"/>
        </w:rPr>
        <w:t xml:space="preserve">% </w:t>
      </w:r>
      <w:r w:rsidR="00697684" w:rsidRPr="003F4AB7">
        <w:rPr>
          <w:rFonts w:cs="Times New Roman"/>
        </w:rPr>
        <w:t>while</w:t>
      </w:r>
      <w:r w:rsidR="001B42B6" w:rsidRPr="003F4AB7">
        <w:rPr>
          <w:rFonts w:cs="Times New Roman"/>
        </w:rPr>
        <w:t xml:space="preserve"> nights</w:t>
      </w:r>
      <w:r w:rsidR="00DF3151" w:rsidRPr="003F4AB7">
        <w:rPr>
          <w:rFonts w:cs="Times New Roman"/>
        </w:rPr>
        <w:t xml:space="preserve"> away</w:t>
      </w:r>
      <w:r w:rsidR="001B42B6" w:rsidRPr="003F4AB7">
        <w:rPr>
          <w:rFonts w:cs="Times New Roman"/>
        </w:rPr>
        <w:t xml:space="preserve"> were </w:t>
      </w:r>
      <w:r w:rsidR="00A606A6" w:rsidRPr="003F4AB7">
        <w:rPr>
          <w:rFonts w:cs="Times New Roman"/>
        </w:rPr>
        <w:t>down 1%</w:t>
      </w:r>
      <w:r w:rsidR="00BA003E" w:rsidRPr="003F4AB7">
        <w:rPr>
          <w:rFonts w:cs="Times New Roman"/>
        </w:rPr>
        <w:t xml:space="preserve"> when compared </w:t>
      </w:r>
      <w:r w:rsidR="0045692B" w:rsidRPr="003F4AB7">
        <w:rPr>
          <w:rFonts w:cs="Times New Roman"/>
        </w:rPr>
        <w:t>with the</w:t>
      </w:r>
      <w:r w:rsidR="00DF3151" w:rsidRPr="003F4AB7">
        <w:rPr>
          <w:rFonts w:cs="Times New Roman"/>
        </w:rPr>
        <w:t xml:space="preserve"> </w:t>
      </w:r>
      <w:r w:rsidR="00A606A6" w:rsidRPr="003F4AB7">
        <w:rPr>
          <w:rFonts w:cs="Times New Roman"/>
        </w:rPr>
        <w:t>March q</w:t>
      </w:r>
      <w:r w:rsidR="00DF3151" w:rsidRPr="003F4AB7">
        <w:rPr>
          <w:rFonts w:cs="Times New Roman"/>
        </w:rPr>
        <w:t>uarter 202</w:t>
      </w:r>
      <w:r w:rsidR="00A606A6" w:rsidRPr="003F4AB7">
        <w:rPr>
          <w:rFonts w:cs="Times New Roman"/>
        </w:rPr>
        <w:t>3</w:t>
      </w:r>
      <w:r w:rsidR="001B42B6" w:rsidRPr="003F4AB7">
        <w:rPr>
          <w:rFonts w:cs="Times New Roman"/>
        </w:rPr>
        <w:t xml:space="preserve">. </w:t>
      </w:r>
      <w:r w:rsidR="0067595C" w:rsidRPr="003F4AB7">
        <w:rPr>
          <w:rFonts w:cs="Times New Roman"/>
        </w:rPr>
        <w:t>S</w:t>
      </w:r>
      <w:r w:rsidR="00697684" w:rsidRPr="003F4AB7">
        <w:rPr>
          <w:rFonts w:cs="Times New Roman"/>
        </w:rPr>
        <w:t>t</w:t>
      </w:r>
      <w:r w:rsidR="00DF3151" w:rsidRPr="003F4AB7">
        <w:rPr>
          <w:rFonts w:cs="Times New Roman"/>
        </w:rPr>
        <w:t>rength</w:t>
      </w:r>
      <w:r w:rsidR="00697684" w:rsidRPr="003F4AB7">
        <w:rPr>
          <w:rFonts w:cs="Times New Roman"/>
        </w:rPr>
        <w:t xml:space="preserve"> </w:t>
      </w:r>
      <w:r w:rsidR="0045692B" w:rsidRPr="003F4AB7">
        <w:rPr>
          <w:rFonts w:cs="Times New Roman"/>
        </w:rPr>
        <w:t>in</w:t>
      </w:r>
      <w:r w:rsidR="00697684" w:rsidRPr="003F4AB7">
        <w:rPr>
          <w:rFonts w:cs="Times New Roman"/>
        </w:rPr>
        <w:t xml:space="preserve"> </w:t>
      </w:r>
      <w:r w:rsidR="006F0280" w:rsidRPr="003F4AB7">
        <w:rPr>
          <w:rFonts w:cs="Times New Roman"/>
        </w:rPr>
        <w:t>travel to capital cities</w:t>
      </w:r>
      <w:r w:rsidR="00697684" w:rsidRPr="003F4AB7">
        <w:rPr>
          <w:rFonts w:cs="Times New Roman"/>
        </w:rPr>
        <w:t xml:space="preserve"> </w:t>
      </w:r>
      <w:r w:rsidR="00DF3151" w:rsidRPr="003F4AB7">
        <w:rPr>
          <w:rFonts w:cs="Times New Roman"/>
        </w:rPr>
        <w:t>was</w:t>
      </w:r>
      <w:r w:rsidR="00DD6348" w:rsidRPr="003F4AB7">
        <w:rPr>
          <w:rFonts w:cs="Times New Roman"/>
        </w:rPr>
        <w:t xml:space="preserve"> </w:t>
      </w:r>
      <w:r w:rsidR="00697684" w:rsidRPr="003F4AB7">
        <w:rPr>
          <w:rFonts w:cs="Times New Roman"/>
        </w:rPr>
        <w:t xml:space="preserve">offset by </w:t>
      </w:r>
      <w:r w:rsidR="00DF3151" w:rsidRPr="003F4AB7">
        <w:rPr>
          <w:rFonts w:cs="Times New Roman"/>
        </w:rPr>
        <w:t>softer</w:t>
      </w:r>
      <w:r w:rsidR="00697684" w:rsidRPr="003F4AB7">
        <w:rPr>
          <w:rFonts w:cs="Times New Roman"/>
        </w:rPr>
        <w:t xml:space="preserve"> travel</w:t>
      </w:r>
      <w:r w:rsidR="006F0280" w:rsidRPr="003F4AB7">
        <w:rPr>
          <w:rFonts w:cs="Times New Roman"/>
        </w:rPr>
        <w:t xml:space="preserve"> to regional areas</w:t>
      </w:r>
      <w:r w:rsidR="00697684" w:rsidRPr="003F4AB7">
        <w:rPr>
          <w:rFonts w:cs="Times New Roman"/>
        </w:rPr>
        <w:t>.</w:t>
      </w:r>
    </w:p>
    <w:bookmarkEnd w:id="0"/>
    <w:p w14:paraId="74594CD2" w14:textId="1C238979" w:rsidR="00F60A99" w:rsidRPr="003F4AB7" w:rsidRDefault="00DF3151" w:rsidP="004D5976">
      <w:pPr>
        <w:rPr>
          <w:rFonts w:cs="Times New Roman"/>
        </w:rPr>
      </w:pPr>
      <w:r w:rsidRPr="003F4AB7">
        <w:rPr>
          <w:rFonts w:cs="Times New Roman"/>
        </w:rPr>
        <w:t xml:space="preserve">The year ending </w:t>
      </w:r>
      <w:r w:rsidR="00A606A6" w:rsidRPr="003F4AB7">
        <w:rPr>
          <w:rFonts w:cs="Times New Roman"/>
        </w:rPr>
        <w:t>March</w:t>
      </w:r>
      <w:r w:rsidRPr="003F4AB7">
        <w:rPr>
          <w:rFonts w:cs="Times New Roman"/>
        </w:rPr>
        <w:t xml:space="preserve"> 202</w:t>
      </w:r>
      <w:r w:rsidR="00A606A6" w:rsidRPr="003F4AB7">
        <w:rPr>
          <w:rFonts w:cs="Times New Roman"/>
        </w:rPr>
        <w:t>4</w:t>
      </w:r>
      <w:r w:rsidRPr="003F4AB7">
        <w:rPr>
          <w:rFonts w:cs="Times New Roman"/>
        </w:rPr>
        <w:t xml:space="preserve"> saw </w:t>
      </w:r>
      <w:r w:rsidR="0045692B" w:rsidRPr="003F4AB7">
        <w:rPr>
          <w:rFonts w:cs="Times New Roman"/>
        </w:rPr>
        <w:t xml:space="preserve">a </w:t>
      </w:r>
      <w:r w:rsidR="00687FBC" w:rsidRPr="003F4AB7">
        <w:rPr>
          <w:rFonts w:cs="Times New Roman"/>
        </w:rPr>
        <w:t>s</w:t>
      </w:r>
      <w:r w:rsidRPr="003F4AB7">
        <w:rPr>
          <w:rFonts w:cs="Times New Roman"/>
        </w:rPr>
        <w:t xml:space="preserve">imilar </w:t>
      </w:r>
      <w:r w:rsidR="0045692B" w:rsidRPr="003F4AB7">
        <w:rPr>
          <w:rFonts w:cs="Times New Roman"/>
        </w:rPr>
        <w:t xml:space="preserve">pattern of </w:t>
      </w:r>
      <w:r w:rsidRPr="003F4AB7">
        <w:rPr>
          <w:rFonts w:cs="Times New Roman"/>
        </w:rPr>
        <w:t xml:space="preserve">results with spend up </w:t>
      </w:r>
      <w:r w:rsidR="00A606A6" w:rsidRPr="003F4AB7">
        <w:rPr>
          <w:rFonts w:cs="Times New Roman"/>
        </w:rPr>
        <w:t>1</w:t>
      </w:r>
      <w:r w:rsidRPr="003F4AB7">
        <w:rPr>
          <w:rFonts w:cs="Times New Roman"/>
        </w:rPr>
        <w:t xml:space="preserve">%, trips up </w:t>
      </w:r>
      <w:r w:rsidR="00A606A6" w:rsidRPr="003F4AB7">
        <w:rPr>
          <w:rFonts w:cs="Times New Roman"/>
        </w:rPr>
        <w:t>1</w:t>
      </w:r>
      <w:r w:rsidRPr="003F4AB7">
        <w:rPr>
          <w:rFonts w:cs="Times New Roman"/>
        </w:rPr>
        <w:t xml:space="preserve">% and nights </w:t>
      </w:r>
      <w:r w:rsidR="00A606A6" w:rsidRPr="003F4AB7">
        <w:rPr>
          <w:rFonts w:cs="Times New Roman"/>
        </w:rPr>
        <w:t>down</w:t>
      </w:r>
      <w:r w:rsidRPr="003F4AB7">
        <w:rPr>
          <w:rFonts w:cs="Times New Roman"/>
        </w:rPr>
        <w:t xml:space="preserve"> </w:t>
      </w:r>
      <w:r w:rsidR="00A606A6" w:rsidRPr="003F4AB7">
        <w:rPr>
          <w:rFonts w:cs="Times New Roman"/>
        </w:rPr>
        <w:t>2</w:t>
      </w:r>
      <w:r w:rsidRPr="003F4AB7">
        <w:rPr>
          <w:rFonts w:cs="Times New Roman"/>
        </w:rPr>
        <w:t xml:space="preserve">% when compared </w:t>
      </w:r>
      <w:r w:rsidR="0045692B" w:rsidRPr="003F4AB7">
        <w:rPr>
          <w:rFonts w:cs="Times New Roman"/>
        </w:rPr>
        <w:t>with</w:t>
      </w:r>
      <w:r w:rsidRPr="003F4AB7">
        <w:rPr>
          <w:rFonts w:cs="Times New Roman"/>
        </w:rPr>
        <w:t xml:space="preserve"> the previous year.</w:t>
      </w:r>
    </w:p>
    <w:p w14:paraId="344E4DAD" w14:textId="4E81BC2E" w:rsidR="00787DB8" w:rsidRPr="003F4AB7" w:rsidRDefault="00787DB8" w:rsidP="00787DB8">
      <w:pPr>
        <w:rPr>
          <w:rFonts w:cs="Times New Roman"/>
        </w:rPr>
      </w:pPr>
      <w:bookmarkStart w:id="2" w:name="_Hlk161058852"/>
      <w:r w:rsidRPr="003F4AB7">
        <w:rPr>
          <w:rFonts w:cs="Times New Roman"/>
        </w:rPr>
        <w:t>The results for the March quarter</w:t>
      </w:r>
      <w:r w:rsidR="0067595C" w:rsidRPr="003F4AB7">
        <w:rPr>
          <w:rFonts w:cs="Times New Roman"/>
        </w:rPr>
        <w:t xml:space="preserve"> 2024</w:t>
      </w:r>
      <w:r w:rsidRPr="003F4AB7">
        <w:rPr>
          <w:rFonts w:cs="Times New Roman"/>
        </w:rPr>
        <w:t xml:space="preserve"> and </w:t>
      </w:r>
      <w:r w:rsidR="00CB4A9A" w:rsidRPr="007D367F">
        <w:rPr>
          <w:rFonts w:cs="Times New Roman"/>
        </w:rPr>
        <w:t xml:space="preserve">the </w:t>
      </w:r>
      <w:r w:rsidRPr="003F4AB7">
        <w:rPr>
          <w:rFonts w:cs="Times New Roman"/>
        </w:rPr>
        <w:t xml:space="preserve">year ending March 2024 suggest that </w:t>
      </w:r>
      <w:r w:rsidR="00CB4A9A" w:rsidRPr="003F4AB7">
        <w:rPr>
          <w:rFonts w:cs="Times New Roman"/>
        </w:rPr>
        <w:t xml:space="preserve">domestic tourism has stabilised </w:t>
      </w:r>
      <w:r w:rsidRPr="003F4AB7">
        <w:rPr>
          <w:rFonts w:cs="Times New Roman"/>
        </w:rPr>
        <w:t xml:space="preserve">following a </w:t>
      </w:r>
      <w:r w:rsidR="00152A24">
        <w:rPr>
          <w:rFonts w:cs="Times New Roman"/>
        </w:rPr>
        <w:t xml:space="preserve">challenging period during the pandemic and then an extremely strong initial rebound in 2022 and early 2023.  </w:t>
      </w:r>
    </w:p>
    <w:bookmarkEnd w:id="1"/>
    <w:bookmarkEnd w:id="2"/>
    <w:p w14:paraId="4FAF0B0A" w14:textId="4FAADD81" w:rsidR="00055731" w:rsidRPr="003F4AB7" w:rsidRDefault="00055731" w:rsidP="008F60EF">
      <w:pPr>
        <w:rPr>
          <w:b/>
          <w:bCs/>
        </w:rPr>
      </w:pPr>
      <w:r w:rsidRPr="003F4AB7">
        <w:rPr>
          <w:b/>
          <w:bCs/>
        </w:rPr>
        <w:t xml:space="preserve">Figure 1. Percent change </w:t>
      </w:r>
      <w:r w:rsidR="008805E0" w:rsidRPr="003F4AB7">
        <w:rPr>
          <w:b/>
          <w:bCs/>
        </w:rPr>
        <w:t xml:space="preserve">for spend, trips and nights </w:t>
      </w:r>
      <w:r w:rsidRPr="003F4AB7">
        <w:rPr>
          <w:b/>
          <w:bCs/>
        </w:rPr>
        <w:t>compared the same period in the previous year</w:t>
      </w:r>
      <w:r w:rsidR="008805E0" w:rsidRPr="003F4AB7">
        <w:rPr>
          <w:b/>
          <w:bCs/>
        </w:rPr>
        <w:t xml:space="preserve">, </w:t>
      </w:r>
      <w:r w:rsidR="00A606A6" w:rsidRPr="003F4AB7">
        <w:rPr>
          <w:b/>
          <w:bCs/>
        </w:rPr>
        <w:t>June</w:t>
      </w:r>
      <w:r w:rsidR="00A762C9" w:rsidRPr="003F4AB7">
        <w:rPr>
          <w:b/>
          <w:bCs/>
        </w:rPr>
        <w:t xml:space="preserve"> </w:t>
      </w:r>
      <w:r w:rsidR="008805E0" w:rsidRPr="003F4AB7">
        <w:rPr>
          <w:b/>
          <w:bCs/>
        </w:rPr>
        <w:t>quarter 202</w:t>
      </w:r>
      <w:r w:rsidR="00697684" w:rsidRPr="003F4AB7">
        <w:rPr>
          <w:b/>
          <w:bCs/>
        </w:rPr>
        <w:t>3</w:t>
      </w:r>
      <w:r w:rsidR="008805E0" w:rsidRPr="003F4AB7">
        <w:rPr>
          <w:b/>
          <w:bCs/>
        </w:rPr>
        <w:t xml:space="preserve"> to </w:t>
      </w:r>
      <w:r w:rsidR="00A606A6" w:rsidRPr="003F4AB7">
        <w:rPr>
          <w:b/>
          <w:bCs/>
        </w:rPr>
        <w:t>March</w:t>
      </w:r>
      <w:r w:rsidR="008805E0" w:rsidRPr="003F4AB7">
        <w:rPr>
          <w:b/>
          <w:bCs/>
        </w:rPr>
        <w:t xml:space="preserve"> quarter </w:t>
      </w:r>
      <w:proofErr w:type="gramStart"/>
      <w:r w:rsidR="008805E0" w:rsidRPr="003F4AB7">
        <w:rPr>
          <w:b/>
          <w:bCs/>
        </w:rPr>
        <w:t>202</w:t>
      </w:r>
      <w:r w:rsidR="00A606A6" w:rsidRPr="003F4AB7">
        <w:rPr>
          <w:b/>
          <w:bCs/>
        </w:rPr>
        <w:t>4</w:t>
      </w:r>
      <w:proofErr w:type="gramEnd"/>
    </w:p>
    <w:p w14:paraId="25B4FE6B" w14:textId="4F20FA38" w:rsidR="00F85B59" w:rsidRPr="003F4AB7" w:rsidRDefault="00A606A6" w:rsidP="00A762C9">
      <w:pPr>
        <w:tabs>
          <w:tab w:val="left" w:pos="780"/>
        </w:tabs>
        <w:rPr>
          <w:b/>
          <w:bCs/>
          <w:color w:val="1E988A" w:themeColor="background2"/>
          <w:sz w:val="26"/>
          <w:szCs w:val="26"/>
        </w:rPr>
      </w:pPr>
      <w:r w:rsidRPr="003F4AB7">
        <w:rPr>
          <w:noProof/>
        </w:rPr>
        <w:drawing>
          <wp:inline distT="0" distB="0" distL="0" distR="0" wp14:anchorId="3F2C18A6" wp14:editId="58EC641C">
            <wp:extent cx="6457950" cy="2279650"/>
            <wp:effectExtent l="0" t="0" r="0" b="6350"/>
            <wp:docPr id="532338735" name="Chart 1" descr="Figure 1 shows the percent change for spend, trips and nights compared the same period in the previous year, for the June quarter 2023 to the March quarter 2024.&#10;Compared to the same period in the previous year, spend in:&#10;• the June quarter 2023 was up 1%&#10;• the September quarter 2023 was up 1%&#10;• the December quarter 2023 was up 2%&#10;• the March quarter 2024 was on par.&#10;Compared to the same period in the previous year, overnight trips in:&#10;• the June quarter 2023 was down 2%&#10;• the September quarter 2023 was up 1%&#10;• the December quarter 2023 was up 4%&#10;• the March quarter 2024 was up 2%.&#10; Compared to the same period in the previous year, nights away in:&#10;• the June quarter 2023 was down 5%&#10;• the September quarter 2023 was down 2%&#10;• the December quarter 2023 was on par&#10;• the March quarter was down 1%.&#10;">
              <a:extLst xmlns:a="http://schemas.openxmlformats.org/drawingml/2006/main">
                <a:ext uri="{FF2B5EF4-FFF2-40B4-BE49-F238E27FC236}">
                  <a16:creationId xmlns:a16="http://schemas.microsoft.com/office/drawing/2014/main" id="{2C771E44-D6CC-F567-C872-F272D8D46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609FF8" w14:textId="77777777" w:rsidR="002F6F94" w:rsidRPr="003F4AB7" w:rsidRDefault="002F6F94" w:rsidP="00024E9B">
      <w:pPr>
        <w:rPr>
          <w:rFonts w:cs="Times New Roman"/>
          <w:b/>
          <w:bCs/>
          <w:color w:val="1E988A" w:themeColor="background2"/>
          <w:sz w:val="26"/>
          <w:szCs w:val="26"/>
        </w:rPr>
        <w:sectPr w:rsidR="002F6F94" w:rsidRPr="003F4AB7" w:rsidSect="007D69C5">
          <w:headerReference w:type="default" r:id="rId21"/>
          <w:footerReference w:type="default" r:id="rId22"/>
          <w:headerReference w:type="first" r:id="rId23"/>
          <w:footerReference w:type="first" r:id="rId24"/>
          <w:footnotePr>
            <w:numStart w:val="2"/>
          </w:footnotePr>
          <w:pgSz w:w="11906" w:h="16838" w:code="9"/>
          <w:pgMar w:top="720" w:right="720" w:bottom="720" w:left="720" w:header="454" w:footer="851" w:gutter="0"/>
          <w:cols w:space="720"/>
          <w:titlePg/>
          <w:docGrid w:linePitch="360"/>
        </w:sectPr>
      </w:pPr>
    </w:p>
    <w:p w14:paraId="30A3E50B" w14:textId="5695952C" w:rsidR="0005089E" w:rsidRPr="003F4AB7" w:rsidRDefault="00100343" w:rsidP="0005089E">
      <w:pPr>
        <w:pStyle w:val="Heading2"/>
        <w:spacing w:before="0" w:after="120"/>
      </w:pPr>
      <w:r w:rsidRPr="003F4AB7">
        <w:rPr>
          <w:noProof/>
        </w:rPr>
        <w:lastRenderedPageBreak/>
        <mc:AlternateContent>
          <mc:Choice Requires="wps">
            <w:drawing>
              <wp:anchor distT="45720" distB="45720" distL="114300" distR="114300" simplePos="0" relativeHeight="251668480" behindDoc="0" locked="0" layoutInCell="1" allowOverlap="1" wp14:anchorId="02F4E3C1" wp14:editId="049B4400">
                <wp:simplePos x="0" y="0"/>
                <wp:positionH relativeFrom="column">
                  <wp:posOffset>3324225</wp:posOffset>
                </wp:positionH>
                <wp:positionV relativeFrom="paragraph">
                  <wp:posOffset>0</wp:posOffset>
                </wp:positionV>
                <wp:extent cx="3459480" cy="4991100"/>
                <wp:effectExtent l="0" t="0" r="7620" b="0"/>
                <wp:wrapSquare wrapText="bothSides"/>
                <wp:docPr id="1200978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4991100"/>
                        </a:xfrm>
                        <a:prstGeom prst="rect">
                          <a:avLst/>
                        </a:prstGeom>
                        <a:solidFill>
                          <a:srgbClr val="FFFFFF"/>
                        </a:solidFill>
                        <a:ln w="9525">
                          <a:noFill/>
                          <a:miter lim="800000"/>
                          <a:headEnd/>
                          <a:tailEnd/>
                        </a:ln>
                      </wps:spPr>
                      <wps:txbx>
                        <w:txbxContent>
                          <w:p w14:paraId="499FBD1C" w14:textId="00D78F14" w:rsidR="005B58D5" w:rsidRPr="003F4AB7" w:rsidRDefault="005B58D5" w:rsidP="005B58D5">
                            <w:pPr>
                              <w:rPr>
                                <w:b/>
                                <w:bCs/>
                                <w:color w:val="1E988A" w:themeColor="background2"/>
                                <w:sz w:val="26"/>
                                <w:szCs w:val="26"/>
                              </w:rPr>
                            </w:pPr>
                            <w:r w:rsidRPr="003F4AB7">
                              <w:rPr>
                                <w:b/>
                                <w:bCs/>
                                <w:color w:val="1E988A" w:themeColor="background2"/>
                                <w:sz w:val="26"/>
                                <w:szCs w:val="26"/>
                              </w:rPr>
                              <w:t>Travelling with Pets</w:t>
                            </w:r>
                          </w:p>
                          <w:p w14:paraId="68074A05" w14:textId="69472F60" w:rsidR="005B58D5" w:rsidRPr="003F4AB7" w:rsidRDefault="005B58D5">
                            <w:r w:rsidRPr="003F4AB7">
                              <w:t xml:space="preserve">Almost 3 million </w:t>
                            </w:r>
                            <w:r w:rsidR="0028211B" w:rsidRPr="003F4AB7">
                              <w:t xml:space="preserve">overnight </w:t>
                            </w:r>
                            <w:r w:rsidRPr="003F4AB7">
                              <w:t>trips in the March quarter 2024 included</w:t>
                            </w:r>
                            <w:r w:rsidR="002F296F" w:rsidRPr="003F4AB7">
                              <w:t xml:space="preserve"> travel with</w:t>
                            </w:r>
                            <w:r w:rsidRPr="003F4AB7">
                              <w:t xml:space="preserve"> a pet. This was up </w:t>
                            </w:r>
                            <w:r w:rsidR="001C7017" w:rsidRPr="003F4AB7">
                              <w:t>8</w:t>
                            </w:r>
                            <w:r w:rsidRPr="003F4AB7">
                              <w:t xml:space="preserve">% on </w:t>
                            </w:r>
                            <w:r w:rsidR="001C7017" w:rsidRPr="003F4AB7">
                              <w:t xml:space="preserve">the </w:t>
                            </w:r>
                            <w:r w:rsidRPr="003F4AB7">
                              <w:t xml:space="preserve">March quarter 2023. </w:t>
                            </w:r>
                          </w:p>
                          <w:p w14:paraId="44490E1E" w14:textId="35E23363" w:rsidR="005B58D5" w:rsidRPr="003F4AB7" w:rsidRDefault="005B58D5">
                            <w:r w:rsidRPr="003F4AB7">
                              <w:t xml:space="preserve">Dogs were the most likely to join their owners on an overnight trip (94%) followed by cats (7%). </w:t>
                            </w:r>
                          </w:p>
                          <w:p w14:paraId="68A56BD1" w14:textId="7468CE29" w:rsidR="007A02E3" w:rsidRPr="003F4AB7" w:rsidRDefault="007A02E3">
                            <w:r w:rsidRPr="003F4AB7">
                              <w:t xml:space="preserve">Of those that reported not bringing a pet on their overnight trip, 7% said this was because they were not allowed to. </w:t>
                            </w:r>
                          </w:p>
                          <w:p w14:paraId="49F042F4" w14:textId="147DBE87" w:rsidR="007A02E3" w:rsidRPr="003F4AB7" w:rsidRDefault="003D686E">
                            <w:pPr>
                              <w:rPr>
                                <w:noProof/>
                              </w:rPr>
                            </w:pPr>
                            <w:r w:rsidRPr="003F4AB7">
                              <w:t>Trips including a pet spent less on average ($608) per trip than those that did not include a pet ($995)</w:t>
                            </w:r>
                            <w:r w:rsidR="00687FBC" w:rsidRPr="003F4AB7">
                              <w:t>. This is largely as the result of staying in lower cost accommodation such as a holiday home, a friend or relatives property</w:t>
                            </w:r>
                            <w:r w:rsidR="00014AE8" w:rsidRPr="003F4AB7">
                              <w:t xml:space="preserve">, in a caravan park or camping. </w:t>
                            </w:r>
                            <w:r w:rsidRPr="003F4AB7">
                              <w:rPr>
                                <w:noProof/>
                              </w:rPr>
                              <w:t xml:space="preserve"> </w:t>
                            </w:r>
                          </w:p>
                          <w:p w14:paraId="7BDE77EE" w14:textId="17199BBD" w:rsidR="007A02E3" w:rsidRPr="00222B84" w:rsidRDefault="007A02E3" w:rsidP="007A5AFC">
                            <w:pPr>
                              <w:spacing w:after="0"/>
                            </w:pPr>
                            <w:r w:rsidRPr="003F4AB7">
                              <w:rPr>
                                <w:b/>
                                <w:bCs/>
                              </w:rPr>
                              <w:t xml:space="preserve">Figure 3: Proportion of </w:t>
                            </w:r>
                            <w:r w:rsidR="00135D53" w:rsidRPr="003F4AB7">
                              <w:rPr>
                                <w:b/>
                                <w:bCs/>
                              </w:rPr>
                              <w:t xml:space="preserve">nights by accommodation type </w:t>
                            </w:r>
                            <w:r w:rsidRPr="003F4AB7">
                              <w:rPr>
                                <w:b/>
                                <w:bCs/>
                              </w:rPr>
                              <w:t>March Quarter 2024</w:t>
                            </w:r>
                          </w:p>
                          <w:p w14:paraId="116C42E0" w14:textId="6AF1757A" w:rsidR="003D686E" w:rsidRDefault="003F4AB7">
                            <w:r>
                              <w:rPr>
                                <w:noProof/>
                              </w:rPr>
                              <w:drawing>
                                <wp:inline distT="0" distB="0" distL="0" distR="0" wp14:anchorId="69ACB64D" wp14:editId="5E02A665">
                                  <wp:extent cx="3267710" cy="1948180"/>
                                  <wp:effectExtent l="0" t="0" r="8890" b="0"/>
                                  <wp:docPr id="885511649" name="Chart 1" descr="Figure 3 shows the proportion of nights spent in different types of accommodation for those that travelled with a pet and those that did not for the March quarter 2024. &#10;In the March quarter 2024 for those that travelled with a pet:&#10;• 42% of nights were spent at a friend or relatives property&#10;• 21% of nights were spent at a property the respondent owned&#10;• 21% of nights were spent in a caravan or camping&#10;• 7% of nights were spent in a rented house, apartment or flat&#10;• 5% of nights were spent in a hotel, resort or motel&#10;In the March quarter 2024 for those that did not travel with a pet:&#10;• 34% of nights were spent at a friend or relatives property&#10;• 5% of nights were spent at a property the respondent owned&#10;• 15% of nights were spent in a caravan or camping&#10;• 10% of nights were spent in a rented house, apartment or flat&#10;• 28% of nights were spent in a hotel, resort or motel.">
                                    <a:extLst xmlns:a="http://schemas.openxmlformats.org/drawingml/2006/main">
                                      <a:ext uri="{FF2B5EF4-FFF2-40B4-BE49-F238E27FC236}">
                                        <a16:creationId xmlns:a16="http://schemas.microsoft.com/office/drawing/2014/main" id="{F2662D96-2380-F1CE-586C-6FB14E381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4E3C1" id="_x0000_t202" coordsize="21600,21600" o:spt="202" path="m,l,21600r21600,l21600,xe">
                <v:stroke joinstyle="miter"/>
                <v:path gradientshapeok="t" o:connecttype="rect"/>
              </v:shapetype>
              <v:shape id="Text Box 2" o:spid="_x0000_s1026" type="#_x0000_t202" style="position:absolute;margin-left:261.75pt;margin-top:0;width:272.4pt;height:39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" stroked="f">
                <v:textbox>
                  <w:txbxContent>
                    <w:p w14:paraId="499FBD1C" w14:textId="00D78F14" w:rsidR="005B58D5" w:rsidRPr="003F4AB7" w:rsidRDefault="005B58D5" w:rsidP="005B58D5">
                      <w:pPr>
                        <w:rPr>
                          <w:b/>
                          <w:bCs/>
                          <w:color w:val="1E988A" w:themeColor="background2"/>
                          <w:sz w:val="26"/>
                          <w:szCs w:val="26"/>
                        </w:rPr>
                      </w:pPr>
                      <w:r w:rsidRPr="003F4AB7">
                        <w:rPr>
                          <w:b/>
                          <w:bCs/>
                          <w:color w:val="1E988A" w:themeColor="background2"/>
                          <w:sz w:val="26"/>
                          <w:szCs w:val="26"/>
                        </w:rPr>
                        <w:t>Travelling with Pets</w:t>
                      </w:r>
                    </w:p>
                    <w:p w14:paraId="68074A05" w14:textId="69472F60" w:rsidR="005B58D5" w:rsidRPr="003F4AB7" w:rsidRDefault="005B58D5">
                      <w:r w:rsidRPr="003F4AB7">
                        <w:t xml:space="preserve">Almost 3 million </w:t>
                      </w:r>
                      <w:r w:rsidR="0028211B" w:rsidRPr="003F4AB7">
                        <w:t xml:space="preserve">overnight </w:t>
                      </w:r>
                      <w:r w:rsidRPr="003F4AB7">
                        <w:t>trips in the March quarter 2024 included</w:t>
                      </w:r>
                      <w:r w:rsidR="002F296F" w:rsidRPr="003F4AB7">
                        <w:t xml:space="preserve"> travel with</w:t>
                      </w:r>
                      <w:r w:rsidRPr="003F4AB7">
                        <w:t xml:space="preserve"> a pet. This was up </w:t>
                      </w:r>
                      <w:r w:rsidR="001C7017" w:rsidRPr="003F4AB7">
                        <w:t>8</w:t>
                      </w:r>
                      <w:r w:rsidRPr="003F4AB7">
                        <w:t xml:space="preserve">% on </w:t>
                      </w:r>
                      <w:r w:rsidR="001C7017" w:rsidRPr="003F4AB7">
                        <w:t xml:space="preserve">the </w:t>
                      </w:r>
                      <w:r w:rsidRPr="003F4AB7">
                        <w:t xml:space="preserve">March quarter 2023. </w:t>
                      </w:r>
                    </w:p>
                    <w:p w14:paraId="44490E1E" w14:textId="35E23363" w:rsidR="005B58D5" w:rsidRPr="003F4AB7" w:rsidRDefault="005B58D5">
                      <w:r w:rsidRPr="003F4AB7">
                        <w:t xml:space="preserve">Dogs were the most likely to join their owners on an overnight trip (94%) followed by cats (7%). </w:t>
                      </w:r>
                    </w:p>
                    <w:p w14:paraId="68A56BD1" w14:textId="7468CE29" w:rsidR="007A02E3" w:rsidRPr="003F4AB7" w:rsidRDefault="007A02E3">
                      <w:r w:rsidRPr="003F4AB7">
                        <w:t xml:space="preserve">Of those that reported not bringing a pet on their overnight trip, 7% said this was because they were not allowed to. </w:t>
                      </w:r>
                    </w:p>
                    <w:p w14:paraId="49F042F4" w14:textId="147DBE87" w:rsidR="007A02E3" w:rsidRPr="003F4AB7" w:rsidRDefault="003D686E">
                      <w:pPr>
                        <w:rPr>
                          <w:noProof/>
                        </w:rPr>
                      </w:pPr>
                      <w:r w:rsidRPr="003F4AB7">
                        <w:t>Trips including a pet spent less on average ($608) per trip than those that did not include a pet ($995)</w:t>
                      </w:r>
                      <w:r w:rsidR="00687FBC" w:rsidRPr="003F4AB7">
                        <w:t>. This is largely as the result of staying in lower cost accommodation such as a holiday home, a friend or relatives property</w:t>
                      </w:r>
                      <w:r w:rsidR="00014AE8" w:rsidRPr="003F4AB7">
                        <w:t xml:space="preserve">, in a caravan park or camping. </w:t>
                      </w:r>
                      <w:r w:rsidRPr="003F4AB7">
                        <w:rPr>
                          <w:noProof/>
                        </w:rPr>
                        <w:t xml:space="preserve"> </w:t>
                      </w:r>
                    </w:p>
                    <w:p w14:paraId="7BDE77EE" w14:textId="17199BBD" w:rsidR="007A02E3" w:rsidRPr="00222B84" w:rsidRDefault="007A02E3" w:rsidP="007A5AFC">
                      <w:pPr>
                        <w:spacing w:after="0"/>
                      </w:pPr>
                      <w:r w:rsidRPr="003F4AB7">
                        <w:rPr>
                          <w:b/>
                          <w:bCs/>
                        </w:rPr>
                        <w:t xml:space="preserve">Figure 3: Proportion of </w:t>
                      </w:r>
                      <w:r w:rsidR="00135D53" w:rsidRPr="003F4AB7">
                        <w:rPr>
                          <w:b/>
                          <w:bCs/>
                        </w:rPr>
                        <w:t xml:space="preserve">nights by accommodation type </w:t>
                      </w:r>
                      <w:r w:rsidRPr="003F4AB7">
                        <w:rPr>
                          <w:b/>
                          <w:bCs/>
                        </w:rPr>
                        <w:t>March Quarter 2024</w:t>
                      </w:r>
                    </w:p>
                    <w:p w14:paraId="116C42E0" w14:textId="6AF1757A" w:rsidR="003D686E" w:rsidRDefault="003F4AB7">
                      <w:r>
                        <w:rPr>
                          <w:noProof/>
                        </w:rPr>
                        <w:drawing>
                          <wp:inline distT="0" distB="0" distL="0" distR="0" wp14:anchorId="69ACB64D" wp14:editId="5E02A665">
                            <wp:extent cx="3267710" cy="1948180"/>
                            <wp:effectExtent l="0" t="0" r="8890" b="0"/>
                            <wp:docPr id="885511649" name="Chart 1" descr="Figure 3 shows the proportion of nights spent in different types of accommodation for those that travelled with a pet and those that did not for the March quarter 2024. &#10;In the March quarter 2024 for those that travelled with a pet:&#10;• 42% of nights were spent at a friend or relatives property&#10;• 21% of nights were spent at a property the respondent owned&#10;• 21% of nights were spent in a caravan or camping&#10;• 7% of nights were spent in a rented house, apartment or flat&#10;• 5% of nights were spent in a hotel, resort or motel&#10;In the March quarter 2024 for those that did not travel with a pet:&#10;• 34% of nights were spent at a friend or relatives property&#10;• 5% of nights were spent at a property the respondent owned&#10;• 15% of nights were spent in a caravan or camping&#10;• 10% of nights were spent in a rented house, apartment or flat&#10;• 28% of nights were spent in a hotel, resort or motel.">
                              <a:extLst xmlns:a="http://schemas.openxmlformats.org/drawingml/2006/main">
                                <a:ext uri="{FF2B5EF4-FFF2-40B4-BE49-F238E27FC236}">
                                  <a16:creationId xmlns:a16="http://schemas.microsoft.com/office/drawing/2014/main" id="{F2662D96-2380-F1CE-586C-6FB14E381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w10:wrap type="square"/>
              </v:shape>
            </w:pict>
          </mc:Fallback>
        </mc:AlternateContent>
      </w:r>
      <w:r w:rsidR="005C6385" w:rsidRPr="003F4AB7">
        <w:rPr>
          <w:rFonts w:cs="Times New Roman"/>
          <w:b w:val="0"/>
          <w:bCs w:val="0"/>
          <w:noProof/>
        </w:rPr>
        <mc:AlternateContent>
          <mc:Choice Requires="wps">
            <w:drawing>
              <wp:anchor distT="45720" distB="45720" distL="114300" distR="114300" simplePos="0" relativeHeight="251666432" behindDoc="0" locked="0" layoutInCell="1" allowOverlap="1" wp14:anchorId="3EC2E8B7" wp14:editId="7E01AB6E">
                <wp:simplePos x="0" y="0"/>
                <wp:positionH relativeFrom="margin">
                  <wp:posOffset>-158750</wp:posOffset>
                </wp:positionH>
                <wp:positionV relativeFrom="paragraph">
                  <wp:posOffset>0</wp:posOffset>
                </wp:positionV>
                <wp:extent cx="3524250" cy="50800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080000"/>
                        </a:xfrm>
                        <a:prstGeom prst="rect">
                          <a:avLst/>
                        </a:prstGeom>
                        <a:solidFill>
                          <a:srgbClr val="FFFFFF"/>
                        </a:solidFill>
                        <a:ln w="9525">
                          <a:noFill/>
                          <a:miter lim="800000"/>
                          <a:headEnd/>
                          <a:tailEnd/>
                        </a:ln>
                      </wps:spPr>
                      <wps:txbx>
                        <w:txbxContent>
                          <w:p w14:paraId="6FADC39A" w14:textId="2F49F3B4" w:rsidR="005B58D5" w:rsidRPr="003F4AB7" w:rsidRDefault="005B58D5" w:rsidP="00FB64DC">
                            <w:pPr>
                              <w:rPr>
                                <w:b/>
                                <w:bCs/>
                                <w:color w:val="1E988A" w:themeColor="background2"/>
                                <w:sz w:val="26"/>
                                <w:szCs w:val="26"/>
                              </w:rPr>
                            </w:pPr>
                            <w:r w:rsidRPr="003F4AB7">
                              <w:rPr>
                                <w:b/>
                                <w:bCs/>
                                <w:color w:val="1E988A" w:themeColor="background2"/>
                                <w:sz w:val="26"/>
                                <w:szCs w:val="26"/>
                              </w:rPr>
                              <w:t xml:space="preserve">Travel to capital cities </w:t>
                            </w:r>
                            <w:r w:rsidR="00B2313A" w:rsidRPr="003F4AB7">
                              <w:rPr>
                                <w:b/>
                                <w:bCs/>
                                <w:color w:val="1E988A" w:themeColor="background2"/>
                                <w:sz w:val="26"/>
                                <w:szCs w:val="26"/>
                              </w:rPr>
                              <w:t>up</w:t>
                            </w:r>
                          </w:p>
                          <w:p w14:paraId="45C5E10D" w14:textId="784E50B3" w:rsidR="00914899" w:rsidRPr="003F4AB7" w:rsidRDefault="00FB64DC" w:rsidP="00FB64DC">
                            <w:r w:rsidRPr="003F4AB7">
                              <w:t xml:space="preserve">Overnight travel to capital cities recorded strong results in </w:t>
                            </w:r>
                            <w:r w:rsidR="001C7017" w:rsidRPr="007D367F">
                              <w:t xml:space="preserve">the </w:t>
                            </w:r>
                            <w:r w:rsidRPr="003F4AB7">
                              <w:t xml:space="preserve">March quarter 2024, compared to </w:t>
                            </w:r>
                            <w:r w:rsidR="001C7017" w:rsidRPr="003F4AB7">
                              <w:t xml:space="preserve">the </w:t>
                            </w:r>
                            <w:r w:rsidRPr="003F4AB7">
                              <w:t>March quarter 2023. Spend and nights away were up 6% and trips were up 2%.</w:t>
                            </w:r>
                          </w:p>
                          <w:p w14:paraId="33398E1C" w14:textId="5C18FD9A" w:rsidR="00FB64DC" w:rsidRPr="003F4AB7" w:rsidRDefault="00FB64DC" w:rsidP="00FB64DC">
                            <w:r w:rsidRPr="003F4AB7">
                              <w:t xml:space="preserve">This was offset by softer results for travel to regional Australia. Spend was down 4%, trips were on par and nights were down 5%. </w:t>
                            </w:r>
                          </w:p>
                          <w:p w14:paraId="4F799665" w14:textId="205D060D" w:rsidR="00B2313A" w:rsidRPr="003F4AB7" w:rsidRDefault="00B2313A" w:rsidP="00FB64DC">
                            <w:r w:rsidRPr="003F4AB7">
                              <w:t>Travellers to capital cities also spent more per trip ($1178) on average</w:t>
                            </w:r>
                            <w:r w:rsidR="005C527C" w:rsidRPr="003F4AB7">
                              <w:t xml:space="preserve"> in </w:t>
                            </w:r>
                            <w:r w:rsidR="001C7017" w:rsidRPr="003F4AB7">
                              <w:t xml:space="preserve">the </w:t>
                            </w:r>
                            <w:r w:rsidR="005C527C" w:rsidRPr="003F4AB7">
                              <w:t>March quarter 2024</w:t>
                            </w:r>
                            <w:r w:rsidRPr="003F4AB7">
                              <w:t xml:space="preserve"> compared to those that travelled to a regional area ($770). </w:t>
                            </w:r>
                          </w:p>
                          <w:p w14:paraId="3C280658" w14:textId="4691C286" w:rsidR="00FB64DC" w:rsidRPr="003F4AB7" w:rsidRDefault="00FB64DC" w:rsidP="007A5AFC">
                            <w:pPr>
                              <w:spacing w:after="0"/>
                            </w:pPr>
                            <w:r w:rsidRPr="003F4AB7">
                              <w:rPr>
                                <w:b/>
                                <w:bCs/>
                              </w:rPr>
                              <w:t xml:space="preserve">Figure 2: Change in capital city and regional Australia spend, trips and nights, MQ24 compared </w:t>
                            </w:r>
                            <w:r w:rsidR="00152A24">
                              <w:rPr>
                                <w:b/>
                                <w:bCs/>
                              </w:rPr>
                              <w:t>with</w:t>
                            </w:r>
                            <w:r w:rsidRPr="003F4AB7">
                              <w:rPr>
                                <w:b/>
                                <w:bCs/>
                              </w:rPr>
                              <w:t xml:space="preserve"> MQ23</w:t>
                            </w:r>
                          </w:p>
                          <w:p w14:paraId="5AA28083" w14:textId="19180F69" w:rsidR="00FB64DC" w:rsidRDefault="00FB64DC">
                            <w:r w:rsidRPr="003F4AB7">
                              <w:rPr>
                                <w:noProof/>
                              </w:rPr>
                              <w:drawing>
                                <wp:inline distT="0" distB="0" distL="0" distR="0" wp14:anchorId="4B13EA7D" wp14:editId="78E13992">
                                  <wp:extent cx="3324225" cy="2228850"/>
                                  <wp:effectExtent l="0" t="0" r="0" b="0"/>
                                  <wp:docPr id="1682399993" name="Chart 1" descr="Figure 2 shows the change in capital city and regional spend, trips and nights for the March quarter 2024 compared to the March quarter 2023.&#10;Spend in capital cities was up 6%, and down 4% in regional Australia.&#10;Trips to capital cities were up 2%, and flat to regional Australia.&#10;Nights spent in capital cities were up 6%, and down 5% in regional Australia.">
                                    <a:extLst xmlns:a="http://schemas.openxmlformats.org/drawingml/2006/main">
                                      <a:ext uri="{FF2B5EF4-FFF2-40B4-BE49-F238E27FC236}">
                                        <a16:creationId xmlns:a16="http://schemas.microsoft.com/office/drawing/2014/main" id="{C6578275-E36C-FD52-3322-0B4BE0AEA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2E8B7" id="_x0000_s1027" type="#_x0000_t202" style="position:absolute;margin-left:-12.5pt;margin-top:0;width:277.5pt;height:400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" stroked="f">
                <v:textbox>
                  <w:txbxContent>
                    <w:p w14:paraId="6FADC39A" w14:textId="2F49F3B4" w:rsidR="005B58D5" w:rsidRPr="003F4AB7" w:rsidRDefault="005B58D5" w:rsidP="00FB64DC">
                      <w:pPr>
                        <w:rPr>
                          <w:b/>
                          <w:bCs/>
                          <w:color w:val="1E988A" w:themeColor="background2"/>
                          <w:sz w:val="26"/>
                          <w:szCs w:val="26"/>
                        </w:rPr>
                      </w:pPr>
                      <w:r w:rsidRPr="003F4AB7">
                        <w:rPr>
                          <w:b/>
                          <w:bCs/>
                          <w:color w:val="1E988A" w:themeColor="background2"/>
                          <w:sz w:val="26"/>
                          <w:szCs w:val="26"/>
                        </w:rPr>
                        <w:t xml:space="preserve">Travel to capital cities </w:t>
                      </w:r>
                      <w:r w:rsidR="00B2313A" w:rsidRPr="003F4AB7">
                        <w:rPr>
                          <w:b/>
                          <w:bCs/>
                          <w:color w:val="1E988A" w:themeColor="background2"/>
                          <w:sz w:val="26"/>
                          <w:szCs w:val="26"/>
                        </w:rPr>
                        <w:t>up</w:t>
                      </w:r>
                    </w:p>
                    <w:p w14:paraId="45C5E10D" w14:textId="784E50B3" w:rsidR="00914899" w:rsidRPr="003F4AB7" w:rsidRDefault="00FB64DC" w:rsidP="00FB64DC">
                      <w:r w:rsidRPr="003F4AB7">
                        <w:t xml:space="preserve">Overnight travel to capital cities recorded strong results in </w:t>
                      </w:r>
                      <w:r w:rsidR="001C7017" w:rsidRPr="007D367F">
                        <w:t xml:space="preserve">the </w:t>
                      </w:r>
                      <w:r w:rsidRPr="003F4AB7">
                        <w:t xml:space="preserve">March quarter 2024, compared to </w:t>
                      </w:r>
                      <w:r w:rsidR="001C7017" w:rsidRPr="003F4AB7">
                        <w:t xml:space="preserve">the </w:t>
                      </w:r>
                      <w:r w:rsidRPr="003F4AB7">
                        <w:t>March quarter 2023. Spend and nights away were up 6% and trips were up 2%.</w:t>
                      </w:r>
                    </w:p>
                    <w:p w14:paraId="33398E1C" w14:textId="5C18FD9A" w:rsidR="00FB64DC" w:rsidRPr="003F4AB7" w:rsidRDefault="00FB64DC" w:rsidP="00FB64DC">
                      <w:r w:rsidRPr="003F4AB7">
                        <w:t xml:space="preserve">This was offset by softer results for travel to regional Australia. Spend was down 4%, trips were on par and nights were down 5%. </w:t>
                      </w:r>
                    </w:p>
                    <w:p w14:paraId="4F799665" w14:textId="205D060D" w:rsidR="00B2313A" w:rsidRPr="003F4AB7" w:rsidRDefault="00B2313A" w:rsidP="00FB64DC">
                      <w:r w:rsidRPr="003F4AB7">
                        <w:t>Travellers to capital cities also spent more per trip ($1178) on average</w:t>
                      </w:r>
                      <w:r w:rsidR="005C527C" w:rsidRPr="003F4AB7">
                        <w:t xml:space="preserve"> in </w:t>
                      </w:r>
                      <w:r w:rsidR="001C7017" w:rsidRPr="003F4AB7">
                        <w:t xml:space="preserve">the </w:t>
                      </w:r>
                      <w:r w:rsidR="005C527C" w:rsidRPr="003F4AB7">
                        <w:t>March quarter 2024</w:t>
                      </w:r>
                      <w:r w:rsidRPr="003F4AB7">
                        <w:t xml:space="preserve"> compared to those that travelled to a regional area ($770). </w:t>
                      </w:r>
                    </w:p>
                    <w:p w14:paraId="3C280658" w14:textId="4691C286" w:rsidR="00FB64DC" w:rsidRPr="003F4AB7" w:rsidRDefault="00FB64DC" w:rsidP="007A5AFC">
                      <w:pPr>
                        <w:spacing w:after="0"/>
                      </w:pPr>
                      <w:r w:rsidRPr="003F4AB7">
                        <w:rPr>
                          <w:b/>
                          <w:bCs/>
                        </w:rPr>
                        <w:t xml:space="preserve">Figure 2: Change in capital city and regional Australia spend, trips and nights, MQ24 compared </w:t>
                      </w:r>
                      <w:r w:rsidR="00152A24">
                        <w:rPr>
                          <w:b/>
                          <w:bCs/>
                        </w:rPr>
                        <w:t>with</w:t>
                      </w:r>
                      <w:r w:rsidRPr="003F4AB7">
                        <w:rPr>
                          <w:b/>
                          <w:bCs/>
                        </w:rPr>
                        <w:t xml:space="preserve"> MQ23</w:t>
                      </w:r>
                    </w:p>
                    <w:p w14:paraId="5AA28083" w14:textId="19180F69" w:rsidR="00FB64DC" w:rsidRDefault="00FB64DC">
                      <w:r w:rsidRPr="003F4AB7">
                        <w:rPr>
                          <w:noProof/>
                        </w:rPr>
                        <w:drawing>
                          <wp:inline distT="0" distB="0" distL="0" distR="0" wp14:anchorId="4B13EA7D" wp14:editId="78E13992">
                            <wp:extent cx="3324225" cy="2228850"/>
                            <wp:effectExtent l="0" t="0" r="0" b="0"/>
                            <wp:docPr id="1682399993" name="Chart 1" descr="Figure 2 shows the change in capital city and regional spend, trips and nights for the March quarter 2024 compared to the March quarter 2023.&#10;Spend in capital cities was up 6%, and down 4% in regional Australia.&#10;Trips to capital cities were up 2%, and flat to regional Australia.&#10;Nights spent in capital cities were up 6%, and down 5% in regional Australia.">
                              <a:extLst xmlns:a="http://schemas.openxmlformats.org/drawingml/2006/main">
                                <a:ext uri="{FF2B5EF4-FFF2-40B4-BE49-F238E27FC236}">
                                  <a16:creationId xmlns:a16="http://schemas.microsoft.com/office/drawing/2014/main" id="{C6578275-E36C-FD52-3322-0B4BE0AEAD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w10:wrap type="square" anchorx="margin"/>
              </v:shape>
            </w:pict>
          </mc:Fallback>
        </mc:AlternateContent>
      </w:r>
      <w:r w:rsidR="005C6385" w:rsidRPr="003F4AB7">
        <w:rPr>
          <w:rFonts w:cs="Times New Roman"/>
          <w:b w:val="0"/>
          <w:bCs w:val="0"/>
          <w:noProof/>
        </w:rPr>
        <mc:AlternateContent>
          <mc:Choice Requires="wps">
            <w:drawing>
              <wp:anchor distT="45720" distB="45720" distL="114300" distR="114300" simplePos="0" relativeHeight="251670528" behindDoc="0" locked="0" layoutInCell="1" allowOverlap="1" wp14:anchorId="71F33755" wp14:editId="28D7586A">
                <wp:simplePos x="0" y="0"/>
                <wp:positionH relativeFrom="margin">
                  <wp:align>center</wp:align>
                </wp:positionH>
                <wp:positionV relativeFrom="paragraph">
                  <wp:posOffset>5102225</wp:posOffset>
                </wp:positionV>
                <wp:extent cx="6926580" cy="4337050"/>
                <wp:effectExtent l="0" t="0" r="7620" b="6350"/>
                <wp:wrapSquare wrapText="bothSides"/>
                <wp:docPr id="1123669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4337050"/>
                        </a:xfrm>
                        <a:prstGeom prst="rect">
                          <a:avLst/>
                        </a:prstGeom>
                        <a:solidFill>
                          <a:srgbClr val="FFFFFF"/>
                        </a:solidFill>
                        <a:ln w="9525">
                          <a:noFill/>
                          <a:miter lim="800000"/>
                          <a:headEnd/>
                          <a:tailEnd/>
                        </a:ln>
                      </wps:spPr>
                      <wps:txbx>
                        <w:txbxContent>
                          <w:p w14:paraId="245ED1AD" w14:textId="0A638D7E" w:rsidR="006E2874" w:rsidRDefault="002F296F">
                            <w:pPr>
                              <w:rPr>
                                <w:b/>
                                <w:bCs/>
                                <w:color w:val="1E988A" w:themeColor="background2"/>
                                <w:sz w:val="26"/>
                                <w:szCs w:val="26"/>
                              </w:rPr>
                            </w:pPr>
                            <w:r>
                              <w:rPr>
                                <w:b/>
                                <w:bCs/>
                                <w:color w:val="1E988A" w:themeColor="background2"/>
                                <w:sz w:val="26"/>
                                <w:szCs w:val="26"/>
                              </w:rPr>
                              <w:t>Family groups support</w:t>
                            </w:r>
                            <w:r w:rsidR="006E2874">
                              <w:rPr>
                                <w:b/>
                                <w:bCs/>
                                <w:color w:val="1E988A" w:themeColor="background2"/>
                                <w:sz w:val="26"/>
                                <w:szCs w:val="26"/>
                              </w:rPr>
                              <w:t xml:space="preserve"> travel in the March quarter 2024</w:t>
                            </w:r>
                          </w:p>
                          <w:p w14:paraId="320AB869" w14:textId="397F622A" w:rsidR="002F296F" w:rsidRPr="003F4AB7" w:rsidRDefault="006E2874">
                            <w:r w:rsidRPr="006E2874">
                              <w:t xml:space="preserve">In March </w:t>
                            </w:r>
                            <w:r w:rsidRPr="003F4AB7">
                              <w:t>quarter 2024, the propensity to travel differed greatly between people in the different stages of life.</w:t>
                            </w:r>
                          </w:p>
                          <w:p w14:paraId="4892F685" w14:textId="36EE3055" w:rsidR="006E2874" w:rsidRDefault="006E2874">
                            <w:r w:rsidRPr="003F4AB7">
                              <w:t>Parents with children still living at home</w:t>
                            </w:r>
                            <w:r w:rsidR="00B4239B" w:rsidRPr="003F4AB7">
                              <w:t xml:space="preserve"> (trips up 9%)</w:t>
                            </w:r>
                            <w:r w:rsidRPr="003F4AB7">
                              <w:t xml:space="preserve"> and older married people</w:t>
                            </w:r>
                            <w:r w:rsidR="00B4239B" w:rsidRPr="003F4AB7">
                              <w:t xml:space="preserve"> (trips up 9%)</w:t>
                            </w:r>
                            <w:r w:rsidRPr="003F4AB7">
                              <w:t xml:space="preserve">, recorded strong travel results for the March quarter 2024 compared </w:t>
                            </w:r>
                            <w:r w:rsidR="00152A24">
                              <w:t>with</w:t>
                            </w:r>
                            <w:r w:rsidRPr="003F4AB7">
                              <w:t xml:space="preserve"> </w:t>
                            </w:r>
                            <w:r w:rsidR="00100343" w:rsidRPr="003F4AB7">
                              <w:t xml:space="preserve">the </w:t>
                            </w:r>
                            <w:r w:rsidRPr="003F4AB7">
                              <w:t>March</w:t>
                            </w:r>
                            <w:r w:rsidR="00100343" w:rsidRPr="003F4AB7">
                              <w:t xml:space="preserve"> quarter</w:t>
                            </w:r>
                            <w:r w:rsidRPr="003F4AB7">
                              <w:t xml:space="preserve"> 2023. In contrast older single people</w:t>
                            </w:r>
                            <w:r w:rsidR="00B4239B" w:rsidRPr="003F4AB7">
                              <w:t xml:space="preserve"> (trips down 8%)</w:t>
                            </w:r>
                            <w:r w:rsidRPr="003F4AB7">
                              <w:t xml:space="preserve"> and young</w:t>
                            </w:r>
                            <w:r w:rsidR="00B4239B" w:rsidRPr="003F4AB7">
                              <w:t xml:space="preserve"> single</w:t>
                            </w:r>
                            <w:r w:rsidRPr="003F4AB7">
                              <w:t xml:space="preserve"> people</w:t>
                            </w:r>
                            <w:r w:rsidR="00B4239B" w:rsidRPr="003F4AB7">
                              <w:t xml:space="preserve"> (trips down 11%)</w:t>
                            </w:r>
                            <w:r w:rsidRPr="003F4AB7">
                              <w:t xml:space="preserve"> recorded weaker results in </w:t>
                            </w:r>
                            <w:r w:rsidR="00BA3D77" w:rsidRPr="003F4AB7">
                              <w:t xml:space="preserve">the </w:t>
                            </w:r>
                            <w:r w:rsidRPr="003F4AB7">
                              <w:t>March quarter 2024</w:t>
                            </w:r>
                            <w:r w:rsidR="00152A24">
                              <w:t xml:space="preserve"> relative to the previous year</w:t>
                            </w:r>
                            <w:r w:rsidRPr="003F4AB7">
                              <w:t>.</w:t>
                            </w:r>
                            <w:r>
                              <w:t xml:space="preserve"> </w:t>
                            </w:r>
                          </w:p>
                          <w:p w14:paraId="07BF8FC1" w14:textId="68E2D9B6" w:rsidR="008B1CBD" w:rsidRPr="00EE7393" w:rsidRDefault="008B1CBD" w:rsidP="008B1CBD">
                            <w:pPr>
                              <w:spacing w:after="0"/>
                            </w:pPr>
                            <w:r w:rsidRPr="00EE7393">
                              <w:rPr>
                                <w:b/>
                                <w:bCs/>
                              </w:rPr>
                              <w:t xml:space="preserve">Figure </w:t>
                            </w:r>
                            <w:r>
                              <w:rPr>
                                <w:b/>
                                <w:bCs/>
                              </w:rPr>
                              <w:t>4</w:t>
                            </w:r>
                            <w:r w:rsidRPr="00EE7393">
                              <w:rPr>
                                <w:b/>
                                <w:bCs/>
                              </w:rPr>
                              <w:t>:</w:t>
                            </w:r>
                            <w:r>
                              <w:rPr>
                                <w:b/>
                                <w:bCs/>
                              </w:rPr>
                              <w:t xml:space="preserve"> Change in overnight trips by lifecycle stage</w:t>
                            </w:r>
                            <w:r w:rsidRPr="00EE7393">
                              <w:rPr>
                                <w:b/>
                                <w:bCs/>
                              </w:rPr>
                              <w:t xml:space="preserve">, </w:t>
                            </w:r>
                            <w:r>
                              <w:rPr>
                                <w:b/>
                                <w:bCs/>
                              </w:rPr>
                              <w:t>M</w:t>
                            </w:r>
                            <w:r w:rsidRPr="00EE7393">
                              <w:rPr>
                                <w:b/>
                                <w:bCs/>
                              </w:rPr>
                              <w:t>Q</w:t>
                            </w:r>
                            <w:r>
                              <w:rPr>
                                <w:b/>
                                <w:bCs/>
                              </w:rPr>
                              <w:t xml:space="preserve"> 20</w:t>
                            </w:r>
                            <w:r w:rsidRPr="00EE7393">
                              <w:rPr>
                                <w:b/>
                                <w:bCs/>
                              </w:rPr>
                              <w:t>2</w:t>
                            </w:r>
                            <w:r>
                              <w:rPr>
                                <w:b/>
                                <w:bCs/>
                              </w:rPr>
                              <w:t>4 compared to MQ 2023</w:t>
                            </w:r>
                          </w:p>
                          <w:p w14:paraId="65CAF917" w14:textId="55DC9118" w:rsidR="006E2874" w:rsidRDefault="00EB6438">
                            <w:r>
                              <w:rPr>
                                <w:noProof/>
                              </w:rPr>
                              <w:drawing>
                                <wp:inline distT="0" distB="0" distL="0" distR="0" wp14:anchorId="09B72ED9" wp14:editId="3BE2C33B">
                                  <wp:extent cx="6518276" cy="2943225"/>
                                  <wp:effectExtent l="0" t="0" r="0" b="0"/>
                                  <wp:docPr id="217654109" name="Chart 1" descr="Figure 4 shows the change in overnight trips by lifecycle stage, March quarter 2024 compared to March quarter 2023.&#10;Overnight trips were up:&#10;• 11% for parents with the youngest child aged 15 and over still living at home&#10;• 12% for parents with youngest child aged 6-14 years&#10;• 4% for parents with youngest child under 5 years&#10;• 13% for older non working married people&#10;• 5% for older working married people&#10;• 1% for midlife single people.&#10;Overnights trips were down:&#10;• 1% for older working single people&#10;• 14% for older non-working single people&#10;• 3% for young singles still living at home&#10;• 5% for young and midlife couples with no kids&#10;• 25% for young singles living alone or in shared accommodation.">
                                    <a:extLst xmlns:a="http://schemas.openxmlformats.org/drawingml/2006/main">
                                      <a:ext uri="{FF2B5EF4-FFF2-40B4-BE49-F238E27FC236}">
                                        <a16:creationId xmlns:a16="http://schemas.microsoft.com/office/drawing/2014/main" id="{5E823982-DCD8-89FF-A9F4-1ACA787F6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33755" id="_x0000_s1028" type="#_x0000_t202" style="position:absolute;margin-left:0;margin-top:401.75pt;width:545.4pt;height:341.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" stroked="f">
                <v:textbox>
                  <w:txbxContent>
                    <w:p w14:paraId="245ED1AD" w14:textId="0A638D7E" w:rsidR="006E2874" w:rsidRDefault="002F296F">
                      <w:pPr>
                        <w:rPr>
                          <w:b/>
                          <w:bCs/>
                          <w:color w:val="1E988A" w:themeColor="background2"/>
                          <w:sz w:val="26"/>
                          <w:szCs w:val="26"/>
                        </w:rPr>
                      </w:pPr>
                      <w:r>
                        <w:rPr>
                          <w:b/>
                          <w:bCs/>
                          <w:color w:val="1E988A" w:themeColor="background2"/>
                          <w:sz w:val="26"/>
                          <w:szCs w:val="26"/>
                        </w:rPr>
                        <w:t>Family groups support</w:t>
                      </w:r>
                      <w:r w:rsidR="006E2874">
                        <w:rPr>
                          <w:b/>
                          <w:bCs/>
                          <w:color w:val="1E988A" w:themeColor="background2"/>
                          <w:sz w:val="26"/>
                          <w:szCs w:val="26"/>
                        </w:rPr>
                        <w:t xml:space="preserve"> travel in the March quarter 2024</w:t>
                      </w:r>
                    </w:p>
                    <w:p w14:paraId="320AB869" w14:textId="397F622A" w:rsidR="002F296F" w:rsidRPr="003F4AB7" w:rsidRDefault="006E2874">
                      <w:r w:rsidRPr="006E2874">
                        <w:t xml:space="preserve">In March </w:t>
                      </w:r>
                      <w:r w:rsidRPr="003F4AB7">
                        <w:t>quarter 2024, the propensity to travel differed greatly between people in the different stages of life.</w:t>
                      </w:r>
                    </w:p>
                    <w:p w14:paraId="4892F685" w14:textId="36EE3055" w:rsidR="006E2874" w:rsidRDefault="006E2874">
                      <w:r w:rsidRPr="003F4AB7">
                        <w:t>Parents with children still living at home</w:t>
                      </w:r>
                      <w:r w:rsidR="00B4239B" w:rsidRPr="003F4AB7">
                        <w:t xml:space="preserve"> (trips up 9%)</w:t>
                      </w:r>
                      <w:r w:rsidRPr="003F4AB7">
                        <w:t xml:space="preserve"> and older married people</w:t>
                      </w:r>
                      <w:r w:rsidR="00B4239B" w:rsidRPr="003F4AB7">
                        <w:t xml:space="preserve"> (trips up 9%)</w:t>
                      </w:r>
                      <w:r w:rsidRPr="003F4AB7">
                        <w:t xml:space="preserve">, recorded strong travel results for the March quarter 2024 compared </w:t>
                      </w:r>
                      <w:r w:rsidR="00152A24">
                        <w:t>with</w:t>
                      </w:r>
                      <w:r w:rsidRPr="003F4AB7">
                        <w:t xml:space="preserve"> </w:t>
                      </w:r>
                      <w:r w:rsidR="00100343" w:rsidRPr="003F4AB7">
                        <w:t xml:space="preserve">the </w:t>
                      </w:r>
                      <w:r w:rsidRPr="003F4AB7">
                        <w:t>March</w:t>
                      </w:r>
                      <w:r w:rsidR="00100343" w:rsidRPr="003F4AB7">
                        <w:t xml:space="preserve"> quarter</w:t>
                      </w:r>
                      <w:r w:rsidRPr="003F4AB7">
                        <w:t xml:space="preserve"> 2023. In contrast older single people</w:t>
                      </w:r>
                      <w:r w:rsidR="00B4239B" w:rsidRPr="003F4AB7">
                        <w:t xml:space="preserve"> (trips down 8%)</w:t>
                      </w:r>
                      <w:r w:rsidRPr="003F4AB7">
                        <w:t xml:space="preserve"> and young</w:t>
                      </w:r>
                      <w:r w:rsidR="00B4239B" w:rsidRPr="003F4AB7">
                        <w:t xml:space="preserve"> single</w:t>
                      </w:r>
                      <w:r w:rsidRPr="003F4AB7">
                        <w:t xml:space="preserve"> people</w:t>
                      </w:r>
                      <w:r w:rsidR="00B4239B" w:rsidRPr="003F4AB7">
                        <w:t xml:space="preserve"> (trips down 11%)</w:t>
                      </w:r>
                      <w:r w:rsidRPr="003F4AB7">
                        <w:t xml:space="preserve"> recorded weaker results in </w:t>
                      </w:r>
                      <w:r w:rsidR="00BA3D77" w:rsidRPr="003F4AB7">
                        <w:t xml:space="preserve">the </w:t>
                      </w:r>
                      <w:r w:rsidRPr="003F4AB7">
                        <w:t>March quarter 2024</w:t>
                      </w:r>
                      <w:r w:rsidR="00152A24">
                        <w:t xml:space="preserve"> relative to the previous year</w:t>
                      </w:r>
                      <w:r w:rsidRPr="003F4AB7">
                        <w:t>.</w:t>
                      </w:r>
                      <w:r>
                        <w:t xml:space="preserve"> </w:t>
                      </w:r>
                    </w:p>
                    <w:p w14:paraId="07BF8FC1" w14:textId="68E2D9B6" w:rsidR="008B1CBD" w:rsidRPr="00EE7393" w:rsidRDefault="008B1CBD" w:rsidP="008B1CBD">
                      <w:pPr>
                        <w:spacing w:after="0"/>
                      </w:pPr>
                      <w:r w:rsidRPr="00EE7393">
                        <w:rPr>
                          <w:b/>
                          <w:bCs/>
                        </w:rPr>
                        <w:t xml:space="preserve">Figure </w:t>
                      </w:r>
                      <w:r>
                        <w:rPr>
                          <w:b/>
                          <w:bCs/>
                        </w:rPr>
                        <w:t>4</w:t>
                      </w:r>
                      <w:r w:rsidRPr="00EE7393">
                        <w:rPr>
                          <w:b/>
                          <w:bCs/>
                        </w:rPr>
                        <w:t>:</w:t>
                      </w:r>
                      <w:r>
                        <w:rPr>
                          <w:b/>
                          <w:bCs/>
                        </w:rPr>
                        <w:t xml:space="preserve"> Change in overnight trips by lifecycle stage</w:t>
                      </w:r>
                      <w:r w:rsidRPr="00EE7393">
                        <w:rPr>
                          <w:b/>
                          <w:bCs/>
                        </w:rPr>
                        <w:t xml:space="preserve">, </w:t>
                      </w:r>
                      <w:r>
                        <w:rPr>
                          <w:b/>
                          <w:bCs/>
                        </w:rPr>
                        <w:t>M</w:t>
                      </w:r>
                      <w:r w:rsidRPr="00EE7393">
                        <w:rPr>
                          <w:b/>
                          <w:bCs/>
                        </w:rPr>
                        <w:t>Q</w:t>
                      </w:r>
                      <w:r>
                        <w:rPr>
                          <w:b/>
                          <w:bCs/>
                        </w:rPr>
                        <w:t xml:space="preserve"> 20</w:t>
                      </w:r>
                      <w:r w:rsidRPr="00EE7393">
                        <w:rPr>
                          <w:b/>
                          <w:bCs/>
                        </w:rPr>
                        <w:t>2</w:t>
                      </w:r>
                      <w:r>
                        <w:rPr>
                          <w:b/>
                          <w:bCs/>
                        </w:rPr>
                        <w:t>4 compared to MQ 2023</w:t>
                      </w:r>
                    </w:p>
                    <w:p w14:paraId="65CAF917" w14:textId="55DC9118" w:rsidR="006E2874" w:rsidRDefault="00EB6438">
                      <w:r>
                        <w:rPr>
                          <w:noProof/>
                        </w:rPr>
                        <w:drawing>
                          <wp:inline distT="0" distB="0" distL="0" distR="0" wp14:anchorId="09B72ED9" wp14:editId="3BE2C33B">
                            <wp:extent cx="6518276" cy="2943225"/>
                            <wp:effectExtent l="0" t="0" r="0" b="0"/>
                            <wp:docPr id="217654109" name="Chart 1" descr="Figure 4 shows the change in overnight trips by lifecycle stage, March quarter 2024 compared to March quarter 2023.&#10;Overnight trips were up:&#10;• 11% for parents with the youngest child aged 15 and over still living at home&#10;• 12% for parents with youngest child aged 6-14 years&#10;• 4% for parents with youngest child under 5 years&#10;• 13% for older non working married people&#10;• 5% for older working married people&#10;• 1% for midlife single people.&#10;Overnights trips were down:&#10;• 1% for older working single people&#10;• 14% for older non-working single people&#10;• 3% for young singles still living at home&#10;• 5% for young and midlife couples with no kids&#10;• 25% for young singles living alone or in shared accommodation.">
                              <a:extLst xmlns:a="http://schemas.openxmlformats.org/drawingml/2006/main">
                                <a:ext uri="{FF2B5EF4-FFF2-40B4-BE49-F238E27FC236}">
                                  <a16:creationId xmlns:a16="http://schemas.microsoft.com/office/drawing/2014/main" id="{5E823982-DCD8-89FF-A9F4-1ACA787F69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w10:wrap type="square" anchorx="margin"/>
              </v:shape>
            </w:pict>
          </mc:Fallback>
        </mc:AlternateContent>
      </w:r>
    </w:p>
    <w:p w14:paraId="5327F7CF" w14:textId="7A095FDD" w:rsidR="003400E2" w:rsidRPr="003F4AB7" w:rsidRDefault="003400E2" w:rsidP="00D754B5">
      <w:pPr>
        <w:rPr>
          <w:b/>
          <w:bCs/>
        </w:rPr>
        <w:sectPr w:rsidR="003400E2" w:rsidRPr="003F4AB7" w:rsidSect="002F6F94">
          <w:footnotePr>
            <w:numStart w:val="2"/>
          </w:footnotePr>
          <w:pgSz w:w="11906" w:h="16838" w:code="9"/>
          <w:pgMar w:top="720" w:right="720" w:bottom="720" w:left="720" w:header="454" w:footer="851" w:gutter="0"/>
          <w:cols w:num="2" w:space="720"/>
          <w:titlePg/>
          <w:docGrid w:linePitch="360"/>
        </w:sectPr>
      </w:pPr>
    </w:p>
    <w:p w14:paraId="0BF728E8" w14:textId="77777777" w:rsidR="00931202" w:rsidRDefault="00931202" w:rsidP="00024E9B">
      <w:pPr>
        <w:pStyle w:val="Heading2"/>
        <w:spacing w:before="0" w:after="120"/>
      </w:pPr>
    </w:p>
    <w:p w14:paraId="17CC8034" w14:textId="11A898B6" w:rsidR="00591B22" w:rsidRPr="003F4AB7" w:rsidRDefault="008F60EF" w:rsidP="00024E9B">
      <w:pPr>
        <w:pStyle w:val="Heading2"/>
        <w:spacing w:before="0" w:after="120"/>
      </w:pPr>
      <w:r w:rsidRPr="003F4AB7">
        <w:t>S</w:t>
      </w:r>
      <w:r w:rsidR="00591B22" w:rsidRPr="003F4AB7">
        <w:t>tates and territories</w:t>
      </w:r>
    </w:p>
    <w:p w14:paraId="3194AD9B" w14:textId="1F214BCB" w:rsidR="00FF05C4" w:rsidRPr="003F4AB7" w:rsidRDefault="00152A24" w:rsidP="00FF05C4">
      <w:r>
        <w:t>At a state and territory level, r</w:t>
      </w:r>
      <w:r w:rsidR="005D1384" w:rsidRPr="003F4AB7">
        <w:t>esults for o</w:t>
      </w:r>
      <w:r w:rsidR="00FF05C4" w:rsidRPr="003F4AB7">
        <w:t xml:space="preserve">vernight </w:t>
      </w:r>
      <w:r w:rsidR="00A318F6" w:rsidRPr="003F4AB7">
        <w:t>trips and spend</w:t>
      </w:r>
      <w:r w:rsidR="00FF05C4" w:rsidRPr="003F4AB7">
        <w:t xml:space="preserve"> in the </w:t>
      </w:r>
      <w:r w:rsidR="00FD2920" w:rsidRPr="003F4AB7">
        <w:t>March</w:t>
      </w:r>
      <w:r w:rsidR="00FF05C4" w:rsidRPr="003F4AB7">
        <w:t xml:space="preserve"> </w:t>
      </w:r>
      <w:r w:rsidR="005D1384" w:rsidRPr="003F4AB7">
        <w:t>quarter</w:t>
      </w:r>
      <w:r w:rsidR="00FD2920" w:rsidRPr="003F4AB7">
        <w:t xml:space="preserve"> 2024</w:t>
      </w:r>
      <w:r w:rsidR="005D1384" w:rsidRPr="003F4AB7">
        <w:t xml:space="preserve"> were mixed when compared </w:t>
      </w:r>
      <w:r w:rsidR="00D65AF6" w:rsidRPr="003F4AB7">
        <w:t>with</w:t>
      </w:r>
      <w:r w:rsidR="00BA3D77" w:rsidRPr="003F4AB7">
        <w:t xml:space="preserve"> the</w:t>
      </w:r>
      <w:r w:rsidR="005D1384" w:rsidRPr="003F4AB7">
        <w:t xml:space="preserve"> </w:t>
      </w:r>
      <w:r w:rsidR="00FD2920" w:rsidRPr="003F4AB7">
        <w:t>March</w:t>
      </w:r>
      <w:r w:rsidR="005D1384" w:rsidRPr="003F4AB7">
        <w:t xml:space="preserve"> quarter 202</w:t>
      </w:r>
      <w:r w:rsidR="00FD2920" w:rsidRPr="003F4AB7">
        <w:t>3</w:t>
      </w:r>
      <w:r w:rsidR="00FF05C4" w:rsidRPr="003F4AB7">
        <w:t xml:space="preserve"> (Figure </w:t>
      </w:r>
      <w:r w:rsidR="00AA7FEF" w:rsidRPr="003F4AB7">
        <w:t>5</w:t>
      </w:r>
      <w:r w:rsidR="00FF05C4" w:rsidRPr="003F4AB7">
        <w:t>).</w:t>
      </w:r>
      <w:r w:rsidR="00A318F6" w:rsidRPr="003F4AB7">
        <w:t xml:space="preserve"> </w:t>
      </w:r>
    </w:p>
    <w:p w14:paraId="1A33855F" w14:textId="12BFA501" w:rsidR="00FD2920" w:rsidRPr="003F4AB7" w:rsidRDefault="00FD2920" w:rsidP="00FF05C4">
      <w:r w:rsidRPr="003F4AB7">
        <w:t>Increases in spend in New South Wales (up $259 million or 3%), the Northern Territory (up $229 million or 114%) and South Australia (up $181 million or 11%) were offset by decreases in the other states and territories. Queensland was down $300 million or 4%, Victoria was down $112 million or 2%, the Australian Capital Territory</w:t>
      </w:r>
      <w:r w:rsidR="00BA3D77" w:rsidRPr="003F4AB7">
        <w:t xml:space="preserve"> was</w:t>
      </w:r>
      <w:r w:rsidRPr="003F4AB7">
        <w:t xml:space="preserve"> down $100 million or 19%</w:t>
      </w:r>
      <w:r w:rsidR="005C527C" w:rsidRPr="003F4AB7">
        <w:t>,</w:t>
      </w:r>
      <w:r w:rsidRPr="003F4AB7">
        <w:t xml:space="preserve"> Western Australia was down $84 million or 3% and Tasmania </w:t>
      </w:r>
      <w:r w:rsidR="00BA3D77" w:rsidRPr="003F4AB7">
        <w:t xml:space="preserve">was </w:t>
      </w:r>
      <w:r w:rsidRPr="003F4AB7">
        <w:t>down $28 million or 2%.</w:t>
      </w:r>
    </w:p>
    <w:p w14:paraId="4ADA92EB" w14:textId="0F957587" w:rsidR="00FD2920" w:rsidRPr="003F4AB7" w:rsidRDefault="00FD2920" w:rsidP="00FF05C4">
      <w:r w:rsidRPr="003F4AB7">
        <w:t>Similarly</w:t>
      </w:r>
      <w:r w:rsidR="00152A24">
        <w:t>,</w:t>
      </w:r>
      <w:r w:rsidRPr="003F4AB7">
        <w:t xml:space="preserve"> increases in overnight trips in New South Wales</w:t>
      </w:r>
      <w:r w:rsidR="00140FD0" w:rsidRPr="003F4AB7">
        <w:t xml:space="preserve"> (up 519,000 or 6%)</w:t>
      </w:r>
      <w:r w:rsidRPr="003F4AB7">
        <w:t>, Victoria</w:t>
      </w:r>
      <w:r w:rsidR="00140FD0" w:rsidRPr="003F4AB7">
        <w:t xml:space="preserve"> (up 141,000 or 2%)</w:t>
      </w:r>
      <w:r w:rsidRPr="003F4AB7">
        <w:t xml:space="preserve">, </w:t>
      </w:r>
      <w:r w:rsidR="00140FD0" w:rsidRPr="003F4AB7">
        <w:t xml:space="preserve">Tasmania (up 118,000 or 14%), </w:t>
      </w:r>
      <w:r w:rsidRPr="003F4AB7">
        <w:t>So</w:t>
      </w:r>
      <w:r w:rsidR="00140FD0" w:rsidRPr="003F4AB7">
        <w:t>uth</w:t>
      </w:r>
      <w:r w:rsidRPr="003F4AB7">
        <w:t xml:space="preserve"> Australia</w:t>
      </w:r>
      <w:r w:rsidR="00140FD0" w:rsidRPr="003F4AB7">
        <w:t xml:space="preserve"> (up 63,000 or 3%)</w:t>
      </w:r>
      <w:r w:rsidRPr="003F4AB7">
        <w:t xml:space="preserve"> </w:t>
      </w:r>
      <w:r w:rsidR="00140FD0" w:rsidRPr="003F4AB7">
        <w:t>and the Northern Territory (up 38,000 or 19%) were offset by decreases in overnight trips to the Australian Capital Territory (down 193,000 or 27%), Western Australia (down 124,000 or 4%) and Queensland (down 120,000 or 2%).</w:t>
      </w:r>
      <w:r w:rsidRPr="003F4AB7">
        <w:t xml:space="preserve"> </w:t>
      </w:r>
    </w:p>
    <w:p w14:paraId="385D21AC" w14:textId="6CFEEC7E" w:rsidR="00472341" w:rsidRPr="003F4AB7" w:rsidRDefault="00591B22" w:rsidP="00024E9B">
      <w:pPr>
        <w:rPr>
          <w:noProof/>
        </w:rPr>
      </w:pPr>
      <w:r w:rsidRPr="003F4AB7">
        <w:rPr>
          <w:b/>
          <w:bCs/>
        </w:rPr>
        <w:t xml:space="preserve">Figure </w:t>
      </w:r>
      <w:r w:rsidR="00AA7FEF" w:rsidRPr="003F4AB7">
        <w:rPr>
          <w:b/>
          <w:bCs/>
        </w:rPr>
        <w:t>5</w:t>
      </w:r>
      <w:r w:rsidRPr="003F4AB7">
        <w:rPr>
          <w:b/>
          <w:bCs/>
        </w:rPr>
        <w:t xml:space="preserve">. Overnight trips and spend by </w:t>
      </w:r>
      <w:r w:rsidR="00B62147" w:rsidRPr="003F4AB7">
        <w:rPr>
          <w:b/>
          <w:bCs/>
        </w:rPr>
        <w:t>s</w:t>
      </w:r>
      <w:r w:rsidRPr="003F4AB7">
        <w:rPr>
          <w:b/>
          <w:bCs/>
        </w:rPr>
        <w:t>tate</w:t>
      </w:r>
      <w:r w:rsidR="00B62147" w:rsidRPr="003F4AB7">
        <w:rPr>
          <w:b/>
          <w:bCs/>
        </w:rPr>
        <w:t xml:space="preserve"> and territory</w:t>
      </w:r>
      <w:r w:rsidRPr="003F4AB7">
        <w:rPr>
          <w:b/>
          <w:bCs/>
        </w:rPr>
        <w:t>,</w:t>
      </w:r>
      <w:r w:rsidR="004D7FA1" w:rsidRPr="003F4AB7">
        <w:rPr>
          <w:b/>
          <w:bCs/>
        </w:rPr>
        <w:t xml:space="preserve"> </w:t>
      </w:r>
      <w:r w:rsidR="009F3F52" w:rsidRPr="003F4AB7">
        <w:rPr>
          <w:b/>
          <w:bCs/>
        </w:rPr>
        <w:t>March</w:t>
      </w:r>
      <w:r w:rsidR="0013397D" w:rsidRPr="003F4AB7">
        <w:rPr>
          <w:b/>
          <w:bCs/>
        </w:rPr>
        <w:t xml:space="preserve"> </w:t>
      </w:r>
      <w:r w:rsidR="004D7FA1" w:rsidRPr="003F4AB7">
        <w:rPr>
          <w:b/>
          <w:bCs/>
        </w:rPr>
        <w:t xml:space="preserve">quarter </w:t>
      </w:r>
      <w:r w:rsidR="00830B68" w:rsidRPr="003F4AB7">
        <w:rPr>
          <w:b/>
          <w:bCs/>
        </w:rPr>
        <w:t>202</w:t>
      </w:r>
      <w:r w:rsidR="009F3F52" w:rsidRPr="003F4AB7">
        <w:rPr>
          <w:b/>
          <w:bCs/>
        </w:rPr>
        <w:t>4</w:t>
      </w:r>
      <w:r w:rsidR="00830B68" w:rsidRPr="003F4AB7">
        <w:rPr>
          <w:b/>
          <w:bCs/>
        </w:rPr>
        <w:t xml:space="preserve"> compared to </w:t>
      </w:r>
      <w:r w:rsidR="009F3F52" w:rsidRPr="003F4AB7">
        <w:rPr>
          <w:b/>
          <w:bCs/>
        </w:rPr>
        <w:t>March</w:t>
      </w:r>
      <w:r w:rsidR="004D7FA1" w:rsidRPr="003F4AB7">
        <w:rPr>
          <w:b/>
          <w:bCs/>
        </w:rPr>
        <w:t xml:space="preserve"> quarter</w:t>
      </w:r>
      <w:r w:rsidR="00744CB7" w:rsidRPr="003F4AB7">
        <w:rPr>
          <w:b/>
          <w:bCs/>
        </w:rPr>
        <w:t xml:space="preserve"> </w:t>
      </w:r>
      <w:proofErr w:type="gramStart"/>
      <w:r w:rsidR="00830B68" w:rsidRPr="003F4AB7">
        <w:rPr>
          <w:b/>
          <w:bCs/>
        </w:rPr>
        <w:t>20</w:t>
      </w:r>
      <w:r w:rsidR="00510418" w:rsidRPr="003F4AB7">
        <w:rPr>
          <w:b/>
          <w:bCs/>
        </w:rPr>
        <w:t>2</w:t>
      </w:r>
      <w:r w:rsidR="009F3F52" w:rsidRPr="003F4AB7">
        <w:rPr>
          <w:b/>
          <w:bCs/>
        </w:rPr>
        <w:t>3</w:t>
      </w:r>
      <w:proofErr w:type="gramEnd"/>
    </w:p>
    <w:p w14:paraId="3E6D8C8C" w14:textId="5103C114" w:rsidR="00E23294" w:rsidRPr="003F4AB7" w:rsidRDefault="009B5004" w:rsidP="00472341">
      <w:pPr>
        <w:rPr>
          <w:b/>
          <w:bCs/>
          <w:color w:val="1E988A" w:themeColor="background2"/>
          <w:sz w:val="26"/>
          <w:szCs w:val="26"/>
        </w:rPr>
      </w:pPr>
      <w:r w:rsidRPr="003F4AB7">
        <w:rPr>
          <w:noProof/>
        </w:rPr>
        <w:t xml:space="preserve"> </w:t>
      </w:r>
      <w:r w:rsidR="009F3F52" w:rsidRPr="003F4AB7">
        <w:rPr>
          <w:noProof/>
        </w:rPr>
        <w:drawing>
          <wp:inline distT="0" distB="0" distL="0" distR="0" wp14:anchorId="18130F49" wp14:editId="005A817B">
            <wp:extent cx="5772150" cy="3644876"/>
            <wp:effectExtent l="0" t="0" r="0" b="0"/>
            <wp:docPr id="108738962" name="Picture 1" descr="Figure 5 depicts an image of Australia that illustrates the number of trips and spend in each state or territory for the March quarter 2024. The per cent change on the March quarter 2023 is also shown.&#10;• New South Wales – 9.7 million trips and $8.2 billion spend, up 6% and up 3% respectively&#10;• Victoria – 7.9 million trips and $6.1 billion spend, up 2% and down 2% respectively&#10;• Queensland – 5.7 million trips and $6.5 billion spend, down 2% and 4% respectively&#10;• South Australia – 2.0 million trips and $1.9 billion spend, up 3% and 11% respectively&#10;• Western Australia – 2.7 million trips and $2.7 billion spend, down 4% and 3% respectively&#10;• Tasmania – 0.9 million trips and $1.1 billion spend, up 14% and down 2% respectively&#10;• Northern Territory – 0.2 million trips and $0.4 billion spend, up 19% and 114% respectively&#10;• ACT – 0.5 million trips and $0.4 billion spend, down 27% and 19%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8962" name="Picture 1" descr="Figure 5 depicts an image of Australia that illustrates the number of trips and spend in each state or territory for the March quarter 2024. The per cent change on the March quarter 2023 is also shown.&#10;• New South Wales – 9.7 million trips and $8.2 billion spend, up 6% and up 3% respectively&#10;• Victoria – 7.9 million trips and $6.1 billion spend, up 2% and down 2% respectively&#10;• Queensland – 5.7 million trips and $6.5 billion spend, down 2% and 4% respectively&#10;• South Australia – 2.0 million trips and $1.9 billion spend, up 3% and 11% respectively&#10;• Western Australia – 2.7 million trips and $2.7 billion spend, down 4% and 3% respectively&#10;• Tasmania – 0.9 million trips and $1.1 billion spend, up 14% and down 2% respectively&#10;• Northern Territory – 0.2 million trips and $0.4 billion spend, up 19% and 114% respectively&#10;• ACT – 0.5 million trips and $0.4 billion spend, down 27% and 19% respectively."/>
                    <pic:cNvPicPr/>
                  </pic:nvPicPr>
                  <pic:blipFill>
                    <a:blip r:embed="rId28"/>
                    <a:stretch>
                      <a:fillRect/>
                    </a:stretch>
                  </pic:blipFill>
                  <pic:spPr>
                    <a:xfrm>
                      <a:off x="0" y="0"/>
                      <a:ext cx="5793647" cy="3658450"/>
                    </a:xfrm>
                    <a:prstGeom prst="rect">
                      <a:avLst/>
                    </a:prstGeom>
                  </pic:spPr>
                </pic:pic>
              </a:graphicData>
            </a:graphic>
          </wp:inline>
        </w:drawing>
      </w:r>
    </w:p>
    <w:p w14:paraId="16F38144" w14:textId="3AF65677" w:rsidR="00C77A5D" w:rsidRPr="003F4AB7" w:rsidRDefault="00CD0319" w:rsidP="00472341">
      <w:pPr>
        <w:rPr>
          <w:b/>
          <w:bCs/>
        </w:rPr>
      </w:pPr>
      <w:r w:rsidRPr="003F4AB7">
        <w:rPr>
          <w:b/>
          <w:bCs/>
          <w:color w:val="1E988A" w:themeColor="background2"/>
          <w:sz w:val="26"/>
          <w:szCs w:val="26"/>
        </w:rPr>
        <w:t>Daytrips</w:t>
      </w:r>
    </w:p>
    <w:p w14:paraId="16B2DC15" w14:textId="267C9310" w:rsidR="00C77A5D" w:rsidRPr="003F4AB7" w:rsidRDefault="00C77A5D" w:rsidP="00C77A5D">
      <w:r w:rsidRPr="003F4AB7">
        <w:t xml:space="preserve">In the year ending </w:t>
      </w:r>
      <w:r w:rsidR="009124A8" w:rsidRPr="003F4AB7">
        <w:t>March</w:t>
      </w:r>
      <w:r w:rsidRPr="003F4AB7">
        <w:t xml:space="preserve"> 202</w:t>
      </w:r>
      <w:r w:rsidR="009124A8" w:rsidRPr="003F4AB7">
        <w:t>4</w:t>
      </w:r>
      <w:r w:rsidRPr="003F4AB7">
        <w:t xml:space="preserve">, Australians took </w:t>
      </w:r>
      <w:r w:rsidR="00CD0319" w:rsidRPr="003F4AB7">
        <w:t>209.3</w:t>
      </w:r>
      <w:r w:rsidRPr="003F4AB7">
        <w:t xml:space="preserve"> million </w:t>
      </w:r>
      <w:r w:rsidR="00CD0319" w:rsidRPr="003F4AB7">
        <w:t>day</w:t>
      </w:r>
      <w:r w:rsidRPr="003F4AB7">
        <w:t>trips</w:t>
      </w:r>
      <w:r w:rsidR="00786121" w:rsidRPr="003F4AB7">
        <w:t xml:space="preserve"> </w:t>
      </w:r>
      <w:r w:rsidRPr="003F4AB7">
        <w:t xml:space="preserve">and </w:t>
      </w:r>
      <w:r w:rsidR="00786121" w:rsidRPr="003F4AB7">
        <w:t xml:space="preserve">spent </w:t>
      </w:r>
      <w:r w:rsidRPr="003F4AB7">
        <w:t>$</w:t>
      </w:r>
      <w:r w:rsidR="00CD0319" w:rsidRPr="003F4AB7">
        <w:t>33.1</w:t>
      </w:r>
      <w:r w:rsidRPr="003F4AB7">
        <w:t xml:space="preserve"> billion. Compared </w:t>
      </w:r>
      <w:r w:rsidR="00D65AF6" w:rsidRPr="003F4AB7">
        <w:t>with</w:t>
      </w:r>
      <w:r w:rsidRPr="003F4AB7">
        <w:t xml:space="preserve"> the year ending </w:t>
      </w:r>
      <w:r w:rsidR="009124A8" w:rsidRPr="003F4AB7">
        <w:t>March</w:t>
      </w:r>
      <w:r w:rsidRPr="003F4AB7">
        <w:t xml:space="preserve"> 202</w:t>
      </w:r>
      <w:r w:rsidR="00CD0319" w:rsidRPr="003F4AB7">
        <w:t>3</w:t>
      </w:r>
      <w:r w:rsidR="00E23294" w:rsidRPr="003F4AB7">
        <w:t xml:space="preserve"> </w:t>
      </w:r>
      <w:r w:rsidRPr="003F4AB7">
        <w:t>this was:</w:t>
      </w:r>
    </w:p>
    <w:p w14:paraId="66B1C4F4" w14:textId="2E81193B" w:rsidR="00C77A5D" w:rsidRPr="003F4AB7" w:rsidRDefault="00CD0319" w:rsidP="00C77A5D">
      <w:pPr>
        <w:pStyle w:val="ListParagraph"/>
        <w:numPr>
          <w:ilvl w:val="0"/>
          <w:numId w:val="6"/>
        </w:numPr>
        <w:rPr>
          <w:rFonts w:asciiTheme="majorHAnsi" w:hAnsiTheme="majorHAnsi"/>
        </w:rPr>
      </w:pPr>
      <w:r w:rsidRPr="003F4AB7">
        <w:rPr>
          <w:rFonts w:asciiTheme="majorHAnsi" w:hAnsiTheme="majorHAnsi"/>
        </w:rPr>
        <w:t>down</w:t>
      </w:r>
      <w:r w:rsidR="00C77A5D" w:rsidRPr="003F4AB7">
        <w:rPr>
          <w:rFonts w:asciiTheme="majorHAnsi" w:hAnsiTheme="majorHAnsi"/>
        </w:rPr>
        <w:t xml:space="preserve"> </w:t>
      </w:r>
      <w:r w:rsidRPr="003F4AB7">
        <w:rPr>
          <w:rFonts w:asciiTheme="majorHAnsi" w:hAnsiTheme="majorHAnsi"/>
        </w:rPr>
        <w:t>6.5</w:t>
      </w:r>
      <w:r w:rsidR="00C77A5D" w:rsidRPr="003F4AB7">
        <w:rPr>
          <w:rFonts w:asciiTheme="majorHAnsi" w:hAnsiTheme="majorHAnsi"/>
        </w:rPr>
        <w:t xml:space="preserve"> million or </w:t>
      </w:r>
      <w:r w:rsidRPr="003F4AB7">
        <w:rPr>
          <w:rFonts w:asciiTheme="majorHAnsi" w:hAnsiTheme="majorHAnsi"/>
        </w:rPr>
        <w:t>3</w:t>
      </w:r>
      <w:r w:rsidR="00C77A5D" w:rsidRPr="003F4AB7">
        <w:rPr>
          <w:rFonts w:asciiTheme="majorHAnsi" w:hAnsiTheme="majorHAnsi"/>
        </w:rPr>
        <w:t xml:space="preserve">% for trips </w:t>
      </w:r>
    </w:p>
    <w:p w14:paraId="6C4B8CB8" w14:textId="6BBD0304" w:rsidR="00C77A5D" w:rsidRPr="003F4AB7" w:rsidRDefault="00C77A5D" w:rsidP="00C77A5D">
      <w:pPr>
        <w:pStyle w:val="ListParagraph"/>
        <w:numPr>
          <w:ilvl w:val="0"/>
          <w:numId w:val="6"/>
        </w:numPr>
        <w:rPr>
          <w:rFonts w:asciiTheme="majorHAnsi" w:hAnsiTheme="majorHAnsi"/>
        </w:rPr>
      </w:pPr>
      <w:r w:rsidRPr="003F4AB7">
        <w:rPr>
          <w:rFonts w:asciiTheme="majorHAnsi" w:hAnsiTheme="majorHAnsi"/>
        </w:rPr>
        <w:t>up $</w:t>
      </w:r>
      <w:r w:rsidR="009124A8" w:rsidRPr="003F4AB7">
        <w:rPr>
          <w:rFonts w:asciiTheme="majorHAnsi" w:hAnsiTheme="majorHAnsi"/>
        </w:rPr>
        <w:t>1.</w:t>
      </w:r>
      <w:r w:rsidR="00CD0319" w:rsidRPr="003F4AB7">
        <w:rPr>
          <w:rFonts w:asciiTheme="majorHAnsi" w:hAnsiTheme="majorHAnsi"/>
        </w:rPr>
        <w:t>4</w:t>
      </w:r>
      <w:r w:rsidRPr="003F4AB7">
        <w:rPr>
          <w:rFonts w:asciiTheme="majorHAnsi" w:hAnsiTheme="majorHAnsi"/>
        </w:rPr>
        <w:t xml:space="preserve"> billion or </w:t>
      </w:r>
      <w:r w:rsidR="00CD0319" w:rsidRPr="003F4AB7">
        <w:rPr>
          <w:rFonts w:asciiTheme="majorHAnsi" w:hAnsiTheme="majorHAnsi"/>
        </w:rPr>
        <w:t>4</w:t>
      </w:r>
      <w:r w:rsidRPr="003F4AB7">
        <w:rPr>
          <w:rFonts w:asciiTheme="majorHAnsi" w:hAnsiTheme="majorHAnsi"/>
        </w:rPr>
        <w:t>% for spend.</w:t>
      </w:r>
    </w:p>
    <w:p w14:paraId="2C0E815E" w14:textId="77777777" w:rsidR="002A1D54" w:rsidRDefault="002A1D54" w:rsidP="002A1D54">
      <w:pPr>
        <w:pStyle w:val="ListParagraph"/>
        <w:rPr>
          <w:rFonts w:asciiTheme="majorHAnsi" w:hAnsiTheme="majorHAnsi"/>
        </w:rPr>
      </w:pPr>
    </w:p>
    <w:p w14:paraId="282AD6C9" w14:textId="77777777" w:rsidR="00EB6438" w:rsidRDefault="00EB6438" w:rsidP="002A1D54">
      <w:pPr>
        <w:pStyle w:val="ListParagraph"/>
        <w:rPr>
          <w:rFonts w:asciiTheme="majorHAnsi" w:hAnsiTheme="majorHAnsi"/>
        </w:rPr>
      </w:pPr>
    </w:p>
    <w:p w14:paraId="2E456714" w14:textId="77777777" w:rsidR="00EB6438" w:rsidRDefault="00EB6438" w:rsidP="002A1D54">
      <w:pPr>
        <w:pStyle w:val="ListParagraph"/>
        <w:rPr>
          <w:rFonts w:asciiTheme="majorHAnsi" w:hAnsiTheme="majorHAnsi"/>
        </w:rPr>
      </w:pPr>
    </w:p>
    <w:p w14:paraId="1E15DA4E" w14:textId="77777777" w:rsidR="00EB6438" w:rsidRPr="003F4AB7" w:rsidRDefault="00EB6438" w:rsidP="002A1D54">
      <w:pPr>
        <w:pStyle w:val="ListParagraph"/>
        <w:rPr>
          <w:rFonts w:asciiTheme="majorHAnsi" w:hAnsiTheme="majorHAnsi"/>
        </w:rPr>
      </w:pPr>
    </w:p>
    <w:p w14:paraId="76899C61" w14:textId="77777777" w:rsidR="007F0E66" w:rsidRPr="003F4AB7" w:rsidRDefault="007F0E66" w:rsidP="002A1D54">
      <w:pPr>
        <w:rPr>
          <w:rFonts w:asciiTheme="majorHAnsi" w:hAnsiTheme="majorHAnsi"/>
        </w:rPr>
      </w:pPr>
    </w:p>
    <w:p w14:paraId="46B7CBB6" w14:textId="58712E8D" w:rsidR="00475122" w:rsidRPr="009D3C84" w:rsidRDefault="00D82214" w:rsidP="008617F3">
      <w:pPr>
        <w:pStyle w:val="Caption"/>
        <w:rPr>
          <w:sz w:val="12"/>
          <w:szCs w:val="12"/>
        </w:rPr>
      </w:pPr>
      <w:r w:rsidRPr="003F4AB7">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32A16" w14:textId="77777777" w:rsidR="00B25CA3" w:rsidRDefault="00B25CA3" w:rsidP="00D52B20">
      <w:pPr>
        <w:spacing w:after="0" w:line="240" w:lineRule="auto"/>
      </w:pPr>
      <w:r>
        <w:separator/>
      </w:r>
    </w:p>
  </w:endnote>
  <w:endnote w:type="continuationSeparator" w:id="0">
    <w:p w14:paraId="0BA7315E" w14:textId="77777777" w:rsidR="00B25CA3" w:rsidRDefault="00B25CA3"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4850FBD0" w:rsidR="006B3279" w:rsidRPr="006B3279" w:rsidRDefault="00BC216F" w:rsidP="006B3279">
    <w:pPr>
      <w:pStyle w:val="Footer"/>
    </w:pPr>
    <w:r>
      <w:t xml:space="preserve">NATIONAL VISITOR SURVEY RESULTS – </w:t>
    </w:r>
    <w:r w:rsidR="009124A8">
      <w:t>March</w:t>
    </w:r>
    <w:r w:rsidR="00C9295A">
      <w:t xml:space="preserve"> </w:t>
    </w:r>
    <w:r>
      <w:t>Quarter 202</w:t>
    </w:r>
    <w:r w:rsidR="009124A8">
      <w:t>4</w:t>
    </w:r>
    <w:r>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50721039" w:rsidR="00B7523B" w:rsidRPr="00B7523B" w:rsidRDefault="00BC216F" w:rsidP="00B7523B">
    <w:pPr>
      <w:pStyle w:val="Footer"/>
    </w:pPr>
    <w:r>
      <w:t>NATIONAL VISITOR SURVEY RESULTS</w:t>
    </w:r>
    <w:r w:rsidR="00750D77">
      <w:t xml:space="preserve"> – </w:t>
    </w:r>
    <w:r w:rsidR="006E2874">
      <w:t>March</w:t>
    </w:r>
    <w:r w:rsidR="0026226E">
      <w:t xml:space="preserve"> </w:t>
    </w:r>
    <w:r>
      <w:t>Quarter 202</w:t>
    </w:r>
    <w:r w:rsidR="006E2874">
      <w:t>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48C5F" w14:textId="77777777" w:rsidR="00B25CA3" w:rsidRDefault="00B25CA3" w:rsidP="00D52B20">
      <w:pPr>
        <w:spacing w:after="0" w:line="240" w:lineRule="auto"/>
      </w:pPr>
    </w:p>
  </w:footnote>
  <w:footnote w:type="continuationSeparator" w:id="0">
    <w:p w14:paraId="5028F3DB" w14:textId="77777777" w:rsidR="00B25CA3" w:rsidRDefault="00B25CA3"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5009C840">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9C1"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1CC9" w14:textId="765408F2" w:rsidR="002F6F94" w:rsidRDefault="002F6F94">
    <w:pPr>
      <w:pStyle w:val="Header"/>
    </w:pPr>
    <w:r>
      <w:rPr>
        <w:noProof/>
        <w:lang w:eastAsia="en-AU"/>
      </w:rPr>
      <mc:AlternateContent>
        <mc:Choice Requires="wps">
          <w:drawing>
            <wp:anchor distT="0" distB="0" distL="114300" distR="114300" simplePos="0" relativeHeight="251661312" behindDoc="1" locked="1" layoutInCell="1" allowOverlap="1" wp14:anchorId="10E81AF6" wp14:editId="498FF8E2">
              <wp:simplePos x="0" y="0"/>
              <wp:positionH relativeFrom="margin">
                <wp:align>center</wp:align>
              </wp:positionH>
              <wp:positionV relativeFrom="topMargin">
                <wp:align>bottom</wp:align>
              </wp:positionV>
              <wp:extent cx="6983730" cy="215900"/>
              <wp:effectExtent l="0" t="0" r="7620" b="0"/>
              <wp:wrapNone/>
              <wp:docPr id="1259136355" name="Rectangle 1259136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3730" cy="2159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088" id="Rectangle 1259136355" o:spid="_x0000_s1026" alt="&quot;&quot;" style="position:absolute;margin-left:0;margin-top:0;width:549.9pt;height:17pt;z-index:-251655168;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" fillcolor="#2e1a47" stroked="f" strokeweight="2pt">
              <w10:wrap anchorx="margin" anchory="margin"/>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D5D225E"/>
    <w:multiLevelType w:val="hybridMultilevel"/>
    <w:tmpl w:val="4CA25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9"/>
  </w:num>
  <w:num w:numId="3" w16cid:durableId="1999142564">
    <w:abstractNumId w:val="10"/>
  </w:num>
  <w:num w:numId="4" w16cid:durableId="1367485285">
    <w:abstractNumId w:val="2"/>
  </w:num>
  <w:num w:numId="5" w16cid:durableId="2001351968">
    <w:abstractNumId w:val="7"/>
  </w:num>
  <w:num w:numId="6" w16cid:durableId="1552571387">
    <w:abstractNumId w:val="15"/>
  </w:num>
  <w:num w:numId="7" w16cid:durableId="909195284">
    <w:abstractNumId w:val="4"/>
  </w:num>
  <w:num w:numId="8" w16cid:durableId="1125805596">
    <w:abstractNumId w:val="16"/>
  </w:num>
  <w:num w:numId="9" w16cid:durableId="816070247">
    <w:abstractNumId w:val="8"/>
  </w:num>
  <w:num w:numId="10" w16cid:durableId="1299341782">
    <w:abstractNumId w:val="5"/>
  </w:num>
  <w:num w:numId="11" w16cid:durableId="2065445768">
    <w:abstractNumId w:val="3"/>
  </w:num>
  <w:num w:numId="12" w16cid:durableId="1955280963">
    <w:abstractNumId w:val="13"/>
  </w:num>
  <w:num w:numId="13" w16cid:durableId="905339841">
    <w:abstractNumId w:val="12"/>
  </w:num>
  <w:num w:numId="14" w16cid:durableId="1875118829">
    <w:abstractNumId w:val="17"/>
  </w:num>
  <w:num w:numId="15" w16cid:durableId="1846818441">
    <w:abstractNumId w:val="14"/>
  </w:num>
  <w:num w:numId="16" w16cid:durableId="317267362">
    <w:abstractNumId w:val="1"/>
  </w:num>
  <w:num w:numId="17" w16cid:durableId="157115764">
    <w:abstractNumId w:val="18"/>
  </w:num>
  <w:num w:numId="18" w16cid:durableId="144710975">
    <w:abstractNumId w:val="6"/>
  </w:num>
  <w:num w:numId="19" w16cid:durableId="6246261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4AE8"/>
    <w:rsid w:val="00015FCE"/>
    <w:rsid w:val="000170DA"/>
    <w:rsid w:val="00017AC1"/>
    <w:rsid w:val="000223BC"/>
    <w:rsid w:val="0002399C"/>
    <w:rsid w:val="00024E9B"/>
    <w:rsid w:val="000258DE"/>
    <w:rsid w:val="00027E60"/>
    <w:rsid w:val="00034766"/>
    <w:rsid w:val="00034EC8"/>
    <w:rsid w:val="00036AEB"/>
    <w:rsid w:val="00036C75"/>
    <w:rsid w:val="00037106"/>
    <w:rsid w:val="00037937"/>
    <w:rsid w:val="00043F81"/>
    <w:rsid w:val="0005089E"/>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66D6"/>
    <w:rsid w:val="00077249"/>
    <w:rsid w:val="0008002F"/>
    <w:rsid w:val="00080913"/>
    <w:rsid w:val="00080E22"/>
    <w:rsid w:val="00082067"/>
    <w:rsid w:val="00082CED"/>
    <w:rsid w:val="000833BF"/>
    <w:rsid w:val="00084C0E"/>
    <w:rsid w:val="00085998"/>
    <w:rsid w:val="00086C3F"/>
    <w:rsid w:val="0009117F"/>
    <w:rsid w:val="00093C32"/>
    <w:rsid w:val="00094D05"/>
    <w:rsid w:val="00095EE6"/>
    <w:rsid w:val="00096A24"/>
    <w:rsid w:val="00096DE3"/>
    <w:rsid w:val="00096ED6"/>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D"/>
    <w:rsid w:val="000D073E"/>
    <w:rsid w:val="000D11A5"/>
    <w:rsid w:val="000D11ED"/>
    <w:rsid w:val="000D1742"/>
    <w:rsid w:val="000D291A"/>
    <w:rsid w:val="000D33B5"/>
    <w:rsid w:val="000D3784"/>
    <w:rsid w:val="000D4D84"/>
    <w:rsid w:val="000D69EC"/>
    <w:rsid w:val="000D7E16"/>
    <w:rsid w:val="000E0871"/>
    <w:rsid w:val="000E0A47"/>
    <w:rsid w:val="000E4493"/>
    <w:rsid w:val="000E4A16"/>
    <w:rsid w:val="000E4DD3"/>
    <w:rsid w:val="000E7BA2"/>
    <w:rsid w:val="000F1139"/>
    <w:rsid w:val="000F1352"/>
    <w:rsid w:val="000F1DE0"/>
    <w:rsid w:val="000F3126"/>
    <w:rsid w:val="000F3AF5"/>
    <w:rsid w:val="000F3F9A"/>
    <w:rsid w:val="000F4805"/>
    <w:rsid w:val="000F4ACE"/>
    <w:rsid w:val="000F4F93"/>
    <w:rsid w:val="000F51FC"/>
    <w:rsid w:val="000F5777"/>
    <w:rsid w:val="00100343"/>
    <w:rsid w:val="00101D42"/>
    <w:rsid w:val="00101FE5"/>
    <w:rsid w:val="00102761"/>
    <w:rsid w:val="00103198"/>
    <w:rsid w:val="0010593E"/>
    <w:rsid w:val="00106927"/>
    <w:rsid w:val="00107337"/>
    <w:rsid w:val="00107DEC"/>
    <w:rsid w:val="00110806"/>
    <w:rsid w:val="00110B6B"/>
    <w:rsid w:val="00111C50"/>
    <w:rsid w:val="00112CDC"/>
    <w:rsid w:val="00113B87"/>
    <w:rsid w:val="0011418F"/>
    <w:rsid w:val="001155C9"/>
    <w:rsid w:val="00116E4E"/>
    <w:rsid w:val="0011785C"/>
    <w:rsid w:val="00121799"/>
    <w:rsid w:val="001221CA"/>
    <w:rsid w:val="001223E4"/>
    <w:rsid w:val="0012274D"/>
    <w:rsid w:val="00123340"/>
    <w:rsid w:val="001235B5"/>
    <w:rsid w:val="00123D56"/>
    <w:rsid w:val="00125C7D"/>
    <w:rsid w:val="00126B19"/>
    <w:rsid w:val="00131618"/>
    <w:rsid w:val="00132683"/>
    <w:rsid w:val="001330B3"/>
    <w:rsid w:val="0013397D"/>
    <w:rsid w:val="001353D9"/>
    <w:rsid w:val="0013590D"/>
    <w:rsid w:val="00135D53"/>
    <w:rsid w:val="001401BD"/>
    <w:rsid w:val="00140D0C"/>
    <w:rsid w:val="00140FD0"/>
    <w:rsid w:val="001412FD"/>
    <w:rsid w:val="00143E5C"/>
    <w:rsid w:val="00144BBC"/>
    <w:rsid w:val="00145C2D"/>
    <w:rsid w:val="00146F4A"/>
    <w:rsid w:val="00147EE9"/>
    <w:rsid w:val="00152795"/>
    <w:rsid w:val="00152A24"/>
    <w:rsid w:val="00153DB1"/>
    <w:rsid w:val="00154B17"/>
    <w:rsid w:val="0015677C"/>
    <w:rsid w:val="00160FDA"/>
    <w:rsid w:val="0016215E"/>
    <w:rsid w:val="0016231B"/>
    <w:rsid w:val="0016423D"/>
    <w:rsid w:val="00165559"/>
    <w:rsid w:val="00165E47"/>
    <w:rsid w:val="00167017"/>
    <w:rsid w:val="00167250"/>
    <w:rsid w:val="00171585"/>
    <w:rsid w:val="00174A50"/>
    <w:rsid w:val="00174B20"/>
    <w:rsid w:val="0017667A"/>
    <w:rsid w:val="00176A44"/>
    <w:rsid w:val="00177AC9"/>
    <w:rsid w:val="001808DA"/>
    <w:rsid w:val="00180FF0"/>
    <w:rsid w:val="0018327C"/>
    <w:rsid w:val="00183DB0"/>
    <w:rsid w:val="001863CA"/>
    <w:rsid w:val="00186F6A"/>
    <w:rsid w:val="00187B2E"/>
    <w:rsid w:val="00187BDA"/>
    <w:rsid w:val="00187E9F"/>
    <w:rsid w:val="00191D95"/>
    <w:rsid w:val="00192280"/>
    <w:rsid w:val="001922A2"/>
    <w:rsid w:val="001924FB"/>
    <w:rsid w:val="00192F22"/>
    <w:rsid w:val="00193271"/>
    <w:rsid w:val="00193392"/>
    <w:rsid w:val="001939D9"/>
    <w:rsid w:val="00194AE7"/>
    <w:rsid w:val="001961E5"/>
    <w:rsid w:val="001A119C"/>
    <w:rsid w:val="001A1F56"/>
    <w:rsid w:val="001A2FE9"/>
    <w:rsid w:val="001A333C"/>
    <w:rsid w:val="001A50D9"/>
    <w:rsid w:val="001A5137"/>
    <w:rsid w:val="001A5B12"/>
    <w:rsid w:val="001A68D4"/>
    <w:rsid w:val="001A6C65"/>
    <w:rsid w:val="001A7D05"/>
    <w:rsid w:val="001B09C9"/>
    <w:rsid w:val="001B3311"/>
    <w:rsid w:val="001B370E"/>
    <w:rsid w:val="001B3AB6"/>
    <w:rsid w:val="001B4078"/>
    <w:rsid w:val="001B42B6"/>
    <w:rsid w:val="001B57C1"/>
    <w:rsid w:val="001B5E50"/>
    <w:rsid w:val="001B6009"/>
    <w:rsid w:val="001B6EB8"/>
    <w:rsid w:val="001B7065"/>
    <w:rsid w:val="001B72B0"/>
    <w:rsid w:val="001C2C56"/>
    <w:rsid w:val="001C43A2"/>
    <w:rsid w:val="001C4FDC"/>
    <w:rsid w:val="001C6520"/>
    <w:rsid w:val="001C6D8F"/>
    <w:rsid w:val="001C7017"/>
    <w:rsid w:val="001C76FF"/>
    <w:rsid w:val="001D0762"/>
    <w:rsid w:val="001D168B"/>
    <w:rsid w:val="001D3CCE"/>
    <w:rsid w:val="001E00A3"/>
    <w:rsid w:val="001E0769"/>
    <w:rsid w:val="001E1037"/>
    <w:rsid w:val="001E1C5B"/>
    <w:rsid w:val="001E25CB"/>
    <w:rsid w:val="001E33B7"/>
    <w:rsid w:val="001E5110"/>
    <w:rsid w:val="001F5A0A"/>
    <w:rsid w:val="001F62B3"/>
    <w:rsid w:val="001F7E1F"/>
    <w:rsid w:val="00200A49"/>
    <w:rsid w:val="002012F6"/>
    <w:rsid w:val="00205330"/>
    <w:rsid w:val="0020657C"/>
    <w:rsid w:val="00206636"/>
    <w:rsid w:val="0020670F"/>
    <w:rsid w:val="0020730A"/>
    <w:rsid w:val="0021123D"/>
    <w:rsid w:val="00213652"/>
    <w:rsid w:val="002159FF"/>
    <w:rsid w:val="00215A80"/>
    <w:rsid w:val="00215D34"/>
    <w:rsid w:val="002160F2"/>
    <w:rsid w:val="00222B84"/>
    <w:rsid w:val="00223B2F"/>
    <w:rsid w:val="00223B43"/>
    <w:rsid w:val="00224059"/>
    <w:rsid w:val="0022438A"/>
    <w:rsid w:val="00224C94"/>
    <w:rsid w:val="002259D6"/>
    <w:rsid w:val="0023098B"/>
    <w:rsid w:val="0023123F"/>
    <w:rsid w:val="002312D1"/>
    <w:rsid w:val="00231354"/>
    <w:rsid w:val="00233572"/>
    <w:rsid w:val="002345AE"/>
    <w:rsid w:val="0023602F"/>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226E"/>
    <w:rsid w:val="002625AA"/>
    <w:rsid w:val="00266E7A"/>
    <w:rsid w:val="00273412"/>
    <w:rsid w:val="00274E7F"/>
    <w:rsid w:val="00275672"/>
    <w:rsid w:val="002771A0"/>
    <w:rsid w:val="00277B6D"/>
    <w:rsid w:val="00280403"/>
    <w:rsid w:val="00280A82"/>
    <w:rsid w:val="00280EB7"/>
    <w:rsid w:val="0028211B"/>
    <w:rsid w:val="00284F90"/>
    <w:rsid w:val="0028550E"/>
    <w:rsid w:val="0028604D"/>
    <w:rsid w:val="002864E8"/>
    <w:rsid w:val="00286595"/>
    <w:rsid w:val="002872E1"/>
    <w:rsid w:val="0028780F"/>
    <w:rsid w:val="00292FAE"/>
    <w:rsid w:val="00293C88"/>
    <w:rsid w:val="00294D4F"/>
    <w:rsid w:val="00294EEA"/>
    <w:rsid w:val="00295B18"/>
    <w:rsid w:val="00297773"/>
    <w:rsid w:val="002A0532"/>
    <w:rsid w:val="002A1B3E"/>
    <w:rsid w:val="002A1D54"/>
    <w:rsid w:val="002A273D"/>
    <w:rsid w:val="002A3A5D"/>
    <w:rsid w:val="002A41CB"/>
    <w:rsid w:val="002A6A70"/>
    <w:rsid w:val="002B049C"/>
    <w:rsid w:val="002B1EA3"/>
    <w:rsid w:val="002B2872"/>
    <w:rsid w:val="002B300C"/>
    <w:rsid w:val="002B4139"/>
    <w:rsid w:val="002B41DB"/>
    <w:rsid w:val="002B5344"/>
    <w:rsid w:val="002B64CF"/>
    <w:rsid w:val="002C0E46"/>
    <w:rsid w:val="002C1647"/>
    <w:rsid w:val="002C360C"/>
    <w:rsid w:val="002C3686"/>
    <w:rsid w:val="002C44EA"/>
    <w:rsid w:val="002C46BB"/>
    <w:rsid w:val="002C612D"/>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296F"/>
    <w:rsid w:val="002F35A2"/>
    <w:rsid w:val="002F4B83"/>
    <w:rsid w:val="002F4E0D"/>
    <w:rsid w:val="002F4EE0"/>
    <w:rsid w:val="002F5987"/>
    <w:rsid w:val="002F6B31"/>
    <w:rsid w:val="002F6F94"/>
    <w:rsid w:val="002F7959"/>
    <w:rsid w:val="002F7AE5"/>
    <w:rsid w:val="003015BF"/>
    <w:rsid w:val="00303764"/>
    <w:rsid w:val="00303D60"/>
    <w:rsid w:val="00305F78"/>
    <w:rsid w:val="0030653B"/>
    <w:rsid w:val="00311FA7"/>
    <w:rsid w:val="00312555"/>
    <w:rsid w:val="00313275"/>
    <w:rsid w:val="00313B2B"/>
    <w:rsid w:val="003152C0"/>
    <w:rsid w:val="00316A7F"/>
    <w:rsid w:val="00316F0E"/>
    <w:rsid w:val="00317BFF"/>
    <w:rsid w:val="003202E6"/>
    <w:rsid w:val="00321FE4"/>
    <w:rsid w:val="0032327B"/>
    <w:rsid w:val="003266AE"/>
    <w:rsid w:val="003270E1"/>
    <w:rsid w:val="00327B43"/>
    <w:rsid w:val="00330586"/>
    <w:rsid w:val="00330C7D"/>
    <w:rsid w:val="00331304"/>
    <w:rsid w:val="00331EC7"/>
    <w:rsid w:val="00334DD7"/>
    <w:rsid w:val="00335760"/>
    <w:rsid w:val="00335C51"/>
    <w:rsid w:val="003400E2"/>
    <w:rsid w:val="00340D9C"/>
    <w:rsid w:val="0034163B"/>
    <w:rsid w:val="00341DCC"/>
    <w:rsid w:val="0034310A"/>
    <w:rsid w:val="00343399"/>
    <w:rsid w:val="003437EE"/>
    <w:rsid w:val="00343D07"/>
    <w:rsid w:val="00343F90"/>
    <w:rsid w:val="0034446B"/>
    <w:rsid w:val="00347537"/>
    <w:rsid w:val="00351BEA"/>
    <w:rsid w:val="003522E4"/>
    <w:rsid w:val="003548D0"/>
    <w:rsid w:val="00355D4A"/>
    <w:rsid w:val="003569E6"/>
    <w:rsid w:val="003573C9"/>
    <w:rsid w:val="00360AD8"/>
    <w:rsid w:val="003616C0"/>
    <w:rsid w:val="00362521"/>
    <w:rsid w:val="00362E9D"/>
    <w:rsid w:val="003646C0"/>
    <w:rsid w:val="003657F4"/>
    <w:rsid w:val="00366A29"/>
    <w:rsid w:val="00367966"/>
    <w:rsid w:val="00374CF6"/>
    <w:rsid w:val="00375265"/>
    <w:rsid w:val="00376485"/>
    <w:rsid w:val="00377D1C"/>
    <w:rsid w:val="00381A51"/>
    <w:rsid w:val="0038333D"/>
    <w:rsid w:val="0038379B"/>
    <w:rsid w:val="00384E45"/>
    <w:rsid w:val="00386C13"/>
    <w:rsid w:val="00387F88"/>
    <w:rsid w:val="00387F8C"/>
    <w:rsid w:val="00391E4F"/>
    <w:rsid w:val="00392741"/>
    <w:rsid w:val="00393473"/>
    <w:rsid w:val="00393A8F"/>
    <w:rsid w:val="0039551E"/>
    <w:rsid w:val="003959B0"/>
    <w:rsid w:val="00395D62"/>
    <w:rsid w:val="00396170"/>
    <w:rsid w:val="003963F8"/>
    <w:rsid w:val="00397239"/>
    <w:rsid w:val="003A017A"/>
    <w:rsid w:val="003A04F7"/>
    <w:rsid w:val="003A09F5"/>
    <w:rsid w:val="003A427A"/>
    <w:rsid w:val="003A4639"/>
    <w:rsid w:val="003A6D04"/>
    <w:rsid w:val="003A7509"/>
    <w:rsid w:val="003B24E8"/>
    <w:rsid w:val="003B4DF0"/>
    <w:rsid w:val="003B573F"/>
    <w:rsid w:val="003B7192"/>
    <w:rsid w:val="003B7F1A"/>
    <w:rsid w:val="003C28A9"/>
    <w:rsid w:val="003C3EE7"/>
    <w:rsid w:val="003C57FD"/>
    <w:rsid w:val="003C6093"/>
    <w:rsid w:val="003C6F54"/>
    <w:rsid w:val="003C78FC"/>
    <w:rsid w:val="003D02C5"/>
    <w:rsid w:val="003D08E5"/>
    <w:rsid w:val="003D340E"/>
    <w:rsid w:val="003D365E"/>
    <w:rsid w:val="003D4C6A"/>
    <w:rsid w:val="003D5229"/>
    <w:rsid w:val="003D5FE0"/>
    <w:rsid w:val="003D686E"/>
    <w:rsid w:val="003E1D51"/>
    <w:rsid w:val="003E233C"/>
    <w:rsid w:val="003E303D"/>
    <w:rsid w:val="003E346D"/>
    <w:rsid w:val="003E64D9"/>
    <w:rsid w:val="003E704E"/>
    <w:rsid w:val="003F07B9"/>
    <w:rsid w:val="003F1E74"/>
    <w:rsid w:val="003F3904"/>
    <w:rsid w:val="003F3CC3"/>
    <w:rsid w:val="003F4AB7"/>
    <w:rsid w:val="003F700A"/>
    <w:rsid w:val="00401D95"/>
    <w:rsid w:val="00403DEA"/>
    <w:rsid w:val="00406362"/>
    <w:rsid w:val="00407047"/>
    <w:rsid w:val="004072BA"/>
    <w:rsid w:val="004078E0"/>
    <w:rsid w:val="0041050D"/>
    <w:rsid w:val="004150E0"/>
    <w:rsid w:val="00416004"/>
    <w:rsid w:val="00420E6E"/>
    <w:rsid w:val="00420E8B"/>
    <w:rsid w:val="00421281"/>
    <w:rsid w:val="0042201B"/>
    <w:rsid w:val="0042337C"/>
    <w:rsid w:val="004260F1"/>
    <w:rsid w:val="00426559"/>
    <w:rsid w:val="00426994"/>
    <w:rsid w:val="00427150"/>
    <w:rsid w:val="004274DC"/>
    <w:rsid w:val="004316FE"/>
    <w:rsid w:val="00432AEB"/>
    <w:rsid w:val="004330A7"/>
    <w:rsid w:val="0043404B"/>
    <w:rsid w:val="00434B66"/>
    <w:rsid w:val="0043585B"/>
    <w:rsid w:val="00436471"/>
    <w:rsid w:val="00436642"/>
    <w:rsid w:val="004367B5"/>
    <w:rsid w:val="004367D0"/>
    <w:rsid w:val="00441363"/>
    <w:rsid w:val="00442733"/>
    <w:rsid w:val="00443404"/>
    <w:rsid w:val="00444B7B"/>
    <w:rsid w:val="00446565"/>
    <w:rsid w:val="00446CF1"/>
    <w:rsid w:val="00452B90"/>
    <w:rsid w:val="00454D44"/>
    <w:rsid w:val="004559CB"/>
    <w:rsid w:val="00455A07"/>
    <w:rsid w:val="0045679F"/>
    <w:rsid w:val="0045692B"/>
    <w:rsid w:val="00460ED6"/>
    <w:rsid w:val="0046114D"/>
    <w:rsid w:val="00461E86"/>
    <w:rsid w:val="00462CFD"/>
    <w:rsid w:val="00464990"/>
    <w:rsid w:val="00465848"/>
    <w:rsid w:val="00466FB9"/>
    <w:rsid w:val="004677B9"/>
    <w:rsid w:val="0047061A"/>
    <w:rsid w:val="0047121E"/>
    <w:rsid w:val="00472341"/>
    <w:rsid w:val="004736F2"/>
    <w:rsid w:val="004745F9"/>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2FDC"/>
    <w:rsid w:val="004B3586"/>
    <w:rsid w:val="004B3D29"/>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5976"/>
    <w:rsid w:val="004D5A14"/>
    <w:rsid w:val="004D68CD"/>
    <w:rsid w:val="004D68D2"/>
    <w:rsid w:val="004D7FA1"/>
    <w:rsid w:val="004E2881"/>
    <w:rsid w:val="004E56AF"/>
    <w:rsid w:val="004E7D20"/>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970"/>
    <w:rsid w:val="00523B99"/>
    <w:rsid w:val="00523CFF"/>
    <w:rsid w:val="0052404D"/>
    <w:rsid w:val="0052670A"/>
    <w:rsid w:val="00527233"/>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1E38"/>
    <w:rsid w:val="0055278F"/>
    <w:rsid w:val="00554137"/>
    <w:rsid w:val="00555DD2"/>
    <w:rsid w:val="00556BE4"/>
    <w:rsid w:val="00556C15"/>
    <w:rsid w:val="00556E3E"/>
    <w:rsid w:val="00560343"/>
    <w:rsid w:val="005604E3"/>
    <w:rsid w:val="0056392D"/>
    <w:rsid w:val="0056446E"/>
    <w:rsid w:val="005648C7"/>
    <w:rsid w:val="005667EE"/>
    <w:rsid w:val="00566ED3"/>
    <w:rsid w:val="00567372"/>
    <w:rsid w:val="00572276"/>
    <w:rsid w:val="0057356B"/>
    <w:rsid w:val="00573BD9"/>
    <w:rsid w:val="00574F2F"/>
    <w:rsid w:val="00575101"/>
    <w:rsid w:val="005772CD"/>
    <w:rsid w:val="005775A4"/>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58D5"/>
    <w:rsid w:val="005B7297"/>
    <w:rsid w:val="005C32DA"/>
    <w:rsid w:val="005C4C00"/>
    <w:rsid w:val="005C527C"/>
    <w:rsid w:val="005C59EA"/>
    <w:rsid w:val="005C6385"/>
    <w:rsid w:val="005C6DD4"/>
    <w:rsid w:val="005C7274"/>
    <w:rsid w:val="005D1384"/>
    <w:rsid w:val="005D2F75"/>
    <w:rsid w:val="005D2F98"/>
    <w:rsid w:val="005D3534"/>
    <w:rsid w:val="005E060D"/>
    <w:rsid w:val="005E079D"/>
    <w:rsid w:val="005E5C83"/>
    <w:rsid w:val="005F0F42"/>
    <w:rsid w:val="005F1BE3"/>
    <w:rsid w:val="005F524E"/>
    <w:rsid w:val="005F6C65"/>
    <w:rsid w:val="005F74B1"/>
    <w:rsid w:val="005F7D19"/>
    <w:rsid w:val="00600F2D"/>
    <w:rsid w:val="006025AE"/>
    <w:rsid w:val="00603236"/>
    <w:rsid w:val="00603975"/>
    <w:rsid w:val="00605049"/>
    <w:rsid w:val="00606398"/>
    <w:rsid w:val="00610CDC"/>
    <w:rsid w:val="006123CC"/>
    <w:rsid w:val="0061300D"/>
    <w:rsid w:val="00613926"/>
    <w:rsid w:val="006145A0"/>
    <w:rsid w:val="00615C85"/>
    <w:rsid w:val="00621484"/>
    <w:rsid w:val="00623E94"/>
    <w:rsid w:val="006254B3"/>
    <w:rsid w:val="0062562C"/>
    <w:rsid w:val="0062666F"/>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7085"/>
    <w:rsid w:val="00647903"/>
    <w:rsid w:val="00647B89"/>
    <w:rsid w:val="00647CBF"/>
    <w:rsid w:val="0065284F"/>
    <w:rsid w:val="00653FDB"/>
    <w:rsid w:val="00655E7E"/>
    <w:rsid w:val="006565AE"/>
    <w:rsid w:val="006571DF"/>
    <w:rsid w:val="00657547"/>
    <w:rsid w:val="00657F97"/>
    <w:rsid w:val="006610E6"/>
    <w:rsid w:val="006638D5"/>
    <w:rsid w:val="00663962"/>
    <w:rsid w:val="00663FCF"/>
    <w:rsid w:val="00665959"/>
    <w:rsid w:val="0066636C"/>
    <w:rsid w:val="0066636D"/>
    <w:rsid w:val="00666ABF"/>
    <w:rsid w:val="00667C08"/>
    <w:rsid w:val="00670864"/>
    <w:rsid w:val="0067127F"/>
    <w:rsid w:val="0067284F"/>
    <w:rsid w:val="00673853"/>
    <w:rsid w:val="00673B32"/>
    <w:rsid w:val="0067595C"/>
    <w:rsid w:val="006763EE"/>
    <w:rsid w:val="00676F0F"/>
    <w:rsid w:val="0068106B"/>
    <w:rsid w:val="00681284"/>
    <w:rsid w:val="006833C9"/>
    <w:rsid w:val="00684CBA"/>
    <w:rsid w:val="0068535B"/>
    <w:rsid w:val="0068577D"/>
    <w:rsid w:val="00687FBC"/>
    <w:rsid w:val="00691270"/>
    <w:rsid w:val="00692329"/>
    <w:rsid w:val="00693636"/>
    <w:rsid w:val="0069564C"/>
    <w:rsid w:val="00697684"/>
    <w:rsid w:val="006A2908"/>
    <w:rsid w:val="006A319D"/>
    <w:rsid w:val="006A375C"/>
    <w:rsid w:val="006A5BF3"/>
    <w:rsid w:val="006A6383"/>
    <w:rsid w:val="006A7BE1"/>
    <w:rsid w:val="006B056F"/>
    <w:rsid w:val="006B120C"/>
    <w:rsid w:val="006B1417"/>
    <w:rsid w:val="006B1491"/>
    <w:rsid w:val="006B25EF"/>
    <w:rsid w:val="006B2BC7"/>
    <w:rsid w:val="006B3279"/>
    <w:rsid w:val="006B36B8"/>
    <w:rsid w:val="006B4350"/>
    <w:rsid w:val="006B485F"/>
    <w:rsid w:val="006B4B9B"/>
    <w:rsid w:val="006C0BD8"/>
    <w:rsid w:val="006C32BA"/>
    <w:rsid w:val="006C3E97"/>
    <w:rsid w:val="006C6596"/>
    <w:rsid w:val="006D16DB"/>
    <w:rsid w:val="006D1AA7"/>
    <w:rsid w:val="006D4C87"/>
    <w:rsid w:val="006E0759"/>
    <w:rsid w:val="006E0987"/>
    <w:rsid w:val="006E23DB"/>
    <w:rsid w:val="006E2874"/>
    <w:rsid w:val="006E2C51"/>
    <w:rsid w:val="006E39F9"/>
    <w:rsid w:val="006E43CB"/>
    <w:rsid w:val="006E60C2"/>
    <w:rsid w:val="006E6D55"/>
    <w:rsid w:val="006F0280"/>
    <w:rsid w:val="006F0E5C"/>
    <w:rsid w:val="006F24AB"/>
    <w:rsid w:val="006F5866"/>
    <w:rsid w:val="007015A0"/>
    <w:rsid w:val="00702EED"/>
    <w:rsid w:val="007038BF"/>
    <w:rsid w:val="00705E50"/>
    <w:rsid w:val="007076D2"/>
    <w:rsid w:val="00707726"/>
    <w:rsid w:val="00707AEB"/>
    <w:rsid w:val="00710CCC"/>
    <w:rsid w:val="00713A34"/>
    <w:rsid w:val="00713D0D"/>
    <w:rsid w:val="00714245"/>
    <w:rsid w:val="00714F76"/>
    <w:rsid w:val="00716B8F"/>
    <w:rsid w:val="00721501"/>
    <w:rsid w:val="00722FC1"/>
    <w:rsid w:val="00723C2B"/>
    <w:rsid w:val="007242D9"/>
    <w:rsid w:val="00724698"/>
    <w:rsid w:val="00725A6A"/>
    <w:rsid w:val="00725B35"/>
    <w:rsid w:val="00726AEF"/>
    <w:rsid w:val="00734CC5"/>
    <w:rsid w:val="0073556D"/>
    <w:rsid w:val="00737584"/>
    <w:rsid w:val="0074039F"/>
    <w:rsid w:val="00741442"/>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798"/>
    <w:rsid w:val="00757E37"/>
    <w:rsid w:val="00761629"/>
    <w:rsid w:val="00761685"/>
    <w:rsid w:val="00761737"/>
    <w:rsid w:val="00761D0F"/>
    <w:rsid w:val="0076509D"/>
    <w:rsid w:val="007700BC"/>
    <w:rsid w:val="00771C48"/>
    <w:rsid w:val="00773C4B"/>
    <w:rsid w:val="00774425"/>
    <w:rsid w:val="00775DA3"/>
    <w:rsid w:val="007761C7"/>
    <w:rsid w:val="00777A70"/>
    <w:rsid w:val="00780CAB"/>
    <w:rsid w:val="0078284B"/>
    <w:rsid w:val="007850A9"/>
    <w:rsid w:val="00785A6B"/>
    <w:rsid w:val="00786121"/>
    <w:rsid w:val="00786C3C"/>
    <w:rsid w:val="007874E4"/>
    <w:rsid w:val="00787DB8"/>
    <w:rsid w:val="00787E01"/>
    <w:rsid w:val="00792C81"/>
    <w:rsid w:val="007938C2"/>
    <w:rsid w:val="007955A3"/>
    <w:rsid w:val="00795B31"/>
    <w:rsid w:val="00796586"/>
    <w:rsid w:val="007A0085"/>
    <w:rsid w:val="007A02E3"/>
    <w:rsid w:val="007A11B5"/>
    <w:rsid w:val="007A23CF"/>
    <w:rsid w:val="007A2FE1"/>
    <w:rsid w:val="007A4FA7"/>
    <w:rsid w:val="007A5AFC"/>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655E"/>
    <w:rsid w:val="007C6B17"/>
    <w:rsid w:val="007D0912"/>
    <w:rsid w:val="007D2859"/>
    <w:rsid w:val="007D3B7F"/>
    <w:rsid w:val="007D3EBB"/>
    <w:rsid w:val="007D4F95"/>
    <w:rsid w:val="007D680B"/>
    <w:rsid w:val="007D69C5"/>
    <w:rsid w:val="007D7774"/>
    <w:rsid w:val="007E1D77"/>
    <w:rsid w:val="007E331A"/>
    <w:rsid w:val="007E345B"/>
    <w:rsid w:val="007E3872"/>
    <w:rsid w:val="007E4F89"/>
    <w:rsid w:val="007F0E66"/>
    <w:rsid w:val="007F533D"/>
    <w:rsid w:val="007F641D"/>
    <w:rsid w:val="007F70A1"/>
    <w:rsid w:val="007F7251"/>
    <w:rsid w:val="0080037A"/>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4140"/>
    <w:rsid w:val="00827965"/>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B2"/>
    <w:rsid w:val="0085241C"/>
    <w:rsid w:val="00853BE4"/>
    <w:rsid w:val="008541C7"/>
    <w:rsid w:val="00857792"/>
    <w:rsid w:val="008577CF"/>
    <w:rsid w:val="00860D15"/>
    <w:rsid w:val="008617F3"/>
    <w:rsid w:val="008622EA"/>
    <w:rsid w:val="008625F4"/>
    <w:rsid w:val="0086435D"/>
    <w:rsid w:val="008710DB"/>
    <w:rsid w:val="008729E4"/>
    <w:rsid w:val="00873B9B"/>
    <w:rsid w:val="00873CD2"/>
    <w:rsid w:val="00875BBB"/>
    <w:rsid w:val="00876868"/>
    <w:rsid w:val="00876A6E"/>
    <w:rsid w:val="00876D2D"/>
    <w:rsid w:val="00877087"/>
    <w:rsid w:val="0087730A"/>
    <w:rsid w:val="0087752C"/>
    <w:rsid w:val="008776F1"/>
    <w:rsid w:val="008805E0"/>
    <w:rsid w:val="008843AF"/>
    <w:rsid w:val="00884A08"/>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1CBD"/>
    <w:rsid w:val="008B5922"/>
    <w:rsid w:val="008B593B"/>
    <w:rsid w:val="008B79B0"/>
    <w:rsid w:val="008B7F2C"/>
    <w:rsid w:val="008C13E5"/>
    <w:rsid w:val="008C1C50"/>
    <w:rsid w:val="008C412F"/>
    <w:rsid w:val="008C581E"/>
    <w:rsid w:val="008C5B3C"/>
    <w:rsid w:val="008C6848"/>
    <w:rsid w:val="008C68FE"/>
    <w:rsid w:val="008D123A"/>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E7854"/>
    <w:rsid w:val="008F1404"/>
    <w:rsid w:val="008F1608"/>
    <w:rsid w:val="008F2711"/>
    <w:rsid w:val="008F3930"/>
    <w:rsid w:val="008F3EC3"/>
    <w:rsid w:val="008F400C"/>
    <w:rsid w:val="008F491E"/>
    <w:rsid w:val="008F60CF"/>
    <w:rsid w:val="008F60EF"/>
    <w:rsid w:val="008F6CE2"/>
    <w:rsid w:val="009002DA"/>
    <w:rsid w:val="009006E5"/>
    <w:rsid w:val="00900804"/>
    <w:rsid w:val="00901666"/>
    <w:rsid w:val="00904A33"/>
    <w:rsid w:val="00905818"/>
    <w:rsid w:val="00910778"/>
    <w:rsid w:val="00910ADF"/>
    <w:rsid w:val="0091226E"/>
    <w:rsid w:val="009124A8"/>
    <w:rsid w:val="0091295D"/>
    <w:rsid w:val="00913D5D"/>
    <w:rsid w:val="009141C6"/>
    <w:rsid w:val="00914290"/>
    <w:rsid w:val="00914899"/>
    <w:rsid w:val="00914FC9"/>
    <w:rsid w:val="009153AA"/>
    <w:rsid w:val="00920CA4"/>
    <w:rsid w:val="009215C4"/>
    <w:rsid w:val="009262FD"/>
    <w:rsid w:val="0092683F"/>
    <w:rsid w:val="00927BDA"/>
    <w:rsid w:val="00931202"/>
    <w:rsid w:val="00932BC2"/>
    <w:rsid w:val="00933D28"/>
    <w:rsid w:val="00933E82"/>
    <w:rsid w:val="009344F1"/>
    <w:rsid w:val="0093498F"/>
    <w:rsid w:val="00935EA7"/>
    <w:rsid w:val="00942592"/>
    <w:rsid w:val="00942705"/>
    <w:rsid w:val="0094280B"/>
    <w:rsid w:val="00942F95"/>
    <w:rsid w:val="009430AD"/>
    <w:rsid w:val="00943959"/>
    <w:rsid w:val="00943D78"/>
    <w:rsid w:val="00945597"/>
    <w:rsid w:val="00950DF6"/>
    <w:rsid w:val="009529AA"/>
    <w:rsid w:val="00953277"/>
    <w:rsid w:val="009539EC"/>
    <w:rsid w:val="00954701"/>
    <w:rsid w:val="00954865"/>
    <w:rsid w:val="0095601B"/>
    <w:rsid w:val="009562EB"/>
    <w:rsid w:val="009634C1"/>
    <w:rsid w:val="00964DAB"/>
    <w:rsid w:val="00965359"/>
    <w:rsid w:val="009658A3"/>
    <w:rsid w:val="00966202"/>
    <w:rsid w:val="00973EA6"/>
    <w:rsid w:val="00974159"/>
    <w:rsid w:val="00974A55"/>
    <w:rsid w:val="00974E98"/>
    <w:rsid w:val="00974FE8"/>
    <w:rsid w:val="00975EAE"/>
    <w:rsid w:val="00977142"/>
    <w:rsid w:val="00977250"/>
    <w:rsid w:val="0098217F"/>
    <w:rsid w:val="009822C6"/>
    <w:rsid w:val="00983573"/>
    <w:rsid w:val="009837EA"/>
    <w:rsid w:val="00986190"/>
    <w:rsid w:val="009870C9"/>
    <w:rsid w:val="0098798C"/>
    <w:rsid w:val="009920A1"/>
    <w:rsid w:val="00993423"/>
    <w:rsid w:val="00995439"/>
    <w:rsid w:val="00995B0E"/>
    <w:rsid w:val="00995D1C"/>
    <w:rsid w:val="009A0B20"/>
    <w:rsid w:val="009A1DD8"/>
    <w:rsid w:val="009A4720"/>
    <w:rsid w:val="009A5915"/>
    <w:rsid w:val="009A6276"/>
    <w:rsid w:val="009B3879"/>
    <w:rsid w:val="009B5004"/>
    <w:rsid w:val="009B5067"/>
    <w:rsid w:val="009B58A9"/>
    <w:rsid w:val="009B604D"/>
    <w:rsid w:val="009B7247"/>
    <w:rsid w:val="009B7554"/>
    <w:rsid w:val="009B7EF5"/>
    <w:rsid w:val="009C095D"/>
    <w:rsid w:val="009C3795"/>
    <w:rsid w:val="009C47C1"/>
    <w:rsid w:val="009C679D"/>
    <w:rsid w:val="009C74EC"/>
    <w:rsid w:val="009D0881"/>
    <w:rsid w:val="009D208D"/>
    <w:rsid w:val="009D3C84"/>
    <w:rsid w:val="009D6091"/>
    <w:rsid w:val="009D638E"/>
    <w:rsid w:val="009D7684"/>
    <w:rsid w:val="009E2199"/>
    <w:rsid w:val="009F0527"/>
    <w:rsid w:val="009F11B6"/>
    <w:rsid w:val="009F27EF"/>
    <w:rsid w:val="009F2A2D"/>
    <w:rsid w:val="009F2C12"/>
    <w:rsid w:val="009F3F52"/>
    <w:rsid w:val="009F53B0"/>
    <w:rsid w:val="00A03AC5"/>
    <w:rsid w:val="00A04171"/>
    <w:rsid w:val="00A04343"/>
    <w:rsid w:val="00A04492"/>
    <w:rsid w:val="00A06A93"/>
    <w:rsid w:val="00A070B8"/>
    <w:rsid w:val="00A072C5"/>
    <w:rsid w:val="00A07482"/>
    <w:rsid w:val="00A079A5"/>
    <w:rsid w:val="00A1128D"/>
    <w:rsid w:val="00A1176C"/>
    <w:rsid w:val="00A14C58"/>
    <w:rsid w:val="00A169CE"/>
    <w:rsid w:val="00A20F62"/>
    <w:rsid w:val="00A21901"/>
    <w:rsid w:val="00A23680"/>
    <w:rsid w:val="00A2579A"/>
    <w:rsid w:val="00A26004"/>
    <w:rsid w:val="00A27BB2"/>
    <w:rsid w:val="00A318F6"/>
    <w:rsid w:val="00A34CFD"/>
    <w:rsid w:val="00A35908"/>
    <w:rsid w:val="00A365A8"/>
    <w:rsid w:val="00A37915"/>
    <w:rsid w:val="00A37C72"/>
    <w:rsid w:val="00A40019"/>
    <w:rsid w:val="00A41382"/>
    <w:rsid w:val="00A4163E"/>
    <w:rsid w:val="00A41B44"/>
    <w:rsid w:val="00A41B5A"/>
    <w:rsid w:val="00A4376A"/>
    <w:rsid w:val="00A46B9F"/>
    <w:rsid w:val="00A4718C"/>
    <w:rsid w:val="00A47904"/>
    <w:rsid w:val="00A50959"/>
    <w:rsid w:val="00A52140"/>
    <w:rsid w:val="00A52927"/>
    <w:rsid w:val="00A55081"/>
    <w:rsid w:val="00A553F8"/>
    <w:rsid w:val="00A5675F"/>
    <w:rsid w:val="00A56FE6"/>
    <w:rsid w:val="00A5786C"/>
    <w:rsid w:val="00A57D81"/>
    <w:rsid w:val="00A606A6"/>
    <w:rsid w:val="00A63C24"/>
    <w:rsid w:val="00A63CDE"/>
    <w:rsid w:val="00A66F76"/>
    <w:rsid w:val="00A674D8"/>
    <w:rsid w:val="00A6795B"/>
    <w:rsid w:val="00A700C5"/>
    <w:rsid w:val="00A749CC"/>
    <w:rsid w:val="00A762C9"/>
    <w:rsid w:val="00A767A8"/>
    <w:rsid w:val="00A76916"/>
    <w:rsid w:val="00A8280C"/>
    <w:rsid w:val="00A82978"/>
    <w:rsid w:val="00A83B57"/>
    <w:rsid w:val="00A84879"/>
    <w:rsid w:val="00A86422"/>
    <w:rsid w:val="00A870F1"/>
    <w:rsid w:val="00A874D1"/>
    <w:rsid w:val="00A909DE"/>
    <w:rsid w:val="00A929EA"/>
    <w:rsid w:val="00A92E28"/>
    <w:rsid w:val="00A93D9A"/>
    <w:rsid w:val="00A94125"/>
    <w:rsid w:val="00A95C2D"/>
    <w:rsid w:val="00A9712B"/>
    <w:rsid w:val="00AA00CE"/>
    <w:rsid w:val="00AA286D"/>
    <w:rsid w:val="00AA7FEF"/>
    <w:rsid w:val="00AB02F4"/>
    <w:rsid w:val="00AB13FF"/>
    <w:rsid w:val="00AB16B1"/>
    <w:rsid w:val="00AB1C06"/>
    <w:rsid w:val="00AB1E67"/>
    <w:rsid w:val="00AB438B"/>
    <w:rsid w:val="00AC0BE1"/>
    <w:rsid w:val="00AC1722"/>
    <w:rsid w:val="00AC25D4"/>
    <w:rsid w:val="00AC514A"/>
    <w:rsid w:val="00AC54B7"/>
    <w:rsid w:val="00AD192D"/>
    <w:rsid w:val="00AD4228"/>
    <w:rsid w:val="00AD4340"/>
    <w:rsid w:val="00AD4B10"/>
    <w:rsid w:val="00AD697A"/>
    <w:rsid w:val="00AD77D8"/>
    <w:rsid w:val="00AD7809"/>
    <w:rsid w:val="00AE0B25"/>
    <w:rsid w:val="00AE1088"/>
    <w:rsid w:val="00AE2464"/>
    <w:rsid w:val="00AE27E1"/>
    <w:rsid w:val="00AE39DD"/>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49AE"/>
    <w:rsid w:val="00B15A27"/>
    <w:rsid w:val="00B163B1"/>
    <w:rsid w:val="00B20EBA"/>
    <w:rsid w:val="00B21353"/>
    <w:rsid w:val="00B2197B"/>
    <w:rsid w:val="00B2313A"/>
    <w:rsid w:val="00B2364D"/>
    <w:rsid w:val="00B241BA"/>
    <w:rsid w:val="00B24DBA"/>
    <w:rsid w:val="00B25CA3"/>
    <w:rsid w:val="00B267E4"/>
    <w:rsid w:val="00B30D6E"/>
    <w:rsid w:val="00B3152A"/>
    <w:rsid w:val="00B31E97"/>
    <w:rsid w:val="00B32801"/>
    <w:rsid w:val="00B3444F"/>
    <w:rsid w:val="00B351F1"/>
    <w:rsid w:val="00B35D4A"/>
    <w:rsid w:val="00B36E00"/>
    <w:rsid w:val="00B36E14"/>
    <w:rsid w:val="00B37935"/>
    <w:rsid w:val="00B37EDE"/>
    <w:rsid w:val="00B412F5"/>
    <w:rsid w:val="00B4176F"/>
    <w:rsid w:val="00B4239B"/>
    <w:rsid w:val="00B42947"/>
    <w:rsid w:val="00B42C2C"/>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5DA"/>
    <w:rsid w:val="00B64C3A"/>
    <w:rsid w:val="00B70076"/>
    <w:rsid w:val="00B71AAA"/>
    <w:rsid w:val="00B71E33"/>
    <w:rsid w:val="00B72ABD"/>
    <w:rsid w:val="00B72F01"/>
    <w:rsid w:val="00B74086"/>
    <w:rsid w:val="00B7523B"/>
    <w:rsid w:val="00B76FF8"/>
    <w:rsid w:val="00B77ADF"/>
    <w:rsid w:val="00B81331"/>
    <w:rsid w:val="00B816C8"/>
    <w:rsid w:val="00B82769"/>
    <w:rsid w:val="00B82FE0"/>
    <w:rsid w:val="00B84EFF"/>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3D77"/>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6C26"/>
    <w:rsid w:val="00BD7B38"/>
    <w:rsid w:val="00BD7F10"/>
    <w:rsid w:val="00BE048A"/>
    <w:rsid w:val="00BE0650"/>
    <w:rsid w:val="00BE2251"/>
    <w:rsid w:val="00BE29EB"/>
    <w:rsid w:val="00BE5599"/>
    <w:rsid w:val="00BE574A"/>
    <w:rsid w:val="00BE5776"/>
    <w:rsid w:val="00BE5948"/>
    <w:rsid w:val="00BF0C18"/>
    <w:rsid w:val="00BF28AE"/>
    <w:rsid w:val="00BF36E6"/>
    <w:rsid w:val="00BF3AC8"/>
    <w:rsid w:val="00BF6781"/>
    <w:rsid w:val="00BF73C9"/>
    <w:rsid w:val="00BF78BB"/>
    <w:rsid w:val="00C002FB"/>
    <w:rsid w:val="00C0062D"/>
    <w:rsid w:val="00C012DF"/>
    <w:rsid w:val="00C03D68"/>
    <w:rsid w:val="00C04FC3"/>
    <w:rsid w:val="00C07A55"/>
    <w:rsid w:val="00C10710"/>
    <w:rsid w:val="00C10998"/>
    <w:rsid w:val="00C10A93"/>
    <w:rsid w:val="00C132E8"/>
    <w:rsid w:val="00C15D5E"/>
    <w:rsid w:val="00C16725"/>
    <w:rsid w:val="00C21626"/>
    <w:rsid w:val="00C21635"/>
    <w:rsid w:val="00C23180"/>
    <w:rsid w:val="00C2477A"/>
    <w:rsid w:val="00C2611E"/>
    <w:rsid w:val="00C265E3"/>
    <w:rsid w:val="00C26997"/>
    <w:rsid w:val="00C27472"/>
    <w:rsid w:val="00C27F8C"/>
    <w:rsid w:val="00C31B93"/>
    <w:rsid w:val="00C31F22"/>
    <w:rsid w:val="00C32CDD"/>
    <w:rsid w:val="00C32F82"/>
    <w:rsid w:val="00C33E9A"/>
    <w:rsid w:val="00C35322"/>
    <w:rsid w:val="00C37BF5"/>
    <w:rsid w:val="00C40C7A"/>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2BCD"/>
    <w:rsid w:val="00C736CD"/>
    <w:rsid w:val="00C73C3D"/>
    <w:rsid w:val="00C75031"/>
    <w:rsid w:val="00C75C73"/>
    <w:rsid w:val="00C77A5D"/>
    <w:rsid w:val="00C80335"/>
    <w:rsid w:val="00C818BC"/>
    <w:rsid w:val="00C81EC5"/>
    <w:rsid w:val="00C82285"/>
    <w:rsid w:val="00C82449"/>
    <w:rsid w:val="00C86133"/>
    <w:rsid w:val="00C9295A"/>
    <w:rsid w:val="00C92EB2"/>
    <w:rsid w:val="00C935BF"/>
    <w:rsid w:val="00C94092"/>
    <w:rsid w:val="00C95C02"/>
    <w:rsid w:val="00C96636"/>
    <w:rsid w:val="00C97972"/>
    <w:rsid w:val="00CA0F59"/>
    <w:rsid w:val="00CA192C"/>
    <w:rsid w:val="00CA3820"/>
    <w:rsid w:val="00CA4BB4"/>
    <w:rsid w:val="00CA570B"/>
    <w:rsid w:val="00CA5DE9"/>
    <w:rsid w:val="00CA7BF2"/>
    <w:rsid w:val="00CB03FC"/>
    <w:rsid w:val="00CB2236"/>
    <w:rsid w:val="00CB4A9A"/>
    <w:rsid w:val="00CB59C4"/>
    <w:rsid w:val="00CC16B3"/>
    <w:rsid w:val="00CC1F0B"/>
    <w:rsid w:val="00CC562C"/>
    <w:rsid w:val="00CC5940"/>
    <w:rsid w:val="00CD0319"/>
    <w:rsid w:val="00CD3DC9"/>
    <w:rsid w:val="00CD3FD6"/>
    <w:rsid w:val="00CD5B62"/>
    <w:rsid w:val="00CD6F8E"/>
    <w:rsid w:val="00CE02EE"/>
    <w:rsid w:val="00CE076D"/>
    <w:rsid w:val="00CF050B"/>
    <w:rsid w:val="00CF24AA"/>
    <w:rsid w:val="00CF363B"/>
    <w:rsid w:val="00CF3C99"/>
    <w:rsid w:val="00CF4202"/>
    <w:rsid w:val="00CF60A7"/>
    <w:rsid w:val="00CF7690"/>
    <w:rsid w:val="00CF7963"/>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6210C"/>
    <w:rsid w:val="00D6261D"/>
    <w:rsid w:val="00D62FB1"/>
    <w:rsid w:val="00D63C9B"/>
    <w:rsid w:val="00D648C4"/>
    <w:rsid w:val="00D649D1"/>
    <w:rsid w:val="00D65AF6"/>
    <w:rsid w:val="00D65FFD"/>
    <w:rsid w:val="00D670F5"/>
    <w:rsid w:val="00D71671"/>
    <w:rsid w:val="00D732CA"/>
    <w:rsid w:val="00D73AE4"/>
    <w:rsid w:val="00D754B5"/>
    <w:rsid w:val="00D76594"/>
    <w:rsid w:val="00D7676C"/>
    <w:rsid w:val="00D82214"/>
    <w:rsid w:val="00D83F1C"/>
    <w:rsid w:val="00D86BAF"/>
    <w:rsid w:val="00D87367"/>
    <w:rsid w:val="00D90052"/>
    <w:rsid w:val="00D90B71"/>
    <w:rsid w:val="00D90E3D"/>
    <w:rsid w:val="00D91189"/>
    <w:rsid w:val="00D92013"/>
    <w:rsid w:val="00D93D39"/>
    <w:rsid w:val="00D95368"/>
    <w:rsid w:val="00D95B30"/>
    <w:rsid w:val="00D95EFB"/>
    <w:rsid w:val="00D96878"/>
    <w:rsid w:val="00DA004E"/>
    <w:rsid w:val="00DA0CE4"/>
    <w:rsid w:val="00DA0F0A"/>
    <w:rsid w:val="00DA3BE9"/>
    <w:rsid w:val="00DA6C2A"/>
    <w:rsid w:val="00DA6EAC"/>
    <w:rsid w:val="00DB316D"/>
    <w:rsid w:val="00DB3564"/>
    <w:rsid w:val="00DB3DA4"/>
    <w:rsid w:val="00DB7F56"/>
    <w:rsid w:val="00DC534C"/>
    <w:rsid w:val="00DC5BC3"/>
    <w:rsid w:val="00DC6899"/>
    <w:rsid w:val="00DC777D"/>
    <w:rsid w:val="00DD21E9"/>
    <w:rsid w:val="00DD2BDE"/>
    <w:rsid w:val="00DD3014"/>
    <w:rsid w:val="00DD6348"/>
    <w:rsid w:val="00DD6353"/>
    <w:rsid w:val="00DD7324"/>
    <w:rsid w:val="00DD7BAC"/>
    <w:rsid w:val="00DE0314"/>
    <w:rsid w:val="00DE06D1"/>
    <w:rsid w:val="00DE17FD"/>
    <w:rsid w:val="00DE439F"/>
    <w:rsid w:val="00DE4FC6"/>
    <w:rsid w:val="00DE5C71"/>
    <w:rsid w:val="00DE75FB"/>
    <w:rsid w:val="00DF172A"/>
    <w:rsid w:val="00DF3151"/>
    <w:rsid w:val="00DF52C5"/>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4CEB"/>
    <w:rsid w:val="00E24F8B"/>
    <w:rsid w:val="00E25B66"/>
    <w:rsid w:val="00E268A9"/>
    <w:rsid w:val="00E270AB"/>
    <w:rsid w:val="00E2779A"/>
    <w:rsid w:val="00E30DB2"/>
    <w:rsid w:val="00E3115C"/>
    <w:rsid w:val="00E31522"/>
    <w:rsid w:val="00E31CA8"/>
    <w:rsid w:val="00E34AC5"/>
    <w:rsid w:val="00E354E5"/>
    <w:rsid w:val="00E406ED"/>
    <w:rsid w:val="00E41E92"/>
    <w:rsid w:val="00E41FA5"/>
    <w:rsid w:val="00E42ABF"/>
    <w:rsid w:val="00E4349F"/>
    <w:rsid w:val="00E44593"/>
    <w:rsid w:val="00E4490A"/>
    <w:rsid w:val="00E44EBC"/>
    <w:rsid w:val="00E44FDA"/>
    <w:rsid w:val="00E46867"/>
    <w:rsid w:val="00E500AC"/>
    <w:rsid w:val="00E503D6"/>
    <w:rsid w:val="00E5076E"/>
    <w:rsid w:val="00E55B52"/>
    <w:rsid w:val="00E625B5"/>
    <w:rsid w:val="00E629EA"/>
    <w:rsid w:val="00E630AD"/>
    <w:rsid w:val="00E63726"/>
    <w:rsid w:val="00E65EDE"/>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0E08"/>
    <w:rsid w:val="00E833C7"/>
    <w:rsid w:val="00E846FD"/>
    <w:rsid w:val="00E85BCC"/>
    <w:rsid w:val="00E87658"/>
    <w:rsid w:val="00E87CF0"/>
    <w:rsid w:val="00E9204D"/>
    <w:rsid w:val="00E93D24"/>
    <w:rsid w:val="00E94643"/>
    <w:rsid w:val="00E948F8"/>
    <w:rsid w:val="00E95088"/>
    <w:rsid w:val="00E95F24"/>
    <w:rsid w:val="00E965A8"/>
    <w:rsid w:val="00E97AB7"/>
    <w:rsid w:val="00E97C3C"/>
    <w:rsid w:val="00E97CAA"/>
    <w:rsid w:val="00E97F13"/>
    <w:rsid w:val="00EA0E17"/>
    <w:rsid w:val="00EA1A25"/>
    <w:rsid w:val="00EA1F22"/>
    <w:rsid w:val="00EA236E"/>
    <w:rsid w:val="00EA2682"/>
    <w:rsid w:val="00EA2C03"/>
    <w:rsid w:val="00EA33E4"/>
    <w:rsid w:val="00EA377D"/>
    <w:rsid w:val="00EA5D03"/>
    <w:rsid w:val="00EA6C02"/>
    <w:rsid w:val="00EB006A"/>
    <w:rsid w:val="00EB0403"/>
    <w:rsid w:val="00EB55D9"/>
    <w:rsid w:val="00EB55EE"/>
    <w:rsid w:val="00EB6438"/>
    <w:rsid w:val="00EB6704"/>
    <w:rsid w:val="00EC22BF"/>
    <w:rsid w:val="00EC2F1B"/>
    <w:rsid w:val="00EC4480"/>
    <w:rsid w:val="00EC46CE"/>
    <w:rsid w:val="00EC5114"/>
    <w:rsid w:val="00EC66F2"/>
    <w:rsid w:val="00EC73BC"/>
    <w:rsid w:val="00EC74CF"/>
    <w:rsid w:val="00ED2526"/>
    <w:rsid w:val="00ED2D11"/>
    <w:rsid w:val="00ED586D"/>
    <w:rsid w:val="00ED663B"/>
    <w:rsid w:val="00ED6F02"/>
    <w:rsid w:val="00ED778E"/>
    <w:rsid w:val="00ED7FA4"/>
    <w:rsid w:val="00EE01B5"/>
    <w:rsid w:val="00EE0298"/>
    <w:rsid w:val="00EE0C61"/>
    <w:rsid w:val="00EE3559"/>
    <w:rsid w:val="00EE3B68"/>
    <w:rsid w:val="00EE570A"/>
    <w:rsid w:val="00EE5C05"/>
    <w:rsid w:val="00EE7393"/>
    <w:rsid w:val="00EE7BB1"/>
    <w:rsid w:val="00EF06B2"/>
    <w:rsid w:val="00EF089C"/>
    <w:rsid w:val="00EF0A02"/>
    <w:rsid w:val="00EF1AF5"/>
    <w:rsid w:val="00EF1CD9"/>
    <w:rsid w:val="00EF2D70"/>
    <w:rsid w:val="00EF2E35"/>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37A1B"/>
    <w:rsid w:val="00F40877"/>
    <w:rsid w:val="00F41B77"/>
    <w:rsid w:val="00F44041"/>
    <w:rsid w:val="00F44F4E"/>
    <w:rsid w:val="00F46CC5"/>
    <w:rsid w:val="00F47375"/>
    <w:rsid w:val="00F47D3D"/>
    <w:rsid w:val="00F5033A"/>
    <w:rsid w:val="00F51B12"/>
    <w:rsid w:val="00F5285D"/>
    <w:rsid w:val="00F60A99"/>
    <w:rsid w:val="00F63E73"/>
    <w:rsid w:val="00F647C9"/>
    <w:rsid w:val="00F64B15"/>
    <w:rsid w:val="00F66978"/>
    <w:rsid w:val="00F67602"/>
    <w:rsid w:val="00F67974"/>
    <w:rsid w:val="00F732A3"/>
    <w:rsid w:val="00F73C0E"/>
    <w:rsid w:val="00F77FCC"/>
    <w:rsid w:val="00F8171A"/>
    <w:rsid w:val="00F81F86"/>
    <w:rsid w:val="00F828ED"/>
    <w:rsid w:val="00F82EF4"/>
    <w:rsid w:val="00F8432B"/>
    <w:rsid w:val="00F84EB8"/>
    <w:rsid w:val="00F851B1"/>
    <w:rsid w:val="00F85829"/>
    <w:rsid w:val="00F85B59"/>
    <w:rsid w:val="00F8663C"/>
    <w:rsid w:val="00F87AF2"/>
    <w:rsid w:val="00F91BC0"/>
    <w:rsid w:val="00F92EBE"/>
    <w:rsid w:val="00F96C2D"/>
    <w:rsid w:val="00F97797"/>
    <w:rsid w:val="00F97EFC"/>
    <w:rsid w:val="00FA134B"/>
    <w:rsid w:val="00FA2422"/>
    <w:rsid w:val="00FA24A2"/>
    <w:rsid w:val="00FA27DF"/>
    <w:rsid w:val="00FA4991"/>
    <w:rsid w:val="00FA50B5"/>
    <w:rsid w:val="00FA6EDB"/>
    <w:rsid w:val="00FA77C7"/>
    <w:rsid w:val="00FB0679"/>
    <w:rsid w:val="00FB0BDC"/>
    <w:rsid w:val="00FB1257"/>
    <w:rsid w:val="00FB169F"/>
    <w:rsid w:val="00FB3F64"/>
    <w:rsid w:val="00FB64DC"/>
    <w:rsid w:val="00FB7EDE"/>
    <w:rsid w:val="00FC6FE5"/>
    <w:rsid w:val="00FD28C3"/>
    <w:rsid w:val="00FD2920"/>
    <w:rsid w:val="00FD3ACE"/>
    <w:rsid w:val="00FD3AFF"/>
    <w:rsid w:val="00FD403E"/>
    <w:rsid w:val="00FD4567"/>
    <w:rsid w:val="00FD5012"/>
    <w:rsid w:val="00FD5168"/>
    <w:rsid w:val="00FD62A3"/>
    <w:rsid w:val="00FE0649"/>
    <w:rsid w:val="00FE11FB"/>
    <w:rsid w:val="00FE1671"/>
    <w:rsid w:val="00FE41C6"/>
    <w:rsid w:val="00FF05C4"/>
    <w:rsid w:val="00FF173F"/>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BD"/>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chart" Target="charts/chart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header" Target="header2.xml"/><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chart" Target="charts/chart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1.%20March%20Quarter\Summaries\Summary%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1.%20March%20Quarter\Charts\Char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1.%20March%20Quarter\Summaries\Summary%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quarterly%20pubs\2024\1.%20March%20Quarter\Charts\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 Tables.xlsx]Qtr on Qtr'!$D$13</c:f>
              <c:strCache>
                <c:ptCount val="1"/>
                <c:pt idx="0">
                  <c:v>JQ 2023</c:v>
                </c:pt>
              </c:strCache>
            </c:strRef>
          </c:tx>
          <c:spPr>
            <a:solidFill>
              <a:srgbClr val="893C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Tables.xlsx]Qtr on Qtr'!$C$14:$C$16</c:f>
              <c:strCache>
                <c:ptCount val="3"/>
                <c:pt idx="0">
                  <c:v>Spend</c:v>
                </c:pt>
                <c:pt idx="1">
                  <c:v>Trips</c:v>
                </c:pt>
                <c:pt idx="2">
                  <c:v>Nights</c:v>
                </c:pt>
              </c:strCache>
            </c:strRef>
          </c:cat>
          <c:val>
            <c:numRef>
              <c:f>'[Summary Tables.xlsx]Qtr on Qtr'!$D$14:$D$16</c:f>
              <c:numCache>
                <c:formatCode>0%</c:formatCode>
                <c:ptCount val="3"/>
                <c:pt idx="0">
                  <c:v>0.01</c:v>
                </c:pt>
                <c:pt idx="1">
                  <c:v>-0.02</c:v>
                </c:pt>
                <c:pt idx="2">
                  <c:v>-0.05</c:v>
                </c:pt>
              </c:numCache>
            </c:numRef>
          </c:val>
          <c:extLst>
            <c:ext xmlns:c16="http://schemas.microsoft.com/office/drawing/2014/chart" uri="{C3380CC4-5D6E-409C-BE32-E72D297353CC}">
              <c16:uniqueId val="{00000000-2C4B-456A-BCC3-A7CC91635711}"/>
            </c:ext>
          </c:extLst>
        </c:ser>
        <c:ser>
          <c:idx val="1"/>
          <c:order val="1"/>
          <c:tx>
            <c:strRef>
              <c:f>'[Summary Tables.xlsx]Qtr on Qtr'!$E$13</c:f>
              <c:strCache>
                <c:ptCount val="1"/>
                <c:pt idx="0">
                  <c:v>SQ 2023</c:v>
                </c:pt>
              </c:strCache>
            </c:strRef>
          </c:tx>
          <c:spPr>
            <a:solidFill>
              <a:srgbClr val="300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Tables.xlsx]Qtr on Qtr'!$C$14:$C$16</c:f>
              <c:strCache>
                <c:ptCount val="3"/>
                <c:pt idx="0">
                  <c:v>Spend</c:v>
                </c:pt>
                <c:pt idx="1">
                  <c:v>Trips</c:v>
                </c:pt>
                <c:pt idx="2">
                  <c:v>Nights</c:v>
                </c:pt>
              </c:strCache>
            </c:strRef>
          </c:cat>
          <c:val>
            <c:numRef>
              <c:f>'[Summary Tables.xlsx]Qtr on Qtr'!$E$14:$E$16</c:f>
              <c:numCache>
                <c:formatCode>0%</c:formatCode>
                <c:ptCount val="3"/>
                <c:pt idx="0">
                  <c:v>0.01</c:v>
                </c:pt>
                <c:pt idx="1">
                  <c:v>0.01</c:v>
                </c:pt>
                <c:pt idx="2">
                  <c:v>-0.02</c:v>
                </c:pt>
              </c:numCache>
            </c:numRef>
          </c:val>
          <c:extLst>
            <c:ext xmlns:c16="http://schemas.microsoft.com/office/drawing/2014/chart" uri="{C3380CC4-5D6E-409C-BE32-E72D297353CC}">
              <c16:uniqueId val="{00000001-2C4B-456A-BCC3-A7CC91635711}"/>
            </c:ext>
          </c:extLst>
        </c:ser>
        <c:ser>
          <c:idx val="2"/>
          <c:order val="2"/>
          <c:tx>
            <c:strRef>
              <c:f>'[Summary Tables.xlsx]Qtr on Qtr'!$F$13</c:f>
              <c:strCache>
                <c:ptCount val="1"/>
                <c:pt idx="0">
                  <c:v>DQ 2023</c:v>
                </c:pt>
              </c:strCache>
            </c:strRef>
          </c:tx>
          <c:spPr>
            <a:solidFill>
              <a:srgbClr val="1E988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Tables.xlsx]Qtr on Qtr'!$C$14:$C$16</c:f>
              <c:strCache>
                <c:ptCount val="3"/>
                <c:pt idx="0">
                  <c:v>Spend</c:v>
                </c:pt>
                <c:pt idx="1">
                  <c:v>Trips</c:v>
                </c:pt>
                <c:pt idx="2">
                  <c:v>Nights</c:v>
                </c:pt>
              </c:strCache>
            </c:strRef>
          </c:cat>
          <c:val>
            <c:numRef>
              <c:f>'[Summary Tables.xlsx]Qtr on Qtr'!$F$14:$F$16</c:f>
              <c:numCache>
                <c:formatCode>0%</c:formatCode>
                <c:ptCount val="3"/>
                <c:pt idx="0">
                  <c:v>0.02</c:v>
                </c:pt>
                <c:pt idx="1">
                  <c:v>0.04</c:v>
                </c:pt>
                <c:pt idx="2">
                  <c:v>0</c:v>
                </c:pt>
              </c:numCache>
            </c:numRef>
          </c:val>
          <c:extLst>
            <c:ext xmlns:c16="http://schemas.microsoft.com/office/drawing/2014/chart" uri="{C3380CC4-5D6E-409C-BE32-E72D297353CC}">
              <c16:uniqueId val="{00000002-2C4B-456A-BCC3-A7CC91635711}"/>
            </c:ext>
          </c:extLst>
        </c:ser>
        <c:ser>
          <c:idx val="3"/>
          <c:order val="3"/>
          <c:tx>
            <c:strRef>
              <c:f>'[Summary Tables.xlsx]Qtr on Qtr'!$G$13</c:f>
              <c:strCache>
                <c:ptCount val="1"/>
                <c:pt idx="0">
                  <c:v>MQ 2024</c:v>
                </c:pt>
              </c:strCache>
            </c:strRef>
          </c:tx>
          <c:spPr>
            <a:solidFill>
              <a:srgbClr val="F1D18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Tables.xlsx]Qtr on Qtr'!$C$14:$C$16</c:f>
              <c:strCache>
                <c:ptCount val="3"/>
                <c:pt idx="0">
                  <c:v>Spend</c:v>
                </c:pt>
                <c:pt idx="1">
                  <c:v>Trips</c:v>
                </c:pt>
                <c:pt idx="2">
                  <c:v>Nights</c:v>
                </c:pt>
              </c:strCache>
            </c:strRef>
          </c:cat>
          <c:val>
            <c:numRef>
              <c:f>'[Summary Tables.xlsx]Qtr on Qtr'!$G$14:$G$16</c:f>
              <c:numCache>
                <c:formatCode>0%</c:formatCode>
                <c:ptCount val="3"/>
                <c:pt idx="0">
                  <c:v>0</c:v>
                </c:pt>
                <c:pt idx="1">
                  <c:v>0.02</c:v>
                </c:pt>
                <c:pt idx="2">
                  <c:v>-0.01</c:v>
                </c:pt>
              </c:numCache>
            </c:numRef>
          </c:val>
          <c:extLst>
            <c:ext xmlns:c16="http://schemas.microsoft.com/office/drawing/2014/chart" uri="{C3380CC4-5D6E-409C-BE32-E72D297353CC}">
              <c16:uniqueId val="{00000003-2C4B-456A-BCC3-A7CC91635711}"/>
            </c:ext>
          </c:extLst>
        </c:ser>
        <c:dLbls>
          <c:showLegendKey val="0"/>
          <c:showVal val="0"/>
          <c:showCatName val="0"/>
          <c:showSerName val="0"/>
          <c:showPercent val="0"/>
          <c:showBubbleSize val="0"/>
        </c:dLbls>
        <c:gapWidth val="219"/>
        <c:overlap val="-27"/>
        <c:axId val="625433216"/>
        <c:axId val="625457696"/>
      </c:barChart>
      <c:catAx>
        <c:axId val="62543321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457696"/>
        <c:crosses val="autoZero"/>
        <c:auto val="1"/>
        <c:lblAlgn val="ctr"/>
        <c:lblOffset val="100"/>
        <c:noMultiLvlLbl val="0"/>
      </c:catAx>
      <c:valAx>
        <c:axId val="625457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43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Pet!$H$54</c:f>
              <c:strCache>
                <c:ptCount val="1"/>
                <c:pt idx="0">
                  <c:v>No Pet</c:v>
                </c:pt>
              </c:strCache>
            </c:strRef>
          </c:tx>
          <c:spPr>
            <a:solidFill>
              <a:srgbClr val="300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Pet!$G$55:$G$60</c:f>
              <c:strCache>
                <c:ptCount val="6"/>
                <c:pt idx="0">
                  <c:v>Other</c:v>
                </c:pt>
                <c:pt idx="1">
                  <c:v>Hotel/resort/motel</c:v>
                </c:pt>
                <c:pt idx="2">
                  <c:v>Rented house/apartment/flat</c:v>
                </c:pt>
                <c:pt idx="3">
                  <c:v>Caravan and camping</c:v>
                </c:pt>
                <c:pt idx="4">
                  <c:v>Own property</c:v>
                </c:pt>
                <c:pt idx="5">
                  <c:v>Friends or relatives property</c:v>
                </c:pt>
              </c:strCache>
            </c:strRef>
          </c:cat>
          <c:val>
            <c:numRef>
              <c:f>Pet!$H$55:$H$60</c:f>
              <c:numCache>
                <c:formatCode>0</c:formatCode>
                <c:ptCount val="6"/>
                <c:pt idx="0" formatCode="General">
                  <c:v>9</c:v>
                </c:pt>
                <c:pt idx="1">
                  <c:v>28.310760975296894</c:v>
                </c:pt>
                <c:pt idx="2">
                  <c:v>9.5872839413795674</c:v>
                </c:pt>
                <c:pt idx="3" formatCode="General">
                  <c:v>15</c:v>
                </c:pt>
                <c:pt idx="4">
                  <c:v>4.6049748265651891</c:v>
                </c:pt>
                <c:pt idx="5">
                  <c:v>34.242284956868446</c:v>
                </c:pt>
              </c:numCache>
            </c:numRef>
          </c:val>
          <c:extLst>
            <c:ext xmlns:c16="http://schemas.microsoft.com/office/drawing/2014/chart" uri="{C3380CC4-5D6E-409C-BE32-E72D297353CC}">
              <c16:uniqueId val="{00000000-9473-4D8F-B5C3-BCD513A07152}"/>
            </c:ext>
          </c:extLst>
        </c:ser>
        <c:ser>
          <c:idx val="1"/>
          <c:order val="1"/>
          <c:tx>
            <c:strRef>
              <c:f>Pet!$I$54</c:f>
              <c:strCache>
                <c:ptCount val="1"/>
                <c:pt idx="0">
                  <c:v>Pet</c:v>
                </c:pt>
              </c:strCache>
            </c:strRef>
          </c:tx>
          <c:spPr>
            <a:solidFill>
              <a:srgbClr val="893C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Pet!$G$55:$G$60</c:f>
              <c:strCache>
                <c:ptCount val="6"/>
                <c:pt idx="0">
                  <c:v>Other</c:v>
                </c:pt>
                <c:pt idx="1">
                  <c:v>Hotel/resort/motel</c:v>
                </c:pt>
                <c:pt idx="2">
                  <c:v>Rented house/apartment/flat</c:v>
                </c:pt>
                <c:pt idx="3">
                  <c:v>Caravan and camping</c:v>
                </c:pt>
                <c:pt idx="4">
                  <c:v>Own property</c:v>
                </c:pt>
                <c:pt idx="5">
                  <c:v>Friends or relatives property</c:v>
                </c:pt>
              </c:strCache>
            </c:strRef>
          </c:cat>
          <c:val>
            <c:numRef>
              <c:f>Pet!$I$55:$I$60</c:f>
              <c:numCache>
                <c:formatCode>0</c:formatCode>
                <c:ptCount val="6"/>
                <c:pt idx="0" formatCode="General">
                  <c:v>4</c:v>
                </c:pt>
                <c:pt idx="1">
                  <c:v>5.4047087128372571</c:v>
                </c:pt>
                <c:pt idx="2">
                  <c:v>6.9513662141261383</c:v>
                </c:pt>
                <c:pt idx="3" formatCode="General">
                  <c:v>21</c:v>
                </c:pt>
                <c:pt idx="4">
                  <c:v>21.249355559374465</c:v>
                </c:pt>
                <c:pt idx="5">
                  <c:v>41.519161367932632</c:v>
                </c:pt>
              </c:numCache>
            </c:numRef>
          </c:val>
          <c:extLst>
            <c:ext xmlns:c16="http://schemas.microsoft.com/office/drawing/2014/chart" uri="{C3380CC4-5D6E-409C-BE32-E72D297353CC}">
              <c16:uniqueId val="{00000001-9473-4D8F-B5C3-BCD513A07152}"/>
            </c:ext>
          </c:extLst>
        </c:ser>
        <c:dLbls>
          <c:showLegendKey val="0"/>
          <c:showVal val="0"/>
          <c:showCatName val="0"/>
          <c:showSerName val="0"/>
          <c:showPercent val="0"/>
          <c:showBubbleSize val="0"/>
        </c:dLbls>
        <c:gapWidth val="182"/>
        <c:axId val="942360192"/>
        <c:axId val="942359712"/>
      </c:barChart>
      <c:catAx>
        <c:axId val="942360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942359712"/>
        <c:crosses val="autoZero"/>
        <c:auto val="1"/>
        <c:lblAlgn val="ctr"/>
        <c:lblOffset val="100"/>
        <c:noMultiLvlLbl val="0"/>
      </c:catAx>
      <c:valAx>
        <c:axId val="942359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94236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 Tables.xlsx]CapReg'!$B$21</c:f>
              <c:strCache>
                <c:ptCount val="1"/>
                <c:pt idx="0">
                  <c:v>Capital Cities</c:v>
                </c:pt>
              </c:strCache>
            </c:strRef>
          </c:tx>
          <c:spPr>
            <a:solidFill>
              <a:srgbClr val="893C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Tables.xlsx]CapReg'!$C$20:$E$20</c:f>
              <c:strCache>
                <c:ptCount val="3"/>
                <c:pt idx="0">
                  <c:v>Spend</c:v>
                </c:pt>
                <c:pt idx="1">
                  <c:v>Trips</c:v>
                </c:pt>
                <c:pt idx="2">
                  <c:v>Nights</c:v>
                </c:pt>
              </c:strCache>
            </c:strRef>
          </c:cat>
          <c:val>
            <c:numRef>
              <c:f>'[Summary Tables.xlsx]CapReg'!$C$21:$E$21</c:f>
              <c:numCache>
                <c:formatCode>0%</c:formatCode>
                <c:ptCount val="3"/>
                <c:pt idx="0">
                  <c:v>0.06</c:v>
                </c:pt>
                <c:pt idx="1">
                  <c:v>0.02</c:v>
                </c:pt>
                <c:pt idx="2">
                  <c:v>0.06</c:v>
                </c:pt>
              </c:numCache>
            </c:numRef>
          </c:val>
          <c:extLst>
            <c:ext xmlns:c16="http://schemas.microsoft.com/office/drawing/2014/chart" uri="{C3380CC4-5D6E-409C-BE32-E72D297353CC}">
              <c16:uniqueId val="{00000000-C6F7-4E4F-9DA2-E137912FB118}"/>
            </c:ext>
          </c:extLst>
        </c:ser>
        <c:ser>
          <c:idx val="1"/>
          <c:order val="1"/>
          <c:tx>
            <c:strRef>
              <c:f>'[Summary Tables.xlsx]CapReg'!$B$22</c:f>
              <c:strCache>
                <c:ptCount val="1"/>
                <c:pt idx="0">
                  <c:v>Regional Australia</c:v>
                </c:pt>
              </c:strCache>
            </c:strRef>
          </c:tx>
          <c:spPr>
            <a:solidFill>
              <a:srgbClr val="300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 Tables.xlsx]CapReg'!$C$20:$E$20</c:f>
              <c:strCache>
                <c:ptCount val="3"/>
                <c:pt idx="0">
                  <c:v>Spend</c:v>
                </c:pt>
                <c:pt idx="1">
                  <c:v>Trips</c:v>
                </c:pt>
                <c:pt idx="2">
                  <c:v>Nights</c:v>
                </c:pt>
              </c:strCache>
            </c:strRef>
          </c:cat>
          <c:val>
            <c:numRef>
              <c:f>'[Summary Tables.xlsx]CapReg'!$C$22:$E$22</c:f>
              <c:numCache>
                <c:formatCode>0%</c:formatCode>
                <c:ptCount val="3"/>
                <c:pt idx="0">
                  <c:v>-0.04</c:v>
                </c:pt>
                <c:pt idx="1">
                  <c:v>0</c:v>
                </c:pt>
                <c:pt idx="2">
                  <c:v>-0.05</c:v>
                </c:pt>
              </c:numCache>
            </c:numRef>
          </c:val>
          <c:extLst>
            <c:ext xmlns:c16="http://schemas.microsoft.com/office/drawing/2014/chart" uri="{C3380CC4-5D6E-409C-BE32-E72D297353CC}">
              <c16:uniqueId val="{00000001-C6F7-4E4F-9DA2-E137912FB118}"/>
            </c:ext>
          </c:extLst>
        </c:ser>
        <c:dLbls>
          <c:showLegendKey val="0"/>
          <c:showVal val="0"/>
          <c:showCatName val="0"/>
          <c:showSerName val="0"/>
          <c:showPercent val="0"/>
          <c:showBubbleSize val="0"/>
        </c:dLbls>
        <c:gapWidth val="219"/>
        <c:overlap val="-27"/>
        <c:axId val="543837856"/>
        <c:axId val="543833536"/>
      </c:barChart>
      <c:catAx>
        <c:axId val="5438378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833536"/>
        <c:crosses val="autoZero"/>
        <c:auto val="1"/>
        <c:lblAlgn val="ctr"/>
        <c:lblOffset val="100"/>
        <c:noMultiLvlLbl val="0"/>
      </c:catAx>
      <c:valAx>
        <c:axId val="543833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83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363980905380509"/>
          <c:y val="4.7464940668824167E-2"/>
          <c:w val="0.48937525812039862"/>
          <c:h val="0.85277985882832608"/>
        </c:manualLayout>
      </c:layout>
      <c:barChart>
        <c:barDir val="bar"/>
        <c:grouping val="clustered"/>
        <c:varyColors val="0"/>
        <c:ser>
          <c:idx val="0"/>
          <c:order val="0"/>
          <c:spPr>
            <a:solidFill>
              <a:srgbClr val="893C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'Lifecycle group'!$H$22:$H$32</c:f>
              <c:strCache>
                <c:ptCount val="11"/>
                <c:pt idx="0">
                  <c:v>Young single living alone/shared accommodation</c:v>
                </c:pt>
                <c:pt idx="1">
                  <c:v>Young/midlife couple, no kids</c:v>
                </c:pt>
                <c:pt idx="2">
                  <c:v>Young single living at home</c:v>
                </c:pt>
                <c:pt idx="3">
                  <c:v>Older non-working single</c:v>
                </c:pt>
                <c:pt idx="4">
                  <c:v>Older working single</c:v>
                </c:pt>
                <c:pt idx="5">
                  <c:v>Midlife single</c:v>
                </c:pt>
                <c:pt idx="6">
                  <c:v>Older working married person</c:v>
                </c:pt>
                <c:pt idx="7">
                  <c:v>Older non-working married person</c:v>
                </c:pt>
                <c:pt idx="8">
                  <c:v>Parent with youngest child aged 5 or less</c:v>
                </c:pt>
                <c:pt idx="9">
                  <c:v>Parent with youngest child aged 6-14</c:v>
                </c:pt>
                <c:pt idx="10">
                  <c:v>Parent with youngest child aged 15+ still living at home</c:v>
                </c:pt>
              </c:strCache>
            </c:strRef>
          </c:cat>
          <c:val>
            <c:numRef>
              <c:f>'Lifecycle group'!$I$22:$I$32</c:f>
              <c:numCache>
                <c:formatCode>0%</c:formatCode>
                <c:ptCount val="11"/>
                <c:pt idx="0">
                  <c:v>-0.25</c:v>
                </c:pt>
                <c:pt idx="1">
                  <c:v>-0.05</c:v>
                </c:pt>
                <c:pt idx="2">
                  <c:v>-0.03</c:v>
                </c:pt>
                <c:pt idx="3">
                  <c:v>-0.14000000000000001</c:v>
                </c:pt>
                <c:pt idx="4">
                  <c:v>-0.01</c:v>
                </c:pt>
                <c:pt idx="5">
                  <c:v>0.01</c:v>
                </c:pt>
                <c:pt idx="6">
                  <c:v>0.05</c:v>
                </c:pt>
                <c:pt idx="7">
                  <c:v>0.13</c:v>
                </c:pt>
                <c:pt idx="8">
                  <c:v>0.04</c:v>
                </c:pt>
                <c:pt idx="9">
                  <c:v>0.12</c:v>
                </c:pt>
                <c:pt idx="10">
                  <c:v>0.11</c:v>
                </c:pt>
              </c:numCache>
            </c:numRef>
          </c:val>
          <c:extLst>
            <c:ext xmlns:c16="http://schemas.microsoft.com/office/drawing/2014/chart" uri="{C3380CC4-5D6E-409C-BE32-E72D297353CC}">
              <c16:uniqueId val="{00000000-0EAE-4E88-9288-1C4F210C6ECC}"/>
            </c:ext>
          </c:extLst>
        </c:ser>
        <c:dLbls>
          <c:showLegendKey val="0"/>
          <c:showVal val="0"/>
          <c:showCatName val="0"/>
          <c:showSerName val="0"/>
          <c:showPercent val="0"/>
          <c:showBubbleSize val="0"/>
        </c:dLbls>
        <c:gapWidth val="182"/>
        <c:axId val="554306272"/>
        <c:axId val="554307712"/>
      </c:barChart>
      <c:catAx>
        <c:axId val="55430627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54307712"/>
        <c:crosses val="autoZero"/>
        <c:auto val="1"/>
        <c:lblAlgn val="ctr"/>
        <c:lblOffset val="100"/>
        <c:noMultiLvlLbl val="0"/>
      </c:catAx>
      <c:valAx>
        <c:axId val="55430771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306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2.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3.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5.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6.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National visitor survey results March quarter 2024</dc:title>
  <dc:subject/>
  <dc:creator/>
  <cp:keywords/>
  <dc:description/>
  <cp:lastModifiedBy/>
  <cp:revision>1</cp:revision>
  <dcterms:created xsi:type="dcterms:W3CDTF">2024-06-12T03:57:00Z</dcterms:created>
  <dcterms:modified xsi:type="dcterms:W3CDTF">2024-06-18T06:09:00Z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