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D200" w14:textId="15EDB644" w:rsidR="00D00EE0" w:rsidRPr="00DB6836" w:rsidRDefault="0010593E" w:rsidP="00D00EE0">
      <w:pPr>
        <w:pStyle w:val="Spacer-cover"/>
      </w:pPr>
      <w:r w:rsidRPr="00D204C3">
        <w:rPr>
          <w:noProof/>
          <w:lang w:eastAsia="en-AU"/>
        </w:rPr>
        <w:drawing>
          <wp:anchor distT="0" distB="0" distL="114300" distR="114300" simplePos="0" relativeHeight="251660288" behindDoc="1" locked="1" layoutInCell="1" allowOverlap="1" wp14:anchorId="39904319" wp14:editId="5AE97843">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D00EE0">
        <w:rPr>
          <w:noProof/>
          <w:lang w:eastAsia="en-AU"/>
        </w:rPr>
        <w:drawing>
          <wp:anchor distT="0" distB="0" distL="114300" distR="114300" simplePos="0" relativeHeight="251663360" behindDoc="1" locked="1" layoutInCell="1" allowOverlap="1" wp14:anchorId="4A3FF61E" wp14:editId="5DB8C92F">
            <wp:simplePos x="0" y="0"/>
            <wp:positionH relativeFrom="page">
              <wp:posOffset>472440</wp:posOffset>
            </wp:positionH>
            <wp:positionV relativeFrom="page">
              <wp:posOffset>467360</wp:posOffset>
            </wp:positionV>
            <wp:extent cx="3178175" cy="503555"/>
            <wp:effectExtent l="0" t="0" r="3175" b="0"/>
            <wp:wrapNone/>
            <wp:docPr id="9" name="Graphic 9" descr="Australian Trade and Investment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Australian Trade and Investment Commission Log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8175" cy="503555"/>
                    </a:xfrm>
                    <a:prstGeom prst="rect">
                      <a:avLst/>
                    </a:prstGeom>
                  </pic:spPr>
                </pic:pic>
              </a:graphicData>
            </a:graphic>
            <wp14:sizeRelH relativeFrom="margin">
              <wp14:pctWidth>0</wp14:pctWidth>
            </wp14:sizeRelH>
            <wp14:sizeRelV relativeFrom="margin">
              <wp14:pctHeight>0</wp14:pctHeight>
            </wp14:sizeRelV>
          </wp:anchor>
        </w:drawing>
      </w:r>
      <w:r w:rsidR="00D00EE0">
        <w:rPr>
          <w:noProof/>
          <w:lang w:eastAsia="en-AU"/>
        </w:rPr>
        <w:drawing>
          <wp:anchor distT="0" distB="0" distL="114300" distR="114300" simplePos="0" relativeHeight="251662336" behindDoc="1" locked="1" layoutInCell="1" allowOverlap="1" wp14:anchorId="11E0A7E5" wp14:editId="150AEF9C">
            <wp:simplePos x="0" y="0"/>
            <wp:positionH relativeFrom="page">
              <wp:posOffset>-104775</wp:posOffset>
            </wp:positionH>
            <wp:positionV relativeFrom="page">
              <wp:posOffset>9525</wp:posOffset>
            </wp:positionV>
            <wp:extent cx="7667625" cy="2790825"/>
            <wp:effectExtent l="0" t="0" r="9525" b="9525"/>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67625" cy="2790825"/>
                    </a:xfrm>
                    <a:prstGeom prst="rect">
                      <a:avLst/>
                    </a:prstGeom>
                  </pic:spPr>
                </pic:pic>
              </a:graphicData>
            </a:graphic>
            <wp14:sizeRelH relativeFrom="margin">
              <wp14:pctWidth>0</wp14:pctWidth>
            </wp14:sizeRelH>
            <wp14:sizeRelV relativeFrom="margin">
              <wp14:pctHeight>0</wp14:pctHeight>
            </wp14:sizeRelV>
          </wp:anchor>
        </w:drawing>
      </w:r>
    </w:p>
    <w:p w14:paraId="0FA159CE" w14:textId="7424AA2F" w:rsidR="00D00EE0" w:rsidRDefault="00BA2A4E" w:rsidP="00223B43">
      <w:pPr>
        <w:pStyle w:val="Title"/>
        <w:rPr>
          <w:sz w:val="36"/>
          <w:szCs w:val="36"/>
        </w:rPr>
      </w:pPr>
      <w:r w:rsidRPr="00D00EE0">
        <w:rPr>
          <w:sz w:val="36"/>
          <w:szCs w:val="36"/>
        </w:rPr>
        <w:t>N</w:t>
      </w:r>
      <w:r w:rsidR="00E2779A" w:rsidRPr="00D00EE0">
        <w:rPr>
          <w:sz w:val="36"/>
          <w:szCs w:val="36"/>
        </w:rPr>
        <w:t xml:space="preserve">ATIONAL VISITOR SURVEY RESULTS </w:t>
      </w:r>
    </w:p>
    <w:p w14:paraId="16A51BAA" w14:textId="1EB80D94" w:rsidR="00B96FF7" w:rsidRDefault="002A6A70" w:rsidP="00223B43">
      <w:pPr>
        <w:pStyle w:val="Title"/>
        <w:rPr>
          <w:sz w:val="36"/>
          <w:szCs w:val="36"/>
        </w:rPr>
      </w:pPr>
      <w:r>
        <w:rPr>
          <w:noProof/>
        </w:rPr>
        <w:drawing>
          <wp:anchor distT="0" distB="0" distL="114300" distR="114300" simplePos="0" relativeHeight="251664384" behindDoc="1" locked="0" layoutInCell="1" allowOverlap="1" wp14:anchorId="0567F52E" wp14:editId="1574DEA0">
            <wp:simplePos x="0" y="0"/>
            <wp:positionH relativeFrom="margin">
              <wp:posOffset>-361950</wp:posOffset>
            </wp:positionH>
            <wp:positionV relativeFrom="paragraph">
              <wp:posOffset>333375</wp:posOffset>
            </wp:positionV>
            <wp:extent cx="7372350" cy="781685"/>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7"/>
                    <a:stretch>
                      <a:fillRect/>
                    </a:stretch>
                  </pic:blipFill>
                  <pic:spPr>
                    <a:xfrm>
                      <a:off x="0" y="0"/>
                      <a:ext cx="7372350" cy="781685"/>
                    </a:xfrm>
                    <a:prstGeom prst="rect">
                      <a:avLst/>
                    </a:prstGeom>
                  </pic:spPr>
                </pic:pic>
              </a:graphicData>
            </a:graphic>
            <wp14:sizeRelH relativeFrom="margin">
              <wp14:pctWidth>0</wp14:pctWidth>
            </wp14:sizeRelH>
            <wp14:sizeRelV relativeFrom="margin">
              <wp14:pctHeight>0</wp14:pctHeight>
            </wp14:sizeRelV>
          </wp:anchor>
        </w:drawing>
      </w:r>
      <w:r w:rsidR="00B4176F" w:rsidRPr="00D00EE0">
        <w:rPr>
          <w:sz w:val="36"/>
          <w:szCs w:val="36"/>
        </w:rPr>
        <w:t>JUNE</w:t>
      </w:r>
      <w:r w:rsidR="00E2779A" w:rsidRPr="00D00EE0">
        <w:rPr>
          <w:sz w:val="36"/>
          <w:szCs w:val="36"/>
        </w:rPr>
        <w:t xml:space="preserve"> QUARTER 202</w:t>
      </w:r>
      <w:r w:rsidR="00C43C01" w:rsidRPr="00D00EE0">
        <w:rPr>
          <w:sz w:val="36"/>
          <w:szCs w:val="36"/>
        </w:rPr>
        <w:t>3</w:t>
      </w:r>
    </w:p>
    <w:p w14:paraId="41AFFF9B" w14:textId="21468C09" w:rsidR="002A6A70" w:rsidRDefault="002A6A70" w:rsidP="002A6A70"/>
    <w:p w14:paraId="736744A6" w14:textId="6AD6DC1C" w:rsidR="00165E47" w:rsidRDefault="00165E47" w:rsidP="00572276">
      <w:pPr>
        <w:pStyle w:val="Heading2"/>
        <w:rPr>
          <w:sz w:val="2"/>
          <w:szCs w:val="2"/>
        </w:rPr>
      </w:pPr>
    </w:p>
    <w:p w14:paraId="5EE4B5F4" w14:textId="40BE2A4B" w:rsidR="002A6A70" w:rsidRPr="002A6A70" w:rsidRDefault="002A6A70" w:rsidP="002A6A70"/>
    <w:p w14:paraId="49E7B41F" w14:textId="77777777" w:rsidR="00603236" w:rsidRPr="00C618FA" w:rsidRDefault="00603236" w:rsidP="009D3C84"/>
    <w:p w14:paraId="5C9F6959" w14:textId="17D31650" w:rsidR="00F1258B" w:rsidRDefault="00CC5940" w:rsidP="00F1258B">
      <w:pPr>
        <w:pStyle w:val="Heading2"/>
        <w:spacing w:before="160"/>
      </w:pPr>
      <w:r w:rsidRPr="00CC5940">
        <w:t>June</w:t>
      </w:r>
      <w:r w:rsidR="00584BF4" w:rsidRPr="00CC5940">
        <w:t xml:space="preserve"> quarter 202</w:t>
      </w:r>
      <w:r w:rsidR="00C43C01" w:rsidRPr="00CC5940">
        <w:t>3</w:t>
      </w:r>
    </w:p>
    <w:p w14:paraId="79909955" w14:textId="703D4272" w:rsidR="00584BF4" w:rsidRDefault="00667C08" w:rsidP="00F1258B">
      <w:pPr>
        <w:pStyle w:val="Heading2"/>
        <w:spacing w:before="160"/>
      </w:pPr>
      <w:r>
        <w:rPr>
          <w:noProof/>
        </w:rPr>
        <w:drawing>
          <wp:inline distT="0" distB="0" distL="0" distR="0" wp14:anchorId="792B154F" wp14:editId="64085C87">
            <wp:extent cx="6645910" cy="721995"/>
            <wp:effectExtent l="0" t="0" r="2540" b="1905"/>
            <wp:docPr id="7" name="Picture 7" descr="In the June quarter 2023:&#10;&#10;Overnight spend was $25.5 billion, up 1% on the June quarter 2022&#10;&#10;Overnight trips were 27.8 million, down 2% on the June quarter 2022&#10;&#10;Nights away were 94.9 million, down 5% on the June quarter 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 the June quarter 2023:&#10;&#10;Overnight spend was $25.5 billion, up 1% on the June quarter 2022&#10;&#10;Overnight trips were 27.8 million, down 2% on the June quarter 2022&#10;&#10;Nights away were 94.9 million, down 5% on the June quarter 2022&#10;"/>
                    <pic:cNvPicPr/>
                  </pic:nvPicPr>
                  <pic:blipFill>
                    <a:blip r:embed="rId18"/>
                    <a:stretch>
                      <a:fillRect/>
                    </a:stretch>
                  </pic:blipFill>
                  <pic:spPr>
                    <a:xfrm>
                      <a:off x="0" y="0"/>
                      <a:ext cx="6645910" cy="721995"/>
                    </a:xfrm>
                    <a:prstGeom prst="rect">
                      <a:avLst/>
                    </a:prstGeom>
                  </pic:spPr>
                </pic:pic>
              </a:graphicData>
            </a:graphic>
          </wp:inline>
        </w:drawing>
      </w:r>
      <w:r w:rsidR="00B72F01">
        <w:rPr>
          <w:noProof/>
        </w:rPr>
        <w:t xml:space="preserve"> </w:t>
      </w:r>
    </w:p>
    <w:p w14:paraId="300CD985" w14:textId="2E9B7894" w:rsidR="00B43476" w:rsidRPr="00FD5168" w:rsidRDefault="00B43476" w:rsidP="00B43476">
      <w:pPr>
        <w:pStyle w:val="Heading2"/>
        <w:spacing w:before="160"/>
      </w:pPr>
      <w:r w:rsidRPr="00773C4B">
        <w:t xml:space="preserve">Year ending </w:t>
      </w:r>
      <w:r w:rsidR="00773C4B" w:rsidRPr="00773C4B">
        <w:t>June</w:t>
      </w:r>
      <w:r w:rsidRPr="00773C4B">
        <w:t xml:space="preserve"> 202</w:t>
      </w:r>
      <w:r w:rsidR="00C43C01" w:rsidRPr="00773C4B">
        <w:t>3</w:t>
      </w:r>
    </w:p>
    <w:p w14:paraId="71707554" w14:textId="108AF2A0" w:rsidR="00B72F01" w:rsidRDefault="00667C08" w:rsidP="00B43476">
      <w:r>
        <w:rPr>
          <w:noProof/>
        </w:rPr>
        <w:drawing>
          <wp:inline distT="0" distB="0" distL="0" distR="0" wp14:anchorId="3D8AAEFB" wp14:editId="24AF4A54">
            <wp:extent cx="6645910" cy="718185"/>
            <wp:effectExtent l="0" t="0" r="2540" b="5715"/>
            <wp:docPr id="8" name="Picture 8" descr="In the year ending June 2023:&#10;&#10;Overnight spend was $108.3 billion, up 57% on the year ending June 2022&#10;&#10;Overnight trips were 111.4 million, up 30% on the year ending June 2022&#10;&#10;Nights away were 404.7 million, up 24% on the year ending June 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 the year ending June 2023:&#10;&#10;Overnight spend was $108.3 billion, up 57% on the year ending June 2022&#10;&#10;Overnight trips were 111.4 million, up 30% on the year ending June 2022&#10;&#10;Nights away were 404.7 million, up 24% on the year ending June 2022&#10;"/>
                    <pic:cNvPicPr/>
                  </pic:nvPicPr>
                  <pic:blipFill>
                    <a:blip r:embed="rId19"/>
                    <a:stretch>
                      <a:fillRect/>
                    </a:stretch>
                  </pic:blipFill>
                  <pic:spPr>
                    <a:xfrm>
                      <a:off x="0" y="0"/>
                      <a:ext cx="6645910" cy="718185"/>
                    </a:xfrm>
                    <a:prstGeom prst="rect">
                      <a:avLst/>
                    </a:prstGeom>
                  </pic:spPr>
                </pic:pic>
              </a:graphicData>
            </a:graphic>
          </wp:inline>
        </w:drawing>
      </w:r>
    </w:p>
    <w:p w14:paraId="0D0D9D18" w14:textId="502CCBFE" w:rsidR="003F07B9" w:rsidRDefault="003F07B9" w:rsidP="002A6A70">
      <w:pPr>
        <w:pStyle w:val="Heading2"/>
        <w:spacing w:before="240"/>
      </w:pPr>
      <w:r>
        <w:t xml:space="preserve">Domestic </w:t>
      </w:r>
      <w:r w:rsidR="003D5229">
        <w:t>t</w:t>
      </w:r>
      <w:r>
        <w:t xml:space="preserve">ourism shows signs of </w:t>
      </w:r>
      <w:r w:rsidR="002C6A53">
        <w:t>softening</w:t>
      </w:r>
      <w:r w:rsidR="00603236">
        <w:t xml:space="preserve"> following strong </w:t>
      </w:r>
      <w:proofErr w:type="gramStart"/>
      <w:r w:rsidR="00603236">
        <w:t>recovery</w:t>
      </w:r>
      <w:proofErr w:type="gramEnd"/>
    </w:p>
    <w:p w14:paraId="5A0F27A3" w14:textId="551C84D4" w:rsidR="00603236" w:rsidRDefault="00A874D1" w:rsidP="00024E9B">
      <w:r>
        <w:t>The year ending June 2023</w:t>
      </w:r>
      <w:r w:rsidR="009D3C84">
        <w:t xml:space="preserve"> results</w:t>
      </w:r>
      <w:r w:rsidR="00603236">
        <w:t xml:space="preserve"> saw</w:t>
      </w:r>
      <w:r w:rsidR="009D3C84">
        <w:t xml:space="preserve"> a</w:t>
      </w:r>
      <w:r w:rsidR="00603236">
        <w:t xml:space="preserve"> strong recovery from the COVID-19 impacted </w:t>
      </w:r>
      <w:r>
        <w:t>year ending June 2022</w:t>
      </w:r>
      <w:r w:rsidR="00603236">
        <w:t>, with improvements in overnight spend (up 57%), trips (up 30%) and nights (up 24%). However, d</w:t>
      </w:r>
      <w:r w:rsidR="000B7FC6">
        <w:t>omestic tourism soften</w:t>
      </w:r>
      <w:r w:rsidR="007D69C5">
        <w:t>ed</w:t>
      </w:r>
      <w:r w:rsidR="000B7FC6">
        <w:t xml:space="preserve"> in</w:t>
      </w:r>
      <w:r w:rsidR="005F1BE3">
        <w:t xml:space="preserve"> the</w:t>
      </w:r>
      <w:r w:rsidR="000B7FC6">
        <w:t xml:space="preserve"> June quarter 2023</w:t>
      </w:r>
      <w:r w:rsidR="00603236">
        <w:t xml:space="preserve">, recording </w:t>
      </w:r>
      <w:r w:rsidR="004745F9">
        <w:t>the</w:t>
      </w:r>
      <w:r w:rsidR="007D69C5">
        <w:t xml:space="preserve"> weakest quarterly result since the delta variant</w:t>
      </w:r>
      <w:r w:rsidR="00331304">
        <w:t xml:space="preserve"> impacted travel</w:t>
      </w:r>
      <w:r w:rsidR="007D69C5">
        <w:t xml:space="preserve"> in December</w:t>
      </w:r>
      <w:r w:rsidR="00331304">
        <w:t xml:space="preserve"> quarter</w:t>
      </w:r>
      <w:r w:rsidR="007D69C5">
        <w:t xml:space="preserve"> 2021</w:t>
      </w:r>
      <w:r w:rsidR="000B7FC6">
        <w:t xml:space="preserve">. </w:t>
      </w:r>
    </w:p>
    <w:p w14:paraId="46CCD664" w14:textId="076F4DC6" w:rsidR="007D69C5" w:rsidRDefault="000B7FC6" w:rsidP="00024E9B">
      <w:r>
        <w:t xml:space="preserve">Spend increased 1% </w:t>
      </w:r>
      <w:r w:rsidR="00603236">
        <w:t xml:space="preserve">but </w:t>
      </w:r>
      <w:r>
        <w:t>trips and nights fell 2% and 5% respectively</w:t>
      </w:r>
      <w:r w:rsidR="007D69C5">
        <w:t xml:space="preserve">. </w:t>
      </w:r>
      <w:r w:rsidR="002F4E0D">
        <w:t>B</w:t>
      </w:r>
      <w:r w:rsidR="001A5137">
        <w:t>usiness</w:t>
      </w:r>
      <w:r w:rsidR="002F4E0D">
        <w:t xml:space="preserve"> spend continued to recover strongly</w:t>
      </w:r>
      <w:r w:rsidR="00786121">
        <w:t>,</w:t>
      </w:r>
      <w:r w:rsidR="001A5137">
        <w:t xml:space="preserve"> </w:t>
      </w:r>
      <w:r w:rsidR="002F4E0D">
        <w:t>however</w:t>
      </w:r>
      <w:r w:rsidR="001A5137">
        <w:t xml:space="preserve"> was offset by falls in</w:t>
      </w:r>
      <w:r w:rsidR="002F4E0D">
        <w:t xml:space="preserve"> spending on</w:t>
      </w:r>
      <w:r w:rsidR="001A5137">
        <w:t xml:space="preserve"> holiday</w:t>
      </w:r>
      <w:r w:rsidR="002F4E0D">
        <w:t>s</w:t>
      </w:r>
      <w:r w:rsidR="00E21A11">
        <w:t xml:space="preserve"> and visiting friends and relatives</w:t>
      </w:r>
      <w:r w:rsidR="001A5137">
        <w:t xml:space="preserve"> as cost-of-living pressures impacted discretionary </w:t>
      </w:r>
      <w:r w:rsidR="00786121">
        <w:t xml:space="preserve">household </w:t>
      </w:r>
      <w:r w:rsidR="007A4FA7">
        <w:t xml:space="preserve">consumption </w:t>
      </w:r>
      <w:r w:rsidR="00E21A11">
        <w:t>(</w:t>
      </w:r>
      <w:r w:rsidR="007A4FA7">
        <w:t xml:space="preserve">down 0.5 in June quarter 2023 based on </w:t>
      </w:r>
      <w:hyperlink r:id="rId20" w:history="1">
        <w:r w:rsidR="007A4FA7" w:rsidRPr="007A4FA7">
          <w:rPr>
            <w:rStyle w:val="Hyperlink"/>
          </w:rPr>
          <w:t>ABS national accounts</w:t>
        </w:r>
      </w:hyperlink>
      <w:r w:rsidR="007A4FA7">
        <w:t xml:space="preserve"> data</w:t>
      </w:r>
      <w:r w:rsidR="00E21A11">
        <w:t>)</w:t>
      </w:r>
      <w:r w:rsidR="001A5137">
        <w:t>.</w:t>
      </w:r>
      <w:r w:rsidR="00C77A5D">
        <w:t xml:space="preserve"> </w:t>
      </w:r>
    </w:p>
    <w:p w14:paraId="4FAF0B0A" w14:textId="105BB38B" w:rsidR="00055731" w:rsidRPr="00055731" w:rsidRDefault="00055731" w:rsidP="00126B19">
      <w:pPr>
        <w:spacing w:after="0"/>
        <w:rPr>
          <w:b/>
          <w:bCs/>
        </w:rPr>
      </w:pPr>
      <w:r w:rsidRPr="001B5E50">
        <w:rPr>
          <w:b/>
          <w:bCs/>
        </w:rPr>
        <w:t xml:space="preserve">Figure </w:t>
      </w:r>
      <w:r>
        <w:rPr>
          <w:b/>
          <w:bCs/>
        </w:rPr>
        <w:t>1</w:t>
      </w:r>
      <w:r w:rsidRPr="001B5E50">
        <w:rPr>
          <w:b/>
          <w:bCs/>
        </w:rPr>
        <w:t xml:space="preserve">. </w:t>
      </w:r>
      <w:r>
        <w:rPr>
          <w:b/>
          <w:bCs/>
        </w:rPr>
        <w:t xml:space="preserve">Percent change </w:t>
      </w:r>
      <w:r w:rsidR="008805E0">
        <w:rPr>
          <w:b/>
          <w:bCs/>
        </w:rPr>
        <w:t xml:space="preserve">for spend, overnight trips and nights </w:t>
      </w:r>
      <w:r>
        <w:rPr>
          <w:b/>
          <w:bCs/>
        </w:rPr>
        <w:t>compared the same period in the previous year</w:t>
      </w:r>
      <w:r w:rsidR="008805E0">
        <w:rPr>
          <w:b/>
          <w:bCs/>
        </w:rPr>
        <w:t xml:space="preserve">, December quarter 2021 to June quarter </w:t>
      </w:r>
      <w:proofErr w:type="gramStart"/>
      <w:r w:rsidR="008805E0">
        <w:rPr>
          <w:b/>
          <w:bCs/>
        </w:rPr>
        <w:t>2023</w:t>
      </w:r>
      <w:proofErr w:type="gramEnd"/>
    </w:p>
    <w:p w14:paraId="74F66B88" w14:textId="48E4DC94" w:rsidR="007D69C5" w:rsidRDefault="00603236" w:rsidP="00126B19">
      <w:pPr>
        <w:jc w:val="center"/>
        <w:rPr>
          <w:b/>
          <w:bCs/>
          <w:color w:val="1E988A" w:themeColor="background2"/>
          <w:sz w:val="26"/>
          <w:szCs w:val="26"/>
        </w:rPr>
      </w:pPr>
      <w:r>
        <w:rPr>
          <w:b/>
          <w:bCs/>
          <w:noProof/>
          <w:color w:val="1E988A" w:themeColor="background2"/>
          <w:sz w:val="26"/>
          <w:szCs w:val="26"/>
        </w:rPr>
        <w:drawing>
          <wp:inline distT="0" distB="0" distL="0" distR="0" wp14:anchorId="74B8009F" wp14:editId="5B59DED9">
            <wp:extent cx="6950075" cy="2415742"/>
            <wp:effectExtent l="0" t="0" r="3175" b="3810"/>
            <wp:docPr id="17" name="Picture 17" descr="Figure 1 shows the percent change for spend, overnight trips and nights compared the same period in the previous year, for the December quarter 2021 to the June quarter 2023&#10;&#10;Compared to the same period in the previous year, spend in:&#10;• the December quarter 2021 was down 1%&#10;• the March quarter 2022 was up 14%&#10;• the June quarter 2022 was up 29%&#10;• the September quarter 2022 was up 201%&#10;• the December quarter 2022 was up 96%&#10;• the March quarter 2023 was up 33%&#10;• the June quarter 2023 was up 1%&#10;&#10;Compared to the same period in the previous year, overnight trips in:&#10;• the December quarter 2021 was down 3%&#10;• the March quarter 2022 was on par&#10;• the June quarter 2022 was up 15%&#10;• the September quarter 2022 was up 133%&#10;• the December quarter 2022 was up 32%&#10;• the March quarter 2023 was up 15%&#10;• the June quarter 2023 was down 2%&#10; &#10;Compared to the same period in the previous year, nights away in:&#10;• the December quarter 2021 was down 5%&#10;• the March quarter 2022 was down 3%&#10;• the June quarter 2022 was up 10%&#10;• the September quarter 2022 was up 92%&#10;• the December quarter 2022 was up 31%&#10;• the March quarter 2023 was up 10%&#10;• the June quarter 2023 was down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1 shows the percent change for spend, overnight trips and nights compared the same period in the previous year, for the December quarter 2021 to the June quarter 2023&#10;&#10;Compared to the same period in the previous year, spend in:&#10;• the December quarter 2021 was down 1%&#10;• the March quarter 2022 was up 14%&#10;• the June quarter 2022 was up 29%&#10;• the September quarter 2022 was up 201%&#10;• the December quarter 2022 was up 96%&#10;• the March quarter 2023 was up 33%&#10;• the June quarter 2023 was up 1%&#10;&#10;Compared to the same period in the previous year, overnight trips in:&#10;• the December quarter 2021 was down 3%&#10;• the March quarter 2022 was on par&#10;• the June quarter 2022 was up 15%&#10;• the September quarter 2022 was up 133%&#10;• the December quarter 2022 was up 32%&#10;• the March quarter 2023 was up 15%&#10;• the June quarter 2023 was down 2%&#10; &#10;Compared to the same period in the previous year, nights away in:&#10;• the December quarter 2021 was down 5%&#10;• the March quarter 2022 was down 3%&#10;• the June quarter 2022 was up 10%&#10;• the September quarter 2022 was up 92%&#10;• the December quarter 2022 was up 31%&#10;• the March quarter 2023 was up 10%&#10;• the June quarter 2023 was down 5%&#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50075" cy="2415742"/>
                    </a:xfrm>
                    <a:prstGeom prst="rect">
                      <a:avLst/>
                    </a:prstGeom>
                    <a:noFill/>
                  </pic:spPr>
                </pic:pic>
              </a:graphicData>
            </a:graphic>
          </wp:inline>
        </w:drawing>
      </w:r>
    </w:p>
    <w:p w14:paraId="4C4EED21" w14:textId="77777777" w:rsidR="00603236" w:rsidRDefault="00603236" w:rsidP="002B049C">
      <w:pPr>
        <w:rPr>
          <w:b/>
          <w:bCs/>
          <w:color w:val="1E988A" w:themeColor="background2"/>
          <w:sz w:val="26"/>
          <w:szCs w:val="26"/>
        </w:rPr>
      </w:pPr>
    </w:p>
    <w:p w14:paraId="04FA0B35" w14:textId="032F6554" w:rsidR="002B049C" w:rsidRDefault="004F1FFC" w:rsidP="002B049C">
      <w:pPr>
        <w:rPr>
          <w:b/>
          <w:bCs/>
          <w:color w:val="1E988A" w:themeColor="background2"/>
          <w:sz w:val="26"/>
          <w:szCs w:val="26"/>
        </w:rPr>
      </w:pPr>
      <w:r>
        <w:rPr>
          <w:b/>
          <w:bCs/>
          <w:color w:val="1E988A" w:themeColor="background2"/>
          <w:sz w:val="26"/>
          <w:szCs w:val="26"/>
        </w:rPr>
        <w:t xml:space="preserve">Strength in business travel supports spend </w:t>
      </w:r>
      <w:proofErr w:type="gramStart"/>
      <w:r>
        <w:rPr>
          <w:b/>
          <w:bCs/>
          <w:color w:val="1E988A" w:themeColor="background2"/>
          <w:sz w:val="26"/>
          <w:szCs w:val="26"/>
        </w:rPr>
        <w:t>results</w:t>
      </w:r>
      <w:proofErr w:type="gramEnd"/>
      <w:r w:rsidR="002B049C">
        <w:rPr>
          <w:b/>
          <w:bCs/>
          <w:color w:val="1E988A" w:themeColor="background2"/>
          <w:sz w:val="26"/>
          <w:szCs w:val="26"/>
        </w:rPr>
        <w:t xml:space="preserve"> </w:t>
      </w:r>
    </w:p>
    <w:p w14:paraId="3739AAFD" w14:textId="5451E63D" w:rsidR="00B72ABD" w:rsidRDefault="004F1FFC" w:rsidP="004E7D20">
      <w:r w:rsidRPr="004F1FFC">
        <w:t>Business travel</w:t>
      </w:r>
      <w:r w:rsidR="004E7D20">
        <w:t xml:space="preserve"> spend</w:t>
      </w:r>
      <w:r w:rsidR="00B72ABD">
        <w:t xml:space="preserve"> in June quarter 2023</w:t>
      </w:r>
      <w:r w:rsidRPr="004F1FFC">
        <w:t xml:space="preserve"> continued to </w:t>
      </w:r>
      <w:r w:rsidR="004E7D20">
        <w:t>strengthen</w:t>
      </w:r>
      <w:r w:rsidRPr="004F1FFC">
        <w:t xml:space="preserve"> after a slower recovery</w:t>
      </w:r>
      <w:r w:rsidR="004E7D20">
        <w:t xml:space="preserve"> from the pandemic. This was offset by weaker spend on</w:t>
      </w:r>
      <w:r w:rsidR="00B72ABD">
        <w:t xml:space="preserve"> travel for</w:t>
      </w:r>
      <w:r w:rsidR="004E7D20">
        <w:t xml:space="preserve"> holiday and visiting friends and relatives</w:t>
      </w:r>
      <w:r w:rsidR="00B72ABD">
        <w:t xml:space="preserve"> </w:t>
      </w:r>
      <w:r w:rsidR="00054C78" w:rsidRPr="00B72ABD">
        <w:rPr>
          <w:rFonts w:asciiTheme="majorHAnsi" w:hAnsiTheme="majorHAnsi"/>
        </w:rPr>
        <w:t>(VFR)</w:t>
      </w:r>
      <w:r w:rsidR="00054C78">
        <w:rPr>
          <w:rFonts w:asciiTheme="majorHAnsi" w:hAnsiTheme="majorHAnsi"/>
        </w:rPr>
        <w:t xml:space="preserve"> </w:t>
      </w:r>
      <w:r w:rsidR="00B72ABD">
        <w:t>purposes</w:t>
      </w:r>
      <w:r w:rsidR="004E7D20">
        <w:t>. In the June quarter 2023</w:t>
      </w:r>
      <w:r w:rsidR="00B72ABD">
        <w:t xml:space="preserve"> Australians spent</w:t>
      </w:r>
      <w:r w:rsidR="009D3C84">
        <w:t xml:space="preserve"> (when compared to June quarter 2022)</w:t>
      </w:r>
      <w:r w:rsidR="00B72ABD">
        <w:t xml:space="preserve">: </w:t>
      </w:r>
    </w:p>
    <w:p w14:paraId="4A15AB44" w14:textId="4618B1FC" w:rsidR="00B72ABD" w:rsidRPr="00B72ABD" w:rsidRDefault="00B72ABD" w:rsidP="00B72ABD">
      <w:pPr>
        <w:pStyle w:val="ListParagraph"/>
        <w:numPr>
          <w:ilvl w:val="0"/>
          <w:numId w:val="4"/>
        </w:numPr>
        <w:rPr>
          <w:rFonts w:asciiTheme="majorHAnsi" w:hAnsiTheme="majorHAnsi"/>
        </w:rPr>
      </w:pPr>
      <w:r w:rsidRPr="00B72ABD">
        <w:rPr>
          <w:rFonts w:asciiTheme="majorHAnsi" w:hAnsiTheme="majorHAnsi"/>
        </w:rPr>
        <w:t xml:space="preserve">$6.9 billion while on business trips </w:t>
      </w:r>
      <w:r w:rsidR="009D3C84">
        <w:rPr>
          <w:rFonts w:asciiTheme="majorHAnsi" w:hAnsiTheme="majorHAnsi"/>
        </w:rPr>
        <w:t>(</w:t>
      </w:r>
      <w:r w:rsidRPr="00B72ABD">
        <w:rPr>
          <w:rFonts w:asciiTheme="majorHAnsi" w:hAnsiTheme="majorHAnsi"/>
        </w:rPr>
        <w:t>up $2.1 billion or 44%</w:t>
      </w:r>
      <w:r w:rsidR="009D3C84">
        <w:rPr>
          <w:rFonts w:asciiTheme="majorHAnsi" w:hAnsiTheme="majorHAnsi"/>
        </w:rPr>
        <w:t>)</w:t>
      </w:r>
    </w:p>
    <w:p w14:paraId="0109686C" w14:textId="6BFE99EE" w:rsidR="00B72ABD" w:rsidRPr="00B72ABD" w:rsidRDefault="00B72ABD" w:rsidP="00B72ABD">
      <w:pPr>
        <w:pStyle w:val="ListParagraph"/>
        <w:numPr>
          <w:ilvl w:val="0"/>
          <w:numId w:val="4"/>
        </w:numPr>
        <w:rPr>
          <w:rFonts w:asciiTheme="majorHAnsi" w:hAnsiTheme="majorHAnsi"/>
        </w:rPr>
      </w:pPr>
      <w:r w:rsidRPr="00B72ABD">
        <w:rPr>
          <w:rFonts w:asciiTheme="majorHAnsi" w:hAnsiTheme="majorHAnsi"/>
        </w:rPr>
        <w:t xml:space="preserve">$12.7 billion while on holiday </w:t>
      </w:r>
      <w:r w:rsidR="009D3C84">
        <w:rPr>
          <w:rFonts w:asciiTheme="majorHAnsi" w:hAnsiTheme="majorHAnsi"/>
        </w:rPr>
        <w:t>(</w:t>
      </w:r>
      <w:r w:rsidRPr="00B72ABD">
        <w:rPr>
          <w:rFonts w:asciiTheme="majorHAnsi" w:hAnsiTheme="majorHAnsi"/>
        </w:rPr>
        <w:t>down $1.3 billion or 9%</w:t>
      </w:r>
      <w:r w:rsidR="009D3C84">
        <w:rPr>
          <w:rFonts w:asciiTheme="majorHAnsi" w:hAnsiTheme="majorHAnsi"/>
        </w:rPr>
        <w:t>)</w:t>
      </w:r>
    </w:p>
    <w:p w14:paraId="156E0189" w14:textId="4739D9E8" w:rsidR="002B049C" w:rsidRDefault="00B72ABD" w:rsidP="002B049C">
      <w:pPr>
        <w:pStyle w:val="ListParagraph"/>
        <w:numPr>
          <w:ilvl w:val="0"/>
          <w:numId w:val="4"/>
        </w:numPr>
        <w:rPr>
          <w:rFonts w:asciiTheme="majorHAnsi" w:hAnsiTheme="majorHAnsi"/>
        </w:rPr>
      </w:pPr>
      <w:r w:rsidRPr="00B72ABD">
        <w:rPr>
          <w:rFonts w:asciiTheme="majorHAnsi" w:hAnsiTheme="majorHAnsi"/>
        </w:rPr>
        <w:t xml:space="preserve">$5.0 billion while visiting friends and relatives </w:t>
      </w:r>
      <w:r w:rsidR="009D3C84">
        <w:rPr>
          <w:rFonts w:asciiTheme="majorHAnsi" w:hAnsiTheme="majorHAnsi"/>
        </w:rPr>
        <w:t>(</w:t>
      </w:r>
      <w:r w:rsidRPr="00B72ABD">
        <w:rPr>
          <w:rFonts w:asciiTheme="majorHAnsi" w:hAnsiTheme="majorHAnsi"/>
        </w:rPr>
        <w:t>down $0.4 billion or 8%</w:t>
      </w:r>
      <w:r w:rsidR="009D3C84">
        <w:rPr>
          <w:rFonts w:asciiTheme="majorHAnsi" w:hAnsiTheme="majorHAnsi"/>
        </w:rPr>
        <w:t>)</w:t>
      </w:r>
    </w:p>
    <w:p w14:paraId="3776C5AA" w14:textId="77777777" w:rsidR="00EB006A" w:rsidRPr="00EB006A" w:rsidRDefault="00EB006A" w:rsidP="00EB006A">
      <w:pPr>
        <w:rPr>
          <w:rFonts w:asciiTheme="majorHAnsi" w:hAnsiTheme="majorHAnsi"/>
          <w:sz w:val="16"/>
          <w:szCs w:val="16"/>
        </w:rPr>
      </w:pPr>
    </w:p>
    <w:p w14:paraId="383DB22C" w14:textId="4505370D" w:rsidR="002B049C" w:rsidRPr="005C32DA" w:rsidRDefault="002B049C" w:rsidP="00024E9B">
      <w:pPr>
        <w:rPr>
          <w:b/>
          <w:bCs/>
        </w:rPr>
      </w:pPr>
      <w:r w:rsidRPr="005C32DA">
        <w:rPr>
          <w:b/>
          <w:bCs/>
        </w:rPr>
        <w:t xml:space="preserve">Figure 2: Overnight </w:t>
      </w:r>
      <w:r w:rsidR="00B72ABD">
        <w:rPr>
          <w:b/>
          <w:bCs/>
        </w:rPr>
        <w:t>spend</w:t>
      </w:r>
      <w:r w:rsidRPr="005C32DA">
        <w:rPr>
          <w:b/>
          <w:bCs/>
        </w:rPr>
        <w:t xml:space="preserve"> by purpose, June quarter 2023 compared to </w:t>
      </w:r>
      <w:r w:rsidR="00A92E28">
        <w:rPr>
          <w:b/>
          <w:bCs/>
        </w:rPr>
        <w:t xml:space="preserve">June quarter </w:t>
      </w:r>
      <w:r w:rsidRPr="005C32DA">
        <w:rPr>
          <w:b/>
          <w:bCs/>
        </w:rPr>
        <w:t>2022</w:t>
      </w:r>
      <w:r w:rsidR="00C77A5D">
        <w:rPr>
          <w:b/>
          <w:bCs/>
        </w:rPr>
        <w:t xml:space="preserve"> (</w:t>
      </w:r>
      <w:r w:rsidR="00B72ABD">
        <w:rPr>
          <w:b/>
          <w:bCs/>
        </w:rPr>
        <w:t>$ billion</w:t>
      </w:r>
      <w:r w:rsidR="00C77A5D">
        <w:rPr>
          <w:b/>
          <w:bCs/>
        </w:rPr>
        <w:t>)</w:t>
      </w:r>
    </w:p>
    <w:p w14:paraId="31E90DD0" w14:textId="091DAF0B" w:rsidR="002B049C" w:rsidRDefault="00366A29" w:rsidP="002B049C">
      <w:pPr>
        <w:jc w:val="center"/>
        <w:rPr>
          <w:b/>
          <w:bCs/>
          <w:color w:val="1E988A" w:themeColor="accent3"/>
          <w:sz w:val="22"/>
          <w:szCs w:val="22"/>
        </w:rPr>
      </w:pPr>
      <w:r>
        <w:rPr>
          <w:b/>
          <w:bCs/>
          <w:noProof/>
          <w:color w:val="1E988A" w:themeColor="accent3"/>
          <w:sz w:val="22"/>
          <w:szCs w:val="22"/>
        </w:rPr>
        <w:drawing>
          <wp:inline distT="0" distB="0" distL="0" distR="0" wp14:anchorId="749BFBEE" wp14:editId="7E4F3D74">
            <wp:extent cx="6249035" cy="2908300"/>
            <wp:effectExtent l="0" t="0" r="0" b="6350"/>
            <wp:docPr id="22" name="Picture 22" descr="Figure 2 shows the overnight spend by purpose for the June quarter 2023 and the June quarter 2022.&#10;&#10;Spend on holiday travel was $12.7 billion in the June quarter 2023 and $14.0 billion in the June quarter 2022.&#10;&#10;Spend on travel for visiting friends and relatives was $5.0 billion in the June quarter 2023 and $5.4 billion in the June quarter 2022.&#10;&#10;Spend on business travel was $6.9 billion in the June quarter 2023 and $4.8 billion in the June quarter 2022.&#10;&#10;Spend on other travel was $0.9 billion in the June quarter 2023 and $1.1 billion in the June quarter 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Figure 2 shows the overnight spend by purpose for the June quarter 2023 and the June quarter 2022.&#10;&#10;Spend on holiday travel was $12.7 billion in the June quarter 2023 and $14.0 billion in the June quarter 2022.&#10;&#10;Spend on travel for visiting friends and relatives was $5.0 billion in the June quarter 2023 and $5.4 billion in the June quarter 2022.&#10;&#10;Spend on business travel was $6.9 billion in the June quarter 2023 and $4.8 billion in the June quarter 2022.&#10;&#10;Spend on other travel was $0.9 billion in the June quarter 2023 and $1.1 billion in the June quarter 2022.&#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49035" cy="2908300"/>
                    </a:xfrm>
                    <a:prstGeom prst="rect">
                      <a:avLst/>
                    </a:prstGeom>
                    <a:noFill/>
                  </pic:spPr>
                </pic:pic>
              </a:graphicData>
            </a:graphic>
          </wp:inline>
        </w:drawing>
      </w:r>
    </w:p>
    <w:p w14:paraId="40CFE7C3" w14:textId="77777777" w:rsidR="00603236" w:rsidRDefault="00603236" w:rsidP="002B049C">
      <w:pPr>
        <w:jc w:val="center"/>
        <w:rPr>
          <w:b/>
          <w:bCs/>
          <w:color w:val="1E988A" w:themeColor="accent3"/>
          <w:sz w:val="22"/>
          <w:szCs w:val="22"/>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4"/>
        <w:gridCol w:w="6276"/>
      </w:tblGrid>
      <w:tr w:rsidR="001C6520" w14:paraId="574B0FFE" w14:textId="77777777" w:rsidTr="00EB006A">
        <w:tc>
          <w:tcPr>
            <w:tcW w:w="4814" w:type="dxa"/>
          </w:tcPr>
          <w:p w14:paraId="26697892" w14:textId="7B77C972" w:rsidR="0023098B" w:rsidRDefault="0023098B" w:rsidP="00604F7D">
            <w:r>
              <w:t>The proportions of trips by travel purpose continue</w:t>
            </w:r>
            <w:r w:rsidR="005F1BE3">
              <w:t>d</w:t>
            </w:r>
            <w:r>
              <w:t xml:space="preserve"> to return to pre-pandemic</w:t>
            </w:r>
            <w:r w:rsidR="009D3C84">
              <w:t xml:space="preserve"> shares</w:t>
            </w:r>
            <w:r>
              <w:t xml:space="preserve">. In the first 6 months of 2023, domestic travellers were travelling more for business and VFR purposes than in </w:t>
            </w:r>
            <w:r w:rsidR="00A55081">
              <w:t>the same period of 2022.</w:t>
            </w:r>
            <w:r>
              <w:t xml:space="preserve">  </w:t>
            </w:r>
          </w:p>
          <w:p w14:paraId="57A208CE" w14:textId="77777777" w:rsidR="002B049C" w:rsidRDefault="002B049C" w:rsidP="00604F7D"/>
          <w:p w14:paraId="57092A86" w14:textId="36E95137" w:rsidR="002B5344" w:rsidRDefault="001C6520" w:rsidP="00604F7D">
            <w:r>
              <w:t>I</w:t>
            </w:r>
            <w:r w:rsidR="00054C78">
              <w:t>n the first 6 months of</w:t>
            </w:r>
            <w:r>
              <w:t xml:space="preserve"> </w:t>
            </w:r>
            <w:r w:rsidR="002B049C">
              <w:t xml:space="preserve">2023 </w:t>
            </w:r>
            <w:r w:rsidR="000223BC">
              <w:t>travel</w:t>
            </w:r>
            <w:r w:rsidR="002B049C">
              <w:t xml:space="preserve"> </w:t>
            </w:r>
            <w:r w:rsidR="000223BC">
              <w:t>for the purpose of</w:t>
            </w:r>
            <w:r w:rsidR="002B049C">
              <w:t>:</w:t>
            </w:r>
          </w:p>
          <w:p w14:paraId="619A37FE" w14:textId="2075E79D" w:rsidR="00054C78" w:rsidRDefault="00054C78" w:rsidP="00604F7D">
            <w:pPr>
              <w:pStyle w:val="ListParagraph"/>
              <w:numPr>
                <w:ilvl w:val="0"/>
                <w:numId w:val="9"/>
              </w:numPr>
              <w:rPr>
                <w:rFonts w:asciiTheme="majorHAnsi" w:hAnsiTheme="majorHAnsi"/>
              </w:rPr>
            </w:pPr>
            <w:r>
              <w:rPr>
                <w:rFonts w:asciiTheme="majorHAnsi" w:hAnsiTheme="majorHAnsi"/>
              </w:rPr>
              <w:t>h</w:t>
            </w:r>
            <w:r w:rsidRPr="00B30D6E">
              <w:rPr>
                <w:rFonts w:asciiTheme="majorHAnsi" w:hAnsiTheme="majorHAnsi"/>
              </w:rPr>
              <w:t>oliday</w:t>
            </w:r>
            <w:r>
              <w:rPr>
                <w:rFonts w:asciiTheme="majorHAnsi" w:hAnsiTheme="majorHAnsi"/>
              </w:rPr>
              <w:t>s made up 44%</w:t>
            </w:r>
          </w:p>
          <w:p w14:paraId="2234A740" w14:textId="606B63F6" w:rsidR="00054C78" w:rsidRPr="00054C78" w:rsidRDefault="00054C78" w:rsidP="00054C78">
            <w:pPr>
              <w:pStyle w:val="ListParagraph"/>
              <w:numPr>
                <w:ilvl w:val="0"/>
                <w:numId w:val="9"/>
              </w:numPr>
              <w:rPr>
                <w:rFonts w:asciiTheme="majorHAnsi" w:hAnsiTheme="majorHAnsi"/>
              </w:rPr>
            </w:pPr>
            <w:r>
              <w:rPr>
                <w:rFonts w:asciiTheme="majorHAnsi" w:hAnsiTheme="majorHAnsi"/>
              </w:rPr>
              <w:t>VFR made up 33%</w:t>
            </w:r>
          </w:p>
          <w:p w14:paraId="020F1193" w14:textId="24FA3003" w:rsidR="00054C78" w:rsidRPr="00054C78" w:rsidRDefault="00054C78" w:rsidP="00604F7D">
            <w:pPr>
              <w:pStyle w:val="ListParagraph"/>
              <w:numPr>
                <w:ilvl w:val="0"/>
                <w:numId w:val="9"/>
              </w:numPr>
              <w:rPr>
                <w:rFonts w:asciiTheme="majorHAnsi" w:hAnsiTheme="majorHAnsi"/>
              </w:rPr>
            </w:pPr>
            <w:r>
              <w:rPr>
                <w:rFonts w:asciiTheme="majorHAnsi" w:hAnsiTheme="majorHAnsi"/>
              </w:rPr>
              <w:t xml:space="preserve">business made up 19% </w:t>
            </w:r>
          </w:p>
          <w:p w14:paraId="38D2609D" w14:textId="77777777" w:rsidR="00054C78" w:rsidRDefault="00054C78" w:rsidP="00604F7D">
            <w:pPr>
              <w:rPr>
                <w:rFonts w:asciiTheme="majorHAnsi" w:hAnsiTheme="majorHAnsi"/>
              </w:rPr>
            </w:pPr>
          </w:p>
          <w:p w14:paraId="179F18B6" w14:textId="14850DA1" w:rsidR="002B049C" w:rsidRDefault="002B049C" w:rsidP="00604F7D">
            <w:pPr>
              <w:rPr>
                <w:rFonts w:asciiTheme="majorHAnsi" w:hAnsiTheme="majorHAnsi"/>
              </w:rPr>
            </w:pPr>
            <w:r>
              <w:rPr>
                <w:rFonts w:asciiTheme="majorHAnsi" w:hAnsiTheme="majorHAnsi"/>
              </w:rPr>
              <w:t>This was compared to the</w:t>
            </w:r>
            <w:r w:rsidR="00054C78">
              <w:rPr>
                <w:rFonts w:asciiTheme="majorHAnsi" w:hAnsiTheme="majorHAnsi"/>
              </w:rPr>
              <w:t xml:space="preserve"> first 6 months of </w:t>
            </w:r>
            <w:r w:rsidR="00A55081">
              <w:rPr>
                <w:rFonts w:asciiTheme="majorHAnsi" w:hAnsiTheme="majorHAnsi"/>
              </w:rPr>
              <w:t xml:space="preserve">2022 </w:t>
            </w:r>
            <w:r w:rsidR="00054C78">
              <w:rPr>
                <w:rFonts w:asciiTheme="majorHAnsi" w:hAnsiTheme="majorHAnsi"/>
              </w:rPr>
              <w:t>w</w:t>
            </w:r>
            <w:r w:rsidR="00A92E28">
              <w:rPr>
                <w:rFonts w:asciiTheme="majorHAnsi" w:hAnsiTheme="majorHAnsi"/>
              </w:rPr>
              <w:t>h</w:t>
            </w:r>
            <w:r w:rsidR="00054C78">
              <w:rPr>
                <w:rFonts w:asciiTheme="majorHAnsi" w:hAnsiTheme="majorHAnsi"/>
              </w:rPr>
              <w:t>ere</w:t>
            </w:r>
            <w:r>
              <w:rPr>
                <w:rFonts w:asciiTheme="majorHAnsi" w:hAnsiTheme="majorHAnsi"/>
              </w:rPr>
              <w:t>:</w:t>
            </w:r>
          </w:p>
          <w:p w14:paraId="4D83B963" w14:textId="6D65F9B1" w:rsidR="002B049C" w:rsidRDefault="002B049C" w:rsidP="002B049C">
            <w:pPr>
              <w:pStyle w:val="ListParagraph"/>
              <w:numPr>
                <w:ilvl w:val="0"/>
                <w:numId w:val="10"/>
              </w:numPr>
              <w:rPr>
                <w:rFonts w:asciiTheme="majorHAnsi" w:hAnsiTheme="majorHAnsi"/>
              </w:rPr>
            </w:pPr>
            <w:r>
              <w:rPr>
                <w:rFonts w:asciiTheme="majorHAnsi" w:hAnsiTheme="majorHAnsi"/>
              </w:rPr>
              <w:t xml:space="preserve">holiday travel made up </w:t>
            </w:r>
            <w:r w:rsidR="00A55081">
              <w:rPr>
                <w:rFonts w:asciiTheme="majorHAnsi" w:hAnsiTheme="majorHAnsi"/>
              </w:rPr>
              <w:t>46</w:t>
            </w:r>
            <w:r>
              <w:rPr>
                <w:rFonts w:asciiTheme="majorHAnsi" w:hAnsiTheme="majorHAnsi"/>
              </w:rPr>
              <w:t>%</w:t>
            </w:r>
          </w:p>
          <w:p w14:paraId="516BD871" w14:textId="1205EF21" w:rsidR="002B049C" w:rsidRDefault="00054C78" w:rsidP="002B049C">
            <w:pPr>
              <w:pStyle w:val="ListParagraph"/>
              <w:numPr>
                <w:ilvl w:val="0"/>
                <w:numId w:val="10"/>
              </w:numPr>
              <w:rPr>
                <w:rFonts w:asciiTheme="majorHAnsi" w:hAnsiTheme="majorHAnsi"/>
              </w:rPr>
            </w:pPr>
            <w:r>
              <w:rPr>
                <w:rFonts w:asciiTheme="majorHAnsi" w:hAnsiTheme="majorHAnsi"/>
              </w:rPr>
              <w:t>VFR made up</w:t>
            </w:r>
            <w:r w:rsidR="002B049C">
              <w:rPr>
                <w:rFonts w:asciiTheme="majorHAnsi" w:hAnsiTheme="majorHAnsi"/>
              </w:rPr>
              <w:t xml:space="preserve"> </w:t>
            </w:r>
            <w:r w:rsidR="00A55081">
              <w:rPr>
                <w:rFonts w:asciiTheme="majorHAnsi" w:hAnsiTheme="majorHAnsi"/>
              </w:rPr>
              <w:t>32</w:t>
            </w:r>
            <w:r w:rsidR="002B049C">
              <w:rPr>
                <w:rFonts w:asciiTheme="majorHAnsi" w:hAnsiTheme="majorHAnsi"/>
              </w:rPr>
              <w:t>%</w:t>
            </w:r>
          </w:p>
          <w:p w14:paraId="315B39D9" w14:textId="1A11A147" w:rsidR="002B049C" w:rsidRPr="00B30D6E" w:rsidRDefault="002B049C" w:rsidP="002B049C">
            <w:pPr>
              <w:pStyle w:val="ListParagraph"/>
              <w:numPr>
                <w:ilvl w:val="0"/>
                <w:numId w:val="10"/>
              </w:numPr>
              <w:rPr>
                <w:rFonts w:asciiTheme="majorHAnsi" w:hAnsiTheme="majorHAnsi"/>
              </w:rPr>
            </w:pPr>
            <w:r>
              <w:rPr>
                <w:rFonts w:asciiTheme="majorHAnsi" w:hAnsiTheme="majorHAnsi"/>
              </w:rPr>
              <w:t xml:space="preserve">business travel made up </w:t>
            </w:r>
            <w:r w:rsidR="00A55081">
              <w:rPr>
                <w:rFonts w:asciiTheme="majorHAnsi" w:hAnsiTheme="majorHAnsi"/>
              </w:rPr>
              <w:t>18</w:t>
            </w:r>
            <w:r>
              <w:rPr>
                <w:rFonts w:asciiTheme="majorHAnsi" w:hAnsiTheme="majorHAnsi"/>
              </w:rPr>
              <w:t>%.</w:t>
            </w:r>
          </w:p>
          <w:p w14:paraId="13C708A9" w14:textId="77777777" w:rsidR="002B049C" w:rsidRDefault="002B049C" w:rsidP="00604F7D"/>
          <w:p w14:paraId="55A3F22B" w14:textId="77777777" w:rsidR="002B049C" w:rsidRDefault="002B049C" w:rsidP="00604F7D"/>
          <w:p w14:paraId="0D8E2CFF" w14:textId="77777777" w:rsidR="002B049C" w:rsidRDefault="002B049C" w:rsidP="00604F7D"/>
        </w:tc>
        <w:tc>
          <w:tcPr>
            <w:tcW w:w="5676" w:type="dxa"/>
          </w:tcPr>
          <w:p w14:paraId="2260F028" w14:textId="55CE8136" w:rsidR="002B049C" w:rsidRPr="00933D28" w:rsidRDefault="002B049C" w:rsidP="00604F7D">
            <w:pPr>
              <w:rPr>
                <w:b/>
                <w:bCs/>
              </w:rPr>
            </w:pPr>
            <w:r w:rsidRPr="00933D28">
              <w:rPr>
                <w:b/>
                <w:bCs/>
              </w:rPr>
              <w:t>Figure 3: Proportion of trip</w:t>
            </w:r>
            <w:r w:rsidR="000223BC">
              <w:rPr>
                <w:b/>
                <w:bCs/>
              </w:rPr>
              <w:t>s</w:t>
            </w:r>
            <w:r w:rsidRPr="00933D28">
              <w:rPr>
                <w:b/>
                <w:bCs/>
              </w:rPr>
              <w:t xml:space="preserve"> by </w:t>
            </w:r>
            <w:r w:rsidR="002B5344">
              <w:rPr>
                <w:b/>
                <w:bCs/>
              </w:rPr>
              <w:t>travel purpose</w:t>
            </w:r>
            <w:r w:rsidR="00A92E28">
              <w:rPr>
                <w:b/>
                <w:bCs/>
              </w:rPr>
              <w:t>, first 6 months of 2019, 2022 and 2023</w:t>
            </w:r>
          </w:p>
          <w:p w14:paraId="7BE9E6E0" w14:textId="0E8E0BA7" w:rsidR="002B049C" w:rsidRDefault="00366A29" w:rsidP="00604F7D">
            <w:r>
              <w:rPr>
                <w:noProof/>
              </w:rPr>
              <w:drawing>
                <wp:inline distT="0" distB="0" distL="0" distR="0" wp14:anchorId="099893CC" wp14:editId="25433410">
                  <wp:extent cx="3846830" cy="3213100"/>
                  <wp:effectExtent l="0" t="0" r="1270" b="6350"/>
                  <wp:docPr id="25" name="Picture 25" descr="Figure 3 shows the proportion of trips by travel purpose for the first 6 months of 2019, 2022 and 2023.&#10;&#10;In the first 6 months of 2019:&#10;• holiday trips made up 41%&#10;• trips for visiting friends and relatives made up 33%&#10;• business trips made up 22%&#10;• other trips made up 5%.&#10;&#10;In the first 6 months of 2022:&#10;• holiday trips made up 46%&#10;• trips for visiting friends and relatives made up 32%&#10;• business trips made up 18%&#10;• other trips made up 4%.&#10;&#10;In the first 6 months of 2023:&#10;• holiday trips made up 44%&#10;• trips for visiting friends and relatives made up 33%&#10;• business trips made up 19%&#10;• other trips made up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Figure 3 shows the proportion of trips by travel purpose for the first 6 months of 2019, 2022 and 2023.&#10;&#10;In the first 6 months of 2019:&#10;• holiday trips made up 41%&#10;• trips for visiting friends and relatives made up 33%&#10;• business trips made up 22%&#10;• other trips made up 5%.&#10;&#10;In the first 6 months of 2022:&#10;• holiday trips made up 46%&#10;• trips for visiting friends and relatives made up 32%&#10;• business trips made up 18%&#10;• other trips made up 4%.&#10;&#10;In the first 6 months of 2023:&#10;• holiday trips made up 44%&#10;• trips for visiting friends and relatives made up 33%&#10;• business trips made up 19%&#10;• other trips made up 5%.&#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46830" cy="3213100"/>
                          </a:xfrm>
                          <a:prstGeom prst="rect">
                            <a:avLst/>
                          </a:prstGeom>
                          <a:noFill/>
                        </pic:spPr>
                      </pic:pic>
                    </a:graphicData>
                  </a:graphic>
                </wp:inline>
              </w:drawing>
            </w:r>
          </w:p>
        </w:tc>
      </w:tr>
    </w:tbl>
    <w:p w14:paraId="742A650D" w14:textId="77777777" w:rsidR="00DD21E9" w:rsidRDefault="00DD21E9" w:rsidP="00DD21E9"/>
    <w:p w14:paraId="5759509B" w14:textId="77777777" w:rsidR="00B30D6E" w:rsidRDefault="00B30D6E" w:rsidP="002A1D54">
      <w:pPr>
        <w:rPr>
          <w:b/>
          <w:bCs/>
          <w:color w:val="1E988A" w:themeColor="accent3"/>
          <w:sz w:val="22"/>
          <w:szCs w:val="22"/>
        </w:rPr>
      </w:pPr>
    </w:p>
    <w:p w14:paraId="05CF68A6" w14:textId="0A12D9AA" w:rsidR="00C77A5D" w:rsidRDefault="00C77A5D" w:rsidP="002A1D54">
      <w:pPr>
        <w:rPr>
          <w:b/>
          <w:bCs/>
          <w:color w:val="1E988A" w:themeColor="accent3"/>
          <w:sz w:val="22"/>
          <w:szCs w:val="22"/>
        </w:rPr>
        <w:sectPr w:rsidR="00C77A5D" w:rsidSect="007D69C5">
          <w:headerReference w:type="default" r:id="rId24"/>
          <w:footerReference w:type="default" r:id="rId25"/>
          <w:footerReference w:type="first" r:id="rId26"/>
          <w:footnotePr>
            <w:numStart w:val="2"/>
          </w:footnotePr>
          <w:pgSz w:w="11906" w:h="16838" w:code="9"/>
          <w:pgMar w:top="720" w:right="720" w:bottom="720" w:left="720" w:header="454" w:footer="851" w:gutter="0"/>
          <w:cols w:space="720"/>
          <w:titlePg/>
          <w:docGrid w:linePitch="360"/>
        </w:sectPr>
      </w:pPr>
    </w:p>
    <w:p w14:paraId="17CC8034" w14:textId="70D1145A" w:rsidR="00591B22" w:rsidRPr="00D204C3" w:rsidRDefault="00591B22" w:rsidP="00024E9B">
      <w:pPr>
        <w:pStyle w:val="Heading2"/>
        <w:spacing w:before="0" w:after="120"/>
      </w:pPr>
      <w:r w:rsidRPr="00D204C3">
        <w:lastRenderedPageBreak/>
        <w:t>States and territories</w:t>
      </w:r>
    </w:p>
    <w:p w14:paraId="3194AD9B" w14:textId="6CD572FC" w:rsidR="00FF05C4" w:rsidRDefault="005D1384" w:rsidP="00FF05C4">
      <w:r>
        <w:t>Results for o</w:t>
      </w:r>
      <w:r w:rsidR="00FF05C4">
        <w:t xml:space="preserve">vernight </w:t>
      </w:r>
      <w:r w:rsidR="00A318F6">
        <w:t>trips and spend</w:t>
      </w:r>
      <w:r w:rsidR="00FF05C4">
        <w:t xml:space="preserve"> in the </w:t>
      </w:r>
      <w:r w:rsidR="00A318F6">
        <w:t>June</w:t>
      </w:r>
      <w:r w:rsidR="00FF05C4">
        <w:t xml:space="preserve"> </w:t>
      </w:r>
      <w:r>
        <w:t>quarter were mixed when compared to the June quarter 2022</w:t>
      </w:r>
      <w:r w:rsidR="00FF05C4">
        <w:t xml:space="preserve"> (Figure </w:t>
      </w:r>
      <w:r w:rsidR="002F4E0D">
        <w:t>4</w:t>
      </w:r>
      <w:r w:rsidR="00FF05C4">
        <w:t>).</w:t>
      </w:r>
      <w:r w:rsidR="00A318F6">
        <w:t xml:space="preserve"> </w:t>
      </w:r>
    </w:p>
    <w:p w14:paraId="30135CE9" w14:textId="69B5C42F" w:rsidR="00024E9B" w:rsidRDefault="00A318F6" w:rsidP="00FF05C4">
      <w:r>
        <w:t>New South Wales</w:t>
      </w:r>
      <w:r w:rsidR="005D1384">
        <w:t xml:space="preserve">, </w:t>
      </w:r>
      <w:r w:rsidR="007F0E66">
        <w:t xml:space="preserve">Victoria </w:t>
      </w:r>
      <w:r w:rsidR="005D1384">
        <w:t>and Western Australia recorded increases in both overnight trips and spend</w:t>
      </w:r>
      <w:r w:rsidR="00024E9B">
        <w:t>, while Queensland, Northern Territory</w:t>
      </w:r>
      <w:r w:rsidR="004F7D22">
        <w:t>, Tasmania</w:t>
      </w:r>
      <w:r w:rsidR="00024E9B">
        <w:t xml:space="preserve"> and the Australian Capital Territory saw decreases. Results for South Australia were mixed</w:t>
      </w:r>
      <w:r w:rsidR="00786121">
        <w:t>, with spend up while the number of trips fell</w:t>
      </w:r>
      <w:r w:rsidR="00024E9B">
        <w:t>.</w:t>
      </w:r>
    </w:p>
    <w:p w14:paraId="1BFE7E97" w14:textId="71C0FE27" w:rsidR="005D1384" w:rsidRDefault="005D1384" w:rsidP="00FF05C4">
      <w:r>
        <w:t>The largest increase in trips was Victoria (up</w:t>
      </w:r>
      <w:r w:rsidR="00024E9B">
        <w:t xml:space="preserve"> 276,000 or</w:t>
      </w:r>
      <w:r>
        <w:t xml:space="preserve"> 4%) followed by </w:t>
      </w:r>
      <w:r w:rsidR="00024E9B">
        <w:t>New South Wales (up 131,000 or 1%). The largest decrease was in Queensland (down 695,000 or 10%) followed by Tasmania (down 142,000 or 16%).</w:t>
      </w:r>
    </w:p>
    <w:p w14:paraId="58DEED71" w14:textId="1FDFF22C" w:rsidR="005D1384" w:rsidRDefault="00024E9B" w:rsidP="00FF05C4">
      <w:r>
        <w:t xml:space="preserve">The largest increase in spend was in New South Wales (up 355,000 or 5%) followed by Western Australia (up 330,000 or 13%). The largest decreases </w:t>
      </w:r>
      <w:r w:rsidR="00126B19">
        <w:t>were</w:t>
      </w:r>
      <w:r>
        <w:t xml:space="preserve"> </w:t>
      </w:r>
      <w:r w:rsidR="00786121">
        <w:t xml:space="preserve">in </w:t>
      </w:r>
      <w:r>
        <w:t>Queensland (down 480,000 or 7%) and Tasmania (down 279,000 or 26%).</w:t>
      </w:r>
    </w:p>
    <w:p w14:paraId="499B6B74" w14:textId="7FE666DD" w:rsidR="00591B22" w:rsidRDefault="00591B22" w:rsidP="00024E9B">
      <w:pPr>
        <w:rPr>
          <w:b/>
          <w:bCs/>
        </w:rPr>
      </w:pPr>
      <w:r w:rsidRPr="008F2711">
        <w:rPr>
          <w:b/>
          <w:bCs/>
        </w:rPr>
        <w:t xml:space="preserve">Figure </w:t>
      </w:r>
      <w:r w:rsidR="002F4E0D">
        <w:rPr>
          <w:b/>
          <w:bCs/>
        </w:rPr>
        <w:t>4</w:t>
      </w:r>
      <w:r w:rsidRPr="008F2711">
        <w:rPr>
          <w:b/>
          <w:bCs/>
        </w:rPr>
        <w:t xml:space="preserve">. Overnight trips and spend by </w:t>
      </w:r>
      <w:r w:rsidR="00B62147" w:rsidRPr="008F2711">
        <w:rPr>
          <w:b/>
          <w:bCs/>
        </w:rPr>
        <w:t>s</w:t>
      </w:r>
      <w:r w:rsidRPr="008F2711">
        <w:rPr>
          <w:b/>
          <w:bCs/>
        </w:rPr>
        <w:t>tate</w:t>
      </w:r>
      <w:r w:rsidR="00B62147" w:rsidRPr="008F2711">
        <w:rPr>
          <w:b/>
          <w:bCs/>
        </w:rPr>
        <w:t xml:space="preserve"> and territory</w:t>
      </w:r>
      <w:r w:rsidRPr="008F2711">
        <w:rPr>
          <w:b/>
          <w:bCs/>
        </w:rPr>
        <w:t>,</w:t>
      </w:r>
      <w:r w:rsidR="004D7FA1">
        <w:rPr>
          <w:b/>
          <w:bCs/>
        </w:rPr>
        <w:t xml:space="preserve"> </w:t>
      </w:r>
      <w:r w:rsidR="007F0E66">
        <w:rPr>
          <w:b/>
          <w:bCs/>
        </w:rPr>
        <w:t>June</w:t>
      </w:r>
      <w:r w:rsidR="0013397D" w:rsidRPr="008F2711">
        <w:rPr>
          <w:b/>
          <w:bCs/>
        </w:rPr>
        <w:t xml:space="preserve"> </w:t>
      </w:r>
      <w:r w:rsidR="004D7FA1">
        <w:rPr>
          <w:b/>
          <w:bCs/>
        </w:rPr>
        <w:t xml:space="preserve">quarter </w:t>
      </w:r>
      <w:r w:rsidR="00830B68" w:rsidRPr="008F2711">
        <w:rPr>
          <w:b/>
          <w:bCs/>
        </w:rPr>
        <w:t>202</w:t>
      </w:r>
      <w:r w:rsidR="00744CB7" w:rsidRPr="008F2711">
        <w:rPr>
          <w:b/>
          <w:bCs/>
        </w:rPr>
        <w:t>3</w:t>
      </w:r>
      <w:r w:rsidR="00830B68" w:rsidRPr="008F2711">
        <w:rPr>
          <w:b/>
          <w:bCs/>
        </w:rPr>
        <w:t xml:space="preserve"> compared to </w:t>
      </w:r>
      <w:r w:rsidR="004D7FA1">
        <w:rPr>
          <w:b/>
          <w:bCs/>
        </w:rPr>
        <w:t>June quarter</w:t>
      </w:r>
      <w:r w:rsidR="00744CB7" w:rsidRPr="008F2711">
        <w:rPr>
          <w:b/>
          <w:bCs/>
        </w:rPr>
        <w:t xml:space="preserve"> </w:t>
      </w:r>
      <w:proofErr w:type="gramStart"/>
      <w:r w:rsidR="00830B68" w:rsidRPr="008F2711">
        <w:rPr>
          <w:b/>
          <w:bCs/>
        </w:rPr>
        <w:t>20</w:t>
      </w:r>
      <w:r w:rsidR="00510418" w:rsidRPr="008F2711">
        <w:rPr>
          <w:b/>
          <w:bCs/>
        </w:rPr>
        <w:t>2</w:t>
      </w:r>
      <w:r w:rsidR="007F0E66">
        <w:rPr>
          <w:b/>
          <w:bCs/>
        </w:rPr>
        <w:t>2</w:t>
      </w:r>
      <w:proofErr w:type="gramEnd"/>
    </w:p>
    <w:p w14:paraId="0418BA69" w14:textId="079C90D2" w:rsidR="00F96C2D" w:rsidRPr="00B016CF" w:rsidRDefault="004F7D22" w:rsidP="00024E9B">
      <w:pPr>
        <w:jc w:val="center"/>
        <w:rPr>
          <w:b/>
          <w:bCs/>
          <w:color w:val="FF0000"/>
        </w:rPr>
      </w:pPr>
      <w:r>
        <w:rPr>
          <w:noProof/>
        </w:rPr>
        <w:drawing>
          <wp:inline distT="0" distB="0" distL="0" distR="0" wp14:anchorId="1C6C8DC0" wp14:editId="2BEC8EA0">
            <wp:extent cx="5886450" cy="3185083"/>
            <wp:effectExtent l="0" t="0" r="0" b="0"/>
            <wp:docPr id="15" name="Picture 15" descr="An image of Australia that illustrates the number of trips and spend in each state or territory for the June quarter 2023. The per cent change on the June quarter 2022 is also shown.&#10;&#10;• New South Wales – 9.2 million trips and $7.2 billion spend, up 1% and up 5% respectively&#10;• Victoria – 7.2 million trips and $5.3 billion spend, up 4% and up 5% respectively&#10;• Queensland – 6.1 million trips and $6.4 billion spend, down 10% and down 7% respectively&#10;• South Australia – 1.8 million trips and $1.6 billion spend, down 3% and up 11% respectively&#10;• Western Australia – 2.6 million trips and $2.8 billion spend, up 2% and up 13% respectively&#10;• Tasmania – 0.7 million trips and $0.8 billion spend, down 16% and down 26% respectively&#10;• Northern Territory – 0.4 million trips and $0.7 billion spend, down 18% and down 16% respectively&#10;• ACT – 0.8 million trips and $0.6 billion spend, down 9% and down 2% respective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n image of Australia that illustrates the number of trips and spend in each state or territory for the June quarter 2023. The per cent change on the June quarter 2022 is also shown.&#10;&#10;• New South Wales – 9.2 million trips and $7.2 billion spend, up 1% and up 5% respectively&#10;• Victoria – 7.2 million trips and $5.3 billion spend, up 4% and up 5% respectively&#10;• Queensland – 6.1 million trips and $6.4 billion spend, down 10% and down 7% respectively&#10;• South Australia – 1.8 million trips and $1.6 billion spend, down 3% and up 11% respectively&#10;• Western Australia – 2.6 million trips and $2.8 billion spend, up 2% and up 13% respectively&#10;• Tasmania – 0.7 million trips and $0.8 billion spend, down 16% and down 26% respectively&#10;• Northern Territory – 0.4 million trips and $0.7 billion spend, down 18% and down 16% respectively&#10;• ACT – 0.8 million trips and $0.6 billion spend, down 9% and down 2% respectively.&#10;"/>
                    <pic:cNvPicPr/>
                  </pic:nvPicPr>
                  <pic:blipFill>
                    <a:blip r:embed="rId27"/>
                    <a:stretch>
                      <a:fillRect/>
                    </a:stretch>
                  </pic:blipFill>
                  <pic:spPr>
                    <a:xfrm>
                      <a:off x="0" y="0"/>
                      <a:ext cx="5896145" cy="3190329"/>
                    </a:xfrm>
                    <a:prstGeom prst="rect">
                      <a:avLst/>
                    </a:prstGeom>
                  </pic:spPr>
                </pic:pic>
              </a:graphicData>
            </a:graphic>
          </wp:inline>
        </w:drawing>
      </w:r>
    </w:p>
    <w:p w14:paraId="16F38144" w14:textId="77777777" w:rsidR="00C77A5D" w:rsidRDefault="00C77A5D" w:rsidP="00C77A5D">
      <w:pPr>
        <w:rPr>
          <w:b/>
          <w:bCs/>
        </w:rPr>
      </w:pPr>
      <w:r>
        <w:rPr>
          <w:b/>
          <w:bCs/>
          <w:color w:val="1E988A" w:themeColor="background2"/>
          <w:sz w:val="26"/>
          <w:szCs w:val="26"/>
        </w:rPr>
        <w:t>Year ending June 2023</w:t>
      </w:r>
    </w:p>
    <w:p w14:paraId="16B2DC15" w14:textId="5BBDAA64" w:rsidR="00C77A5D" w:rsidRDefault="00C77A5D" w:rsidP="00C77A5D">
      <w:r>
        <w:t>In the year ending June 2023, Australians took 111.4 million trips</w:t>
      </w:r>
      <w:r w:rsidR="00786121">
        <w:t xml:space="preserve"> for</w:t>
      </w:r>
      <w:r>
        <w:t xml:space="preserve"> 404.7 million nights away and </w:t>
      </w:r>
      <w:r w:rsidR="00786121">
        <w:t xml:space="preserve">spent </w:t>
      </w:r>
      <w:r>
        <w:t>$108.3 billion. Compared to the year ending June 2022 (COVID-19 impacted), this was:</w:t>
      </w:r>
    </w:p>
    <w:p w14:paraId="66B1C4F4" w14:textId="77777777" w:rsidR="00C77A5D" w:rsidRPr="00853BE4" w:rsidRDefault="00C77A5D" w:rsidP="00C77A5D">
      <w:pPr>
        <w:pStyle w:val="ListParagraph"/>
        <w:numPr>
          <w:ilvl w:val="0"/>
          <w:numId w:val="6"/>
        </w:numPr>
        <w:rPr>
          <w:rFonts w:asciiTheme="majorHAnsi" w:hAnsiTheme="majorHAnsi"/>
        </w:rPr>
      </w:pPr>
      <w:r w:rsidRPr="00853BE4">
        <w:rPr>
          <w:rFonts w:asciiTheme="majorHAnsi" w:hAnsiTheme="majorHAnsi"/>
        </w:rPr>
        <w:t xml:space="preserve">up </w:t>
      </w:r>
      <w:r>
        <w:rPr>
          <w:rFonts w:asciiTheme="majorHAnsi" w:hAnsiTheme="majorHAnsi"/>
        </w:rPr>
        <w:t xml:space="preserve">25.6 million or </w:t>
      </w:r>
      <w:r w:rsidRPr="00853BE4">
        <w:rPr>
          <w:rFonts w:asciiTheme="majorHAnsi" w:hAnsiTheme="majorHAnsi"/>
        </w:rPr>
        <w:t xml:space="preserve">30% for overnight trips </w:t>
      </w:r>
    </w:p>
    <w:p w14:paraId="4CDDAEBD" w14:textId="77777777" w:rsidR="00C77A5D" w:rsidRDefault="00C77A5D" w:rsidP="00C77A5D">
      <w:pPr>
        <w:pStyle w:val="ListParagraph"/>
        <w:numPr>
          <w:ilvl w:val="0"/>
          <w:numId w:val="6"/>
        </w:numPr>
        <w:rPr>
          <w:rFonts w:asciiTheme="majorHAnsi" w:hAnsiTheme="majorHAnsi"/>
        </w:rPr>
      </w:pPr>
      <w:r w:rsidRPr="00853BE4">
        <w:rPr>
          <w:rFonts w:asciiTheme="majorHAnsi" w:hAnsiTheme="majorHAnsi"/>
        </w:rPr>
        <w:t xml:space="preserve">up </w:t>
      </w:r>
      <w:r>
        <w:rPr>
          <w:rFonts w:asciiTheme="majorHAnsi" w:hAnsiTheme="majorHAnsi"/>
        </w:rPr>
        <w:t xml:space="preserve">77.5 million or </w:t>
      </w:r>
      <w:r w:rsidRPr="00853BE4">
        <w:rPr>
          <w:rFonts w:asciiTheme="majorHAnsi" w:hAnsiTheme="majorHAnsi"/>
        </w:rPr>
        <w:t>24%</w:t>
      </w:r>
      <w:r>
        <w:rPr>
          <w:rFonts w:asciiTheme="majorHAnsi" w:hAnsiTheme="majorHAnsi"/>
        </w:rPr>
        <w:t xml:space="preserve"> for nights away</w:t>
      </w:r>
    </w:p>
    <w:p w14:paraId="6C4B8CB8" w14:textId="25319796" w:rsidR="00C77A5D" w:rsidRDefault="00C77A5D" w:rsidP="00C77A5D">
      <w:pPr>
        <w:pStyle w:val="ListParagraph"/>
        <w:numPr>
          <w:ilvl w:val="0"/>
          <w:numId w:val="6"/>
        </w:numPr>
        <w:rPr>
          <w:rFonts w:asciiTheme="majorHAnsi" w:hAnsiTheme="majorHAnsi"/>
        </w:rPr>
      </w:pPr>
      <w:r>
        <w:rPr>
          <w:rFonts w:asciiTheme="majorHAnsi" w:hAnsiTheme="majorHAnsi"/>
        </w:rPr>
        <w:t>up $39.2 billion or 57% for spend.</w:t>
      </w:r>
    </w:p>
    <w:p w14:paraId="2C0E815E" w14:textId="77777777" w:rsidR="002A1D54" w:rsidRPr="002A1D54" w:rsidRDefault="002A1D54" w:rsidP="002A1D54">
      <w:pPr>
        <w:pStyle w:val="ListParagraph"/>
        <w:rPr>
          <w:rFonts w:asciiTheme="majorHAnsi" w:hAnsiTheme="majorHAnsi"/>
        </w:rPr>
      </w:pPr>
    </w:p>
    <w:p w14:paraId="29626828" w14:textId="77777777" w:rsidR="00C77A5D" w:rsidRDefault="00C77A5D" w:rsidP="00C77A5D">
      <w:pPr>
        <w:rPr>
          <w:rFonts w:asciiTheme="majorHAnsi" w:hAnsiTheme="majorHAnsi"/>
        </w:rPr>
      </w:pPr>
      <w:r>
        <w:rPr>
          <w:rFonts w:asciiTheme="majorHAnsi" w:hAnsiTheme="majorHAnsi"/>
        </w:rPr>
        <w:t>Compared to the year ending June 2019, this was:</w:t>
      </w:r>
    </w:p>
    <w:p w14:paraId="3F427D01" w14:textId="77777777" w:rsidR="00C77A5D" w:rsidRDefault="00C77A5D" w:rsidP="00C77A5D">
      <w:pPr>
        <w:pStyle w:val="ListParagraph"/>
        <w:numPr>
          <w:ilvl w:val="0"/>
          <w:numId w:val="7"/>
        </w:numPr>
        <w:rPr>
          <w:rFonts w:asciiTheme="majorHAnsi" w:hAnsiTheme="majorHAnsi"/>
        </w:rPr>
      </w:pPr>
      <w:r>
        <w:rPr>
          <w:rFonts w:asciiTheme="majorHAnsi" w:hAnsiTheme="majorHAnsi"/>
        </w:rPr>
        <w:t>down 1.9 million or 2% for overnight trips</w:t>
      </w:r>
    </w:p>
    <w:p w14:paraId="74C26B39" w14:textId="77777777" w:rsidR="00C77A5D" w:rsidRDefault="00C77A5D" w:rsidP="00C77A5D">
      <w:pPr>
        <w:pStyle w:val="ListParagraph"/>
        <w:numPr>
          <w:ilvl w:val="0"/>
          <w:numId w:val="7"/>
        </w:numPr>
        <w:rPr>
          <w:rFonts w:asciiTheme="majorHAnsi" w:hAnsiTheme="majorHAnsi"/>
        </w:rPr>
      </w:pPr>
      <w:r>
        <w:rPr>
          <w:rFonts w:asciiTheme="majorHAnsi" w:hAnsiTheme="majorHAnsi"/>
        </w:rPr>
        <w:t>up 4.4 million or 1% for nights away</w:t>
      </w:r>
    </w:p>
    <w:p w14:paraId="4AA1FFED" w14:textId="1E3A5DB6" w:rsidR="007F0E66" w:rsidRPr="002A1D54" w:rsidRDefault="00C77A5D" w:rsidP="002A1D54">
      <w:pPr>
        <w:pStyle w:val="ListParagraph"/>
        <w:numPr>
          <w:ilvl w:val="0"/>
          <w:numId w:val="7"/>
        </w:numPr>
        <w:rPr>
          <w:rFonts w:asciiTheme="majorHAnsi" w:hAnsiTheme="majorHAnsi"/>
        </w:rPr>
      </w:pPr>
      <w:r>
        <w:rPr>
          <w:rFonts w:asciiTheme="majorHAnsi" w:hAnsiTheme="majorHAnsi"/>
        </w:rPr>
        <w:t>up $30.8 billion or 40% for spend.</w:t>
      </w:r>
    </w:p>
    <w:p w14:paraId="76899C61" w14:textId="77777777" w:rsidR="007F0E66" w:rsidRPr="009D3C84" w:rsidRDefault="007F0E66" w:rsidP="002A1D54">
      <w:pPr>
        <w:rPr>
          <w:i/>
          <w:iCs/>
        </w:rPr>
      </w:pPr>
    </w:p>
    <w:p w14:paraId="46B7CBB6" w14:textId="58712E8D" w:rsidR="00475122" w:rsidRPr="009D3C84" w:rsidRDefault="00D82214" w:rsidP="008617F3">
      <w:pPr>
        <w:pStyle w:val="Caption"/>
        <w:rPr>
          <w:sz w:val="12"/>
          <w:szCs w:val="12"/>
        </w:rPr>
      </w:pPr>
      <w:r w:rsidRPr="009D3C84">
        <w:rPr>
          <w:sz w:val="12"/>
          <w:szCs w:val="12"/>
        </w:rP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While care has been taken to ensure the information in this report is accurate, the Commonwealth does not accept any liability for any loss arising from reliance on the information, or from any error or omission, in the report.</w:t>
      </w:r>
    </w:p>
    <w:sectPr w:rsidR="00475122" w:rsidRPr="009D3C84" w:rsidSect="008617F3">
      <w:footnotePr>
        <w:numStart w:val="2"/>
      </w:footnotePr>
      <w:type w:val="continuous"/>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25072" w14:textId="77777777" w:rsidR="00BE00D7" w:rsidRDefault="00BE00D7" w:rsidP="00D52B20">
      <w:pPr>
        <w:spacing w:after="0" w:line="240" w:lineRule="auto"/>
      </w:pPr>
      <w:r>
        <w:separator/>
      </w:r>
    </w:p>
  </w:endnote>
  <w:endnote w:type="continuationSeparator" w:id="0">
    <w:p w14:paraId="142D491B" w14:textId="77777777" w:rsidR="00BE00D7" w:rsidRDefault="00BE00D7"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U Sans BETA Text Light">
    <w:altName w:val="Calibri"/>
    <w:panose1 w:val="00000000000000000000"/>
    <w:charset w:val="00"/>
    <w:family w:val="swiss"/>
    <w:notTrueType/>
    <w:pitch w:val="default"/>
    <w:sig w:usb0="00000003" w:usb1="00000000" w:usb2="00000000" w:usb3="00000000" w:csb0="00000001" w:csb1="00000000"/>
  </w:font>
  <w:font w:name="AU Sans BETA Text Medium">
    <w:altName w:val="Calibri"/>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224D" w14:textId="1748F0D4" w:rsidR="006B3279" w:rsidRPr="006B3279" w:rsidRDefault="00BC216F" w:rsidP="006B3279">
    <w:pPr>
      <w:pStyle w:val="Footer"/>
    </w:pPr>
    <w:r>
      <w:t xml:space="preserve">NATIONAL VISITOR SURVEY RESULTS – </w:t>
    </w:r>
    <w:r w:rsidR="007F0E66">
      <w:t>June</w:t>
    </w:r>
    <w:r w:rsidR="00C9295A">
      <w:t xml:space="preserve"> </w:t>
    </w:r>
    <w:r>
      <w:t>Quarter 202</w:t>
    </w:r>
    <w:r w:rsidR="00317BFF">
      <w:t>3</w:t>
    </w:r>
    <w:r>
      <w:t xml:space="preserve">,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43B9" w14:textId="3F33D351" w:rsidR="00B7523B" w:rsidRPr="00B7523B" w:rsidRDefault="00BC216F" w:rsidP="00B7523B">
    <w:pPr>
      <w:pStyle w:val="Footer"/>
    </w:pPr>
    <w:r>
      <w:t>NATIONAL VISITOR SURVEY RESULTS</w:t>
    </w:r>
    <w:r w:rsidR="00750D77">
      <w:t xml:space="preserve"> – </w:t>
    </w:r>
    <w:r w:rsidR="008E4416">
      <w:t>June</w:t>
    </w:r>
    <w:r w:rsidR="0026226E">
      <w:t xml:space="preserve"> </w:t>
    </w:r>
    <w:r>
      <w:t>Quarter 202</w:t>
    </w:r>
    <w:r w:rsidR="0026226E">
      <w:t>3</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7D64" w14:textId="77777777" w:rsidR="00BE00D7" w:rsidRDefault="00BE00D7" w:rsidP="00D52B20">
      <w:pPr>
        <w:spacing w:after="0" w:line="240" w:lineRule="auto"/>
      </w:pPr>
    </w:p>
  </w:footnote>
  <w:footnote w:type="continuationSeparator" w:id="0">
    <w:p w14:paraId="7BB2EA62" w14:textId="77777777" w:rsidR="00BE00D7" w:rsidRDefault="00BE00D7"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C5CE" w14:textId="77777777" w:rsidR="006B3279" w:rsidRDefault="00F5033A">
    <w:pPr>
      <w:pStyle w:val="Header"/>
    </w:pPr>
    <w:r>
      <w:rPr>
        <w:noProof/>
        <w:lang w:eastAsia="en-AU"/>
      </w:rPr>
      <mc:AlternateContent>
        <mc:Choice Requires="wps">
          <w:drawing>
            <wp:anchor distT="0" distB="0" distL="114300" distR="114300" simplePos="0" relativeHeight="251659264" behindDoc="1" locked="1" layoutInCell="1" allowOverlap="1" wp14:anchorId="5C822561" wp14:editId="43D764C8">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FFEA490"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" fillcolor="#2e1a47 [3215]" stroked="f" strokeweight="2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CCF21C7"/>
    <w:multiLevelType w:val="hybridMultilevel"/>
    <w:tmpl w:val="08A26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AE0496"/>
    <w:multiLevelType w:val="hybridMultilevel"/>
    <w:tmpl w:val="595A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A769E8"/>
    <w:multiLevelType w:val="hybridMultilevel"/>
    <w:tmpl w:val="86C22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1E5DC9"/>
    <w:multiLevelType w:val="hybridMultilevel"/>
    <w:tmpl w:val="707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D84D8A"/>
    <w:multiLevelType w:val="hybridMultilevel"/>
    <w:tmpl w:val="DCE2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002A1A"/>
    <w:multiLevelType w:val="hybridMultilevel"/>
    <w:tmpl w:val="B114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630E55EC"/>
    <w:multiLevelType w:val="hybridMultilevel"/>
    <w:tmpl w:val="3216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9D3117"/>
    <w:multiLevelType w:val="hybridMultilevel"/>
    <w:tmpl w:val="0130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3947521">
    <w:abstractNumId w:val="0"/>
  </w:num>
  <w:num w:numId="2" w16cid:durableId="1417286819">
    <w:abstractNumId w:val="7"/>
  </w:num>
  <w:num w:numId="3" w16cid:durableId="1999142564">
    <w:abstractNumId w:val="8"/>
  </w:num>
  <w:num w:numId="4" w16cid:durableId="1367485285">
    <w:abstractNumId w:val="1"/>
  </w:num>
  <w:num w:numId="5" w16cid:durableId="2001351968">
    <w:abstractNumId w:val="5"/>
  </w:num>
  <w:num w:numId="6" w16cid:durableId="1552571387">
    <w:abstractNumId w:val="9"/>
  </w:num>
  <w:num w:numId="7" w16cid:durableId="909195284">
    <w:abstractNumId w:val="3"/>
  </w:num>
  <w:num w:numId="8" w16cid:durableId="1125805596">
    <w:abstractNumId w:val="10"/>
  </w:num>
  <w:num w:numId="9" w16cid:durableId="816070247">
    <w:abstractNumId w:val="6"/>
  </w:num>
  <w:num w:numId="10" w16cid:durableId="1299341782">
    <w:abstractNumId w:val="4"/>
  </w:num>
  <w:num w:numId="11" w16cid:durableId="206544576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11B3"/>
    <w:rsid w:val="00001E06"/>
    <w:rsid w:val="00005326"/>
    <w:rsid w:val="00005880"/>
    <w:rsid w:val="00007835"/>
    <w:rsid w:val="00007E6F"/>
    <w:rsid w:val="00011528"/>
    <w:rsid w:val="00012A80"/>
    <w:rsid w:val="00015FCE"/>
    <w:rsid w:val="000170DA"/>
    <w:rsid w:val="00017AC1"/>
    <w:rsid w:val="000223BC"/>
    <w:rsid w:val="0002399C"/>
    <w:rsid w:val="00024E9B"/>
    <w:rsid w:val="000258DE"/>
    <w:rsid w:val="00027E60"/>
    <w:rsid w:val="00034766"/>
    <w:rsid w:val="00034EC8"/>
    <w:rsid w:val="00036AEB"/>
    <w:rsid w:val="00036C75"/>
    <w:rsid w:val="00037106"/>
    <w:rsid w:val="00037937"/>
    <w:rsid w:val="00043F81"/>
    <w:rsid w:val="00050B0A"/>
    <w:rsid w:val="00052CEA"/>
    <w:rsid w:val="00054C78"/>
    <w:rsid w:val="00054CFC"/>
    <w:rsid w:val="00055488"/>
    <w:rsid w:val="00055731"/>
    <w:rsid w:val="00055757"/>
    <w:rsid w:val="00055EAC"/>
    <w:rsid w:val="000569C6"/>
    <w:rsid w:val="00060D64"/>
    <w:rsid w:val="00061606"/>
    <w:rsid w:val="00064649"/>
    <w:rsid w:val="00065B18"/>
    <w:rsid w:val="00070A7F"/>
    <w:rsid w:val="00071E18"/>
    <w:rsid w:val="000725FB"/>
    <w:rsid w:val="0007350A"/>
    <w:rsid w:val="00074B85"/>
    <w:rsid w:val="00077249"/>
    <w:rsid w:val="0008002F"/>
    <w:rsid w:val="00080913"/>
    <w:rsid w:val="00080E22"/>
    <w:rsid w:val="00082067"/>
    <w:rsid w:val="00082CED"/>
    <w:rsid w:val="000833BF"/>
    <w:rsid w:val="00084C0E"/>
    <w:rsid w:val="00085998"/>
    <w:rsid w:val="00086C3F"/>
    <w:rsid w:val="0009117F"/>
    <w:rsid w:val="00095EE6"/>
    <w:rsid w:val="00096A24"/>
    <w:rsid w:val="00096DE3"/>
    <w:rsid w:val="00096ED6"/>
    <w:rsid w:val="000A202D"/>
    <w:rsid w:val="000A4AF1"/>
    <w:rsid w:val="000A52C4"/>
    <w:rsid w:val="000A58B7"/>
    <w:rsid w:val="000A5D74"/>
    <w:rsid w:val="000A7B4E"/>
    <w:rsid w:val="000B1492"/>
    <w:rsid w:val="000B1F2F"/>
    <w:rsid w:val="000B3E04"/>
    <w:rsid w:val="000B4A0D"/>
    <w:rsid w:val="000B627D"/>
    <w:rsid w:val="000B7FC6"/>
    <w:rsid w:val="000C162F"/>
    <w:rsid w:val="000C2ECA"/>
    <w:rsid w:val="000C385A"/>
    <w:rsid w:val="000C43BC"/>
    <w:rsid w:val="000C4E42"/>
    <w:rsid w:val="000C5160"/>
    <w:rsid w:val="000D022E"/>
    <w:rsid w:val="000D05DD"/>
    <w:rsid w:val="000D11A5"/>
    <w:rsid w:val="000D11ED"/>
    <w:rsid w:val="000D1742"/>
    <w:rsid w:val="000D291A"/>
    <w:rsid w:val="000D33B5"/>
    <w:rsid w:val="000D3784"/>
    <w:rsid w:val="000D4D84"/>
    <w:rsid w:val="000D69EC"/>
    <w:rsid w:val="000D7E16"/>
    <w:rsid w:val="000E0871"/>
    <w:rsid w:val="000E0A47"/>
    <w:rsid w:val="000E4493"/>
    <w:rsid w:val="000E4DD3"/>
    <w:rsid w:val="000E7BA2"/>
    <w:rsid w:val="000F1139"/>
    <w:rsid w:val="000F1352"/>
    <w:rsid w:val="000F1DE0"/>
    <w:rsid w:val="000F3126"/>
    <w:rsid w:val="000F3AF5"/>
    <w:rsid w:val="000F3F9A"/>
    <w:rsid w:val="000F4805"/>
    <w:rsid w:val="000F4ACE"/>
    <w:rsid w:val="000F51FC"/>
    <w:rsid w:val="000F5777"/>
    <w:rsid w:val="00101D42"/>
    <w:rsid w:val="00101FE5"/>
    <w:rsid w:val="00102761"/>
    <w:rsid w:val="00103198"/>
    <w:rsid w:val="0010593E"/>
    <w:rsid w:val="00106927"/>
    <w:rsid w:val="00107337"/>
    <w:rsid w:val="00107DEC"/>
    <w:rsid w:val="00110806"/>
    <w:rsid w:val="00110B6B"/>
    <w:rsid w:val="00111C50"/>
    <w:rsid w:val="00112CDC"/>
    <w:rsid w:val="00113B87"/>
    <w:rsid w:val="0011418F"/>
    <w:rsid w:val="001155C9"/>
    <w:rsid w:val="00116E4E"/>
    <w:rsid w:val="0011785C"/>
    <w:rsid w:val="00121799"/>
    <w:rsid w:val="001221CA"/>
    <w:rsid w:val="001223E4"/>
    <w:rsid w:val="0012274D"/>
    <w:rsid w:val="00123340"/>
    <w:rsid w:val="001235B5"/>
    <w:rsid w:val="00123D56"/>
    <w:rsid w:val="00125C7D"/>
    <w:rsid w:val="00126B19"/>
    <w:rsid w:val="00131618"/>
    <w:rsid w:val="00132683"/>
    <w:rsid w:val="001330B3"/>
    <w:rsid w:val="0013397D"/>
    <w:rsid w:val="001353D9"/>
    <w:rsid w:val="0013590D"/>
    <w:rsid w:val="001401BD"/>
    <w:rsid w:val="00140D0C"/>
    <w:rsid w:val="001412FD"/>
    <w:rsid w:val="00143E5C"/>
    <w:rsid w:val="00144BBC"/>
    <w:rsid w:val="00145C2D"/>
    <w:rsid w:val="00146F4A"/>
    <w:rsid w:val="00147EE9"/>
    <w:rsid w:val="00152795"/>
    <w:rsid w:val="00153DB1"/>
    <w:rsid w:val="00154B17"/>
    <w:rsid w:val="0015677C"/>
    <w:rsid w:val="00160FDA"/>
    <w:rsid w:val="0016215E"/>
    <w:rsid w:val="0016231B"/>
    <w:rsid w:val="0016423D"/>
    <w:rsid w:val="00165E47"/>
    <w:rsid w:val="00167017"/>
    <w:rsid w:val="00167250"/>
    <w:rsid w:val="00171585"/>
    <w:rsid w:val="00174A50"/>
    <w:rsid w:val="00174B20"/>
    <w:rsid w:val="0017667A"/>
    <w:rsid w:val="00176A44"/>
    <w:rsid w:val="00177AC9"/>
    <w:rsid w:val="001808DA"/>
    <w:rsid w:val="00180FF0"/>
    <w:rsid w:val="0018327C"/>
    <w:rsid w:val="001863CA"/>
    <w:rsid w:val="00186F6A"/>
    <w:rsid w:val="00187E9F"/>
    <w:rsid w:val="00191D95"/>
    <w:rsid w:val="00192280"/>
    <w:rsid w:val="001924FB"/>
    <w:rsid w:val="00193392"/>
    <w:rsid w:val="001939D9"/>
    <w:rsid w:val="00194AE7"/>
    <w:rsid w:val="001961E5"/>
    <w:rsid w:val="001A119C"/>
    <w:rsid w:val="001A1F56"/>
    <w:rsid w:val="001A333C"/>
    <w:rsid w:val="001A50D9"/>
    <w:rsid w:val="001A5137"/>
    <w:rsid w:val="001A5B12"/>
    <w:rsid w:val="001A68D4"/>
    <w:rsid w:val="001A6C65"/>
    <w:rsid w:val="001A7D05"/>
    <w:rsid w:val="001B3311"/>
    <w:rsid w:val="001B370E"/>
    <w:rsid w:val="001B3AB6"/>
    <w:rsid w:val="001B4078"/>
    <w:rsid w:val="001B57C1"/>
    <w:rsid w:val="001B5E50"/>
    <w:rsid w:val="001B6009"/>
    <w:rsid w:val="001B7065"/>
    <w:rsid w:val="001B72B0"/>
    <w:rsid w:val="001C2C56"/>
    <w:rsid w:val="001C43A2"/>
    <w:rsid w:val="001C4FDC"/>
    <w:rsid w:val="001C6520"/>
    <w:rsid w:val="001C6D8F"/>
    <w:rsid w:val="001C76FF"/>
    <w:rsid w:val="001D0762"/>
    <w:rsid w:val="001D168B"/>
    <w:rsid w:val="001D3CCE"/>
    <w:rsid w:val="001E00A3"/>
    <w:rsid w:val="001E0769"/>
    <w:rsid w:val="001E1037"/>
    <w:rsid w:val="001E1C5B"/>
    <w:rsid w:val="001E25CB"/>
    <w:rsid w:val="001E33B7"/>
    <w:rsid w:val="001E5110"/>
    <w:rsid w:val="001F5A0A"/>
    <w:rsid w:val="001F7E1F"/>
    <w:rsid w:val="00200A49"/>
    <w:rsid w:val="002012F6"/>
    <w:rsid w:val="00205330"/>
    <w:rsid w:val="0020657C"/>
    <w:rsid w:val="0020670F"/>
    <w:rsid w:val="0021123D"/>
    <w:rsid w:val="00213652"/>
    <w:rsid w:val="00215A80"/>
    <w:rsid w:val="00215D34"/>
    <w:rsid w:val="002160F2"/>
    <w:rsid w:val="00223B2F"/>
    <w:rsid w:val="00223B43"/>
    <w:rsid w:val="00224059"/>
    <w:rsid w:val="0022438A"/>
    <w:rsid w:val="00224C94"/>
    <w:rsid w:val="002259D6"/>
    <w:rsid w:val="0023098B"/>
    <w:rsid w:val="0023123F"/>
    <w:rsid w:val="002312D1"/>
    <w:rsid w:val="00231354"/>
    <w:rsid w:val="00233572"/>
    <w:rsid w:val="002345AE"/>
    <w:rsid w:val="002376C5"/>
    <w:rsid w:val="00240083"/>
    <w:rsid w:val="002412B8"/>
    <w:rsid w:val="002413D4"/>
    <w:rsid w:val="002416A0"/>
    <w:rsid w:val="00241C1A"/>
    <w:rsid w:val="00245A97"/>
    <w:rsid w:val="00251A1D"/>
    <w:rsid w:val="0025201A"/>
    <w:rsid w:val="00252502"/>
    <w:rsid w:val="00252908"/>
    <w:rsid w:val="00253E09"/>
    <w:rsid w:val="00255492"/>
    <w:rsid w:val="0025575C"/>
    <w:rsid w:val="00255B47"/>
    <w:rsid w:val="00255E68"/>
    <w:rsid w:val="0026226E"/>
    <w:rsid w:val="002625AA"/>
    <w:rsid w:val="00266E7A"/>
    <w:rsid w:val="00273412"/>
    <w:rsid w:val="00274E7F"/>
    <w:rsid w:val="002771A0"/>
    <w:rsid w:val="00277B6D"/>
    <w:rsid w:val="00280403"/>
    <w:rsid w:val="00280A82"/>
    <w:rsid w:val="00280EB7"/>
    <w:rsid w:val="00284F90"/>
    <w:rsid w:val="0028550E"/>
    <w:rsid w:val="0028604D"/>
    <w:rsid w:val="002864E8"/>
    <w:rsid w:val="00286595"/>
    <w:rsid w:val="002872E1"/>
    <w:rsid w:val="0028780F"/>
    <w:rsid w:val="00293C88"/>
    <w:rsid w:val="00294D4F"/>
    <w:rsid w:val="00295B18"/>
    <w:rsid w:val="00297773"/>
    <w:rsid w:val="002A0532"/>
    <w:rsid w:val="002A1B3E"/>
    <w:rsid w:val="002A1D54"/>
    <w:rsid w:val="002A273D"/>
    <w:rsid w:val="002A41CB"/>
    <w:rsid w:val="002A6A70"/>
    <w:rsid w:val="002B049C"/>
    <w:rsid w:val="002B2872"/>
    <w:rsid w:val="002B300C"/>
    <w:rsid w:val="002B4139"/>
    <w:rsid w:val="002B41DB"/>
    <w:rsid w:val="002B5344"/>
    <w:rsid w:val="002B64CF"/>
    <w:rsid w:val="002C0E46"/>
    <w:rsid w:val="002C1647"/>
    <w:rsid w:val="002C360C"/>
    <w:rsid w:val="002C3686"/>
    <w:rsid w:val="002C44EA"/>
    <w:rsid w:val="002C46BB"/>
    <w:rsid w:val="002C6A4A"/>
    <w:rsid w:val="002C6A53"/>
    <w:rsid w:val="002C7FF4"/>
    <w:rsid w:val="002D0266"/>
    <w:rsid w:val="002D1005"/>
    <w:rsid w:val="002D1F99"/>
    <w:rsid w:val="002D2648"/>
    <w:rsid w:val="002D27F1"/>
    <w:rsid w:val="002D306D"/>
    <w:rsid w:val="002D34CE"/>
    <w:rsid w:val="002D362E"/>
    <w:rsid w:val="002D614F"/>
    <w:rsid w:val="002D63CB"/>
    <w:rsid w:val="002D7EDD"/>
    <w:rsid w:val="002E0AC1"/>
    <w:rsid w:val="002E38BF"/>
    <w:rsid w:val="002E48C1"/>
    <w:rsid w:val="002F0987"/>
    <w:rsid w:val="002F0BB5"/>
    <w:rsid w:val="002F157E"/>
    <w:rsid w:val="002F35A2"/>
    <w:rsid w:val="002F4B83"/>
    <w:rsid w:val="002F4E0D"/>
    <w:rsid w:val="002F4EE0"/>
    <w:rsid w:val="002F5987"/>
    <w:rsid w:val="002F7959"/>
    <w:rsid w:val="002F7AE5"/>
    <w:rsid w:val="003015BF"/>
    <w:rsid w:val="00303764"/>
    <w:rsid w:val="00305F78"/>
    <w:rsid w:val="0030653B"/>
    <w:rsid w:val="00311FA7"/>
    <w:rsid w:val="00312555"/>
    <w:rsid w:val="00313275"/>
    <w:rsid w:val="00313B2B"/>
    <w:rsid w:val="003152C0"/>
    <w:rsid w:val="00316A7F"/>
    <w:rsid w:val="00317BFF"/>
    <w:rsid w:val="003202E6"/>
    <w:rsid w:val="00321FE4"/>
    <w:rsid w:val="0032327B"/>
    <w:rsid w:val="003266AE"/>
    <w:rsid w:val="00327B43"/>
    <w:rsid w:val="00330586"/>
    <w:rsid w:val="00330C7D"/>
    <w:rsid w:val="00331304"/>
    <w:rsid w:val="00331EC7"/>
    <w:rsid w:val="00334DD7"/>
    <w:rsid w:val="00335760"/>
    <w:rsid w:val="00340D9C"/>
    <w:rsid w:val="0034163B"/>
    <w:rsid w:val="00341DCC"/>
    <w:rsid w:val="0034310A"/>
    <w:rsid w:val="003437EE"/>
    <w:rsid w:val="00343D07"/>
    <w:rsid w:val="00343F90"/>
    <w:rsid w:val="0034446B"/>
    <w:rsid w:val="00347537"/>
    <w:rsid w:val="00351BEA"/>
    <w:rsid w:val="003522E4"/>
    <w:rsid w:val="003548D0"/>
    <w:rsid w:val="003569E6"/>
    <w:rsid w:val="003573C9"/>
    <w:rsid w:val="003616C0"/>
    <w:rsid w:val="00362E9D"/>
    <w:rsid w:val="003646C0"/>
    <w:rsid w:val="003657F4"/>
    <w:rsid w:val="00366A29"/>
    <w:rsid w:val="00367966"/>
    <w:rsid w:val="00374CF6"/>
    <w:rsid w:val="00375265"/>
    <w:rsid w:val="00376485"/>
    <w:rsid w:val="00377D1C"/>
    <w:rsid w:val="00381A51"/>
    <w:rsid w:val="0038333D"/>
    <w:rsid w:val="0038379B"/>
    <w:rsid w:val="00384E45"/>
    <w:rsid w:val="00386C13"/>
    <w:rsid w:val="00387F8C"/>
    <w:rsid w:val="00391E4F"/>
    <w:rsid w:val="00392741"/>
    <w:rsid w:val="00393473"/>
    <w:rsid w:val="003959B0"/>
    <w:rsid w:val="00395D62"/>
    <w:rsid w:val="00396170"/>
    <w:rsid w:val="003963F8"/>
    <w:rsid w:val="00397239"/>
    <w:rsid w:val="003A017A"/>
    <w:rsid w:val="003A04F7"/>
    <w:rsid w:val="003A09F5"/>
    <w:rsid w:val="003A427A"/>
    <w:rsid w:val="003A4639"/>
    <w:rsid w:val="003A6D04"/>
    <w:rsid w:val="003A7509"/>
    <w:rsid w:val="003B24E8"/>
    <w:rsid w:val="003B573F"/>
    <w:rsid w:val="003B7192"/>
    <w:rsid w:val="003B7F1A"/>
    <w:rsid w:val="003C28A9"/>
    <w:rsid w:val="003C3EE7"/>
    <w:rsid w:val="003C57FD"/>
    <w:rsid w:val="003C6F54"/>
    <w:rsid w:val="003C78FC"/>
    <w:rsid w:val="003D02C5"/>
    <w:rsid w:val="003D08E5"/>
    <w:rsid w:val="003D340E"/>
    <w:rsid w:val="003D365E"/>
    <w:rsid w:val="003D5229"/>
    <w:rsid w:val="003D5FE0"/>
    <w:rsid w:val="003E233C"/>
    <w:rsid w:val="003E303D"/>
    <w:rsid w:val="003E346D"/>
    <w:rsid w:val="003E64D9"/>
    <w:rsid w:val="003E704E"/>
    <w:rsid w:val="003F07B9"/>
    <w:rsid w:val="003F1E74"/>
    <w:rsid w:val="003F3904"/>
    <w:rsid w:val="003F3CC3"/>
    <w:rsid w:val="00401D95"/>
    <w:rsid w:val="00403DEA"/>
    <w:rsid w:val="00407047"/>
    <w:rsid w:val="004072BA"/>
    <w:rsid w:val="004078E0"/>
    <w:rsid w:val="004150E0"/>
    <w:rsid w:val="00416004"/>
    <w:rsid w:val="00420E6E"/>
    <w:rsid w:val="00420E8B"/>
    <w:rsid w:val="00421281"/>
    <w:rsid w:val="0042201B"/>
    <w:rsid w:val="0042337C"/>
    <w:rsid w:val="004260F1"/>
    <w:rsid w:val="00426559"/>
    <w:rsid w:val="00427150"/>
    <w:rsid w:val="004274DC"/>
    <w:rsid w:val="004316FE"/>
    <w:rsid w:val="004330A7"/>
    <w:rsid w:val="0043404B"/>
    <w:rsid w:val="00434B66"/>
    <w:rsid w:val="0043585B"/>
    <w:rsid w:val="00436642"/>
    <w:rsid w:val="004367B5"/>
    <w:rsid w:val="004367D0"/>
    <w:rsid w:val="00441363"/>
    <w:rsid w:val="00442733"/>
    <w:rsid w:val="00444B7B"/>
    <w:rsid w:val="00446565"/>
    <w:rsid w:val="00452B90"/>
    <w:rsid w:val="00454D44"/>
    <w:rsid w:val="004559CB"/>
    <w:rsid w:val="0045679F"/>
    <w:rsid w:val="00460ED6"/>
    <w:rsid w:val="0046114D"/>
    <w:rsid w:val="00461E86"/>
    <w:rsid w:val="00462CFD"/>
    <w:rsid w:val="00464990"/>
    <w:rsid w:val="00465848"/>
    <w:rsid w:val="00466FB9"/>
    <w:rsid w:val="004677B9"/>
    <w:rsid w:val="0047061A"/>
    <w:rsid w:val="0047121E"/>
    <w:rsid w:val="004736F2"/>
    <w:rsid w:val="004745F9"/>
    <w:rsid w:val="00475122"/>
    <w:rsid w:val="00477089"/>
    <w:rsid w:val="0048124C"/>
    <w:rsid w:val="004816B1"/>
    <w:rsid w:val="0048259D"/>
    <w:rsid w:val="0048419C"/>
    <w:rsid w:val="00486998"/>
    <w:rsid w:val="0048706A"/>
    <w:rsid w:val="00487922"/>
    <w:rsid w:val="0049133A"/>
    <w:rsid w:val="00491EBC"/>
    <w:rsid w:val="00491F26"/>
    <w:rsid w:val="00492DA1"/>
    <w:rsid w:val="00492EB1"/>
    <w:rsid w:val="00494C91"/>
    <w:rsid w:val="004A01B1"/>
    <w:rsid w:val="004A0D20"/>
    <w:rsid w:val="004A337E"/>
    <w:rsid w:val="004A33DA"/>
    <w:rsid w:val="004A5042"/>
    <w:rsid w:val="004A6AD6"/>
    <w:rsid w:val="004B2FDC"/>
    <w:rsid w:val="004B3586"/>
    <w:rsid w:val="004B5EC6"/>
    <w:rsid w:val="004B6255"/>
    <w:rsid w:val="004B6969"/>
    <w:rsid w:val="004B6C0C"/>
    <w:rsid w:val="004B6FAA"/>
    <w:rsid w:val="004B740D"/>
    <w:rsid w:val="004B7423"/>
    <w:rsid w:val="004B79EC"/>
    <w:rsid w:val="004B7DF6"/>
    <w:rsid w:val="004C206F"/>
    <w:rsid w:val="004C33EC"/>
    <w:rsid w:val="004C3559"/>
    <w:rsid w:val="004D21DB"/>
    <w:rsid w:val="004D5A14"/>
    <w:rsid w:val="004D68CD"/>
    <w:rsid w:val="004D68D2"/>
    <w:rsid w:val="004D7FA1"/>
    <w:rsid w:val="004E2881"/>
    <w:rsid w:val="004E56AF"/>
    <w:rsid w:val="004E7D20"/>
    <w:rsid w:val="004F1B24"/>
    <w:rsid w:val="004F1EEA"/>
    <w:rsid w:val="004F1FFC"/>
    <w:rsid w:val="004F537E"/>
    <w:rsid w:val="004F5C4D"/>
    <w:rsid w:val="004F6B38"/>
    <w:rsid w:val="004F6E14"/>
    <w:rsid w:val="004F6E2F"/>
    <w:rsid w:val="004F7D22"/>
    <w:rsid w:val="005016EE"/>
    <w:rsid w:val="00504D0B"/>
    <w:rsid w:val="00505091"/>
    <w:rsid w:val="0050658A"/>
    <w:rsid w:val="0050710A"/>
    <w:rsid w:val="00510418"/>
    <w:rsid w:val="00510B0F"/>
    <w:rsid w:val="00511A7D"/>
    <w:rsid w:val="00511B5A"/>
    <w:rsid w:val="00511EA9"/>
    <w:rsid w:val="0051222F"/>
    <w:rsid w:val="00513F6D"/>
    <w:rsid w:val="00514953"/>
    <w:rsid w:val="005159F8"/>
    <w:rsid w:val="00515C54"/>
    <w:rsid w:val="0051674E"/>
    <w:rsid w:val="00523970"/>
    <w:rsid w:val="00523B99"/>
    <w:rsid w:val="00523CFF"/>
    <w:rsid w:val="0052404D"/>
    <w:rsid w:val="0052670A"/>
    <w:rsid w:val="00527233"/>
    <w:rsid w:val="00530418"/>
    <w:rsid w:val="005306C9"/>
    <w:rsid w:val="00533E79"/>
    <w:rsid w:val="005367E8"/>
    <w:rsid w:val="00536B38"/>
    <w:rsid w:val="00537743"/>
    <w:rsid w:val="00537D74"/>
    <w:rsid w:val="0054013A"/>
    <w:rsid w:val="0054060E"/>
    <w:rsid w:val="0054151E"/>
    <w:rsid w:val="00541949"/>
    <w:rsid w:val="005434B0"/>
    <w:rsid w:val="005435AF"/>
    <w:rsid w:val="00544F35"/>
    <w:rsid w:val="005458FF"/>
    <w:rsid w:val="00545DB5"/>
    <w:rsid w:val="00550DBF"/>
    <w:rsid w:val="0055278F"/>
    <w:rsid w:val="00554137"/>
    <w:rsid w:val="00555DD2"/>
    <w:rsid w:val="00556BE4"/>
    <w:rsid w:val="00556C15"/>
    <w:rsid w:val="00556E3E"/>
    <w:rsid w:val="00560343"/>
    <w:rsid w:val="005604E3"/>
    <w:rsid w:val="0056392D"/>
    <w:rsid w:val="005648C7"/>
    <w:rsid w:val="005667EE"/>
    <w:rsid w:val="00566ED3"/>
    <w:rsid w:val="00567372"/>
    <w:rsid w:val="00572276"/>
    <w:rsid w:val="0057356B"/>
    <w:rsid w:val="00574F2F"/>
    <w:rsid w:val="00575101"/>
    <w:rsid w:val="005772CD"/>
    <w:rsid w:val="00580F73"/>
    <w:rsid w:val="00584BF4"/>
    <w:rsid w:val="00585215"/>
    <w:rsid w:val="0058609E"/>
    <w:rsid w:val="005876A1"/>
    <w:rsid w:val="0059044C"/>
    <w:rsid w:val="00590E7C"/>
    <w:rsid w:val="0059110F"/>
    <w:rsid w:val="005912C7"/>
    <w:rsid w:val="0059173E"/>
    <w:rsid w:val="00591B22"/>
    <w:rsid w:val="00594767"/>
    <w:rsid w:val="00596098"/>
    <w:rsid w:val="00596245"/>
    <w:rsid w:val="005A0A5E"/>
    <w:rsid w:val="005A0DAE"/>
    <w:rsid w:val="005A1207"/>
    <w:rsid w:val="005A160D"/>
    <w:rsid w:val="005A1936"/>
    <w:rsid w:val="005A2B65"/>
    <w:rsid w:val="005A3169"/>
    <w:rsid w:val="005A324E"/>
    <w:rsid w:val="005A65AD"/>
    <w:rsid w:val="005A6F07"/>
    <w:rsid w:val="005B03F8"/>
    <w:rsid w:val="005B121B"/>
    <w:rsid w:val="005B3210"/>
    <w:rsid w:val="005B4313"/>
    <w:rsid w:val="005B466C"/>
    <w:rsid w:val="005B53A8"/>
    <w:rsid w:val="005B586A"/>
    <w:rsid w:val="005B7297"/>
    <w:rsid w:val="005C32DA"/>
    <w:rsid w:val="005C4C00"/>
    <w:rsid w:val="005C59EA"/>
    <w:rsid w:val="005C6DD4"/>
    <w:rsid w:val="005C7274"/>
    <w:rsid w:val="005D1384"/>
    <w:rsid w:val="005D2F75"/>
    <w:rsid w:val="005D2F98"/>
    <w:rsid w:val="005D3534"/>
    <w:rsid w:val="005E060D"/>
    <w:rsid w:val="005E5C83"/>
    <w:rsid w:val="005F0F42"/>
    <w:rsid w:val="005F1BE3"/>
    <w:rsid w:val="005F6C65"/>
    <w:rsid w:val="005F74B1"/>
    <w:rsid w:val="005F7D19"/>
    <w:rsid w:val="00600F2D"/>
    <w:rsid w:val="00603236"/>
    <w:rsid w:val="00603975"/>
    <w:rsid w:val="00605049"/>
    <w:rsid w:val="00606398"/>
    <w:rsid w:val="00610CDC"/>
    <w:rsid w:val="006123CC"/>
    <w:rsid w:val="0061300D"/>
    <w:rsid w:val="00613926"/>
    <w:rsid w:val="006145A0"/>
    <w:rsid w:val="00615C85"/>
    <w:rsid w:val="00621484"/>
    <w:rsid w:val="006254B3"/>
    <w:rsid w:val="0062562C"/>
    <w:rsid w:val="00627C77"/>
    <w:rsid w:val="00627E18"/>
    <w:rsid w:val="00627FEF"/>
    <w:rsid w:val="006314E7"/>
    <w:rsid w:val="0063213C"/>
    <w:rsid w:val="006336D7"/>
    <w:rsid w:val="00633A13"/>
    <w:rsid w:val="006351EF"/>
    <w:rsid w:val="006355DF"/>
    <w:rsid w:val="00636860"/>
    <w:rsid w:val="00637487"/>
    <w:rsid w:val="00637B8C"/>
    <w:rsid w:val="006443BE"/>
    <w:rsid w:val="00647085"/>
    <w:rsid w:val="00647903"/>
    <w:rsid w:val="00647CBF"/>
    <w:rsid w:val="0065284F"/>
    <w:rsid w:val="00653FDB"/>
    <w:rsid w:val="00655E7E"/>
    <w:rsid w:val="006565AE"/>
    <w:rsid w:val="006571DF"/>
    <w:rsid w:val="00657547"/>
    <w:rsid w:val="006610E6"/>
    <w:rsid w:val="006638D5"/>
    <w:rsid w:val="00663962"/>
    <w:rsid w:val="00663FCF"/>
    <w:rsid w:val="00665959"/>
    <w:rsid w:val="0066636C"/>
    <w:rsid w:val="00666ABF"/>
    <w:rsid w:val="00667C08"/>
    <w:rsid w:val="00670864"/>
    <w:rsid w:val="0067127F"/>
    <w:rsid w:val="0067284F"/>
    <w:rsid w:val="00673853"/>
    <w:rsid w:val="00673B32"/>
    <w:rsid w:val="006763EE"/>
    <w:rsid w:val="00676F0F"/>
    <w:rsid w:val="0068106B"/>
    <w:rsid w:val="00681284"/>
    <w:rsid w:val="006833C9"/>
    <w:rsid w:val="00684CBA"/>
    <w:rsid w:val="0068577D"/>
    <w:rsid w:val="00691270"/>
    <w:rsid w:val="00693636"/>
    <w:rsid w:val="0069564C"/>
    <w:rsid w:val="006A2908"/>
    <w:rsid w:val="006A319D"/>
    <w:rsid w:val="006A375C"/>
    <w:rsid w:val="006A5BF3"/>
    <w:rsid w:val="006A6383"/>
    <w:rsid w:val="006A7BE1"/>
    <w:rsid w:val="006B056F"/>
    <w:rsid w:val="006B120C"/>
    <w:rsid w:val="006B1417"/>
    <w:rsid w:val="006B1491"/>
    <w:rsid w:val="006B2BC7"/>
    <w:rsid w:val="006B3279"/>
    <w:rsid w:val="006B36B8"/>
    <w:rsid w:val="006B4350"/>
    <w:rsid w:val="006B485F"/>
    <w:rsid w:val="006C3E97"/>
    <w:rsid w:val="006C6596"/>
    <w:rsid w:val="006D16DB"/>
    <w:rsid w:val="006D1AA7"/>
    <w:rsid w:val="006D4C87"/>
    <w:rsid w:val="006E0759"/>
    <w:rsid w:val="006E0987"/>
    <w:rsid w:val="006E23DB"/>
    <w:rsid w:val="006E2C51"/>
    <w:rsid w:val="006E39F9"/>
    <w:rsid w:val="006E43CB"/>
    <w:rsid w:val="006E60C2"/>
    <w:rsid w:val="006E6D55"/>
    <w:rsid w:val="006F24AB"/>
    <w:rsid w:val="006F5866"/>
    <w:rsid w:val="007015A0"/>
    <w:rsid w:val="00702EED"/>
    <w:rsid w:val="007038BF"/>
    <w:rsid w:val="00705E50"/>
    <w:rsid w:val="007076D2"/>
    <w:rsid w:val="00707726"/>
    <w:rsid w:val="00707AEB"/>
    <w:rsid w:val="00710CCC"/>
    <w:rsid w:val="00713A34"/>
    <w:rsid w:val="00713D0D"/>
    <w:rsid w:val="00714245"/>
    <w:rsid w:val="00714F76"/>
    <w:rsid w:val="00716B8F"/>
    <w:rsid w:val="00721501"/>
    <w:rsid w:val="00722FC1"/>
    <w:rsid w:val="00723C2B"/>
    <w:rsid w:val="007242D9"/>
    <w:rsid w:val="00725A6A"/>
    <w:rsid w:val="00725B35"/>
    <w:rsid w:val="00734CC5"/>
    <w:rsid w:val="0073556D"/>
    <w:rsid w:val="00737584"/>
    <w:rsid w:val="0074039F"/>
    <w:rsid w:val="00741442"/>
    <w:rsid w:val="007441FE"/>
    <w:rsid w:val="00744CB7"/>
    <w:rsid w:val="00745287"/>
    <w:rsid w:val="00745777"/>
    <w:rsid w:val="00745C78"/>
    <w:rsid w:val="00746531"/>
    <w:rsid w:val="00747D02"/>
    <w:rsid w:val="00750D77"/>
    <w:rsid w:val="00751C7B"/>
    <w:rsid w:val="00753FF7"/>
    <w:rsid w:val="00755E8B"/>
    <w:rsid w:val="00756A90"/>
    <w:rsid w:val="00756FDE"/>
    <w:rsid w:val="00757798"/>
    <w:rsid w:val="00757E37"/>
    <w:rsid w:val="00761629"/>
    <w:rsid w:val="00761685"/>
    <w:rsid w:val="00761737"/>
    <w:rsid w:val="00761D0F"/>
    <w:rsid w:val="0076509D"/>
    <w:rsid w:val="007700BC"/>
    <w:rsid w:val="00771C48"/>
    <w:rsid w:val="00773C4B"/>
    <w:rsid w:val="00774425"/>
    <w:rsid w:val="00775DA3"/>
    <w:rsid w:val="007761C7"/>
    <w:rsid w:val="00777A70"/>
    <w:rsid w:val="00780CAB"/>
    <w:rsid w:val="0078284B"/>
    <w:rsid w:val="007850A9"/>
    <w:rsid w:val="00785A6B"/>
    <w:rsid w:val="00786121"/>
    <w:rsid w:val="00792C81"/>
    <w:rsid w:val="007938C2"/>
    <w:rsid w:val="007955A3"/>
    <w:rsid w:val="00795B31"/>
    <w:rsid w:val="007A0085"/>
    <w:rsid w:val="007A11B5"/>
    <w:rsid w:val="007A23CF"/>
    <w:rsid w:val="007A2FE1"/>
    <w:rsid w:val="007A4FA7"/>
    <w:rsid w:val="007B0B08"/>
    <w:rsid w:val="007B454A"/>
    <w:rsid w:val="007B489C"/>
    <w:rsid w:val="007B4E2E"/>
    <w:rsid w:val="007B5BCF"/>
    <w:rsid w:val="007B67E4"/>
    <w:rsid w:val="007B7319"/>
    <w:rsid w:val="007B741F"/>
    <w:rsid w:val="007C07F4"/>
    <w:rsid w:val="007C153F"/>
    <w:rsid w:val="007C1C95"/>
    <w:rsid w:val="007C1D9A"/>
    <w:rsid w:val="007C204D"/>
    <w:rsid w:val="007C2126"/>
    <w:rsid w:val="007C23E6"/>
    <w:rsid w:val="007C655E"/>
    <w:rsid w:val="007D0912"/>
    <w:rsid w:val="007D3B7F"/>
    <w:rsid w:val="007D3EBB"/>
    <w:rsid w:val="007D4F95"/>
    <w:rsid w:val="007D680B"/>
    <w:rsid w:val="007D69C5"/>
    <w:rsid w:val="007D7774"/>
    <w:rsid w:val="007E1D77"/>
    <w:rsid w:val="007E331A"/>
    <w:rsid w:val="007E345B"/>
    <w:rsid w:val="007E3872"/>
    <w:rsid w:val="007E4F89"/>
    <w:rsid w:val="007F0E66"/>
    <w:rsid w:val="007F533D"/>
    <w:rsid w:val="007F641D"/>
    <w:rsid w:val="007F70A1"/>
    <w:rsid w:val="007F7251"/>
    <w:rsid w:val="0080037A"/>
    <w:rsid w:val="00801618"/>
    <w:rsid w:val="00801914"/>
    <w:rsid w:val="008031B8"/>
    <w:rsid w:val="0080416E"/>
    <w:rsid w:val="0080458A"/>
    <w:rsid w:val="00804594"/>
    <w:rsid w:val="0080608F"/>
    <w:rsid w:val="008060D4"/>
    <w:rsid w:val="008066C4"/>
    <w:rsid w:val="00811115"/>
    <w:rsid w:val="00811654"/>
    <w:rsid w:val="00813C62"/>
    <w:rsid w:val="00814FD6"/>
    <w:rsid w:val="00816108"/>
    <w:rsid w:val="0082007F"/>
    <w:rsid w:val="008205BB"/>
    <w:rsid w:val="00820990"/>
    <w:rsid w:val="00821AC0"/>
    <w:rsid w:val="00822182"/>
    <w:rsid w:val="00822838"/>
    <w:rsid w:val="00824140"/>
    <w:rsid w:val="00827F3F"/>
    <w:rsid w:val="00830B68"/>
    <w:rsid w:val="00833D38"/>
    <w:rsid w:val="008355CD"/>
    <w:rsid w:val="008368F4"/>
    <w:rsid w:val="0083707A"/>
    <w:rsid w:val="00840F2D"/>
    <w:rsid w:val="00843580"/>
    <w:rsid w:val="00843A98"/>
    <w:rsid w:val="0084462C"/>
    <w:rsid w:val="0084637C"/>
    <w:rsid w:val="0085241C"/>
    <w:rsid w:val="00853BE4"/>
    <w:rsid w:val="008541C7"/>
    <w:rsid w:val="00857792"/>
    <w:rsid w:val="008577CF"/>
    <w:rsid w:val="00860D15"/>
    <w:rsid w:val="008617F3"/>
    <w:rsid w:val="008622EA"/>
    <w:rsid w:val="008625F4"/>
    <w:rsid w:val="008710DB"/>
    <w:rsid w:val="008729E4"/>
    <w:rsid w:val="00873B9B"/>
    <w:rsid w:val="00873CD2"/>
    <w:rsid w:val="00875BBB"/>
    <w:rsid w:val="00876A6E"/>
    <w:rsid w:val="00876D2D"/>
    <w:rsid w:val="00877087"/>
    <w:rsid w:val="0087730A"/>
    <w:rsid w:val="0087752C"/>
    <w:rsid w:val="008776F1"/>
    <w:rsid w:val="008805E0"/>
    <w:rsid w:val="008843AF"/>
    <w:rsid w:val="00884A08"/>
    <w:rsid w:val="0088603C"/>
    <w:rsid w:val="008904B7"/>
    <w:rsid w:val="008916DE"/>
    <w:rsid w:val="00891CF6"/>
    <w:rsid w:val="008921D8"/>
    <w:rsid w:val="00892CD4"/>
    <w:rsid w:val="00892EA3"/>
    <w:rsid w:val="00893451"/>
    <w:rsid w:val="00893ADF"/>
    <w:rsid w:val="00896858"/>
    <w:rsid w:val="008A2A20"/>
    <w:rsid w:val="008A38A1"/>
    <w:rsid w:val="008A3979"/>
    <w:rsid w:val="008A50EB"/>
    <w:rsid w:val="008A605B"/>
    <w:rsid w:val="008B191A"/>
    <w:rsid w:val="008B5922"/>
    <w:rsid w:val="008B593B"/>
    <w:rsid w:val="008B79B0"/>
    <w:rsid w:val="008B7F2C"/>
    <w:rsid w:val="008C13E5"/>
    <w:rsid w:val="008C1C50"/>
    <w:rsid w:val="008C412F"/>
    <w:rsid w:val="008C581E"/>
    <w:rsid w:val="008C5B3C"/>
    <w:rsid w:val="008C6848"/>
    <w:rsid w:val="008C68FE"/>
    <w:rsid w:val="008D123A"/>
    <w:rsid w:val="008D3534"/>
    <w:rsid w:val="008D4E3D"/>
    <w:rsid w:val="008D4FE2"/>
    <w:rsid w:val="008D674A"/>
    <w:rsid w:val="008D77F3"/>
    <w:rsid w:val="008E11EE"/>
    <w:rsid w:val="008E1593"/>
    <w:rsid w:val="008E1D7B"/>
    <w:rsid w:val="008E2C79"/>
    <w:rsid w:val="008E2D24"/>
    <w:rsid w:val="008E4411"/>
    <w:rsid w:val="008E4416"/>
    <w:rsid w:val="008E47E7"/>
    <w:rsid w:val="008E6205"/>
    <w:rsid w:val="008F1404"/>
    <w:rsid w:val="008F2711"/>
    <w:rsid w:val="008F3930"/>
    <w:rsid w:val="008F60CF"/>
    <w:rsid w:val="008F6CE2"/>
    <w:rsid w:val="009002DA"/>
    <w:rsid w:val="009006E5"/>
    <w:rsid w:val="00900804"/>
    <w:rsid w:val="00901666"/>
    <w:rsid w:val="00904A33"/>
    <w:rsid w:val="00905818"/>
    <w:rsid w:val="00910778"/>
    <w:rsid w:val="00910ADF"/>
    <w:rsid w:val="0091226E"/>
    <w:rsid w:val="0091295D"/>
    <w:rsid w:val="00913D5D"/>
    <w:rsid w:val="009141C6"/>
    <w:rsid w:val="00914290"/>
    <w:rsid w:val="00914FC9"/>
    <w:rsid w:val="009153AA"/>
    <w:rsid w:val="00920CA4"/>
    <w:rsid w:val="009215C4"/>
    <w:rsid w:val="009262FD"/>
    <w:rsid w:val="00927BDA"/>
    <w:rsid w:val="00933D28"/>
    <w:rsid w:val="00933E82"/>
    <w:rsid w:val="009344F1"/>
    <w:rsid w:val="0093498F"/>
    <w:rsid w:val="00935EA7"/>
    <w:rsid w:val="00942592"/>
    <w:rsid w:val="00942705"/>
    <w:rsid w:val="0094280B"/>
    <w:rsid w:val="00942F95"/>
    <w:rsid w:val="00943959"/>
    <w:rsid w:val="00943D78"/>
    <w:rsid w:val="00945597"/>
    <w:rsid w:val="00950DF6"/>
    <w:rsid w:val="009529AA"/>
    <w:rsid w:val="00953277"/>
    <w:rsid w:val="009539EC"/>
    <w:rsid w:val="00954701"/>
    <w:rsid w:val="00954865"/>
    <w:rsid w:val="0095601B"/>
    <w:rsid w:val="009562EB"/>
    <w:rsid w:val="009634C1"/>
    <w:rsid w:val="00964DAB"/>
    <w:rsid w:val="00965359"/>
    <w:rsid w:val="009658A3"/>
    <w:rsid w:val="00966202"/>
    <w:rsid w:val="00973EA6"/>
    <w:rsid w:val="00974A55"/>
    <w:rsid w:val="00975EAE"/>
    <w:rsid w:val="00977142"/>
    <w:rsid w:val="00977250"/>
    <w:rsid w:val="0098217F"/>
    <w:rsid w:val="00983573"/>
    <w:rsid w:val="009837EA"/>
    <w:rsid w:val="00986190"/>
    <w:rsid w:val="009870C9"/>
    <w:rsid w:val="0098798C"/>
    <w:rsid w:val="009920A1"/>
    <w:rsid w:val="00993423"/>
    <w:rsid w:val="00995439"/>
    <w:rsid w:val="00995B0E"/>
    <w:rsid w:val="009A0B20"/>
    <w:rsid w:val="009A1DD8"/>
    <w:rsid w:val="009A4720"/>
    <w:rsid w:val="009A5915"/>
    <w:rsid w:val="009A6276"/>
    <w:rsid w:val="009B3879"/>
    <w:rsid w:val="009B5067"/>
    <w:rsid w:val="009B58A9"/>
    <w:rsid w:val="009B604D"/>
    <w:rsid w:val="009B7247"/>
    <w:rsid w:val="009B7554"/>
    <w:rsid w:val="009B7EF5"/>
    <w:rsid w:val="009C095D"/>
    <w:rsid w:val="009C3795"/>
    <w:rsid w:val="009C47C1"/>
    <w:rsid w:val="009C679D"/>
    <w:rsid w:val="009C74EC"/>
    <w:rsid w:val="009D208D"/>
    <w:rsid w:val="009D3C84"/>
    <w:rsid w:val="009D6091"/>
    <w:rsid w:val="009D638E"/>
    <w:rsid w:val="009E2199"/>
    <w:rsid w:val="009F0527"/>
    <w:rsid w:val="009F11B6"/>
    <w:rsid w:val="009F2A2D"/>
    <w:rsid w:val="009F2C12"/>
    <w:rsid w:val="009F53B0"/>
    <w:rsid w:val="00A03AC5"/>
    <w:rsid w:val="00A04171"/>
    <w:rsid w:val="00A04343"/>
    <w:rsid w:val="00A04492"/>
    <w:rsid w:val="00A06A93"/>
    <w:rsid w:val="00A070B8"/>
    <w:rsid w:val="00A07482"/>
    <w:rsid w:val="00A079A5"/>
    <w:rsid w:val="00A1128D"/>
    <w:rsid w:val="00A1176C"/>
    <w:rsid w:val="00A14C58"/>
    <w:rsid w:val="00A169CE"/>
    <w:rsid w:val="00A20F62"/>
    <w:rsid w:val="00A23680"/>
    <w:rsid w:val="00A26004"/>
    <w:rsid w:val="00A27BB2"/>
    <w:rsid w:val="00A318F6"/>
    <w:rsid w:val="00A34CFD"/>
    <w:rsid w:val="00A35908"/>
    <w:rsid w:val="00A365A8"/>
    <w:rsid w:val="00A37915"/>
    <w:rsid w:val="00A37C72"/>
    <w:rsid w:val="00A40019"/>
    <w:rsid w:val="00A41382"/>
    <w:rsid w:val="00A4163E"/>
    <w:rsid w:val="00A41B5A"/>
    <w:rsid w:val="00A46B9F"/>
    <w:rsid w:val="00A4718C"/>
    <w:rsid w:val="00A47904"/>
    <w:rsid w:val="00A50959"/>
    <w:rsid w:val="00A52140"/>
    <w:rsid w:val="00A52927"/>
    <w:rsid w:val="00A55081"/>
    <w:rsid w:val="00A553F8"/>
    <w:rsid w:val="00A5675F"/>
    <w:rsid w:val="00A56FE6"/>
    <w:rsid w:val="00A5786C"/>
    <w:rsid w:val="00A57D81"/>
    <w:rsid w:val="00A63C24"/>
    <w:rsid w:val="00A63CDE"/>
    <w:rsid w:val="00A674D8"/>
    <w:rsid w:val="00A6795B"/>
    <w:rsid w:val="00A700C5"/>
    <w:rsid w:val="00A749CC"/>
    <w:rsid w:val="00A767A8"/>
    <w:rsid w:val="00A82978"/>
    <w:rsid w:val="00A83B57"/>
    <w:rsid w:val="00A86422"/>
    <w:rsid w:val="00A870F1"/>
    <w:rsid w:val="00A874D1"/>
    <w:rsid w:val="00A909DE"/>
    <w:rsid w:val="00A929EA"/>
    <w:rsid w:val="00A92E28"/>
    <w:rsid w:val="00A93D9A"/>
    <w:rsid w:val="00A95C2D"/>
    <w:rsid w:val="00A9712B"/>
    <w:rsid w:val="00AA00CE"/>
    <w:rsid w:val="00AA286D"/>
    <w:rsid w:val="00AB02F4"/>
    <w:rsid w:val="00AB13FF"/>
    <w:rsid w:val="00AB16B1"/>
    <w:rsid w:val="00AB1C06"/>
    <w:rsid w:val="00AB1E67"/>
    <w:rsid w:val="00AB438B"/>
    <w:rsid w:val="00AC0BE1"/>
    <w:rsid w:val="00AC1722"/>
    <w:rsid w:val="00AC25D4"/>
    <w:rsid w:val="00AC514A"/>
    <w:rsid w:val="00AC54B7"/>
    <w:rsid w:val="00AD192D"/>
    <w:rsid w:val="00AD4228"/>
    <w:rsid w:val="00AD4340"/>
    <w:rsid w:val="00AD697A"/>
    <w:rsid w:val="00AD7809"/>
    <w:rsid w:val="00AE0B25"/>
    <w:rsid w:val="00AE1088"/>
    <w:rsid w:val="00AE2464"/>
    <w:rsid w:val="00AE39DD"/>
    <w:rsid w:val="00AE74F4"/>
    <w:rsid w:val="00AF0559"/>
    <w:rsid w:val="00AF43A3"/>
    <w:rsid w:val="00AF5AE1"/>
    <w:rsid w:val="00AF5D5E"/>
    <w:rsid w:val="00AF6EBD"/>
    <w:rsid w:val="00B00760"/>
    <w:rsid w:val="00B01395"/>
    <w:rsid w:val="00B016CF"/>
    <w:rsid w:val="00B03315"/>
    <w:rsid w:val="00B0348E"/>
    <w:rsid w:val="00B040D3"/>
    <w:rsid w:val="00B04760"/>
    <w:rsid w:val="00B0480E"/>
    <w:rsid w:val="00B149AE"/>
    <w:rsid w:val="00B15A27"/>
    <w:rsid w:val="00B163B1"/>
    <w:rsid w:val="00B20EBA"/>
    <w:rsid w:val="00B21353"/>
    <w:rsid w:val="00B2197B"/>
    <w:rsid w:val="00B2364D"/>
    <w:rsid w:val="00B241BA"/>
    <w:rsid w:val="00B267E4"/>
    <w:rsid w:val="00B30D6E"/>
    <w:rsid w:val="00B3152A"/>
    <w:rsid w:val="00B31E97"/>
    <w:rsid w:val="00B3444F"/>
    <w:rsid w:val="00B351F1"/>
    <w:rsid w:val="00B35D4A"/>
    <w:rsid w:val="00B36E00"/>
    <w:rsid w:val="00B36E14"/>
    <w:rsid w:val="00B37935"/>
    <w:rsid w:val="00B37EDE"/>
    <w:rsid w:val="00B412F5"/>
    <w:rsid w:val="00B4176F"/>
    <w:rsid w:val="00B42947"/>
    <w:rsid w:val="00B43476"/>
    <w:rsid w:val="00B434F1"/>
    <w:rsid w:val="00B44D3E"/>
    <w:rsid w:val="00B45D31"/>
    <w:rsid w:val="00B511CF"/>
    <w:rsid w:val="00B51664"/>
    <w:rsid w:val="00B5178F"/>
    <w:rsid w:val="00B51C7B"/>
    <w:rsid w:val="00B51DCC"/>
    <w:rsid w:val="00B51E6A"/>
    <w:rsid w:val="00B522E1"/>
    <w:rsid w:val="00B5303E"/>
    <w:rsid w:val="00B538AA"/>
    <w:rsid w:val="00B53DBC"/>
    <w:rsid w:val="00B541A3"/>
    <w:rsid w:val="00B54889"/>
    <w:rsid w:val="00B54EA3"/>
    <w:rsid w:val="00B55F07"/>
    <w:rsid w:val="00B56C33"/>
    <w:rsid w:val="00B5737F"/>
    <w:rsid w:val="00B6018C"/>
    <w:rsid w:val="00B60885"/>
    <w:rsid w:val="00B618C2"/>
    <w:rsid w:val="00B61E12"/>
    <w:rsid w:val="00B62147"/>
    <w:rsid w:val="00B62683"/>
    <w:rsid w:val="00B63151"/>
    <w:rsid w:val="00B64C3A"/>
    <w:rsid w:val="00B70076"/>
    <w:rsid w:val="00B71AAA"/>
    <w:rsid w:val="00B71E33"/>
    <w:rsid w:val="00B72ABD"/>
    <w:rsid w:val="00B72F01"/>
    <w:rsid w:val="00B7523B"/>
    <w:rsid w:val="00B76FF8"/>
    <w:rsid w:val="00B77ADF"/>
    <w:rsid w:val="00B81331"/>
    <w:rsid w:val="00B816C8"/>
    <w:rsid w:val="00B82769"/>
    <w:rsid w:val="00B84EFF"/>
    <w:rsid w:val="00B86987"/>
    <w:rsid w:val="00B87AAD"/>
    <w:rsid w:val="00B92789"/>
    <w:rsid w:val="00B9347C"/>
    <w:rsid w:val="00B94C35"/>
    <w:rsid w:val="00B96FF7"/>
    <w:rsid w:val="00B975D3"/>
    <w:rsid w:val="00B978AB"/>
    <w:rsid w:val="00BA1B28"/>
    <w:rsid w:val="00BA2A4E"/>
    <w:rsid w:val="00BA3385"/>
    <w:rsid w:val="00BA3479"/>
    <w:rsid w:val="00BA443A"/>
    <w:rsid w:val="00BA50C7"/>
    <w:rsid w:val="00BA55BC"/>
    <w:rsid w:val="00BB0254"/>
    <w:rsid w:val="00BB0D9F"/>
    <w:rsid w:val="00BB5DFE"/>
    <w:rsid w:val="00BC17CB"/>
    <w:rsid w:val="00BC216F"/>
    <w:rsid w:val="00BC4677"/>
    <w:rsid w:val="00BC59BB"/>
    <w:rsid w:val="00BC6403"/>
    <w:rsid w:val="00BC6BC1"/>
    <w:rsid w:val="00BC7621"/>
    <w:rsid w:val="00BC7C46"/>
    <w:rsid w:val="00BD05C2"/>
    <w:rsid w:val="00BD6C26"/>
    <w:rsid w:val="00BD7B38"/>
    <w:rsid w:val="00BD7F10"/>
    <w:rsid w:val="00BE00D7"/>
    <w:rsid w:val="00BE048A"/>
    <w:rsid w:val="00BE0650"/>
    <w:rsid w:val="00BE2251"/>
    <w:rsid w:val="00BE29EB"/>
    <w:rsid w:val="00BE5599"/>
    <w:rsid w:val="00BE574A"/>
    <w:rsid w:val="00BE5776"/>
    <w:rsid w:val="00BE5948"/>
    <w:rsid w:val="00BF0C18"/>
    <w:rsid w:val="00BF28AE"/>
    <w:rsid w:val="00BF36E6"/>
    <w:rsid w:val="00BF6781"/>
    <w:rsid w:val="00BF73C9"/>
    <w:rsid w:val="00BF78BB"/>
    <w:rsid w:val="00C002FB"/>
    <w:rsid w:val="00C0062D"/>
    <w:rsid w:val="00C012DF"/>
    <w:rsid w:val="00C03D68"/>
    <w:rsid w:val="00C04FC3"/>
    <w:rsid w:val="00C07A55"/>
    <w:rsid w:val="00C10998"/>
    <w:rsid w:val="00C132E8"/>
    <w:rsid w:val="00C15D5E"/>
    <w:rsid w:val="00C16725"/>
    <w:rsid w:val="00C21626"/>
    <w:rsid w:val="00C21635"/>
    <w:rsid w:val="00C23180"/>
    <w:rsid w:val="00C2477A"/>
    <w:rsid w:val="00C2611E"/>
    <w:rsid w:val="00C265E3"/>
    <w:rsid w:val="00C26997"/>
    <w:rsid w:val="00C27472"/>
    <w:rsid w:val="00C32CDD"/>
    <w:rsid w:val="00C32F82"/>
    <w:rsid w:val="00C33E9A"/>
    <w:rsid w:val="00C35322"/>
    <w:rsid w:val="00C37BF5"/>
    <w:rsid w:val="00C40CAD"/>
    <w:rsid w:val="00C41A75"/>
    <w:rsid w:val="00C43C01"/>
    <w:rsid w:val="00C45A13"/>
    <w:rsid w:val="00C46B63"/>
    <w:rsid w:val="00C46FBD"/>
    <w:rsid w:val="00C501CD"/>
    <w:rsid w:val="00C5105D"/>
    <w:rsid w:val="00C53891"/>
    <w:rsid w:val="00C53EE2"/>
    <w:rsid w:val="00C5418F"/>
    <w:rsid w:val="00C54861"/>
    <w:rsid w:val="00C5526E"/>
    <w:rsid w:val="00C55361"/>
    <w:rsid w:val="00C5551A"/>
    <w:rsid w:val="00C557B5"/>
    <w:rsid w:val="00C558DB"/>
    <w:rsid w:val="00C63020"/>
    <w:rsid w:val="00C6354D"/>
    <w:rsid w:val="00C677FC"/>
    <w:rsid w:val="00C736CD"/>
    <w:rsid w:val="00C73C3D"/>
    <w:rsid w:val="00C75031"/>
    <w:rsid w:val="00C75C73"/>
    <w:rsid w:val="00C77A5D"/>
    <w:rsid w:val="00C80335"/>
    <w:rsid w:val="00C818BC"/>
    <w:rsid w:val="00C81EC5"/>
    <w:rsid w:val="00C82285"/>
    <w:rsid w:val="00C82449"/>
    <w:rsid w:val="00C86133"/>
    <w:rsid w:val="00C9295A"/>
    <w:rsid w:val="00C92EB2"/>
    <w:rsid w:val="00C935BF"/>
    <w:rsid w:val="00C94092"/>
    <w:rsid w:val="00C95C02"/>
    <w:rsid w:val="00C96636"/>
    <w:rsid w:val="00C97972"/>
    <w:rsid w:val="00CA0F59"/>
    <w:rsid w:val="00CA192C"/>
    <w:rsid w:val="00CA3820"/>
    <w:rsid w:val="00CA570B"/>
    <w:rsid w:val="00CA5DE9"/>
    <w:rsid w:val="00CA7BF2"/>
    <w:rsid w:val="00CB03FC"/>
    <w:rsid w:val="00CB2236"/>
    <w:rsid w:val="00CC16B3"/>
    <w:rsid w:val="00CC1F0B"/>
    <w:rsid w:val="00CC562C"/>
    <w:rsid w:val="00CC5940"/>
    <w:rsid w:val="00CD3DC9"/>
    <w:rsid w:val="00CD3FD6"/>
    <w:rsid w:val="00CD6F8E"/>
    <w:rsid w:val="00CE076D"/>
    <w:rsid w:val="00CF050B"/>
    <w:rsid w:val="00CF24AA"/>
    <w:rsid w:val="00CF363B"/>
    <w:rsid w:val="00CF3C99"/>
    <w:rsid w:val="00CF4202"/>
    <w:rsid w:val="00CF60A7"/>
    <w:rsid w:val="00CF7690"/>
    <w:rsid w:val="00CF7963"/>
    <w:rsid w:val="00D00E6E"/>
    <w:rsid w:val="00D00EE0"/>
    <w:rsid w:val="00D015BC"/>
    <w:rsid w:val="00D01BF8"/>
    <w:rsid w:val="00D0325A"/>
    <w:rsid w:val="00D03B5C"/>
    <w:rsid w:val="00D0419F"/>
    <w:rsid w:val="00D041E2"/>
    <w:rsid w:val="00D0473B"/>
    <w:rsid w:val="00D0648C"/>
    <w:rsid w:val="00D0690C"/>
    <w:rsid w:val="00D109A5"/>
    <w:rsid w:val="00D145A6"/>
    <w:rsid w:val="00D14600"/>
    <w:rsid w:val="00D15D0C"/>
    <w:rsid w:val="00D17F34"/>
    <w:rsid w:val="00D204C3"/>
    <w:rsid w:val="00D20D17"/>
    <w:rsid w:val="00D22DC7"/>
    <w:rsid w:val="00D2782A"/>
    <w:rsid w:val="00D30FA4"/>
    <w:rsid w:val="00D31C36"/>
    <w:rsid w:val="00D31CFA"/>
    <w:rsid w:val="00D31E05"/>
    <w:rsid w:val="00D32FEA"/>
    <w:rsid w:val="00D33B6C"/>
    <w:rsid w:val="00D340A2"/>
    <w:rsid w:val="00D34105"/>
    <w:rsid w:val="00D348AB"/>
    <w:rsid w:val="00D36912"/>
    <w:rsid w:val="00D372C9"/>
    <w:rsid w:val="00D41570"/>
    <w:rsid w:val="00D42F64"/>
    <w:rsid w:val="00D42FD5"/>
    <w:rsid w:val="00D43BB3"/>
    <w:rsid w:val="00D46AE6"/>
    <w:rsid w:val="00D46E4B"/>
    <w:rsid w:val="00D47495"/>
    <w:rsid w:val="00D47E24"/>
    <w:rsid w:val="00D50424"/>
    <w:rsid w:val="00D52B20"/>
    <w:rsid w:val="00D53465"/>
    <w:rsid w:val="00D536BC"/>
    <w:rsid w:val="00D53ADE"/>
    <w:rsid w:val="00D6210C"/>
    <w:rsid w:val="00D6261D"/>
    <w:rsid w:val="00D62FB1"/>
    <w:rsid w:val="00D63C9B"/>
    <w:rsid w:val="00D648C4"/>
    <w:rsid w:val="00D649D1"/>
    <w:rsid w:val="00D65FFD"/>
    <w:rsid w:val="00D670F5"/>
    <w:rsid w:val="00D71671"/>
    <w:rsid w:val="00D732CA"/>
    <w:rsid w:val="00D73AE4"/>
    <w:rsid w:val="00D76594"/>
    <w:rsid w:val="00D7676C"/>
    <w:rsid w:val="00D82214"/>
    <w:rsid w:val="00D83F1C"/>
    <w:rsid w:val="00D86BAF"/>
    <w:rsid w:val="00D87367"/>
    <w:rsid w:val="00D90052"/>
    <w:rsid w:val="00D90B71"/>
    <w:rsid w:val="00D90E3D"/>
    <w:rsid w:val="00D91189"/>
    <w:rsid w:val="00D93D39"/>
    <w:rsid w:val="00D95368"/>
    <w:rsid w:val="00D95B30"/>
    <w:rsid w:val="00D95EFB"/>
    <w:rsid w:val="00D96878"/>
    <w:rsid w:val="00DA004E"/>
    <w:rsid w:val="00DA0CE4"/>
    <w:rsid w:val="00DA3BE9"/>
    <w:rsid w:val="00DA6C2A"/>
    <w:rsid w:val="00DA6EAC"/>
    <w:rsid w:val="00DB316D"/>
    <w:rsid w:val="00DB3DA4"/>
    <w:rsid w:val="00DB7F56"/>
    <w:rsid w:val="00DC534C"/>
    <w:rsid w:val="00DC5BC3"/>
    <w:rsid w:val="00DC6899"/>
    <w:rsid w:val="00DC777D"/>
    <w:rsid w:val="00DD21E9"/>
    <w:rsid w:val="00DD2BDE"/>
    <w:rsid w:val="00DD3014"/>
    <w:rsid w:val="00DD6353"/>
    <w:rsid w:val="00DD7324"/>
    <w:rsid w:val="00DD7BAC"/>
    <w:rsid w:val="00DE0314"/>
    <w:rsid w:val="00DE06D1"/>
    <w:rsid w:val="00DE17FD"/>
    <w:rsid w:val="00DE439F"/>
    <w:rsid w:val="00DE4FC6"/>
    <w:rsid w:val="00DE5C71"/>
    <w:rsid w:val="00DE75FB"/>
    <w:rsid w:val="00DF172A"/>
    <w:rsid w:val="00DF52C5"/>
    <w:rsid w:val="00E006C4"/>
    <w:rsid w:val="00E0072B"/>
    <w:rsid w:val="00E03846"/>
    <w:rsid w:val="00E04B0C"/>
    <w:rsid w:val="00E053C2"/>
    <w:rsid w:val="00E05AFF"/>
    <w:rsid w:val="00E1075E"/>
    <w:rsid w:val="00E10A00"/>
    <w:rsid w:val="00E112F3"/>
    <w:rsid w:val="00E1171E"/>
    <w:rsid w:val="00E121E3"/>
    <w:rsid w:val="00E12B6D"/>
    <w:rsid w:val="00E14794"/>
    <w:rsid w:val="00E14946"/>
    <w:rsid w:val="00E16CDD"/>
    <w:rsid w:val="00E21A11"/>
    <w:rsid w:val="00E22659"/>
    <w:rsid w:val="00E24CEB"/>
    <w:rsid w:val="00E24F8B"/>
    <w:rsid w:val="00E25B66"/>
    <w:rsid w:val="00E270AB"/>
    <w:rsid w:val="00E2779A"/>
    <w:rsid w:val="00E30DB2"/>
    <w:rsid w:val="00E3115C"/>
    <w:rsid w:val="00E31522"/>
    <w:rsid w:val="00E31CA8"/>
    <w:rsid w:val="00E34AC5"/>
    <w:rsid w:val="00E354E5"/>
    <w:rsid w:val="00E406ED"/>
    <w:rsid w:val="00E41E92"/>
    <w:rsid w:val="00E41FA5"/>
    <w:rsid w:val="00E42ABF"/>
    <w:rsid w:val="00E4349F"/>
    <w:rsid w:val="00E44593"/>
    <w:rsid w:val="00E4490A"/>
    <w:rsid w:val="00E44EBC"/>
    <w:rsid w:val="00E44FDA"/>
    <w:rsid w:val="00E46867"/>
    <w:rsid w:val="00E500AC"/>
    <w:rsid w:val="00E5076E"/>
    <w:rsid w:val="00E55B52"/>
    <w:rsid w:val="00E625B5"/>
    <w:rsid w:val="00E630AD"/>
    <w:rsid w:val="00E63726"/>
    <w:rsid w:val="00E65EDE"/>
    <w:rsid w:val="00E6607A"/>
    <w:rsid w:val="00E6784B"/>
    <w:rsid w:val="00E67AF9"/>
    <w:rsid w:val="00E70B43"/>
    <w:rsid w:val="00E70D94"/>
    <w:rsid w:val="00E71A3F"/>
    <w:rsid w:val="00E721A4"/>
    <w:rsid w:val="00E72F47"/>
    <w:rsid w:val="00E74D55"/>
    <w:rsid w:val="00E75D11"/>
    <w:rsid w:val="00E75D78"/>
    <w:rsid w:val="00E772ED"/>
    <w:rsid w:val="00E7731B"/>
    <w:rsid w:val="00E80444"/>
    <w:rsid w:val="00E80D85"/>
    <w:rsid w:val="00E833C7"/>
    <w:rsid w:val="00E846FD"/>
    <w:rsid w:val="00E85BCC"/>
    <w:rsid w:val="00E87CF0"/>
    <w:rsid w:val="00E9204D"/>
    <w:rsid w:val="00E93D24"/>
    <w:rsid w:val="00E94643"/>
    <w:rsid w:val="00E948F8"/>
    <w:rsid w:val="00E95088"/>
    <w:rsid w:val="00E95F24"/>
    <w:rsid w:val="00E965A8"/>
    <w:rsid w:val="00E97AB7"/>
    <w:rsid w:val="00E97C3C"/>
    <w:rsid w:val="00E97CAA"/>
    <w:rsid w:val="00E97F13"/>
    <w:rsid w:val="00EA0E17"/>
    <w:rsid w:val="00EA1A25"/>
    <w:rsid w:val="00EA1F22"/>
    <w:rsid w:val="00EA236E"/>
    <w:rsid w:val="00EA2682"/>
    <w:rsid w:val="00EA2C03"/>
    <w:rsid w:val="00EA33E4"/>
    <w:rsid w:val="00EA377D"/>
    <w:rsid w:val="00EA5D03"/>
    <w:rsid w:val="00EA6C02"/>
    <w:rsid w:val="00EB006A"/>
    <w:rsid w:val="00EB0403"/>
    <w:rsid w:val="00EB55D9"/>
    <w:rsid w:val="00EB55EE"/>
    <w:rsid w:val="00EB6704"/>
    <w:rsid w:val="00EC22BF"/>
    <w:rsid w:val="00EC2F1B"/>
    <w:rsid w:val="00EC4480"/>
    <w:rsid w:val="00EC46CE"/>
    <w:rsid w:val="00EC5114"/>
    <w:rsid w:val="00EC66F2"/>
    <w:rsid w:val="00EC73BC"/>
    <w:rsid w:val="00EC74CF"/>
    <w:rsid w:val="00ED2526"/>
    <w:rsid w:val="00ED2D11"/>
    <w:rsid w:val="00ED586D"/>
    <w:rsid w:val="00ED663B"/>
    <w:rsid w:val="00ED6F02"/>
    <w:rsid w:val="00ED778E"/>
    <w:rsid w:val="00ED7FA4"/>
    <w:rsid w:val="00EE01B5"/>
    <w:rsid w:val="00EE0298"/>
    <w:rsid w:val="00EE0C61"/>
    <w:rsid w:val="00EE3B68"/>
    <w:rsid w:val="00EE570A"/>
    <w:rsid w:val="00EE5C05"/>
    <w:rsid w:val="00EE7BB1"/>
    <w:rsid w:val="00EF06B2"/>
    <w:rsid w:val="00EF089C"/>
    <w:rsid w:val="00EF0A02"/>
    <w:rsid w:val="00EF1AF5"/>
    <w:rsid w:val="00EF1CD9"/>
    <w:rsid w:val="00EF2D70"/>
    <w:rsid w:val="00EF2E35"/>
    <w:rsid w:val="00EF46F9"/>
    <w:rsid w:val="00EF4B2E"/>
    <w:rsid w:val="00EF741C"/>
    <w:rsid w:val="00EF75DC"/>
    <w:rsid w:val="00EF76DD"/>
    <w:rsid w:val="00F0247A"/>
    <w:rsid w:val="00F02F9F"/>
    <w:rsid w:val="00F03FA5"/>
    <w:rsid w:val="00F06DC6"/>
    <w:rsid w:val="00F07501"/>
    <w:rsid w:val="00F10681"/>
    <w:rsid w:val="00F10B6D"/>
    <w:rsid w:val="00F10FAE"/>
    <w:rsid w:val="00F1258B"/>
    <w:rsid w:val="00F16160"/>
    <w:rsid w:val="00F17DB1"/>
    <w:rsid w:val="00F17F62"/>
    <w:rsid w:val="00F216BC"/>
    <w:rsid w:val="00F21968"/>
    <w:rsid w:val="00F2507F"/>
    <w:rsid w:val="00F277DD"/>
    <w:rsid w:val="00F27A22"/>
    <w:rsid w:val="00F32461"/>
    <w:rsid w:val="00F32E9B"/>
    <w:rsid w:val="00F33EC4"/>
    <w:rsid w:val="00F34D84"/>
    <w:rsid w:val="00F37A1B"/>
    <w:rsid w:val="00F41B77"/>
    <w:rsid w:val="00F44041"/>
    <w:rsid w:val="00F44F4E"/>
    <w:rsid w:val="00F45C14"/>
    <w:rsid w:val="00F46CC5"/>
    <w:rsid w:val="00F47D3D"/>
    <w:rsid w:val="00F5033A"/>
    <w:rsid w:val="00F51B12"/>
    <w:rsid w:val="00F5285D"/>
    <w:rsid w:val="00F63E73"/>
    <w:rsid w:val="00F647C9"/>
    <w:rsid w:val="00F66978"/>
    <w:rsid w:val="00F67602"/>
    <w:rsid w:val="00F67974"/>
    <w:rsid w:val="00F732A3"/>
    <w:rsid w:val="00F73C0E"/>
    <w:rsid w:val="00F77FCC"/>
    <w:rsid w:val="00F8171A"/>
    <w:rsid w:val="00F828ED"/>
    <w:rsid w:val="00F82EF4"/>
    <w:rsid w:val="00F8432B"/>
    <w:rsid w:val="00F84EB8"/>
    <w:rsid w:val="00F85829"/>
    <w:rsid w:val="00F8663C"/>
    <w:rsid w:val="00F87AF2"/>
    <w:rsid w:val="00F91BC0"/>
    <w:rsid w:val="00F92EBE"/>
    <w:rsid w:val="00F96C2D"/>
    <w:rsid w:val="00F97797"/>
    <w:rsid w:val="00F97EFC"/>
    <w:rsid w:val="00FA134B"/>
    <w:rsid w:val="00FA2422"/>
    <w:rsid w:val="00FA24A2"/>
    <w:rsid w:val="00FA27DF"/>
    <w:rsid w:val="00FA6EDB"/>
    <w:rsid w:val="00FA77C7"/>
    <w:rsid w:val="00FB0679"/>
    <w:rsid w:val="00FB0BDC"/>
    <w:rsid w:val="00FB1257"/>
    <w:rsid w:val="00FB169F"/>
    <w:rsid w:val="00FB3F64"/>
    <w:rsid w:val="00FB7EDE"/>
    <w:rsid w:val="00FC6FE5"/>
    <w:rsid w:val="00FD28C3"/>
    <w:rsid w:val="00FD3ACE"/>
    <w:rsid w:val="00FD3AFF"/>
    <w:rsid w:val="00FD403E"/>
    <w:rsid w:val="00FD5168"/>
    <w:rsid w:val="00FD62A3"/>
    <w:rsid w:val="00FE0649"/>
    <w:rsid w:val="00FE11FB"/>
    <w:rsid w:val="00FE1671"/>
    <w:rsid w:val="00FE41C6"/>
    <w:rsid w:val="00FF05C4"/>
    <w:rsid w:val="00FF173F"/>
    <w:rsid w:val="00FF4280"/>
    <w:rsid w:val="00FF4F4C"/>
    <w:rsid w:val="00FF7A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4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D20"/>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unhideWhenUsed/>
    <w:rsid w:val="008541C7"/>
    <w:pPr>
      <w:spacing w:line="240" w:lineRule="auto"/>
    </w:pPr>
  </w:style>
  <w:style w:type="character" w:customStyle="1" w:styleId="CommentTextChar">
    <w:name w:val="Comment Text Char"/>
    <w:basedOn w:val="DefaultParagraphFont"/>
    <w:link w:val="CommentText"/>
    <w:uiPriority w:val="99"/>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 w:type="paragraph" w:styleId="Revision">
    <w:name w:val="Revision"/>
    <w:hidden/>
    <w:uiPriority w:val="99"/>
    <w:semiHidden/>
    <w:rsid w:val="000C4E42"/>
    <w:pPr>
      <w:spacing w:after="0" w:line="240" w:lineRule="auto"/>
    </w:pPr>
  </w:style>
  <w:style w:type="table" w:styleId="TableGrid">
    <w:name w:val="Table Grid"/>
    <w:basedOn w:val="TableNormal"/>
    <w:uiPriority w:val="59"/>
    <w:rsid w:val="005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674E"/>
    <w:pPr>
      <w:spacing w:after="0" w:line="240" w:lineRule="auto"/>
    </w:pPr>
  </w:style>
  <w:style w:type="character" w:styleId="Hyperlink">
    <w:name w:val="Hyperlink"/>
    <w:basedOn w:val="DefaultParagraphFont"/>
    <w:uiPriority w:val="99"/>
    <w:unhideWhenUsed/>
    <w:rsid w:val="008355CD"/>
    <w:rPr>
      <w:color w:val="2E1A47" w:themeColor="hyperlink"/>
      <w:u w:val="single"/>
    </w:rPr>
  </w:style>
  <w:style w:type="character" w:styleId="UnresolvedMention">
    <w:name w:val="Unresolved Mention"/>
    <w:basedOn w:val="DefaultParagraphFont"/>
    <w:uiPriority w:val="99"/>
    <w:semiHidden/>
    <w:unhideWhenUsed/>
    <w:rsid w:val="00835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3977">
      <w:bodyDiv w:val="1"/>
      <w:marLeft w:val="0"/>
      <w:marRight w:val="0"/>
      <w:marTop w:val="0"/>
      <w:marBottom w:val="0"/>
      <w:divBdr>
        <w:top w:val="none" w:sz="0" w:space="0" w:color="auto"/>
        <w:left w:val="none" w:sz="0" w:space="0" w:color="auto"/>
        <w:bottom w:val="none" w:sz="0" w:space="0" w:color="auto"/>
        <w:right w:val="none" w:sz="0" w:space="0" w:color="auto"/>
      </w:divBdr>
    </w:div>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155030693">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533689060">
      <w:bodyDiv w:val="1"/>
      <w:marLeft w:val="0"/>
      <w:marRight w:val="0"/>
      <w:marTop w:val="0"/>
      <w:marBottom w:val="0"/>
      <w:divBdr>
        <w:top w:val="none" w:sz="0" w:space="0" w:color="auto"/>
        <w:left w:val="none" w:sz="0" w:space="0" w:color="auto"/>
        <w:bottom w:val="none" w:sz="0" w:space="0" w:color="auto"/>
        <w:right w:val="none" w:sz="0" w:space="0" w:color="auto"/>
      </w:divBdr>
    </w:div>
    <w:div w:id="1669945213">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abs.gov.au/statistics/economy/national-accounts/australian-national-accounts-national-income-expenditure-and-product/jun-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1.png"/></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66d92cf1-08e1-41e5-92d3-0cdcdb1e2433" ContentTypeId="0x01010004862C10171BD149BCA86DC4F354848008" PreviousValue="false"/>
</file>

<file path=customXml/itemProps1.xml><?xml version="1.0" encoding="utf-8"?>
<ds:datastoreItem xmlns:ds="http://schemas.openxmlformats.org/officeDocument/2006/customXml" ds:itemID="{0E3AD30B-EF9F-4108-9EB5-72C5870F2F0E}">
  <ds:schemaRef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52d2b1bf-f310-45e2-aba7-632ee969a559"/>
    <ds:schemaRef ds:uri="2124141f-bf93-4eca-8662-34a4511e35c8"/>
    <ds:schemaRef ds:uri="http://purl.org/dc/terms/"/>
  </ds:schemaRefs>
</ds:datastoreItem>
</file>

<file path=customXml/itemProps2.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4.xml><?xml version="1.0" encoding="utf-8"?>
<ds:datastoreItem xmlns:ds="http://schemas.openxmlformats.org/officeDocument/2006/customXml" ds:itemID="{DF1A0A30-8970-4E85-B808-4DBA2136EAA9}">
  <ds:schemaRefs>
    <ds:schemaRef ds:uri="http://schemas.microsoft.com/sharepoint/events"/>
  </ds:schemaRefs>
</ds:datastoreItem>
</file>

<file path=customXml/itemProps5.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6.xml><?xml version="1.0" encoding="utf-8"?>
<ds:datastoreItem xmlns:ds="http://schemas.openxmlformats.org/officeDocument/2006/customXml" ds:itemID="{96820555-8F42-4474-BE63-C929B2B6073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 National Visitor Survey results June 2023</dc:title>
  <dc:subject/>
  <dc:creator/>
  <cp:keywords/>
  <dc:description/>
  <cp:lastModifiedBy/>
  <cp:revision>1</cp:revision>
  <dcterms:created xsi:type="dcterms:W3CDTF">2023-09-18T00:18:00Z</dcterms:created>
  <dcterms:modified xsi:type="dcterms:W3CDTF">2023-09-18T02:01:00Z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ies>
</file>