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106FA02B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095A46">
            <w:t>Malaysia</w:t>
          </w:r>
        </w:p>
        <w:p w14:paraId="33F62AC9" w14:textId="3D22B021" w:rsidR="00967864" w:rsidRPr="000964A9" w:rsidRDefault="000108B4" w:rsidP="000108B4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0108B4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Malaysia is Australia’s 11th largest inbound market.</w:t>
          </w:r>
          <w:r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 </w:t>
          </w:r>
          <w:r w:rsidRPr="000108B4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In 2025 Malaysia saw a 5% year-on-year increase in visitation, and a 3%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2C42371E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0108B4">
            <w:t>213</w:t>
          </w:r>
          <w:r w:rsidR="00387CA6" w:rsidRPr="000964A9">
            <w:t>,</w:t>
          </w:r>
          <w:r w:rsidR="000108B4">
            <w:t>680</w:t>
          </w:r>
        </w:p>
        <w:p w14:paraId="356E7DBF" w14:textId="24BB7835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0108B4">
            <w:t>5</w:t>
          </w:r>
          <w:r w:rsidRPr="000964A9">
            <w:t>%</w:t>
          </w:r>
        </w:p>
        <w:p w14:paraId="2C1657C1" w14:textId="3E93002F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4427BA">
            <w:t>1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39D6D38B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4427BA">
            <w:t>50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7F097642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133E0" w:rsidRPr="000964A9">
            <w:t>16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67884B4F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4427BA">
            <w:t>3</w:t>
          </w:r>
          <w:r w:rsidR="00C133E0" w:rsidRPr="000964A9">
            <w:t>0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7CA3D25E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4427BA">
            <w:t>4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proofErr w:type="gramStart"/>
          <w:r w:rsidRPr="000964A9">
            <w:t>Visitor</w:t>
          </w:r>
          <w:proofErr w:type="gramEnd"/>
          <w:r w:rsidRPr="000964A9">
            <w:t xml:space="preserve">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0DC3FE2A" w:rsidR="00591CC3" w:rsidRPr="000964A9" w:rsidRDefault="00591CC3" w:rsidP="00591CC3">
          <w:pPr>
            <w:pStyle w:val="BulletList"/>
          </w:pPr>
          <w:r w:rsidRPr="000964A9">
            <w:t xml:space="preserve">Average </w:t>
          </w:r>
          <w:proofErr w:type="gramStart"/>
          <w:r w:rsidRPr="000964A9">
            <w:t>visitor</w:t>
          </w:r>
          <w:proofErr w:type="gramEnd"/>
          <w:r w:rsidRPr="000964A9">
            <w:t xml:space="preserve"> spend: $</w:t>
          </w:r>
          <w:r w:rsidR="00136806">
            <w:t>3</w:t>
          </w:r>
          <w:r w:rsidRPr="000964A9">
            <w:t>,</w:t>
          </w:r>
          <w:r w:rsidR="00136806">
            <w:t>641</w:t>
          </w:r>
        </w:p>
        <w:p w14:paraId="6DEC286F" w14:textId="7B6459BE" w:rsidR="00591CC3" w:rsidRPr="000964A9" w:rsidRDefault="00591CC3" w:rsidP="00591CC3">
          <w:pPr>
            <w:pStyle w:val="BulletList"/>
          </w:pPr>
          <w:proofErr w:type="gramStart"/>
          <w:r w:rsidRPr="000964A9">
            <w:t>Total</w:t>
          </w:r>
          <w:proofErr w:type="gramEnd"/>
          <w:r w:rsidRPr="000964A9">
            <w:t xml:space="preserve"> spend in Australia: $</w:t>
          </w:r>
          <w:r w:rsidR="00136806">
            <w:t>704</w:t>
          </w:r>
          <w:r w:rsidR="00A647F4" w:rsidRPr="000964A9">
            <w:t>.</w:t>
          </w:r>
          <w:r w:rsidR="00136806">
            <w:t>9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4E7866C9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136806">
            <w:t>3</w:t>
          </w:r>
          <w:r w:rsidRPr="000964A9">
            <w:t>%</w:t>
          </w:r>
          <w:r w:rsidR="009F1E8A" w:rsidRPr="000964A9">
            <w:br w:type="page"/>
          </w:r>
        </w:p>
        <w:p w14:paraId="62532AA1" w14:textId="4D3D7998" w:rsidR="009B40E8" w:rsidRPr="000964A9" w:rsidRDefault="00714860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714860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Malaysian visitors are forecast to grow to 265,000 by 2030. Visitors from Malaysia are more likely to visit for a holiday, visit Victoria and Western Australia than the average international visitor.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755346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755346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5928613B" w:rsidR="005C4528" w:rsidRPr="000964A9" w:rsidRDefault="002841D6" w:rsidP="00755346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Malaysian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755346" w:rsidRPr="000964A9" w14:paraId="34516D5F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755346" w:rsidRPr="000964A9" w:rsidRDefault="00755346" w:rsidP="00755346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32DCB172" w:rsidR="00755346" w:rsidRPr="00755346" w:rsidRDefault="00755346" w:rsidP="00755346">
                <w:pPr>
                  <w:spacing w:line="240" w:lineRule="auto"/>
                </w:pPr>
                <w:r w:rsidRPr="00755346">
                  <w:t>341</w:t>
                </w:r>
                <w:r w:rsidRPr="00755346">
                  <w:t>,000</w:t>
                </w:r>
              </w:p>
            </w:tc>
          </w:tr>
          <w:tr w:rsidR="00755346" w:rsidRPr="000964A9" w14:paraId="0ED3BE0A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755346" w:rsidRPr="000964A9" w:rsidRDefault="00755346" w:rsidP="00755346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24C8FC35" w:rsidR="00755346" w:rsidRPr="00755346" w:rsidRDefault="00755346" w:rsidP="00755346">
                <w:pPr>
                  <w:spacing w:line="240" w:lineRule="auto"/>
                </w:pPr>
                <w:r w:rsidRPr="00755346">
                  <w:t>390,000</w:t>
                </w:r>
              </w:p>
            </w:tc>
          </w:tr>
          <w:tr w:rsidR="00755346" w:rsidRPr="000964A9" w14:paraId="202D3EED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755346" w:rsidRPr="000964A9" w:rsidRDefault="00755346" w:rsidP="00755346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761ADE56" w:rsidR="00755346" w:rsidRPr="00755346" w:rsidRDefault="00755346" w:rsidP="00755346">
                <w:pPr>
                  <w:spacing w:line="240" w:lineRule="auto"/>
                </w:pPr>
                <w:r w:rsidRPr="00755346">
                  <w:t>397,000</w:t>
                </w:r>
              </w:p>
            </w:tc>
          </w:tr>
          <w:tr w:rsidR="00755346" w:rsidRPr="000964A9" w14:paraId="181705CF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755346" w:rsidRPr="000964A9" w:rsidRDefault="00755346" w:rsidP="00755346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753C9EAF" w:rsidR="00755346" w:rsidRPr="00755346" w:rsidRDefault="00755346" w:rsidP="00755346">
                <w:pPr>
                  <w:spacing w:line="240" w:lineRule="auto"/>
                </w:pPr>
                <w:r w:rsidRPr="00755346">
                  <w:t>401,000</w:t>
                </w:r>
              </w:p>
            </w:tc>
          </w:tr>
          <w:tr w:rsidR="00755346" w:rsidRPr="000964A9" w14:paraId="4B7FF9DE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755346" w:rsidRPr="000964A9" w:rsidRDefault="00755346" w:rsidP="00755346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2E63840C" w:rsidR="00755346" w:rsidRPr="00755346" w:rsidRDefault="00755346" w:rsidP="00755346">
                <w:pPr>
                  <w:spacing w:line="240" w:lineRule="auto"/>
                </w:pPr>
                <w:r w:rsidRPr="00755346">
                  <w:t>385,000</w:t>
                </w:r>
              </w:p>
            </w:tc>
          </w:tr>
          <w:tr w:rsidR="00755346" w:rsidRPr="000964A9" w14:paraId="15D6823C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755346" w:rsidRPr="000964A9" w:rsidRDefault="00755346" w:rsidP="00755346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06E787F6" w:rsidR="00755346" w:rsidRPr="00755346" w:rsidRDefault="00755346" w:rsidP="00755346">
                <w:pPr>
                  <w:spacing w:line="240" w:lineRule="auto"/>
                </w:pPr>
                <w:r w:rsidRPr="00755346">
                  <w:t>45,000</w:t>
                </w:r>
              </w:p>
            </w:tc>
          </w:tr>
          <w:tr w:rsidR="00755346" w:rsidRPr="000964A9" w14:paraId="68F1517F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755346" w:rsidRPr="000964A9" w:rsidRDefault="00755346" w:rsidP="00755346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7F23FC59" w:rsidR="00755346" w:rsidRPr="00755346" w:rsidRDefault="00755346" w:rsidP="00755346">
                <w:pPr>
                  <w:spacing w:line="240" w:lineRule="auto"/>
                </w:pPr>
                <w:r w:rsidRPr="00755346">
                  <w:t>2,000</w:t>
                </w:r>
              </w:p>
            </w:tc>
          </w:tr>
          <w:tr w:rsidR="00755346" w:rsidRPr="000964A9" w14:paraId="0BC909E9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755346" w:rsidRPr="000964A9" w:rsidRDefault="00755346" w:rsidP="00755346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7AB170C2" w:rsidR="00755346" w:rsidRPr="00755346" w:rsidRDefault="00755346" w:rsidP="00755346">
                <w:pPr>
                  <w:spacing w:line="240" w:lineRule="auto"/>
                </w:pPr>
                <w:r w:rsidRPr="00755346">
                  <w:t>85,000</w:t>
                </w:r>
              </w:p>
            </w:tc>
          </w:tr>
          <w:tr w:rsidR="00755346" w:rsidRPr="000964A9" w14:paraId="2713E3FE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755346" w:rsidRPr="000964A9" w:rsidRDefault="00755346" w:rsidP="00755346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6DC9CCA4" w:rsidR="00755346" w:rsidRPr="00755346" w:rsidRDefault="00755346" w:rsidP="00755346">
                <w:pPr>
                  <w:spacing w:line="240" w:lineRule="auto"/>
                </w:pPr>
                <w:r w:rsidRPr="00755346">
                  <w:t>176,000</w:t>
                </w:r>
              </w:p>
            </w:tc>
          </w:tr>
          <w:tr w:rsidR="00755346" w:rsidRPr="000964A9" w14:paraId="63C980A9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755346" w:rsidRPr="000964A9" w:rsidRDefault="00755346" w:rsidP="00755346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1912B630" w:rsidR="00755346" w:rsidRPr="00755346" w:rsidRDefault="00755346" w:rsidP="00755346">
                <w:pPr>
                  <w:spacing w:line="240" w:lineRule="auto"/>
                </w:pPr>
                <w:r w:rsidRPr="00755346">
                  <w:t>203,000</w:t>
                </w:r>
              </w:p>
            </w:tc>
          </w:tr>
          <w:tr w:rsidR="00755346" w:rsidRPr="000964A9" w14:paraId="5F8D688C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755346" w:rsidRPr="000964A9" w:rsidRDefault="00755346" w:rsidP="00755346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25C04861" w:rsidR="00755346" w:rsidRPr="00755346" w:rsidRDefault="00755346" w:rsidP="00755346">
                <w:pPr>
                  <w:spacing w:line="240" w:lineRule="auto"/>
                </w:pPr>
                <w:r w:rsidRPr="00755346">
                  <w:t>209,000</w:t>
                </w:r>
              </w:p>
            </w:tc>
          </w:tr>
          <w:tr w:rsidR="00755346" w:rsidRPr="000964A9" w14:paraId="19B58FAC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755346" w:rsidRPr="000964A9" w:rsidRDefault="00755346" w:rsidP="00755346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3F71BB45" w:rsidR="00755346" w:rsidRPr="00755346" w:rsidRDefault="00755346" w:rsidP="00755346">
                <w:pPr>
                  <w:spacing w:line="240" w:lineRule="auto"/>
                </w:pPr>
                <w:r w:rsidRPr="00755346">
                  <w:t>223,000</w:t>
                </w:r>
              </w:p>
            </w:tc>
          </w:tr>
          <w:tr w:rsidR="00755346" w:rsidRPr="000964A9" w14:paraId="67EE620C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755346" w:rsidRPr="000964A9" w:rsidRDefault="00755346" w:rsidP="00755346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32609EC1" w:rsidR="00755346" w:rsidRPr="00755346" w:rsidRDefault="00755346" w:rsidP="00755346">
                <w:pPr>
                  <w:spacing w:line="240" w:lineRule="auto"/>
                </w:pPr>
                <w:r w:rsidRPr="00755346">
                  <w:t>235,000</w:t>
                </w:r>
              </w:p>
            </w:tc>
          </w:tr>
          <w:tr w:rsidR="00755346" w:rsidRPr="000964A9" w14:paraId="5E9548A8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755346" w:rsidRPr="000964A9" w:rsidRDefault="00755346" w:rsidP="00755346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04A92E7A" w:rsidR="00755346" w:rsidRPr="00755346" w:rsidRDefault="00755346" w:rsidP="00755346">
                <w:pPr>
                  <w:spacing w:line="240" w:lineRule="auto"/>
                </w:pPr>
                <w:r w:rsidRPr="00755346">
                  <w:t>247,000</w:t>
                </w:r>
              </w:p>
            </w:tc>
          </w:tr>
          <w:tr w:rsidR="00755346" w:rsidRPr="000964A9" w14:paraId="562503D6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755346" w:rsidRPr="000964A9" w:rsidRDefault="00755346" w:rsidP="00755346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7B7E5300" w:rsidR="00755346" w:rsidRPr="00755346" w:rsidRDefault="00755346" w:rsidP="00755346">
                <w:pPr>
                  <w:spacing w:line="240" w:lineRule="auto"/>
                </w:pPr>
                <w:r w:rsidRPr="00755346">
                  <w:t>256,000</w:t>
                </w:r>
              </w:p>
            </w:tc>
          </w:tr>
          <w:tr w:rsidR="00755346" w:rsidRPr="000964A9" w14:paraId="151230DB" w14:textId="77777777" w:rsidTr="00755346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755346" w:rsidRPr="000964A9" w:rsidRDefault="00755346" w:rsidP="00755346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1C0A710E" w:rsidR="00755346" w:rsidRPr="00755346" w:rsidRDefault="00755346" w:rsidP="00755346">
                <w:pPr>
                  <w:spacing w:line="240" w:lineRule="auto"/>
                </w:pPr>
                <w:r w:rsidRPr="00755346">
                  <w:t>265,000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374AC2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374AC2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3764EB1D" w:rsidR="00BF7E9C" w:rsidRPr="000964A9" w:rsidRDefault="00BF7E9C" w:rsidP="00374AC2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095A46">
                  <w:rPr>
                    <w:rFonts w:asciiTheme="minorHAnsi" w:hAnsiTheme="minorHAnsi"/>
                    <w:b/>
                    <w:color w:val="FFFFFF" w:themeColor="background1"/>
                  </w:rPr>
                  <w:t>Malaysia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5395D521" w:rsidR="00BF7E9C" w:rsidRPr="000964A9" w:rsidRDefault="00BF7E9C" w:rsidP="00374AC2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095A46">
                  <w:rPr>
                    <w:rFonts w:asciiTheme="minorHAnsi" w:hAnsiTheme="minorHAnsi"/>
                    <w:b/>
                    <w:color w:val="FFFFFF" w:themeColor="background1"/>
                  </w:rPr>
                  <w:t>Malaysia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374AC2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374AC2" w:rsidRPr="000964A9" w14:paraId="6ABF14DD" w14:textId="100B78DD" w:rsidTr="00374AC2">
            <w:trPr>
              <w:trHeight w:hRule="exact" w:val="647"/>
            </w:trPr>
            <w:tc>
              <w:tcPr>
                <w:tcW w:w="2560" w:type="dxa"/>
                <w:vAlign w:val="center"/>
              </w:tcPr>
              <w:p w14:paraId="0C205F93" w14:textId="6F8C90FD" w:rsidR="00374AC2" w:rsidRPr="000964A9" w:rsidRDefault="00374AC2" w:rsidP="00374AC2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70C5DE3D" w:rsidR="00374AC2" w:rsidRPr="000964A9" w:rsidRDefault="00374AC2" w:rsidP="00374AC2">
                <w:pPr>
                  <w:spacing w:line="240" w:lineRule="auto"/>
                </w:pPr>
                <w:r>
                  <w:t>93</w:t>
                </w:r>
                <w:r w:rsidRPr="000964A9">
                  <w:t>,</w:t>
                </w:r>
                <w:r>
                  <w:t>570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5AD17298" w:rsidR="00374AC2" w:rsidRPr="000964A9" w:rsidRDefault="00374AC2" w:rsidP="00374AC2">
                <w:pPr>
                  <w:spacing w:line="240" w:lineRule="auto"/>
                </w:pPr>
                <w:r w:rsidRPr="00374AC2">
                  <w:t>48%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42546427" w:rsidR="00374AC2" w:rsidRPr="000964A9" w:rsidRDefault="00374AC2" w:rsidP="00374AC2">
                <w:pPr>
                  <w:spacing w:line="240" w:lineRule="auto"/>
                </w:pPr>
                <w:r w:rsidRPr="00374AC2">
                  <w:t>43%</w:t>
                </w:r>
              </w:p>
            </w:tc>
          </w:tr>
          <w:tr w:rsidR="00374AC2" w:rsidRPr="000964A9" w14:paraId="394B5E61" w14:textId="46B54A79" w:rsidTr="00374AC2">
            <w:trPr>
              <w:trHeight w:hRule="exact" w:val="840"/>
            </w:trPr>
            <w:tc>
              <w:tcPr>
                <w:tcW w:w="2560" w:type="dxa"/>
                <w:vAlign w:val="center"/>
              </w:tcPr>
              <w:p w14:paraId="3F90639D" w14:textId="52451868" w:rsidR="00374AC2" w:rsidRPr="000964A9" w:rsidRDefault="00374AC2" w:rsidP="00374AC2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0F3CCC6F" w:rsidR="00374AC2" w:rsidRPr="000964A9" w:rsidRDefault="00374AC2" w:rsidP="00374AC2">
                <w:pPr>
                  <w:spacing w:line="240" w:lineRule="auto"/>
                </w:pPr>
                <w:r>
                  <w:t>62,140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3246AFD6" w:rsidR="00374AC2" w:rsidRPr="000964A9" w:rsidRDefault="00374AC2" w:rsidP="00374AC2">
                <w:pPr>
                  <w:spacing w:line="240" w:lineRule="auto"/>
                </w:pPr>
                <w:r w:rsidRPr="00374AC2">
                  <w:t>32%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5BB61214" w:rsidR="00374AC2" w:rsidRPr="000964A9" w:rsidRDefault="00374AC2" w:rsidP="00374AC2">
                <w:pPr>
                  <w:spacing w:line="240" w:lineRule="auto"/>
                </w:pPr>
                <w:r w:rsidRPr="00374AC2">
                  <w:t>34%</w:t>
                </w:r>
              </w:p>
            </w:tc>
          </w:tr>
          <w:tr w:rsidR="00374AC2" w:rsidRPr="000964A9" w14:paraId="2A4EDA53" w14:textId="7363EE2B" w:rsidTr="00374AC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6391817C" w:rsidR="00374AC2" w:rsidRPr="000964A9" w:rsidRDefault="00374AC2" w:rsidP="00374AC2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284DA87F" w:rsidR="00374AC2" w:rsidRPr="000964A9" w:rsidRDefault="00374AC2" w:rsidP="00374AC2">
                <w:pPr>
                  <w:spacing w:line="240" w:lineRule="auto"/>
                </w:pPr>
                <w:r>
                  <w:t>15,460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29CA607E" w:rsidR="00374AC2" w:rsidRPr="000964A9" w:rsidRDefault="00374AC2" w:rsidP="00374AC2">
                <w:pPr>
                  <w:spacing w:line="240" w:lineRule="auto"/>
                </w:pPr>
                <w:r w:rsidRPr="00374AC2">
                  <w:t>8%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031334A5" w:rsidR="00374AC2" w:rsidRPr="000964A9" w:rsidRDefault="00374AC2" w:rsidP="00374AC2">
                <w:pPr>
                  <w:spacing w:line="240" w:lineRule="auto"/>
                </w:pPr>
                <w:r w:rsidRPr="00374AC2">
                  <w:t>9%</w:t>
                </w:r>
              </w:p>
            </w:tc>
          </w:tr>
          <w:tr w:rsidR="00374AC2" w:rsidRPr="000964A9" w14:paraId="08D8A402" w14:textId="5F4968C5" w:rsidTr="00374AC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650894F1" w:rsidR="00374AC2" w:rsidRPr="000964A9" w:rsidRDefault="00374AC2" w:rsidP="00374AC2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074E8C9D" w:rsidR="00374AC2" w:rsidRPr="000964A9" w:rsidRDefault="00374AC2" w:rsidP="00374AC2">
                <w:pPr>
                  <w:spacing w:line="240" w:lineRule="auto"/>
                </w:pPr>
                <w:r>
                  <w:t>11,150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67CE9964" w:rsidR="00374AC2" w:rsidRPr="000964A9" w:rsidRDefault="00374AC2" w:rsidP="00374AC2">
                <w:pPr>
                  <w:spacing w:line="240" w:lineRule="auto"/>
                </w:pPr>
                <w:r w:rsidRPr="00374AC2">
                  <w:t>6%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477DA701" w:rsidR="00374AC2" w:rsidRPr="000964A9" w:rsidRDefault="00374AC2" w:rsidP="00374AC2">
                <w:pPr>
                  <w:spacing w:line="240" w:lineRule="auto"/>
                </w:pPr>
                <w:r w:rsidRPr="00374AC2">
                  <w:t>7%</w:t>
                </w:r>
              </w:p>
            </w:tc>
          </w:tr>
          <w:tr w:rsidR="00374AC2" w:rsidRPr="000964A9" w14:paraId="1A660A2E" w14:textId="2AC0CE67" w:rsidTr="00374AC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2609DDDF" w:rsidR="00374AC2" w:rsidRPr="000964A9" w:rsidRDefault="00374AC2" w:rsidP="00374AC2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5577CF08" w:rsidR="00374AC2" w:rsidRPr="000964A9" w:rsidRDefault="00374AC2" w:rsidP="00374AC2">
                <w:pPr>
                  <w:spacing w:line="240" w:lineRule="auto"/>
                </w:pPr>
                <w:r>
                  <w:t>7,750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5D9DE618" w:rsidR="00374AC2" w:rsidRPr="000964A9" w:rsidRDefault="00374AC2" w:rsidP="00374AC2">
                <w:pPr>
                  <w:spacing w:line="240" w:lineRule="auto"/>
                </w:pPr>
                <w:r w:rsidRPr="00374AC2">
                  <w:t>4%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0FB53547" w:rsidR="00374AC2" w:rsidRPr="000964A9" w:rsidRDefault="00374AC2" w:rsidP="00374AC2">
                <w:pPr>
                  <w:spacing w:line="240" w:lineRule="auto"/>
                </w:pPr>
                <w:r w:rsidRPr="00374AC2">
                  <w:t>4%</w:t>
                </w:r>
              </w:p>
            </w:tc>
          </w:tr>
          <w:tr w:rsidR="00374AC2" w:rsidRPr="000964A9" w14:paraId="0B0475DD" w14:textId="4F1912C8" w:rsidTr="00374AC2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374AC2" w:rsidRPr="000964A9" w:rsidRDefault="00374AC2" w:rsidP="00374AC2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3FDC4F97" w:rsidR="00374AC2" w:rsidRPr="000964A9" w:rsidRDefault="00374AC2" w:rsidP="00374AC2">
                <w:pPr>
                  <w:spacing w:line="240" w:lineRule="auto"/>
                </w:pPr>
                <w:r>
                  <w:t>3,510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1428069E" w:rsidR="00374AC2" w:rsidRPr="000964A9" w:rsidRDefault="00374AC2" w:rsidP="00374AC2">
                <w:pPr>
                  <w:spacing w:line="240" w:lineRule="auto"/>
                </w:pPr>
                <w:r w:rsidRPr="00374AC2"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392965E8" w:rsidR="00374AC2" w:rsidRPr="000964A9" w:rsidRDefault="00374AC2" w:rsidP="00374AC2">
                <w:pPr>
                  <w:spacing w:line="240" w:lineRule="auto"/>
                </w:pPr>
                <w:r w:rsidRPr="00374AC2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428D25F1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095A46">
                  <w:rPr>
                    <w:rFonts w:asciiTheme="minorHAnsi" w:hAnsiTheme="minorHAnsi"/>
                    <w:b/>
                    <w:color w:val="FFFFFF" w:themeColor="background1"/>
                  </w:rPr>
                  <w:t>Malaysia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1863B1" w:rsidRPr="000964A9" w14:paraId="6E26DB50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1863B1" w:rsidRPr="000964A9" w:rsidRDefault="001863B1" w:rsidP="001863B1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bottom"/>
              </w:tcPr>
              <w:p w14:paraId="2624E417" w14:textId="38C387C1" w:rsidR="001863B1" w:rsidRPr="000964A9" w:rsidRDefault="001863B1" w:rsidP="001863B1">
                <w:pPr>
                  <w:spacing w:line="240" w:lineRule="auto"/>
                </w:pPr>
                <w:r w:rsidRPr="001863B1">
                  <w:t>98%</w:t>
                </w:r>
              </w:p>
            </w:tc>
            <w:tc>
              <w:tcPr>
                <w:tcW w:w="3212" w:type="dxa"/>
                <w:vAlign w:val="bottom"/>
              </w:tcPr>
              <w:p w14:paraId="704F1B52" w14:textId="4EB29601" w:rsidR="001863B1" w:rsidRPr="000964A9" w:rsidRDefault="001863B1" w:rsidP="001863B1">
                <w:pPr>
                  <w:spacing w:line="240" w:lineRule="auto"/>
                </w:pPr>
                <w:r w:rsidRPr="001863B1">
                  <w:t>92%</w:t>
                </w:r>
              </w:p>
            </w:tc>
          </w:tr>
          <w:tr w:rsidR="001863B1" w:rsidRPr="000964A9" w14:paraId="4FC89A69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1863B1" w:rsidRPr="000964A9" w:rsidRDefault="001863B1" w:rsidP="001863B1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bottom"/>
              </w:tcPr>
              <w:p w14:paraId="3591706D" w14:textId="6D6C7866" w:rsidR="001863B1" w:rsidRPr="000964A9" w:rsidRDefault="001863B1" w:rsidP="001863B1">
                <w:pPr>
                  <w:spacing w:line="240" w:lineRule="auto"/>
                </w:pPr>
                <w:r w:rsidRPr="001863B1">
                  <w:t>16%</w:t>
                </w:r>
              </w:p>
            </w:tc>
            <w:tc>
              <w:tcPr>
                <w:tcW w:w="3212" w:type="dxa"/>
                <w:vAlign w:val="bottom"/>
              </w:tcPr>
              <w:p w14:paraId="2792CE94" w14:textId="2DC774CB" w:rsidR="001863B1" w:rsidRPr="000964A9" w:rsidRDefault="001863B1" w:rsidP="001863B1">
                <w:pPr>
                  <w:spacing w:line="240" w:lineRule="auto"/>
                </w:pPr>
                <w:r w:rsidRPr="001863B1">
                  <w:t>29%</w:t>
                </w:r>
              </w:p>
            </w:tc>
          </w:tr>
          <w:tr w:rsidR="001863B1" w:rsidRPr="000964A9" w14:paraId="1B2915E6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4A395EF3" w:rsidR="001863B1" w:rsidRPr="000964A9" w:rsidRDefault="00142FB8" w:rsidP="001863B1">
                <w:pPr>
                  <w:spacing w:line="240" w:lineRule="auto"/>
                </w:pPr>
                <w:r w:rsidRPr="00142FB8">
                  <w:t>Victoria</w:t>
                </w:r>
              </w:p>
            </w:tc>
            <w:tc>
              <w:tcPr>
                <w:tcW w:w="3211" w:type="dxa"/>
                <w:vAlign w:val="bottom"/>
              </w:tcPr>
              <w:p w14:paraId="59C57F1C" w14:textId="23B67869" w:rsidR="001863B1" w:rsidRPr="000964A9" w:rsidRDefault="001863B1" w:rsidP="001863B1">
                <w:pPr>
                  <w:spacing w:line="240" w:lineRule="auto"/>
                </w:pPr>
                <w:r w:rsidRPr="001863B1">
                  <w:t>41%</w:t>
                </w:r>
              </w:p>
            </w:tc>
            <w:tc>
              <w:tcPr>
                <w:tcW w:w="3212" w:type="dxa"/>
                <w:vAlign w:val="bottom"/>
              </w:tcPr>
              <w:p w14:paraId="08AA41BF" w14:textId="75D4F02C" w:rsidR="001863B1" w:rsidRPr="000964A9" w:rsidRDefault="001863B1" w:rsidP="001863B1">
                <w:pPr>
                  <w:spacing w:line="240" w:lineRule="auto"/>
                </w:pPr>
                <w:r w:rsidRPr="001863B1">
                  <w:t>34%</w:t>
                </w:r>
              </w:p>
            </w:tc>
          </w:tr>
          <w:tr w:rsidR="001863B1" w:rsidRPr="000964A9" w14:paraId="5E36D46D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1FE477A9" w:rsidR="001863B1" w:rsidRPr="000964A9" w:rsidRDefault="00142FB8" w:rsidP="001863B1">
                <w:pPr>
                  <w:spacing w:line="240" w:lineRule="auto"/>
                </w:pPr>
                <w:r w:rsidRPr="00142FB8">
                  <w:t>Western Australia</w:t>
                </w:r>
              </w:p>
            </w:tc>
            <w:tc>
              <w:tcPr>
                <w:tcW w:w="3211" w:type="dxa"/>
                <w:vAlign w:val="bottom"/>
              </w:tcPr>
              <w:p w14:paraId="4F213765" w14:textId="21D53A30" w:rsidR="001863B1" w:rsidRPr="000964A9" w:rsidRDefault="001863B1" w:rsidP="001863B1">
                <w:pPr>
                  <w:spacing w:line="240" w:lineRule="auto"/>
                </w:pPr>
                <w:r w:rsidRPr="001863B1">
                  <w:t>31%</w:t>
                </w:r>
              </w:p>
            </w:tc>
            <w:tc>
              <w:tcPr>
                <w:tcW w:w="3212" w:type="dxa"/>
                <w:vAlign w:val="bottom"/>
              </w:tcPr>
              <w:p w14:paraId="48570564" w14:textId="2B1EB6E9" w:rsidR="001863B1" w:rsidRPr="000964A9" w:rsidRDefault="001863B1" w:rsidP="001863B1">
                <w:pPr>
                  <w:spacing w:line="240" w:lineRule="auto"/>
                </w:pPr>
                <w:r w:rsidRPr="001863B1">
                  <w:t>13%</w:t>
                </w:r>
              </w:p>
            </w:tc>
          </w:tr>
          <w:tr w:rsidR="001863B1" w:rsidRPr="000964A9" w14:paraId="69CC4A34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13EDFF9E" w:rsidR="001863B1" w:rsidRPr="000964A9" w:rsidRDefault="00142FB8" w:rsidP="001863B1">
                <w:pPr>
                  <w:spacing w:line="240" w:lineRule="auto"/>
                </w:pPr>
                <w:r w:rsidRPr="00142FB8">
                  <w:t>New South Wales</w:t>
                </w:r>
              </w:p>
            </w:tc>
            <w:tc>
              <w:tcPr>
                <w:tcW w:w="3211" w:type="dxa"/>
                <w:vAlign w:val="bottom"/>
              </w:tcPr>
              <w:p w14:paraId="6C27BFFE" w14:textId="5FF90FAA" w:rsidR="001863B1" w:rsidRPr="000964A9" w:rsidRDefault="001863B1" w:rsidP="001863B1">
                <w:pPr>
                  <w:spacing w:line="240" w:lineRule="auto"/>
                </w:pPr>
                <w:r w:rsidRPr="001863B1">
                  <w:t>25%</w:t>
                </w:r>
              </w:p>
            </w:tc>
            <w:tc>
              <w:tcPr>
                <w:tcW w:w="3212" w:type="dxa"/>
                <w:vAlign w:val="bottom"/>
              </w:tcPr>
              <w:p w14:paraId="4BFD579A" w14:textId="13E7CE6C" w:rsidR="001863B1" w:rsidRPr="000964A9" w:rsidRDefault="001863B1" w:rsidP="001863B1">
                <w:pPr>
                  <w:spacing w:line="240" w:lineRule="auto"/>
                </w:pPr>
                <w:r w:rsidRPr="001863B1">
                  <w:t>50%</w:t>
                </w:r>
              </w:p>
            </w:tc>
          </w:tr>
          <w:tr w:rsidR="001863B1" w:rsidRPr="000964A9" w14:paraId="7B4B37E2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64D3FC64" w:rsidR="001863B1" w:rsidRPr="000964A9" w:rsidRDefault="00142FB8" w:rsidP="001863B1">
                <w:pPr>
                  <w:spacing w:line="240" w:lineRule="auto"/>
                </w:pPr>
                <w:r w:rsidRPr="00142FB8">
                  <w:t>Queensland</w:t>
                </w:r>
              </w:p>
            </w:tc>
            <w:tc>
              <w:tcPr>
                <w:tcW w:w="3211" w:type="dxa"/>
                <w:vAlign w:val="bottom"/>
              </w:tcPr>
              <w:p w14:paraId="6E7F2397" w14:textId="3409B2A3" w:rsidR="001863B1" w:rsidRPr="000964A9" w:rsidRDefault="001863B1" w:rsidP="001863B1">
                <w:pPr>
                  <w:spacing w:line="240" w:lineRule="auto"/>
                </w:pPr>
                <w:r w:rsidRPr="001863B1">
                  <w:t>8%</w:t>
                </w:r>
              </w:p>
            </w:tc>
            <w:tc>
              <w:tcPr>
                <w:tcW w:w="3212" w:type="dxa"/>
                <w:vAlign w:val="bottom"/>
              </w:tcPr>
              <w:p w14:paraId="1E854F98" w14:textId="4E7022B2" w:rsidR="001863B1" w:rsidRPr="000964A9" w:rsidRDefault="001863B1" w:rsidP="001863B1">
                <w:pPr>
                  <w:spacing w:line="240" w:lineRule="auto"/>
                </w:pPr>
                <w:r w:rsidRPr="001863B1">
                  <w:t>29%</w:t>
                </w:r>
              </w:p>
            </w:tc>
          </w:tr>
          <w:tr w:rsidR="001863B1" w:rsidRPr="000964A9" w14:paraId="7BAAC52C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328F634C" w:rsidR="001863B1" w:rsidRPr="000964A9" w:rsidRDefault="00C006E1" w:rsidP="001863B1">
                <w:pPr>
                  <w:spacing w:line="240" w:lineRule="auto"/>
                </w:pPr>
                <w:r w:rsidRPr="00C006E1">
                  <w:t>South Australia</w:t>
                </w:r>
              </w:p>
            </w:tc>
            <w:tc>
              <w:tcPr>
                <w:tcW w:w="3211" w:type="dxa"/>
                <w:vAlign w:val="bottom"/>
              </w:tcPr>
              <w:p w14:paraId="2189063D" w14:textId="118A9D4D" w:rsidR="001863B1" w:rsidRPr="000964A9" w:rsidRDefault="001863B1" w:rsidP="001863B1">
                <w:pPr>
                  <w:spacing w:line="240" w:lineRule="auto"/>
                </w:pPr>
                <w:r w:rsidRPr="001863B1">
                  <w:t>4%</w:t>
                </w:r>
              </w:p>
            </w:tc>
            <w:tc>
              <w:tcPr>
                <w:tcW w:w="3212" w:type="dxa"/>
                <w:vAlign w:val="bottom"/>
              </w:tcPr>
              <w:p w14:paraId="20C11320" w14:textId="4A1D426F" w:rsidR="001863B1" w:rsidRPr="000964A9" w:rsidRDefault="001863B1" w:rsidP="001863B1">
                <w:pPr>
                  <w:spacing w:line="240" w:lineRule="auto"/>
                </w:pPr>
                <w:r w:rsidRPr="001863B1">
                  <w:t>5%</w:t>
                </w:r>
              </w:p>
            </w:tc>
          </w:tr>
          <w:tr w:rsidR="001863B1" w:rsidRPr="000964A9" w14:paraId="60BA2712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1F9B14C8" w:rsidR="001863B1" w:rsidRPr="000964A9" w:rsidRDefault="00C006E1" w:rsidP="001863B1">
                <w:pPr>
                  <w:spacing w:line="240" w:lineRule="auto"/>
                </w:pPr>
                <w:r w:rsidRPr="00C006E1">
                  <w:t>Northern Territory</w:t>
                </w:r>
              </w:p>
            </w:tc>
            <w:tc>
              <w:tcPr>
                <w:tcW w:w="3211" w:type="dxa"/>
                <w:vAlign w:val="bottom"/>
              </w:tcPr>
              <w:p w14:paraId="23944D34" w14:textId="5CAD88E5" w:rsidR="001863B1" w:rsidRPr="000964A9" w:rsidRDefault="001863B1" w:rsidP="001863B1">
                <w:pPr>
                  <w:spacing w:line="240" w:lineRule="auto"/>
                </w:pPr>
                <w:r w:rsidRPr="001863B1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0B6299FD" w14:textId="589E8485" w:rsidR="001863B1" w:rsidRPr="000964A9" w:rsidRDefault="001863B1" w:rsidP="001863B1">
                <w:pPr>
                  <w:spacing w:line="240" w:lineRule="auto"/>
                </w:pPr>
                <w:r w:rsidRPr="001863B1">
                  <w:t>3%</w:t>
                </w:r>
              </w:p>
            </w:tc>
          </w:tr>
          <w:tr w:rsidR="001863B1" w:rsidRPr="000964A9" w14:paraId="0503DD24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5C681751" w:rsidR="001863B1" w:rsidRPr="000964A9" w:rsidRDefault="00C006E1" w:rsidP="001863B1">
                <w:pPr>
                  <w:spacing w:line="240" w:lineRule="auto"/>
                </w:pPr>
                <w:r w:rsidRPr="00C006E1">
                  <w:t>Tasmania</w:t>
                </w:r>
              </w:p>
            </w:tc>
            <w:tc>
              <w:tcPr>
                <w:tcW w:w="3211" w:type="dxa"/>
                <w:vAlign w:val="bottom"/>
              </w:tcPr>
              <w:p w14:paraId="54B5D7C9" w14:textId="6EB9F7FD" w:rsidR="001863B1" w:rsidRPr="000964A9" w:rsidRDefault="001863B1" w:rsidP="001863B1">
                <w:pPr>
                  <w:spacing w:line="240" w:lineRule="auto"/>
                </w:pPr>
                <w:r w:rsidRPr="001863B1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5F240C97" w14:textId="0F25E13C" w:rsidR="001863B1" w:rsidRPr="000964A9" w:rsidRDefault="001863B1" w:rsidP="001863B1">
                <w:pPr>
                  <w:spacing w:line="240" w:lineRule="auto"/>
                </w:pPr>
                <w:r w:rsidRPr="001863B1">
                  <w:t>3%</w:t>
                </w:r>
              </w:p>
            </w:tc>
          </w:tr>
          <w:tr w:rsidR="001863B1" w:rsidRPr="000964A9" w14:paraId="6F896B1B" w14:textId="77777777" w:rsidTr="003468F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314FA5AA" w:rsidR="001863B1" w:rsidRPr="000964A9" w:rsidRDefault="00C006E1" w:rsidP="001863B1">
                <w:pPr>
                  <w:spacing w:line="240" w:lineRule="auto"/>
                </w:pPr>
                <w:r w:rsidRPr="00C006E1">
                  <w:t>ACT</w:t>
                </w:r>
              </w:p>
            </w:tc>
            <w:tc>
              <w:tcPr>
                <w:tcW w:w="3211" w:type="dxa"/>
                <w:vAlign w:val="bottom"/>
              </w:tcPr>
              <w:p w14:paraId="572CF428" w14:textId="65BFFD99" w:rsidR="001863B1" w:rsidRPr="000964A9" w:rsidRDefault="001863B1" w:rsidP="001863B1">
                <w:pPr>
                  <w:spacing w:line="240" w:lineRule="auto"/>
                </w:pPr>
                <w:r w:rsidRPr="001863B1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729F97A4" w14:textId="2F883EBB" w:rsidR="001863B1" w:rsidRPr="000964A9" w:rsidRDefault="001863B1" w:rsidP="001863B1">
                <w:pPr>
                  <w:spacing w:line="240" w:lineRule="auto"/>
                </w:pPr>
                <w:r w:rsidRPr="001863B1">
                  <w:t>2%</w:t>
                </w:r>
              </w:p>
            </w:tc>
          </w:tr>
        </w:tbl>
        <w:p w14:paraId="48703F19" w14:textId="51CBDDF6" w:rsidR="00E134D2" w:rsidRPr="000964A9" w:rsidRDefault="004566A4" w:rsidP="004B1007">
          <w:r w:rsidRPr="004566A4">
            <w:lastRenderedPageBreak/>
            <w:t>Malaysian visitors spend less nights in Australia compared to the average international visitor. Most Malaysian visitors are on a return trip to Australia. Key demand-driving experiences include eating out, shopping and markets.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4566A4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4566A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4FAA21E6" w:rsidR="00973048" w:rsidRPr="000964A9" w:rsidRDefault="00973048" w:rsidP="004566A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095A46">
                  <w:rPr>
                    <w:rFonts w:asciiTheme="minorHAnsi" w:hAnsiTheme="minorHAnsi"/>
                    <w:b/>
                    <w:color w:val="FFFFFF" w:themeColor="background1"/>
                  </w:rPr>
                  <w:t>Malaysia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4566A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4566A4" w:rsidRPr="000964A9" w14:paraId="7DBEEA8B" w14:textId="26B5CBB0" w:rsidTr="004566A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4566A4" w:rsidRPr="000964A9" w:rsidRDefault="004566A4" w:rsidP="004566A4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18B6C70B" w:rsidR="004566A4" w:rsidRPr="000964A9" w:rsidRDefault="004566A4" w:rsidP="004566A4">
                <w:pPr>
                  <w:spacing w:line="240" w:lineRule="auto"/>
                </w:pPr>
                <w:r w:rsidRPr="004566A4">
                  <w:t>47%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65739F89" w:rsidR="004566A4" w:rsidRPr="000964A9" w:rsidRDefault="004566A4" w:rsidP="004566A4">
                <w:pPr>
                  <w:spacing w:line="240" w:lineRule="auto"/>
                </w:pPr>
                <w:r w:rsidRPr="004566A4">
                  <w:t>34%</w:t>
                </w:r>
              </w:p>
            </w:tc>
          </w:tr>
          <w:tr w:rsidR="004566A4" w:rsidRPr="000964A9" w14:paraId="53BC374A" w14:textId="4FA534A6" w:rsidTr="004566A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4566A4" w:rsidRPr="000964A9" w:rsidRDefault="004566A4" w:rsidP="004566A4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13C918D3" w:rsidR="004566A4" w:rsidRPr="000964A9" w:rsidRDefault="004566A4" w:rsidP="004566A4">
                <w:pPr>
                  <w:spacing w:line="240" w:lineRule="auto"/>
                </w:pPr>
                <w:r w:rsidRPr="004566A4">
                  <w:t>23%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76F61A05" w:rsidR="004566A4" w:rsidRPr="000964A9" w:rsidRDefault="004566A4" w:rsidP="004566A4">
                <w:pPr>
                  <w:spacing w:line="240" w:lineRule="auto"/>
                </w:pPr>
                <w:r w:rsidRPr="004566A4">
                  <w:t>23%</w:t>
                </w:r>
              </w:p>
            </w:tc>
          </w:tr>
          <w:tr w:rsidR="004566A4" w:rsidRPr="000964A9" w14:paraId="76A70B98" w14:textId="64AA612E" w:rsidTr="004566A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4566A4" w:rsidRPr="000964A9" w:rsidRDefault="004566A4" w:rsidP="004566A4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74106891" w:rsidR="004566A4" w:rsidRPr="000964A9" w:rsidRDefault="004566A4" w:rsidP="004566A4">
                <w:pPr>
                  <w:spacing w:line="240" w:lineRule="auto"/>
                </w:pPr>
                <w:r w:rsidRPr="004566A4">
                  <w:t>11%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717F812C" w:rsidR="004566A4" w:rsidRPr="000964A9" w:rsidRDefault="004566A4" w:rsidP="004566A4">
                <w:pPr>
                  <w:spacing w:line="240" w:lineRule="auto"/>
                </w:pPr>
                <w:r w:rsidRPr="004566A4">
                  <w:t>17%</w:t>
                </w:r>
              </w:p>
            </w:tc>
          </w:tr>
          <w:tr w:rsidR="004566A4" w:rsidRPr="000964A9" w14:paraId="59604557" w14:textId="6B2D8EB7" w:rsidTr="004566A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4566A4" w:rsidRPr="000964A9" w:rsidRDefault="004566A4" w:rsidP="004566A4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57D3A77E" w:rsidR="004566A4" w:rsidRPr="000964A9" w:rsidRDefault="004566A4" w:rsidP="004566A4">
                <w:pPr>
                  <w:spacing w:line="240" w:lineRule="auto"/>
                </w:pPr>
                <w:r w:rsidRPr="004566A4">
                  <w:t>18%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7C1D043F" w:rsidR="004566A4" w:rsidRPr="000964A9" w:rsidRDefault="004566A4" w:rsidP="004566A4">
                <w:pPr>
                  <w:spacing w:line="240" w:lineRule="auto"/>
                </w:pPr>
                <w:r w:rsidRPr="004566A4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6D91C48B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694A8F">
            <w:t>5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2A3C4170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694A8F">
            <w:t>30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7E095D8D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694A8F">
            <w:t>7</w:t>
          </w:r>
          <w:r w:rsidR="005251C2" w:rsidRPr="000964A9">
            <w:t>0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468592E6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095A46">
                  <w:rPr>
                    <w:rFonts w:asciiTheme="minorHAnsi" w:hAnsiTheme="minorHAnsi"/>
                    <w:b/>
                    <w:color w:val="FFFFFF" w:themeColor="background1"/>
                  </w:rPr>
                  <w:t>Malaysia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1B0F22" w:rsidRPr="000964A9" w14:paraId="374ACCC2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1B0F22" w:rsidRPr="000964A9" w:rsidRDefault="001B0F22" w:rsidP="00B9226E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69994CF4" w:rsidR="001B0F22" w:rsidRPr="000964A9" w:rsidRDefault="001B0F22" w:rsidP="00B9226E">
                <w:pPr>
                  <w:spacing w:line="240" w:lineRule="auto"/>
                </w:pPr>
                <w:r w:rsidRPr="001B0F22">
                  <w:t>93%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21801239" w:rsidR="001B0F22" w:rsidRPr="000964A9" w:rsidRDefault="001B0F22" w:rsidP="00B9226E">
                <w:pPr>
                  <w:spacing w:line="240" w:lineRule="auto"/>
                </w:pPr>
                <w:r w:rsidRPr="001B0F22">
                  <w:t>88%</w:t>
                </w:r>
              </w:p>
            </w:tc>
          </w:tr>
          <w:tr w:rsidR="001B0F22" w:rsidRPr="000964A9" w14:paraId="003A5740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7747BB28" w:rsidR="001B0F22" w:rsidRPr="000964A9" w:rsidRDefault="001B0F22" w:rsidP="00B9226E">
                <w:pPr>
                  <w:spacing w:line="240" w:lineRule="auto"/>
                </w:pPr>
                <w:r w:rsidRPr="001B0F22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620E224A" w:rsidR="001B0F22" w:rsidRPr="000964A9" w:rsidRDefault="001B0F22" w:rsidP="00B9226E">
                <w:pPr>
                  <w:spacing w:line="240" w:lineRule="auto"/>
                </w:pPr>
                <w:r w:rsidRPr="001B0F22">
                  <w:t>83%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4A5FD05F" w:rsidR="001B0F22" w:rsidRPr="000964A9" w:rsidRDefault="001B0F22" w:rsidP="00B9226E">
                <w:pPr>
                  <w:spacing w:line="240" w:lineRule="auto"/>
                </w:pPr>
                <w:r w:rsidRPr="001B0F22">
                  <w:t>76%</w:t>
                </w:r>
              </w:p>
            </w:tc>
          </w:tr>
          <w:tr w:rsidR="001B0F22" w:rsidRPr="000964A9" w14:paraId="77D614AC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4704FD9B" w:rsidR="001B0F22" w:rsidRPr="000964A9" w:rsidRDefault="001B0F22" w:rsidP="00B9226E">
                <w:pPr>
                  <w:spacing w:line="240" w:lineRule="auto"/>
                </w:pPr>
                <w:r w:rsidRPr="001B0F22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4A5BC3BD" w:rsidR="001B0F22" w:rsidRPr="000964A9" w:rsidRDefault="001B0F22" w:rsidP="00B9226E">
                <w:pPr>
                  <w:spacing w:line="240" w:lineRule="auto"/>
                </w:pPr>
                <w:r w:rsidRPr="001B0F22">
                  <w:t>76%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3443EFCD" w:rsidR="001B0F22" w:rsidRPr="000964A9" w:rsidRDefault="001B0F22" w:rsidP="00B9226E">
                <w:pPr>
                  <w:spacing w:line="240" w:lineRule="auto"/>
                </w:pPr>
                <w:r w:rsidRPr="001B0F22">
                  <w:t>73%</w:t>
                </w:r>
              </w:p>
            </w:tc>
          </w:tr>
          <w:tr w:rsidR="001B0F22" w:rsidRPr="000964A9" w14:paraId="191813DF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1968A690" w:rsidR="001B0F22" w:rsidRPr="000964A9" w:rsidRDefault="001B0F22" w:rsidP="00B9226E">
                <w:pPr>
                  <w:spacing w:line="240" w:lineRule="auto"/>
                </w:pPr>
                <w:r w:rsidRPr="001B0F22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729C28A8" w:rsidR="001B0F22" w:rsidRPr="000964A9" w:rsidRDefault="001B0F22" w:rsidP="00B9226E">
                <w:pPr>
                  <w:spacing w:line="240" w:lineRule="auto"/>
                </w:pPr>
                <w:r w:rsidRPr="001B0F22">
                  <w:t>58%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3D53182C" w:rsidR="001B0F22" w:rsidRPr="000964A9" w:rsidRDefault="001B0F22" w:rsidP="00B9226E">
                <w:pPr>
                  <w:spacing w:line="240" w:lineRule="auto"/>
                </w:pPr>
                <w:r w:rsidRPr="001B0F22">
                  <w:t>46%</w:t>
                </w:r>
              </w:p>
            </w:tc>
          </w:tr>
          <w:tr w:rsidR="001B0F22" w:rsidRPr="000964A9" w14:paraId="7DAAAFBD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386DF3CC" w:rsidR="001B0F22" w:rsidRPr="000964A9" w:rsidRDefault="001B0F22" w:rsidP="00B9226E">
                <w:pPr>
                  <w:spacing w:line="240" w:lineRule="auto"/>
                </w:pPr>
                <w:r w:rsidRPr="001B0F22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3ACA5765" w:rsidR="001B0F22" w:rsidRPr="000964A9" w:rsidRDefault="001B0F22" w:rsidP="00B9226E">
                <w:pPr>
                  <w:spacing w:line="240" w:lineRule="auto"/>
                </w:pPr>
                <w:r w:rsidRPr="001B0F22">
                  <w:t>50%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0E1DE17B" w:rsidR="001B0F22" w:rsidRPr="000964A9" w:rsidRDefault="001B0F22" w:rsidP="00B9226E">
                <w:pPr>
                  <w:spacing w:line="240" w:lineRule="auto"/>
                </w:pPr>
                <w:r w:rsidRPr="001B0F22">
                  <w:t>63%</w:t>
                </w:r>
              </w:p>
            </w:tc>
          </w:tr>
          <w:tr w:rsidR="001B0F22" w:rsidRPr="000964A9" w14:paraId="35004281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0902210B" w:rsidR="001B0F22" w:rsidRPr="000964A9" w:rsidRDefault="00B9226E" w:rsidP="00B9226E">
                <w:pPr>
                  <w:spacing w:line="240" w:lineRule="auto"/>
                </w:pPr>
                <w:r w:rsidRPr="00B9226E">
                  <w:lastRenderedPageBreak/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189672D8" w:rsidR="001B0F22" w:rsidRPr="000964A9" w:rsidRDefault="001B0F22" w:rsidP="00B9226E">
                <w:pPr>
                  <w:spacing w:line="240" w:lineRule="auto"/>
                </w:pPr>
                <w:r w:rsidRPr="001B0F22">
                  <w:t>48%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1BAFE9F3" w:rsidR="001B0F22" w:rsidRPr="000964A9" w:rsidRDefault="001B0F22" w:rsidP="00B9226E">
                <w:pPr>
                  <w:spacing w:line="240" w:lineRule="auto"/>
                </w:pPr>
                <w:r w:rsidRPr="001B0F22">
                  <w:t>42%</w:t>
                </w:r>
              </w:p>
            </w:tc>
          </w:tr>
          <w:tr w:rsidR="001B0F22" w:rsidRPr="000964A9" w14:paraId="1B90078B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5485C478" w:rsidR="001B0F22" w:rsidRPr="000964A9" w:rsidRDefault="00B9226E" w:rsidP="00B9226E">
                <w:pPr>
                  <w:spacing w:line="240" w:lineRule="auto"/>
                </w:pPr>
                <w:r w:rsidRPr="00B9226E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38A34119" w:rsidR="001B0F22" w:rsidRPr="000964A9" w:rsidRDefault="001B0F22" w:rsidP="00B9226E">
                <w:pPr>
                  <w:spacing w:line="240" w:lineRule="auto"/>
                </w:pPr>
                <w:r w:rsidRPr="001B0F22">
                  <w:t>41%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635A42C5" w:rsidR="001B0F22" w:rsidRPr="000964A9" w:rsidRDefault="001B0F22" w:rsidP="00B9226E">
                <w:pPr>
                  <w:spacing w:line="240" w:lineRule="auto"/>
                </w:pPr>
                <w:r w:rsidRPr="001B0F22">
                  <w:t>45%</w:t>
                </w:r>
              </w:p>
            </w:tc>
          </w:tr>
          <w:tr w:rsidR="001B0F22" w:rsidRPr="000964A9" w14:paraId="6ECFA6D0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436FC741" w:rsidR="001B0F22" w:rsidRPr="000964A9" w:rsidRDefault="00B9226E" w:rsidP="00B9226E">
                <w:pPr>
                  <w:spacing w:line="240" w:lineRule="auto"/>
                </w:pPr>
                <w:r w:rsidRPr="00B9226E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27972C6B" w:rsidR="001B0F22" w:rsidRPr="000964A9" w:rsidRDefault="001B0F22" w:rsidP="00B9226E">
                <w:pPr>
                  <w:spacing w:line="240" w:lineRule="auto"/>
                </w:pPr>
                <w:r w:rsidRPr="001B0F22">
                  <w:t>34%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417713C6" w:rsidR="001B0F22" w:rsidRPr="000964A9" w:rsidRDefault="001B0F22" w:rsidP="00B9226E">
                <w:pPr>
                  <w:spacing w:line="240" w:lineRule="auto"/>
                </w:pPr>
                <w:r w:rsidRPr="001B0F22">
                  <w:t>34%</w:t>
                </w:r>
              </w:p>
            </w:tc>
          </w:tr>
          <w:tr w:rsidR="001B0F22" w:rsidRPr="000964A9" w14:paraId="687E78DC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4F22B558" w:rsidR="001B0F22" w:rsidRPr="000964A9" w:rsidRDefault="00B9226E" w:rsidP="00B9226E">
                <w:pPr>
                  <w:spacing w:line="240" w:lineRule="auto"/>
                </w:pPr>
                <w:r w:rsidRPr="00B9226E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474F82AF" w:rsidR="001B0F22" w:rsidRPr="000964A9" w:rsidRDefault="001B0F22" w:rsidP="00B9226E">
                <w:pPr>
                  <w:spacing w:line="240" w:lineRule="auto"/>
                </w:pPr>
                <w:r w:rsidRPr="001B0F22">
                  <w:t>27%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74E65D66" w:rsidR="001B0F22" w:rsidRPr="000964A9" w:rsidRDefault="001B0F22" w:rsidP="00B9226E">
                <w:pPr>
                  <w:spacing w:line="240" w:lineRule="auto"/>
                </w:pPr>
                <w:r w:rsidRPr="001B0F22">
                  <w:t>35%</w:t>
                </w:r>
              </w:p>
            </w:tc>
          </w:tr>
          <w:tr w:rsidR="001B0F22" w:rsidRPr="000964A9" w14:paraId="13B5AE38" w14:textId="77777777" w:rsidTr="00B9226E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36798B03" w:rsidR="001B0F22" w:rsidRPr="000964A9" w:rsidRDefault="00B9226E" w:rsidP="00B9226E">
                <w:pPr>
                  <w:spacing w:line="240" w:lineRule="auto"/>
                </w:pPr>
                <w:r w:rsidRPr="00B9226E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650EC77B" w:rsidR="001B0F22" w:rsidRPr="000964A9" w:rsidRDefault="001B0F22" w:rsidP="00B9226E">
                <w:pPr>
                  <w:spacing w:line="240" w:lineRule="auto"/>
                </w:pPr>
                <w:r w:rsidRPr="001B0F22">
                  <w:t>26%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583CC49D" w:rsidR="001B0F22" w:rsidRPr="000964A9" w:rsidRDefault="001B0F22" w:rsidP="00B9226E">
                <w:pPr>
                  <w:spacing w:line="240" w:lineRule="auto"/>
                </w:pPr>
                <w:r w:rsidRPr="001B0F22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30C0F1DA" w:rsidR="006017D1" w:rsidRPr="000964A9" w:rsidRDefault="005E3B18" w:rsidP="006017D1">
          <w:r w:rsidRPr="005E3B18">
            <w:t>Aviation capacity for Malaysia has slightly declined, while the load factor remains stable. Over 300,000 Australians visited Malaysia in 2025, an increase of 12%, year on year.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9D6DE6" w:rsidRPr="000964A9" w14:paraId="29FF4BFF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9D6DE6" w:rsidRPr="000964A9" w:rsidRDefault="009D6DE6" w:rsidP="00432465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1715BEA8" w:rsidR="009D6DE6" w:rsidRPr="000964A9" w:rsidRDefault="009D6DE6" w:rsidP="00432465">
                <w:pPr>
                  <w:spacing w:line="240" w:lineRule="auto"/>
                </w:pPr>
                <w:r w:rsidRPr="009D6DE6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78F6E286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1,481,767 </w:t>
                </w:r>
              </w:p>
            </w:tc>
          </w:tr>
          <w:tr w:rsidR="009D6DE6" w:rsidRPr="000964A9" w14:paraId="112E3B17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9D6DE6" w:rsidRPr="000964A9" w:rsidRDefault="009D6DE6" w:rsidP="00432465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55055AB3" w:rsidR="009D6DE6" w:rsidRPr="000964A9" w:rsidRDefault="009D6DE6" w:rsidP="00432465">
                <w:pPr>
                  <w:spacing w:line="240" w:lineRule="auto"/>
                </w:pPr>
                <w:r w:rsidRPr="009D6DE6">
                  <w:t>80%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325D17BB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1,758,609 </w:t>
                </w:r>
              </w:p>
            </w:tc>
          </w:tr>
          <w:tr w:rsidR="009D6DE6" w:rsidRPr="000964A9" w14:paraId="7A96414A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9D6DE6" w:rsidRPr="000964A9" w:rsidRDefault="009D6DE6" w:rsidP="00432465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0B0C1CB0" w:rsidR="009D6DE6" w:rsidRPr="000964A9" w:rsidRDefault="009D6DE6" w:rsidP="00432465">
                <w:pPr>
                  <w:spacing w:line="240" w:lineRule="auto"/>
                </w:pPr>
                <w:r w:rsidRPr="009D6DE6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38642DE3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1,656,928 </w:t>
                </w:r>
              </w:p>
            </w:tc>
          </w:tr>
          <w:tr w:rsidR="009D6DE6" w:rsidRPr="000964A9" w14:paraId="2FBFB51E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9D6DE6" w:rsidRPr="000964A9" w:rsidRDefault="009D6DE6" w:rsidP="00432465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405FD8DB" w:rsidR="009D6DE6" w:rsidRPr="000964A9" w:rsidRDefault="009D6DE6" w:rsidP="00432465">
                <w:pPr>
                  <w:spacing w:line="240" w:lineRule="auto"/>
                </w:pPr>
                <w:r w:rsidRPr="009D6DE6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764125D8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1,674,973 </w:t>
                </w:r>
              </w:p>
            </w:tc>
          </w:tr>
          <w:tr w:rsidR="009D6DE6" w:rsidRPr="000964A9" w14:paraId="344C75C7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9D6DE6" w:rsidRPr="000964A9" w:rsidRDefault="009D6DE6" w:rsidP="00432465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59996719" w:rsidR="009D6DE6" w:rsidRPr="000964A9" w:rsidRDefault="009D6DE6" w:rsidP="00432465">
                <w:pPr>
                  <w:spacing w:line="240" w:lineRule="auto"/>
                </w:pPr>
                <w:r w:rsidRPr="009D6DE6">
                  <w:t>78%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3C55BB24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1,282,999 </w:t>
                </w:r>
              </w:p>
            </w:tc>
          </w:tr>
          <w:tr w:rsidR="009D6DE6" w:rsidRPr="000964A9" w14:paraId="0D67E2B0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9D6DE6" w:rsidRPr="000964A9" w:rsidRDefault="009D6DE6" w:rsidP="00432465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139CF4ED" w:rsidR="009D6DE6" w:rsidRPr="000964A9" w:rsidRDefault="009D6DE6" w:rsidP="00432465">
                <w:pPr>
                  <w:spacing w:line="240" w:lineRule="auto"/>
                </w:pPr>
                <w:r w:rsidRPr="009D6DE6">
                  <w:t>14%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3FF92EAB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32,469 </w:t>
                </w:r>
              </w:p>
            </w:tc>
          </w:tr>
          <w:tr w:rsidR="009D6DE6" w:rsidRPr="000964A9" w14:paraId="4A1925C0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9D6DE6" w:rsidRPr="000964A9" w:rsidRDefault="009D6DE6" w:rsidP="00432465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1442F78A" w:rsidR="009D6DE6" w:rsidRPr="000964A9" w:rsidRDefault="009D6DE6" w:rsidP="00432465">
                <w:pPr>
                  <w:spacing w:line="240" w:lineRule="auto"/>
                </w:pPr>
                <w:r w:rsidRPr="009D6DE6">
                  <w:t>55%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558020C0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137,159 </w:t>
                </w:r>
              </w:p>
            </w:tc>
          </w:tr>
          <w:tr w:rsidR="009D6DE6" w:rsidRPr="000964A9" w14:paraId="1275E490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9D6DE6" w:rsidRPr="000964A9" w:rsidRDefault="009D6DE6" w:rsidP="00432465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4790E50B" w:rsidR="009D6DE6" w:rsidRPr="000964A9" w:rsidRDefault="009D6DE6" w:rsidP="00432465">
                <w:pPr>
                  <w:spacing w:line="240" w:lineRule="auto"/>
                </w:pPr>
                <w:r w:rsidRPr="009D6DE6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2F753C4B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1,113,908 </w:t>
                </w:r>
              </w:p>
            </w:tc>
          </w:tr>
          <w:tr w:rsidR="009D6DE6" w:rsidRPr="000964A9" w14:paraId="59797F14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9D6DE6" w:rsidRPr="000964A9" w:rsidRDefault="009D6DE6" w:rsidP="00432465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7865307D" w:rsidR="009D6DE6" w:rsidRPr="000964A9" w:rsidRDefault="009D6DE6" w:rsidP="00432465">
                <w:pPr>
                  <w:spacing w:line="240" w:lineRule="auto"/>
                </w:pPr>
                <w:r w:rsidRPr="009D6DE6">
                  <w:t>78%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3F96DB38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1,516,636 </w:t>
                </w:r>
              </w:p>
            </w:tc>
          </w:tr>
          <w:tr w:rsidR="009D6DE6" w:rsidRPr="000964A9" w14:paraId="4308A78C" w14:textId="77777777" w:rsidTr="00432465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9D6DE6" w:rsidRPr="000964A9" w:rsidRDefault="009D6DE6" w:rsidP="00432465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657A8878" w:rsidR="009D6DE6" w:rsidRPr="000964A9" w:rsidRDefault="009D6DE6" w:rsidP="00432465">
                <w:pPr>
                  <w:spacing w:line="240" w:lineRule="auto"/>
                </w:pPr>
                <w:r w:rsidRPr="009D6DE6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1964C23F" w:rsidR="009D6DE6" w:rsidRPr="000964A9" w:rsidRDefault="009D6DE6" w:rsidP="00432465">
                <w:pPr>
                  <w:spacing w:line="240" w:lineRule="auto"/>
                </w:pPr>
                <w:r w:rsidRPr="009D6DE6">
                  <w:t xml:space="preserve">1,464,863 </w:t>
                </w:r>
              </w:p>
            </w:tc>
          </w:tr>
        </w:tbl>
        <w:p w14:paraId="0D93F57F" w14:textId="1EB4B3FD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095A46">
            <w:t>Malaysia</w:t>
          </w:r>
        </w:p>
        <w:p w14:paraId="003DD26C" w14:textId="2F50EA3A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95240C" w:rsidRPr="000964A9">
            <w:t>3</w:t>
          </w:r>
          <w:r w:rsidR="00C830AA">
            <w:t>02</w:t>
          </w:r>
          <w:r w:rsidR="006A2C38" w:rsidRPr="000964A9">
            <w:t>,</w:t>
          </w:r>
          <w:r w:rsidR="00C830AA">
            <w:t>390</w:t>
          </w:r>
        </w:p>
        <w:p w14:paraId="5EBE1F12" w14:textId="4BD6A655" w:rsidR="004970E0" w:rsidRPr="000964A9" w:rsidRDefault="002841D6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Malaysian</w:t>
          </w:r>
          <w:r w:rsidR="004970E0" w:rsidRPr="000964A9">
            <w:t xml:space="preserve"> residents coming into Australia: </w:t>
          </w:r>
          <w:r w:rsidR="00C830AA">
            <w:t>213</w:t>
          </w:r>
          <w:r w:rsidR="006A2C38" w:rsidRPr="000964A9">
            <w:t>,</w:t>
          </w:r>
          <w:r w:rsidR="00C830AA">
            <w:t>680</w:t>
          </w:r>
        </w:p>
        <w:p w14:paraId="3EBAEB54" w14:textId="3638C045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</w:t>
          </w:r>
          <w:r w:rsidR="00C830AA">
            <w:t>88</w:t>
          </w:r>
          <w:r w:rsidR="00BB4E5F" w:rsidRPr="000964A9">
            <w:t>,</w:t>
          </w:r>
          <w:r w:rsidR="00C830AA">
            <w:t>710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08B4"/>
    <w:rsid w:val="000144BE"/>
    <w:rsid w:val="00015F40"/>
    <w:rsid w:val="0002743F"/>
    <w:rsid w:val="00032898"/>
    <w:rsid w:val="00040EAC"/>
    <w:rsid w:val="000464FD"/>
    <w:rsid w:val="0004656A"/>
    <w:rsid w:val="00095A46"/>
    <w:rsid w:val="000964A9"/>
    <w:rsid w:val="000B29E7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36806"/>
    <w:rsid w:val="00142FB8"/>
    <w:rsid w:val="00147D40"/>
    <w:rsid w:val="0015059B"/>
    <w:rsid w:val="0015714A"/>
    <w:rsid w:val="00160CE6"/>
    <w:rsid w:val="00164B77"/>
    <w:rsid w:val="00183881"/>
    <w:rsid w:val="001863B1"/>
    <w:rsid w:val="00190CBA"/>
    <w:rsid w:val="00195285"/>
    <w:rsid w:val="001B0BDD"/>
    <w:rsid w:val="001B0F22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41D6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1266D"/>
    <w:rsid w:val="00321E47"/>
    <w:rsid w:val="00326B31"/>
    <w:rsid w:val="00334D1D"/>
    <w:rsid w:val="00346408"/>
    <w:rsid w:val="003513F9"/>
    <w:rsid w:val="00374AC2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2465"/>
    <w:rsid w:val="0043327B"/>
    <w:rsid w:val="004427BA"/>
    <w:rsid w:val="0044314A"/>
    <w:rsid w:val="00444376"/>
    <w:rsid w:val="00447912"/>
    <w:rsid w:val="0045192E"/>
    <w:rsid w:val="0045276E"/>
    <w:rsid w:val="004566A4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C476F"/>
    <w:rsid w:val="005D05B4"/>
    <w:rsid w:val="005D3E5E"/>
    <w:rsid w:val="005E3B18"/>
    <w:rsid w:val="005E66BC"/>
    <w:rsid w:val="005F06FD"/>
    <w:rsid w:val="006017D1"/>
    <w:rsid w:val="00615A26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8F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14860"/>
    <w:rsid w:val="00730E31"/>
    <w:rsid w:val="00741836"/>
    <w:rsid w:val="0074216D"/>
    <w:rsid w:val="00745429"/>
    <w:rsid w:val="00750E7C"/>
    <w:rsid w:val="007514FC"/>
    <w:rsid w:val="00755346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6DE6"/>
    <w:rsid w:val="009D70B3"/>
    <w:rsid w:val="009D79DC"/>
    <w:rsid w:val="009E1D4B"/>
    <w:rsid w:val="009E6DB3"/>
    <w:rsid w:val="009F1E8A"/>
    <w:rsid w:val="00A00806"/>
    <w:rsid w:val="00A01C07"/>
    <w:rsid w:val="00A25EA8"/>
    <w:rsid w:val="00A46D3B"/>
    <w:rsid w:val="00A47887"/>
    <w:rsid w:val="00A60860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146AC"/>
    <w:rsid w:val="00B31B07"/>
    <w:rsid w:val="00B44505"/>
    <w:rsid w:val="00B4474F"/>
    <w:rsid w:val="00B45D18"/>
    <w:rsid w:val="00B54801"/>
    <w:rsid w:val="00B55852"/>
    <w:rsid w:val="00B55F4C"/>
    <w:rsid w:val="00B70125"/>
    <w:rsid w:val="00B81D0C"/>
    <w:rsid w:val="00B82DD1"/>
    <w:rsid w:val="00B85748"/>
    <w:rsid w:val="00B92220"/>
    <w:rsid w:val="00B9226E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06E1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660B"/>
    <w:rsid w:val="00C5088E"/>
    <w:rsid w:val="00C55748"/>
    <w:rsid w:val="00C77C4B"/>
    <w:rsid w:val="00C830AA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2338"/>
    <w:rsid w:val="00D76AE4"/>
    <w:rsid w:val="00D80EAB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2F6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http://www.w3.org/XML/1998/namespace"/>
    <ds:schemaRef ds:uri="http://purl.org/dc/elements/1.1/"/>
    <ds:schemaRef ds:uri="http://schemas.microsoft.com/office/2006/metadata/properties"/>
    <ds:schemaRef ds:uri="84193d32-96af-42bb-9a8d-e389b6b013dc"/>
    <ds:schemaRef ds:uri="932d29ee-28c9-41bc-b9e4-7f2eba331d28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11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36</cp:revision>
  <dcterms:created xsi:type="dcterms:W3CDTF">2026-03-31T22:50:00Z</dcterms:created>
  <dcterms:modified xsi:type="dcterms:W3CDTF">2026-04-02T02:38:00Z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