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drawings/drawing1.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CD200" w14:textId="263C79CB" w:rsidR="00D00EE0" w:rsidRPr="00121691" w:rsidRDefault="0010593E" w:rsidP="00D00EE0">
      <w:pPr>
        <w:pStyle w:val="Spacer-cover"/>
      </w:pPr>
      <w:r w:rsidRPr="00121691">
        <w:rPr>
          <w:noProof/>
          <w:lang w:eastAsia="en-AU"/>
        </w:rPr>
        <w:drawing>
          <wp:anchor distT="0" distB="0" distL="114300" distR="114300" simplePos="0" relativeHeight="251660288" behindDoc="1" locked="1" layoutInCell="1" allowOverlap="1" wp14:anchorId="39904319" wp14:editId="5AE97843">
            <wp:simplePos x="0" y="0"/>
            <wp:positionH relativeFrom="margin">
              <wp:posOffset>-120015</wp:posOffset>
            </wp:positionH>
            <wp:positionV relativeFrom="margin">
              <wp:posOffset>-246380</wp:posOffset>
            </wp:positionV>
            <wp:extent cx="3230245" cy="1068705"/>
            <wp:effectExtent l="0" t="0" r="0" b="0"/>
            <wp:wrapNone/>
            <wp:docPr id="1" name="Graphic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9">
                      <a:extLst>
                        <a:ext uri="{C183D7F6-B498-43B3-948B-1728B52AA6E4}">
                          <adec:decorative xmlns:adec="http://schemas.microsoft.com/office/drawing/2017/decorative" val="1"/>
                        </a:ext>
                      </a:extLst>
                    </pic:cNvPr>
                    <pic:cNvPicPr/>
                  </pic:nvPicPr>
                  <pic:blipFill>
                    <a:blip r:embed="rId13"/>
                    <a:stretch>
                      <a:fillRect/>
                    </a:stretch>
                  </pic:blipFill>
                  <pic:spPr>
                    <a:xfrm>
                      <a:off x="0" y="0"/>
                      <a:ext cx="3230245" cy="1068705"/>
                    </a:xfrm>
                    <a:prstGeom prst="rect">
                      <a:avLst/>
                    </a:prstGeom>
                  </pic:spPr>
                </pic:pic>
              </a:graphicData>
            </a:graphic>
            <wp14:sizeRelH relativeFrom="margin">
              <wp14:pctWidth>0</wp14:pctWidth>
            </wp14:sizeRelH>
            <wp14:sizeRelV relativeFrom="margin">
              <wp14:pctHeight>0</wp14:pctHeight>
            </wp14:sizeRelV>
          </wp:anchor>
        </w:drawing>
      </w:r>
      <w:r w:rsidR="00D00EE0" w:rsidRPr="00121691">
        <w:rPr>
          <w:noProof/>
          <w:lang w:eastAsia="en-AU"/>
        </w:rPr>
        <w:drawing>
          <wp:anchor distT="0" distB="0" distL="114300" distR="114300" simplePos="0" relativeHeight="251663360" behindDoc="1" locked="1" layoutInCell="1" allowOverlap="1" wp14:anchorId="4A3FF61E" wp14:editId="49B78805">
            <wp:simplePos x="0" y="0"/>
            <wp:positionH relativeFrom="page">
              <wp:posOffset>472440</wp:posOffset>
            </wp:positionH>
            <wp:positionV relativeFrom="page">
              <wp:posOffset>467360</wp:posOffset>
            </wp:positionV>
            <wp:extent cx="3178175" cy="503555"/>
            <wp:effectExtent l="0" t="0" r="3175" b="0"/>
            <wp:wrapNone/>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_ATIC_Asset 2.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3178175" cy="503555"/>
                    </a:xfrm>
                    <a:prstGeom prst="rect">
                      <a:avLst/>
                    </a:prstGeom>
                  </pic:spPr>
                </pic:pic>
              </a:graphicData>
            </a:graphic>
            <wp14:sizeRelH relativeFrom="margin">
              <wp14:pctWidth>0</wp14:pctWidth>
            </wp14:sizeRelH>
            <wp14:sizeRelV relativeFrom="margin">
              <wp14:pctHeight>0</wp14:pctHeight>
            </wp14:sizeRelV>
          </wp:anchor>
        </w:drawing>
      </w:r>
      <w:r w:rsidR="00D00EE0" w:rsidRPr="00121691">
        <w:rPr>
          <w:noProof/>
          <w:lang w:eastAsia="en-AU"/>
        </w:rPr>
        <w:drawing>
          <wp:anchor distT="0" distB="0" distL="114300" distR="114300" simplePos="0" relativeHeight="251662336" behindDoc="1" locked="1" layoutInCell="1" allowOverlap="1" wp14:anchorId="11E0A7E5" wp14:editId="43D452C6">
            <wp:simplePos x="0" y="0"/>
            <wp:positionH relativeFrom="page">
              <wp:posOffset>-103505</wp:posOffset>
            </wp:positionH>
            <wp:positionV relativeFrom="page">
              <wp:posOffset>8255</wp:posOffset>
            </wp:positionV>
            <wp:extent cx="7667625" cy="2682240"/>
            <wp:effectExtent l="0" t="0" r="9525" b="3810"/>
            <wp:wrapNone/>
            <wp:docPr id="6" name="Graphic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a:extLst>
                        <a:ext uri="{C183D7F6-B498-43B3-948B-1728B52AA6E4}">
                          <adec:decorative xmlns:adec="http://schemas.microsoft.com/office/drawing/2017/decorative" val="1"/>
                        </a:ext>
                      </a:extLst>
                    </pic:cNvPr>
                    <pic:cNvPicPr/>
                  </pic:nvPicPr>
                  <pic:blipFill>
                    <a:blip r:embed="rId16" cstate="print">
                      <a:extLst>
                        <a:ext uri="{28A0092B-C50C-407E-A947-70E740481C1C}">
                          <a14:useLocalDpi xmlns:a14="http://schemas.microsoft.com/office/drawing/2010/main" val="0"/>
                        </a:ext>
                      </a:extLst>
                    </a:blip>
                    <a:stretch>
                      <a:fillRect/>
                    </a:stretch>
                  </pic:blipFill>
                  <pic:spPr>
                    <a:xfrm>
                      <a:off x="0" y="0"/>
                      <a:ext cx="7667625" cy="2682240"/>
                    </a:xfrm>
                    <a:prstGeom prst="rect">
                      <a:avLst/>
                    </a:prstGeom>
                  </pic:spPr>
                </pic:pic>
              </a:graphicData>
            </a:graphic>
            <wp14:sizeRelH relativeFrom="margin">
              <wp14:pctWidth>0</wp14:pctWidth>
            </wp14:sizeRelH>
            <wp14:sizeRelV relativeFrom="margin">
              <wp14:pctHeight>0</wp14:pctHeight>
            </wp14:sizeRelV>
          </wp:anchor>
        </w:drawing>
      </w:r>
      <w:r w:rsidR="00931202" w:rsidRPr="00121691">
        <w:t xml:space="preserve">Know </w:t>
      </w:r>
    </w:p>
    <w:p w14:paraId="0FA159CE" w14:textId="766AFAA4" w:rsidR="00D00EE0" w:rsidRPr="00121691" w:rsidRDefault="00C11F15" w:rsidP="00223B43">
      <w:pPr>
        <w:pStyle w:val="Title"/>
        <w:rPr>
          <w:sz w:val="36"/>
          <w:szCs w:val="36"/>
        </w:rPr>
      </w:pPr>
      <w:r>
        <w:rPr>
          <w:sz w:val="36"/>
          <w:szCs w:val="36"/>
        </w:rPr>
        <w:t xml:space="preserve">DOMESTIC TOURISM STATISTICS </w:t>
      </w:r>
      <w:r w:rsidR="00E2779A" w:rsidRPr="00121691">
        <w:rPr>
          <w:sz w:val="36"/>
          <w:szCs w:val="36"/>
        </w:rPr>
        <w:t xml:space="preserve">RESULTS </w:t>
      </w:r>
    </w:p>
    <w:p w14:paraId="16A51BAA" w14:textId="67F2AB56" w:rsidR="00B96FF7" w:rsidRPr="00121691" w:rsidRDefault="002A6A70" w:rsidP="00223B43">
      <w:pPr>
        <w:pStyle w:val="Title"/>
        <w:rPr>
          <w:sz w:val="36"/>
          <w:szCs w:val="36"/>
        </w:rPr>
      </w:pPr>
      <w:r w:rsidRPr="00121691">
        <w:rPr>
          <w:noProof/>
          <w:sz w:val="36"/>
          <w:szCs w:val="36"/>
        </w:rPr>
        <w:drawing>
          <wp:anchor distT="0" distB="0" distL="114300" distR="114300" simplePos="0" relativeHeight="251664384" behindDoc="1" locked="0" layoutInCell="1" allowOverlap="1" wp14:anchorId="0567F52E" wp14:editId="06F6C446">
            <wp:simplePos x="0" y="0"/>
            <wp:positionH relativeFrom="margin">
              <wp:posOffset>-448574</wp:posOffset>
            </wp:positionH>
            <wp:positionV relativeFrom="paragraph">
              <wp:posOffset>189602</wp:posOffset>
            </wp:positionV>
            <wp:extent cx="8145035" cy="863612"/>
            <wp:effectExtent l="0" t="0" r="8890" b="0"/>
            <wp:wrapNone/>
            <wp:docPr id="14"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pic:nvPicPr>
                  <pic:blipFill>
                    <a:blip r:embed="rId17"/>
                    <a:stretch>
                      <a:fillRect/>
                    </a:stretch>
                  </pic:blipFill>
                  <pic:spPr>
                    <a:xfrm>
                      <a:off x="0" y="0"/>
                      <a:ext cx="8159571" cy="865153"/>
                    </a:xfrm>
                    <a:prstGeom prst="rect">
                      <a:avLst/>
                    </a:prstGeom>
                  </pic:spPr>
                </pic:pic>
              </a:graphicData>
            </a:graphic>
            <wp14:sizeRelH relativeFrom="margin">
              <wp14:pctWidth>0</wp14:pctWidth>
            </wp14:sizeRelH>
            <wp14:sizeRelV relativeFrom="margin">
              <wp14:pctHeight>0</wp14:pctHeight>
            </wp14:sizeRelV>
          </wp:anchor>
        </w:drawing>
      </w:r>
      <w:r w:rsidR="00DC2C31">
        <w:rPr>
          <w:noProof/>
          <w:sz w:val="36"/>
          <w:szCs w:val="36"/>
        </w:rPr>
        <w:t>SEPTEMBER</w:t>
      </w:r>
      <w:r w:rsidR="008E7477">
        <w:rPr>
          <w:noProof/>
          <w:sz w:val="36"/>
          <w:szCs w:val="36"/>
        </w:rPr>
        <w:t xml:space="preserve"> QUARTER 202</w:t>
      </w:r>
      <w:r w:rsidR="00C11F15">
        <w:rPr>
          <w:noProof/>
          <w:sz w:val="36"/>
          <w:szCs w:val="36"/>
        </w:rPr>
        <w:t>5</w:t>
      </w:r>
    </w:p>
    <w:p w14:paraId="41AFFF9B" w14:textId="21468C09" w:rsidR="002A6A70" w:rsidRPr="00121691" w:rsidRDefault="002A6A70" w:rsidP="002A6A70"/>
    <w:p w14:paraId="736744A6" w14:textId="6AD6DC1C" w:rsidR="00165E47" w:rsidRPr="00121691" w:rsidRDefault="00165E47" w:rsidP="00572276">
      <w:pPr>
        <w:pStyle w:val="Heading2"/>
        <w:rPr>
          <w:sz w:val="2"/>
          <w:szCs w:val="2"/>
        </w:rPr>
      </w:pPr>
    </w:p>
    <w:p w14:paraId="5EE4B5F4" w14:textId="40BE2A4B" w:rsidR="002A6A70" w:rsidRPr="00121691" w:rsidRDefault="002A6A70" w:rsidP="002A6A70"/>
    <w:p w14:paraId="5A376ED0" w14:textId="385AD42C" w:rsidR="00563FEE" w:rsidRDefault="00AB6345" w:rsidP="00F70FFC">
      <w:pPr>
        <w:pStyle w:val="Heading2"/>
        <w:spacing w:before="0"/>
        <w:rPr>
          <w:noProof/>
        </w:rPr>
      </w:pPr>
      <w:r>
        <w:t>September</w:t>
      </w:r>
      <w:r w:rsidR="008E7477">
        <w:t xml:space="preserve"> quarter 202</w:t>
      </w:r>
      <w:r w:rsidR="00203A05">
        <w:t>5</w:t>
      </w:r>
      <w:r w:rsidR="001F48F9">
        <w:t>*</w:t>
      </w:r>
      <w:r w:rsidR="00F70FFC" w:rsidRPr="00F70FFC">
        <w:rPr>
          <w:noProof/>
        </w:rPr>
        <w:t xml:space="preserve"> </w:t>
      </w:r>
    </w:p>
    <w:p w14:paraId="79909955" w14:textId="775D886A" w:rsidR="00584BF4" w:rsidRPr="00121691" w:rsidRDefault="00AB6345" w:rsidP="00F70FFC">
      <w:pPr>
        <w:pStyle w:val="Heading2"/>
        <w:spacing w:before="0"/>
      </w:pPr>
      <w:r>
        <w:rPr>
          <w:noProof/>
        </w:rPr>
        <w:drawing>
          <wp:inline distT="0" distB="0" distL="0" distR="0" wp14:anchorId="5A4747A3" wp14:editId="0FF47DCC">
            <wp:extent cx="6645910" cy="716915"/>
            <wp:effectExtent l="0" t="0" r="2540" b="6985"/>
            <wp:docPr id="248477151" name="Picture 1" descr="In the September quarter 2025, overnight spend was $25.4 billion, down 5% on the September quarter 2024. There were 27.0 million overnight trips, up 2% on the September quarter 2024, and 89.4 million nights away, on par with the September quarter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477151" name="Picture 1" descr="In the September quarter 2025, overnight spend was $25.4 billion, down 5% on the September quarter 2024. There were 27.0 million overnight trips, up 2% on the September quarter 2024, and 89.4 million nights away, on par with the September quarter 2024."/>
                    <pic:cNvPicPr/>
                  </pic:nvPicPr>
                  <pic:blipFill>
                    <a:blip r:embed="rId18"/>
                    <a:stretch>
                      <a:fillRect/>
                    </a:stretch>
                  </pic:blipFill>
                  <pic:spPr>
                    <a:xfrm>
                      <a:off x="0" y="0"/>
                      <a:ext cx="6645910" cy="716915"/>
                    </a:xfrm>
                    <a:prstGeom prst="rect">
                      <a:avLst/>
                    </a:prstGeom>
                  </pic:spPr>
                </pic:pic>
              </a:graphicData>
            </a:graphic>
          </wp:inline>
        </w:drawing>
      </w:r>
    </w:p>
    <w:p w14:paraId="300CD985" w14:textId="681810D2" w:rsidR="00B43476" w:rsidRPr="00121691" w:rsidRDefault="008E7477" w:rsidP="00B43476">
      <w:pPr>
        <w:pStyle w:val="Heading2"/>
        <w:spacing w:before="160"/>
      </w:pPr>
      <w:r>
        <w:t xml:space="preserve">Year ending </w:t>
      </w:r>
      <w:r w:rsidR="00AB6345">
        <w:t>September</w:t>
      </w:r>
      <w:r w:rsidR="00DF6D66">
        <w:t xml:space="preserve"> 2025</w:t>
      </w:r>
      <w:r w:rsidR="0078373F">
        <w:t>*</w:t>
      </w:r>
    </w:p>
    <w:p w14:paraId="71707554" w14:textId="4252165B" w:rsidR="00B72F01" w:rsidRPr="00121691" w:rsidRDefault="00AB6345" w:rsidP="00B43476">
      <w:r>
        <w:rPr>
          <w:noProof/>
        </w:rPr>
        <w:drawing>
          <wp:inline distT="0" distB="0" distL="0" distR="0" wp14:anchorId="6230804A" wp14:editId="2654416A">
            <wp:extent cx="6645910" cy="721995"/>
            <wp:effectExtent l="0" t="0" r="2540" b="1905"/>
            <wp:docPr id="75960000" name="Picture 1" descr="In the year ending September 2025, overnight spend was $107.5 billion, down 2% on the year ending September 2024. There were 113.0 million overnight trips, up 1% on the year ending September 2024, and 379.9 million nights away, down 1% on the year ending September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960000" name="Picture 1" descr="In the year ending September 2025, overnight spend was $107.5 billion, down 2% on the year ending September 2024. There were 113.0 million overnight trips, up 1% on the year ending September 2024, and 379.9 million nights away, down 1% on the year ending September 2024."/>
                    <pic:cNvPicPr/>
                  </pic:nvPicPr>
                  <pic:blipFill>
                    <a:blip r:embed="rId19"/>
                    <a:stretch>
                      <a:fillRect/>
                    </a:stretch>
                  </pic:blipFill>
                  <pic:spPr>
                    <a:xfrm>
                      <a:off x="0" y="0"/>
                      <a:ext cx="6645910" cy="721995"/>
                    </a:xfrm>
                    <a:prstGeom prst="rect">
                      <a:avLst/>
                    </a:prstGeom>
                  </pic:spPr>
                </pic:pic>
              </a:graphicData>
            </a:graphic>
          </wp:inline>
        </w:drawing>
      </w:r>
    </w:p>
    <w:p w14:paraId="0D0D9D18" w14:textId="0DECC36D" w:rsidR="003F07B9" w:rsidRPr="00121691" w:rsidRDefault="004605E3" w:rsidP="00151590">
      <w:pPr>
        <w:pStyle w:val="Heading2"/>
        <w:spacing w:before="120" w:after="120"/>
      </w:pPr>
      <w:r w:rsidRPr="00121691">
        <w:t>D</w:t>
      </w:r>
      <w:r w:rsidR="00C30801" w:rsidRPr="00121691">
        <w:t xml:space="preserve">omestic </w:t>
      </w:r>
      <w:r w:rsidR="00C30801" w:rsidRPr="00023AF0">
        <w:t>tourism</w:t>
      </w:r>
      <w:r w:rsidRPr="00023AF0">
        <w:t xml:space="preserve"> </w:t>
      </w:r>
      <w:r w:rsidR="00BF3F1E" w:rsidRPr="00023AF0">
        <w:t xml:space="preserve">results </w:t>
      </w:r>
      <w:r w:rsidR="00EF6E23">
        <w:t xml:space="preserve">remain </w:t>
      </w:r>
      <w:r w:rsidR="00EB7605">
        <w:t>stable</w:t>
      </w:r>
      <w:r w:rsidR="008832A3">
        <w:t>*</w:t>
      </w:r>
      <w:r w:rsidRPr="00121691">
        <w:t xml:space="preserve"> </w:t>
      </w:r>
    </w:p>
    <w:p w14:paraId="545CAC50" w14:textId="07EE237F" w:rsidR="008C41A8" w:rsidRDefault="00166AA8" w:rsidP="00247F45">
      <w:pPr>
        <w:rPr>
          <w:rFonts w:cs="Times New Roman"/>
        </w:rPr>
      </w:pPr>
      <w:bookmarkStart w:id="0" w:name="_Hlk161060535"/>
      <w:bookmarkStart w:id="1" w:name="_Hlk152855620"/>
      <w:r>
        <w:rPr>
          <w:rFonts w:cs="Times New Roman"/>
        </w:rPr>
        <w:t>D</w:t>
      </w:r>
      <w:r w:rsidR="00816870" w:rsidRPr="00166AA8">
        <w:rPr>
          <w:rFonts w:cs="Times New Roman"/>
        </w:rPr>
        <w:t>omestic</w:t>
      </w:r>
      <w:r w:rsidR="008C41A8">
        <w:rPr>
          <w:rFonts w:cs="Times New Roman"/>
        </w:rPr>
        <w:t xml:space="preserve"> tourism results show a small increase in overnight trips but lower spend when compared with the same period last year. Overnight spend was down by 5%, overnight trips were up by 2% and nights away were on par. This continues the trend observed in recent quarters of Australians continuing to travel domestically but continuing to remain cautious with their spending.</w:t>
      </w:r>
    </w:p>
    <w:bookmarkEnd w:id="0"/>
    <w:p w14:paraId="47B33B82" w14:textId="491E633F" w:rsidR="002F6E49" w:rsidRPr="00121691" w:rsidRDefault="00DF3151" w:rsidP="00787DB8">
      <w:pPr>
        <w:rPr>
          <w:rFonts w:cs="Times New Roman"/>
        </w:rPr>
      </w:pPr>
      <w:r w:rsidRPr="00166AA8">
        <w:rPr>
          <w:rFonts w:cs="Times New Roman"/>
        </w:rPr>
        <w:t xml:space="preserve">The </w:t>
      </w:r>
      <w:r w:rsidR="00415C0C">
        <w:rPr>
          <w:rFonts w:cs="Times New Roman"/>
        </w:rPr>
        <w:t>y</w:t>
      </w:r>
      <w:r w:rsidR="008E7477" w:rsidRPr="00166AA8">
        <w:rPr>
          <w:rFonts w:cs="Times New Roman"/>
        </w:rPr>
        <w:t xml:space="preserve">ear ending </w:t>
      </w:r>
      <w:r w:rsidR="004364A4">
        <w:rPr>
          <w:rFonts w:cs="Times New Roman"/>
        </w:rPr>
        <w:t>September</w:t>
      </w:r>
      <w:r w:rsidR="008E7477" w:rsidRPr="00166AA8">
        <w:rPr>
          <w:rFonts w:cs="Times New Roman"/>
        </w:rPr>
        <w:t xml:space="preserve"> 202</w:t>
      </w:r>
      <w:r w:rsidR="00415C0C">
        <w:rPr>
          <w:rFonts w:cs="Times New Roman"/>
        </w:rPr>
        <w:t>5</w:t>
      </w:r>
      <w:r w:rsidRPr="00166AA8">
        <w:rPr>
          <w:rFonts w:cs="Times New Roman"/>
        </w:rPr>
        <w:t xml:space="preserve"> </w:t>
      </w:r>
      <w:r w:rsidR="007E5BCF">
        <w:rPr>
          <w:rFonts w:cs="Times New Roman"/>
        </w:rPr>
        <w:t xml:space="preserve">results </w:t>
      </w:r>
      <w:r w:rsidR="003D7643">
        <w:rPr>
          <w:rFonts w:cs="Times New Roman"/>
        </w:rPr>
        <w:t>remained</w:t>
      </w:r>
      <w:r w:rsidR="00CE7012">
        <w:rPr>
          <w:rFonts w:cs="Times New Roman"/>
        </w:rPr>
        <w:t xml:space="preserve"> relatively</w:t>
      </w:r>
      <w:r w:rsidR="003D7643">
        <w:rPr>
          <w:rFonts w:cs="Times New Roman"/>
        </w:rPr>
        <w:t xml:space="preserve"> stable</w:t>
      </w:r>
      <w:r w:rsidR="00EB7605">
        <w:rPr>
          <w:rFonts w:cs="Times New Roman"/>
        </w:rPr>
        <w:t xml:space="preserve"> compared </w:t>
      </w:r>
      <w:r w:rsidR="003D7643">
        <w:rPr>
          <w:rFonts w:cs="Times New Roman"/>
        </w:rPr>
        <w:t>with</w:t>
      </w:r>
      <w:r w:rsidR="00EB7605">
        <w:rPr>
          <w:rFonts w:cs="Times New Roman"/>
        </w:rPr>
        <w:t xml:space="preserve"> the year ending </w:t>
      </w:r>
      <w:r w:rsidR="003D7643">
        <w:rPr>
          <w:rFonts w:cs="Times New Roman"/>
        </w:rPr>
        <w:t>September</w:t>
      </w:r>
      <w:r w:rsidR="00EB7605">
        <w:rPr>
          <w:rFonts w:cs="Times New Roman"/>
        </w:rPr>
        <w:t xml:space="preserve"> 202</w:t>
      </w:r>
      <w:r w:rsidR="00132E0E">
        <w:rPr>
          <w:rFonts w:cs="Times New Roman"/>
        </w:rPr>
        <w:t>4</w:t>
      </w:r>
      <w:r w:rsidR="001C12FD" w:rsidRPr="00166AA8">
        <w:rPr>
          <w:rFonts w:cs="Times New Roman"/>
        </w:rPr>
        <w:t>.</w:t>
      </w:r>
      <w:r w:rsidRPr="00166AA8">
        <w:rPr>
          <w:rFonts w:cs="Times New Roman"/>
        </w:rPr>
        <w:t xml:space="preserve"> </w:t>
      </w:r>
      <w:r w:rsidR="003D7643">
        <w:rPr>
          <w:rFonts w:cs="Times New Roman"/>
        </w:rPr>
        <w:t>Overnight spend was down by 2%</w:t>
      </w:r>
      <w:r w:rsidR="00D42E91">
        <w:rPr>
          <w:rFonts w:cs="Times New Roman"/>
        </w:rPr>
        <w:t>,</w:t>
      </w:r>
      <w:r w:rsidR="003D7643">
        <w:rPr>
          <w:rFonts w:cs="Times New Roman"/>
        </w:rPr>
        <w:t xml:space="preserve"> overnight trips were up by 1%</w:t>
      </w:r>
      <w:r w:rsidRPr="00166AA8">
        <w:rPr>
          <w:rFonts w:cs="Times New Roman"/>
        </w:rPr>
        <w:t xml:space="preserve"> and nights </w:t>
      </w:r>
      <w:r w:rsidR="001C12FD" w:rsidRPr="00166AA8">
        <w:rPr>
          <w:rFonts w:cs="Times New Roman"/>
        </w:rPr>
        <w:t xml:space="preserve">were </w:t>
      </w:r>
      <w:r w:rsidR="00A606A6" w:rsidRPr="00EF4D75">
        <w:rPr>
          <w:rFonts w:cs="Times New Roman"/>
        </w:rPr>
        <w:t>down</w:t>
      </w:r>
      <w:r w:rsidR="0052491E">
        <w:rPr>
          <w:rFonts w:cs="Times New Roman"/>
        </w:rPr>
        <w:t xml:space="preserve"> by</w:t>
      </w:r>
      <w:r w:rsidRPr="00EF4D75">
        <w:rPr>
          <w:rFonts w:cs="Times New Roman"/>
        </w:rPr>
        <w:t xml:space="preserve"> </w:t>
      </w:r>
      <w:r w:rsidR="003D7643">
        <w:rPr>
          <w:rFonts w:cs="Times New Roman"/>
        </w:rPr>
        <w:t>1</w:t>
      </w:r>
      <w:r w:rsidRPr="00EF4D75">
        <w:rPr>
          <w:rFonts w:cs="Times New Roman"/>
        </w:rPr>
        <w:t>%.</w:t>
      </w:r>
      <w:bookmarkStart w:id="2" w:name="_Hlk161058852"/>
      <w:r w:rsidR="0078356C" w:rsidRPr="00EF4D75">
        <w:rPr>
          <w:rFonts w:cs="Times New Roman"/>
        </w:rPr>
        <w:t xml:space="preserve"> </w:t>
      </w:r>
    </w:p>
    <w:bookmarkEnd w:id="1"/>
    <w:bookmarkEnd w:id="2"/>
    <w:p w14:paraId="66CC1882" w14:textId="35828BE7" w:rsidR="000D05DA" w:rsidRDefault="00055731" w:rsidP="00A91B92">
      <w:pPr>
        <w:rPr>
          <w:b/>
          <w:bCs/>
        </w:rPr>
      </w:pPr>
      <w:r w:rsidRPr="00166AA8">
        <w:rPr>
          <w:b/>
          <w:bCs/>
        </w:rPr>
        <w:t xml:space="preserve">Figure 1. Percent change </w:t>
      </w:r>
      <w:r w:rsidR="008805E0" w:rsidRPr="00166AA8">
        <w:rPr>
          <w:b/>
          <w:bCs/>
        </w:rPr>
        <w:t xml:space="preserve">for spend, trips and nights </w:t>
      </w:r>
      <w:r w:rsidRPr="00166AA8">
        <w:rPr>
          <w:b/>
          <w:bCs/>
        </w:rPr>
        <w:t xml:space="preserve">compared </w:t>
      </w:r>
      <w:r w:rsidR="00C51C80">
        <w:rPr>
          <w:b/>
          <w:bCs/>
        </w:rPr>
        <w:t xml:space="preserve">with </w:t>
      </w:r>
      <w:r w:rsidRPr="00166AA8">
        <w:rPr>
          <w:b/>
          <w:bCs/>
        </w:rPr>
        <w:t>the same period in the previous year</w:t>
      </w:r>
      <w:r w:rsidR="008805E0" w:rsidRPr="00166AA8">
        <w:rPr>
          <w:b/>
          <w:bCs/>
        </w:rPr>
        <w:t xml:space="preserve">, </w:t>
      </w:r>
      <w:r w:rsidR="00002999">
        <w:rPr>
          <w:b/>
          <w:bCs/>
        </w:rPr>
        <w:t>December</w:t>
      </w:r>
      <w:r w:rsidR="00A762C9" w:rsidRPr="00166AA8">
        <w:rPr>
          <w:b/>
          <w:bCs/>
        </w:rPr>
        <w:t xml:space="preserve"> </w:t>
      </w:r>
      <w:r w:rsidR="008805E0" w:rsidRPr="00166AA8">
        <w:rPr>
          <w:b/>
          <w:bCs/>
        </w:rPr>
        <w:t>quarter 202</w:t>
      </w:r>
      <w:r w:rsidR="00D45C5A">
        <w:rPr>
          <w:b/>
          <w:bCs/>
        </w:rPr>
        <w:t>4</w:t>
      </w:r>
      <w:r w:rsidR="008805E0" w:rsidRPr="00166AA8">
        <w:rPr>
          <w:b/>
          <w:bCs/>
        </w:rPr>
        <w:t xml:space="preserve"> to</w:t>
      </w:r>
      <w:r w:rsidR="008E7477" w:rsidRPr="00166AA8">
        <w:rPr>
          <w:b/>
          <w:bCs/>
        </w:rPr>
        <w:t xml:space="preserve"> </w:t>
      </w:r>
      <w:r w:rsidR="00FF693A">
        <w:rPr>
          <w:b/>
          <w:bCs/>
        </w:rPr>
        <w:t xml:space="preserve">September </w:t>
      </w:r>
      <w:r w:rsidR="008E7477" w:rsidRPr="00166AA8">
        <w:rPr>
          <w:b/>
          <w:bCs/>
        </w:rPr>
        <w:t>quarter 202</w:t>
      </w:r>
      <w:r w:rsidR="00FE0318">
        <w:rPr>
          <w:b/>
          <w:bCs/>
        </w:rPr>
        <w:t>5</w:t>
      </w:r>
    </w:p>
    <w:p w14:paraId="150B1FFD" w14:textId="7792ACDE" w:rsidR="00166AA8" w:rsidRDefault="00002999" w:rsidP="00166AA8">
      <w:pPr>
        <w:jc w:val="center"/>
        <w:rPr>
          <w:b/>
          <w:bCs/>
        </w:rPr>
      </w:pPr>
      <w:r>
        <w:rPr>
          <w:noProof/>
        </w:rPr>
        <w:drawing>
          <wp:inline distT="0" distB="0" distL="0" distR="0" wp14:anchorId="50FEA773" wp14:editId="51354BD3">
            <wp:extent cx="6645910" cy="2124075"/>
            <wp:effectExtent l="0" t="0" r="2540" b="0"/>
            <wp:docPr id="632379313" name="Chart 1" descr="Figure 1 shows the percent change for spend, trips and nights compared the same period in the previous year, for the December quarter 2024 to the September quarter 2025.&#10;Compared to the same period in the previous year, spend in:&#10;• the December quarter 2024 was down by 2%&#10;• the March quarter 2025 was on par &#10;•the June quarter 2025 was down on par&#10;• the September quarter 2025 was down by 5%&#10;&#10;Compared to the same period in the previous year, overnight trips in:&#10;• the December quarter 2024 was up by 1%&#10;• the March quarter 2025 was down by 2%&#10;• the June quarter 2025 was up by 2%&#10;• the September quarter 2025 was up by 2%&#10;&#10;Compared to the same period in the previous year, nights away in:&#10;• the December quarter 2024 was down by 2%&#10;• the March quarter 2024 was down by 4%&#10;• the June quarter 2025 was up by 2%&#10;• the September quarter 2025 was on par.">
              <a:extLst xmlns:a="http://schemas.openxmlformats.org/drawingml/2006/main">
                <a:ext uri="{FF2B5EF4-FFF2-40B4-BE49-F238E27FC236}">
                  <a16:creationId xmlns:a16="http://schemas.microsoft.com/office/drawing/2014/main" id="{96B73210-0938-85B9-8BAA-B63EDEFF2E9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7BF0CCF4" w14:textId="77777777" w:rsidR="00FE0318" w:rsidRDefault="00FE0318" w:rsidP="00A91B92">
      <w:r w:rsidRPr="00FE0318">
        <w:rPr>
          <w:sz w:val="16"/>
          <w:szCs w:val="16"/>
        </w:rPr>
        <w:t>*</w:t>
      </w:r>
      <w:r w:rsidR="00EC64B0" w:rsidRPr="00EC64B0">
        <w:rPr>
          <w:i/>
          <w:iCs/>
          <w:sz w:val="16"/>
          <w:szCs w:val="16"/>
        </w:rPr>
        <w:t xml:space="preserve">Results prior to 2025 are </w:t>
      </w:r>
      <w:proofErr w:type="spellStart"/>
      <w:r w:rsidR="00EC64B0" w:rsidRPr="00EC64B0">
        <w:rPr>
          <w:i/>
          <w:iCs/>
          <w:sz w:val="16"/>
          <w:szCs w:val="16"/>
        </w:rPr>
        <w:t>backcast</w:t>
      </w:r>
      <w:proofErr w:type="spellEnd"/>
      <w:r w:rsidR="00EC64B0" w:rsidRPr="00EC64B0">
        <w:rPr>
          <w:i/>
          <w:iCs/>
          <w:sz w:val="16"/>
          <w:szCs w:val="16"/>
        </w:rPr>
        <w:t xml:space="preserve"> and adjusted to account for differences in methodology between the National Visitor Survey (NVS) and the new Domestic Tourism Statistics which came into effect January 2025. Due to data limitations and the complexity of measuring the differences in spend caused by the methodology changes, TRA recommends exercising caution when interpreting comparisons incorporating the use of </w:t>
      </w:r>
      <w:proofErr w:type="spellStart"/>
      <w:r w:rsidR="00EC64B0" w:rsidRPr="00EC64B0">
        <w:rPr>
          <w:i/>
          <w:iCs/>
          <w:sz w:val="16"/>
          <w:szCs w:val="16"/>
        </w:rPr>
        <w:t>backcast</w:t>
      </w:r>
      <w:proofErr w:type="spellEnd"/>
      <w:r w:rsidR="00EC64B0" w:rsidRPr="00EC64B0">
        <w:rPr>
          <w:i/>
          <w:iCs/>
          <w:sz w:val="16"/>
          <w:szCs w:val="16"/>
        </w:rPr>
        <w:t xml:space="preserve"> spend data.</w:t>
      </w:r>
      <w:r w:rsidR="00EC64B0" w:rsidRPr="007155E5">
        <w:rPr>
          <w:i/>
          <w:iCs/>
          <w:sz w:val="16"/>
          <w:szCs w:val="16"/>
        </w:rPr>
        <w:t xml:space="preserve"> </w:t>
      </w:r>
      <w:r w:rsidRPr="007155E5">
        <w:rPr>
          <w:i/>
          <w:iCs/>
          <w:sz w:val="16"/>
          <w:szCs w:val="16"/>
        </w:rPr>
        <w:t xml:space="preserve">For more information please visit: </w:t>
      </w:r>
      <w:hyperlink r:id="rId21" w:history="1">
        <w:r w:rsidRPr="007155E5">
          <w:rPr>
            <w:rStyle w:val="Hyperlink"/>
            <w:i/>
            <w:iCs/>
            <w:sz w:val="16"/>
            <w:szCs w:val="16"/>
          </w:rPr>
          <w:t>Changes to the Australian resident tourism statistics collection in 2025 | Tourism Research Australia</w:t>
        </w:r>
      </w:hyperlink>
    </w:p>
    <w:p w14:paraId="22352210" w14:textId="77777777" w:rsidR="009155F4" w:rsidRDefault="009155F4" w:rsidP="00A91B92"/>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0"/>
        <w:gridCol w:w="5466"/>
      </w:tblGrid>
      <w:tr w:rsidR="009155F4" w14:paraId="305CCA27" w14:textId="77777777" w:rsidTr="00303CB5">
        <w:tc>
          <w:tcPr>
            <w:tcW w:w="10466" w:type="dxa"/>
            <w:gridSpan w:val="2"/>
          </w:tcPr>
          <w:p w14:paraId="27959408" w14:textId="0818A7C4" w:rsidR="009155F4" w:rsidRPr="008B2638" w:rsidRDefault="00BA38A6" w:rsidP="009155F4">
            <w:pPr>
              <w:rPr>
                <w:b/>
                <w:bCs/>
                <w:color w:val="1E988A" w:themeColor="background2"/>
                <w:sz w:val="26"/>
                <w:szCs w:val="26"/>
              </w:rPr>
            </w:pPr>
            <w:r>
              <w:rPr>
                <w:b/>
                <w:bCs/>
                <w:color w:val="1E988A" w:themeColor="background2"/>
                <w:sz w:val="26"/>
                <w:szCs w:val="26"/>
              </w:rPr>
              <w:t>Holiday travel to regional Australia higher than capital cities</w:t>
            </w:r>
          </w:p>
        </w:tc>
      </w:tr>
      <w:tr w:rsidR="009155F4" w14:paraId="42B362CA" w14:textId="77777777" w:rsidTr="00303CB5">
        <w:tc>
          <w:tcPr>
            <w:tcW w:w="5720" w:type="dxa"/>
          </w:tcPr>
          <w:p w14:paraId="1FCE80A2" w14:textId="77777777" w:rsidR="00FF693A" w:rsidRDefault="00FF693A" w:rsidP="009155F4"/>
          <w:p w14:paraId="5A2B5603" w14:textId="7284FFD2" w:rsidR="009155F4" w:rsidRDefault="00BA38A6" w:rsidP="009155F4">
            <w:r>
              <w:t>Australians</w:t>
            </w:r>
            <w:r w:rsidR="00CE7012">
              <w:t xml:space="preserve"> are more likely to visit regional Australia for a holiday than travelling for other reasons. </w:t>
            </w:r>
            <w:r w:rsidR="009155F4">
              <w:t xml:space="preserve">In the September quarter 2025, Australians took 12.7 million trips to capital cities and 16.8 million trips to regional Australia. </w:t>
            </w:r>
          </w:p>
          <w:p w14:paraId="4B8FA275" w14:textId="77777777" w:rsidR="009155F4" w:rsidRDefault="009155F4" w:rsidP="009155F4"/>
          <w:p w14:paraId="64786BF6" w14:textId="26806DDC" w:rsidR="009155F4" w:rsidRDefault="00BA38A6" w:rsidP="009155F4">
            <w:pPr>
              <w:rPr>
                <w:rFonts w:asciiTheme="majorHAnsi" w:hAnsiTheme="majorHAnsi"/>
              </w:rPr>
            </w:pPr>
            <w:r w:rsidRPr="00BA38A6">
              <w:rPr>
                <w:rFonts w:asciiTheme="majorHAnsi" w:hAnsiTheme="majorHAnsi"/>
              </w:rPr>
              <w:t>Visitors to capital cities were most likely to be visiting friends or relatives, accounting for 5.2 million trips or 41% of all visits to capital cities in the September quarter. This was followed closely by trips for holiday purposes, accounting for 4.8 million or 38%</w:t>
            </w:r>
            <w:r>
              <w:rPr>
                <w:rFonts w:asciiTheme="majorHAnsi" w:hAnsiTheme="majorHAnsi"/>
              </w:rPr>
              <w:t xml:space="preserve"> </w:t>
            </w:r>
            <w:r w:rsidRPr="00BA38A6">
              <w:rPr>
                <w:rFonts w:asciiTheme="majorHAnsi" w:hAnsiTheme="majorHAnsi"/>
              </w:rPr>
              <w:t xml:space="preserve">of </w:t>
            </w:r>
            <w:r w:rsidR="006A2685">
              <w:rPr>
                <w:rFonts w:asciiTheme="majorHAnsi" w:hAnsiTheme="majorHAnsi"/>
              </w:rPr>
              <w:t>visits</w:t>
            </w:r>
            <w:r w:rsidRPr="00BA38A6">
              <w:rPr>
                <w:rFonts w:asciiTheme="majorHAnsi" w:hAnsiTheme="majorHAnsi"/>
              </w:rPr>
              <w:t xml:space="preserve"> to capital cities.</w:t>
            </w:r>
          </w:p>
          <w:p w14:paraId="65C0CF5E" w14:textId="77777777" w:rsidR="00BA38A6" w:rsidRPr="007E5100" w:rsidRDefault="00BA38A6" w:rsidP="009155F4">
            <w:pPr>
              <w:rPr>
                <w:rFonts w:asciiTheme="majorHAnsi" w:hAnsiTheme="majorHAnsi"/>
              </w:rPr>
            </w:pPr>
          </w:p>
          <w:p w14:paraId="180F13B9" w14:textId="77777777" w:rsidR="006A2685" w:rsidRDefault="006A2685" w:rsidP="006A2685">
            <w:r w:rsidRPr="006A2685">
              <w:t xml:space="preserve">In contrast, visitors to regional Australia were more likely to be travelling for holiday purposes, accounting for 8.4 million trips or half of all trips to regional Australia. Travel to visit friends and families in regional Australia accounted for 6.2 million or 37% of trips in the September quarter. </w:t>
            </w:r>
          </w:p>
          <w:p w14:paraId="568FA663" w14:textId="77777777" w:rsidR="006A2685" w:rsidRPr="006A2685" w:rsidRDefault="006A2685" w:rsidP="006A2685"/>
          <w:p w14:paraId="233BAE3E" w14:textId="43F4626A" w:rsidR="007155E5" w:rsidRDefault="00CE7012" w:rsidP="00624F14">
            <w:r>
              <w:t>The amount of travel</w:t>
            </w:r>
            <w:r w:rsidR="006A2685" w:rsidRPr="006A2685">
              <w:t xml:space="preserve"> for business purposes was similar across both capital cities and regional Australia, recording 1.5 million and 1.3 million trips respectively. </w:t>
            </w:r>
          </w:p>
        </w:tc>
        <w:tc>
          <w:tcPr>
            <w:tcW w:w="4746" w:type="dxa"/>
          </w:tcPr>
          <w:p w14:paraId="640AA788" w14:textId="7A3372E4" w:rsidR="009155F4" w:rsidRPr="009074EA" w:rsidRDefault="00FF693A" w:rsidP="009155F4">
            <w:pPr>
              <w:rPr>
                <w:b/>
                <w:bCs/>
                <w:sz w:val="19"/>
                <w:szCs w:val="19"/>
              </w:rPr>
            </w:pPr>
            <w:r>
              <w:rPr>
                <w:b/>
                <w:bCs/>
                <w:sz w:val="19"/>
                <w:szCs w:val="19"/>
              </w:rPr>
              <w:br/>
            </w:r>
            <w:r w:rsidR="009155F4" w:rsidRPr="00AC711C">
              <w:rPr>
                <w:b/>
                <w:bCs/>
                <w:sz w:val="19"/>
                <w:szCs w:val="19"/>
              </w:rPr>
              <w:t xml:space="preserve">Figure </w:t>
            </w:r>
            <w:r w:rsidR="009155F4">
              <w:rPr>
                <w:b/>
                <w:bCs/>
                <w:sz w:val="19"/>
                <w:szCs w:val="19"/>
              </w:rPr>
              <w:t>2</w:t>
            </w:r>
            <w:r w:rsidR="009155F4" w:rsidRPr="00AC711C">
              <w:rPr>
                <w:b/>
                <w:bCs/>
                <w:sz w:val="19"/>
                <w:szCs w:val="19"/>
              </w:rPr>
              <w:t xml:space="preserve">: </w:t>
            </w:r>
            <w:r w:rsidR="009155F4">
              <w:rPr>
                <w:b/>
                <w:bCs/>
                <w:sz w:val="19"/>
                <w:szCs w:val="19"/>
              </w:rPr>
              <w:t>Proportion of trips by capital cities and rest of Australia and visit reason, September quarter 2025</w:t>
            </w:r>
          </w:p>
          <w:p w14:paraId="43983EF0" w14:textId="6482FF3D" w:rsidR="009155F4" w:rsidRDefault="008B2638" w:rsidP="00A91B92">
            <w:r>
              <w:rPr>
                <w:noProof/>
              </w:rPr>
              <w:drawing>
                <wp:inline distT="0" distB="0" distL="0" distR="0" wp14:anchorId="1086AD84" wp14:editId="281CE1C2">
                  <wp:extent cx="3333750" cy="3667125"/>
                  <wp:effectExtent l="0" t="0" r="0" b="0"/>
                  <wp:docPr id="1455858061" name="Chart 1" descr="Figure 2 shows the proportion of trips by capital cities and the rest of Australia, by visit reason, for the September quarter 2025.&#10;For capital cities and gold coast, 38% of trips were for holiday, 41% were for visiting friends and relatives, 12% were for business and 10% for other reasons.&#10;For the rest of Australia, 50% of trips were for holiday, 37% were for visiting friends and relatives, 8% were for business and 7% for other reasons.&#10;">
                    <a:extLst xmlns:a="http://schemas.openxmlformats.org/drawingml/2006/main">
                      <a:ext uri="{FF2B5EF4-FFF2-40B4-BE49-F238E27FC236}">
                        <a16:creationId xmlns:a16="http://schemas.microsoft.com/office/drawing/2014/main" id="{78BE5703-AFFE-1615-730E-BE3F7E9440A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tc>
      </w:tr>
    </w:tbl>
    <w:p w14:paraId="43425AFF" w14:textId="77777777" w:rsidR="009155F4" w:rsidRDefault="009155F4" w:rsidP="00A91B92">
      <w:pPr>
        <w:rPr>
          <w:sz w:val="16"/>
          <w:szCs w:val="16"/>
        </w:rPr>
      </w:pPr>
    </w:p>
    <w:p w14:paraId="042829BB" w14:textId="77777777" w:rsidR="00624F14" w:rsidRDefault="00624F14" w:rsidP="00A91B92">
      <w:pPr>
        <w:rPr>
          <w:sz w:val="16"/>
          <w:szCs w:val="16"/>
        </w:rPr>
      </w:pPr>
    </w:p>
    <w:tbl>
      <w:tblPr>
        <w:tblStyle w:val="TableGrid"/>
        <w:tblW w:w="106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05"/>
        <w:gridCol w:w="5346"/>
      </w:tblGrid>
      <w:tr w:rsidR="006A2685" w14:paraId="7983C89A" w14:textId="77777777" w:rsidTr="007155E5">
        <w:trPr>
          <w:trHeight w:val="710"/>
        </w:trPr>
        <w:tc>
          <w:tcPr>
            <w:tcW w:w="10651" w:type="dxa"/>
            <w:gridSpan w:val="2"/>
          </w:tcPr>
          <w:p w14:paraId="7BBF6B49" w14:textId="56CB56BD" w:rsidR="006A2685" w:rsidRDefault="006A2685" w:rsidP="00A91B92">
            <w:pPr>
              <w:rPr>
                <w:sz w:val="16"/>
                <w:szCs w:val="16"/>
              </w:rPr>
            </w:pPr>
            <w:r w:rsidRPr="006A2685">
              <w:rPr>
                <w:b/>
                <w:bCs/>
                <w:color w:val="1E988A" w:themeColor="background2"/>
                <w:sz w:val="26"/>
                <w:szCs w:val="26"/>
              </w:rPr>
              <w:t>Staying at a friend</w:t>
            </w:r>
            <w:r>
              <w:rPr>
                <w:b/>
                <w:bCs/>
                <w:color w:val="1E988A" w:themeColor="background2"/>
                <w:sz w:val="26"/>
                <w:szCs w:val="26"/>
              </w:rPr>
              <w:t>s’</w:t>
            </w:r>
            <w:r w:rsidRPr="006A2685">
              <w:rPr>
                <w:b/>
                <w:bCs/>
                <w:color w:val="1E988A" w:themeColor="background2"/>
                <w:sz w:val="26"/>
                <w:szCs w:val="26"/>
              </w:rPr>
              <w:t xml:space="preserve"> or relatives</w:t>
            </w:r>
            <w:r>
              <w:rPr>
                <w:b/>
                <w:bCs/>
                <w:color w:val="1E988A" w:themeColor="background2"/>
                <w:sz w:val="26"/>
                <w:szCs w:val="26"/>
              </w:rPr>
              <w:t>’</w:t>
            </w:r>
            <w:r w:rsidRPr="006A2685">
              <w:rPr>
                <w:b/>
                <w:bCs/>
                <w:color w:val="1E988A" w:themeColor="background2"/>
                <w:sz w:val="26"/>
                <w:szCs w:val="26"/>
              </w:rPr>
              <w:t xml:space="preserve"> property leads the way for accommodation type</w:t>
            </w:r>
          </w:p>
        </w:tc>
      </w:tr>
      <w:tr w:rsidR="00303CB5" w14:paraId="5834EED2" w14:textId="77777777" w:rsidTr="007155E5">
        <w:trPr>
          <w:trHeight w:val="5864"/>
        </w:trPr>
        <w:tc>
          <w:tcPr>
            <w:tcW w:w="5786" w:type="dxa"/>
          </w:tcPr>
          <w:p w14:paraId="097FF58F" w14:textId="77777777" w:rsidR="00303CB5" w:rsidRDefault="00303CB5" w:rsidP="00A91B92"/>
          <w:p w14:paraId="10FDBAA6" w14:textId="72CE7754" w:rsidR="00655DA6" w:rsidRDefault="006A2685" w:rsidP="00A91B92">
            <w:r w:rsidRPr="006A2685">
              <w:t xml:space="preserve">Most nights in the September quarter </w:t>
            </w:r>
            <w:r w:rsidR="00655DA6">
              <w:t>were spent</w:t>
            </w:r>
            <w:r w:rsidRPr="006A2685">
              <w:t xml:space="preserve"> </w:t>
            </w:r>
            <w:r w:rsidR="00655DA6">
              <w:t>in commercial accommodation</w:t>
            </w:r>
            <w:r w:rsidR="00CE7012">
              <w:t xml:space="preserve"> when all categories are taken together</w:t>
            </w:r>
            <w:r w:rsidR="00655DA6">
              <w:t>. This account</w:t>
            </w:r>
            <w:r w:rsidR="00CE7012">
              <w:t>ed</w:t>
            </w:r>
            <w:r w:rsidR="00655DA6">
              <w:t xml:space="preserve"> for 46.4 million nights or 52% of total nights spent</w:t>
            </w:r>
            <w:r w:rsidR="00CE7012">
              <w:t xml:space="preserve"> away</w:t>
            </w:r>
            <w:r w:rsidR="00655DA6">
              <w:t xml:space="preserve">. </w:t>
            </w:r>
          </w:p>
          <w:p w14:paraId="29E51AED" w14:textId="77777777" w:rsidR="00655DA6" w:rsidRDefault="00655DA6" w:rsidP="00A91B92"/>
          <w:p w14:paraId="148DAAF0" w14:textId="048AB892" w:rsidR="00655DA6" w:rsidRDefault="00554AF4" w:rsidP="00A91B92">
            <w:r>
              <w:t>However, for</w:t>
            </w:r>
            <w:r w:rsidR="00655DA6">
              <w:t xml:space="preserve"> a single type of accommodation, staying at a friends’ or relatives’ property leads the way. In the September quarter, 31.0 million nights or 35% of total nights were spent in a friends’ or relatives’ property. This is followed by nights in hotels, resorts, motels or motor inns which accounted for 25.0 million nights or 28% of total nights.</w:t>
            </w:r>
          </w:p>
          <w:p w14:paraId="3ACE8D92" w14:textId="77777777" w:rsidR="008B0C53" w:rsidRDefault="008B0C53" w:rsidP="00A91B92"/>
          <w:p w14:paraId="7C884694" w14:textId="45D67ED8" w:rsidR="008B0C53" w:rsidRDefault="008B0C53" w:rsidP="008B0C53">
            <w:r>
              <w:t xml:space="preserve">Caravan and camping </w:t>
            </w:r>
            <w:proofErr w:type="gramStart"/>
            <w:r>
              <w:t>was</w:t>
            </w:r>
            <w:proofErr w:type="gramEnd"/>
            <w:r>
              <w:t xml:space="preserve"> also popular among Australians. In the September quarter 2025 Australians spent 13.5 million nights or 15% of total nights across caravan parks, commercial camping grounds, and non-commercial caravan and camping.</w:t>
            </w:r>
          </w:p>
          <w:p w14:paraId="79E769F0" w14:textId="77777777" w:rsidR="00655DA6" w:rsidRDefault="00655DA6" w:rsidP="00A91B92"/>
          <w:p w14:paraId="4FB3AA2A" w14:textId="6F7103ED" w:rsidR="006A2685" w:rsidRDefault="006A2685" w:rsidP="00A91B92">
            <w:pPr>
              <w:rPr>
                <w:sz w:val="16"/>
                <w:szCs w:val="16"/>
              </w:rPr>
            </w:pPr>
          </w:p>
        </w:tc>
        <w:tc>
          <w:tcPr>
            <w:tcW w:w="4865" w:type="dxa"/>
          </w:tcPr>
          <w:p w14:paraId="09ECB820" w14:textId="08C79518" w:rsidR="008B0C53" w:rsidRPr="008B2638" w:rsidRDefault="008B0C53" w:rsidP="008B0C53">
            <w:pPr>
              <w:rPr>
                <w:rFonts w:asciiTheme="majorHAnsi" w:hAnsiTheme="majorHAnsi"/>
                <w:b/>
                <w:bCs/>
              </w:rPr>
            </w:pPr>
            <w:r w:rsidRPr="008B2638">
              <w:rPr>
                <w:rFonts w:asciiTheme="majorHAnsi" w:hAnsiTheme="majorHAnsi"/>
                <w:b/>
                <w:bCs/>
              </w:rPr>
              <w:t xml:space="preserve">Figure 3: </w:t>
            </w:r>
            <w:r w:rsidR="00554AF4">
              <w:rPr>
                <w:rFonts w:asciiTheme="majorHAnsi" w:hAnsiTheme="majorHAnsi"/>
                <w:b/>
                <w:bCs/>
              </w:rPr>
              <w:t>Top 5 accommodation types by number of nights</w:t>
            </w:r>
            <w:r w:rsidRPr="008B2638">
              <w:rPr>
                <w:rFonts w:asciiTheme="majorHAnsi" w:hAnsiTheme="majorHAnsi"/>
                <w:b/>
                <w:bCs/>
              </w:rPr>
              <w:t>, September quarter 2025</w:t>
            </w:r>
          </w:p>
          <w:p w14:paraId="52D64158" w14:textId="29A4898E" w:rsidR="006A2685" w:rsidRDefault="00303CB5" w:rsidP="00A91B92">
            <w:pPr>
              <w:rPr>
                <w:sz w:val="16"/>
                <w:szCs w:val="16"/>
              </w:rPr>
            </w:pPr>
            <w:r>
              <w:rPr>
                <w:noProof/>
              </w:rPr>
              <w:drawing>
                <wp:inline distT="0" distB="0" distL="0" distR="0" wp14:anchorId="283DE261" wp14:editId="121E8630">
                  <wp:extent cx="3256915" cy="3105150"/>
                  <wp:effectExtent l="0" t="0" r="635" b="0"/>
                  <wp:docPr id="1704490982" name="Chart 1" descr="Figure 3 shows the number of nights spent in accommodation types in the September quarter 2025. There were 31.0 million nights spent in a friends or relatives property, 25.0 million nights spent in a hotel, resort, motel or motor inn, 9.4 million nights spent in caravan parks or commercial camping grounds, 7.1 million nights spent in rented houses, apartments, flats or units, and 4.1 million nights spent caravan and camping non commercially.">
                    <a:extLst xmlns:a="http://schemas.openxmlformats.org/drawingml/2006/main">
                      <a:ext uri="{FF2B5EF4-FFF2-40B4-BE49-F238E27FC236}">
                        <a16:creationId xmlns:a16="http://schemas.microsoft.com/office/drawing/2014/main" id="{7696FECB-6D5B-958C-41AA-30750953CC4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3A93EE97" w14:textId="0D7ECDDC" w:rsidR="008B0C53" w:rsidRDefault="008B0C53" w:rsidP="00A91B92">
            <w:pPr>
              <w:rPr>
                <w:sz w:val="16"/>
                <w:szCs w:val="16"/>
              </w:rPr>
            </w:pPr>
          </w:p>
        </w:tc>
      </w:tr>
    </w:tbl>
    <w:p w14:paraId="7B0174AF" w14:textId="77777777" w:rsidR="006A2685" w:rsidRDefault="006A2685" w:rsidP="00A91B92">
      <w:pPr>
        <w:rPr>
          <w:sz w:val="16"/>
          <w:szCs w:val="16"/>
        </w:rPr>
      </w:pPr>
    </w:p>
    <w:p w14:paraId="0FE1A60E" w14:textId="77777777" w:rsidR="006A2685" w:rsidRDefault="006A2685" w:rsidP="00A91B92">
      <w:pPr>
        <w:rPr>
          <w:sz w:val="16"/>
          <w:szCs w:val="16"/>
        </w:rPr>
      </w:pPr>
    </w:p>
    <w:p w14:paraId="53609FF8" w14:textId="7C2839C6" w:rsidR="006A2685" w:rsidRPr="00FE0318" w:rsidRDefault="006A2685" w:rsidP="00A91B92">
      <w:pPr>
        <w:rPr>
          <w:sz w:val="16"/>
          <w:szCs w:val="16"/>
        </w:rPr>
        <w:sectPr w:rsidR="006A2685" w:rsidRPr="00FE0318" w:rsidSect="007D69C5">
          <w:headerReference w:type="even" r:id="rId24"/>
          <w:headerReference w:type="default" r:id="rId25"/>
          <w:footerReference w:type="even" r:id="rId26"/>
          <w:footerReference w:type="default" r:id="rId27"/>
          <w:headerReference w:type="first" r:id="rId28"/>
          <w:footerReference w:type="first" r:id="rId29"/>
          <w:footnotePr>
            <w:numStart w:val="2"/>
          </w:footnotePr>
          <w:pgSz w:w="11906" w:h="16838" w:code="9"/>
          <w:pgMar w:top="720" w:right="720" w:bottom="720" w:left="720" w:header="454" w:footer="851" w:gutter="0"/>
          <w:cols w:space="720"/>
          <w:titlePg/>
          <w:docGrid w:linePitch="360"/>
        </w:sectPr>
      </w:pPr>
    </w:p>
    <w:p w14:paraId="75B3F769" w14:textId="76618D1C" w:rsidR="004B3960" w:rsidRDefault="004B3960" w:rsidP="004B3960">
      <w:pPr>
        <w:pStyle w:val="Heading2"/>
        <w:spacing w:before="0" w:after="120"/>
      </w:pPr>
      <w:r w:rsidRPr="00121691">
        <w:t>States and territories</w:t>
      </w:r>
      <w:r>
        <w:t>*</w:t>
      </w:r>
    </w:p>
    <w:p w14:paraId="72B1B2DD" w14:textId="0E54626C" w:rsidR="007C4ED3" w:rsidRDefault="004B3960" w:rsidP="004B3960">
      <w:r>
        <w:t xml:space="preserve">Results for overnight trips remained stable for most states and territories in the year ending </w:t>
      </w:r>
      <w:r w:rsidR="007C4ED3">
        <w:t>September</w:t>
      </w:r>
      <w:r>
        <w:t xml:space="preserve"> 2025 when compared with the year ending </w:t>
      </w:r>
      <w:r w:rsidR="007C4ED3">
        <w:t>September</w:t>
      </w:r>
      <w:r>
        <w:t xml:space="preserve"> 2024, except for the Northern Territory which saw an increase of </w:t>
      </w:r>
      <w:r w:rsidR="007C4ED3">
        <w:t>219</w:t>
      </w:r>
      <w:r>
        <w:t xml:space="preserve">,000 trips or </w:t>
      </w:r>
      <w:r w:rsidR="00554AF4">
        <w:t xml:space="preserve">by </w:t>
      </w:r>
      <w:r>
        <w:t>2</w:t>
      </w:r>
      <w:r w:rsidR="007C4ED3">
        <w:t>8</w:t>
      </w:r>
      <w:r>
        <w:t xml:space="preserve">%. </w:t>
      </w:r>
      <w:r w:rsidR="007C4ED3">
        <w:t>Small increases</w:t>
      </w:r>
      <w:r w:rsidRPr="00AC711C">
        <w:t xml:space="preserve"> </w:t>
      </w:r>
      <w:r>
        <w:t xml:space="preserve">were also seen in trips in </w:t>
      </w:r>
      <w:r w:rsidR="007C4ED3">
        <w:t>Victoria (up 229,000 or 1%), Western Australia (up 172,000 or 2%) and Tasmania (up 42,000 or 1%). Trips in New South Wales, Queensland and South Australia were on par with the year ending September 2024. The Australian Capital Territory saw a slight decrease of 18,000 trips or</w:t>
      </w:r>
      <w:r w:rsidR="00554AF4">
        <w:t xml:space="preserve"> by</w:t>
      </w:r>
      <w:r w:rsidR="007C4ED3">
        <w:t xml:space="preserve"> 1%.</w:t>
      </w:r>
    </w:p>
    <w:p w14:paraId="11DAD2C8" w14:textId="65233862" w:rsidR="007C4ED3" w:rsidRDefault="007C4ED3" w:rsidP="004B3960">
      <w:r>
        <w:t xml:space="preserve">Overnight spend results were mostly down on the previous year. Victoria saw the largest decrease ($943 million or 4%). This was followed by Western Australia (down $559 million or 5%), Queensland (down $548 million or 2%), South Australia ($487 million or 7%), the Australian Capital Territory (down $350 million or 14%) and Tasmania (down $39 million or 1%). Spend results for New South Wales </w:t>
      </w:r>
      <w:r w:rsidR="00554AF4">
        <w:t>were</w:t>
      </w:r>
      <w:r>
        <w:t xml:space="preserve"> on par with the year ending September 2024</w:t>
      </w:r>
      <w:r w:rsidR="00261ACF">
        <w:t xml:space="preserve"> and the</w:t>
      </w:r>
      <w:r>
        <w:t xml:space="preserve"> Northern Territory saw a strong increase of $445 million or 38%.</w:t>
      </w:r>
    </w:p>
    <w:p w14:paraId="7ECB1D10" w14:textId="03C7B987" w:rsidR="004B3960" w:rsidRDefault="004B3960" w:rsidP="004B3960">
      <w:pPr>
        <w:rPr>
          <w:noProof/>
        </w:rPr>
      </w:pPr>
      <w:r w:rsidRPr="00121691">
        <w:rPr>
          <w:b/>
          <w:bCs/>
        </w:rPr>
        <w:t xml:space="preserve">Figure </w:t>
      </w:r>
      <w:r w:rsidR="007C4ED3">
        <w:rPr>
          <w:b/>
          <w:bCs/>
        </w:rPr>
        <w:t>4</w:t>
      </w:r>
      <w:r w:rsidRPr="00121691">
        <w:rPr>
          <w:b/>
          <w:bCs/>
        </w:rPr>
        <w:t xml:space="preserve">. Overnight trips and spend by state and territory, </w:t>
      </w:r>
      <w:r>
        <w:rPr>
          <w:b/>
          <w:bCs/>
        </w:rPr>
        <w:t xml:space="preserve">year ending </w:t>
      </w:r>
      <w:r w:rsidR="007C4ED3">
        <w:rPr>
          <w:b/>
          <w:bCs/>
        </w:rPr>
        <w:t>September</w:t>
      </w:r>
      <w:r>
        <w:rPr>
          <w:b/>
          <w:bCs/>
        </w:rPr>
        <w:t xml:space="preserve"> 2025 compared with year ending </w:t>
      </w:r>
      <w:r w:rsidR="007C4ED3">
        <w:rPr>
          <w:b/>
          <w:bCs/>
        </w:rPr>
        <w:t>September</w:t>
      </w:r>
      <w:r>
        <w:rPr>
          <w:b/>
          <w:bCs/>
        </w:rPr>
        <w:t xml:space="preserve"> 2024</w:t>
      </w:r>
      <w:r w:rsidRPr="00121691">
        <w:rPr>
          <w:noProof/>
        </w:rPr>
        <w:t xml:space="preserve"> </w:t>
      </w:r>
    </w:p>
    <w:p w14:paraId="5126F4B6" w14:textId="234DB203" w:rsidR="004B3960" w:rsidRDefault="007155E5" w:rsidP="00076345">
      <w:pPr>
        <w:jc w:val="center"/>
        <w:rPr>
          <w:noProof/>
        </w:rPr>
      </w:pPr>
      <w:r>
        <w:rPr>
          <w:noProof/>
        </w:rPr>
        <w:drawing>
          <wp:inline distT="0" distB="0" distL="0" distR="0" wp14:anchorId="76B2E2C5" wp14:editId="30C7823F">
            <wp:extent cx="5905500" cy="2895153"/>
            <wp:effectExtent l="0" t="0" r="0" b="635"/>
            <wp:docPr id="1214158350" name="Picture 1" descr="Figure 4 depicts an image of Australia that illustrates the number of trips and spend in the year ending September 2025 in each state and territory, and the change compared with the year ending September 2024.&#10;• New South Wales – 39.2 million trips and $27.6 billion spend, both on par &#10;• Victoria – 31.4 million trips and $23.2 billion spend, up 1% and down 4% respectively&#10;• Queensland – 25.9 million trips and $27.6 billion spend, on par and down 2% respectively&#10;• South Australia – 7.8 million trips and $6.4 billion spend, on par and down by 7% respectively&#10;• Western Australia – 9.9 million trips and $11.5 billion spend, up by 2% and down by 5% respectively&#10;• Tasmania – 3.0 million trips and $3.1 billion spend, up by 1% and down by 1% respectively&#10;• Northern Territory – 1.0 million trips and $1.6 billion spend, up by 28% and 38% respectively&#10;• Australian Capital Territory – 2.2 million trips and $2.1 billion spend, down by 1% and 14% respectively.&#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4158350" name="Picture 1" descr="Figure 4 depicts an image of Australia that illustrates the number of trips and spend in the year ending September 2025 in each state and territory, and the change compared with the year ending September 2024.&#10;• New South Wales – 39.2 million trips and $27.6 billion spend, both on par &#10;• Victoria – 31.4 million trips and $23.2 billion spend, up 1% and down 4% respectively&#10;• Queensland – 25.9 million trips and $27.6 billion spend, on par and down 2% respectively&#10;• South Australia – 7.8 million trips and $6.4 billion spend, on par and down by 7% respectively&#10;• Western Australia – 9.9 million trips and $11.5 billion spend, up by 2% and down by 5% respectively&#10;• Tasmania – 3.0 million trips and $3.1 billion spend, up by 1% and down by 1% respectively&#10;• Northern Territory – 1.0 million trips and $1.6 billion spend, up by 28% and 38% respectively&#10;• Australian Capital Territory – 2.2 million trips and $2.1 billion spend, down by 1% and 14% respectively.&#10;"/>
                    <pic:cNvPicPr/>
                  </pic:nvPicPr>
                  <pic:blipFill>
                    <a:blip r:embed="rId30"/>
                    <a:stretch>
                      <a:fillRect/>
                    </a:stretch>
                  </pic:blipFill>
                  <pic:spPr>
                    <a:xfrm>
                      <a:off x="0" y="0"/>
                      <a:ext cx="5921993" cy="2903239"/>
                    </a:xfrm>
                    <a:prstGeom prst="rect">
                      <a:avLst/>
                    </a:prstGeom>
                  </pic:spPr>
                </pic:pic>
              </a:graphicData>
            </a:graphic>
          </wp:inline>
        </w:drawing>
      </w:r>
    </w:p>
    <w:p w14:paraId="3A0C2B55" w14:textId="5D6A018E" w:rsidR="004B3960" w:rsidRPr="004B3960" w:rsidRDefault="004B3960" w:rsidP="004B3960">
      <w:pPr>
        <w:rPr>
          <w:sz w:val="16"/>
          <w:szCs w:val="16"/>
        </w:rPr>
      </w:pPr>
      <w:r w:rsidRPr="004B3960">
        <w:rPr>
          <w:sz w:val="16"/>
          <w:szCs w:val="16"/>
        </w:rPr>
        <w:t>*</w:t>
      </w:r>
      <w:r w:rsidRPr="004B3960">
        <w:rPr>
          <w:i/>
          <w:iCs/>
          <w:sz w:val="16"/>
          <w:szCs w:val="16"/>
        </w:rPr>
        <w:t xml:space="preserve">Results prior to 2025 are </w:t>
      </w:r>
      <w:proofErr w:type="spellStart"/>
      <w:r w:rsidRPr="004B3960">
        <w:rPr>
          <w:i/>
          <w:iCs/>
          <w:sz w:val="16"/>
          <w:szCs w:val="16"/>
        </w:rPr>
        <w:t>backcast</w:t>
      </w:r>
      <w:proofErr w:type="spellEnd"/>
      <w:r w:rsidRPr="004B3960">
        <w:rPr>
          <w:i/>
          <w:iCs/>
          <w:sz w:val="16"/>
          <w:szCs w:val="16"/>
        </w:rPr>
        <w:t xml:space="preserve"> and adjusted to account for differences in methodology between the National Visitor Survey (NVS) and the new Domestic Tourism Statistics which came into effect January 2025. Due to data limitations and the complexity of measuring the differences in spend caused by the methodology changes, TRA recommends exercising caution when interpreting comparisons incorporating the use of </w:t>
      </w:r>
      <w:proofErr w:type="spellStart"/>
      <w:r w:rsidRPr="004B3960">
        <w:rPr>
          <w:i/>
          <w:iCs/>
          <w:sz w:val="16"/>
          <w:szCs w:val="16"/>
        </w:rPr>
        <w:t>backcast</w:t>
      </w:r>
      <w:proofErr w:type="spellEnd"/>
      <w:r w:rsidRPr="004B3960">
        <w:rPr>
          <w:i/>
          <w:iCs/>
          <w:sz w:val="16"/>
          <w:szCs w:val="16"/>
        </w:rPr>
        <w:t xml:space="preserve"> spend data. Greater caution should be used for less populated states and regions, as the statistical error is higher due to low sample numbers in the underlying survey data. </w:t>
      </w:r>
      <w:r w:rsidRPr="007155E5">
        <w:rPr>
          <w:i/>
          <w:iCs/>
          <w:sz w:val="16"/>
          <w:szCs w:val="16"/>
        </w:rPr>
        <w:t xml:space="preserve">For more information please visit: </w:t>
      </w:r>
      <w:hyperlink r:id="rId31" w:history="1">
        <w:r w:rsidRPr="007155E5">
          <w:rPr>
            <w:rStyle w:val="Hyperlink"/>
            <w:i/>
            <w:iCs/>
            <w:sz w:val="16"/>
            <w:szCs w:val="16"/>
          </w:rPr>
          <w:t>Changes to the Australian resident tourism statistics collection in 2025 | Tourism Research Australia</w:t>
        </w:r>
      </w:hyperlink>
    </w:p>
    <w:p w14:paraId="62F9518B" w14:textId="77777777" w:rsidR="004B3960" w:rsidRDefault="004B3960" w:rsidP="004B3960">
      <w:pPr>
        <w:rPr>
          <w:b/>
          <w:bCs/>
          <w:color w:val="1E988A" w:themeColor="background2"/>
          <w:sz w:val="26"/>
          <w:szCs w:val="26"/>
        </w:rPr>
      </w:pPr>
      <w:r w:rsidRPr="00D67609">
        <w:rPr>
          <w:b/>
          <w:bCs/>
          <w:color w:val="1E988A" w:themeColor="background2"/>
          <w:sz w:val="26"/>
          <w:szCs w:val="26"/>
        </w:rPr>
        <w:t>Daytrip</w:t>
      </w:r>
      <w:r>
        <w:rPr>
          <w:b/>
          <w:bCs/>
          <w:color w:val="1E988A" w:themeColor="background2"/>
          <w:sz w:val="26"/>
          <w:szCs w:val="26"/>
        </w:rPr>
        <w:t>s</w:t>
      </w:r>
    </w:p>
    <w:p w14:paraId="2B9AC535" w14:textId="4FD9AC72" w:rsidR="004B3960" w:rsidRDefault="004B3960" w:rsidP="004B3960">
      <w:r>
        <w:t xml:space="preserve">In the </w:t>
      </w:r>
      <w:r w:rsidR="00076345">
        <w:t>September</w:t>
      </w:r>
      <w:r>
        <w:t xml:space="preserve"> quarter 2025, Australians took </w:t>
      </w:r>
      <w:r w:rsidR="00076345">
        <w:t>72.3</w:t>
      </w:r>
      <w:r>
        <w:t xml:space="preserve"> million daytrips, spending $</w:t>
      </w:r>
      <w:r w:rsidR="00076345">
        <w:t>12.5</w:t>
      </w:r>
      <w:r>
        <w:t xml:space="preserve"> billion. </w:t>
      </w:r>
    </w:p>
    <w:p w14:paraId="6B8C5E7D" w14:textId="77777777" w:rsidR="004B3960" w:rsidRDefault="004B3960" w:rsidP="004B3960">
      <w:pPr>
        <w:spacing w:after="80"/>
      </w:pPr>
      <w:r>
        <w:t>Of these:</w:t>
      </w:r>
    </w:p>
    <w:p w14:paraId="0311D242" w14:textId="2106A645" w:rsidR="004B3960" w:rsidRDefault="004B3960" w:rsidP="004B3960">
      <w:pPr>
        <w:pStyle w:val="ListParagraph"/>
        <w:numPr>
          <w:ilvl w:val="0"/>
          <w:numId w:val="33"/>
        </w:numPr>
        <w:rPr>
          <w:rFonts w:asciiTheme="majorHAnsi" w:hAnsiTheme="majorHAnsi"/>
        </w:rPr>
      </w:pPr>
      <w:r>
        <w:rPr>
          <w:rFonts w:asciiTheme="majorHAnsi" w:hAnsiTheme="majorHAnsi"/>
        </w:rPr>
        <w:t>3</w:t>
      </w:r>
      <w:r w:rsidR="00076345">
        <w:rPr>
          <w:rFonts w:asciiTheme="majorHAnsi" w:hAnsiTheme="majorHAnsi"/>
        </w:rPr>
        <w:t>6</w:t>
      </w:r>
      <w:r>
        <w:rPr>
          <w:rFonts w:asciiTheme="majorHAnsi" w:hAnsiTheme="majorHAnsi"/>
        </w:rPr>
        <w:t>.7 million daytrips were for holidays</w:t>
      </w:r>
    </w:p>
    <w:p w14:paraId="5DBBD05E" w14:textId="1FBA3062" w:rsidR="004B3960" w:rsidRDefault="004B3960" w:rsidP="004B3960">
      <w:pPr>
        <w:pStyle w:val="ListParagraph"/>
        <w:numPr>
          <w:ilvl w:val="0"/>
          <w:numId w:val="33"/>
        </w:numPr>
        <w:rPr>
          <w:rFonts w:asciiTheme="majorHAnsi" w:hAnsiTheme="majorHAnsi"/>
        </w:rPr>
      </w:pPr>
      <w:r>
        <w:rPr>
          <w:rFonts w:asciiTheme="majorHAnsi" w:hAnsiTheme="majorHAnsi"/>
        </w:rPr>
        <w:t>2</w:t>
      </w:r>
      <w:r w:rsidR="00076345">
        <w:rPr>
          <w:rFonts w:asciiTheme="majorHAnsi" w:hAnsiTheme="majorHAnsi"/>
        </w:rPr>
        <w:t>2.0</w:t>
      </w:r>
      <w:r>
        <w:rPr>
          <w:rFonts w:asciiTheme="majorHAnsi" w:hAnsiTheme="majorHAnsi"/>
        </w:rPr>
        <w:t xml:space="preserve"> million daytrips were for visiting friends and relatives</w:t>
      </w:r>
    </w:p>
    <w:p w14:paraId="09358E4E" w14:textId="77777777" w:rsidR="004B3960" w:rsidRPr="000104E6" w:rsidRDefault="004B3960" w:rsidP="004B3960">
      <w:pPr>
        <w:pStyle w:val="ListParagraph"/>
        <w:numPr>
          <w:ilvl w:val="0"/>
          <w:numId w:val="33"/>
        </w:numPr>
        <w:spacing w:after="160"/>
        <w:ind w:left="714" w:hanging="357"/>
        <w:rPr>
          <w:rFonts w:asciiTheme="majorHAnsi" w:hAnsiTheme="majorHAnsi"/>
        </w:rPr>
      </w:pPr>
      <w:r>
        <w:rPr>
          <w:rFonts w:asciiTheme="majorHAnsi" w:hAnsiTheme="majorHAnsi"/>
        </w:rPr>
        <w:t>5.4 million daytrips were for business.</w:t>
      </w:r>
    </w:p>
    <w:p w14:paraId="5C567C17" w14:textId="68BA7A26" w:rsidR="007155E5" w:rsidRDefault="004B3960" w:rsidP="00076345">
      <w:r>
        <w:t xml:space="preserve">In the year ending </w:t>
      </w:r>
      <w:r w:rsidR="00076345">
        <w:t>September</w:t>
      </w:r>
      <w:r>
        <w:t xml:space="preserve"> 2025, Australians took </w:t>
      </w:r>
      <w:r w:rsidR="00076345">
        <w:t>273</w:t>
      </w:r>
      <w:r>
        <w:t>.</w:t>
      </w:r>
      <w:r w:rsidR="00076345">
        <w:t>4</w:t>
      </w:r>
      <w:r>
        <w:t xml:space="preserve"> million daytrips, spending $</w:t>
      </w:r>
      <w:r w:rsidR="00076345">
        <w:t>44.4</w:t>
      </w:r>
      <w:r w:rsidR="00554AF4">
        <w:t xml:space="preserve"> </w:t>
      </w:r>
      <w:r>
        <w:t>billion.</w:t>
      </w:r>
    </w:p>
    <w:p w14:paraId="70B23C5E" w14:textId="65D8F9CC" w:rsidR="00475122" w:rsidRPr="009D3C84" w:rsidRDefault="00A1413B" w:rsidP="007155E5">
      <w:pPr>
        <w:spacing w:before="280" w:after="0"/>
        <w:rPr>
          <w:sz w:val="12"/>
          <w:szCs w:val="12"/>
        </w:rPr>
      </w:pPr>
      <w:r w:rsidRPr="00121691">
        <w:rPr>
          <w:sz w:val="12"/>
          <w:szCs w:val="12"/>
        </w:rPr>
        <w:t xml:space="preserve">This report has been prepared by the Commonwealth of Australia represented by the Australian Trade and Investment Commission (Austrade). The report is a general overview and is not intended to provide exhaustive coverage of the topic. The information is made available on the understanding that the </w:t>
      </w:r>
      <w:r w:rsidR="007155E5">
        <w:rPr>
          <w:sz w:val="12"/>
          <w:szCs w:val="12"/>
        </w:rPr>
        <w:t>C</w:t>
      </w:r>
      <w:r w:rsidRPr="00121691">
        <w:rPr>
          <w:sz w:val="12"/>
          <w:szCs w:val="12"/>
        </w:rPr>
        <w:t>ommonwealth of Australia is not providing professional advice. While care has been taken to ensure the information in this report is accurate, the Commonwealth does not accept any liability for any loss arising from reliance on the information, or from any error or omission, in the report.</w:t>
      </w:r>
    </w:p>
    <w:sectPr w:rsidR="00475122" w:rsidRPr="009D3C84" w:rsidSect="007155E5">
      <w:headerReference w:type="even" r:id="rId32"/>
      <w:headerReference w:type="default" r:id="rId33"/>
      <w:footerReference w:type="even" r:id="rId34"/>
      <w:footerReference w:type="default" r:id="rId35"/>
      <w:headerReference w:type="first" r:id="rId36"/>
      <w:footerReference w:type="first" r:id="rId37"/>
      <w:footnotePr>
        <w:numStart w:val="2"/>
      </w:footnotePr>
      <w:type w:val="continuous"/>
      <w:pgSz w:w="11906" w:h="16838" w:code="9"/>
      <w:pgMar w:top="1021" w:right="1134" w:bottom="1474" w:left="1134" w:header="454" w:footer="85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1CF00" w14:textId="77777777" w:rsidR="001107CE" w:rsidRDefault="001107CE" w:rsidP="00D52B20">
      <w:pPr>
        <w:spacing w:after="0" w:line="240" w:lineRule="auto"/>
      </w:pPr>
      <w:r>
        <w:separator/>
      </w:r>
    </w:p>
  </w:endnote>
  <w:endnote w:type="continuationSeparator" w:id="0">
    <w:p w14:paraId="6D1A6E1C" w14:textId="77777777" w:rsidR="001107CE" w:rsidRDefault="001107CE" w:rsidP="00D52B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U Sans BETA Text Light">
    <w:panose1 w:val="00000000000000000000"/>
    <w:charset w:val="00"/>
    <w:family w:val="modern"/>
    <w:notTrueType/>
    <w:pitch w:val="variable"/>
    <w:sig w:usb0="00000003" w:usb1="00000000" w:usb2="00000000" w:usb3="00000000" w:csb0="00000001" w:csb1="00000000"/>
  </w:font>
  <w:font w:name="AU Sans BETA Text Medium">
    <w:panose1 w:val="00000000000000000000"/>
    <w:charset w:val="00"/>
    <w:family w:val="modern"/>
    <w:notTrueType/>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633D9" w14:textId="35BFD4E2" w:rsidR="00561C8B" w:rsidRDefault="00561C8B">
    <w:pPr>
      <w:pStyle w:val="Footer"/>
    </w:pPr>
    <w:r>
      <w:rPr>
        <w:noProof/>
      </w:rPr>
      <mc:AlternateContent>
        <mc:Choice Requires="wps">
          <w:drawing>
            <wp:anchor distT="0" distB="0" distL="0" distR="0" simplePos="0" relativeHeight="251656192" behindDoc="0" locked="0" layoutInCell="1" allowOverlap="1" wp14:anchorId="1B56C2C3" wp14:editId="262A3EEE">
              <wp:simplePos x="635" y="635"/>
              <wp:positionH relativeFrom="page">
                <wp:align>center</wp:align>
              </wp:positionH>
              <wp:positionV relativeFrom="page">
                <wp:align>bottom</wp:align>
              </wp:positionV>
              <wp:extent cx="551815" cy="386080"/>
              <wp:effectExtent l="0" t="0" r="635" b="0"/>
              <wp:wrapNone/>
              <wp:docPr id="680965294"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86080"/>
                      </a:xfrm>
                      <a:prstGeom prst="rect">
                        <a:avLst/>
                      </a:prstGeom>
                      <a:noFill/>
                      <a:ln>
                        <a:noFill/>
                      </a:ln>
                    </wps:spPr>
                    <wps:txbx>
                      <w:txbxContent>
                        <w:p w14:paraId="0176B1C3" w14:textId="418E441B" w:rsidR="00561C8B" w:rsidRPr="00561C8B" w:rsidRDefault="00561C8B" w:rsidP="00561C8B">
                          <w:pPr>
                            <w:spacing w:after="0"/>
                            <w:rPr>
                              <w:rFonts w:ascii="Calibri" w:eastAsia="Calibri" w:hAnsi="Calibri" w:cs="Calibri"/>
                              <w:noProof/>
                              <w:color w:val="FF0000"/>
                              <w:sz w:val="24"/>
                              <w:szCs w:val="24"/>
                            </w:rPr>
                          </w:pPr>
                          <w:r w:rsidRPr="00561C8B">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B56C2C3" id="_x0000_t202" coordsize="21600,21600" o:spt="202" path="m,l,21600r21600,l21600,xe">
              <v:stroke joinstyle="miter"/>
              <v:path gradientshapeok="t" o:connecttype="rect"/>
            </v:shapetype>
            <v:shape id="Text Box 5" o:spid="_x0000_s1028" type="#_x0000_t202" alt="OFFICIAL" style="position:absolute;margin-left:0;margin-top:0;width:43.45pt;height:30.4pt;z-index:25165619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" filled="f" stroked="f">
              <v:textbox style="mso-fit-shape-to-text:t" inset="0,0,0,15pt">
                <w:txbxContent>
                  <w:p w14:paraId="0176B1C3" w14:textId="418E441B" w:rsidR="00561C8B" w:rsidRPr="00561C8B" w:rsidRDefault="00561C8B" w:rsidP="00561C8B">
                    <w:pPr>
                      <w:spacing w:after="0"/>
                      <w:rPr>
                        <w:rFonts w:ascii="Calibri" w:eastAsia="Calibri" w:hAnsi="Calibri" w:cs="Calibri"/>
                        <w:noProof/>
                        <w:color w:val="FF0000"/>
                        <w:sz w:val="24"/>
                        <w:szCs w:val="24"/>
                      </w:rPr>
                    </w:pPr>
                    <w:r w:rsidRPr="00561C8B">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4224D" w14:textId="7C71892E" w:rsidR="006B3279" w:rsidRPr="006B3279" w:rsidRDefault="00561C8B" w:rsidP="006B3279">
    <w:pPr>
      <w:pStyle w:val="Footer"/>
    </w:pPr>
    <w:r>
      <w:rPr>
        <w:noProof/>
      </w:rPr>
      <mc:AlternateContent>
        <mc:Choice Requires="wps">
          <w:drawing>
            <wp:anchor distT="0" distB="0" distL="0" distR="0" simplePos="0" relativeHeight="251657216" behindDoc="0" locked="0" layoutInCell="1" allowOverlap="1" wp14:anchorId="2A211720" wp14:editId="039B7A8A">
              <wp:simplePos x="635" y="635"/>
              <wp:positionH relativeFrom="page">
                <wp:align>center</wp:align>
              </wp:positionH>
              <wp:positionV relativeFrom="page">
                <wp:align>bottom</wp:align>
              </wp:positionV>
              <wp:extent cx="551815" cy="386080"/>
              <wp:effectExtent l="0" t="0" r="635" b="0"/>
              <wp:wrapNone/>
              <wp:docPr id="1019094233"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86080"/>
                      </a:xfrm>
                      <a:prstGeom prst="rect">
                        <a:avLst/>
                      </a:prstGeom>
                      <a:noFill/>
                      <a:ln>
                        <a:noFill/>
                      </a:ln>
                    </wps:spPr>
                    <wps:txbx>
                      <w:txbxContent>
                        <w:p w14:paraId="4F88763C" w14:textId="06F4F266" w:rsidR="00561C8B" w:rsidRPr="00561C8B" w:rsidRDefault="00561C8B" w:rsidP="00561C8B">
                          <w:pPr>
                            <w:spacing w:after="0"/>
                            <w:rPr>
                              <w:rFonts w:ascii="Calibri" w:eastAsia="Calibri" w:hAnsi="Calibri" w:cs="Calibri"/>
                              <w:noProof/>
                              <w:color w:val="FF0000"/>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A211720" id="_x0000_t202" coordsize="21600,21600" o:spt="202" path="m,l,21600r21600,l21600,xe">
              <v:stroke joinstyle="miter"/>
              <v:path gradientshapeok="t" o:connecttype="rect"/>
            </v:shapetype>
            <v:shape id="Text Box 6" o:spid="_x0000_s1029" type="#_x0000_t202" alt="OFFICIAL" style="position:absolute;margin-left:0;margin-top:0;width:43.45pt;height:30.4pt;z-index:25165721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" filled="f" stroked="f">
              <v:textbox style="mso-fit-shape-to-text:t" inset="0,0,0,15pt">
                <w:txbxContent>
                  <w:p w14:paraId="4F88763C" w14:textId="06F4F266" w:rsidR="00561C8B" w:rsidRPr="00561C8B" w:rsidRDefault="00561C8B" w:rsidP="00561C8B">
                    <w:pPr>
                      <w:spacing w:after="0"/>
                      <w:rPr>
                        <w:rFonts w:ascii="Calibri" w:eastAsia="Calibri" w:hAnsi="Calibri" w:cs="Calibri"/>
                        <w:noProof/>
                        <w:color w:val="FF0000"/>
                        <w:sz w:val="24"/>
                        <w:szCs w:val="24"/>
                      </w:rPr>
                    </w:pPr>
                  </w:p>
                </w:txbxContent>
              </v:textbox>
              <w10:wrap anchorx="page" anchory="page"/>
            </v:shape>
          </w:pict>
        </mc:Fallback>
      </mc:AlternateContent>
    </w:r>
    <w:r w:rsidR="008B54C7" w:rsidRPr="008B54C7">
      <w:rPr>
        <w:noProof/>
      </w:rPr>
      <w:t xml:space="preserve"> </w:t>
    </w:r>
    <w:r w:rsidR="008B54C7">
      <w:rPr>
        <w:noProof/>
      </w:rPr>
      <w:t>DOMESTIC TOURISM STATISTICS</w:t>
    </w:r>
    <w:r w:rsidR="008B54C7">
      <w:t xml:space="preserve"> RESULTS – </w:t>
    </w:r>
    <w:r w:rsidR="00E25904">
      <w:t>September</w:t>
    </w:r>
    <w:r w:rsidR="008B54C7">
      <w:t xml:space="preserve"> quarter 2025, Tourism Research Australia </w:t>
    </w:r>
    <w:r w:rsidR="006B3279">
      <w:ptab w:relativeTo="margin" w:alignment="right" w:leader="none"/>
    </w:r>
    <w:r w:rsidR="006B3279" w:rsidRPr="006B3279">
      <w:fldChar w:fldCharType="begin"/>
    </w:r>
    <w:r w:rsidR="006B3279" w:rsidRPr="006B3279">
      <w:instrText xml:space="preserve"> PAGE   \* MERGEFORMAT </w:instrText>
    </w:r>
    <w:r w:rsidR="006B3279" w:rsidRPr="006B3279">
      <w:fldChar w:fldCharType="separate"/>
    </w:r>
    <w:r w:rsidR="0080458A">
      <w:rPr>
        <w:noProof/>
      </w:rPr>
      <w:t>2</w:t>
    </w:r>
    <w:r w:rsidR="006B3279" w:rsidRPr="006B3279">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343B9" w14:textId="4C702405" w:rsidR="00B7523B" w:rsidRPr="00B7523B" w:rsidRDefault="00561C8B" w:rsidP="00B7523B">
    <w:pPr>
      <w:pStyle w:val="Footer"/>
    </w:pPr>
    <w:r>
      <w:rPr>
        <w:noProof/>
      </w:rPr>
      <mc:AlternateContent>
        <mc:Choice Requires="wps">
          <w:drawing>
            <wp:anchor distT="0" distB="0" distL="0" distR="0" simplePos="0" relativeHeight="251655168" behindDoc="0" locked="0" layoutInCell="1" allowOverlap="1" wp14:anchorId="487A5041" wp14:editId="0A74D091">
              <wp:simplePos x="457200" y="9944100"/>
              <wp:positionH relativeFrom="page">
                <wp:align>center</wp:align>
              </wp:positionH>
              <wp:positionV relativeFrom="page">
                <wp:align>bottom</wp:align>
              </wp:positionV>
              <wp:extent cx="551815" cy="386080"/>
              <wp:effectExtent l="0" t="0" r="635" b="0"/>
              <wp:wrapNone/>
              <wp:docPr id="1803842230"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86080"/>
                      </a:xfrm>
                      <a:prstGeom prst="rect">
                        <a:avLst/>
                      </a:prstGeom>
                      <a:noFill/>
                      <a:ln>
                        <a:noFill/>
                      </a:ln>
                    </wps:spPr>
                    <wps:txbx>
                      <w:txbxContent>
                        <w:p w14:paraId="51BBD60E" w14:textId="5E09B483" w:rsidR="00561C8B" w:rsidRPr="00561C8B" w:rsidRDefault="00561C8B" w:rsidP="00561C8B">
                          <w:pPr>
                            <w:spacing w:after="0"/>
                            <w:rPr>
                              <w:rFonts w:ascii="Calibri" w:eastAsia="Calibri" w:hAnsi="Calibri" w:cs="Calibri"/>
                              <w:noProof/>
                              <w:color w:val="FF0000"/>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87A5041" id="_x0000_t202" coordsize="21600,21600" o:spt="202" path="m,l,21600r21600,l21600,xe">
              <v:stroke joinstyle="miter"/>
              <v:path gradientshapeok="t" o:connecttype="rect"/>
            </v:shapetype>
            <v:shape id="Text Box 4" o:spid="_x0000_s1030" type="#_x0000_t202" alt="OFFICIAL" style="position:absolute;margin-left:0;margin-top:0;width:43.45pt;height:30.4pt;z-index:2516551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" filled="f" stroked="f">
              <v:textbox style="mso-fit-shape-to-text:t" inset="0,0,0,15pt">
                <w:txbxContent>
                  <w:p w14:paraId="51BBD60E" w14:textId="5E09B483" w:rsidR="00561C8B" w:rsidRPr="00561C8B" w:rsidRDefault="00561C8B" w:rsidP="00561C8B">
                    <w:pPr>
                      <w:spacing w:after="0"/>
                      <w:rPr>
                        <w:rFonts w:ascii="Calibri" w:eastAsia="Calibri" w:hAnsi="Calibri" w:cs="Calibri"/>
                        <w:noProof/>
                        <w:color w:val="FF0000"/>
                        <w:sz w:val="24"/>
                        <w:szCs w:val="24"/>
                      </w:rPr>
                    </w:pPr>
                  </w:p>
                </w:txbxContent>
              </v:textbox>
              <w10:wrap anchorx="page" anchory="page"/>
            </v:shape>
          </w:pict>
        </mc:Fallback>
      </mc:AlternateContent>
    </w:r>
    <w:r w:rsidR="008B54C7">
      <w:rPr>
        <w:noProof/>
      </w:rPr>
      <w:t>DOMESTIC TOURISM STATISTICS</w:t>
    </w:r>
    <w:r w:rsidR="00BC216F">
      <w:t xml:space="preserve"> RESULTS</w:t>
    </w:r>
    <w:r w:rsidR="00750D77">
      <w:t xml:space="preserve"> – </w:t>
    </w:r>
    <w:r w:rsidR="00FF693A">
      <w:t>September</w:t>
    </w:r>
    <w:r w:rsidR="008E7477">
      <w:t xml:space="preserve"> quarter 202</w:t>
    </w:r>
    <w:r w:rsidR="00FE0318">
      <w:t>5</w:t>
    </w:r>
    <w:r w:rsidR="00750D77">
      <w:t>, Tourism Research Australia</w:t>
    </w:r>
    <w:r w:rsidR="00B7523B">
      <w:tab/>
    </w:r>
    <w:r w:rsidR="00B7523B">
      <w:ptab w:relativeTo="margin" w:alignment="right" w:leader="none"/>
    </w:r>
    <w:r w:rsidR="00B7523B" w:rsidRPr="006B3279">
      <w:fldChar w:fldCharType="begin"/>
    </w:r>
    <w:r w:rsidR="00B7523B" w:rsidRPr="006B3279">
      <w:instrText xml:space="preserve"> PAGE   \* MERGEFORMAT </w:instrText>
    </w:r>
    <w:r w:rsidR="00B7523B" w:rsidRPr="006B3279">
      <w:fldChar w:fldCharType="separate"/>
    </w:r>
    <w:r w:rsidR="00DF172A">
      <w:rPr>
        <w:noProof/>
      </w:rPr>
      <w:t>1</w:t>
    </w:r>
    <w:r w:rsidR="00B7523B" w:rsidRPr="006B3279">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40257" w14:textId="77777777" w:rsidR="00434C64" w:rsidRDefault="00434C64">
    <w:pPr>
      <w:pStyle w:val="Footer"/>
    </w:pPr>
    <w:r>
      <w:rPr>
        <w:noProof/>
      </w:rPr>
      <mc:AlternateContent>
        <mc:Choice Requires="wps">
          <w:drawing>
            <wp:anchor distT="0" distB="0" distL="0" distR="0" simplePos="0" relativeHeight="251661312" behindDoc="0" locked="0" layoutInCell="1" allowOverlap="1" wp14:anchorId="60A5E09F" wp14:editId="56A72341">
              <wp:simplePos x="635" y="635"/>
              <wp:positionH relativeFrom="page">
                <wp:align>center</wp:align>
              </wp:positionH>
              <wp:positionV relativeFrom="page">
                <wp:align>bottom</wp:align>
              </wp:positionV>
              <wp:extent cx="551815" cy="386080"/>
              <wp:effectExtent l="0" t="0" r="635" b="0"/>
              <wp:wrapNone/>
              <wp:docPr id="781480930"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86080"/>
                      </a:xfrm>
                      <a:prstGeom prst="rect">
                        <a:avLst/>
                      </a:prstGeom>
                      <a:noFill/>
                      <a:ln>
                        <a:noFill/>
                      </a:ln>
                    </wps:spPr>
                    <wps:txbx>
                      <w:txbxContent>
                        <w:p w14:paraId="17EC3EDA" w14:textId="77777777" w:rsidR="00434C64" w:rsidRPr="00561C8B" w:rsidRDefault="00434C64" w:rsidP="00561C8B">
                          <w:pPr>
                            <w:spacing w:after="0"/>
                            <w:rPr>
                              <w:rFonts w:ascii="Calibri" w:eastAsia="Calibri" w:hAnsi="Calibri" w:cs="Calibri"/>
                              <w:noProof/>
                              <w:color w:val="FF0000"/>
                              <w:sz w:val="24"/>
                              <w:szCs w:val="24"/>
                            </w:rPr>
                          </w:pPr>
                          <w:r w:rsidRPr="00561C8B">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0A5E09F" id="_x0000_t202" coordsize="21600,21600" o:spt="202" path="m,l,21600r21600,l21600,xe">
              <v:stroke joinstyle="miter"/>
              <v:path gradientshapeok="t" o:connecttype="rect"/>
            </v:shapetype>
            <v:shape id="_x0000_s1033" type="#_x0000_t202" alt="OFFICIAL" style="position:absolute;margin-left:0;margin-top:0;width:43.45pt;height:30.4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" filled="f" stroked="f">
              <v:textbox style="mso-fit-shape-to-text:t" inset="0,0,0,15pt">
                <w:txbxContent>
                  <w:p w14:paraId="17EC3EDA" w14:textId="77777777" w:rsidR="00434C64" w:rsidRPr="00561C8B" w:rsidRDefault="00434C64" w:rsidP="00561C8B">
                    <w:pPr>
                      <w:spacing w:after="0"/>
                      <w:rPr>
                        <w:rFonts w:ascii="Calibri" w:eastAsia="Calibri" w:hAnsi="Calibri" w:cs="Calibri"/>
                        <w:noProof/>
                        <w:color w:val="FF0000"/>
                        <w:sz w:val="24"/>
                        <w:szCs w:val="24"/>
                      </w:rPr>
                    </w:pPr>
                    <w:r w:rsidRPr="00561C8B">
                      <w:rPr>
                        <w:rFonts w:ascii="Calibri" w:eastAsia="Calibri" w:hAnsi="Calibri" w:cs="Calibri"/>
                        <w:noProof/>
                        <w:color w:val="FF0000"/>
                        <w:sz w:val="24"/>
                        <w:szCs w:val="24"/>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C7730" w14:textId="58106FC9" w:rsidR="00434C64" w:rsidRPr="006B3279" w:rsidRDefault="00434C64" w:rsidP="006B3279">
    <w:pPr>
      <w:pStyle w:val="Footer"/>
    </w:pPr>
    <w:r>
      <w:rPr>
        <w:noProof/>
      </w:rPr>
      <mc:AlternateContent>
        <mc:Choice Requires="wps">
          <w:drawing>
            <wp:anchor distT="0" distB="0" distL="0" distR="0" simplePos="0" relativeHeight="251662336" behindDoc="0" locked="0" layoutInCell="1" allowOverlap="1" wp14:anchorId="01028111" wp14:editId="581E2C89">
              <wp:simplePos x="635" y="635"/>
              <wp:positionH relativeFrom="page">
                <wp:align>center</wp:align>
              </wp:positionH>
              <wp:positionV relativeFrom="page">
                <wp:align>bottom</wp:align>
              </wp:positionV>
              <wp:extent cx="551815" cy="386080"/>
              <wp:effectExtent l="0" t="0" r="635" b="0"/>
              <wp:wrapNone/>
              <wp:docPr id="1071286845"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86080"/>
                      </a:xfrm>
                      <a:prstGeom prst="rect">
                        <a:avLst/>
                      </a:prstGeom>
                      <a:noFill/>
                      <a:ln>
                        <a:noFill/>
                      </a:ln>
                    </wps:spPr>
                    <wps:txbx>
                      <w:txbxContent>
                        <w:p w14:paraId="6500593D" w14:textId="77777777" w:rsidR="00434C64" w:rsidRPr="00561C8B" w:rsidRDefault="00434C64" w:rsidP="00561C8B">
                          <w:pPr>
                            <w:spacing w:after="0"/>
                            <w:rPr>
                              <w:rFonts w:ascii="Calibri" w:eastAsia="Calibri" w:hAnsi="Calibri" w:cs="Calibri"/>
                              <w:noProof/>
                              <w:color w:val="FF0000"/>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1028111" id="_x0000_t202" coordsize="21600,21600" o:spt="202" path="m,l,21600r21600,l21600,xe">
              <v:stroke joinstyle="miter"/>
              <v:path gradientshapeok="t" o:connecttype="rect"/>
            </v:shapetype>
            <v:shape id="_x0000_s1034" type="#_x0000_t202" alt="OFFICIAL" style="position:absolute;margin-left:0;margin-top:0;width:43.45pt;height:30.4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" filled="f" stroked="f">
              <v:textbox style="mso-fit-shape-to-text:t" inset="0,0,0,15pt">
                <w:txbxContent>
                  <w:p w14:paraId="6500593D" w14:textId="77777777" w:rsidR="00434C64" w:rsidRPr="00561C8B" w:rsidRDefault="00434C64" w:rsidP="00561C8B">
                    <w:pPr>
                      <w:spacing w:after="0"/>
                      <w:rPr>
                        <w:rFonts w:ascii="Calibri" w:eastAsia="Calibri" w:hAnsi="Calibri" w:cs="Calibri"/>
                        <w:noProof/>
                        <w:color w:val="FF0000"/>
                        <w:sz w:val="24"/>
                        <w:szCs w:val="24"/>
                      </w:rPr>
                    </w:pPr>
                  </w:p>
                </w:txbxContent>
              </v:textbox>
              <w10:wrap anchorx="page" anchory="page"/>
            </v:shape>
          </w:pict>
        </mc:Fallback>
      </mc:AlternateContent>
    </w:r>
    <w:r w:rsidRPr="008B54C7">
      <w:rPr>
        <w:noProof/>
      </w:rPr>
      <w:t xml:space="preserve"> </w:t>
    </w:r>
    <w:r>
      <w:rPr>
        <w:noProof/>
      </w:rPr>
      <w:t>DOMESTIC TOURISM STATISTICS</w:t>
    </w:r>
    <w:r>
      <w:t xml:space="preserve"> RESULTS – </w:t>
    </w:r>
    <w:r w:rsidR="00076345">
      <w:t>September</w:t>
    </w:r>
    <w:r>
      <w:t xml:space="preserve"> quarter 2025, Tourism Research Australia </w:t>
    </w:r>
    <w:r>
      <w:ptab w:relativeTo="margin" w:alignment="right" w:leader="none"/>
    </w:r>
    <w:r w:rsidRPr="006B3279">
      <w:fldChar w:fldCharType="begin"/>
    </w:r>
    <w:r w:rsidRPr="006B3279">
      <w:instrText xml:space="preserve"> PAGE   \* MERGEFORMAT </w:instrText>
    </w:r>
    <w:r w:rsidRPr="006B3279">
      <w:fldChar w:fldCharType="separate"/>
    </w:r>
    <w:r>
      <w:rPr>
        <w:noProof/>
      </w:rPr>
      <w:t>2</w:t>
    </w:r>
    <w:r w:rsidRPr="006B3279">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E5CC2" w14:textId="68D149EF" w:rsidR="00434C64" w:rsidRPr="00B7523B" w:rsidRDefault="00434C64" w:rsidP="00B7523B">
    <w:pPr>
      <w:pStyle w:val="Footer"/>
    </w:pPr>
    <w:r>
      <w:rPr>
        <w:noProof/>
      </w:rPr>
      <mc:AlternateContent>
        <mc:Choice Requires="wps">
          <w:drawing>
            <wp:anchor distT="0" distB="0" distL="0" distR="0" simplePos="0" relativeHeight="251659264" behindDoc="0" locked="0" layoutInCell="1" allowOverlap="1" wp14:anchorId="2C8BD63A" wp14:editId="0BA6283E">
              <wp:simplePos x="457200" y="9944100"/>
              <wp:positionH relativeFrom="page">
                <wp:align>center</wp:align>
              </wp:positionH>
              <wp:positionV relativeFrom="page">
                <wp:align>bottom</wp:align>
              </wp:positionV>
              <wp:extent cx="551815" cy="386080"/>
              <wp:effectExtent l="0" t="0" r="635" b="0"/>
              <wp:wrapNone/>
              <wp:docPr id="222493117"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86080"/>
                      </a:xfrm>
                      <a:prstGeom prst="rect">
                        <a:avLst/>
                      </a:prstGeom>
                      <a:noFill/>
                      <a:ln>
                        <a:noFill/>
                      </a:ln>
                    </wps:spPr>
                    <wps:txbx>
                      <w:txbxContent>
                        <w:p w14:paraId="5C1476CC" w14:textId="77777777" w:rsidR="00434C64" w:rsidRPr="00561C8B" w:rsidRDefault="00434C64" w:rsidP="00561C8B">
                          <w:pPr>
                            <w:spacing w:after="0"/>
                            <w:rPr>
                              <w:rFonts w:ascii="Calibri" w:eastAsia="Calibri" w:hAnsi="Calibri" w:cs="Calibri"/>
                              <w:noProof/>
                              <w:color w:val="FF0000"/>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C8BD63A" id="_x0000_t202" coordsize="21600,21600" o:spt="202" path="m,l,21600r21600,l21600,xe">
              <v:stroke joinstyle="miter"/>
              <v:path gradientshapeok="t" o:connecttype="rect"/>
            </v:shapetype>
            <v:shape id="_x0000_s1035" type="#_x0000_t202" alt="OFFICIAL" style="position:absolute;margin-left:0;margin-top:0;width:43.45pt;height:30.4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" filled="f" stroked="f">
              <v:textbox style="mso-fit-shape-to-text:t" inset="0,0,0,15pt">
                <w:txbxContent>
                  <w:p w14:paraId="5C1476CC" w14:textId="77777777" w:rsidR="00434C64" w:rsidRPr="00561C8B" w:rsidRDefault="00434C64" w:rsidP="00561C8B">
                    <w:pPr>
                      <w:spacing w:after="0"/>
                      <w:rPr>
                        <w:rFonts w:ascii="Calibri" w:eastAsia="Calibri" w:hAnsi="Calibri" w:cs="Calibri"/>
                        <w:noProof/>
                        <w:color w:val="FF0000"/>
                        <w:sz w:val="24"/>
                        <w:szCs w:val="24"/>
                      </w:rPr>
                    </w:pPr>
                  </w:p>
                </w:txbxContent>
              </v:textbox>
              <w10:wrap anchorx="page" anchory="page"/>
            </v:shape>
          </w:pict>
        </mc:Fallback>
      </mc:AlternateContent>
    </w:r>
    <w:r>
      <w:rPr>
        <w:noProof/>
      </w:rPr>
      <w:t>DOMESTIC TOURISM STATISTICS</w:t>
    </w:r>
    <w:r>
      <w:t xml:space="preserve"> RESULTS – </w:t>
    </w:r>
    <w:r w:rsidR="007155E5">
      <w:t>September</w:t>
    </w:r>
    <w:r>
      <w:t xml:space="preserve"> quarter 2025, Tourism Research Australia</w:t>
    </w:r>
    <w:r>
      <w:tab/>
    </w:r>
    <w:r>
      <w:ptab w:relativeTo="margin" w:alignment="right" w:leader="none"/>
    </w:r>
    <w:r w:rsidRPr="006B3279">
      <w:fldChar w:fldCharType="begin"/>
    </w:r>
    <w:r w:rsidRPr="006B3279">
      <w:instrText xml:space="preserve"> PAGE   \* MERGEFORMAT </w:instrText>
    </w:r>
    <w:r w:rsidRPr="006B3279">
      <w:fldChar w:fldCharType="separate"/>
    </w:r>
    <w:r>
      <w:rPr>
        <w:noProof/>
      </w:rPr>
      <w:t>1</w:t>
    </w:r>
    <w:r w:rsidRPr="006B3279">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30C54" w14:textId="77777777" w:rsidR="001107CE" w:rsidRDefault="001107CE" w:rsidP="00D52B20">
      <w:pPr>
        <w:spacing w:after="0" w:line="240" w:lineRule="auto"/>
      </w:pPr>
    </w:p>
  </w:footnote>
  <w:footnote w:type="continuationSeparator" w:id="0">
    <w:p w14:paraId="6C76A55D" w14:textId="77777777" w:rsidR="001107CE" w:rsidRDefault="001107CE" w:rsidP="00D52B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2A9C2" w14:textId="5B84EEA6" w:rsidR="00561C8B" w:rsidRDefault="00561C8B">
    <w:pPr>
      <w:pStyle w:val="Header"/>
    </w:pPr>
    <w:r>
      <w:rPr>
        <w:noProof/>
      </w:rPr>
      <mc:AlternateContent>
        <mc:Choice Requires="wps">
          <w:drawing>
            <wp:anchor distT="0" distB="0" distL="0" distR="0" simplePos="0" relativeHeight="251653120" behindDoc="0" locked="0" layoutInCell="1" allowOverlap="1" wp14:anchorId="15C4353E" wp14:editId="79B61DA1">
              <wp:simplePos x="635" y="635"/>
              <wp:positionH relativeFrom="page">
                <wp:align>center</wp:align>
              </wp:positionH>
              <wp:positionV relativeFrom="page">
                <wp:align>top</wp:align>
              </wp:positionV>
              <wp:extent cx="551815" cy="386080"/>
              <wp:effectExtent l="0" t="0" r="635" b="13970"/>
              <wp:wrapNone/>
              <wp:docPr id="62656101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86080"/>
                      </a:xfrm>
                      <a:prstGeom prst="rect">
                        <a:avLst/>
                      </a:prstGeom>
                      <a:noFill/>
                      <a:ln>
                        <a:noFill/>
                      </a:ln>
                    </wps:spPr>
                    <wps:txbx>
                      <w:txbxContent>
                        <w:p w14:paraId="5363621C" w14:textId="26B7B500" w:rsidR="00561C8B" w:rsidRPr="00561C8B" w:rsidRDefault="00561C8B" w:rsidP="00561C8B">
                          <w:pPr>
                            <w:spacing w:after="0"/>
                            <w:rPr>
                              <w:rFonts w:ascii="Calibri" w:eastAsia="Calibri" w:hAnsi="Calibri" w:cs="Calibri"/>
                              <w:noProof/>
                              <w:color w:val="FF0000"/>
                              <w:sz w:val="24"/>
                              <w:szCs w:val="24"/>
                            </w:rPr>
                          </w:pPr>
                          <w:r w:rsidRPr="00561C8B">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5C4353E" id="_x0000_t202" coordsize="21600,21600" o:spt="202" path="m,l,21600r21600,l21600,xe">
              <v:stroke joinstyle="miter"/>
              <v:path gradientshapeok="t" o:connecttype="rect"/>
            </v:shapetype>
            <v:shape id="Text Box 2" o:spid="_x0000_s1026" type="#_x0000_t202" alt="OFFICIAL" style="position:absolute;margin-left:0;margin-top:0;width:43.45pt;height:30.4pt;z-index:25165312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" filled="f" stroked="f">
              <v:textbox style="mso-fit-shape-to-text:t" inset="0,15pt,0,0">
                <w:txbxContent>
                  <w:p w14:paraId="5363621C" w14:textId="26B7B500" w:rsidR="00561C8B" w:rsidRPr="00561C8B" w:rsidRDefault="00561C8B" w:rsidP="00561C8B">
                    <w:pPr>
                      <w:spacing w:after="0"/>
                      <w:rPr>
                        <w:rFonts w:ascii="Calibri" w:eastAsia="Calibri" w:hAnsi="Calibri" w:cs="Calibri"/>
                        <w:noProof/>
                        <w:color w:val="FF0000"/>
                        <w:sz w:val="24"/>
                        <w:szCs w:val="24"/>
                      </w:rPr>
                    </w:pPr>
                    <w:r w:rsidRPr="00561C8B">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CC5CE" w14:textId="20A17EDC" w:rsidR="006B3279" w:rsidRDefault="00561C8B">
    <w:pPr>
      <w:pStyle w:val="Header"/>
    </w:pPr>
    <w:r>
      <w:rPr>
        <w:noProof/>
        <w:lang w:eastAsia="en-AU"/>
      </w:rPr>
      <mc:AlternateContent>
        <mc:Choice Requires="wps">
          <w:drawing>
            <wp:anchor distT="0" distB="0" distL="0" distR="0" simplePos="0" relativeHeight="251654144" behindDoc="0" locked="0" layoutInCell="1" allowOverlap="1" wp14:anchorId="6E8C8B3F" wp14:editId="2F017897">
              <wp:simplePos x="635" y="635"/>
              <wp:positionH relativeFrom="page">
                <wp:align>center</wp:align>
              </wp:positionH>
              <wp:positionV relativeFrom="page">
                <wp:align>top</wp:align>
              </wp:positionV>
              <wp:extent cx="551815" cy="386080"/>
              <wp:effectExtent l="0" t="0" r="635" b="13970"/>
              <wp:wrapNone/>
              <wp:docPr id="42457856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86080"/>
                      </a:xfrm>
                      <a:prstGeom prst="rect">
                        <a:avLst/>
                      </a:prstGeom>
                      <a:noFill/>
                      <a:ln>
                        <a:noFill/>
                      </a:ln>
                    </wps:spPr>
                    <wps:txbx>
                      <w:txbxContent>
                        <w:p w14:paraId="6870186A" w14:textId="46BACA70" w:rsidR="00561C8B" w:rsidRPr="00561C8B" w:rsidRDefault="00561C8B" w:rsidP="00561C8B">
                          <w:pPr>
                            <w:spacing w:after="0"/>
                            <w:rPr>
                              <w:rFonts w:ascii="Calibri" w:eastAsia="Calibri" w:hAnsi="Calibri" w:cs="Calibri"/>
                              <w:noProof/>
                              <w:color w:val="FF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E8C8B3F" id="_x0000_t202" coordsize="21600,21600" o:spt="202" path="m,l,21600r21600,l21600,xe">
              <v:stroke joinstyle="miter"/>
              <v:path gradientshapeok="t" o:connecttype="rect"/>
            </v:shapetype>
            <v:shape id="Text Box 3" o:spid="_x0000_s1027" type="#_x0000_t202" alt="OFFICIAL" style="position:absolute;margin-left:0;margin-top:0;width:43.45pt;height:30.4pt;z-index:2516541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" filled="f" stroked="f">
              <v:textbox style="mso-fit-shape-to-text:t" inset="0,15pt,0,0">
                <w:txbxContent>
                  <w:p w14:paraId="6870186A" w14:textId="46BACA70" w:rsidR="00561C8B" w:rsidRPr="00561C8B" w:rsidRDefault="00561C8B" w:rsidP="00561C8B">
                    <w:pPr>
                      <w:spacing w:after="0"/>
                      <w:rPr>
                        <w:rFonts w:ascii="Calibri" w:eastAsia="Calibri" w:hAnsi="Calibri" w:cs="Calibri"/>
                        <w:noProof/>
                        <w:color w:val="FF0000"/>
                        <w:sz w:val="24"/>
                        <w:szCs w:val="24"/>
                      </w:rPr>
                    </w:pPr>
                  </w:p>
                </w:txbxContent>
              </v:textbox>
              <w10:wrap anchorx="page" anchory="page"/>
            </v:shape>
          </w:pict>
        </mc:Fallback>
      </mc:AlternateContent>
    </w:r>
    <w:r w:rsidR="00F5033A">
      <w:rPr>
        <w:noProof/>
        <w:lang w:eastAsia="en-AU"/>
      </w:rPr>
      <mc:AlternateContent>
        <mc:Choice Requires="wps">
          <w:drawing>
            <wp:anchor distT="0" distB="0" distL="114300" distR="114300" simplePos="0" relativeHeight="251651072" behindDoc="1" locked="1" layoutInCell="1" allowOverlap="1" wp14:anchorId="5C822561" wp14:editId="5009C840">
              <wp:simplePos x="368490" y="218364"/>
              <wp:positionH relativeFrom="column">
                <wp:align>center</wp:align>
              </wp:positionH>
              <wp:positionV relativeFrom="page">
                <wp:posOffset>288290</wp:posOffset>
              </wp:positionV>
              <wp:extent cx="6984000" cy="216000"/>
              <wp:effectExtent l="0" t="0" r="7620" b="0"/>
              <wp:wrapNone/>
              <wp:docPr id="2"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84000" cy="2160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19C9C1" id="Rectangle 2" o:spid="_x0000_s1026" alt="&quot;&quot;" style="position:absolute;margin-left:0;margin-top:22.7pt;width:549.9pt;height:17pt;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" fillcolor="#2e1a47 [3215]" stroked="f" strokeweight="2pt">
              <w10:wrap anchory="page"/>
              <w10:anchorlock/>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61CC9" w14:textId="677DBEB3" w:rsidR="002F6F94" w:rsidRDefault="002F6F94">
    <w:pPr>
      <w:pStyle w:val="Header"/>
    </w:pPr>
    <w:r>
      <w:rPr>
        <w:noProof/>
        <w:lang w:eastAsia="en-AU"/>
      </w:rPr>
      <mc:AlternateContent>
        <mc:Choice Requires="wps">
          <w:drawing>
            <wp:anchor distT="0" distB="0" distL="114300" distR="114300" simplePos="0" relativeHeight="251652096" behindDoc="1" locked="1" layoutInCell="1" allowOverlap="1" wp14:anchorId="10E81AF6" wp14:editId="498FF8E2">
              <wp:simplePos x="0" y="0"/>
              <wp:positionH relativeFrom="margin">
                <wp:align>center</wp:align>
              </wp:positionH>
              <wp:positionV relativeFrom="topMargin">
                <wp:align>bottom</wp:align>
              </wp:positionV>
              <wp:extent cx="6983730" cy="215900"/>
              <wp:effectExtent l="0" t="0" r="7620" b="0"/>
              <wp:wrapNone/>
              <wp:docPr id="1259136355" name="Rectangle 125913635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83730" cy="215900"/>
                      </a:xfrm>
                      <a:prstGeom prst="rect">
                        <a:avLst/>
                      </a:prstGeom>
                      <a:solidFill>
                        <a:srgbClr val="2E1A47"/>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101088" id="Rectangle 1259136355" o:spid="_x0000_s1026" alt="&quot;&quot;" style="position:absolute;margin-left:0;margin-top:0;width:549.9pt;height:17pt;z-index:-251655168;visibility:visible;mso-wrap-style:square;mso-width-percent:0;mso-height-percent:0;mso-wrap-distance-left:9pt;mso-wrap-distance-top:0;mso-wrap-distance-right:9pt;mso-wrap-distance-bottom:0;mso-position-horizontal:center;mso-position-horizontal-relative:margin;mso-position-vertical:bottom;mso-position-vertical-relative:top-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" fillcolor="#2e1a47" stroked="f" strokeweight="2pt">
              <w10:wrap anchorx="margin" anchory="margin"/>
              <w10:anchorlock/>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B9429" w14:textId="77777777" w:rsidR="00434C64" w:rsidRDefault="00434C64">
    <w:pPr>
      <w:pStyle w:val="Header"/>
    </w:pPr>
    <w:r>
      <w:rPr>
        <w:noProof/>
      </w:rPr>
      <mc:AlternateContent>
        <mc:Choice Requires="wps">
          <w:drawing>
            <wp:anchor distT="0" distB="0" distL="0" distR="0" simplePos="0" relativeHeight="251660288" behindDoc="0" locked="0" layoutInCell="1" allowOverlap="1" wp14:anchorId="14E9AAD6" wp14:editId="634B9A53">
              <wp:simplePos x="635" y="635"/>
              <wp:positionH relativeFrom="page">
                <wp:align>center</wp:align>
              </wp:positionH>
              <wp:positionV relativeFrom="page">
                <wp:align>top</wp:align>
              </wp:positionV>
              <wp:extent cx="551815" cy="386080"/>
              <wp:effectExtent l="0" t="0" r="635" b="13970"/>
              <wp:wrapNone/>
              <wp:docPr id="68724755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86080"/>
                      </a:xfrm>
                      <a:prstGeom prst="rect">
                        <a:avLst/>
                      </a:prstGeom>
                      <a:noFill/>
                      <a:ln>
                        <a:noFill/>
                      </a:ln>
                    </wps:spPr>
                    <wps:txbx>
                      <w:txbxContent>
                        <w:p w14:paraId="5F1C2606" w14:textId="77777777" w:rsidR="00434C64" w:rsidRPr="00561C8B" w:rsidRDefault="00434C64" w:rsidP="00561C8B">
                          <w:pPr>
                            <w:spacing w:after="0"/>
                            <w:rPr>
                              <w:rFonts w:ascii="Calibri" w:eastAsia="Calibri" w:hAnsi="Calibri" w:cs="Calibri"/>
                              <w:noProof/>
                              <w:color w:val="FF0000"/>
                              <w:sz w:val="24"/>
                              <w:szCs w:val="24"/>
                            </w:rPr>
                          </w:pPr>
                          <w:r w:rsidRPr="00561C8B">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4E9AAD6" id="_x0000_t202" coordsize="21600,21600" o:spt="202" path="m,l,21600r21600,l21600,xe">
              <v:stroke joinstyle="miter"/>
              <v:path gradientshapeok="t" o:connecttype="rect"/>
            </v:shapetype>
            <v:shape id="_x0000_s1031" type="#_x0000_t202" alt="OFFICIAL" style="position:absolute;margin-left:0;margin-top:0;width:43.45pt;height:30.4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" filled="f" stroked="f">
              <v:textbox style="mso-fit-shape-to-text:t" inset="0,15pt,0,0">
                <w:txbxContent>
                  <w:p w14:paraId="5F1C2606" w14:textId="77777777" w:rsidR="00434C64" w:rsidRPr="00561C8B" w:rsidRDefault="00434C64" w:rsidP="00561C8B">
                    <w:pPr>
                      <w:spacing w:after="0"/>
                      <w:rPr>
                        <w:rFonts w:ascii="Calibri" w:eastAsia="Calibri" w:hAnsi="Calibri" w:cs="Calibri"/>
                        <w:noProof/>
                        <w:color w:val="FF0000"/>
                        <w:sz w:val="24"/>
                        <w:szCs w:val="24"/>
                      </w:rPr>
                    </w:pPr>
                    <w:r w:rsidRPr="00561C8B">
                      <w:rPr>
                        <w:rFonts w:ascii="Calibri" w:eastAsia="Calibri" w:hAnsi="Calibri" w:cs="Calibri"/>
                        <w:noProof/>
                        <w:color w:val="FF0000"/>
                        <w:sz w:val="24"/>
                        <w:szCs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189F6" w14:textId="77777777" w:rsidR="00434C64" w:rsidRDefault="00434C64">
    <w:pPr>
      <w:pStyle w:val="Header"/>
    </w:pPr>
    <w:r>
      <w:rPr>
        <w:noProof/>
        <w:lang w:eastAsia="en-AU"/>
      </w:rPr>
      <mc:AlternateContent>
        <mc:Choice Requires="wps">
          <w:drawing>
            <wp:anchor distT="0" distB="0" distL="0" distR="0" simplePos="0" relativeHeight="251664384" behindDoc="0" locked="0" layoutInCell="1" allowOverlap="1" wp14:anchorId="719BC282" wp14:editId="7F81E8FD">
              <wp:simplePos x="635" y="635"/>
              <wp:positionH relativeFrom="page">
                <wp:align>center</wp:align>
              </wp:positionH>
              <wp:positionV relativeFrom="page">
                <wp:align>top</wp:align>
              </wp:positionV>
              <wp:extent cx="551815" cy="386080"/>
              <wp:effectExtent l="0" t="0" r="635" b="13970"/>
              <wp:wrapNone/>
              <wp:docPr id="265852930"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86080"/>
                      </a:xfrm>
                      <a:prstGeom prst="rect">
                        <a:avLst/>
                      </a:prstGeom>
                      <a:noFill/>
                      <a:ln>
                        <a:noFill/>
                      </a:ln>
                    </wps:spPr>
                    <wps:txbx>
                      <w:txbxContent>
                        <w:p w14:paraId="666C4009" w14:textId="77777777" w:rsidR="00434C64" w:rsidRPr="00561C8B" w:rsidRDefault="00434C64" w:rsidP="00561C8B">
                          <w:pPr>
                            <w:spacing w:after="0"/>
                            <w:rPr>
                              <w:rFonts w:ascii="Calibri" w:eastAsia="Calibri" w:hAnsi="Calibri" w:cs="Calibri"/>
                              <w:noProof/>
                              <w:color w:val="FF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19BC282" id="_x0000_t202" coordsize="21600,21600" o:spt="202" path="m,l,21600r21600,l21600,xe">
              <v:stroke joinstyle="miter"/>
              <v:path gradientshapeok="t" o:connecttype="rect"/>
            </v:shapetype>
            <v:shape id="_x0000_s1032" type="#_x0000_t202" alt="OFFICIAL" style="position:absolute;margin-left:0;margin-top:0;width:43.45pt;height:30.4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" filled="f" stroked="f">
              <v:textbox style="mso-fit-shape-to-text:t" inset="0,15pt,0,0">
                <w:txbxContent>
                  <w:p w14:paraId="666C4009" w14:textId="77777777" w:rsidR="00434C64" w:rsidRPr="00561C8B" w:rsidRDefault="00434C64" w:rsidP="00561C8B">
                    <w:pPr>
                      <w:spacing w:after="0"/>
                      <w:rPr>
                        <w:rFonts w:ascii="Calibri" w:eastAsia="Calibri" w:hAnsi="Calibri" w:cs="Calibri"/>
                        <w:noProof/>
                        <w:color w:val="FF0000"/>
                        <w:sz w:val="24"/>
                        <w:szCs w:val="24"/>
                      </w:rPr>
                    </w:pPr>
                  </w:p>
                </w:txbxContent>
              </v:textbox>
              <w10:wrap anchorx="page" anchory="page"/>
            </v:shape>
          </w:pict>
        </mc:Fallback>
      </mc:AlternateContent>
    </w:r>
    <w:r>
      <w:rPr>
        <w:noProof/>
        <w:lang w:eastAsia="en-AU"/>
      </w:rPr>
      <mc:AlternateContent>
        <mc:Choice Requires="wps">
          <w:drawing>
            <wp:anchor distT="0" distB="0" distL="114300" distR="114300" simplePos="0" relativeHeight="251663360" behindDoc="1" locked="1" layoutInCell="1" allowOverlap="1" wp14:anchorId="35D4242D" wp14:editId="267CAC57">
              <wp:simplePos x="368490" y="218364"/>
              <wp:positionH relativeFrom="column">
                <wp:align>center</wp:align>
              </wp:positionH>
              <wp:positionV relativeFrom="page">
                <wp:posOffset>288290</wp:posOffset>
              </wp:positionV>
              <wp:extent cx="6984000" cy="216000"/>
              <wp:effectExtent l="0" t="0" r="7620" b="0"/>
              <wp:wrapNone/>
              <wp:docPr id="1559214890" name="Rectangle 155921489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84000" cy="2160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1E0CE" id="Rectangle 1559214890" o:spid="_x0000_s1026" alt="&quot;&quot;" style="position:absolute;margin-left:0;margin-top:22.7pt;width:549.9pt;height:17pt;z-index:-251646976;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" fillcolor="#2e1a47 [3215]" stroked="f" strokeweight="2pt">
              <w10:wrap anchory="page"/>
              <w10:anchorlock/>
            </v:rect>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F68ED" w14:textId="77777777" w:rsidR="00434C64" w:rsidRDefault="00434C64">
    <w:pPr>
      <w:pStyle w:val="Header"/>
    </w:pPr>
    <w:r>
      <w:rPr>
        <w:noProof/>
        <w:lang w:eastAsia="en-AU"/>
      </w:rPr>
      <mc:AlternateContent>
        <mc:Choice Requires="wps">
          <w:drawing>
            <wp:anchor distT="0" distB="0" distL="114300" distR="114300" simplePos="0" relativeHeight="251658240" behindDoc="1" locked="1" layoutInCell="1" allowOverlap="1" wp14:anchorId="43B57A10" wp14:editId="2418878A">
              <wp:simplePos x="0" y="0"/>
              <wp:positionH relativeFrom="margin">
                <wp:align>center</wp:align>
              </wp:positionH>
              <wp:positionV relativeFrom="topMargin">
                <wp:align>bottom</wp:align>
              </wp:positionV>
              <wp:extent cx="6983730" cy="215900"/>
              <wp:effectExtent l="0" t="0" r="7620" b="0"/>
              <wp:wrapNone/>
              <wp:docPr id="45192524" name="Rectangle 4519252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83730" cy="215900"/>
                      </a:xfrm>
                      <a:prstGeom prst="rect">
                        <a:avLst/>
                      </a:prstGeom>
                      <a:solidFill>
                        <a:srgbClr val="2E1A47"/>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7E8144" id="Rectangle 45192524" o:spid="_x0000_s1026" alt="&quot;&quot;" style="position:absolute;margin-left:0;margin-top:0;width:549.9pt;height:17pt;z-index:-251646976;visibility:visible;mso-wrap-style:square;mso-width-percent:0;mso-height-percent:0;mso-wrap-distance-left:9pt;mso-wrap-distance-top:0;mso-wrap-distance-right:9pt;mso-wrap-distance-bottom:0;mso-position-horizontal:center;mso-position-horizontal-relative:margin;mso-position-vertical:bottom;mso-position-vertical-relative:top-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" fillcolor="#2e1a47" stroked="f" strokeweight="2pt">
              <w10:wrap anchorx="margin" anchory="margin"/>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7565E"/>
    <w:multiLevelType w:val="multilevel"/>
    <w:tmpl w:val="C4AC7668"/>
    <w:styleLink w:val="Headings"/>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right"/>
      <w:pPr>
        <w:ind w:left="2160" w:hanging="180"/>
      </w:pPr>
      <w:rPr>
        <w:rFonts w:hint="default"/>
      </w:rPr>
    </w:lvl>
    <w:lvl w:ilvl="3">
      <w:start w:val="1"/>
      <w:numFmt w:val="decimal"/>
      <w:lvlText w:val="%1.%2.%3.%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1E42B03"/>
    <w:multiLevelType w:val="hybridMultilevel"/>
    <w:tmpl w:val="75A4A8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5C1722F"/>
    <w:multiLevelType w:val="hybridMultilevel"/>
    <w:tmpl w:val="A2B0CC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8F13275"/>
    <w:multiLevelType w:val="hybridMultilevel"/>
    <w:tmpl w:val="BEAEC5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CCF21C7"/>
    <w:multiLevelType w:val="hybridMultilevel"/>
    <w:tmpl w:val="08A269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01776C6"/>
    <w:multiLevelType w:val="hybridMultilevel"/>
    <w:tmpl w:val="B596E1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8AE0496"/>
    <w:multiLevelType w:val="hybridMultilevel"/>
    <w:tmpl w:val="595A41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99F2587"/>
    <w:multiLevelType w:val="hybridMultilevel"/>
    <w:tmpl w:val="A6CA45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AB303A6"/>
    <w:multiLevelType w:val="hybridMultilevel"/>
    <w:tmpl w:val="33BAD5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D1C6898"/>
    <w:multiLevelType w:val="hybridMultilevel"/>
    <w:tmpl w:val="9E4EB3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F827144"/>
    <w:multiLevelType w:val="hybridMultilevel"/>
    <w:tmpl w:val="3940D6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3A769E8"/>
    <w:multiLevelType w:val="hybridMultilevel"/>
    <w:tmpl w:val="86C228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81D083E"/>
    <w:multiLevelType w:val="hybridMultilevel"/>
    <w:tmpl w:val="D870C4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98508CD"/>
    <w:multiLevelType w:val="hybridMultilevel"/>
    <w:tmpl w:val="76A06530"/>
    <w:lvl w:ilvl="0" w:tplc="E94EF512">
      <w:numFmt w:val="bullet"/>
      <w:lvlText w:val=""/>
      <w:lvlJc w:val="left"/>
      <w:pPr>
        <w:ind w:left="720" w:hanging="360"/>
      </w:pPr>
      <w:rPr>
        <w:rFonts w:ascii="Symbol" w:eastAsiaTheme="minorEastAsia"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B1E5DC9"/>
    <w:multiLevelType w:val="hybridMultilevel"/>
    <w:tmpl w:val="707491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C02780A"/>
    <w:multiLevelType w:val="hybridMultilevel"/>
    <w:tmpl w:val="D65AE0A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82B1AC2"/>
    <w:multiLevelType w:val="hybridMultilevel"/>
    <w:tmpl w:val="69A2DD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DD84D8A"/>
    <w:multiLevelType w:val="hybridMultilevel"/>
    <w:tmpl w:val="DCE268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F002A1A"/>
    <w:multiLevelType w:val="hybridMultilevel"/>
    <w:tmpl w:val="B114DE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FFE43BE"/>
    <w:multiLevelType w:val="multilevel"/>
    <w:tmpl w:val="E124DA12"/>
    <w:lvl w:ilvl="0">
      <w:start w:val="1"/>
      <w:numFmt w:val="bullet"/>
      <w:pStyle w:val="ListBullet"/>
      <w:lvlText w:val=""/>
      <w:lvlJc w:val="left"/>
      <w:pPr>
        <w:ind w:left="284" w:hanging="284"/>
      </w:pPr>
      <w:rPr>
        <w:rFonts w:ascii="Symbol" w:hAnsi="Symbol" w:hint="default"/>
        <w:color w:val="1E988A" w:themeColor="background2"/>
      </w:rPr>
    </w:lvl>
    <w:lvl w:ilvl="1">
      <w:start w:val="1"/>
      <w:numFmt w:val="bullet"/>
      <w:pStyle w:val="ListBullet2"/>
      <w:lvlText w:val="–"/>
      <w:lvlJc w:val="left"/>
      <w:pPr>
        <w:ind w:left="568" w:hanging="284"/>
      </w:pPr>
      <w:rPr>
        <w:rFonts w:ascii="Calibri" w:hAnsi="Calibri" w:hint="default"/>
        <w:color w:val="1E988A" w:themeColor="background2"/>
      </w:rPr>
    </w:lvl>
    <w:lvl w:ilvl="2">
      <w:start w:val="1"/>
      <w:numFmt w:val="bullet"/>
      <w:pStyle w:val="ListBullet3"/>
      <w:lvlText w:val="–"/>
      <w:lvlJc w:val="left"/>
      <w:pPr>
        <w:ind w:left="852" w:hanging="284"/>
      </w:pPr>
      <w:rPr>
        <w:rFonts w:ascii="Calibri" w:hAnsi="Calibri" w:hint="default"/>
        <w:color w:val="1E988A" w:themeColor="background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0" w15:restartNumberingAfterBreak="0">
    <w:nsid w:val="447E5274"/>
    <w:multiLevelType w:val="multilevel"/>
    <w:tmpl w:val="BD8C3EF6"/>
    <w:lvl w:ilvl="0">
      <w:start w:val="1"/>
      <w:numFmt w:val="decimal"/>
      <w:pStyle w:val="ListNumber"/>
      <w:lvlText w:val="%1."/>
      <w:lvlJc w:val="left"/>
      <w:pPr>
        <w:ind w:left="284" w:hanging="284"/>
      </w:pPr>
      <w:rPr>
        <w:rFonts w:hint="default"/>
        <w:b/>
        <w:i w:val="0"/>
        <w:color w:val="auto"/>
      </w:rPr>
    </w:lvl>
    <w:lvl w:ilvl="1">
      <w:start w:val="1"/>
      <w:numFmt w:val="lowerLetter"/>
      <w:pStyle w:val="ListNumber2"/>
      <w:lvlText w:val="%2)"/>
      <w:lvlJc w:val="left"/>
      <w:pPr>
        <w:ind w:left="568" w:hanging="284"/>
      </w:pPr>
      <w:rPr>
        <w:rFonts w:hint="default"/>
        <w:color w:val="auto"/>
      </w:rPr>
    </w:lvl>
    <w:lvl w:ilvl="2">
      <w:start w:val="1"/>
      <w:numFmt w:val="lowerRoman"/>
      <w:pStyle w:val="ListNumber3"/>
      <w:lvlText w:val="%3."/>
      <w:lvlJc w:val="left"/>
      <w:pPr>
        <w:ind w:left="852" w:hanging="284"/>
      </w:pPr>
      <w:rPr>
        <w:rFonts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1" w15:restartNumberingAfterBreak="0">
    <w:nsid w:val="463A5018"/>
    <w:multiLevelType w:val="hybridMultilevel"/>
    <w:tmpl w:val="EF2E78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D5D225E"/>
    <w:multiLevelType w:val="hybridMultilevel"/>
    <w:tmpl w:val="4CA25D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F3439A9"/>
    <w:multiLevelType w:val="hybridMultilevel"/>
    <w:tmpl w:val="864228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2C76BE3"/>
    <w:multiLevelType w:val="hybridMultilevel"/>
    <w:tmpl w:val="6980D1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F1B63A0"/>
    <w:multiLevelType w:val="hybridMultilevel"/>
    <w:tmpl w:val="7E505C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F2A2434"/>
    <w:multiLevelType w:val="hybridMultilevel"/>
    <w:tmpl w:val="DC6241E0"/>
    <w:lvl w:ilvl="0" w:tplc="81728ACA">
      <w:start w:val="1"/>
      <w:numFmt w:val="bullet"/>
      <w:lvlText w:val=""/>
      <w:lvlJc w:val="left"/>
      <w:pPr>
        <w:ind w:left="720" w:hanging="360"/>
      </w:pPr>
      <w:rPr>
        <w:rFonts w:ascii="Symbol" w:eastAsiaTheme="minorEastAsia"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05146D9"/>
    <w:multiLevelType w:val="hybridMultilevel"/>
    <w:tmpl w:val="82F227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0AB57B8"/>
    <w:multiLevelType w:val="hybridMultilevel"/>
    <w:tmpl w:val="E7983E1C"/>
    <w:lvl w:ilvl="0" w:tplc="1DCA1D1A">
      <w:start w:val="1"/>
      <w:numFmt w:val="bullet"/>
      <w:lvlText w:val=""/>
      <w:lvlJc w:val="left"/>
      <w:pPr>
        <w:ind w:left="720" w:hanging="360"/>
      </w:pPr>
      <w:rPr>
        <w:rFonts w:ascii="Symbol" w:eastAsiaTheme="minorEastAsia" w:hAnsi="Symbol" w:cstheme="minorBidi" w:hint="default"/>
        <w:b w:val="0"/>
        <w:color w:val="auto"/>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17C1CE7"/>
    <w:multiLevelType w:val="hybridMultilevel"/>
    <w:tmpl w:val="93467C44"/>
    <w:lvl w:ilvl="0" w:tplc="9D08D540">
      <w:numFmt w:val="bullet"/>
      <w:lvlText w:val=""/>
      <w:lvlJc w:val="left"/>
      <w:pPr>
        <w:ind w:left="720" w:hanging="360"/>
      </w:pPr>
      <w:rPr>
        <w:rFonts w:ascii="Symbol" w:eastAsiaTheme="minorEastAsia"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2C2757A"/>
    <w:multiLevelType w:val="hybridMultilevel"/>
    <w:tmpl w:val="5686CF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30E55EC"/>
    <w:multiLevelType w:val="hybridMultilevel"/>
    <w:tmpl w:val="3216FD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79D3117"/>
    <w:multiLevelType w:val="hybridMultilevel"/>
    <w:tmpl w:val="013009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9471F0D"/>
    <w:multiLevelType w:val="hybridMultilevel"/>
    <w:tmpl w:val="F2068D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1796D97"/>
    <w:multiLevelType w:val="hybridMultilevel"/>
    <w:tmpl w:val="FDB482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48678DC"/>
    <w:multiLevelType w:val="hybridMultilevel"/>
    <w:tmpl w:val="B23E86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9824897"/>
    <w:multiLevelType w:val="hybridMultilevel"/>
    <w:tmpl w:val="083431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13947521">
    <w:abstractNumId w:val="0"/>
  </w:num>
  <w:num w:numId="2" w16cid:durableId="1417286819">
    <w:abstractNumId w:val="19"/>
  </w:num>
  <w:num w:numId="3" w16cid:durableId="1999142564">
    <w:abstractNumId w:val="20"/>
  </w:num>
  <w:num w:numId="4" w16cid:durableId="1367485285">
    <w:abstractNumId w:val="4"/>
  </w:num>
  <w:num w:numId="5" w16cid:durableId="2001351968">
    <w:abstractNumId w:val="17"/>
  </w:num>
  <w:num w:numId="6" w16cid:durableId="1552571387">
    <w:abstractNumId w:val="31"/>
  </w:num>
  <w:num w:numId="7" w16cid:durableId="909195284">
    <w:abstractNumId w:val="11"/>
  </w:num>
  <w:num w:numId="8" w16cid:durableId="1125805596">
    <w:abstractNumId w:val="32"/>
  </w:num>
  <w:num w:numId="9" w16cid:durableId="816070247">
    <w:abstractNumId w:val="18"/>
  </w:num>
  <w:num w:numId="10" w16cid:durableId="1299341782">
    <w:abstractNumId w:val="14"/>
  </w:num>
  <w:num w:numId="11" w16cid:durableId="2065445768">
    <w:abstractNumId w:val="6"/>
  </w:num>
  <w:num w:numId="12" w16cid:durableId="1955280963">
    <w:abstractNumId w:val="28"/>
  </w:num>
  <w:num w:numId="13" w16cid:durableId="905339841">
    <w:abstractNumId w:val="26"/>
  </w:num>
  <w:num w:numId="14" w16cid:durableId="1875118829">
    <w:abstractNumId w:val="33"/>
  </w:num>
  <w:num w:numId="15" w16cid:durableId="1846818441">
    <w:abstractNumId w:val="30"/>
  </w:num>
  <w:num w:numId="16" w16cid:durableId="317267362">
    <w:abstractNumId w:val="2"/>
  </w:num>
  <w:num w:numId="17" w16cid:durableId="157115764">
    <w:abstractNumId w:val="34"/>
  </w:num>
  <w:num w:numId="18" w16cid:durableId="144710975">
    <w:abstractNumId w:val="15"/>
  </w:num>
  <w:num w:numId="19" w16cid:durableId="624626136">
    <w:abstractNumId w:val="22"/>
  </w:num>
  <w:num w:numId="20" w16cid:durableId="1256669293">
    <w:abstractNumId w:val="21"/>
  </w:num>
  <w:num w:numId="21" w16cid:durableId="736242403">
    <w:abstractNumId w:val="3"/>
  </w:num>
  <w:num w:numId="22" w16cid:durableId="1641498815">
    <w:abstractNumId w:val="9"/>
  </w:num>
  <w:num w:numId="23" w16cid:durableId="1375931918">
    <w:abstractNumId w:val="27"/>
  </w:num>
  <w:num w:numId="24" w16cid:durableId="528836772">
    <w:abstractNumId w:val="16"/>
  </w:num>
  <w:num w:numId="25" w16cid:durableId="919293779">
    <w:abstractNumId w:val="13"/>
  </w:num>
  <w:num w:numId="26" w16cid:durableId="74205090">
    <w:abstractNumId w:val="29"/>
  </w:num>
  <w:num w:numId="27" w16cid:durableId="57485732">
    <w:abstractNumId w:val="12"/>
  </w:num>
  <w:num w:numId="28" w16cid:durableId="2011784385">
    <w:abstractNumId w:val="10"/>
  </w:num>
  <w:num w:numId="29" w16cid:durableId="1335110028">
    <w:abstractNumId w:val="7"/>
  </w:num>
  <w:num w:numId="30" w16cid:durableId="473066859">
    <w:abstractNumId w:val="25"/>
  </w:num>
  <w:num w:numId="31" w16cid:durableId="796294218">
    <w:abstractNumId w:val="1"/>
  </w:num>
  <w:num w:numId="32" w16cid:durableId="1546597255">
    <w:abstractNumId w:val="36"/>
  </w:num>
  <w:num w:numId="33" w16cid:durableId="850685240">
    <w:abstractNumId w:val="23"/>
  </w:num>
  <w:num w:numId="34" w16cid:durableId="1959601968">
    <w:abstractNumId w:val="5"/>
  </w:num>
  <w:num w:numId="35" w16cid:durableId="1259943733">
    <w:abstractNumId w:val="8"/>
  </w:num>
  <w:num w:numId="36" w16cid:durableId="69739056">
    <w:abstractNumId w:val="24"/>
  </w:num>
  <w:num w:numId="37" w16cid:durableId="912470125">
    <w:abstractNumId w:val="3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numStart w:val="2"/>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648"/>
    <w:rsid w:val="0000002D"/>
    <w:rsid w:val="000011B3"/>
    <w:rsid w:val="00001E06"/>
    <w:rsid w:val="00002999"/>
    <w:rsid w:val="00003D16"/>
    <w:rsid w:val="00005326"/>
    <w:rsid w:val="00005880"/>
    <w:rsid w:val="00007835"/>
    <w:rsid w:val="00007E6F"/>
    <w:rsid w:val="000104E6"/>
    <w:rsid w:val="00011528"/>
    <w:rsid w:val="00012A80"/>
    <w:rsid w:val="00014AE8"/>
    <w:rsid w:val="00015FCE"/>
    <w:rsid w:val="00016225"/>
    <w:rsid w:val="000170DA"/>
    <w:rsid w:val="00017AC1"/>
    <w:rsid w:val="00017E07"/>
    <w:rsid w:val="00020147"/>
    <w:rsid w:val="000223BC"/>
    <w:rsid w:val="00023027"/>
    <w:rsid w:val="0002399C"/>
    <w:rsid w:val="00023AF0"/>
    <w:rsid w:val="00024E9B"/>
    <w:rsid w:val="000258DE"/>
    <w:rsid w:val="00027E60"/>
    <w:rsid w:val="0003347C"/>
    <w:rsid w:val="00034766"/>
    <w:rsid w:val="00034EC8"/>
    <w:rsid w:val="000356C1"/>
    <w:rsid w:val="00036AEB"/>
    <w:rsid w:val="00036BF9"/>
    <w:rsid w:val="00036C75"/>
    <w:rsid w:val="00037106"/>
    <w:rsid w:val="00037937"/>
    <w:rsid w:val="00043F81"/>
    <w:rsid w:val="00045B6B"/>
    <w:rsid w:val="00046BBA"/>
    <w:rsid w:val="0005089E"/>
    <w:rsid w:val="00050B0A"/>
    <w:rsid w:val="00052CEA"/>
    <w:rsid w:val="0005495A"/>
    <w:rsid w:val="00054C78"/>
    <w:rsid w:val="00054CFC"/>
    <w:rsid w:val="00055488"/>
    <w:rsid w:val="00055731"/>
    <w:rsid w:val="00055757"/>
    <w:rsid w:val="00055EAC"/>
    <w:rsid w:val="000569C6"/>
    <w:rsid w:val="00060D64"/>
    <w:rsid w:val="00061606"/>
    <w:rsid w:val="00064649"/>
    <w:rsid w:val="00065B18"/>
    <w:rsid w:val="00070A7F"/>
    <w:rsid w:val="00071E18"/>
    <w:rsid w:val="000725FB"/>
    <w:rsid w:val="0007350A"/>
    <w:rsid w:val="000743C8"/>
    <w:rsid w:val="00074B85"/>
    <w:rsid w:val="00074F5A"/>
    <w:rsid w:val="00076345"/>
    <w:rsid w:val="000766D6"/>
    <w:rsid w:val="00077249"/>
    <w:rsid w:val="00077E23"/>
    <w:rsid w:val="0008002F"/>
    <w:rsid w:val="00080913"/>
    <w:rsid w:val="00080E22"/>
    <w:rsid w:val="00082067"/>
    <w:rsid w:val="00082CED"/>
    <w:rsid w:val="00082CFF"/>
    <w:rsid w:val="000833BF"/>
    <w:rsid w:val="00084C0E"/>
    <w:rsid w:val="00085998"/>
    <w:rsid w:val="00086C3F"/>
    <w:rsid w:val="00090233"/>
    <w:rsid w:val="00090AC2"/>
    <w:rsid w:val="0009117F"/>
    <w:rsid w:val="00093C32"/>
    <w:rsid w:val="00094D05"/>
    <w:rsid w:val="00095EE6"/>
    <w:rsid w:val="00096A24"/>
    <w:rsid w:val="00096DE3"/>
    <w:rsid w:val="00096ED6"/>
    <w:rsid w:val="000976EF"/>
    <w:rsid w:val="000A03F3"/>
    <w:rsid w:val="000A202B"/>
    <w:rsid w:val="000A202D"/>
    <w:rsid w:val="000A4AF1"/>
    <w:rsid w:val="000A52C4"/>
    <w:rsid w:val="000A58B7"/>
    <w:rsid w:val="000A5D74"/>
    <w:rsid w:val="000A7B4E"/>
    <w:rsid w:val="000B1492"/>
    <w:rsid w:val="000B1F2F"/>
    <w:rsid w:val="000B2493"/>
    <w:rsid w:val="000B3E04"/>
    <w:rsid w:val="000B4A0D"/>
    <w:rsid w:val="000B627D"/>
    <w:rsid w:val="000B7FC6"/>
    <w:rsid w:val="000C162F"/>
    <w:rsid w:val="000C2B0C"/>
    <w:rsid w:val="000C2ECA"/>
    <w:rsid w:val="000C385A"/>
    <w:rsid w:val="000C43BC"/>
    <w:rsid w:val="000C4E42"/>
    <w:rsid w:val="000C5160"/>
    <w:rsid w:val="000D022E"/>
    <w:rsid w:val="000D05DA"/>
    <w:rsid w:val="000D05DD"/>
    <w:rsid w:val="000D073E"/>
    <w:rsid w:val="000D11A5"/>
    <w:rsid w:val="000D11ED"/>
    <w:rsid w:val="000D1742"/>
    <w:rsid w:val="000D291A"/>
    <w:rsid w:val="000D3201"/>
    <w:rsid w:val="000D33B5"/>
    <w:rsid w:val="000D3784"/>
    <w:rsid w:val="000D3CBE"/>
    <w:rsid w:val="000D4D84"/>
    <w:rsid w:val="000D5E02"/>
    <w:rsid w:val="000D69EC"/>
    <w:rsid w:val="000D7E16"/>
    <w:rsid w:val="000E0871"/>
    <w:rsid w:val="000E0A47"/>
    <w:rsid w:val="000E0B6C"/>
    <w:rsid w:val="000E4493"/>
    <w:rsid w:val="000E4A16"/>
    <w:rsid w:val="000E4DD3"/>
    <w:rsid w:val="000E5574"/>
    <w:rsid w:val="000E7BA2"/>
    <w:rsid w:val="000F1139"/>
    <w:rsid w:val="000F1352"/>
    <w:rsid w:val="000F1DE0"/>
    <w:rsid w:val="000F2BCF"/>
    <w:rsid w:val="000F3126"/>
    <w:rsid w:val="000F3AF5"/>
    <w:rsid w:val="000F3F9A"/>
    <w:rsid w:val="000F4805"/>
    <w:rsid w:val="000F4933"/>
    <w:rsid w:val="000F4ACE"/>
    <w:rsid w:val="000F4F93"/>
    <w:rsid w:val="000F51FC"/>
    <w:rsid w:val="000F5777"/>
    <w:rsid w:val="00100280"/>
    <w:rsid w:val="00100343"/>
    <w:rsid w:val="0010146C"/>
    <w:rsid w:val="00101D42"/>
    <w:rsid w:val="00101FE5"/>
    <w:rsid w:val="0010208B"/>
    <w:rsid w:val="00102761"/>
    <w:rsid w:val="00103198"/>
    <w:rsid w:val="0010593E"/>
    <w:rsid w:val="00105B9A"/>
    <w:rsid w:val="00106927"/>
    <w:rsid w:val="00107337"/>
    <w:rsid w:val="00107DEC"/>
    <w:rsid w:val="001107CE"/>
    <w:rsid w:val="00110806"/>
    <w:rsid w:val="00110847"/>
    <w:rsid w:val="00110B6B"/>
    <w:rsid w:val="00111C50"/>
    <w:rsid w:val="00112CDC"/>
    <w:rsid w:val="00113B87"/>
    <w:rsid w:val="0011418F"/>
    <w:rsid w:val="00114FC2"/>
    <w:rsid w:val="001155C9"/>
    <w:rsid w:val="00116E4E"/>
    <w:rsid w:val="0011785C"/>
    <w:rsid w:val="001210B6"/>
    <w:rsid w:val="00121691"/>
    <w:rsid w:val="00121799"/>
    <w:rsid w:val="001221CA"/>
    <w:rsid w:val="001223E4"/>
    <w:rsid w:val="0012274D"/>
    <w:rsid w:val="00122DC6"/>
    <w:rsid w:val="00123340"/>
    <w:rsid w:val="001235B5"/>
    <w:rsid w:val="00123D56"/>
    <w:rsid w:val="00125C7D"/>
    <w:rsid w:val="00126B19"/>
    <w:rsid w:val="00131618"/>
    <w:rsid w:val="00132683"/>
    <w:rsid w:val="00132E0E"/>
    <w:rsid w:val="001330B3"/>
    <w:rsid w:val="0013397D"/>
    <w:rsid w:val="001353D9"/>
    <w:rsid w:val="0013590D"/>
    <w:rsid w:val="00135D53"/>
    <w:rsid w:val="00136719"/>
    <w:rsid w:val="001378CD"/>
    <w:rsid w:val="00140126"/>
    <w:rsid w:val="001401BD"/>
    <w:rsid w:val="00140D0C"/>
    <w:rsid w:val="00140FD0"/>
    <w:rsid w:val="001412FD"/>
    <w:rsid w:val="001418CE"/>
    <w:rsid w:val="00143E5C"/>
    <w:rsid w:val="00144BBC"/>
    <w:rsid w:val="00145C2D"/>
    <w:rsid w:val="00146F4A"/>
    <w:rsid w:val="00147EE9"/>
    <w:rsid w:val="00151161"/>
    <w:rsid w:val="00151590"/>
    <w:rsid w:val="00152657"/>
    <w:rsid w:val="00152795"/>
    <w:rsid w:val="00152A24"/>
    <w:rsid w:val="00153DB1"/>
    <w:rsid w:val="00154B17"/>
    <w:rsid w:val="00155344"/>
    <w:rsid w:val="00155B23"/>
    <w:rsid w:val="0015677C"/>
    <w:rsid w:val="00160FDA"/>
    <w:rsid w:val="0016215E"/>
    <w:rsid w:val="0016231B"/>
    <w:rsid w:val="0016423D"/>
    <w:rsid w:val="00165559"/>
    <w:rsid w:val="00165E47"/>
    <w:rsid w:val="001666AB"/>
    <w:rsid w:val="00166AA8"/>
    <w:rsid w:val="00167017"/>
    <w:rsid w:val="00167250"/>
    <w:rsid w:val="00171585"/>
    <w:rsid w:val="00174A50"/>
    <w:rsid w:val="00174B20"/>
    <w:rsid w:val="00175578"/>
    <w:rsid w:val="0017579A"/>
    <w:rsid w:val="0017667A"/>
    <w:rsid w:val="00176A27"/>
    <w:rsid w:val="00176A44"/>
    <w:rsid w:val="00177AC9"/>
    <w:rsid w:val="001808DA"/>
    <w:rsid w:val="00180FF0"/>
    <w:rsid w:val="0018327C"/>
    <w:rsid w:val="00183DB0"/>
    <w:rsid w:val="0018454E"/>
    <w:rsid w:val="001863CA"/>
    <w:rsid w:val="00186F6A"/>
    <w:rsid w:val="00187B2E"/>
    <w:rsid w:val="00187BDA"/>
    <w:rsid w:val="00187E9F"/>
    <w:rsid w:val="00191D95"/>
    <w:rsid w:val="00192280"/>
    <w:rsid w:val="001922A2"/>
    <w:rsid w:val="001924FB"/>
    <w:rsid w:val="00192F22"/>
    <w:rsid w:val="00193271"/>
    <w:rsid w:val="00193392"/>
    <w:rsid w:val="001939D9"/>
    <w:rsid w:val="00193A80"/>
    <w:rsid w:val="00194AE7"/>
    <w:rsid w:val="001953CB"/>
    <w:rsid w:val="001961E5"/>
    <w:rsid w:val="001A119C"/>
    <w:rsid w:val="001A1F56"/>
    <w:rsid w:val="001A2FE9"/>
    <w:rsid w:val="001A333C"/>
    <w:rsid w:val="001A50D9"/>
    <w:rsid w:val="001A5137"/>
    <w:rsid w:val="001A5B12"/>
    <w:rsid w:val="001A68D4"/>
    <w:rsid w:val="001A6C65"/>
    <w:rsid w:val="001A77DB"/>
    <w:rsid w:val="001A7D05"/>
    <w:rsid w:val="001B09C9"/>
    <w:rsid w:val="001B3311"/>
    <w:rsid w:val="001B370E"/>
    <w:rsid w:val="001B3AB6"/>
    <w:rsid w:val="001B4078"/>
    <w:rsid w:val="001B42B6"/>
    <w:rsid w:val="001B57C1"/>
    <w:rsid w:val="001B5E50"/>
    <w:rsid w:val="001B6009"/>
    <w:rsid w:val="001B6910"/>
    <w:rsid w:val="001B6EB8"/>
    <w:rsid w:val="001B7065"/>
    <w:rsid w:val="001B72B0"/>
    <w:rsid w:val="001C12FD"/>
    <w:rsid w:val="001C1693"/>
    <w:rsid w:val="001C2C56"/>
    <w:rsid w:val="001C43A2"/>
    <w:rsid w:val="001C4FDC"/>
    <w:rsid w:val="001C586D"/>
    <w:rsid w:val="001C6520"/>
    <w:rsid w:val="001C6D8F"/>
    <w:rsid w:val="001C7017"/>
    <w:rsid w:val="001C76FF"/>
    <w:rsid w:val="001D0762"/>
    <w:rsid w:val="001D168B"/>
    <w:rsid w:val="001D31A5"/>
    <w:rsid w:val="001D3CCE"/>
    <w:rsid w:val="001D61A7"/>
    <w:rsid w:val="001D66DF"/>
    <w:rsid w:val="001D7014"/>
    <w:rsid w:val="001D75AD"/>
    <w:rsid w:val="001E00A3"/>
    <w:rsid w:val="001E0769"/>
    <w:rsid w:val="001E1037"/>
    <w:rsid w:val="001E1C5B"/>
    <w:rsid w:val="001E25CB"/>
    <w:rsid w:val="001E33B7"/>
    <w:rsid w:val="001E5110"/>
    <w:rsid w:val="001F48F9"/>
    <w:rsid w:val="001F4FC1"/>
    <w:rsid w:val="001F5A0A"/>
    <w:rsid w:val="001F62B3"/>
    <w:rsid w:val="001F7E1F"/>
    <w:rsid w:val="00200A49"/>
    <w:rsid w:val="002012F6"/>
    <w:rsid w:val="00203A05"/>
    <w:rsid w:val="00205330"/>
    <w:rsid w:val="0020657C"/>
    <w:rsid w:val="00206636"/>
    <w:rsid w:val="0020670F"/>
    <w:rsid w:val="0020730A"/>
    <w:rsid w:val="0021123D"/>
    <w:rsid w:val="00211554"/>
    <w:rsid w:val="00212D26"/>
    <w:rsid w:val="00213652"/>
    <w:rsid w:val="002137B8"/>
    <w:rsid w:val="002159FF"/>
    <w:rsid w:val="00215A80"/>
    <w:rsid w:val="00215D34"/>
    <w:rsid w:val="002160F2"/>
    <w:rsid w:val="00222B84"/>
    <w:rsid w:val="00223B2F"/>
    <w:rsid w:val="00223B43"/>
    <w:rsid w:val="00224059"/>
    <w:rsid w:val="0022438A"/>
    <w:rsid w:val="00224C94"/>
    <w:rsid w:val="002259D6"/>
    <w:rsid w:val="00225A18"/>
    <w:rsid w:val="0023098B"/>
    <w:rsid w:val="0023123F"/>
    <w:rsid w:val="002312D1"/>
    <w:rsid w:val="00231354"/>
    <w:rsid w:val="00231858"/>
    <w:rsid w:val="00233572"/>
    <w:rsid w:val="002345AE"/>
    <w:rsid w:val="0023602F"/>
    <w:rsid w:val="002376C5"/>
    <w:rsid w:val="00240083"/>
    <w:rsid w:val="002412B8"/>
    <w:rsid w:val="002413D4"/>
    <w:rsid w:val="002416A0"/>
    <w:rsid w:val="00241C1A"/>
    <w:rsid w:val="002425AB"/>
    <w:rsid w:val="00245A97"/>
    <w:rsid w:val="00247796"/>
    <w:rsid w:val="00247E5A"/>
    <w:rsid w:val="00247F45"/>
    <w:rsid w:val="00251A1D"/>
    <w:rsid w:val="0025201A"/>
    <w:rsid w:val="00252502"/>
    <w:rsid w:val="00252908"/>
    <w:rsid w:val="00253E09"/>
    <w:rsid w:val="00255492"/>
    <w:rsid w:val="0025575C"/>
    <w:rsid w:val="00255B47"/>
    <w:rsid w:val="00255E68"/>
    <w:rsid w:val="00261ACF"/>
    <w:rsid w:val="00261CC2"/>
    <w:rsid w:val="0026226E"/>
    <w:rsid w:val="002625AA"/>
    <w:rsid w:val="00263735"/>
    <w:rsid w:val="00266E7A"/>
    <w:rsid w:val="00273412"/>
    <w:rsid w:val="00274E7F"/>
    <w:rsid w:val="00275672"/>
    <w:rsid w:val="002771A0"/>
    <w:rsid w:val="00277B6D"/>
    <w:rsid w:val="00280403"/>
    <w:rsid w:val="00280A82"/>
    <w:rsid w:val="00280EB7"/>
    <w:rsid w:val="0028211B"/>
    <w:rsid w:val="00282BB2"/>
    <w:rsid w:val="00282F7B"/>
    <w:rsid w:val="0028452F"/>
    <w:rsid w:val="00284F90"/>
    <w:rsid w:val="0028543C"/>
    <w:rsid w:val="0028550E"/>
    <w:rsid w:val="0028604D"/>
    <w:rsid w:val="002864E8"/>
    <w:rsid w:val="00286595"/>
    <w:rsid w:val="00286D3B"/>
    <w:rsid w:val="002872E1"/>
    <w:rsid w:val="0028780F"/>
    <w:rsid w:val="00292FAE"/>
    <w:rsid w:val="00293C88"/>
    <w:rsid w:val="00294D4F"/>
    <w:rsid w:val="00294EEA"/>
    <w:rsid w:val="00295B18"/>
    <w:rsid w:val="00297773"/>
    <w:rsid w:val="002A0270"/>
    <w:rsid w:val="002A0532"/>
    <w:rsid w:val="002A1B3E"/>
    <w:rsid w:val="002A1D54"/>
    <w:rsid w:val="002A273D"/>
    <w:rsid w:val="002A3A5D"/>
    <w:rsid w:val="002A41CB"/>
    <w:rsid w:val="002A6A70"/>
    <w:rsid w:val="002B049C"/>
    <w:rsid w:val="002B1EA3"/>
    <w:rsid w:val="002B2121"/>
    <w:rsid w:val="002B2872"/>
    <w:rsid w:val="002B300C"/>
    <w:rsid w:val="002B4139"/>
    <w:rsid w:val="002B41DB"/>
    <w:rsid w:val="002B5344"/>
    <w:rsid w:val="002B5B06"/>
    <w:rsid w:val="002B64CF"/>
    <w:rsid w:val="002C0E46"/>
    <w:rsid w:val="002C1647"/>
    <w:rsid w:val="002C28C8"/>
    <w:rsid w:val="002C360C"/>
    <w:rsid w:val="002C3686"/>
    <w:rsid w:val="002C44EA"/>
    <w:rsid w:val="002C46BB"/>
    <w:rsid w:val="002C612D"/>
    <w:rsid w:val="002C6A4A"/>
    <w:rsid w:val="002C6A53"/>
    <w:rsid w:val="002C7FF4"/>
    <w:rsid w:val="002D0266"/>
    <w:rsid w:val="002D1005"/>
    <w:rsid w:val="002D1F99"/>
    <w:rsid w:val="002D2648"/>
    <w:rsid w:val="002D27F1"/>
    <w:rsid w:val="002D306D"/>
    <w:rsid w:val="002D34CE"/>
    <w:rsid w:val="002D362E"/>
    <w:rsid w:val="002D614F"/>
    <w:rsid w:val="002D63CB"/>
    <w:rsid w:val="002D7EDD"/>
    <w:rsid w:val="002E0AC1"/>
    <w:rsid w:val="002E38BF"/>
    <w:rsid w:val="002E3998"/>
    <w:rsid w:val="002E48C1"/>
    <w:rsid w:val="002F0987"/>
    <w:rsid w:val="002F0BB5"/>
    <w:rsid w:val="002F13AC"/>
    <w:rsid w:val="002F157E"/>
    <w:rsid w:val="002F296F"/>
    <w:rsid w:val="002F35A2"/>
    <w:rsid w:val="002F4B83"/>
    <w:rsid w:val="002F4E0D"/>
    <w:rsid w:val="002F4EE0"/>
    <w:rsid w:val="002F5987"/>
    <w:rsid w:val="002F6B31"/>
    <w:rsid w:val="002F6E49"/>
    <w:rsid w:val="002F6F94"/>
    <w:rsid w:val="002F7959"/>
    <w:rsid w:val="002F7AE5"/>
    <w:rsid w:val="003015BF"/>
    <w:rsid w:val="0030177F"/>
    <w:rsid w:val="0030282D"/>
    <w:rsid w:val="00303764"/>
    <w:rsid w:val="00303CB5"/>
    <w:rsid w:val="00303D60"/>
    <w:rsid w:val="00305F78"/>
    <w:rsid w:val="0030653B"/>
    <w:rsid w:val="00310F8D"/>
    <w:rsid w:val="00311FA7"/>
    <w:rsid w:val="00312555"/>
    <w:rsid w:val="00313275"/>
    <w:rsid w:val="00313B2B"/>
    <w:rsid w:val="003152C0"/>
    <w:rsid w:val="00316A7F"/>
    <w:rsid w:val="00316F0E"/>
    <w:rsid w:val="00317BFF"/>
    <w:rsid w:val="003202E6"/>
    <w:rsid w:val="003206D7"/>
    <w:rsid w:val="00321FE4"/>
    <w:rsid w:val="0032327B"/>
    <w:rsid w:val="003266AE"/>
    <w:rsid w:val="003270E1"/>
    <w:rsid w:val="00327B43"/>
    <w:rsid w:val="00330586"/>
    <w:rsid w:val="00330C7D"/>
    <w:rsid w:val="00330F4C"/>
    <w:rsid w:val="00331304"/>
    <w:rsid w:val="00331EC7"/>
    <w:rsid w:val="00334DD7"/>
    <w:rsid w:val="00335760"/>
    <w:rsid w:val="00335C51"/>
    <w:rsid w:val="003400E2"/>
    <w:rsid w:val="00340D9C"/>
    <w:rsid w:val="00341016"/>
    <w:rsid w:val="0034163B"/>
    <w:rsid w:val="00341DCC"/>
    <w:rsid w:val="00343003"/>
    <w:rsid w:val="0034310A"/>
    <w:rsid w:val="00343399"/>
    <w:rsid w:val="003437EE"/>
    <w:rsid w:val="00343D07"/>
    <w:rsid w:val="00343F90"/>
    <w:rsid w:val="0034446B"/>
    <w:rsid w:val="00347537"/>
    <w:rsid w:val="003511C9"/>
    <w:rsid w:val="003514B2"/>
    <w:rsid w:val="00351BEA"/>
    <w:rsid w:val="003522E4"/>
    <w:rsid w:val="003548D0"/>
    <w:rsid w:val="00355D4A"/>
    <w:rsid w:val="003569E6"/>
    <w:rsid w:val="003573C9"/>
    <w:rsid w:val="00360AD8"/>
    <w:rsid w:val="003616C0"/>
    <w:rsid w:val="00362521"/>
    <w:rsid w:val="00362E9D"/>
    <w:rsid w:val="003646C0"/>
    <w:rsid w:val="003657F4"/>
    <w:rsid w:val="00366A29"/>
    <w:rsid w:val="00367966"/>
    <w:rsid w:val="0037394E"/>
    <w:rsid w:val="00373A9A"/>
    <w:rsid w:val="003745D7"/>
    <w:rsid w:val="00374741"/>
    <w:rsid w:val="00374CF6"/>
    <w:rsid w:val="00375265"/>
    <w:rsid w:val="00376485"/>
    <w:rsid w:val="00376724"/>
    <w:rsid w:val="00377D1C"/>
    <w:rsid w:val="003819B4"/>
    <w:rsid w:val="00381A51"/>
    <w:rsid w:val="0038333D"/>
    <w:rsid w:val="0038379B"/>
    <w:rsid w:val="00384E45"/>
    <w:rsid w:val="003865DA"/>
    <w:rsid w:val="00386C13"/>
    <w:rsid w:val="00387F88"/>
    <w:rsid w:val="00387F8C"/>
    <w:rsid w:val="00391E4F"/>
    <w:rsid w:val="00392741"/>
    <w:rsid w:val="00393473"/>
    <w:rsid w:val="00393A8F"/>
    <w:rsid w:val="0039551E"/>
    <w:rsid w:val="003959B0"/>
    <w:rsid w:val="00395D62"/>
    <w:rsid w:val="00396170"/>
    <w:rsid w:val="003963F8"/>
    <w:rsid w:val="00397239"/>
    <w:rsid w:val="003A017A"/>
    <w:rsid w:val="003A04F7"/>
    <w:rsid w:val="003A09F5"/>
    <w:rsid w:val="003A2209"/>
    <w:rsid w:val="003A27A0"/>
    <w:rsid w:val="003A427A"/>
    <w:rsid w:val="003A4639"/>
    <w:rsid w:val="003A6D04"/>
    <w:rsid w:val="003A7509"/>
    <w:rsid w:val="003B24E8"/>
    <w:rsid w:val="003B4DF0"/>
    <w:rsid w:val="003B573F"/>
    <w:rsid w:val="003B7192"/>
    <w:rsid w:val="003B79DD"/>
    <w:rsid w:val="003B7F1A"/>
    <w:rsid w:val="003C1DA4"/>
    <w:rsid w:val="003C28A9"/>
    <w:rsid w:val="003C3EE7"/>
    <w:rsid w:val="003C4062"/>
    <w:rsid w:val="003C57FD"/>
    <w:rsid w:val="003C5AE2"/>
    <w:rsid w:val="003C6093"/>
    <w:rsid w:val="003C6F54"/>
    <w:rsid w:val="003C78FC"/>
    <w:rsid w:val="003D02C5"/>
    <w:rsid w:val="003D08E5"/>
    <w:rsid w:val="003D2BBE"/>
    <w:rsid w:val="003D340E"/>
    <w:rsid w:val="003D365E"/>
    <w:rsid w:val="003D4C6A"/>
    <w:rsid w:val="003D5229"/>
    <w:rsid w:val="003D5FE0"/>
    <w:rsid w:val="003D686E"/>
    <w:rsid w:val="003D7643"/>
    <w:rsid w:val="003E0BD1"/>
    <w:rsid w:val="003E0BE0"/>
    <w:rsid w:val="003E1D51"/>
    <w:rsid w:val="003E233C"/>
    <w:rsid w:val="003E2A30"/>
    <w:rsid w:val="003E303D"/>
    <w:rsid w:val="003E346D"/>
    <w:rsid w:val="003E64D9"/>
    <w:rsid w:val="003E704E"/>
    <w:rsid w:val="003F07B9"/>
    <w:rsid w:val="003F1E74"/>
    <w:rsid w:val="003F3904"/>
    <w:rsid w:val="003F3CC3"/>
    <w:rsid w:val="003F4AB7"/>
    <w:rsid w:val="003F700A"/>
    <w:rsid w:val="00401B40"/>
    <w:rsid w:val="00401C62"/>
    <w:rsid w:val="00401D95"/>
    <w:rsid w:val="00403DEA"/>
    <w:rsid w:val="004051F5"/>
    <w:rsid w:val="00406362"/>
    <w:rsid w:val="0040648A"/>
    <w:rsid w:val="00407047"/>
    <w:rsid w:val="004072BA"/>
    <w:rsid w:val="004078A0"/>
    <w:rsid w:val="004078E0"/>
    <w:rsid w:val="0041050D"/>
    <w:rsid w:val="004150E0"/>
    <w:rsid w:val="00415C0C"/>
    <w:rsid w:val="00416004"/>
    <w:rsid w:val="00420E6E"/>
    <w:rsid w:val="00420E8B"/>
    <w:rsid w:val="00421281"/>
    <w:rsid w:val="0042201B"/>
    <w:rsid w:val="0042337C"/>
    <w:rsid w:val="004260F1"/>
    <w:rsid w:val="00426559"/>
    <w:rsid w:val="00426994"/>
    <w:rsid w:val="00427150"/>
    <w:rsid w:val="004274DC"/>
    <w:rsid w:val="004316FE"/>
    <w:rsid w:val="004329A5"/>
    <w:rsid w:val="00432AEB"/>
    <w:rsid w:val="004330A7"/>
    <w:rsid w:val="0043404B"/>
    <w:rsid w:val="004343C8"/>
    <w:rsid w:val="004348BC"/>
    <w:rsid w:val="00434B66"/>
    <w:rsid w:val="00434C64"/>
    <w:rsid w:val="0043585B"/>
    <w:rsid w:val="00435B0E"/>
    <w:rsid w:val="00436471"/>
    <w:rsid w:val="004364A4"/>
    <w:rsid w:val="00436642"/>
    <w:rsid w:val="004367B5"/>
    <w:rsid w:val="004367D0"/>
    <w:rsid w:val="00441363"/>
    <w:rsid w:val="00442733"/>
    <w:rsid w:val="00443404"/>
    <w:rsid w:val="00444B7B"/>
    <w:rsid w:val="00446565"/>
    <w:rsid w:val="00446CF1"/>
    <w:rsid w:val="00452B90"/>
    <w:rsid w:val="00454D44"/>
    <w:rsid w:val="0045522C"/>
    <w:rsid w:val="004559CB"/>
    <w:rsid w:val="00455A07"/>
    <w:rsid w:val="0045679F"/>
    <w:rsid w:val="0045692B"/>
    <w:rsid w:val="004605E3"/>
    <w:rsid w:val="00460ED6"/>
    <w:rsid w:val="0046114D"/>
    <w:rsid w:val="004618AA"/>
    <w:rsid w:val="00461E86"/>
    <w:rsid w:val="00462CFD"/>
    <w:rsid w:val="00464990"/>
    <w:rsid w:val="00464B6A"/>
    <w:rsid w:val="00465848"/>
    <w:rsid w:val="00466FB9"/>
    <w:rsid w:val="004677B9"/>
    <w:rsid w:val="0047061A"/>
    <w:rsid w:val="0047121E"/>
    <w:rsid w:val="0047153B"/>
    <w:rsid w:val="00472341"/>
    <w:rsid w:val="004736F2"/>
    <w:rsid w:val="004745F9"/>
    <w:rsid w:val="00475122"/>
    <w:rsid w:val="004769E2"/>
    <w:rsid w:val="00477089"/>
    <w:rsid w:val="00477351"/>
    <w:rsid w:val="0048086E"/>
    <w:rsid w:val="0048124C"/>
    <w:rsid w:val="004816B1"/>
    <w:rsid w:val="0048259D"/>
    <w:rsid w:val="0048419C"/>
    <w:rsid w:val="00486998"/>
    <w:rsid w:val="0048706A"/>
    <w:rsid w:val="00487922"/>
    <w:rsid w:val="0049133A"/>
    <w:rsid w:val="00491EBC"/>
    <w:rsid w:val="00491F26"/>
    <w:rsid w:val="00492DA1"/>
    <w:rsid w:val="00492EB1"/>
    <w:rsid w:val="00494C91"/>
    <w:rsid w:val="004A01B1"/>
    <w:rsid w:val="004A0D20"/>
    <w:rsid w:val="004A337E"/>
    <w:rsid w:val="004A33DA"/>
    <w:rsid w:val="004A5042"/>
    <w:rsid w:val="004B1EFD"/>
    <w:rsid w:val="004B2FDC"/>
    <w:rsid w:val="004B3586"/>
    <w:rsid w:val="004B3960"/>
    <w:rsid w:val="004B3D29"/>
    <w:rsid w:val="004B4F73"/>
    <w:rsid w:val="004B5DEE"/>
    <w:rsid w:val="004B5EC6"/>
    <w:rsid w:val="004B6255"/>
    <w:rsid w:val="004B6969"/>
    <w:rsid w:val="004B6C0C"/>
    <w:rsid w:val="004B6FAA"/>
    <w:rsid w:val="004B740D"/>
    <w:rsid w:val="004B7423"/>
    <w:rsid w:val="004B79EC"/>
    <w:rsid w:val="004B7DF6"/>
    <w:rsid w:val="004C206F"/>
    <w:rsid w:val="004C33EC"/>
    <w:rsid w:val="004C3559"/>
    <w:rsid w:val="004C5A6F"/>
    <w:rsid w:val="004D21DB"/>
    <w:rsid w:val="004D3377"/>
    <w:rsid w:val="004D5976"/>
    <w:rsid w:val="004D5A14"/>
    <w:rsid w:val="004D68CD"/>
    <w:rsid w:val="004D68D2"/>
    <w:rsid w:val="004D7FA1"/>
    <w:rsid w:val="004E2881"/>
    <w:rsid w:val="004E56AF"/>
    <w:rsid w:val="004E7D20"/>
    <w:rsid w:val="004F0E3F"/>
    <w:rsid w:val="004F1B24"/>
    <w:rsid w:val="004F1EEA"/>
    <w:rsid w:val="004F1FFC"/>
    <w:rsid w:val="004F537E"/>
    <w:rsid w:val="004F5B2B"/>
    <w:rsid w:val="004F5C4D"/>
    <w:rsid w:val="004F6B38"/>
    <w:rsid w:val="004F6E14"/>
    <w:rsid w:val="004F6E2F"/>
    <w:rsid w:val="004F7D22"/>
    <w:rsid w:val="005016EE"/>
    <w:rsid w:val="00504D0B"/>
    <w:rsid w:val="00505091"/>
    <w:rsid w:val="0050658A"/>
    <w:rsid w:val="0050710A"/>
    <w:rsid w:val="00510418"/>
    <w:rsid w:val="00510B0F"/>
    <w:rsid w:val="005113F8"/>
    <w:rsid w:val="00511A7D"/>
    <w:rsid w:val="00511B5A"/>
    <w:rsid w:val="00511EA9"/>
    <w:rsid w:val="0051222F"/>
    <w:rsid w:val="00512E2C"/>
    <w:rsid w:val="00513F6D"/>
    <w:rsid w:val="00514953"/>
    <w:rsid w:val="005158C4"/>
    <w:rsid w:val="005159F8"/>
    <w:rsid w:val="00515C54"/>
    <w:rsid w:val="0051674E"/>
    <w:rsid w:val="00523970"/>
    <w:rsid w:val="00523B99"/>
    <w:rsid w:val="00523C39"/>
    <w:rsid w:val="00523CFF"/>
    <w:rsid w:val="0052404D"/>
    <w:rsid w:val="0052491E"/>
    <w:rsid w:val="0052670A"/>
    <w:rsid w:val="005270DF"/>
    <w:rsid w:val="00527233"/>
    <w:rsid w:val="00530418"/>
    <w:rsid w:val="005306C9"/>
    <w:rsid w:val="005318A1"/>
    <w:rsid w:val="0053222C"/>
    <w:rsid w:val="005326E1"/>
    <w:rsid w:val="00533E79"/>
    <w:rsid w:val="005367E8"/>
    <w:rsid w:val="00536B38"/>
    <w:rsid w:val="00537743"/>
    <w:rsid w:val="00537D74"/>
    <w:rsid w:val="0054013A"/>
    <w:rsid w:val="0054060E"/>
    <w:rsid w:val="0054151E"/>
    <w:rsid w:val="00541949"/>
    <w:rsid w:val="00541CC9"/>
    <w:rsid w:val="005434B0"/>
    <w:rsid w:val="005435AF"/>
    <w:rsid w:val="00544F35"/>
    <w:rsid w:val="005458FF"/>
    <w:rsid w:val="00545DB5"/>
    <w:rsid w:val="00545DEB"/>
    <w:rsid w:val="00546669"/>
    <w:rsid w:val="00550DBF"/>
    <w:rsid w:val="005515BA"/>
    <w:rsid w:val="00551E38"/>
    <w:rsid w:val="0055278F"/>
    <w:rsid w:val="00554137"/>
    <w:rsid w:val="00554AF4"/>
    <w:rsid w:val="0055598B"/>
    <w:rsid w:val="00555DD2"/>
    <w:rsid w:val="00556B95"/>
    <w:rsid w:val="00556BE4"/>
    <w:rsid w:val="00556C15"/>
    <w:rsid w:val="00556E3E"/>
    <w:rsid w:val="00557B48"/>
    <w:rsid w:val="00560343"/>
    <w:rsid w:val="005604E3"/>
    <w:rsid w:val="00561C8B"/>
    <w:rsid w:val="0056392D"/>
    <w:rsid w:val="00563FEE"/>
    <w:rsid w:val="0056446E"/>
    <w:rsid w:val="005648C7"/>
    <w:rsid w:val="005667EE"/>
    <w:rsid w:val="00566ED3"/>
    <w:rsid w:val="00567372"/>
    <w:rsid w:val="00571327"/>
    <w:rsid w:val="0057135A"/>
    <w:rsid w:val="00572276"/>
    <w:rsid w:val="0057356B"/>
    <w:rsid w:val="0057364C"/>
    <w:rsid w:val="00573BD9"/>
    <w:rsid w:val="00574F2F"/>
    <w:rsid w:val="00575101"/>
    <w:rsid w:val="005772CD"/>
    <w:rsid w:val="005775A4"/>
    <w:rsid w:val="005805E5"/>
    <w:rsid w:val="00580F73"/>
    <w:rsid w:val="00584BF4"/>
    <w:rsid w:val="00585215"/>
    <w:rsid w:val="0058609E"/>
    <w:rsid w:val="005876A1"/>
    <w:rsid w:val="005901D9"/>
    <w:rsid w:val="0059044C"/>
    <w:rsid w:val="00590E7C"/>
    <w:rsid w:val="0059110F"/>
    <w:rsid w:val="005912C7"/>
    <w:rsid w:val="0059173E"/>
    <w:rsid w:val="00591B22"/>
    <w:rsid w:val="00594767"/>
    <w:rsid w:val="00596098"/>
    <w:rsid w:val="00596245"/>
    <w:rsid w:val="00596A10"/>
    <w:rsid w:val="005A0A5E"/>
    <w:rsid w:val="005A0DAE"/>
    <w:rsid w:val="005A1207"/>
    <w:rsid w:val="005A160D"/>
    <w:rsid w:val="005A1936"/>
    <w:rsid w:val="005A2B65"/>
    <w:rsid w:val="005A3169"/>
    <w:rsid w:val="005A324E"/>
    <w:rsid w:val="005A331B"/>
    <w:rsid w:val="005A628D"/>
    <w:rsid w:val="005A65AD"/>
    <w:rsid w:val="005A6F07"/>
    <w:rsid w:val="005A711C"/>
    <w:rsid w:val="005B03F8"/>
    <w:rsid w:val="005B121B"/>
    <w:rsid w:val="005B2E8A"/>
    <w:rsid w:val="005B3210"/>
    <w:rsid w:val="005B3742"/>
    <w:rsid w:val="005B4313"/>
    <w:rsid w:val="005B466C"/>
    <w:rsid w:val="005B47F7"/>
    <w:rsid w:val="005B53A8"/>
    <w:rsid w:val="005B586A"/>
    <w:rsid w:val="005B58D5"/>
    <w:rsid w:val="005B7297"/>
    <w:rsid w:val="005C32DA"/>
    <w:rsid w:val="005C4C00"/>
    <w:rsid w:val="005C527C"/>
    <w:rsid w:val="005C59EA"/>
    <w:rsid w:val="005C6211"/>
    <w:rsid w:val="005C6385"/>
    <w:rsid w:val="005C6DD4"/>
    <w:rsid w:val="005C7274"/>
    <w:rsid w:val="005D1384"/>
    <w:rsid w:val="005D1CB3"/>
    <w:rsid w:val="005D2F75"/>
    <w:rsid w:val="005D2F98"/>
    <w:rsid w:val="005D3534"/>
    <w:rsid w:val="005E060D"/>
    <w:rsid w:val="005E079D"/>
    <w:rsid w:val="005E37C9"/>
    <w:rsid w:val="005E5C83"/>
    <w:rsid w:val="005F0B47"/>
    <w:rsid w:val="005F0F42"/>
    <w:rsid w:val="005F1439"/>
    <w:rsid w:val="005F1BE3"/>
    <w:rsid w:val="005F524E"/>
    <w:rsid w:val="005F6C65"/>
    <w:rsid w:val="005F74B1"/>
    <w:rsid w:val="005F7C9A"/>
    <w:rsid w:val="005F7D19"/>
    <w:rsid w:val="00600F2D"/>
    <w:rsid w:val="006025AE"/>
    <w:rsid w:val="00603236"/>
    <w:rsid w:val="00603975"/>
    <w:rsid w:val="00605049"/>
    <w:rsid w:val="006057DC"/>
    <w:rsid w:val="00605FFD"/>
    <w:rsid w:val="00606398"/>
    <w:rsid w:val="00607D25"/>
    <w:rsid w:val="00610CDC"/>
    <w:rsid w:val="006123CC"/>
    <w:rsid w:val="00612D6C"/>
    <w:rsid w:val="0061300D"/>
    <w:rsid w:val="00613926"/>
    <w:rsid w:val="006145A0"/>
    <w:rsid w:val="00614C41"/>
    <w:rsid w:val="00615C85"/>
    <w:rsid w:val="00621484"/>
    <w:rsid w:val="00623E94"/>
    <w:rsid w:val="00624F14"/>
    <w:rsid w:val="006254B3"/>
    <w:rsid w:val="0062562C"/>
    <w:rsid w:val="006272AA"/>
    <w:rsid w:val="00627C77"/>
    <w:rsid w:val="00627E18"/>
    <w:rsid w:val="00627FEF"/>
    <w:rsid w:val="006314E7"/>
    <w:rsid w:val="0063213C"/>
    <w:rsid w:val="00633215"/>
    <w:rsid w:val="006336D7"/>
    <w:rsid w:val="00633A13"/>
    <w:rsid w:val="006351EF"/>
    <w:rsid w:val="006355DF"/>
    <w:rsid w:val="00636860"/>
    <w:rsid w:val="00637487"/>
    <w:rsid w:val="00637B8C"/>
    <w:rsid w:val="006443BE"/>
    <w:rsid w:val="006455A6"/>
    <w:rsid w:val="00647085"/>
    <w:rsid w:val="00647903"/>
    <w:rsid w:val="00647B89"/>
    <w:rsid w:val="00647CBF"/>
    <w:rsid w:val="0065284F"/>
    <w:rsid w:val="00653FDB"/>
    <w:rsid w:val="00654751"/>
    <w:rsid w:val="00655DA6"/>
    <w:rsid w:val="00655E7E"/>
    <w:rsid w:val="00656242"/>
    <w:rsid w:val="006565AE"/>
    <w:rsid w:val="006571DF"/>
    <w:rsid w:val="00657547"/>
    <w:rsid w:val="00657F97"/>
    <w:rsid w:val="00660693"/>
    <w:rsid w:val="006610E6"/>
    <w:rsid w:val="006638D5"/>
    <w:rsid w:val="00663962"/>
    <w:rsid w:val="00663FCF"/>
    <w:rsid w:val="00665959"/>
    <w:rsid w:val="00665E56"/>
    <w:rsid w:val="0066636C"/>
    <w:rsid w:val="0066636D"/>
    <w:rsid w:val="00666ABF"/>
    <w:rsid w:val="00667C08"/>
    <w:rsid w:val="00670519"/>
    <w:rsid w:val="00670864"/>
    <w:rsid w:val="0067127F"/>
    <w:rsid w:val="0067284F"/>
    <w:rsid w:val="0067337C"/>
    <w:rsid w:val="00673853"/>
    <w:rsid w:val="00673B32"/>
    <w:rsid w:val="00674085"/>
    <w:rsid w:val="006745CA"/>
    <w:rsid w:val="0067595C"/>
    <w:rsid w:val="006763EE"/>
    <w:rsid w:val="00676F0F"/>
    <w:rsid w:val="0068106B"/>
    <w:rsid w:val="00681284"/>
    <w:rsid w:val="006833C9"/>
    <w:rsid w:val="006847B4"/>
    <w:rsid w:val="00684CBA"/>
    <w:rsid w:val="0068535B"/>
    <w:rsid w:val="0068577D"/>
    <w:rsid w:val="00687FBC"/>
    <w:rsid w:val="00691270"/>
    <w:rsid w:val="00692329"/>
    <w:rsid w:val="00693636"/>
    <w:rsid w:val="00694F21"/>
    <w:rsid w:val="0069564C"/>
    <w:rsid w:val="00697684"/>
    <w:rsid w:val="00697CEC"/>
    <w:rsid w:val="006A0C6B"/>
    <w:rsid w:val="006A2685"/>
    <w:rsid w:val="006A2908"/>
    <w:rsid w:val="006A2CCF"/>
    <w:rsid w:val="006A319D"/>
    <w:rsid w:val="006A375C"/>
    <w:rsid w:val="006A5505"/>
    <w:rsid w:val="006A5BF3"/>
    <w:rsid w:val="006A6383"/>
    <w:rsid w:val="006A6D7F"/>
    <w:rsid w:val="006A7BE1"/>
    <w:rsid w:val="006B056F"/>
    <w:rsid w:val="006B120C"/>
    <w:rsid w:val="006B1417"/>
    <w:rsid w:val="006B1491"/>
    <w:rsid w:val="006B25EF"/>
    <w:rsid w:val="006B2BC7"/>
    <w:rsid w:val="006B3245"/>
    <w:rsid w:val="006B3279"/>
    <w:rsid w:val="006B36B8"/>
    <w:rsid w:val="006B4350"/>
    <w:rsid w:val="006B485F"/>
    <w:rsid w:val="006B4B9B"/>
    <w:rsid w:val="006B5C5B"/>
    <w:rsid w:val="006B6BDE"/>
    <w:rsid w:val="006C0BD8"/>
    <w:rsid w:val="006C32BA"/>
    <w:rsid w:val="006C32D0"/>
    <w:rsid w:val="006C3E97"/>
    <w:rsid w:val="006C6596"/>
    <w:rsid w:val="006C6BF6"/>
    <w:rsid w:val="006D16DB"/>
    <w:rsid w:val="006D1AA7"/>
    <w:rsid w:val="006D4C87"/>
    <w:rsid w:val="006E0759"/>
    <w:rsid w:val="006E0987"/>
    <w:rsid w:val="006E1DAE"/>
    <w:rsid w:val="006E23DB"/>
    <w:rsid w:val="006E2874"/>
    <w:rsid w:val="006E2C51"/>
    <w:rsid w:val="006E39F9"/>
    <w:rsid w:val="006E43CB"/>
    <w:rsid w:val="006E60C2"/>
    <w:rsid w:val="006E6CCD"/>
    <w:rsid w:val="006E6D55"/>
    <w:rsid w:val="006F0280"/>
    <w:rsid w:val="006F0E5C"/>
    <w:rsid w:val="006F1996"/>
    <w:rsid w:val="006F24AB"/>
    <w:rsid w:val="006F2F37"/>
    <w:rsid w:val="006F5866"/>
    <w:rsid w:val="006F61E8"/>
    <w:rsid w:val="006F694E"/>
    <w:rsid w:val="007015A0"/>
    <w:rsid w:val="00702EED"/>
    <w:rsid w:val="007038BF"/>
    <w:rsid w:val="0070578D"/>
    <w:rsid w:val="00705E50"/>
    <w:rsid w:val="007073D4"/>
    <w:rsid w:val="007076D2"/>
    <w:rsid w:val="00707726"/>
    <w:rsid w:val="00707AEB"/>
    <w:rsid w:val="00710CCC"/>
    <w:rsid w:val="00713A34"/>
    <w:rsid w:val="00713D0D"/>
    <w:rsid w:val="00714245"/>
    <w:rsid w:val="00714F76"/>
    <w:rsid w:val="007155E5"/>
    <w:rsid w:val="00716B8F"/>
    <w:rsid w:val="00721501"/>
    <w:rsid w:val="00721B82"/>
    <w:rsid w:val="00722FC1"/>
    <w:rsid w:val="00723C2B"/>
    <w:rsid w:val="007242D9"/>
    <w:rsid w:val="00724698"/>
    <w:rsid w:val="00725A6A"/>
    <w:rsid w:val="00725B35"/>
    <w:rsid w:val="00726AEF"/>
    <w:rsid w:val="007334C7"/>
    <w:rsid w:val="00734CC5"/>
    <w:rsid w:val="0073556D"/>
    <w:rsid w:val="00737584"/>
    <w:rsid w:val="0074039F"/>
    <w:rsid w:val="00741442"/>
    <w:rsid w:val="00742387"/>
    <w:rsid w:val="007441FE"/>
    <w:rsid w:val="00744CB7"/>
    <w:rsid w:val="00745287"/>
    <w:rsid w:val="00745777"/>
    <w:rsid w:val="00745C78"/>
    <w:rsid w:val="00745D1B"/>
    <w:rsid w:val="00746531"/>
    <w:rsid w:val="00747D02"/>
    <w:rsid w:val="00750D77"/>
    <w:rsid w:val="00751C7B"/>
    <w:rsid w:val="0075235E"/>
    <w:rsid w:val="00752A8C"/>
    <w:rsid w:val="00753FF7"/>
    <w:rsid w:val="00755E8B"/>
    <w:rsid w:val="00756A90"/>
    <w:rsid w:val="00756FDE"/>
    <w:rsid w:val="0075715C"/>
    <w:rsid w:val="00757798"/>
    <w:rsid w:val="00757E37"/>
    <w:rsid w:val="00761629"/>
    <w:rsid w:val="00761685"/>
    <w:rsid w:val="00761737"/>
    <w:rsid w:val="00761D0F"/>
    <w:rsid w:val="00761D5A"/>
    <w:rsid w:val="0076509D"/>
    <w:rsid w:val="007700BC"/>
    <w:rsid w:val="00771C48"/>
    <w:rsid w:val="00773C4B"/>
    <w:rsid w:val="00774425"/>
    <w:rsid w:val="00775DA3"/>
    <w:rsid w:val="007761C7"/>
    <w:rsid w:val="00777A70"/>
    <w:rsid w:val="00780CAB"/>
    <w:rsid w:val="007814A5"/>
    <w:rsid w:val="0078284B"/>
    <w:rsid w:val="0078356C"/>
    <w:rsid w:val="0078373F"/>
    <w:rsid w:val="007850A9"/>
    <w:rsid w:val="00785A6B"/>
    <w:rsid w:val="00786121"/>
    <w:rsid w:val="00786C3C"/>
    <w:rsid w:val="007874E4"/>
    <w:rsid w:val="00787DB8"/>
    <w:rsid w:val="00787E01"/>
    <w:rsid w:val="00792C81"/>
    <w:rsid w:val="007938C2"/>
    <w:rsid w:val="00794F9A"/>
    <w:rsid w:val="007955A3"/>
    <w:rsid w:val="00795B31"/>
    <w:rsid w:val="00796586"/>
    <w:rsid w:val="007A0085"/>
    <w:rsid w:val="007A02E3"/>
    <w:rsid w:val="007A0E20"/>
    <w:rsid w:val="007A11B5"/>
    <w:rsid w:val="007A23CF"/>
    <w:rsid w:val="007A2FE1"/>
    <w:rsid w:val="007A4FA7"/>
    <w:rsid w:val="007A5AFC"/>
    <w:rsid w:val="007B09D5"/>
    <w:rsid w:val="007B24B5"/>
    <w:rsid w:val="007B3CE1"/>
    <w:rsid w:val="007B3DBD"/>
    <w:rsid w:val="007B454A"/>
    <w:rsid w:val="007B489C"/>
    <w:rsid w:val="007B4E2E"/>
    <w:rsid w:val="007B5BCF"/>
    <w:rsid w:val="007B67E4"/>
    <w:rsid w:val="007B7319"/>
    <w:rsid w:val="007B741F"/>
    <w:rsid w:val="007B7B79"/>
    <w:rsid w:val="007C07F4"/>
    <w:rsid w:val="007C153F"/>
    <w:rsid w:val="007C1C95"/>
    <w:rsid w:val="007C1D9A"/>
    <w:rsid w:val="007C204D"/>
    <w:rsid w:val="007C2126"/>
    <w:rsid w:val="007C23E6"/>
    <w:rsid w:val="007C275A"/>
    <w:rsid w:val="007C462E"/>
    <w:rsid w:val="007C4ED3"/>
    <w:rsid w:val="007C5112"/>
    <w:rsid w:val="007C620F"/>
    <w:rsid w:val="007C655E"/>
    <w:rsid w:val="007C6B17"/>
    <w:rsid w:val="007D0912"/>
    <w:rsid w:val="007D2859"/>
    <w:rsid w:val="007D3B7F"/>
    <w:rsid w:val="007D3EBB"/>
    <w:rsid w:val="007D4675"/>
    <w:rsid w:val="007D4F95"/>
    <w:rsid w:val="007D65AA"/>
    <w:rsid w:val="007D680B"/>
    <w:rsid w:val="007D69C5"/>
    <w:rsid w:val="007D7774"/>
    <w:rsid w:val="007E1D77"/>
    <w:rsid w:val="007E2161"/>
    <w:rsid w:val="007E26AF"/>
    <w:rsid w:val="007E331A"/>
    <w:rsid w:val="007E345B"/>
    <w:rsid w:val="007E3872"/>
    <w:rsid w:val="007E4F89"/>
    <w:rsid w:val="007E5100"/>
    <w:rsid w:val="007E5BCF"/>
    <w:rsid w:val="007F0AA3"/>
    <w:rsid w:val="007F0E66"/>
    <w:rsid w:val="007F533D"/>
    <w:rsid w:val="007F641D"/>
    <w:rsid w:val="007F70A1"/>
    <w:rsid w:val="007F7251"/>
    <w:rsid w:val="0080037A"/>
    <w:rsid w:val="008013D4"/>
    <w:rsid w:val="00801618"/>
    <w:rsid w:val="00801914"/>
    <w:rsid w:val="008031B8"/>
    <w:rsid w:val="0080416E"/>
    <w:rsid w:val="0080458A"/>
    <w:rsid w:val="00804594"/>
    <w:rsid w:val="0080608F"/>
    <w:rsid w:val="008060D4"/>
    <w:rsid w:val="008066C4"/>
    <w:rsid w:val="00811115"/>
    <w:rsid w:val="00811654"/>
    <w:rsid w:val="00813C62"/>
    <w:rsid w:val="00814FD6"/>
    <w:rsid w:val="00815579"/>
    <w:rsid w:val="00816108"/>
    <w:rsid w:val="00816870"/>
    <w:rsid w:val="0082007F"/>
    <w:rsid w:val="008205BB"/>
    <w:rsid w:val="00820990"/>
    <w:rsid w:val="00821AC0"/>
    <w:rsid w:val="00822182"/>
    <w:rsid w:val="00822838"/>
    <w:rsid w:val="008232B5"/>
    <w:rsid w:val="00824140"/>
    <w:rsid w:val="00827965"/>
    <w:rsid w:val="00827F3F"/>
    <w:rsid w:val="00830B68"/>
    <w:rsid w:val="00830BEC"/>
    <w:rsid w:val="00833D38"/>
    <w:rsid w:val="008355CD"/>
    <w:rsid w:val="008368F4"/>
    <w:rsid w:val="0083707A"/>
    <w:rsid w:val="00840F2D"/>
    <w:rsid w:val="00841AD8"/>
    <w:rsid w:val="00843580"/>
    <w:rsid w:val="00843A98"/>
    <w:rsid w:val="00843C90"/>
    <w:rsid w:val="0084462C"/>
    <w:rsid w:val="0084637C"/>
    <w:rsid w:val="00850C5F"/>
    <w:rsid w:val="00850CB2"/>
    <w:rsid w:val="0085241C"/>
    <w:rsid w:val="008538EB"/>
    <w:rsid w:val="00853BE4"/>
    <w:rsid w:val="008541C7"/>
    <w:rsid w:val="00854761"/>
    <w:rsid w:val="00857792"/>
    <w:rsid w:val="008577CF"/>
    <w:rsid w:val="00857F33"/>
    <w:rsid w:val="00860D15"/>
    <w:rsid w:val="008617F3"/>
    <w:rsid w:val="008622EA"/>
    <w:rsid w:val="008625F4"/>
    <w:rsid w:val="00862730"/>
    <w:rsid w:val="0086339C"/>
    <w:rsid w:val="0086435D"/>
    <w:rsid w:val="008710DB"/>
    <w:rsid w:val="008729E4"/>
    <w:rsid w:val="00873B9B"/>
    <w:rsid w:val="00873CD2"/>
    <w:rsid w:val="00875BBB"/>
    <w:rsid w:val="00876868"/>
    <w:rsid w:val="00876A6E"/>
    <w:rsid w:val="00876D2D"/>
    <w:rsid w:val="00877087"/>
    <w:rsid w:val="0087730A"/>
    <w:rsid w:val="0087752C"/>
    <w:rsid w:val="008776F1"/>
    <w:rsid w:val="008802BA"/>
    <w:rsid w:val="008805E0"/>
    <w:rsid w:val="008832A3"/>
    <w:rsid w:val="008843AF"/>
    <w:rsid w:val="00884A08"/>
    <w:rsid w:val="00885451"/>
    <w:rsid w:val="0088603C"/>
    <w:rsid w:val="008904B7"/>
    <w:rsid w:val="008916DE"/>
    <w:rsid w:val="00891CF6"/>
    <w:rsid w:val="008921D8"/>
    <w:rsid w:val="00892CD4"/>
    <w:rsid w:val="00892EA3"/>
    <w:rsid w:val="00893451"/>
    <w:rsid w:val="0089365A"/>
    <w:rsid w:val="00893ADF"/>
    <w:rsid w:val="00896858"/>
    <w:rsid w:val="008A1BD1"/>
    <w:rsid w:val="008A2A20"/>
    <w:rsid w:val="008A38A1"/>
    <w:rsid w:val="008A3979"/>
    <w:rsid w:val="008A50EB"/>
    <w:rsid w:val="008A605B"/>
    <w:rsid w:val="008B0C53"/>
    <w:rsid w:val="008B191A"/>
    <w:rsid w:val="008B1CBD"/>
    <w:rsid w:val="008B2638"/>
    <w:rsid w:val="008B377D"/>
    <w:rsid w:val="008B52D9"/>
    <w:rsid w:val="008B54C7"/>
    <w:rsid w:val="008B5922"/>
    <w:rsid w:val="008B593B"/>
    <w:rsid w:val="008B79B0"/>
    <w:rsid w:val="008B7F2C"/>
    <w:rsid w:val="008C13E5"/>
    <w:rsid w:val="008C1C50"/>
    <w:rsid w:val="008C2CCB"/>
    <w:rsid w:val="008C412F"/>
    <w:rsid w:val="008C41A8"/>
    <w:rsid w:val="008C56AC"/>
    <w:rsid w:val="008C581E"/>
    <w:rsid w:val="008C5B3C"/>
    <w:rsid w:val="008C6848"/>
    <w:rsid w:val="008C68FE"/>
    <w:rsid w:val="008D123A"/>
    <w:rsid w:val="008D17B7"/>
    <w:rsid w:val="008D3534"/>
    <w:rsid w:val="008D4E3D"/>
    <w:rsid w:val="008D4FE2"/>
    <w:rsid w:val="008D674A"/>
    <w:rsid w:val="008D73E7"/>
    <w:rsid w:val="008D77F3"/>
    <w:rsid w:val="008E11EE"/>
    <w:rsid w:val="008E1593"/>
    <w:rsid w:val="008E1D7B"/>
    <w:rsid w:val="008E2C79"/>
    <w:rsid w:val="008E2D24"/>
    <w:rsid w:val="008E4411"/>
    <w:rsid w:val="008E4416"/>
    <w:rsid w:val="008E47E7"/>
    <w:rsid w:val="008E6205"/>
    <w:rsid w:val="008E7477"/>
    <w:rsid w:val="008E7854"/>
    <w:rsid w:val="008F1404"/>
    <w:rsid w:val="008F1608"/>
    <w:rsid w:val="008F2711"/>
    <w:rsid w:val="008F3930"/>
    <w:rsid w:val="008F3EC3"/>
    <w:rsid w:val="008F400C"/>
    <w:rsid w:val="008F491E"/>
    <w:rsid w:val="008F60CF"/>
    <w:rsid w:val="008F60EF"/>
    <w:rsid w:val="008F62D8"/>
    <w:rsid w:val="008F6CE2"/>
    <w:rsid w:val="009002DA"/>
    <w:rsid w:val="009006E5"/>
    <w:rsid w:val="00900804"/>
    <w:rsid w:val="00901666"/>
    <w:rsid w:val="00904A33"/>
    <w:rsid w:val="00905818"/>
    <w:rsid w:val="009074EA"/>
    <w:rsid w:val="00910778"/>
    <w:rsid w:val="00910ADF"/>
    <w:rsid w:val="0091226E"/>
    <w:rsid w:val="009124A8"/>
    <w:rsid w:val="0091295D"/>
    <w:rsid w:val="00912DD0"/>
    <w:rsid w:val="00913D5D"/>
    <w:rsid w:val="009141C6"/>
    <w:rsid w:val="00914290"/>
    <w:rsid w:val="00914899"/>
    <w:rsid w:val="00914FC9"/>
    <w:rsid w:val="009153AA"/>
    <w:rsid w:val="009155F4"/>
    <w:rsid w:val="00920CA4"/>
    <w:rsid w:val="009215C4"/>
    <w:rsid w:val="00923BB8"/>
    <w:rsid w:val="0092497C"/>
    <w:rsid w:val="009262FD"/>
    <w:rsid w:val="0092683F"/>
    <w:rsid w:val="00927BDA"/>
    <w:rsid w:val="00931202"/>
    <w:rsid w:val="00932BC2"/>
    <w:rsid w:val="00933D28"/>
    <w:rsid w:val="00933E82"/>
    <w:rsid w:val="009344F1"/>
    <w:rsid w:val="0093498F"/>
    <w:rsid w:val="00935EA7"/>
    <w:rsid w:val="00942592"/>
    <w:rsid w:val="00942705"/>
    <w:rsid w:val="0094280B"/>
    <w:rsid w:val="00942F95"/>
    <w:rsid w:val="00943959"/>
    <w:rsid w:val="00943D78"/>
    <w:rsid w:val="00945597"/>
    <w:rsid w:val="00950DF6"/>
    <w:rsid w:val="009529AA"/>
    <w:rsid w:val="00953277"/>
    <w:rsid w:val="009539EC"/>
    <w:rsid w:val="00954701"/>
    <w:rsid w:val="00954865"/>
    <w:rsid w:val="00954A36"/>
    <w:rsid w:val="0095601B"/>
    <w:rsid w:val="009562EB"/>
    <w:rsid w:val="00956747"/>
    <w:rsid w:val="009634C1"/>
    <w:rsid w:val="00964DAB"/>
    <w:rsid w:val="00965359"/>
    <w:rsid w:val="0096560B"/>
    <w:rsid w:val="009658A3"/>
    <w:rsid w:val="00966202"/>
    <w:rsid w:val="0097079E"/>
    <w:rsid w:val="00970BBF"/>
    <w:rsid w:val="0097233C"/>
    <w:rsid w:val="00973BFB"/>
    <w:rsid w:val="00973EA6"/>
    <w:rsid w:val="00974159"/>
    <w:rsid w:val="00974A55"/>
    <w:rsid w:val="00974E98"/>
    <w:rsid w:val="00974FE8"/>
    <w:rsid w:val="00975927"/>
    <w:rsid w:val="00975EAE"/>
    <w:rsid w:val="00976F6B"/>
    <w:rsid w:val="00977142"/>
    <w:rsid w:val="00977250"/>
    <w:rsid w:val="0098217F"/>
    <w:rsid w:val="009822C6"/>
    <w:rsid w:val="00983573"/>
    <w:rsid w:val="009837EA"/>
    <w:rsid w:val="00986190"/>
    <w:rsid w:val="00986DFB"/>
    <w:rsid w:val="009870C9"/>
    <w:rsid w:val="0098798C"/>
    <w:rsid w:val="009920A1"/>
    <w:rsid w:val="00992732"/>
    <w:rsid w:val="00993423"/>
    <w:rsid w:val="00995439"/>
    <w:rsid w:val="00995B0E"/>
    <w:rsid w:val="00995D1C"/>
    <w:rsid w:val="009A0B20"/>
    <w:rsid w:val="009A1DD8"/>
    <w:rsid w:val="009A359A"/>
    <w:rsid w:val="009A3FFC"/>
    <w:rsid w:val="009A4720"/>
    <w:rsid w:val="009A5915"/>
    <w:rsid w:val="009A6276"/>
    <w:rsid w:val="009B15EB"/>
    <w:rsid w:val="009B3879"/>
    <w:rsid w:val="009B5004"/>
    <w:rsid w:val="009B5067"/>
    <w:rsid w:val="009B58A9"/>
    <w:rsid w:val="009B604D"/>
    <w:rsid w:val="009B7247"/>
    <w:rsid w:val="009B7554"/>
    <w:rsid w:val="009B7EF5"/>
    <w:rsid w:val="009C095D"/>
    <w:rsid w:val="009C13A4"/>
    <w:rsid w:val="009C3795"/>
    <w:rsid w:val="009C47C1"/>
    <w:rsid w:val="009C679D"/>
    <w:rsid w:val="009C74EC"/>
    <w:rsid w:val="009C7765"/>
    <w:rsid w:val="009D0881"/>
    <w:rsid w:val="009D208D"/>
    <w:rsid w:val="009D3C84"/>
    <w:rsid w:val="009D4615"/>
    <w:rsid w:val="009D6091"/>
    <w:rsid w:val="009D638E"/>
    <w:rsid w:val="009D7684"/>
    <w:rsid w:val="009D7E3F"/>
    <w:rsid w:val="009E2199"/>
    <w:rsid w:val="009E5373"/>
    <w:rsid w:val="009E5719"/>
    <w:rsid w:val="009F0527"/>
    <w:rsid w:val="009F11B6"/>
    <w:rsid w:val="009F20B5"/>
    <w:rsid w:val="009F27EF"/>
    <w:rsid w:val="009F2A2D"/>
    <w:rsid w:val="009F2C12"/>
    <w:rsid w:val="009F3F52"/>
    <w:rsid w:val="009F53B0"/>
    <w:rsid w:val="00A0102D"/>
    <w:rsid w:val="00A03AC5"/>
    <w:rsid w:val="00A04171"/>
    <w:rsid w:val="00A04343"/>
    <w:rsid w:val="00A04492"/>
    <w:rsid w:val="00A06A93"/>
    <w:rsid w:val="00A070B8"/>
    <w:rsid w:val="00A072C5"/>
    <w:rsid w:val="00A07482"/>
    <w:rsid w:val="00A079A5"/>
    <w:rsid w:val="00A1128D"/>
    <w:rsid w:val="00A1176C"/>
    <w:rsid w:val="00A118AB"/>
    <w:rsid w:val="00A1413B"/>
    <w:rsid w:val="00A14C58"/>
    <w:rsid w:val="00A169CE"/>
    <w:rsid w:val="00A20F62"/>
    <w:rsid w:val="00A21901"/>
    <w:rsid w:val="00A22C22"/>
    <w:rsid w:val="00A23680"/>
    <w:rsid w:val="00A2579A"/>
    <w:rsid w:val="00A26004"/>
    <w:rsid w:val="00A27BB2"/>
    <w:rsid w:val="00A30950"/>
    <w:rsid w:val="00A318F6"/>
    <w:rsid w:val="00A32CAA"/>
    <w:rsid w:val="00A34CFD"/>
    <w:rsid w:val="00A35908"/>
    <w:rsid w:val="00A365A8"/>
    <w:rsid w:val="00A37575"/>
    <w:rsid w:val="00A37915"/>
    <w:rsid w:val="00A37C72"/>
    <w:rsid w:val="00A40019"/>
    <w:rsid w:val="00A408F1"/>
    <w:rsid w:val="00A41382"/>
    <w:rsid w:val="00A4163E"/>
    <w:rsid w:val="00A41B44"/>
    <w:rsid w:val="00A41B5A"/>
    <w:rsid w:val="00A4376A"/>
    <w:rsid w:val="00A45902"/>
    <w:rsid w:val="00A46B9F"/>
    <w:rsid w:val="00A4718C"/>
    <w:rsid w:val="00A47904"/>
    <w:rsid w:val="00A50959"/>
    <w:rsid w:val="00A52140"/>
    <w:rsid w:val="00A52927"/>
    <w:rsid w:val="00A55081"/>
    <w:rsid w:val="00A553F8"/>
    <w:rsid w:val="00A558A2"/>
    <w:rsid w:val="00A5675F"/>
    <w:rsid w:val="00A56FE6"/>
    <w:rsid w:val="00A5786C"/>
    <w:rsid w:val="00A57D81"/>
    <w:rsid w:val="00A606A6"/>
    <w:rsid w:val="00A62F09"/>
    <w:rsid w:val="00A63C24"/>
    <w:rsid w:val="00A63CDE"/>
    <w:rsid w:val="00A66F76"/>
    <w:rsid w:val="00A674D8"/>
    <w:rsid w:val="00A6795B"/>
    <w:rsid w:val="00A700C5"/>
    <w:rsid w:val="00A749CC"/>
    <w:rsid w:val="00A762C9"/>
    <w:rsid w:val="00A767A8"/>
    <w:rsid w:val="00A76916"/>
    <w:rsid w:val="00A81CF8"/>
    <w:rsid w:val="00A8280C"/>
    <w:rsid w:val="00A82978"/>
    <w:rsid w:val="00A83B57"/>
    <w:rsid w:val="00A84879"/>
    <w:rsid w:val="00A86422"/>
    <w:rsid w:val="00A870F1"/>
    <w:rsid w:val="00A874D1"/>
    <w:rsid w:val="00A90360"/>
    <w:rsid w:val="00A909DE"/>
    <w:rsid w:val="00A90D57"/>
    <w:rsid w:val="00A91B92"/>
    <w:rsid w:val="00A924D0"/>
    <w:rsid w:val="00A929EA"/>
    <w:rsid w:val="00A92E28"/>
    <w:rsid w:val="00A93D9A"/>
    <w:rsid w:val="00A94125"/>
    <w:rsid w:val="00A95C2D"/>
    <w:rsid w:val="00A9712B"/>
    <w:rsid w:val="00AA00CE"/>
    <w:rsid w:val="00AA1F32"/>
    <w:rsid w:val="00AA286D"/>
    <w:rsid w:val="00AA465D"/>
    <w:rsid w:val="00AA697E"/>
    <w:rsid w:val="00AA7FEF"/>
    <w:rsid w:val="00AB02F4"/>
    <w:rsid w:val="00AB13FF"/>
    <w:rsid w:val="00AB1460"/>
    <w:rsid w:val="00AB16B1"/>
    <w:rsid w:val="00AB1C06"/>
    <w:rsid w:val="00AB1E67"/>
    <w:rsid w:val="00AB438B"/>
    <w:rsid w:val="00AB6345"/>
    <w:rsid w:val="00AC0BE1"/>
    <w:rsid w:val="00AC1280"/>
    <w:rsid w:val="00AC1722"/>
    <w:rsid w:val="00AC25D4"/>
    <w:rsid w:val="00AC514A"/>
    <w:rsid w:val="00AC54B7"/>
    <w:rsid w:val="00AC711C"/>
    <w:rsid w:val="00AD192D"/>
    <w:rsid w:val="00AD3D0E"/>
    <w:rsid w:val="00AD4228"/>
    <w:rsid w:val="00AD4340"/>
    <w:rsid w:val="00AD4B10"/>
    <w:rsid w:val="00AD697A"/>
    <w:rsid w:val="00AD77D8"/>
    <w:rsid w:val="00AD7809"/>
    <w:rsid w:val="00AE0B25"/>
    <w:rsid w:val="00AE1088"/>
    <w:rsid w:val="00AE2464"/>
    <w:rsid w:val="00AE27E1"/>
    <w:rsid w:val="00AE39DD"/>
    <w:rsid w:val="00AE3FD0"/>
    <w:rsid w:val="00AE6CA8"/>
    <w:rsid w:val="00AE74F4"/>
    <w:rsid w:val="00AE7CEB"/>
    <w:rsid w:val="00AE7DFF"/>
    <w:rsid w:val="00AF0559"/>
    <w:rsid w:val="00AF43A3"/>
    <w:rsid w:val="00AF5AE1"/>
    <w:rsid w:val="00AF5D5E"/>
    <w:rsid w:val="00AF6EBD"/>
    <w:rsid w:val="00B00760"/>
    <w:rsid w:val="00B011F6"/>
    <w:rsid w:val="00B01395"/>
    <w:rsid w:val="00B016CF"/>
    <w:rsid w:val="00B03315"/>
    <w:rsid w:val="00B0348E"/>
    <w:rsid w:val="00B040D3"/>
    <w:rsid w:val="00B04760"/>
    <w:rsid w:val="00B0480E"/>
    <w:rsid w:val="00B117FD"/>
    <w:rsid w:val="00B13D79"/>
    <w:rsid w:val="00B149AE"/>
    <w:rsid w:val="00B15A27"/>
    <w:rsid w:val="00B163B1"/>
    <w:rsid w:val="00B20EBA"/>
    <w:rsid w:val="00B21353"/>
    <w:rsid w:val="00B2138C"/>
    <w:rsid w:val="00B2197B"/>
    <w:rsid w:val="00B2313A"/>
    <w:rsid w:val="00B235A9"/>
    <w:rsid w:val="00B2364D"/>
    <w:rsid w:val="00B241BA"/>
    <w:rsid w:val="00B244C9"/>
    <w:rsid w:val="00B24DBA"/>
    <w:rsid w:val="00B258EA"/>
    <w:rsid w:val="00B25A18"/>
    <w:rsid w:val="00B267E4"/>
    <w:rsid w:val="00B30D6E"/>
    <w:rsid w:val="00B3152A"/>
    <w:rsid w:val="00B31E97"/>
    <w:rsid w:val="00B32801"/>
    <w:rsid w:val="00B3444F"/>
    <w:rsid w:val="00B351F1"/>
    <w:rsid w:val="00B352B0"/>
    <w:rsid w:val="00B35D4A"/>
    <w:rsid w:val="00B36E00"/>
    <w:rsid w:val="00B36E14"/>
    <w:rsid w:val="00B37935"/>
    <w:rsid w:val="00B37EDE"/>
    <w:rsid w:val="00B412F5"/>
    <w:rsid w:val="00B41713"/>
    <w:rsid w:val="00B4176F"/>
    <w:rsid w:val="00B4239B"/>
    <w:rsid w:val="00B42947"/>
    <w:rsid w:val="00B42C2C"/>
    <w:rsid w:val="00B43476"/>
    <w:rsid w:val="00B434F1"/>
    <w:rsid w:val="00B44D3E"/>
    <w:rsid w:val="00B45D31"/>
    <w:rsid w:val="00B511CF"/>
    <w:rsid w:val="00B51664"/>
    <w:rsid w:val="00B5178F"/>
    <w:rsid w:val="00B51C7B"/>
    <w:rsid w:val="00B51DCC"/>
    <w:rsid w:val="00B51E6A"/>
    <w:rsid w:val="00B522E1"/>
    <w:rsid w:val="00B52F0E"/>
    <w:rsid w:val="00B5303E"/>
    <w:rsid w:val="00B538AA"/>
    <w:rsid w:val="00B53DBC"/>
    <w:rsid w:val="00B541A3"/>
    <w:rsid w:val="00B545A4"/>
    <w:rsid w:val="00B54889"/>
    <w:rsid w:val="00B54EA3"/>
    <w:rsid w:val="00B55F07"/>
    <w:rsid w:val="00B56C33"/>
    <w:rsid w:val="00B5737F"/>
    <w:rsid w:val="00B6018C"/>
    <w:rsid w:val="00B60885"/>
    <w:rsid w:val="00B618C2"/>
    <w:rsid w:val="00B61E12"/>
    <w:rsid w:val="00B62147"/>
    <w:rsid w:val="00B62683"/>
    <w:rsid w:val="00B63151"/>
    <w:rsid w:val="00B63635"/>
    <w:rsid w:val="00B645DA"/>
    <w:rsid w:val="00B64C3A"/>
    <w:rsid w:val="00B70076"/>
    <w:rsid w:val="00B71AAA"/>
    <w:rsid w:val="00B71E33"/>
    <w:rsid w:val="00B72ABD"/>
    <w:rsid w:val="00B72F01"/>
    <w:rsid w:val="00B74086"/>
    <w:rsid w:val="00B7523B"/>
    <w:rsid w:val="00B76FF8"/>
    <w:rsid w:val="00B77ADF"/>
    <w:rsid w:val="00B81331"/>
    <w:rsid w:val="00B816C8"/>
    <w:rsid w:val="00B82769"/>
    <w:rsid w:val="00B82FD2"/>
    <w:rsid w:val="00B82FE0"/>
    <w:rsid w:val="00B84EFF"/>
    <w:rsid w:val="00B85691"/>
    <w:rsid w:val="00B86987"/>
    <w:rsid w:val="00B87AAD"/>
    <w:rsid w:val="00B92789"/>
    <w:rsid w:val="00B9347C"/>
    <w:rsid w:val="00B94C35"/>
    <w:rsid w:val="00B9564A"/>
    <w:rsid w:val="00B96FF7"/>
    <w:rsid w:val="00B9714A"/>
    <w:rsid w:val="00B975D3"/>
    <w:rsid w:val="00B978AB"/>
    <w:rsid w:val="00BA003E"/>
    <w:rsid w:val="00BA1B28"/>
    <w:rsid w:val="00BA2A4E"/>
    <w:rsid w:val="00BA3385"/>
    <w:rsid w:val="00BA3479"/>
    <w:rsid w:val="00BA38A6"/>
    <w:rsid w:val="00BA3D77"/>
    <w:rsid w:val="00BA4180"/>
    <w:rsid w:val="00BA443A"/>
    <w:rsid w:val="00BA50C7"/>
    <w:rsid w:val="00BA5517"/>
    <w:rsid w:val="00BA55BC"/>
    <w:rsid w:val="00BB0254"/>
    <w:rsid w:val="00BB0D9F"/>
    <w:rsid w:val="00BB39C6"/>
    <w:rsid w:val="00BB5DFE"/>
    <w:rsid w:val="00BB614C"/>
    <w:rsid w:val="00BC17CB"/>
    <w:rsid w:val="00BC216F"/>
    <w:rsid w:val="00BC4677"/>
    <w:rsid w:val="00BC59BB"/>
    <w:rsid w:val="00BC6403"/>
    <w:rsid w:val="00BC6BC1"/>
    <w:rsid w:val="00BC7621"/>
    <w:rsid w:val="00BC7C46"/>
    <w:rsid w:val="00BD05C2"/>
    <w:rsid w:val="00BD1741"/>
    <w:rsid w:val="00BD1BEA"/>
    <w:rsid w:val="00BD2199"/>
    <w:rsid w:val="00BD6C26"/>
    <w:rsid w:val="00BD7B38"/>
    <w:rsid w:val="00BD7F10"/>
    <w:rsid w:val="00BE048A"/>
    <w:rsid w:val="00BE0650"/>
    <w:rsid w:val="00BE2251"/>
    <w:rsid w:val="00BE29EB"/>
    <w:rsid w:val="00BE4A58"/>
    <w:rsid w:val="00BE5599"/>
    <w:rsid w:val="00BE574A"/>
    <w:rsid w:val="00BE5776"/>
    <w:rsid w:val="00BE5948"/>
    <w:rsid w:val="00BF0C18"/>
    <w:rsid w:val="00BF1991"/>
    <w:rsid w:val="00BF24B7"/>
    <w:rsid w:val="00BF268D"/>
    <w:rsid w:val="00BF28AE"/>
    <w:rsid w:val="00BF36E6"/>
    <w:rsid w:val="00BF3AC8"/>
    <w:rsid w:val="00BF3F1E"/>
    <w:rsid w:val="00BF4445"/>
    <w:rsid w:val="00BF6781"/>
    <w:rsid w:val="00BF73C9"/>
    <w:rsid w:val="00BF78BB"/>
    <w:rsid w:val="00C002FB"/>
    <w:rsid w:val="00C0062D"/>
    <w:rsid w:val="00C012DF"/>
    <w:rsid w:val="00C03D68"/>
    <w:rsid w:val="00C04FC3"/>
    <w:rsid w:val="00C0542B"/>
    <w:rsid w:val="00C05571"/>
    <w:rsid w:val="00C07A55"/>
    <w:rsid w:val="00C10710"/>
    <w:rsid w:val="00C10998"/>
    <w:rsid w:val="00C10A93"/>
    <w:rsid w:val="00C11F15"/>
    <w:rsid w:val="00C132E8"/>
    <w:rsid w:val="00C14B95"/>
    <w:rsid w:val="00C15D5E"/>
    <w:rsid w:val="00C16725"/>
    <w:rsid w:val="00C20995"/>
    <w:rsid w:val="00C20C2B"/>
    <w:rsid w:val="00C21626"/>
    <w:rsid w:val="00C21635"/>
    <w:rsid w:val="00C23180"/>
    <w:rsid w:val="00C23399"/>
    <w:rsid w:val="00C2477A"/>
    <w:rsid w:val="00C24DC5"/>
    <w:rsid w:val="00C2611E"/>
    <w:rsid w:val="00C265E3"/>
    <w:rsid w:val="00C26997"/>
    <w:rsid w:val="00C27472"/>
    <w:rsid w:val="00C27F8C"/>
    <w:rsid w:val="00C30801"/>
    <w:rsid w:val="00C31B93"/>
    <w:rsid w:val="00C31F22"/>
    <w:rsid w:val="00C32CDD"/>
    <w:rsid w:val="00C32F82"/>
    <w:rsid w:val="00C33E9A"/>
    <w:rsid w:val="00C35322"/>
    <w:rsid w:val="00C37BF5"/>
    <w:rsid w:val="00C37DB5"/>
    <w:rsid w:val="00C40C7A"/>
    <w:rsid w:val="00C40CAD"/>
    <w:rsid w:val="00C41A75"/>
    <w:rsid w:val="00C43C01"/>
    <w:rsid w:val="00C45A13"/>
    <w:rsid w:val="00C46B63"/>
    <w:rsid w:val="00C46FBD"/>
    <w:rsid w:val="00C501CD"/>
    <w:rsid w:val="00C5105D"/>
    <w:rsid w:val="00C51C80"/>
    <w:rsid w:val="00C53891"/>
    <w:rsid w:val="00C53EE2"/>
    <w:rsid w:val="00C5418F"/>
    <w:rsid w:val="00C54861"/>
    <w:rsid w:val="00C5526E"/>
    <w:rsid w:val="00C55361"/>
    <w:rsid w:val="00C5551A"/>
    <w:rsid w:val="00C557B5"/>
    <w:rsid w:val="00C558DB"/>
    <w:rsid w:val="00C63020"/>
    <w:rsid w:val="00C6354D"/>
    <w:rsid w:val="00C64025"/>
    <w:rsid w:val="00C651E7"/>
    <w:rsid w:val="00C677FC"/>
    <w:rsid w:val="00C723B5"/>
    <w:rsid w:val="00C72BCD"/>
    <w:rsid w:val="00C736CD"/>
    <w:rsid w:val="00C73C3D"/>
    <w:rsid w:val="00C75031"/>
    <w:rsid w:val="00C75C73"/>
    <w:rsid w:val="00C76C2D"/>
    <w:rsid w:val="00C77A5D"/>
    <w:rsid w:val="00C77D53"/>
    <w:rsid w:val="00C80335"/>
    <w:rsid w:val="00C818BC"/>
    <w:rsid w:val="00C81EC5"/>
    <w:rsid w:val="00C82285"/>
    <w:rsid w:val="00C82449"/>
    <w:rsid w:val="00C85353"/>
    <w:rsid w:val="00C85746"/>
    <w:rsid w:val="00C86133"/>
    <w:rsid w:val="00C9295A"/>
    <w:rsid w:val="00C92EB2"/>
    <w:rsid w:val="00C935BF"/>
    <w:rsid w:val="00C94092"/>
    <w:rsid w:val="00C95C02"/>
    <w:rsid w:val="00C96636"/>
    <w:rsid w:val="00C97972"/>
    <w:rsid w:val="00CA0F59"/>
    <w:rsid w:val="00CA192C"/>
    <w:rsid w:val="00CA3820"/>
    <w:rsid w:val="00CA4BB4"/>
    <w:rsid w:val="00CA570B"/>
    <w:rsid w:val="00CA5DE9"/>
    <w:rsid w:val="00CA67B3"/>
    <w:rsid w:val="00CA7BF2"/>
    <w:rsid w:val="00CB03FC"/>
    <w:rsid w:val="00CB2236"/>
    <w:rsid w:val="00CB4A9A"/>
    <w:rsid w:val="00CB59C4"/>
    <w:rsid w:val="00CB7EA7"/>
    <w:rsid w:val="00CC16B3"/>
    <w:rsid w:val="00CC1F0B"/>
    <w:rsid w:val="00CC562C"/>
    <w:rsid w:val="00CC578C"/>
    <w:rsid w:val="00CC5940"/>
    <w:rsid w:val="00CC6CF9"/>
    <w:rsid w:val="00CC7BC5"/>
    <w:rsid w:val="00CD0319"/>
    <w:rsid w:val="00CD3DC9"/>
    <w:rsid w:val="00CD3FD6"/>
    <w:rsid w:val="00CD5B62"/>
    <w:rsid w:val="00CD635C"/>
    <w:rsid w:val="00CD6F8E"/>
    <w:rsid w:val="00CE02EE"/>
    <w:rsid w:val="00CE076D"/>
    <w:rsid w:val="00CE2A7F"/>
    <w:rsid w:val="00CE7012"/>
    <w:rsid w:val="00CF050B"/>
    <w:rsid w:val="00CF24AA"/>
    <w:rsid w:val="00CF363B"/>
    <w:rsid w:val="00CF3C99"/>
    <w:rsid w:val="00CF4202"/>
    <w:rsid w:val="00CF497C"/>
    <w:rsid w:val="00CF60A7"/>
    <w:rsid w:val="00CF7690"/>
    <w:rsid w:val="00CF7963"/>
    <w:rsid w:val="00CF7BEB"/>
    <w:rsid w:val="00CF7F3E"/>
    <w:rsid w:val="00D00E6E"/>
    <w:rsid w:val="00D00EE0"/>
    <w:rsid w:val="00D015BC"/>
    <w:rsid w:val="00D01BF8"/>
    <w:rsid w:val="00D0325A"/>
    <w:rsid w:val="00D03B5C"/>
    <w:rsid w:val="00D0419F"/>
    <w:rsid w:val="00D041E2"/>
    <w:rsid w:val="00D0473B"/>
    <w:rsid w:val="00D0648C"/>
    <w:rsid w:val="00D0690C"/>
    <w:rsid w:val="00D109A5"/>
    <w:rsid w:val="00D145A6"/>
    <w:rsid w:val="00D14600"/>
    <w:rsid w:val="00D15D0C"/>
    <w:rsid w:val="00D16443"/>
    <w:rsid w:val="00D17F34"/>
    <w:rsid w:val="00D204C3"/>
    <w:rsid w:val="00D20D17"/>
    <w:rsid w:val="00D22DC7"/>
    <w:rsid w:val="00D2782A"/>
    <w:rsid w:val="00D30FA4"/>
    <w:rsid w:val="00D31C36"/>
    <w:rsid w:val="00D31CFA"/>
    <w:rsid w:val="00D31E05"/>
    <w:rsid w:val="00D32FEA"/>
    <w:rsid w:val="00D33B6C"/>
    <w:rsid w:val="00D340A2"/>
    <w:rsid w:val="00D34105"/>
    <w:rsid w:val="00D348AB"/>
    <w:rsid w:val="00D36912"/>
    <w:rsid w:val="00D372C9"/>
    <w:rsid w:val="00D41570"/>
    <w:rsid w:val="00D42E91"/>
    <w:rsid w:val="00D42F64"/>
    <w:rsid w:val="00D42FD5"/>
    <w:rsid w:val="00D432DF"/>
    <w:rsid w:val="00D43BB3"/>
    <w:rsid w:val="00D45C5A"/>
    <w:rsid w:val="00D46AE6"/>
    <w:rsid w:val="00D46E4B"/>
    <w:rsid w:val="00D473DD"/>
    <w:rsid w:val="00D47495"/>
    <w:rsid w:val="00D47E24"/>
    <w:rsid w:val="00D50424"/>
    <w:rsid w:val="00D52B20"/>
    <w:rsid w:val="00D53465"/>
    <w:rsid w:val="00D536BC"/>
    <w:rsid w:val="00D53ADE"/>
    <w:rsid w:val="00D575CE"/>
    <w:rsid w:val="00D6210C"/>
    <w:rsid w:val="00D6261D"/>
    <w:rsid w:val="00D62FB1"/>
    <w:rsid w:val="00D63C9B"/>
    <w:rsid w:val="00D63FFC"/>
    <w:rsid w:val="00D648C4"/>
    <w:rsid w:val="00D649D1"/>
    <w:rsid w:val="00D65AF6"/>
    <w:rsid w:val="00D65FFD"/>
    <w:rsid w:val="00D6662C"/>
    <w:rsid w:val="00D670F5"/>
    <w:rsid w:val="00D67609"/>
    <w:rsid w:val="00D714F1"/>
    <w:rsid w:val="00D71671"/>
    <w:rsid w:val="00D732CA"/>
    <w:rsid w:val="00D73AE4"/>
    <w:rsid w:val="00D74FA6"/>
    <w:rsid w:val="00D754B5"/>
    <w:rsid w:val="00D760E5"/>
    <w:rsid w:val="00D76594"/>
    <w:rsid w:val="00D76609"/>
    <w:rsid w:val="00D7676C"/>
    <w:rsid w:val="00D80CC6"/>
    <w:rsid w:val="00D82214"/>
    <w:rsid w:val="00D83F1C"/>
    <w:rsid w:val="00D86BAF"/>
    <w:rsid w:val="00D87367"/>
    <w:rsid w:val="00D90052"/>
    <w:rsid w:val="00D90B71"/>
    <w:rsid w:val="00D90E3D"/>
    <w:rsid w:val="00D91189"/>
    <w:rsid w:val="00D917F1"/>
    <w:rsid w:val="00D92013"/>
    <w:rsid w:val="00D92E8D"/>
    <w:rsid w:val="00D93D39"/>
    <w:rsid w:val="00D93DD9"/>
    <w:rsid w:val="00D95368"/>
    <w:rsid w:val="00D95B30"/>
    <w:rsid w:val="00D95EFB"/>
    <w:rsid w:val="00D96878"/>
    <w:rsid w:val="00DA004E"/>
    <w:rsid w:val="00DA0CE4"/>
    <w:rsid w:val="00DA0F0A"/>
    <w:rsid w:val="00DA3BE9"/>
    <w:rsid w:val="00DA6C2A"/>
    <w:rsid w:val="00DA6EAC"/>
    <w:rsid w:val="00DB02DF"/>
    <w:rsid w:val="00DB316D"/>
    <w:rsid w:val="00DB3564"/>
    <w:rsid w:val="00DB3DA4"/>
    <w:rsid w:val="00DB7F56"/>
    <w:rsid w:val="00DC058D"/>
    <w:rsid w:val="00DC0B71"/>
    <w:rsid w:val="00DC0D52"/>
    <w:rsid w:val="00DC2C31"/>
    <w:rsid w:val="00DC3655"/>
    <w:rsid w:val="00DC534C"/>
    <w:rsid w:val="00DC5BC3"/>
    <w:rsid w:val="00DC6899"/>
    <w:rsid w:val="00DC777D"/>
    <w:rsid w:val="00DD21E9"/>
    <w:rsid w:val="00DD2BDE"/>
    <w:rsid w:val="00DD3014"/>
    <w:rsid w:val="00DD462C"/>
    <w:rsid w:val="00DD6348"/>
    <w:rsid w:val="00DD6353"/>
    <w:rsid w:val="00DD7324"/>
    <w:rsid w:val="00DD7BAC"/>
    <w:rsid w:val="00DE0314"/>
    <w:rsid w:val="00DE048D"/>
    <w:rsid w:val="00DE06D1"/>
    <w:rsid w:val="00DE17FD"/>
    <w:rsid w:val="00DE2135"/>
    <w:rsid w:val="00DE439F"/>
    <w:rsid w:val="00DE4FC6"/>
    <w:rsid w:val="00DE5356"/>
    <w:rsid w:val="00DE5C71"/>
    <w:rsid w:val="00DE75FB"/>
    <w:rsid w:val="00DF172A"/>
    <w:rsid w:val="00DF3151"/>
    <w:rsid w:val="00DF52C5"/>
    <w:rsid w:val="00DF6D66"/>
    <w:rsid w:val="00E006C4"/>
    <w:rsid w:val="00E0072B"/>
    <w:rsid w:val="00E03846"/>
    <w:rsid w:val="00E04B0C"/>
    <w:rsid w:val="00E053C2"/>
    <w:rsid w:val="00E054E3"/>
    <w:rsid w:val="00E05AFF"/>
    <w:rsid w:val="00E0655E"/>
    <w:rsid w:val="00E1075E"/>
    <w:rsid w:val="00E10A00"/>
    <w:rsid w:val="00E112F3"/>
    <w:rsid w:val="00E1171E"/>
    <w:rsid w:val="00E121E3"/>
    <w:rsid w:val="00E12B6D"/>
    <w:rsid w:val="00E14794"/>
    <w:rsid w:val="00E14946"/>
    <w:rsid w:val="00E16CDD"/>
    <w:rsid w:val="00E21A11"/>
    <w:rsid w:val="00E22659"/>
    <w:rsid w:val="00E23294"/>
    <w:rsid w:val="00E23A23"/>
    <w:rsid w:val="00E24CEB"/>
    <w:rsid w:val="00E24F8B"/>
    <w:rsid w:val="00E256E4"/>
    <w:rsid w:val="00E25904"/>
    <w:rsid w:val="00E25B66"/>
    <w:rsid w:val="00E268A9"/>
    <w:rsid w:val="00E270AB"/>
    <w:rsid w:val="00E2779A"/>
    <w:rsid w:val="00E30DB2"/>
    <w:rsid w:val="00E3115C"/>
    <w:rsid w:val="00E31522"/>
    <w:rsid w:val="00E31696"/>
    <w:rsid w:val="00E31CA8"/>
    <w:rsid w:val="00E31CDB"/>
    <w:rsid w:val="00E34AC5"/>
    <w:rsid w:val="00E354E5"/>
    <w:rsid w:val="00E40567"/>
    <w:rsid w:val="00E406ED"/>
    <w:rsid w:val="00E411C0"/>
    <w:rsid w:val="00E41E92"/>
    <w:rsid w:val="00E41FA5"/>
    <w:rsid w:val="00E4250D"/>
    <w:rsid w:val="00E42ABF"/>
    <w:rsid w:val="00E42DBD"/>
    <w:rsid w:val="00E4349F"/>
    <w:rsid w:val="00E44593"/>
    <w:rsid w:val="00E4490A"/>
    <w:rsid w:val="00E44EBC"/>
    <w:rsid w:val="00E44FDA"/>
    <w:rsid w:val="00E4607E"/>
    <w:rsid w:val="00E46867"/>
    <w:rsid w:val="00E500AC"/>
    <w:rsid w:val="00E503D6"/>
    <w:rsid w:val="00E5076E"/>
    <w:rsid w:val="00E55B52"/>
    <w:rsid w:val="00E625B5"/>
    <w:rsid w:val="00E629EA"/>
    <w:rsid w:val="00E630AD"/>
    <w:rsid w:val="00E63726"/>
    <w:rsid w:val="00E65EDE"/>
    <w:rsid w:val="00E6607A"/>
    <w:rsid w:val="00E66E76"/>
    <w:rsid w:val="00E67582"/>
    <w:rsid w:val="00E6784B"/>
    <w:rsid w:val="00E67AF9"/>
    <w:rsid w:val="00E70B43"/>
    <w:rsid w:val="00E70D94"/>
    <w:rsid w:val="00E71A3F"/>
    <w:rsid w:val="00E721A4"/>
    <w:rsid w:val="00E72F47"/>
    <w:rsid w:val="00E74D55"/>
    <w:rsid w:val="00E7510D"/>
    <w:rsid w:val="00E75D11"/>
    <w:rsid w:val="00E75D78"/>
    <w:rsid w:val="00E772ED"/>
    <w:rsid w:val="00E7731B"/>
    <w:rsid w:val="00E80444"/>
    <w:rsid w:val="00E80D85"/>
    <w:rsid w:val="00E80E08"/>
    <w:rsid w:val="00E833C7"/>
    <w:rsid w:val="00E846FD"/>
    <w:rsid w:val="00E85BCC"/>
    <w:rsid w:val="00E862A1"/>
    <w:rsid w:val="00E86DCA"/>
    <w:rsid w:val="00E87658"/>
    <w:rsid w:val="00E87CF0"/>
    <w:rsid w:val="00E909BD"/>
    <w:rsid w:val="00E9135D"/>
    <w:rsid w:val="00E91929"/>
    <w:rsid w:val="00E9204D"/>
    <w:rsid w:val="00E93D24"/>
    <w:rsid w:val="00E94643"/>
    <w:rsid w:val="00E948F8"/>
    <w:rsid w:val="00E95088"/>
    <w:rsid w:val="00E95F24"/>
    <w:rsid w:val="00E965A8"/>
    <w:rsid w:val="00E97AB7"/>
    <w:rsid w:val="00E97C3C"/>
    <w:rsid w:val="00E97CAA"/>
    <w:rsid w:val="00E97F13"/>
    <w:rsid w:val="00EA05AF"/>
    <w:rsid w:val="00EA0E17"/>
    <w:rsid w:val="00EA1A25"/>
    <w:rsid w:val="00EA1F22"/>
    <w:rsid w:val="00EA236E"/>
    <w:rsid w:val="00EA2682"/>
    <w:rsid w:val="00EA2C03"/>
    <w:rsid w:val="00EA33E4"/>
    <w:rsid w:val="00EA377D"/>
    <w:rsid w:val="00EA5D03"/>
    <w:rsid w:val="00EA6387"/>
    <w:rsid w:val="00EA6C02"/>
    <w:rsid w:val="00EA7821"/>
    <w:rsid w:val="00EB006A"/>
    <w:rsid w:val="00EB0403"/>
    <w:rsid w:val="00EB28BE"/>
    <w:rsid w:val="00EB55D9"/>
    <w:rsid w:val="00EB55EE"/>
    <w:rsid w:val="00EB6438"/>
    <w:rsid w:val="00EB6704"/>
    <w:rsid w:val="00EB7605"/>
    <w:rsid w:val="00EB77CC"/>
    <w:rsid w:val="00EC22BF"/>
    <w:rsid w:val="00EC2F1B"/>
    <w:rsid w:val="00EC3125"/>
    <w:rsid w:val="00EC4480"/>
    <w:rsid w:val="00EC46CE"/>
    <w:rsid w:val="00EC4D34"/>
    <w:rsid w:val="00EC5114"/>
    <w:rsid w:val="00EC64B0"/>
    <w:rsid w:val="00EC66F2"/>
    <w:rsid w:val="00EC72D5"/>
    <w:rsid w:val="00EC73BC"/>
    <w:rsid w:val="00EC74CF"/>
    <w:rsid w:val="00ED2526"/>
    <w:rsid w:val="00ED2D11"/>
    <w:rsid w:val="00ED3667"/>
    <w:rsid w:val="00ED586D"/>
    <w:rsid w:val="00ED6553"/>
    <w:rsid w:val="00ED663B"/>
    <w:rsid w:val="00ED6F02"/>
    <w:rsid w:val="00ED778E"/>
    <w:rsid w:val="00ED7FA4"/>
    <w:rsid w:val="00EE01B5"/>
    <w:rsid w:val="00EE0298"/>
    <w:rsid w:val="00EE0C61"/>
    <w:rsid w:val="00EE2146"/>
    <w:rsid w:val="00EE3559"/>
    <w:rsid w:val="00EE3B68"/>
    <w:rsid w:val="00EE3C2E"/>
    <w:rsid w:val="00EE5629"/>
    <w:rsid w:val="00EE570A"/>
    <w:rsid w:val="00EE5C05"/>
    <w:rsid w:val="00EE5F40"/>
    <w:rsid w:val="00EE7393"/>
    <w:rsid w:val="00EE7BB1"/>
    <w:rsid w:val="00EF06B2"/>
    <w:rsid w:val="00EF089C"/>
    <w:rsid w:val="00EF0A02"/>
    <w:rsid w:val="00EF1AF5"/>
    <w:rsid w:val="00EF1CD9"/>
    <w:rsid w:val="00EF2D70"/>
    <w:rsid w:val="00EF2E35"/>
    <w:rsid w:val="00EF3134"/>
    <w:rsid w:val="00EF4661"/>
    <w:rsid w:val="00EF46F9"/>
    <w:rsid w:val="00EF4B2E"/>
    <w:rsid w:val="00EF4D75"/>
    <w:rsid w:val="00EF6E23"/>
    <w:rsid w:val="00EF741C"/>
    <w:rsid w:val="00EF75DC"/>
    <w:rsid w:val="00EF76DD"/>
    <w:rsid w:val="00EF7EA6"/>
    <w:rsid w:val="00F0247A"/>
    <w:rsid w:val="00F02ECB"/>
    <w:rsid w:val="00F02F9F"/>
    <w:rsid w:val="00F03FA5"/>
    <w:rsid w:val="00F06DC6"/>
    <w:rsid w:val="00F07501"/>
    <w:rsid w:val="00F10681"/>
    <w:rsid w:val="00F10B6D"/>
    <w:rsid w:val="00F10FAE"/>
    <w:rsid w:val="00F1258B"/>
    <w:rsid w:val="00F16160"/>
    <w:rsid w:val="00F1717C"/>
    <w:rsid w:val="00F17DB1"/>
    <w:rsid w:val="00F17F62"/>
    <w:rsid w:val="00F216BC"/>
    <w:rsid w:val="00F21968"/>
    <w:rsid w:val="00F23D12"/>
    <w:rsid w:val="00F2507F"/>
    <w:rsid w:val="00F277DD"/>
    <w:rsid w:val="00F27A22"/>
    <w:rsid w:val="00F27E04"/>
    <w:rsid w:val="00F320B5"/>
    <w:rsid w:val="00F32461"/>
    <w:rsid w:val="00F32E9B"/>
    <w:rsid w:val="00F33EC4"/>
    <w:rsid w:val="00F34D84"/>
    <w:rsid w:val="00F37A1B"/>
    <w:rsid w:val="00F40877"/>
    <w:rsid w:val="00F41B77"/>
    <w:rsid w:val="00F4210C"/>
    <w:rsid w:val="00F44041"/>
    <w:rsid w:val="00F44F4E"/>
    <w:rsid w:val="00F46CC5"/>
    <w:rsid w:val="00F47375"/>
    <w:rsid w:val="00F476A0"/>
    <w:rsid w:val="00F47D3D"/>
    <w:rsid w:val="00F5033A"/>
    <w:rsid w:val="00F50F42"/>
    <w:rsid w:val="00F51B12"/>
    <w:rsid w:val="00F5285D"/>
    <w:rsid w:val="00F60A99"/>
    <w:rsid w:val="00F62B40"/>
    <w:rsid w:val="00F62F86"/>
    <w:rsid w:val="00F63E73"/>
    <w:rsid w:val="00F647C9"/>
    <w:rsid w:val="00F6528A"/>
    <w:rsid w:val="00F655AC"/>
    <w:rsid w:val="00F66978"/>
    <w:rsid w:val="00F67602"/>
    <w:rsid w:val="00F67974"/>
    <w:rsid w:val="00F70FFC"/>
    <w:rsid w:val="00F732A3"/>
    <w:rsid w:val="00F73C0E"/>
    <w:rsid w:val="00F745D7"/>
    <w:rsid w:val="00F77FCC"/>
    <w:rsid w:val="00F8147D"/>
    <w:rsid w:val="00F8171A"/>
    <w:rsid w:val="00F81F86"/>
    <w:rsid w:val="00F828ED"/>
    <w:rsid w:val="00F82EF4"/>
    <w:rsid w:val="00F83446"/>
    <w:rsid w:val="00F83748"/>
    <w:rsid w:val="00F8432B"/>
    <w:rsid w:val="00F84EB8"/>
    <w:rsid w:val="00F851B1"/>
    <w:rsid w:val="00F85829"/>
    <w:rsid w:val="00F85B59"/>
    <w:rsid w:val="00F85FCC"/>
    <w:rsid w:val="00F86621"/>
    <w:rsid w:val="00F8663C"/>
    <w:rsid w:val="00F87AF2"/>
    <w:rsid w:val="00F91BC0"/>
    <w:rsid w:val="00F92EBE"/>
    <w:rsid w:val="00F93938"/>
    <w:rsid w:val="00F9510B"/>
    <w:rsid w:val="00F96C2D"/>
    <w:rsid w:val="00F97797"/>
    <w:rsid w:val="00F97EFC"/>
    <w:rsid w:val="00FA134B"/>
    <w:rsid w:val="00FA2422"/>
    <w:rsid w:val="00FA24A2"/>
    <w:rsid w:val="00FA27DF"/>
    <w:rsid w:val="00FA2C34"/>
    <w:rsid w:val="00FA4991"/>
    <w:rsid w:val="00FA50B5"/>
    <w:rsid w:val="00FA6EDB"/>
    <w:rsid w:val="00FA77C7"/>
    <w:rsid w:val="00FB0679"/>
    <w:rsid w:val="00FB0BDC"/>
    <w:rsid w:val="00FB1257"/>
    <w:rsid w:val="00FB169F"/>
    <w:rsid w:val="00FB3F64"/>
    <w:rsid w:val="00FB5684"/>
    <w:rsid w:val="00FB64DC"/>
    <w:rsid w:val="00FB7EDE"/>
    <w:rsid w:val="00FC2A6A"/>
    <w:rsid w:val="00FC3DD3"/>
    <w:rsid w:val="00FC6FE5"/>
    <w:rsid w:val="00FC7BA0"/>
    <w:rsid w:val="00FD28C3"/>
    <w:rsid w:val="00FD2920"/>
    <w:rsid w:val="00FD3ACE"/>
    <w:rsid w:val="00FD3AFF"/>
    <w:rsid w:val="00FD403E"/>
    <w:rsid w:val="00FD4567"/>
    <w:rsid w:val="00FD5012"/>
    <w:rsid w:val="00FD5168"/>
    <w:rsid w:val="00FD54B0"/>
    <w:rsid w:val="00FD62A3"/>
    <w:rsid w:val="00FE0318"/>
    <w:rsid w:val="00FE0649"/>
    <w:rsid w:val="00FE11FB"/>
    <w:rsid w:val="00FE1671"/>
    <w:rsid w:val="00FE41C6"/>
    <w:rsid w:val="00FF0357"/>
    <w:rsid w:val="00FF05C4"/>
    <w:rsid w:val="00FF173F"/>
    <w:rsid w:val="00FF3130"/>
    <w:rsid w:val="00FF4280"/>
    <w:rsid w:val="00FF4F4C"/>
    <w:rsid w:val="00FF61C7"/>
    <w:rsid w:val="00FF693A"/>
    <w:rsid w:val="00FF6E60"/>
    <w:rsid w:val="00FF7A01"/>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A364F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AU" w:eastAsia="zh-CN" w:bidi="ar-SA"/>
      </w:rPr>
    </w:rPrDefault>
    <w:pPrDefault>
      <w:pPr>
        <w:spacing w:after="120" w:line="25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0C53"/>
  </w:style>
  <w:style w:type="paragraph" w:styleId="Heading1">
    <w:name w:val="heading 1"/>
    <w:basedOn w:val="Normal"/>
    <w:next w:val="Normal"/>
    <w:link w:val="Heading1Char"/>
    <w:uiPriority w:val="9"/>
    <w:qFormat/>
    <w:rsid w:val="00DD7324"/>
    <w:pPr>
      <w:keepNext/>
      <w:keepLines/>
      <w:pageBreakBefore/>
      <w:spacing w:after="800"/>
      <w:outlineLvl w:val="0"/>
    </w:pPr>
    <w:rPr>
      <w:b/>
      <w:bCs/>
      <w:color w:val="2E1A47" w:themeColor="text2"/>
      <w:sz w:val="44"/>
      <w:szCs w:val="44"/>
    </w:rPr>
  </w:style>
  <w:style w:type="paragraph" w:styleId="Heading2">
    <w:name w:val="heading 2"/>
    <w:basedOn w:val="Normal"/>
    <w:next w:val="Normal"/>
    <w:link w:val="Heading2Char"/>
    <w:uiPriority w:val="9"/>
    <w:unhideWhenUsed/>
    <w:qFormat/>
    <w:rsid w:val="00DD7324"/>
    <w:pPr>
      <w:keepNext/>
      <w:keepLines/>
      <w:spacing w:before="360" w:after="160"/>
      <w:outlineLvl w:val="1"/>
    </w:pPr>
    <w:rPr>
      <w:b/>
      <w:bCs/>
      <w:color w:val="1E988A" w:themeColor="background2"/>
      <w:sz w:val="26"/>
      <w:szCs w:val="26"/>
    </w:rPr>
  </w:style>
  <w:style w:type="paragraph" w:styleId="Heading3">
    <w:name w:val="heading 3"/>
    <w:basedOn w:val="Normal"/>
    <w:next w:val="Normal"/>
    <w:link w:val="Heading3Char"/>
    <w:uiPriority w:val="9"/>
    <w:unhideWhenUsed/>
    <w:qFormat/>
    <w:rsid w:val="006E39F9"/>
    <w:pPr>
      <w:keepNext/>
      <w:keepLines/>
      <w:spacing w:before="160" w:after="60"/>
      <w:outlineLvl w:val="2"/>
    </w:pPr>
    <w:rPr>
      <w:b/>
      <w:bCs/>
      <w:caps/>
      <w:color w:val="2E1A47" w:themeColor="text2"/>
    </w:rPr>
  </w:style>
  <w:style w:type="paragraph" w:styleId="Heading4">
    <w:name w:val="heading 4"/>
    <w:basedOn w:val="Normal"/>
    <w:next w:val="Normal"/>
    <w:link w:val="Heading4Char"/>
    <w:uiPriority w:val="9"/>
    <w:unhideWhenUsed/>
    <w:qFormat/>
    <w:rsid w:val="00DD7324"/>
    <w:pPr>
      <w:keepNext/>
      <w:keepLines/>
      <w:spacing w:before="160" w:after="0"/>
      <w:outlineLvl w:val="3"/>
    </w:pPr>
    <w:rPr>
      <w:b/>
      <w:bCs/>
      <w:color w:val="2E1A47"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Headings">
    <w:name w:val="Headings"/>
    <w:uiPriority w:val="99"/>
    <w:rsid w:val="00D65FFD"/>
    <w:pPr>
      <w:numPr>
        <w:numId w:val="1"/>
      </w:numPr>
    </w:pPr>
  </w:style>
  <w:style w:type="paragraph" w:styleId="Date">
    <w:name w:val="Date"/>
    <w:basedOn w:val="Normal"/>
    <w:next w:val="Normal"/>
    <w:link w:val="DateChar"/>
    <w:uiPriority w:val="99"/>
    <w:unhideWhenUsed/>
    <w:rsid w:val="00F73C0E"/>
    <w:pPr>
      <w:spacing w:after="780"/>
    </w:pPr>
    <w:rPr>
      <w:color w:val="FFFFFF" w:themeColor="background1"/>
      <w:sz w:val="26"/>
    </w:rPr>
  </w:style>
  <w:style w:type="character" w:customStyle="1" w:styleId="DateChar">
    <w:name w:val="Date Char"/>
    <w:basedOn w:val="DefaultParagraphFont"/>
    <w:link w:val="Date"/>
    <w:uiPriority w:val="99"/>
    <w:rsid w:val="00F73C0E"/>
    <w:rPr>
      <w:color w:val="FFFFFF" w:themeColor="background1"/>
      <w:sz w:val="26"/>
    </w:rPr>
  </w:style>
  <w:style w:type="character" w:customStyle="1" w:styleId="Heading1Char">
    <w:name w:val="Heading 1 Char"/>
    <w:basedOn w:val="DefaultParagraphFont"/>
    <w:link w:val="Heading1"/>
    <w:uiPriority w:val="9"/>
    <w:rsid w:val="00DD7324"/>
    <w:rPr>
      <w:b/>
      <w:bCs/>
      <w:color w:val="2E1A47" w:themeColor="text2"/>
      <w:sz w:val="44"/>
      <w:szCs w:val="44"/>
    </w:rPr>
  </w:style>
  <w:style w:type="paragraph" w:customStyle="1" w:styleId="IntroPara">
    <w:name w:val="Intro Para"/>
    <w:basedOn w:val="Normal"/>
    <w:qFormat/>
    <w:rsid w:val="006E39F9"/>
    <w:pPr>
      <w:spacing w:after="440"/>
    </w:pPr>
    <w:rPr>
      <w:color w:val="2E1A47" w:themeColor="text2"/>
      <w:sz w:val="24"/>
      <w:szCs w:val="24"/>
    </w:rPr>
  </w:style>
  <w:style w:type="character" w:customStyle="1" w:styleId="Heading2Char">
    <w:name w:val="Heading 2 Char"/>
    <w:basedOn w:val="DefaultParagraphFont"/>
    <w:link w:val="Heading2"/>
    <w:uiPriority w:val="9"/>
    <w:rsid w:val="00DD7324"/>
    <w:rPr>
      <w:b/>
      <w:bCs/>
      <w:color w:val="1E988A" w:themeColor="background2"/>
      <w:sz w:val="26"/>
      <w:szCs w:val="26"/>
    </w:rPr>
  </w:style>
  <w:style w:type="character" w:customStyle="1" w:styleId="Heading3Char">
    <w:name w:val="Heading 3 Char"/>
    <w:basedOn w:val="DefaultParagraphFont"/>
    <w:link w:val="Heading3"/>
    <w:uiPriority w:val="9"/>
    <w:rsid w:val="006E39F9"/>
    <w:rPr>
      <w:b/>
      <w:bCs/>
      <w:caps/>
      <w:color w:val="2E1A47" w:themeColor="text2"/>
    </w:rPr>
  </w:style>
  <w:style w:type="character" w:customStyle="1" w:styleId="Heading4Char">
    <w:name w:val="Heading 4 Char"/>
    <w:basedOn w:val="DefaultParagraphFont"/>
    <w:link w:val="Heading4"/>
    <w:uiPriority w:val="9"/>
    <w:rsid w:val="00DD7324"/>
    <w:rPr>
      <w:b/>
      <w:bCs/>
      <w:color w:val="2E1A47" w:themeColor="text2"/>
    </w:rPr>
  </w:style>
  <w:style w:type="paragraph" w:styleId="ListBullet">
    <w:name w:val="List Bullet"/>
    <w:basedOn w:val="Normal"/>
    <w:uiPriority w:val="99"/>
    <w:unhideWhenUsed/>
    <w:qFormat/>
    <w:rsid w:val="00DD7324"/>
    <w:pPr>
      <w:numPr>
        <w:numId w:val="2"/>
      </w:numPr>
      <w:snapToGrid w:val="0"/>
      <w:spacing w:after="40"/>
    </w:pPr>
  </w:style>
  <w:style w:type="paragraph" w:styleId="ListBullet2">
    <w:name w:val="List Bullet 2"/>
    <w:basedOn w:val="Normal"/>
    <w:uiPriority w:val="99"/>
    <w:unhideWhenUsed/>
    <w:qFormat/>
    <w:rsid w:val="00E94643"/>
    <w:pPr>
      <w:numPr>
        <w:ilvl w:val="1"/>
        <w:numId w:val="2"/>
      </w:numPr>
      <w:snapToGrid w:val="0"/>
      <w:spacing w:after="40"/>
    </w:pPr>
  </w:style>
  <w:style w:type="paragraph" w:styleId="ListBullet3">
    <w:name w:val="List Bullet 3"/>
    <w:basedOn w:val="Normal"/>
    <w:uiPriority w:val="99"/>
    <w:unhideWhenUsed/>
    <w:qFormat/>
    <w:rsid w:val="00E94643"/>
    <w:pPr>
      <w:numPr>
        <w:ilvl w:val="2"/>
        <w:numId w:val="2"/>
      </w:numPr>
      <w:snapToGrid w:val="0"/>
      <w:spacing w:after="40"/>
    </w:pPr>
  </w:style>
  <w:style w:type="paragraph" w:styleId="Quote">
    <w:name w:val="Quote"/>
    <w:basedOn w:val="Normal"/>
    <w:next w:val="Normal"/>
    <w:link w:val="QuoteChar"/>
    <w:uiPriority w:val="29"/>
    <w:qFormat/>
    <w:rsid w:val="00DD7324"/>
    <w:pPr>
      <w:pBdr>
        <w:top w:val="single" w:sz="4" w:space="10" w:color="2E1A47" w:themeColor="text2"/>
        <w:bottom w:val="single" w:sz="4" w:space="10" w:color="2E1A47" w:themeColor="text2"/>
      </w:pBdr>
      <w:spacing w:before="360" w:after="360"/>
      <w:ind w:right="3402"/>
    </w:pPr>
    <w:rPr>
      <w:i/>
      <w:iCs/>
      <w:color w:val="2E1A47" w:themeColor="text2"/>
      <w:sz w:val="24"/>
      <w:szCs w:val="24"/>
    </w:rPr>
  </w:style>
  <w:style w:type="character" w:customStyle="1" w:styleId="QuoteChar">
    <w:name w:val="Quote Char"/>
    <w:basedOn w:val="DefaultParagraphFont"/>
    <w:link w:val="Quote"/>
    <w:uiPriority w:val="29"/>
    <w:rsid w:val="00DD7324"/>
    <w:rPr>
      <w:i/>
      <w:iCs/>
      <w:color w:val="2E1A47" w:themeColor="text2"/>
      <w:sz w:val="24"/>
      <w:szCs w:val="24"/>
    </w:rPr>
  </w:style>
  <w:style w:type="paragraph" w:styleId="FootnoteText">
    <w:name w:val="footnote text"/>
    <w:basedOn w:val="Normal"/>
    <w:link w:val="FootnoteTextChar"/>
    <w:uiPriority w:val="99"/>
    <w:unhideWhenUsed/>
    <w:rsid w:val="008A38A1"/>
    <w:pPr>
      <w:tabs>
        <w:tab w:val="left" w:pos="142"/>
      </w:tabs>
      <w:spacing w:after="0" w:line="180" w:lineRule="exact"/>
      <w:ind w:left="142" w:hanging="142"/>
    </w:pPr>
    <w:rPr>
      <w:sz w:val="16"/>
    </w:rPr>
  </w:style>
  <w:style w:type="character" w:customStyle="1" w:styleId="FootnoteTextChar">
    <w:name w:val="Footnote Text Char"/>
    <w:basedOn w:val="DefaultParagraphFont"/>
    <w:link w:val="FootnoteText"/>
    <w:uiPriority w:val="99"/>
    <w:rsid w:val="008A38A1"/>
    <w:rPr>
      <w:sz w:val="16"/>
    </w:rPr>
  </w:style>
  <w:style w:type="character" w:styleId="Strong">
    <w:name w:val="Strong"/>
    <w:basedOn w:val="DefaultParagraphFont"/>
    <w:uiPriority w:val="22"/>
    <w:qFormat/>
    <w:rsid w:val="00D52B20"/>
    <w:rPr>
      <w:b/>
      <w:bCs/>
    </w:rPr>
  </w:style>
  <w:style w:type="character" w:styleId="FootnoteReference">
    <w:name w:val="footnote reference"/>
    <w:basedOn w:val="DefaultParagraphFont"/>
    <w:uiPriority w:val="99"/>
    <w:semiHidden/>
    <w:unhideWhenUsed/>
    <w:rsid w:val="00D52B20"/>
    <w:rPr>
      <w:vertAlign w:val="superscript"/>
    </w:rPr>
  </w:style>
  <w:style w:type="paragraph" w:styleId="Header">
    <w:name w:val="header"/>
    <w:basedOn w:val="Normal"/>
    <w:link w:val="HeaderChar"/>
    <w:uiPriority w:val="99"/>
    <w:unhideWhenUsed/>
    <w:rsid w:val="006B32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3279"/>
  </w:style>
  <w:style w:type="paragraph" w:styleId="Footer">
    <w:name w:val="footer"/>
    <w:basedOn w:val="Normal"/>
    <w:link w:val="FooterChar"/>
    <w:uiPriority w:val="99"/>
    <w:unhideWhenUsed/>
    <w:rsid w:val="006B3279"/>
    <w:pPr>
      <w:pBdr>
        <w:top w:val="single" w:sz="6" w:space="6" w:color="000000" w:themeColor="text1"/>
      </w:pBdr>
      <w:tabs>
        <w:tab w:val="center" w:pos="4513"/>
        <w:tab w:val="right" w:pos="9026"/>
      </w:tabs>
      <w:spacing w:after="0" w:line="240" w:lineRule="auto"/>
    </w:pPr>
    <w:rPr>
      <w:sz w:val="16"/>
      <w:szCs w:val="16"/>
    </w:rPr>
  </w:style>
  <w:style w:type="character" w:customStyle="1" w:styleId="FooterChar">
    <w:name w:val="Footer Char"/>
    <w:basedOn w:val="DefaultParagraphFont"/>
    <w:link w:val="Footer"/>
    <w:uiPriority w:val="99"/>
    <w:rsid w:val="006B3279"/>
    <w:rPr>
      <w:sz w:val="16"/>
      <w:szCs w:val="16"/>
    </w:rPr>
  </w:style>
  <w:style w:type="paragraph" w:styleId="Title">
    <w:name w:val="Title"/>
    <w:basedOn w:val="Normal"/>
    <w:next w:val="Normal"/>
    <w:link w:val="TitleChar"/>
    <w:uiPriority w:val="10"/>
    <w:qFormat/>
    <w:rsid w:val="00223B43"/>
    <w:pPr>
      <w:spacing w:after="80" w:line="480" w:lineRule="exact"/>
    </w:pPr>
    <w:rPr>
      <w:b/>
      <w:bCs/>
      <w:color w:val="FFFFFF" w:themeColor="background1"/>
      <w:sz w:val="44"/>
      <w:szCs w:val="44"/>
    </w:rPr>
  </w:style>
  <w:style w:type="character" w:customStyle="1" w:styleId="TitleChar">
    <w:name w:val="Title Char"/>
    <w:basedOn w:val="DefaultParagraphFont"/>
    <w:link w:val="Title"/>
    <w:uiPriority w:val="10"/>
    <w:rsid w:val="00223B43"/>
    <w:rPr>
      <w:b/>
      <w:bCs/>
      <w:color w:val="FFFFFF" w:themeColor="background1"/>
      <w:sz w:val="44"/>
      <w:szCs w:val="44"/>
    </w:rPr>
  </w:style>
  <w:style w:type="paragraph" w:styleId="Subtitle">
    <w:name w:val="Subtitle"/>
    <w:basedOn w:val="Normal"/>
    <w:next w:val="Normal"/>
    <w:link w:val="SubtitleChar"/>
    <w:uiPriority w:val="11"/>
    <w:qFormat/>
    <w:rsid w:val="00397239"/>
    <w:pPr>
      <w:spacing w:after="60"/>
      <w:ind w:right="1700"/>
    </w:pPr>
    <w:rPr>
      <w:color w:val="FFFFFF" w:themeColor="background1"/>
      <w:sz w:val="26"/>
      <w:szCs w:val="26"/>
    </w:rPr>
  </w:style>
  <w:style w:type="character" w:customStyle="1" w:styleId="SubtitleChar">
    <w:name w:val="Subtitle Char"/>
    <w:basedOn w:val="DefaultParagraphFont"/>
    <w:link w:val="Subtitle"/>
    <w:uiPriority w:val="11"/>
    <w:rsid w:val="00397239"/>
    <w:rPr>
      <w:color w:val="FFFFFF" w:themeColor="background1"/>
      <w:sz w:val="26"/>
      <w:szCs w:val="26"/>
    </w:rPr>
  </w:style>
  <w:style w:type="paragraph" w:customStyle="1" w:styleId="Spacer-cover">
    <w:name w:val="Spacer - cover"/>
    <w:basedOn w:val="Normal"/>
    <w:rsid w:val="00223B43"/>
    <w:pPr>
      <w:spacing w:after="1060"/>
    </w:pPr>
  </w:style>
  <w:style w:type="paragraph" w:styleId="ListNumber">
    <w:name w:val="List Number"/>
    <w:basedOn w:val="Normal"/>
    <w:uiPriority w:val="99"/>
    <w:unhideWhenUsed/>
    <w:qFormat/>
    <w:rsid w:val="006314E7"/>
    <w:pPr>
      <w:numPr>
        <w:numId w:val="3"/>
      </w:numPr>
      <w:snapToGrid w:val="0"/>
      <w:spacing w:after="40"/>
    </w:pPr>
  </w:style>
  <w:style w:type="paragraph" w:styleId="ListNumber2">
    <w:name w:val="List Number 2"/>
    <w:basedOn w:val="Normal"/>
    <w:uiPriority w:val="99"/>
    <w:unhideWhenUsed/>
    <w:qFormat/>
    <w:rsid w:val="006314E7"/>
    <w:pPr>
      <w:numPr>
        <w:ilvl w:val="1"/>
        <w:numId w:val="3"/>
      </w:numPr>
      <w:spacing w:after="40"/>
    </w:pPr>
  </w:style>
  <w:style w:type="paragraph" w:styleId="ListNumber3">
    <w:name w:val="List Number 3"/>
    <w:basedOn w:val="Normal"/>
    <w:uiPriority w:val="99"/>
    <w:unhideWhenUsed/>
    <w:qFormat/>
    <w:rsid w:val="006314E7"/>
    <w:pPr>
      <w:numPr>
        <w:ilvl w:val="2"/>
        <w:numId w:val="3"/>
      </w:numPr>
      <w:snapToGrid w:val="0"/>
      <w:spacing w:after="40"/>
    </w:pPr>
  </w:style>
  <w:style w:type="character" w:styleId="PlaceholderText">
    <w:name w:val="Placeholder Text"/>
    <w:basedOn w:val="DefaultParagraphFont"/>
    <w:uiPriority w:val="99"/>
    <w:semiHidden/>
    <w:rsid w:val="00EF2E35"/>
    <w:rPr>
      <w:color w:val="808080"/>
    </w:rPr>
  </w:style>
  <w:style w:type="paragraph" w:customStyle="1" w:styleId="Default">
    <w:name w:val="Default"/>
    <w:rsid w:val="00165E47"/>
    <w:pPr>
      <w:autoSpaceDE w:val="0"/>
      <w:autoSpaceDN w:val="0"/>
      <w:adjustRightInd w:val="0"/>
      <w:spacing w:after="0" w:line="240" w:lineRule="auto"/>
    </w:pPr>
    <w:rPr>
      <w:rFonts w:ascii="AU Sans BETA Text Light" w:hAnsi="AU Sans BETA Text Light" w:cs="AU Sans BETA Text Light"/>
      <w:color w:val="000000"/>
      <w:sz w:val="24"/>
      <w:szCs w:val="24"/>
    </w:rPr>
  </w:style>
  <w:style w:type="paragraph" w:customStyle="1" w:styleId="Pa2">
    <w:name w:val="Pa2"/>
    <w:basedOn w:val="Default"/>
    <w:next w:val="Default"/>
    <w:uiPriority w:val="99"/>
    <w:rsid w:val="00165E47"/>
    <w:pPr>
      <w:spacing w:line="181" w:lineRule="atLeast"/>
    </w:pPr>
    <w:rPr>
      <w:rFonts w:cstheme="minorBidi"/>
      <w:color w:val="auto"/>
    </w:rPr>
  </w:style>
  <w:style w:type="paragraph" w:customStyle="1" w:styleId="Pa4">
    <w:name w:val="Pa4"/>
    <w:basedOn w:val="Default"/>
    <w:next w:val="Default"/>
    <w:uiPriority w:val="99"/>
    <w:rsid w:val="00750D77"/>
    <w:pPr>
      <w:spacing w:line="141" w:lineRule="atLeast"/>
    </w:pPr>
    <w:rPr>
      <w:rFonts w:cstheme="minorBidi"/>
      <w:color w:val="auto"/>
    </w:rPr>
  </w:style>
  <w:style w:type="character" w:styleId="Emphasis">
    <w:name w:val="Emphasis"/>
    <w:basedOn w:val="DefaultParagraphFont"/>
    <w:uiPriority w:val="20"/>
    <w:qFormat/>
    <w:rsid w:val="002D2648"/>
    <w:rPr>
      <w:i/>
      <w:iCs/>
    </w:rPr>
  </w:style>
  <w:style w:type="character" w:styleId="CommentReference">
    <w:name w:val="annotation reference"/>
    <w:basedOn w:val="DefaultParagraphFont"/>
    <w:uiPriority w:val="99"/>
    <w:semiHidden/>
    <w:unhideWhenUsed/>
    <w:rsid w:val="008541C7"/>
    <w:rPr>
      <w:sz w:val="16"/>
      <w:szCs w:val="16"/>
    </w:rPr>
  </w:style>
  <w:style w:type="paragraph" w:styleId="CommentText">
    <w:name w:val="annotation text"/>
    <w:basedOn w:val="Normal"/>
    <w:link w:val="CommentTextChar"/>
    <w:uiPriority w:val="99"/>
    <w:unhideWhenUsed/>
    <w:rsid w:val="008541C7"/>
    <w:pPr>
      <w:spacing w:line="240" w:lineRule="auto"/>
    </w:pPr>
  </w:style>
  <w:style w:type="character" w:customStyle="1" w:styleId="CommentTextChar">
    <w:name w:val="Comment Text Char"/>
    <w:basedOn w:val="DefaultParagraphFont"/>
    <w:link w:val="CommentText"/>
    <w:uiPriority w:val="99"/>
    <w:rsid w:val="008541C7"/>
  </w:style>
  <w:style w:type="paragraph" w:styleId="CommentSubject">
    <w:name w:val="annotation subject"/>
    <w:basedOn w:val="CommentText"/>
    <w:next w:val="CommentText"/>
    <w:link w:val="CommentSubjectChar"/>
    <w:uiPriority w:val="99"/>
    <w:semiHidden/>
    <w:unhideWhenUsed/>
    <w:rsid w:val="008541C7"/>
    <w:rPr>
      <w:b/>
      <w:bCs/>
    </w:rPr>
  </w:style>
  <w:style w:type="character" w:customStyle="1" w:styleId="CommentSubjectChar">
    <w:name w:val="Comment Subject Char"/>
    <w:basedOn w:val="CommentTextChar"/>
    <w:link w:val="CommentSubject"/>
    <w:uiPriority w:val="99"/>
    <w:semiHidden/>
    <w:rsid w:val="008541C7"/>
    <w:rPr>
      <w:b/>
      <w:bCs/>
    </w:rPr>
  </w:style>
  <w:style w:type="character" w:customStyle="1" w:styleId="A3">
    <w:name w:val="A3"/>
    <w:uiPriority w:val="99"/>
    <w:rsid w:val="00591B22"/>
    <w:rPr>
      <w:rFonts w:ascii="AU Sans BETA Text Medium" w:hAnsi="AU Sans BETA Text Medium" w:cs="AU Sans BETA Text Medium"/>
      <w:color w:val="000000"/>
      <w:sz w:val="10"/>
      <w:szCs w:val="10"/>
    </w:rPr>
  </w:style>
  <w:style w:type="paragraph" w:customStyle="1" w:styleId="Pa10">
    <w:name w:val="Pa10"/>
    <w:basedOn w:val="Default"/>
    <w:next w:val="Default"/>
    <w:uiPriority w:val="99"/>
    <w:rsid w:val="00591B22"/>
    <w:pPr>
      <w:spacing w:line="141" w:lineRule="atLeast"/>
    </w:pPr>
    <w:rPr>
      <w:rFonts w:cstheme="minorBidi"/>
      <w:color w:val="auto"/>
    </w:rPr>
  </w:style>
  <w:style w:type="paragraph" w:styleId="Caption">
    <w:name w:val="caption"/>
    <w:basedOn w:val="Normal"/>
    <w:next w:val="Normal"/>
    <w:uiPriority w:val="35"/>
    <w:unhideWhenUsed/>
    <w:qFormat/>
    <w:rsid w:val="00591B22"/>
    <w:pPr>
      <w:spacing w:after="200" w:line="240" w:lineRule="auto"/>
    </w:pPr>
    <w:rPr>
      <w:i/>
      <w:iCs/>
      <w:color w:val="2E1A47" w:themeColor="text2"/>
      <w:sz w:val="18"/>
      <w:szCs w:val="18"/>
    </w:rPr>
  </w:style>
  <w:style w:type="character" w:customStyle="1" w:styleId="ListParagraphChar">
    <w:name w:val="List Paragraph Char"/>
    <w:aliases w:val="Bullet point Char,Bulleted Para Char,CV text Char,Dot pt Char,F5 List Paragraph Char,FooterText Char,L Char,List Paragraph1 Char,List Paragraph11 Char,List Paragraph111 Char,List Paragraph2 Char,Main Char,NFP GP Bulleted List Char"/>
    <w:basedOn w:val="DefaultParagraphFont"/>
    <w:link w:val="ListParagraph"/>
    <w:uiPriority w:val="34"/>
    <w:locked/>
    <w:rsid w:val="003616C0"/>
    <w:rPr>
      <w:rFonts w:ascii="Calibri" w:hAnsi="Calibri" w:cs="Calibri"/>
      <w:lang w:eastAsia="en-US"/>
    </w:rPr>
  </w:style>
  <w:style w:type="paragraph" w:styleId="ListParagraph">
    <w:name w:val="List Paragraph"/>
    <w:aliases w:val="Bullet point,Bulleted Para,CV text,Dot pt,F5 List Paragraph,FooterText,L,List Paragraph1,List Paragraph11,List Paragraph111,List Paragraph2,Main,Medium Grid 1 - Accent 21,NFP GP Bulleted List,Numbered Paragraph,Recommendation,Table text,列"/>
    <w:basedOn w:val="Normal"/>
    <w:link w:val="ListParagraphChar"/>
    <w:uiPriority w:val="34"/>
    <w:qFormat/>
    <w:rsid w:val="003616C0"/>
    <w:pPr>
      <w:spacing w:after="0" w:line="240" w:lineRule="auto"/>
      <w:ind w:left="720"/>
    </w:pPr>
    <w:rPr>
      <w:rFonts w:ascii="Calibri" w:hAnsi="Calibri" w:cs="Calibri"/>
      <w:lang w:eastAsia="en-US"/>
    </w:rPr>
  </w:style>
  <w:style w:type="paragraph" w:styleId="Revision">
    <w:name w:val="Revision"/>
    <w:hidden/>
    <w:uiPriority w:val="99"/>
    <w:semiHidden/>
    <w:rsid w:val="000C4E42"/>
    <w:pPr>
      <w:spacing w:after="0" w:line="240" w:lineRule="auto"/>
    </w:pPr>
  </w:style>
  <w:style w:type="table" w:styleId="TableGrid">
    <w:name w:val="Table Grid"/>
    <w:basedOn w:val="TableNormal"/>
    <w:uiPriority w:val="59"/>
    <w:rsid w:val="005A6F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1674E"/>
    <w:pPr>
      <w:spacing w:after="0" w:line="240" w:lineRule="auto"/>
    </w:pPr>
  </w:style>
  <w:style w:type="character" w:styleId="Hyperlink">
    <w:name w:val="Hyperlink"/>
    <w:basedOn w:val="DefaultParagraphFont"/>
    <w:uiPriority w:val="99"/>
    <w:unhideWhenUsed/>
    <w:rsid w:val="008355CD"/>
    <w:rPr>
      <w:color w:val="2E1A47" w:themeColor="hyperlink"/>
      <w:u w:val="single"/>
    </w:rPr>
  </w:style>
  <w:style w:type="character" w:styleId="UnresolvedMention">
    <w:name w:val="Unresolved Mention"/>
    <w:basedOn w:val="DefaultParagraphFont"/>
    <w:uiPriority w:val="99"/>
    <w:semiHidden/>
    <w:unhideWhenUsed/>
    <w:rsid w:val="008355CD"/>
    <w:rPr>
      <w:color w:val="605E5C"/>
      <w:shd w:val="clear" w:color="auto" w:fill="E1DFDD"/>
    </w:rPr>
  </w:style>
  <w:style w:type="character" w:styleId="FollowedHyperlink">
    <w:name w:val="FollowedHyperlink"/>
    <w:basedOn w:val="DefaultParagraphFont"/>
    <w:uiPriority w:val="99"/>
    <w:semiHidden/>
    <w:unhideWhenUsed/>
    <w:rsid w:val="006C32BA"/>
    <w:rPr>
      <w:color w:val="2E1A47"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23977">
      <w:bodyDiv w:val="1"/>
      <w:marLeft w:val="0"/>
      <w:marRight w:val="0"/>
      <w:marTop w:val="0"/>
      <w:marBottom w:val="0"/>
      <w:divBdr>
        <w:top w:val="none" w:sz="0" w:space="0" w:color="auto"/>
        <w:left w:val="none" w:sz="0" w:space="0" w:color="auto"/>
        <w:bottom w:val="none" w:sz="0" w:space="0" w:color="auto"/>
        <w:right w:val="none" w:sz="0" w:space="0" w:color="auto"/>
      </w:divBdr>
    </w:div>
    <w:div w:id="118887437">
      <w:bodyDiv w:val="1"/>
      <w:marLeft w:val="0"/>
      <w:marRight w:val="0"/>
      <w:marTop w:val="0"/>
      <w:marBottom w:val="0"/>
      <w:divBdr>
        <w:top w:val="none" w:sz="0" w:space="0" w:color="auto"/>
        <w:left w:val="none" w:sz="0" w:space="0" w:color="auto"/>
        <w:bottom w:val="none" w:sz="0" w:space="0" w:color="auto"/>
        <w:right w:val="none" w:sz="0" w:space="0" w:color="auto"/>
      </w:divBdr>
    </w:div>
    <w:div w:id="315650726">
      <w:bodyDiv w:val="1"/>
      <w:marLeft w:val="0"/>
      <w:marRight w:val="0"/>
      <w:marTop w:val="0"/>
      <w:marBottom w:val="0"/>
      <w:divBdr>
        <w:top w:val="none" w:sz="0" w:space="0" w:color="auto"/>
        <w:left w:val="none" w:sz="0" w:space="0" w:color="auto"/>
        <w:bottom w:val="none" w:sz="0" w:space="0" w:color="auto"/>
        <w:right w:val="none" w:sz="0" w:space="0" w:color="auto"/>
      </w:divBdr>
    </w:div>
    <w:div w:id="501898181">
      <w:bodyDiv w:val="1"/>
      <w:marLeft w:val="0"/>
      <w:marRight w:val="0"/>
      <w:marTop w:val="0"/>
      <w:marBottom w:val="0"/>
      <w:divBdr>
        <w:top w:val="none" w:sz="0" w:space="0" w:color="auto"/>
        <w:left w:val="none" w:sz="0" w:space="0" w:color="auto"/>
        <w:bottom w:val="none" w:sz="0" w:space="0" w:color="auto"/>
        <w:right w:val="none" w:sz="0" w:space="0" w:color="auto"/>
      </w:divBdr>
    </w:div>
    <w:div w:id="567963659">
      <w:bodyDiv w:val="1"/>
      <w:marLeft w:val="0"/>
      <w:marRight w:val="0"/>
      <w:marTop w:val="0"/>
      <w:marBottom w:val="0"/>
      <w:divBdr>
        <w:top w:val="none" w:sz="0" w:space="0" w:color="auto"/>
        <w:left w:val="none" w:sz="0" w:space="0" w:color="auto"/>
        <w:bottom w:val="none" w:sz="0" w:space="0" w:color="auto"/>
        <w:right w:val="none" w:sz="0" w:space="0" w:color="auto"/>
      </w:divBdr>
    </w:div>
    <w:div w:id="807938709">
      <w:bodyDiv w:val="1"/>
      <w:marLeft w:val="0"/>
      <w:marRight w:val="0"/>
      <w:marTop w:val="0"/>
      <w:marBottom w:val="0"/>
      <w:divBdr>
        <w:top w:val="none" w:sz="0" w:space="0" w:color="auto"/>
        <w:left w:val="none" w:sz="0" w:space="0" w:color="auto"/>
        <w:bottom w:val="none" w:sz="0" w:space="0" w:color="auto"/>
        <w:right w:val="none" w:sz="0" w:space="0" w:color="auto"/>
      </w:divBdr>
    </w:div>
    <w:div w:id="853374000">
      <w:bodyDiv w:val="1"/>
      <w:marLeft w:val="0"/>
      <w:marRight w:val="0"/>
      <w:marTop w:val="0"/>
      <w:marBottom w:val="0"/>
      <w:divBdr>
        <w:top w:val="none" w:sz="0" w:space="0" w:color="auto"/>
        <w:left w:val="none" w:sz="0" w:space="0" w:color="auto"/>
        <w:bottom w:val="none" w:sz="0" w:space="0" w:color="auto"/>
        <w:right w:val="none" w:sz="0" w:space="0" w:color="auto"/>
      </w:divBdr>
    </w:div>
    <w:div w:id="977145568">
      <w:bodyDiv w:val="1"/>
      <w:marLeft w:val="0"/>
      <w:marRight w:val="0"/>
      <w:marTop w:val="0"/>
      <w:marBottom w:val="0"/>
      <w:divBdr>
        <w:top w:val="none" w:sz="0" w:space="0" w:color="auto"/>
        <w:left w:val="none" w:sz="0" w:space="0" w:color="auto"/>
        <w:bottom w:val="none" w:sz="0" w:space="0" w:color="auto"/>
        <w:right w:val="none" w:sz="0" w:space="0" w:color="auto"/>
      </w:divBdr>
    </w:div>
    <w:div w:id="1102144265">
      <w:bodyDiv w:val="1"/>
      <w:marLeft w:val="0"/>
      <w:marRight w:val="0"/>
      <w:marTop w:val="0"/>
      <w:marBottom w:val="0"/>
      <w:divBdr>
        <w:top w:val="none" w:sz="0" w:space="0" w:color="auto"/>
        <w:left w:val="none" w:sz="0" w:space="0" w:color="auto"/>
        <w:bottom w:val="none" w:sz="0" w:space="0" w:color="auto"/>
        <w:right w:val="none" w:sz="0" w:space="0" w:color="auto"/>
      </w:divBdr>
    </w:div>
    <w:div w:id="1115095851">
      <w:bodyDiv w:val="1"/>
      <w:marLeft w:val="0"/>
      <w:marRight w:val="0"/>
      <w:marTop w:val="0"/>
      <w:marBottom w:val="0"/>
      <w:divBdr>
        <w:top w:val="none" w:sz="0" w:space="0" w:color="auto"/>
        <w:left w:val="none" w:sz="0" w:space="0" w:color="auto"/>
        <w:bottom w:val="none" w:sz="0" w:space="0" w:color="auto"/>
        <w:right w:val="none" w:sz="0" w:space="0" w:color="auto"/>
      </w:divBdr>
    </w:div>
    <w:div w:id="1155030693">
      <w:bodyDiv w:val="1"/>
      <w:marLeft w:val="0"/>
      <w:marRight w:val="0"/>
      <w:marTop w:val="0"/>
      <w:marBottom w:val="0"/>
      <w:divBdr>
        <w:top w:val="none" w:sz="0" w:space="0" w:color="auto"/>
        <w:left w:val="none" w:sz="0" w:space="0" w:color="auto"/>
        <w:bottom w:val="none" w:sz="0" w:space="0" w:color="auto"/>
        <w:right w:val="none" w:sz="0" w:space="0" w:color="auto"/>
      </w:divBdr>
    </w:div>
    <w:div w:id="1275482488">
      <w:bodyDiv w:val="1"/>
      <w:marLeft w:val="0"/>
      <w:marRight w:val="0"/>
      <w:marTop w:val="0"/>
      <w:marBottom w:val="0"/>
      <w:divBdr>
        <w:top w:val="none" w:sz="0" w:space="0" w:color="auto"/>
        <w:left w:val="none" w:sz="0" w:space="0" w:color="auto"/>
        <w:bottom w:val="none" w:sz="0" w:space="0" w:color="auto"/>
        <w:right w:val="none" w:sz="0" w:space="0" w:color="auto"/>
      </w:divBdr>
    </w:div>
    <w:div w:id="1356345597">
      <w:bodyDiv w:val="1"/>
      <w:marLeft w:val="0"/>
      <w:marRight w:val="0"/>
      <w:marTop w:val="0"/>
      <w:marBottom w:val="0"/>
      <w:divBdr>
        <w:top w:val="none" w:sz="0" w:space="0" w:color="auto"/>
        <w:left w:val="none" w:sz="0" w:space="0" w:color="auto"/>
        <w:bottom w:val="none" w:sz="0" w:space="0" w:color="auto"/>
        <w:right w:val="none" w:sz="0" w:space="0" w:color="auto"/>
      </w:divBdr>
    </w:div>
    <w:div w:id="1533689060">
      <w:bodyDiv w:val="1"/>
      <w:marLeft w:val="0"/>
      <w:marRight w:val="0"/>
      <w:marTop w:val="0"/>
      <w:marBottom w:val="0"/>
      <w:divBdr>
        <w:top w:val="none" w:sz="0" w:space="0" w:color="auto"/>
        <w:left w:val="none" w:sz="0" w:space="0" w:color="auto"/>
        <w:bottom w:val="none" w:sz="0" w:space="0" w:color="auto"/>
        <w:right w:val="none" w:sz="0" w:space="0" w:color="auto"/>
      </w:divBdr>
    </w:div>
    <w:div w:id="1669945213">
      <w:bodyDiv w:val="1"/>
      <w:marLeft w:val="0"/>
      <w:marRight w:val="0"/>
      <w:marTop w:val="0"/>
      <w:marBottom w:val="0"/>
      <w:divBdr>
        <w:top w:val="none" w:sz="0" w:space="0" w:color="auto"/>
        <w:left w:val="none" w:sz="0" w:space="0" w:color="auto"/>
        <w:bottom w:val="none" w:sz="0" w:space="0" w:color="auto"/>
        <w:right w:val="none" w:sz="0" w:space="0" w:color="auto"/>
      </w:divBdr>
    </w:div>
    <w:div w:id="1691564722">
      <w:bodyDiv w:val="1"/>
      <w:marLeft w:val="0"/>
      <w:marRight w:val="0"/>
      <w:marTop w:val="0"/>
      <w:marBottom w:val="0"/>
      <w:divBdr>
        <w:top w:val="none" w:sz="0" w:space="0" w:color="auto"/>
        <w:left w:val="none" w:sz="0" w:space="0" w:color="auto"/>
        <w:bottom w:val="none" w:sz="0" w:space="0" w:color="auto"/>
        <w:right w:val="none" w:sz="0" w:space="0" w:color="auto"/>
      </w:divBdr>
    </w:div>
    <w:div w:id="1749183352">
      <w:bodyDiv w:val="1"/>
      <w:marLeft w:val="0"/>
      <w:marRight w:val="0"/>
      <w:marTop w:val="0"/>
      <w:marBottom w:val="0"/>
      <w:divBdr>
        <w:top w:val="none" w:sz="0" w:space="0" w:color="auto"/>
        <w:left w:val="none" w:sz="0" w:space="0" w:color="auto"/>
        <w:bottom w:val="none" w:sz="0" w:space="0" w:color="auto"/>
        <w:right w:val="none" w:sz="0" w:space="0" w:color="auto"/>
      </w:divBdr>
    </w:div>
    <w:div w:id="1873493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footer" Target="footer1.xml"/><Relationship Id="rId39" Type="http://schemas.openxmlformats.org/officeDocument/2006/relationships/theme" Target="theme/theme1.xml"/><Relationship Id="rId21" Type="http://schemas.openxmlformats.org/officeDocument/2006/relationships/hyperlink" Target="https://www.tra.gov.au/en/domestic/changes-to-the-australian-resident-tourism-statistics-collection-in-2025" TargetMode="External"/><Relationship Id="rId34" Type="http://schemas.openxmlformats.org/officeDocument/2006/relationships/footer" Target="foot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png"/><Relationship Id="rId25" Type="http://schemas.openxmlformats.org/officeDocument/2006/relationships/header" Target="header2.xml"/><Relationship Id="rId33" Type="http://schemas.openxmlformats.org/officeDocument/2006/relationships/header" Target="header5.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chart" Target="charts/chart1.xm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1.xml"/><Relationship Id="rId32" Type="http://schemas.openxmlformats.org/officeDocument/2006/relationships/header" Target="header4.xml"/><Relationship Id="rId37" Type="http://schemas.openxmlformats.org/officeDocument/2006/relationships/footer" Target="footer6.xml"/><Relationship Id="rId5" Type="http://schemas.openxmlformats.org/officeDocument/2006/relationships/customXml" Target="../customXml/item5.xml"/><Relationship Id="rId15" Type="http://schemas.openxmlformats.org/officeDocument/2006/relationships/image" Target="media/image3.svg"/><Relationship Id="rId23" Type="http://schemas.openxmlformats.org/officeDocument/2006/relationships/chart" Target="charts/chart3.xml"/><Relationship Id="rId28" Type="http://schemas.openxmlformats.org/officeDocument/2006/relationships/header" Target="header3.xml"/><Relationship Id="rId36" Type="http://schemas.openxmlformats.org/officeDocument/2006/relationships/header" Target="header6.xml"/><Relationship Id="rId10" Type="http://schemas.openxmlformats.org/officeDocument/2006/relationships/webSettings" Target="webSettings.xml"/><Relationship Id="rId19" Type="http://schemas.openxmlformats.org/officeDocument/2006/relationships/image" Target="media/image7.png"/><Relationship Id="rId31" Type="http://schemas.openxmlformats.org/officeDocument/2006/relationships/hyperlink" Target="https://www.tra.gov.au/en/domestic/changes-to-the-australian-resident-tourism-statistics-collection-in-2025"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chart" Target="charts/chart2.xml"/><Relationship Id="rId27" Type="http://schemas.openxmlformats.org/officeDocument/2006/relationships/footer" Target="footer2.xml"/><Relationship Id="rId30" Type="http://schemas.openxmlformats.org/officeDocument/2006/relationships/image" Target="media/image8.png"/><Relationship Id="rId35" Type="http://schemas.openxmlformats.org/officeDocument/2006/relationships/footer" Target="footer5.xml"/><Relationship Id="rId8" Type="http://schemas.openxmlformats.org/officeDocument/2006/relationships/styles" Target="styles.xml"/><Relationship Id="rId3" Type="http://schemas.openxmlformats.org/officeDocument/2006/relationships/customXml" Target="../customXml/item3.xml"/></Relationships>
</file>

<file path=word/charts/_rels/chart1.xml.rels><?xml version="1.0" encoding="UTF-8" standalone="yes"?>
<Relationships xmlns="http://schemas.openxmlformats.org/package/2006/relationships"><Relationship Id="rId3" Type="http://schemas.openxmlformats.org/officeDocument/2006/relationships/oleObject" Target="file:///\\global.austrade.int\groupdata\australia\canberra\tourism\TRA\Surveys\DoTS\2025\Publications\2025\3.%20September%20Quarter\Charts%20-%20SQ25.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global.austrade.int\groupdata\australia\canberra\tourism\TRA\Surveys\DoTS\2025\Publications\2025\3.%20September%20Quarter\Charts%20-%20SQ25.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global.austrade.int\groupdata\australia\canberra\tourism\TRA\Surveys\DoTS\2025\Publications\2025\3.%20September%20Quarter\Charts%20-%20SQ25.xlsx" TargetMode="Externa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'Qtr on qtr'!$C$13</c:f>
              <c:strCache>
                <c:ptCount val="1"/>
                <c:pt idx="0">
                  <c:v>DQ24</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'Qtr on qtr'!$B$14:$B$16</c:f>
              <c:strCache>
                <c:ptCount val="3"/>
                <c:pt idx="0">
                  <c:v>Spend</c:v>
                </c:pt>
                <c:pt idx="1">
                  <c:v>Trips</c:v>
                </c:pt>
                <c:pt idx="2">
                  <c:v>Nights</c:v>
                </c:pt>
              </c:strCache>
            </c:strRef>
          </c:cat>
          <c:val>
            <c:numRef>
              <c:f>'Qtr on qtr'!$C$14:$C$16</c:f>
              <c:numCache>
                <c:formatCode>0%</c:formatCode>
                <c:ptCount val="3"/>
                <c:pt idx="0">
                  <c:v>-0.02</c:v>
                </c:pt>
                <c:pt idx="1">
                  <c:v>0.01</c:v>
                </c:pt>
                <c:pt idx="2">
                  <c:v>-0.02</c:v>
                </c:pt>
              </c:numCache>
            </c:numRef>
          </c:val>
          <c:extLst>
            <c:ext xmlns:c16="http://schemas.microsoft.com/office/drawing/2014/chart" uri="{C3380CC4-5D6E-409C-BE32-E72D297353CC}">
              <c16:uniqueId val="{00000000-CAAE-486B-89F4-303F5F7A4718}"/>
            </c:ext>
          </c:extLst>
        </c:ser>
        <c:ser>
          <c:idx val="1"/>
          <c:order val="1"/>
          <c:tx>
            <c:strRef>
              <c:f>'Qtr on qtr'!$D$13</c:f>
              <c:strCache>
                <c:ptCount val="1"/>
                <c:pt idx="0">
                  <c:v>MQ25</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'Qtr on qtr'!$B$14:$B$16</c:f>
              <c:strCache>
                <c:ptCount val="3"/>
                <c:pt idx="0">
                  <c:v>Spend</c:v>
                </c:pt>
                <c:pt idx="1">
                  <c:v>Trips</c:v>
                </c:pt>
                <c:pt idx="2">
                  <c:v>Nights</c:v>
                </c:pt>
              </c:strCache>
            </c:strRef>
          </c:cat>
          <c:val>
            <c:numRef>
              <c:f>'Qtr on qtr'!$D$14:$D$16</c:f>
              <c:numCache>
                <c:formatCode>0%</c:formatCode>
                <c:ptCount val="3"/>
                <c:pt idx="0">
                  <c:v>0</c:v>
                </c:pt>
                <c:pt idx="1">
                  <c:v>-0.02</c:v>
                </c:pt>
                <c:pt idx="2">
                  <c:v>-0.04</c:v>
                </c:pt>
              </c:numCache>
            </c:numRef>
          </c:val>
          <c:extLst>
            <c:ext xmlns:c16="http://schemas.microsoft.com/office/drawing/2014/chart" uri="{C3380CC4-5D6E-409C-BE32-E72D297353CC}">
              <c16:uniqueId val="{00000001-CAAE-486B-89F4-303F5F7A4718}"/>
            </c:ext>
          </c:extLst>
        </c:ser>
        <c:ser>
          <c:idx val="2"/>
          <c:order val="2"/>
          <c:tx>
            <c:strRef>
              <c:f>'Qtr on qtr'!$E$13</c:f>
              <c:strCache>
                <c:ptCount val="1"/>
                <c:pt idx="0">
                  <c:v>JQ25</c:v>
                </c:pt>
              </c:strCache>
            </c:strRef>
          </c:tx>
          <c:spPr>
            <a:solidFill>
              <a:schemeClr val="accent3"/>
            </a:solidFill>
            <a:ln>
              <a:solidFill>
                <a:schemeClr val="accent3"/>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'Qtr on qtr'!$B$14:$B$16</c:f>
              <c:strCache>
                <c:ptCount val="3"/>
                <c:pt idx="0">
                  <c:v>Spend</c:v>
                </c:pt>
                <c:pt idx="1">
                  <c:v>Trips</c:v>
                </c:pt>
                <c:pt idx="2">
                  <c:v>Nights</c:v>
                </c:pt>
              </c:strCache>
            </c:strRef>
          </c:cat>
          <c:val>
            <c:numRef>
              <c:f>'Qtr on qtr'!$E$14:$E$16</c:f>
              <c:numCache>
                <c:formatCode>0%</c:formatCode>
                <c:ptCount val="3"/>
                <c:pt idx="0">
                  <c:v>0</c:v>
                </c:pt>
                <c:pt idx="1">
                  <c:v>0.02</c:v>
                </c:pt>
                <c:pt idx="2">
                  <c:v>0.02</c:v>
                </c:pt>
              </c:numCache>
            </c:numRef>
          </c:val>
          <c:extLst>
            <c:ext xmlns:c16="http://schemas.microsoft.com/office/drawing/2014/chart" uri="{C3380CC4-5D6E-409C-BE32-E72D297353CC}">
              <c16:uniqueId val="{00000002-CAAE-486B-89F4-303F5F7A4718}"/>
            </c:ext>
          </c:extLst>
        </c:ser>
        <c:ser>
          <c:idx val="3"/>
          <c:order val="3"/>
          <c:tx>
            <c:strRef>
              <c:f>'Qtr on qtr'!$F$13</c:f>
              <c:strCache>
                <c:ptCount val="1"/>
                <c:pt idx="0">
                  <c:v>SQ25</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'Qtr on qtr'!$B$14:$B$16</c:f>
              <c:strCache>
                <c:ptCount val="3"/>
                <c:pt idx="0">
                  <c:v>Spend</c:v>
                </c:pt>
                <c:pt idx="1">
                  <c:v>Trips</c:v>
                </c:pt>
                <c:pt idx="2">
                  <c:v>Nights</c:v>
                </c:pt>
              </c:strCache>
            </c:strRef>
          </c:cat>
          <c:val>
            <c:numRef>
              <c:f>'Qtr on qtr'!$F$14:$F$16</c:f>
              <c:numCache>
                <c:formatCode>0%</c:formatCode>
                <c:ptCount val="3"/>
                <c:pt idx="0">
                  <c:v>-0.05</c:v>
                </c:pt>
                <c:pt idx="1">
                  <c:v>0.02</c:v>
                </c:pt>
                <c:pt idx="2">
                  <c:v>0</c:v>
                </c:pt>
              </c:numCache>
            </c:numRef>
          </c:val>
          <c:extLst>
            <c:ext xmlns:c16="http://schemas.microsoft.com/office/drawing/2014/chart" uri="{C3380CC4-5D6E-409C-BE32-E72D297353CC}">
              <c16:uniqueId val="{00000003-CAAE-486B-89F4-303F5F7A4718}"/>
            </c:ext>
          </c:extLst>
        </c:ser>
        <c:dLbls>
          <c:dLblPos val="outEnd"/>
          <c:showLegendKey val="0"/>
          <c:showVal val="1"/>
          <c:showCatName val="0"/>
          <c:showSerName val="0"/>
          <c:showPercent val="0"/>
          <c:showBubbleSize val="0"/>
        </c:dLbls>
        <c:gapWidth val="219"/>
        <c:overlap val="-27"/>
        <c:axId val="1736295632"/>
        <c:axId val="1736288432"/>
      </c:barChart>
      <c:catAx>
        <c:axId val="1736295632"/>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36288432"/>
        <c:crosses val="autoZero"/>
        <c:auto val="1"/>
        <c:lblAlgn val="ctr"/>
        <c:lblOffset val="100"/>
        <c:noMultiLvlLbl val="0"/>
      </c:catAx>
      <c:valAx>
        <c:axId val="173628843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36295632"/>
        <c:crosses val="autoZero"/>
        <c:crossBetween val="between"/>
        <c:majorUnit val="2.0000000000000004E-2"/>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468721211173106"/>
          <c:y val="4.583333333333333E-2"/>
          <c:w val="0.76674766647546544"/>
          <c:h val="0.62739960629921265"/>
        </c:manualLayout>
      </c:layout>
      <c:barChart>
        <c:barDir val="col"/>
        <c:grouping val="percentStacked"/>
        <c:varyColors val="0"/>
        <c:ser>
          <c:idx val="0"/>
          <c:order val="0"/>
          <c:tx>
            <c:strRef>
              <c:f>'cc reg'!$C$24</c:f>
              <c:strCache>
                <c:ptCount val="1"/>
                <c:pt idx="0">
                  <c:v>Holiday</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'cc reg'!$D$23:$E$23</c:f>
              <c:strCache>
                <c:ptCount val="2"/>
                <c:pt idx="0">
                  <c:v>Capital cities and Gold Coast</c:v>
                </c:pt>
                <c:pt idx="1">
                  <c:v>Rest of Australia</c:v>
                </c:pt>
              </c:strCache>
            </c:strRef>
          </c:cat>
          <c:val>
            <c:numRef>
              <c:f>'cc reg'!$D$24:$E$24</c:f>
              <c:numCache>
                <c:formatCode>0%</c:formatCode>
                <c:ptCount val="2"/>
                <c:pt idx="0">
                  <c:v>0.3783270787321395</c:v>
                </c:pt>
                <c:pt idx="1">
                  <c:v>0.49658023541334584</c:v>
                </c:pt>
              </c:numCache>
            </c:numRef>
          </c:val>
          <c:extLst>
            <c:ext xmlns:c16="http://schemas.microsoft.com/office/drawing/2014/chart" uri="{C3380CC4-5D6E-409C-BE32-E72D297353CC}">
              <c16:uniqueId val="{00000000-165B-4797-9CAD-24DE63DE981B}"/>
            </c:ext>
          </c:extLst>
        </c:ser>
        <c:ser>
          <c:idx val="1"/>
          <c:order val="1"/>
          <c:tx>
            <c:strRef>
              <c:f>'cc reg'!$C$25</c:f>
              <c:strCache>
                <c:ptCount val="1"/>
                <c:pt idx="0">
                  <c:v>Visiting friends and relatives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'cc reg'!$D$23:$E$23</c:f>
              <c:strCache>
                <c:ptCount val="2"/>
                <c:pt idx="0">
                  <c:v>Capital cities and Gold Coast</c:v>
                </c:pt>
                <c:pt idx="1">
                  <c:v>Rest of Australia</c:v>
                </c:pt>
              </c:strCache>
            </c:strRef>
          </c:cat>
          <c:val>
            <c:numRef>
              <c:f>'cc reg'!$D$25:$E$25</c:f>
              <c:numCache>
                <c:formatCode>0%</c:formatCode>
                <c:ptCount val="2"/>
                <c:pt idx="0">
                  <c:v>0.40959526974572086</c:v>
                </c:pt>
                <c:pt idx="1">
                  <c:v>0.36625222817774894</c:v>
                </c:pt>
              </c:numCache>
            </c:numRef>
          </c:val>
          <c:extLst>
            <c:ext xmlns:c16="http://schemas.microsoft.com/office/drawing/2014/chart" uri="{C3380CC4-5D6E-409C-BE32-E72D297353CC}">
              <c16:uniqueId val="{00000001-165B-4797-9CAD-24DE63DE981B}"/>
            </c:ext>
          </c:extLst>
        </c:ser>
        <c:ser>
          <c:idx val="2"/>
          <c:order val="2"/>
          <c:tx>
            <c:strRef>
              <c:f>'cc reg'!$C$26</c:f>
              <c:strCache>
                <c:ptCount val="1"/>
                <c:pt idx="0">
                  <c:v>Business</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'cc reg'!$D$23:$E$23</c:f>
              <c:strCache>
                <c:ptCount val="2"/>
                <c:pt idx="0">
                  <c:v>Capital cities and Gold Coast</c:v>
                </c:pt>
                <c:pt idx="1">
                  <c:v>Rest of Australia</c:v>
                </c:pt>
              </c:strCache>
            </c:strRef>
          </c:cat>
          <c:val>
            <c:numRef>
              <c:f>'cc reg'!$D$26:$E$26</c:f>
              <c:numCache>
                <c:formatCode>0%</c:formatCode>
                <c:ptCount val="2"/>
                <c:pt idx="0">
                  <c:v>0.1186280767860862</c:v>
                </c:pt>
                <c:pt idx="1">
                  <c:v>7.8369763411273344E-2</c:v>
                </c:pt>
              </c:numCache>
            </c:numRef>
          </c:val>
          <c:extLst>
            <c:ext xmlns:c16="http://schemas.microsoft.com/office/drawing/2014/chart" uri="{C3380CC4-5D6E-409C-BE32-E72D297353CC}">
              <c16:uniqueId val="{00000002-165B-4797-9CAD-24DE63DE981B}"/>
            </c:ext>
          </c:extLst>
        </c:ser>
        <c:ser>
          <c:idx val="3"/>
          <c:order val="3"/>
          <c:tx>
            <c:strRef>
              <c:f>'cc reg'!$C$27</c:f>
              <c:strCache>
                <c:ptCount val="1"/>
                <c:pt idx="0">
                  <c:v>Other reason</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'cc reg'!$D$23:$E$23</c:f>
              <c:strCache>
                <c:ptCount val="2"/>
                <c:pt idx="0">
                  <c:v>Capital cities and Gold Coast</c:v>
                </c:pt>
                <c:pt idx="1">
                  <c:v>Rest of Australia</c:v>
                </c:pt>
              </c:strCache>
            </c:strRef>
          </c:cat>
          <c:val>
            <c:numRef>
              <c:f>'cc reg'!$D$27:$E$27</c:f>
              <c:numCache>
                <c:formatCode>0%</c:formatCode>
                <c:ptCount val="2"/>
                <c:pt idx="0">
                  <c:v>9.7560866469059843E-2</c:v>
                </c:pt>
                <c:pt idx="1">
                  <c:v>6.7006858287776444E-2</c:v>
                </c:pt>
              </c:numCache>
            </c:numRef>
          </c:val>
          <c:extLst>
            <c:ext xmlns:c16="http://schemas.microsoft.com/office/drawing/2014/chart" uri="{C3380CC4-5D6E-409C-BE32-E72D297353CC}">
              <c16:uniqueId val="{00000003-165B-4797-9CAD-24DE63DE981B}"/>
            </c:ext>
          </c:extLst>
        </c:ser>
        <c:dLbls>
          <c:dLblPos val="ctr"/>
          <c:showLegendKey val="0"/>
          <c:showVal val="1"/>
          <c:showCatName val="0"/>
          <c:showSerName val="0"/>
          <c:showPercent val="0"/>
          <c:showBubbleSize val="0"/>
        </c:dLbls>
        <c:gapWidth val="150"/>
        <c:overlap val="100"/>
        <c:axId val="922217312"/>
        <c:axId val="922216832"/>
      </c:barChart>
      <c:catAx>
        <c:axId val="9222173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22216832"/>
        <c:crosses val="autoZero"/>
        <c:auto val="1"/>
        <c:lblAlgn val="ctr"/>
        <c:lblOffset val="100"/>
        <c:noMultiLvlLbl val="0"/>
      </c:catAx>
      <c:valAx>
        <c:axId val="92221683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22217312"/>
        <c:crosses val="autoZero"/>
        <c:crossBetween val="between"/>
        <c:majorUnit val="0.2"/>
      </c:valAx>
      <c:spPr>
        <a:noFill/>
        <a:ln>
          <a:noFill/>
        </a:ln>
        <a:effectLst/>
      </c:spPr>
    </c:plotArea>
    <c:legend>
      <c:legendPos val="b"/>
      <c:layout>
        <c:manualLayout>
          <c:xMode val="edge"/>
          <c:yMode val="edge"/>
          <c:x val="0.11147833959293092"/>
          <c:y val="0.80183038057742784"/>
          <c:w val="0.88474157736267078"/>
          <c:h val="0.18341699475065618"/>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48041002667130606"/>
          <c:y val="6.2678062678062682E-2"/>
          <c:w val="0.47334811102843749"/>
          <c:h val="0.74089328577517555"/>
        </c:manualLayout>
      </c:layout>
      <c:barChart>
        <c:barDir val="bar"/>
        <c:grouping val="clustered"/>
        <c:varyColors val="0"/>
        <c:ser>
          <c:idx val="0"/>
          <c:order val="0"/>
          <c:tx>
            <c:strRef>
              <c:f>accom!$H$6</c:f>
              <c:strCache>
                <c:ptCount val="1"/>
                <c:pt idx="0">
                  <c:v>Nights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accom!$G$7:$G$11</c:f>
              <c:strCache>
                <c:ptCount val="5"/>
                <c:pt idx="0">
                  <c:v>Caravan or camping - non commercial</c:v>
                </c:pt>
                <c:pt idx="1">
                  <c:v>Rented house/apartment/flat or unit</c:v>
                </c:pt>
                <c:pt idx="2">
                  <c:v>Caravan park or commercial camping ground</c:v>
                </c:pt>
                <c:pt idx="3">
                  <c:v>Hotel/resort/motel or motor Inn</c:v>
                </c:pt>
                <c:pt idx="4">
                  <c:v>Friends or relatives property</c:v>
                </c:pt>
              </c:strCache>
            </c:strRef>
          </c:cat>
          <c:val>
            <c:numRef>
              <c:f>accom!$H$7:$H$11</c:f>
              <c:numCache>
                <c:formatCode>#,##0.0</c:formatCode>
                <c:ptCount val="5"/>
                <c:pt idx="0">
                  <c:v>4.0555430000000001</c:v>
                </c:pt>
                <c:pt idx="1">
                  <c:v>7.1004310000000004</c:v>
                </c:pt>
                <c:pt idx="2">
                  <c:v>9.4256379999999993</c:v>
                </c:pt>
                <c:pt idx="3">
                  <c:v>24.992553000000001</c:v>
                </c:pt>
                <c:pt idx="4">
                  <c:v>31.030436999999999</c:v>
                </c:pt>
              </c:numCache>
            </c:numRef>
          </c:val>
          <c:extLst>
            <c:ext xmlns:c16="http://schemas.microsoft.com/office/drawing/2014/chart" uri="{C3380CC4-5D6E-409C-BE32-E72D297353CC}">
              <c16:uniqueId val="{00000000-0296-4D44-B2A6-E21FEBF120A5}"/>
            </c:ext>
          </c:extLst>
        </c:ser>
        <c:dLbls>
          <c:dLblPos val="outEnd"/>
          <c:showLegendKey val="0"/>
          <c:showVal val="1"/>
          <c:showCatName val="0"/>
          <c:showSerName val="0"/>
          <c:showPercent val="0"/>
          <c:showBubbleSize val="0"/>
        </c:dLbls>
        <c:gapWidth val="182"/>
        <c:axId val="886157280"/>
        <c:axId val="886164000"/>
      </c:barChart>
      <c:catAx>
        <c:axId val="88615728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spcFirstLastPara="1" vertOverflow="ellipsis"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886164000"/>
        <c:crosses val="autoZero"/>
        <c:auto val="1"/>
        <c:lblAlgn val="ctr"/>
        <c:lblOffset val="100"/>
        <c:noMultiLvlLbl val="0"/>
      </c:catAx>
      <c:valAx>
        <c:axId val="886164000"/>
        <c:scaling>
          <c:orientation val="minMax"/>
          <c:max val="35"/>
          <c:min val="0"/>
        </c:scaling>
        <c:delete val="0"/>
        <c:axPos val="b"/>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86157280"/>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0.58678</cdr:x>
      <cdr:y>0.88066</cdr:y>
    </cdr:from>
    <cdr:to>
      <cdr:x>0.8061</cdr:x>
      <cdr:y>0.94688</cdr:y>
    </cdr:to>
    <cdr:sp macro="" textlink="">
      <cdr:nvSpPr>
        <cdr:cNvPr id="2" name="TextBox 1">
          <a:extLst xmlns:a="http://schemas.openxmlformats.org/drawingml/2006/main">
            <a:ext uri="{FF2B5EF4-FFF2-40B4-BE49-F238E27FC236}">
              <a16:creationId xmlns:a16="http://schemas.microsoft.com/office/drawing/2014/main" id="{1873DC29-13C4-F321-4823-9B8D0AFA96F6}"/>
            </a:ext>
          </a:extLst>
        </cdr:cNvPr>
        <cdr:cNvSpPr txBox="1"/>
      </cdr:nvSpPr>
      <cdr:spPr>
        <a:xfrm xmlns:a="http://schemas.openxmlformats.org/drawingml/2006/main">
          <a:off x="1698714" y="2684252"/>
          <a:ext cx="634911" cy="20182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AU" sz="800" kern="1200"/>
            <a:t>millions</a:t>
          </a:r>
        </a:p>
      </cdr:txBody>
    </cdr:sp>
  </cdr:relSizeAnchor>
</c:userShapes>
</file>

<file path=word/theme/theme1.xml><?xml version="1.0" encoding="utf-8"?>
<a:theme xmlns:a="http://schemas.openxmlformats.org/drawingml/2006/main" name="Office Theme">
  <a:themeElements>
    <a:clrScheme name="Austrade">
      <a:dk1>
        <a:srgbClr val="000000"/>
      </a:dk1>
      <a:lt1>
        <a:sysClr val="window" lastClr="FFFFFF"/>
      </a:lt1>
      <a:dk2>
        <a:srgbClr val="2E1A47"/>
      </a:dk2>
      <a:lt2>
        <a:srgbClr val="1E988A"/>
      </a:lt2>
      <a:accent1>
        <a:srgbClr val="7A4282"/>
      </a:accent1>
      <a:accent2>
        <a:srgbClr val="2E1A47"/>
      </a:accent2>
      <a:accent3>
        <a:srgbClr val="1E988A"/>
      </a:accent3>
      <a:accent4>
        <a:srgbClr val="F5D688"/>
      </a:accent4>
      <a:accent5>
        <a:srgbClr val="877B77"/>
      </a:accent5>
      <a:accent6>
        <a:srgbClr val="E4E1DC"/>
      </a:accent6>
      <a:hlink>
        <a:srgbClr val="2E1A47"/>
      </a:hlink>
      <a:folHlink>
        <a:srgbClr val="2E1A47"/>
      </a:folHlink>
    </a:clrScheme>
    <a:fontScheme name="Austrade">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Operational-Document-BS" ma:contentTypeID="0x01010004862C10171BD149BCA86DC4F354848008004ECA0727F7BD2C4BB4EA25657F69D276" ma:contentTypeVersion="50" ma:contentTypeDescription="" ma:contentTypeScope="" ma:versionID="df19df020ab2e7b575ca7a4f3a5651eb">
  <xsd:schema xmlns:xsd="http://www.w3.org/2001/XMLSchema" xmlns:xs="http://www.w3.org/2001/XMLSchema" xmlns:p="http://schemas.microsoft.com/office/2006/metadata/properties" xmlns:ns2="2124141f-bf93-4eca-8662-34a4511e35c8" xmlns:ns3="52d2b1bf-f310-45e2-aba7-632ee969a559" targetNamespace="http://schemas.microsoft.com/office/2006/metadata/properties" ma:root="true" ma:fieldsID="94b5deb50d8396ed4d127d7d4e6e43d3" ns2:_="" ns3:_="">
    <xsd:import namespace="2124141f-bf93-4eca-8662-34a4511e35c8"/>
    <xsd:import namespace="52d2b1bf-f310-45e2-aba7-632ee969a559"/>
    <xsd:element name="properties">
      <xsd:complexType>
        <xsd:sequence>
          <xsd:element name="documentManagement">
            <xsd:complexType>
              <xsd:all>
                <xsd:element ref="ns2:Operational-Doc-Desc" minOccurs="0"/>
                <xsd:element ref="ns2:Operational-Site-Doc-URL" minOccurs="0"/>
                <xsd:element ref="ns2:nf7721a2bf6741678a34670e75d66499" minOccurs="0"/>
                <xsd:element ref="ns2:TaxCatchAll" minOccurs="0"/>
                <xsd:element ref="ns2:TaxCatchAllLabel" minOccurs="0"/>
                <xsd:element ref="ns2:Tradestart-Access" minOccurs="0"/>
                <xsd:element ref="ns2:Record_x0020_ID"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24141f-bf93-4eca-8662-34a4511e35c8" elementFormDefault="qualified">
    <xsd:import namespace="http://schemas.microsoft.com/office/2006/documentManagement/types"/>
    <xsd:import namespace="http://schemas.microsoft.com/office/infopath/2007/PartnerControls"/>
    <xsd:element name="Operational-Doc-Desc" ma:index="8" nillable="true" ma:displayName="Operational Description" ma:internalName="Operational_x002d_Doc_x002d_Desc" ma:readOnly="false">
      <xsd:simpleType>
        <xsd:restriction base="dms:Note">
          <xsd:maxLength value="255"/>
        </xsd:restriction>
      </xsd:simpleType>
    </xsd:element>
    <xsd:element name="Operational-Site-Doc-URL" ma:index="9" nillable="true" ma:displayName="Operational-Site-Doc-URL" ma:description="This column will store which site the document belongs to and using this information we can do routing on Record Centre" ma:hidden="true" ma:internalName="Operational_x002d_Site_x002d_Doc_x002d_URL" ma:readOnly="false">
      <xsd:simpleType>
        <xsd:restriction base="dms:Text">
          <xsd:maxLength value="255"/>
        </xsd:restriction>
      </xsd:simpleType>
    </xsd:element>
    <xsd:element name="nf7721a2bf6741678a34670e75d66499" ma:index="10" nillable="true" ma:taxonomy="true" ma:internalName="nf7721a2bf6741678a34670e75d66499" ma:taxonomyFieldName="Protective_x0020_Markings" ma:displayName="Protective Markings" ma:default="" ma:fieldId="{7f7721a2-bf67-4167-8a34-670e75d66499}" ma:sspId="66d92cf1-08e1-41e5-92d3-0cdcdb1e2433" ma:termSetId="093f376a-84bf-4617-8e0b-bd9905d38462"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728efd44-0473-4dbe-bbaf-6d90c8279169}" ma:internalName="TaxCatchAll" ma:showField="CatchAllData" ma:web="52d2b1bf-f310-45e2-aba7-632ee969a55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728efd44-0473-4dbe-bbaf-6d90c8279169}" ma:internalName="TaxCatchAllLabel" ma:readOnly="true" ma:showField="CatchAllDataLabel" ma:web="52d2b1bf-f310-45e2-aba7-632ee969a559">
      <xsd:complexType>
        <xsd:complexContent>
          <xsd:extension base="dms:MultiChoiceLookup">
            <xsd:sequence>
              <xsd:element name="Value" type="dms:Lookup" maxOccurs="unbounded" minOccurs="0" nillable="true"/>
            </xsd:sequence>
          </xsd:extension>
        </xsd:complexContent>
      </xsd:complexType>
    </xsd:element>
    <xsd:element name="Tradestart-Access" ma:index="14" nillable="true" ma:displayName="Tradestart-Access" ma:default="1" ma:internalName="Tradestart_x002d_Access">
      <xsd:simpleType>
        <xsd:restriction base="dms:Boolean"/>
      </xsd:simpleType>
    </xsd:element>
    <xsd:element name="Record_x0020_ID" ma:index="15" nillable="true" ma:displayName="Record ID" ma:internalName="Record_x0020_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2d2b1bf-f310-45e2-aba7-632ee969a559"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nf7721a2bf6741678a34670e75d66499 xmlns="2124141f-bf93-4eca-8662-34a4511e35c8">
      <Terms xmlns="http://schemas.microsoft.com/office/infopath/2007/PartnerControls"/>
    </nf7721a2bf6741678a34670e75d66499>
    <Record_x0020_ID xmlns="2124141f-bf93-4eca-8662-34a4511e35c8" xsi:nil="true"/>
    <Operational-Site-Doc-URL xmlns="2124141f-bf93-4eca-8662-34a4511e35c8" xsi:nil="true"/>
    <Tradestart-Access xmlns="2124141f-bf93-4eca-8662-34a4511e35c8">true</Tradestart-Access>
    <TaxCatchAll xmlns="2124141f-bf93-4eca-8662-34a4511e35c8"/>
    <Operational-Doc-Desc xmlns="2124141f-bf93-4eca-8662-34a4511e35c8" xsi:nil="true"/>
    <_dlc_DocId xmlns="52d2b1bf-f310-45e2-aba7-632ee969a559">HUB02-373-153</_dlc_DocId>
    <_dlc_DocIdUrl xmlns="52d2b1bf-f310-45e2-aba7-632ee969a559">
      <Url>http://thehub/ws/co/sra/_layouts/15/DocIdRedir.aspx?ID=HUB02-373-153</Url>
      <Description>HUB02-373-153</Description>
    </_dlc_DocIdUrl>
  </documentManagement>
</p:properties>
</file>

<file path=customXml/item5.xml><?xml version="1.0" encoding="utf-8"?>
<?mso-contentType ?>
<SharedContentType xmlns="Microsoft.SharePoint.Taxonomy.ContentTypeSync" SourceId="66d92cf1-08e1-41e5-92d3-0cdcdb1e2433" ContentTypeId="0x01010004862C10171BD149BCA86DC4F354848008"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1A0A30-8970-4E85-B808-4DBA2136EAA9}">
  <ds:schemaRefs>
    <ds:schemaRef ds:uri="http://schemas.microsoft.com/sharepoint/events"/>
  </ds:schemaRefs>
</ds:datastoreItem>
</file>

<file path=customXml/itemProps2.xml><?xml version="1.0" encoding="utf-8"?>
<ds:datastoreItem xmlns:ds="http://schemas.openxmlformats.org/officeDocument/2006/customXml" ds:itemID="{6075CF63-0983-4CB1-997E-566C11809F55}">
  <ds:schemaRefs>
    <ds:schemaRef ds:uri="http://schemas.microsoft.com/sharepoint/v3/contenttype/forms"/>
  </ds:schemaRefs>
</ds:datastoreItem>
</file>

<file path=customXml/itemProps3.xml><?xml version="1.0" encoding="utf-8"?>
<ds:datastoreItem xmlns:ds="http://schemas.openxmlformats.org/officeDocument/2006/customXml" ds:itemID="{3A1D5EE9-79FB-4553-80AD-999044BCDC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24141f-bf93-4eca-8662-34a4511e35c8"/>
    <ds:schemaRef ds:uri="52d2b1bf-f310-45e2-aba7-632ee969a5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3AD30B-EF9F-4108-9EB5-72C5870F2F0E}">
  <ds:schemaRefs>
    <ds:schemaRef ds:uri="http://schemas.microsoft.com/office/2006/metadata/properties"/>
    <ds:schemaRef ds:uri="http://schemas.microsoft.com/office/infopath/2007/PartnerControls"/>
    <ds:schemaRef ds:uri="2124141f-bf93-4eca-8662-34a4511e35c8"/>
    <ds:schemaRef ds:uri="52d2b1bf-f310-45e2-aba7-632ee969a559"/>
  </ds:schemaRefs>
</ds:datastoreItem>
</file>

<file path=customXml/itemProps5.xml><?xml version="1.0" encoding="utf-8"?>
<ds:datastoreItem xmlns:ds="http://schemas.openxmlformats.org/officeDocument/2006/customXml" ds:itemID="{96820555-8F42-4474-BE63-C929B2B60732}">
  <ds:schemaRefs>
    <ds:schemaRef ds:uri="Microsoft.SharePoint.Taxonomy.ContentTypeSync"/>
  </ds:schemaRefs>
</ds:datastoreItem>
</file>

<file path=customXml/itemProps6.xml><?xml version="1.0" encoding="utf-8"?>
<ds:datastoreItem xmlns:ds="http://schemas.openxmlformats.org/officeDocument/2006/customXml" ds:itemID="{369E8F25-FAEB-49CC-B73F-3E7990EBC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1015</Words>
  <Characters>5786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2025-12-09T01:05:00Z</dcterms:created>
  <dcterms:modified xsi:type="dcterms:W3CDTF">2025-12-10T05:22:00Z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0x01010004862C10171BD149BCA86DC4F354848008004ECA0727F7BD2C4BB4EA25657F69D276</vt:lpwstr>
  </property>
  <property fmtid="{D5CDD505-2E9C-101B-9397-08002B2CF9AE}" pid="3" name="_dlc_DocIdItemGuid">
    <vt:lpwstr>9d3511e8-1bf1-4c14-8f7b-d1f829eb2b53</vt:lpwstr>
  </property>
  <property fmtid="{D5CDD505-2E9C-101B-9397-08002B2CF9AE}" pid="4" name="Protective Markings">
    <vt:lpwstr/>
  </property>
  <property fmtid="{D5CDD505-2E9C-101B-9397-08002B2CF9AE}" pid="5" name="ClassificationContentMarkingHeaderShapeIds">
    <vt:lpwstr>565efa07,25588ff9,194e8e02</vt:lpwstr>
  </property>
  <property fmtid="{D5CDD505-2E9C-101B-9397-08002B2CF9AE}" pid="6" name="ClassificationContentMarkingHeaderFontProps">
    <vt:lpwstr>#ff0000,12,Calibri</vt:lpwstr>
  </property>
  <property fmtid="{D5CDD505-2E9C-101B-9397-08002B2CF9AE}" pid="7" name="ClassificationContentMarkingHeaderText">
    <vt:lpwstr>OFFICIAL</vt:lpwstr>
  </property>
  <property fmtid="{D5CDD505-2E9C-101B-9397-08002B2CF9AE}" pid="8" name="ClassificationContentMarkingFooterShapeIds">
    <vt:lpwstr>6b8472b6,2896b4ae,3cbe24d9</vt:lpwstr>
  </property>
  <property fmtid="{D5CDD505-2E9C-101B-9397-08002B2CF9AE}" pid="9" name="ClassificationContentMarkingFooterFontProps">
    <vt:lpwstr>#ff0000,12,Calibri</vt:lpwstr>
  </property>
  <property fmtid="{D5CDD505-2E9C-101B-9397-08002B2CF9AE}" pid="10" name="ClassificationContentMarkingFooterText">
    <vt:lpwstr>OFFICIAL</vt:lpwstr>
  </property>
  <property fmtid="{D5CDD505-2E9C-101B-9397-08002B2CF9AE}" pid="11" name="MSIP_Label_72160a83-df68-4146-9dd5-ccaae79426db_Enabled">
    <vt:lpwstr>true</vt:lpwstr>
  </property>
  <property fmtid="{D5CDD505-2E9C-101B-9397-08002B2CF9AE}" pid="12" name="MSIP_Label_72160a83-df68-4146-9dd5-ccaae79426db_SetDate">
    <vt:lpwstr>2024-09-02T01:14:32Z</vt:lpwstr>
  </property>
  <property fmtid="{D5CDD505-2E9C-101B-9397-08002B2CF9AE}" pid="13" name="MSIP_Label_72160a83-df68-4146-9dd5-ccaae79426db_Method">
    <vt:lpwstr>Privileged</vt:lpwstr>
  </property>
  <property fmtid="{D5CDD505-2E9C-101B-9397-08002B2CF9AE}" pid="14" name="MSIP_Label_72160a83-df68-4146-9dd5-ccaae79426db_Name">
    <vt:lpwstr>OFFICIAL</vt:lpwstr>
  </property>
  <property fmtid="{D5CDD505-2E9C-101B-9397-08002B2CF9AE}" pid="15" name="MSIP_Label_72160a83-df68-4146-9dd5-ccaae79426db_SiteId">
    <vt:lpwstr>c6ba7d27-a97a-40a4-82e4-4d23131de9f4</vt:lpwstr>
  </property>
  <property fmtid="{D5CDD505-2E9C-101B-9397-08002B2CF9AE}" pid="16" name="MSIP_Label_72160a83-df68-4146-9dd5-ccaae79426db_ActionId">
    <vt:lpwstr>1ffc9a7f-041f-4fe3-8a61-010064a34a9a</vt:lpwstr>
  </property>
  <property fmtid="{D5CDD505-2E9C-101B-9397-08002B2CF9AE}" pid="17" name="MSIP_Label_72160a83-df68-4146-9dd5-ccaae79426db_ContentBits">
    <vt:lpwstr>3</vt:lpwstr>
  </property>
</Properties>
</file>