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263C79CB" w:rsidR="00D00EE0" w:rsidRPr="00121691" w:rsidRDefault="0010593E" w:rsidP="00D00EE0">
      <w:pPr>
        <w:pStyle w:val="Spacer-cover"/>
      </w:pPr>
      <w:r w:rsidRPr="00121691">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3360" behindDoc="1" locked="1" layoutInCell="1" allowOverlap="1" wp14:anchorId="4A3FF61E" wp14:editId="49B78805">
            <wp:simplePos x="0" y="0"/>
            <wp:positionH relativeFrom="page">
              <wp:posOffset>472440</wp:posOffset>
            </wp:positionH>
            <wp:positionV relativeFrom="page">
              <wp:posOffset>467360</wp:posOffset>
            </wp:positionV>
            <wp:extent cx="3178175" cy="503555"/>
            <wp:effectExtent l="0" t="0" r="317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TIC_Asset 2.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2336" behindDoc="1" locked="1" layoutInCell="1" allowOverlap="1" wp14:anchorId="11E0A7E5" wp14:editId="43D452C6">
            <wp:simplePos x="0" y="0"/>
            <wp:positionH relativeFrom="page">
              <wp:posOffset>-103505</wp:posOffset>
            </wp:positionH>
            <wp:positionV relativeFrom="page">
              <wp:posOffset>8255</wp:posOffset>
            </wp:positionV>
            <wp:extent cx="7667625" cy="2682240"/>
            <wp:effectExtent l="0" t="0" r="9525" b="381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682240"/>
                    </a:xfrm>
                    <a:prstGeom prst="rect">
                      <a:avLst/>
                    </a:prstGeom>
                  </pic:spPr>
                </pic:pic>
              </a:graphicData>
            </a:graphic>
            <wp14:sizeRelH relativeFrom="margin">
              <wp14:pctWidth>0</wp14:pctWidth>
            </wp14:sizeRelH>
            <wp14:sizeRelV relativeFrom="margin">
              <wp14:pctHeight>0</wp14:pctHeight>
            </wp14:sizeRelV>
          </wp:anchor>
        </w:drawing>
      </w:r>
      <w:r w:rsidR="00931202" w:rsidRPr="00121691">
        <w:t xml:space="preserve">Know </w:t>
      </w:r>
    </w:p>
    <w:p w14:paraId="0FA159CE" w14:textId="766AFAA4" w:rsidR="00D00EE0" w:rsidRPr="00121691" w:rsidRDefault="00C11F15" w:rsidP="00223B43">
      <w:pPr>
        <w:pStyle w:val="Title"/>
        <w:rPr>
          <w:sz w:val="36"/>
          <w:szCs w:val="36"/>
        </w:rPr>
      </w:pPr>
      <w:r>
        <w:rPr>
          <w:sz w:val="36"/>
          <w:szCs w:val="36"/>
        </w:rPr>
        <w:t xml:space="preserve">DOMESTIC TOURISM STATISTICS </w:t>
      </w:r>
      <w:r w:rsidR="00E2779A" w:rsidRPr="00121691">
        <w:rPr>
          <w:sz w:val="36"/>
          <w:szCs w:val="36"/>
        </w:rPr>
        <w:t xml:space="preserve">RESULTS </w:t>
      </w:r>
    </w:p>
    <w:p w14:paraId="16A51BAA" w14:textId="66A01805" w:rsidR="00B96FF7" w:rsidRPr="00121691" w:rsidRDefault="002A6A70" w:rsidP="00223B43">
      <w:pPr>
        <w:pStyle w:val="Title"/>
        <w:rPr>
          <w:sz w:val="36"/>
          <w:szCs w:val="36"/>
        </w:rPr>
      </w:pPr>
      <w:r w:rsidRPr="00121691">
        <w:rPr>
          <w:noProof/>
          <w:sz w:val="36"/>
          <w:szCs w:val="36"/>
        </w:rPr>
        <w:drawing>
          <wp:anchor distT="0" distB="0" distL="114300" distR="114300" simplePos="0" relativeHeight="251664384" behindDoc="1" locked="0" layoutInCell="1" allowOverlap="1" wp14:anchorId="0567F52E" wp14:editId="06F6C446">
            <wp:simplePos x="0" y="0"/>
            <wp:positionH relativeFrom="margin">
              <wp:posOffset>-448574</wp:posOffset>
            </wp:positionH>
            <wp:positionV relativeFrom="paragraph">
              <wp:posOffset>189602</wp:posOffset>
            </wp:positionV>
            <wp:extent cx="8145035" cy="863612"/>
            <wp:effectExtent l="0" t="0" r="889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7"/>
                    <a:stretch>
                      <a:fillRect/>
                    </a:stretch>
                  </pic:blipFill>
                  <pic:spPr>
                    <a:xfrm>
                      <a:off x="0" y="0"/>
                      <a:ext cx="8159571" cy="865153"/>
                    </a:xfrm>
                    <a:prstGeom prst="rect">
                      <a:avLst/>
                    </a:prstGeom>
                  </pic:spPr>
                </pic:pic>
              </a:graphicData>
            </a:graphic>
            <wp14:sizeRelH relativeFrom="margin">
              <wp14:pctWidth>0</wp14:pctWidth>
            </wp14:sizeRelH>
            <wp14:sizeRelV relativeFrom="margin">
              <wp14:pctHeight>0</wp14:pctHeight>
            </wp14:sizeRelV>
          </wp:anchor>
        </w:drawing>
      </w:r>
      <w:r w:rsidR="00FC7BA0">
        <w:rPr>
          <w:noProof/>
          <w:sz w:val="36"/>
          <w:szCs w:val="36"/>
        </w:rPr>
        <w:t>JUNE</w:t>
      </w:r>
      <w:r w:rsidR="008E7477">
        <w:rPr>
          <w:noProof/>
          <w:sz w:val="36"/>
          <w:szCs w:val="36"/>
        </w:rPr>
        <w:t xml:space="preserve"> QUARTER 202</w:t>
      </w:r>
      <w:r w:rsidR="00C11F15">
        <w:rPr>
          <w:noProof/>
          <w:sz w:val="36"/>
          <w:szCs w:val="36"/>
        </w:rPr>
        <w:t>5</w:t>
      </w:r>
    </w:p>
    <w:p w14:paraId="41AFFF9B" w14:textId="21468C09" w:rsidR="002A6A70" w:rsidRPr="00121691" w:rsidRDefault="002A6A70" w:rsidP="002A6A70"/>
    <w:p w14:paraId="736744A6" w14:textId="6AD6DC1C" w:rsidR="00165E47" w:rsidRPr="00121691" w:rsidRDefault="00165E47" w:rsidP="00572276">
      <w:pPr>
        <w:pStyle w:val="Heading2"/>
        <w:rPr>
          <w:sz w:val="2"/>
          <w:szCs w:val="2"/>
        </w:rPr>
      </w:pPr>
    </w:p>
    <w:p w14:paraId="5EE4B5F4" w14:textId="40BE2A4B" w:rsidR="002A6A70" w:rsidRPr="00121691" w:rsidRDefault="002A6A70" w:rsidP="002A6A70"/>
    <w:p w14:paraId="5A376ED0" w14:textId="77777777" w:rsidR="00563FEE" w:rsidRDefault="00D714F1" w:rsidP="00F70FFC">
      <w:pPr>
        <w:pStyle w:val="Heading2"/>
        <w:spacing w:before="0"/>
        <w:rPr>
          <w:noProof/>
        </w:rPr>
      </w:pPr>
      <w:r>
        <w:t>June</w:t>
      </w:r>
      <w:r w:rsidR="008E7477">
        <w:t xml:space="preserve"> quarter 202</w:t>
      </w:r>
      <w:r w:rsidR="00203A05">
        <w:t>5</w:t>
      </w:r>
      <w:r w:rsidR="001F48F9">
        <w:t>*</w:t>
      </w:r>
      <w:r w:rsidR="00F70FFC" w:rsidRPr="00F70FFC">
        <w:rPr>
          <w:noProof/>
        </w:rPr>
        <w:t xml:space="preserve"> </w:t>
      </w:r>
    </w:p>
    <w:p w14:paraId="79909955" w14:textId="3007187A" w:rsidR="00584BF4" w:rsidRPr="00121691" w:rsidRDefault="005B3742" w:rsidP="00F70FFC">
      <w:pPr>
        <w:pStyle w:val="Heading2"/>
        <w:spacing w:before="0"/>
      </w:pPr>
      <w:r>
        <w:rPr>
          <w:noProof/>
        </w:rPr>
        <w:drawing>
          <wp:inline distT="0" distB="0" distL="0" distR="0" wp14:anchorId="37461E29" wp14:editId="3245176C">
            <wp:extent cx="6645910" cy="718185"/>
            <wp:effectExtent l="0" t="0" r="2540" b="5715"/>
            <wp:docPr id="132999489" name="Picture 1" descr="In the June quarter 2025, overnight spend was $25.2 billion, on par with the June quarter 2024. There were 27.6 million overnight trips, up 2% on the June quarter 2024, and 90.5 million nights away, up 2% on the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9489" name="Picture 1" descr="In the June quarter 2025, overnight spend was $25.2 billion, on par with the June quarter 2024. There were 27.6 million overnight trips, up 2% on the June quarter 2024, and 90.5 million nights away, up 2% on the June quarter 2024."/>
                    <pic:cNvPicPr/>
                  </pic:nvPicPr>
                  <pic:blipFill>
                    <a:blip r:embed="rId18"/>
                    <a:stretch>
                      <a:fillRect/>
                    </a:stretch>
                  </pic:blipFill>
                  <pic:spPr>
                    <a:xfrm>
                      <a:off x="0" y="0"/>
                      <a:ext cx="6645910" cy="718185"/>
                    </a:xfrm>
                    <a:prstGeom prst="rect">
                      <a:avLst/>
                    </a:prstGeom>
                  </pic:spPr>
                </pic:pic>
              </a:graphicData>
            </a:graphic>
          </wp:inline>
        </w:drawing>
      </w:r>
    </w:p>
    <w:p w14:paraId="300CD985" w14:textId="2D174CF7" w:rsidR="00B43476" w:rsidRPr="00121691" w:rsidRDefault="008E7477" w:rsidP="00B43476">
      <w:pPr>
        <w:pStyle w:val="Heading2"/>
        <w:spacing w:before="160"/>
      </w:pPr>
      <w:r>
        <w:t xml:space="preserve">Year ending </w:t>
      </w:r>
      <w:r w:rsidR="00D714F1">
        <w:t>June</w:t>
      </w:r>
      <w:r w:rsidR="00DF6D66">
        <w:t xml:space="preserve"> 2025</w:t>
      </w:r>
      <w:r w:rsidR="0078373F">
        <w:t>*</w:t>
      </w:r>
    </w:p>
    <w:p w14:paraId="71707554" w14:textId="75D08AFF" w:rsidR="00B72F01" w:rsidRPr="00121691" w:rsidRDefault="005B3742" w:rsidP="00B43476">
      <w:r>
        <w:rPr>
          <w:noProof/>
        </w:rPr>
        <w:drawing>
          <wp:inline distT="0" distB="0" distL="0" distR="0" wp14:anchorId="542891B7" wp14:editId="36C420F8">
            <wp:extent cx="6645910" cy="717550"/>
            <wp:effectExtent l="0" t="0" r="2540" b="6350"/>
            <wp:docPr id="1126901050" name="Picture 1" descr="In the year ending June 2025, overnight spend was $108.8 billion, on par with the year ending June 2024. There were 112.6 million overnight trips, on par with the year ending June 2024, and 379.8 million nights away, down 2% on the year ending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01050" name="Picture 1" descr="In the year ending June 2025, overnight spend was $108.8 billion, on par with the year ending June 2024. There were 112.6 million overnight trips, on par with the year ending June 2024, and 379.8 million nights away, down 2% on the year ending June 2024."/>
                    <pic:cNvPicPr/>
                  </pic:nvPicPr>
                  <pic:blipFill>
                    <a:blip r:embed="rId19"/>
                    <a:stretch>
                      <a:fillRect/>
                    </a:stretch>
                  </pic:blipFill>
                  <pic:spPr>
                    <a:xfrm>
                      <a:off x="0" y="0"/>
                      <a:ext cx="6645910" cy="717550"/>
                    </a:xfrm>
                    <a:prstGeom prst="rect">
                      <a:avLst/>
                    </a:prstGeom>
                  </pic:spPr>
                </pic:pic>
              </a:graphicData>
            </a:graphic>
          </wp:inline>
        </w:drawing>
      </w:r>
    </w:p>
    <w:p w14:paraId="0D0D9D18" w14:textId="0DECC36D" w:rsidR="003F07B9" w:rsidRPr="00121691" w:rsidRDefault="004605E3" w:rsidP="00151590">
      <w:pPr>
        <w:pStyle w:val="Heading2"/>
        <w:spacing w:before="120" w:after="120"/>
      </w:pPr>
      <w:r w:rsidRPr="00121691">
        <w:t>D</w:t>
      </w:r>
      <w:r w:rsidR="00C30801" w:rsidRPr="00121691">
        <w:t xml:space="preserve">omestic </w:t>
      </w:r>
      <w:r w:rsidR="00C30801" w:rsidRPr="00023AF0">
        <w:t>tourism</w:t>
      </w:r>
      <w:r w:rsidRPr="00023AF0">
        <w:t xml:space="preserve"> </w:t>
      </w:r>
      <w:r w:rsidR="00BF3F1E" w:rsidRPr="00023AF0">
        <w:t xml:space="preserve">results </w:t>
      </w:r>
      <w:r w:rsidR="00EF6E23">
        <w:t xml:space="preserve">remain </w:t>
      </w:r>
      <w:r w:rsidR="00EB7605">
        <w:t>stable</w:t>
      </w:r>
      <w:r w:rsidR="008832A3">
        <w:t>*</w:t>
      </w:r>
      <w:r w:rsidRPr="00121691">
        <w:t xml:space="preserve"> </w:t>
      </w:r>
    </w:p>
    <w:p w14:paraId="018CFF3A" w14:textId="3F4D3DF7" w:rsidR="00455A07" w:rsidRPr="008E7477" w:rsidRDefault="00166AA8" w:rsidP="00247F45">
      <w:pPr>
        <w:rPr>
          <w:rFonts w:cs="Times New Roman"/>
          <w:color w:val="FF0000"/>
        </w:rPr>
      </w:pPr>
      <w:bookmarkStart w:id="0" w:name="_Hlk161060535"/>
      <w:bookmarkStart w:id="1" w:name="_Hlk152855620"/>
      <w:r>
        <w:rPr>
          <w:rFonts w:cs="Times New Roman"/>
        </w:rPr>
        <w:t>D</w:t>
      </w:r>
      <w:r w:rsidR="00816870" w:rsidRPr="00166AA8">
        <w:rPr>
          <w:rFonts w:cs="Times New Roman"/>
        </w:rPr>
        <w:t xml:space="preserve">omestic tourism </w:t>
      </w:r>
      <w:r w:rsidR="00F83446">
        <w:rPr>
          <w:rFonts w:cs="Times New Roman"/>
        </w:rPr>
        <w:t xml:space="preserve">results were </w:t>
      </w:r>
      <w:r w:rsidR="00EB7605">
        <w:rPr>
          <w:rFonts w:cs="Times New Roman"/>
        </w:rPr>
        <w:t>stable</w:t>
      </w:r>
      <w:r w:rsidR="00F83446">
        <w:rPr>
          <w:rFonts w:cs="Times New Roman"/>
        </w:rPr>
        <w:t xml:space="preserve"> in the </w:t>
      </w:r>
      <w:r w:rsidR="00EB7605">
        <w:rPr>
          <w:rFonts w:cs="Times New Roman"/>
        </w:rPr>
        <w:t>June</w:t>
      </w:r>
      <w:r w:rsidR="00F83446">
        <w:rPr>
          <w:rFonts w:cs="Times New Roman"/>
        </w:rPr>
        <w:t xml:space="preserve"> quarter 2025</w:t>
      </w:r>
      <w:r w:rsidR="00152A24" w:rsidRPr="00166AA8">
        <w:rPr>
          <w:rFonts w:cs="Times New Roman"/>
        </w:rPr>
        <w:t xml:space="preserve"> </w:t>
      </w:r>
      <w:r w:rsidR="0052491E">
        <w:rPr>
          <w:rFonts w:cs="Times New Roman"/>
        </w:rPr>
        <w:t xml:space="preserve">across key measures </w:t>
      </w:r>
      <w:r w:rsidR="00A91B92" w:rsidRPr="00166AA8">
        <w:rPr>
          <w:rFonts w:cs="Times New Roman"/>
        </w:rPr>
        <w:t xml:space="preserve">when </w:t>
      </w:r>
      <w:r w:rsidR="00C30801" w:rsidRPr="00166AA8">
        <w:rPr>
          <w:rFonts w:cs="Times New Roman"/>
        </w:rPr>
        <w:t>compared</w:t>
      </w:r>
      <w:r w:rsidR="00152A24" w:rsidRPr="00166AA8">
        <w:rPr>
          <w:rFonts w:cs="Times New Roman"/>
        </w:rPr>
        <w:t xml:space="preserve"> </w:t>
      </w:r>
      <w:r w:rsidR="00BF3F1E" w:rsidRPr="00166AA8">
        <w:rPr>
          <w:rFonts w:cs="Times New Roman"/>
        </w:rPr>
        <w:t>with</w:t>
      </w:r>
      <w:r w:rsidR="00152A24" w:rsidRPr="00166AA8">
        <w:rPr>
          <w:rFonts w:cs="Times New Roman"/>
        </w:rPr>
        <w:t xml:space="preserve"> the same quarter </w:t>
      </w:r>
      <w:r w:rsidR="00C30801" w:rsidRPr="00166AA8">
        <w:rPr>
          <w:rFonts w:cs="Times New Roman"/>
        </w:rPr>
        <w:t xml:space="preserve">last </w:t>
      </w:r>
      <w:r w:rsidR="00C30801" w:rsidRPr="00247F45">
        <w:rPr>
          <w:rFonts w:cs="Times New Roman"/>
        </w:rPr>
        <w:t>year</w:t>
      </w:r>
      <w:r w:rsidR="004605E3" w:rsidRPr="00247F45">
        <w:rPr>
          <w:rFonts w:cs="Times New Roman"/>
        </w:rPr>
        <w:t>.</w:t>
      </w:r>
      <w:r w:rsidR="00BA003E" w:rsidRPr="00247F45">
        <w:rPr>
          <w:rFonts w:cs="Times New Roman"/>
        </w:rPr>
        <w:t xml:space="preserve"> </w:t>
      </w:r>
      <w:r w:rsidR="0097233C" w:rsidRPr="00D74FA6">
        <w:rPr>
          <w:rFonts w:cs="Times New Roman"/>
        </w:rPr>
        <w:t xml:space="preserve">Overnight </w:t>
      </w:r>
      <w:proofErr w:type="gramStart"/>
      <w:r w:rsidR="0097233C" w:rsidRPr="00D74FA6">
        <w:rPr>
          <w:rFonts w:cs="Times New Roman"/>
        </w:rPr>
        <w:t>visitor</w:t>
      </w:r>
      <w:proofErr w:type="gramEnd"/>
      <w:r w:rsidR="0097233C" w:rsidRPr="00D74FA6">
        <w:rPr>
          <w:rFonts w:cs="Times New Roman"/>
        </w:rPr>
        <w:t xml:space="preserve"> s</w:t>
      </w:r>
      <w:r w:rsidR="001B42B6" w:rsidRPr="00D74FA6">
        <w:rPr>
          <w:rFonts w:cs="Times New Roman"/>
        </w:rPr>
        <w:t xml:space="preserve">pend </w:t>
      </w:r>
      <w:r w:rsidR="00F83446" w:rsidRPr="00D74FA6">
        <w:rPr>
          <w:rFonts w:cs="Times New Roman"/>
        </w:rPr>
        <w:t>w</w:t>
      </w:r>
      <w:r w:rsidR="004329A5" w:rsidRPr="00D74FA6">
        <w:rPr>
          <w:rFonts w:cs="Times New Roman"/>
        </w:rPr>
        <w:t>as</w:t>
      </w:r>
      <w:r w:rsidR="005B3742">
        <w:rPr>
          <w:rFonts w:cs="Times New Roman"/>
        </w:rPr>
        <w:t xml:space="preserve"> on par</w:t>
      </w:r>
      <w:r w:rsidR="00F83446" w:rsidRPr="00D74FA6">
        <w:rPr>
          <w:rFonts w:cs="Times New Roman"/>
        </w:rPr>
        <w:t xml:space="preserve">, trips were </w:t>
      </w:r>
      <w:r w:rsidR="00EB7605">
        <w:rPr>
          <w:rFonts w:cs="Times New Roman"/>
        </w:rPr>
        <w:t>up</w:t>
      </w:r>
      <w:r w:rsidR="00F83446" w:rsidRPr="00D74FA6">
        <w:rPr>
          <w:rFonts w:cs="Times New Roman"/>
        </w:rPr>
        <w:t xml:space="preserve"> </w:t>
      </w:r>
      <w:r w:rsidR="0052491E">
        <w:rPr>
          <w:rFonts w:cs="Times New Roman"/>
        </w:rPr>
        <w:t xml:space="preserve">by </w:t>
      </w:r>
      <w:r w:rsidR="00F83446" w:rsidRPr="00D74FA6">
        <w:rPr>
          <w:rFonts w:cs="Times New Roman"/>
        </w:rPr>
        <w:t xml:space="preserve">2% and nights away were </w:t>
      </w:r>
      <w:r w:rsidR="00EB7605">
        <w:rPr>
          <w:rFonts w:cs="Times New Roman"/>
        </w:rPr>
        <w:t>up</w:t>
      </w:r>
      <w:r w:rsidR="00F83446" w:rsidRPr="00D74FA6">
        <w:rPr>
          <w:rFonts w:cs="Times New Roman"/>
        </w:rPr>
        <w:t xml:space="preserve"> </w:t>
      </w:r>
      <w:r w:rsidR="0052491E">
        <w:rPr>
          <w:rFonts w:cs="Times New Roman"/>
        </w:rPr>
        <w:t xml:space="preserve">by </w:t>
      </w:r>
      <w:r w:rsidR="00401C62">
        <w:rPr>
          <w:rFonts w:cs="Times New Roman"/>
        </w:rPr>
        <w:t>2</w:t>
      </w:r>
      <w:r w:rsidR="00F83446" w:rsidRPr="00D74FA6">
        <w:rPr>
          <w:rFonts w:cs="Times New Roman"/>
        </w:rPr>
        <w:t>%</w:t>
      </w:r>
      <w:r w:rsidRPr="00D74FA6">
        <w:rPr>
          <w:rFonts w:cs="Times New Roman"/>
        </w:rPr>
        <w:t>.</w:t>
      </w:r>
      <w:r w:rsidR="004769E2" w:rsidRPr="00D74FA6">
        <w:rPr>
          <w:rFonts w:cs="Times New Roman"/>
        </w:rPr>
        <w:t xml:space="preserve"> </w:t>
      </w:r>
      <w:r w:rsidR="00EB7605">
        <w:rPr>
          <w:rFonts w:cs="Times New Roman"/>
        </w:rPr>
        <w:t>June quarter 2025 results were supported by holiday travel, with Easter falling within th</w:t>
      </w:r>
      <w:r w:rsidR="00973BFB">
        <w:rPr>
          <w:rFonts w:cs="Times New Roman"/>
        </w:rPr>
        <w:t>e</w:t>
      </w:r>
      <w:r w:rsidR="00EB7605">
        <w:rPr>
          <w:rFonts w:cs="Times New Roman"/>
        </w:rPr>
        <w:t xml:space="preserve"> period this year. </w:t>
      </w:r>
      <w:r w:rsidR="00286D3B">
        <w:t>Results for the June quarter suggest that</w:t>
      </w:r>
      <w:r w:rsidR="00A1413B">
        <w:t xml:space="preserve"> Australians remain eager to undertake holiday travel, while </w:t>
      </w:r>
      <w:r w:rsidR="00973BFB">
        <w:t>remaining</w:t>
      </w:r>
      <w:r w:rsidR="00A1413B">
        <w:t xml:space="preserve"> cautious with their spending.</w:t>
      </w:r>
    </w:p>
    <w:bookmarkEnd w:id="0"/>
    <w:p w14:paraId="47B33B82" w14:textId="6FC7B7AC" w:rsidR="002F6E49" w:rsidRPr="00121691" w:rsidRDefault="00DF3151" w:rsidP="00787DB8">
      <w:pPr>
        <w:rPr>
          <w:rFonts w:cs="Times New Roman"/>
        </w:rPr>
      </w:pPr>
      <w:r w:rsidRPr="00166AA8">
        <w:rPr>
          <w:rFonts w:cs="Times New Roman"/>
        </w:rPr>
        <w:t xml:space="preserve">The </w:t>
      </w:r>
      <w:r w:rsidR="00415C0C">
        <w:rPr>
          <w:rFonts w:cs="Times New Roman"/>
        </w:rPr>
        <w:t>y</w:t>
      </w:r>
      <w:r w:rsidR="008E7477" w:rsidRPr="00166AA8">
        <w:rPr>
          <w:rFonts w:cs="Times New Roman"/>
        </w:rPr>
        <w:t xml:space="preserve">ear ending </w:t>
      </w:r>
      <w:r w:rsidR="00EB7605">
        <w:rPr>
          <w:rFonts w:cs="Times New Roman"/>
        </w:rPr>
        <w:t>June</w:t>
      </w:r>
      <w:r w:rsidR="008E7477" w:rsidRPr="00166AA8">
        <w:rPr>
          <w:rFonts w:cs="Times New Roman"/>
        </w:rPr>
        <w:t xml:space="preserve"> 202</w:t>
      </w:r>
      <w:r w:rsidR="00415C0C">
        <w:rPr>
          <w:rFonts w:cs="Times New Roman"/>
        </w:rPr>
        <w:t>5</w:t>
      </w:r>
      <w:r w:rsidRPr="00166AA8">
        <w:rPr>
          <w:rFonts w:cs="Times New Roman"/>
        </w:rPr>
        <w:t xml:space="preserve"> </w:t>
      </w:r>
      <w:r w:rsidR="007E5BCF">
        <w:rPr>
          <w:rFonts w:cs="Times New Roman"/>
        </w:rPr>
        <w:t>results were also stable</w:t>
      </w:r>
      <w:r w:rsidR="00EB7605">
        <w:rPr>
          <w:rFonts w:cs="Times New Roman"/>
        </w:rPr>
        <w:t xml:space="preserve"> compared to the year ending June 202</w:t>
      </w:r>
      <w:r w:rsidR="00132E0E">
        <w:rPr>
          <w:rFonts w:cs="Times New Roman"/>
        </w:rPr>
        <w:t>4</w:t>
      </w:r>
      <w:r w:rsidR="001C12FD" w:rsidRPr="00166AA8">
        <w:rPr>
          <w:rFonts w:cs="Times New Roman"/>
        </w:rPr>
        <w:t>.</w:t>
      </w:r>
      <w:r w:rsidRPr="00166AA8">
        <w:rPr>
          <w:rFonts w:cs="Times New Roman"/>
        </w:rPr>
        <w:t xml:space="preserve"> </w:t>
      </w:r>
      <w:r w:rsidR="001C12FD" w:rsidRPr="00166AA8">
        <w:rPr>
          <w:rFonts w:cs="Times New Roman"/>
        </w:rPr>
        <w:t>S</w:t>
      </w:r>
      <w:r w:rsidRPr="00166AA8">
        <w:rPr>
          <w:rFonts w:cs="Times New Roman"/>
        </w:rPr>
        <w:t xml:space="preserve">pend </w:t>
      </w:r>
      <w:r w:rsidR="007E5BCF">
        <w:rPr>
          <w:rFonts w:cs="Times New Roman"/>
        </w:rPr>
        <w:t>and</w:t>
      </w:r>
      <w:r w:rsidRPr="00166AA8">
        <w:rPr>
          <w:rFonts w:cs="Times New Roman"/>
        </w:rPr>
        <w:t xml:space="preserve"> </w:t>
      </w:r>
      <w:r w:rsidR="001C12FD" w:rsidRPr="00166AA8">
        <w:rPr>
          <w:rFonts w:cs="Times New Roman"/>
        </w:rPr>
        <w:t xml:space="preserve">overnight </w:t>
      </w:r>
      <w:r w:rsidRPr="00166AA8">
        <w:rPr>
          <w:rFonts w:cs="Times New Roman"/>
        </w:rPr>
        <w:t xml:space="preserve">trips </w:t>
      </w:r>
      <w:r w:rsidR="001C12FD" w:rsidRPr="00166AA8">
        <w:rPr>
          <w:rFonts w:cs="Times New Roman"/>
        </w:rPr>
        <w:t xml:space="preserve">were </w:t>
      </w:r>
      <w:r w:rsidR="00EB7605">
        <w:rPr>
          <w:rFonts w:cs="Times New Roman"/>
        </w:rPr>
        <w:t xml:space="preserve">on </w:t>
      </w:r>
      <w:r w:rsidR="00D42E91">
        <w:rPr>
          <w:rFonts w:cs="Times New Roman"/>
        </w:rPr>
        <w:t>par,</w:t>
      </w:r>
      <w:r w:rsidRPr="00166AA8">
        <w:rPr>
          <w:rFonts w:cs="Times New Roman"/>
        </w:rPr>
        <w:t xml:space="preserve"> and nights </w:t>
      </w:r>
      <w:r w:rsidR="001C12FD" w:rsidRPr="00166AA8">
        <w:rPr>
          <w:rFonts w:cs="Times New Roman"/>
        </w:rPr>
        <w:t xml:space="preserve">were </w:t>
      </w:r>
      <w:r w:rsidR="00A606A6" w:rsidRPr="00EF4D75">
        <w:rPr>
          <w:rFonts w:cs="Times New Roman"/>
        </w:rPr>
        <w:t>down</w:t>
      </w:r>
      <w:r w:rsidR="0052491E">
        <w:rPr>
          <w:rFonts w:cs="Times New Roman"/>
        </w:rPr>
        <w:t xml:space="preserve"> by</w:t>
      </w:r>
      <w:r w:rsidRPr="00EF4D75">
        <w:rPr>
          <w:rFonts w:cs="Times New Roman"/>
        </w:rPr>
        <w:t xml:space="preserve"> </w:t>
      </w:r>
      <w:r w:rsidR="00415C0C">
        <w:rPr>
          <w:rFonts w:cs="Times New Roman"/>
        </w:rPr>
        <w:t>2</w:t>
      </w:r>
      <w:r w:rsidRPr="00EF4D75">
        <w:rPr>
          <w:rFonts w:cs="Times New Roman"/>
        </w:rPr>
        <w:t>%.</w:t>
      </w:r>
      <w:bookmarkStart w:id="2" w:name="_Hlk161058852"/>
      <w:r w:rsidR="0078356C" w:rsidRPr="00EF4D75">
        <w:rPr>
          <w:rFonts w:cs="Times New Roman"/>
        </w:rPr>
        <w:t xml:space="preserve"> </w:t>
      </w:r>
      <w:r w:rsidR="00A1413B">
        <w:t xml:space="preserve">The results for the </w:t>
      </w:r>
      <w:r w:rsidR="00286D3B">
        <w:t>June quarter</w:t>
      </w:r>
      <w:r w:rsidR="00A1413B">
        <w:t xml:space="preserve"> 202</w:t>
      </w:r>
      <w:r w:rsidR="00286D3B">
        <w:t>5</w:t>
      </w:r>
      <w:r w:rsidR="00A1413B">
        <w:t xml:space="preserve"> and the </w:t>
      </w:r>
      <w:r w:rsidR="00286D3B">
        <w:t>y</w:t>
      </w:r>
      <w:r w:rsidR="00A1413B">
        <w:t>ear ending June 202</w:t>
      </w:r>
      <w:r w:rsidR="00286D3B">
        <w:t>5</w:t>
      </w:r>
      <w:r w:rsidR="00A1413B">
        <w:t xml:space="preserve"> show that domestic travel </w:t>
      </w:r>
      <w:r w:rsidR="00973BFB">
        <w:t xml:space="preserve">demand </w:t>
      </w:r>
      <w:r w:rsidR="00286D3B">
        <w:t xml:space="preserve">continues to </w:t>
      </w:r>
      <w:r w:rsidR="00A1413B">
        <w:t>remain stable</w:t>
      </w:r>
      <w:r w:rsidR="00286D3B">
        <w:t xml:space="preserve">. </w:t>
      </w:r>
    </w:p>
    <w:bookmarkEnd w:id="1"/>
    <w:bookmarkEnd w:id="2"/>
    <w:p w14:paraId="66CC1882" w14:textId="5FB08AA2" w:rsidR="000D05DA" w:rsidRDefault="00055731" w:rsidP="00A91B92">
      <w:pPr>
        <w:rPr>
          <w:b/>
          <w:bCs/>
        </w:rPr>
      </w:pPr>
      <w:r w:rsidRPr="00166AA8">
        <w:rPr>
          <w:b/>
          <w:bCs/>
        </w:rPr>
        <w:t xml:space="preserve">Figure 1. Percent change </w:t>
      </w:r>
      <w:r w:rsidR="008805E0" w:rsidRPr="00166AA8">
        <w:rPr>
          <w:b/>
          <w:bCs/>
        </w:rPr>
        <w:t xml:space="preserve">for spend, trips and nights </w:t>
      </w:r>
      <w:r w:rsidRPr="00166AA8">
        <w:rPr>
          <w:b/>
          <w:bCs/>
        </w:rPr>
        <w:t xml:space="preserve">compared </w:t>
      </w:r>
      <w:r w:rsidR="00C51C80">
        <w:rPr>
          <w:b/>
          <w:bCs/>
        </w:rPr>
        <w:t xml:space="preserve">with </w:t>
      </w:r>
      <w:r w:rsidRPr="00166AA8">
        <w:rPr>
          <w:b/>
          <w:bCs/>
        </w:rPr>
        <w:t>the same period in the previous year</w:t>
      </w:r>
      <w:r w:rsidR="008805E0" w:rsidRPr="00166AA8">
        <w:rPr>
          <w:b/>
          <w:bCs/>
        </w:rPr>
        <w:t xml:space="preserve">, </w:t>
      </w:r>
      <w:r w:rsidR="00EB7605">
        <w:rPr>
          <w:b/>
          <w:bCs/>
        </w:rPr>
        <w:t>September</w:t>
      </w:r>
      <w:r w:rsidR="00A762C9" w:rsidRPr="00166AA8">
        <w:rPr>
          <w:b/>
          <w:bCs/>
        </w:rPr>
        <w:t xml:space="preserve"> </w:t>
      </w:r>
      <w:r w:rsidR="008805E0" w:rsidRPr="00166AA8">
        <w:rPr>
          <w:b/>
          <w:bCs/>
        </w:rPr>
        <w:t>quarter 202</w:t>
      </w:r>
      <w:r w:rsidR="00D45C5A">
        <w:rPr>
          <w:b/>
          <w:bCs/>
        </w:rPr>
        <w:t>4</w:t>
      </w:r>
      <w:r w:rsidR="008805E0" w:rsidRPr="00166AA8">
        <w:rPr>
          <w:b/>
          <w:bCs/>
        </w:rPr>
        <w:t xml:space="preserve"> to </w:t>
      </w:r>
      <w:r w:rsidR="00EB7605">
        <w:rPr>
          <w:b/>
          <w:bCs/>
        </w:rPr>
        <w:t>June</w:t>
      </w:r>
      <w:r w:rsidR="008E7477" w:rsidRPr="00166AA8">
        <w:rPr>
          <w:b/>
          <w:bCs/>
        </w:rPr>
        <w:t xml:space="preserve"> quarter 202</w:t>
      </w:r>
      <w:r w:rsidR="00FE0318">
        <w:rPr>
          <w:b/>
          <w:bCs/>
        </w:rPr>
        <w:t>5</w:t>
      </w:r>
    </w:p>
    <w:p w14:paraId="150B1FFD" w14:textId="438F0D7E" w:rsidR="00166AA8" w:rsidRDefault="007E5BCF" w:rsidP="00166AA8">
      <w:pPr>
        <w:jc w:val="center"/>
        <w:rPr>
          <w:b/>
          <w:bCs/>
        </w:rPr>
      </w:pPr>
      <w:r>
        <w:rPr>
          <w:noProof/>
        </w:rPr>
        <w:drawing>
          <wp:inline distT="0" distB="0" distL="0" distR="0" wp14:anchorId="5781A5FE" wp14:editId="1449085A">
            <wp:extent cx="6410325" cy="1819275"/>
            <wp:effectExtent l="0" t="0" r="0" b="0"/>
            <wp:docPr id="966212579" name="Chart 1" descr="Figure 1 shows the percent change for spend, trips and nights compared the same period in the previous year, for the September quarter 2024 to the June quarter 2025.&#10;Compared to the same period in the previous year, spend in:&#10;• the September quarter 2024 was up by 2%&#10;• the December quarter 2024 was down by 2%&#10;• the March quarter 2025 was on par &#10;•the June quarter 2025 was down on par.&#10;&#10;Compared to the same period in the previous year, overnight trips in:&#10;• the September quarter 2024 was down by 1%&#10;• the December quarter 2024 was up by 1%&#10;• the March quarter 2025 was down by 2%&#10;• the June quarter 2025 was up by 2%&#10;&#10;Compared to the same period in the previous year, nights away in:&#10;• the September quarter 2024 was down by 2%&#10;• the December quarter 2024 was down by 2%&#10;• the March quarter 2024 was down by 4%&#10;• the June quarter 2025 was up by 2%&#10;">
              <a:extLst xmlns:a="http://schemas.openxmlformats.org/drawingml/2006/main">
                <a:ext uri="{FF2B5EF4-FFF2-40B4-BE49-F238E27FC236}">
                  <a16:creationId xmlns:a16="http://schemas.microsoft.com/office/drawing/2014/main" id="{96B73210-0938-85B9-8BAA-B63EDEFF2E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8643D04" w14:textId="77777777" w:rsidR="00656242" w:rsidRDefault="00FE0318" w:rsidP="00A91B92">
      <w:pPr>
        <w:rPr>
          <w:i/>
          <w:iCs/>
          <w:sz w:val="16"/>
          <w:szCs w:val="16"/>
        </w:rPr>
      </w:pPr>
      <w:r w:rsidRPr="00FE0318">
        <w:rPr>
          <w:sz w:val="16"/>
          <w:szCs w:val="16"/>
        </w:rPr>
        <w:t>*</w:t>
      </w:r>
      <w:r w:rsidR="00EC64B0" w:rsidRPr="00EC64B0">
        <w:rPr>
          <w:i/>
          <w:iCs/>
          <w:sz w:val="16"/>
          <w:szCs w:val="16"/>
        </w:rPr>
        <w:t xml:space="preserve">Results prior to 2025 are </w:t>
      </w:r>
      <w:proofErr w:type="spellStart"/>
      <w:r w:rsidR="00EC64B0" w:rsidRPr="00EC64B0">
        <w:rPr>
          <w:i/>
          <w:iCs/>
          <w:sz w:val="16"/>
          <w:szCs w:val="16"/>
        </w:rPr>
        <w:t>backcast</w:t>
      </w:r>
      <w:proofErr w:type="spellEnd"/>
      <w:r w:rsidR="00EC64B0" w:rsidRPr="00EC64B0">
        <w:rPr>
          <w:i/>
          <w:iCs/>
          <w:sz w:val="16"/>
          <w:szCs w:val="16"/>
        </w:rPr>
        <w:t xml:space="preserve"> and adjusted to account for differences in methodology between the National Visitor Survey (NVS) and the new Domestic Tourism Statistics which came into effect January 2025. Due to data limitations and the complexity of measuring the differences in spend caused by the methodology changes, TRA recommends exercising caution when interpreting comparisons incorporating the use of </w:t>
      </w:r>
      <w:proofErr w:type="spellStart"/>
      <w:r w:rsidR="00EC64B0" w:rsidRPr="00EC64B0">
        <w:rPr>
          <w:i/>
          <w:iCs/>
          <w:sz w:val="16"/>
          <w:szCs w:val="16"/>
        </w:rPr>
        <w:t>backcast</w:t>
      </w:r>
      <w:proofErr w:type="spellEnd"/>
      <w:r w:rsidR="00EC64B0" w:rsidRPr="00EC64B0">
        <w:rPr>
          <w:i/>
          <w:iCs/>
          <w:sz w:val="16"/>
          <w:szCs w:val="16"/>
        </w:rPr>
        <w:t xml:space="preserve"> spend data. </w:t>
      </w:r>
    </w:p>
    <w:p w14:paraId="53609FF8" w14:textId="0EA8AF92" w:rsidR="00FE0318" w:rsidRPr="00FE0318" w:rsidRDefault="00FE0318" w:rsidP="00A91B92">
      <w:pPr>
        <w:rPr>
          <w:sz w:val="16"/>
          <w:szCs w:val="16"/>
        </w:rPr>
        <w:sectPr w:rsidR="00FE0318" w:rsidRPr="00FE0318" w:rsidSect="007D69C5">
          <w:headerReference w:type="even" r:id="rId21"/>
          <w:headerReference w:type="default" r:id="rId22"/>
          <w:footerReference w:type="even" r:id="rId23"/>
          <w:footerReference w:type="default" r:id="rId24"/>
          <w:headerReference w:type="first" r:id="rId25"/>
          <w:footerReference w:type="first" r:id="rId26"/>
          <w:footnotePr>
            <w:numStart w:val="2"/>
          </w:footnotePr>
          <w:pgSz w:w="11906" w:h="16838" w:code="9"/>
          <w:pgMar w:top="720" w:right="720" w:bottom="720" w:left="720" w:header="454" w:footer="851" w:gutter="0"/>
          <w:cols w:space="720"/>
          <w:titlePg/>
          <w:docGrid w:linePitch="360"/>
        </w:sectPr>
      </w:pPr>
      <w:r w:rsidRPr="00FE0318">
        <w:rPr>
          <w:sz w:val="16"/>
          <w:szCs w:val="16"/>
        </w:rPr>
        <w:t xml:space="preserve">For more information please visit: </w:t>
      </w:r>
      <w:hyperlink r:id="rId27" w:history="1">
        <w:r w:rsidRPr="00FE0318">
          <w:rPr>
            <w:rStyle w:val="Hyperlink"/>
            <w:sz w:val="16"/>
            <w:szCs w:val="16"/>
          </w:rPr>
          <w:t>Changes to the Australian resident tourism statistics collection in 2025 | Tourism Research Australia</w:t>
        </w:r>
      </w:hyperlink>
    </w:p>
    <w:tbl>
      <w:tblPr>
        <w:tblStyle w:val="TableGrid"/>
        <w:tblW w:w="111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gridCol w:w="5955"/>
        <w:gridCol w:w="153"/>
      </w:tblGrid>
      <w:tr w:rsidR="001C1693" w14:paraId="0F8ABE1E" w14:textId="77777777" w:rsidTr="004B3960">
        <w:trPr>
          <w:trHeight w:val="599"/>
        </w:trPr>
        <w:tc>
          <w:tcPr>
            <w:tcW w:w="11123" w:type="dxa"/>
            <w:gridSpan w:val="3"/>
          </w:tcPr>
          <w:p w14:paraId="251E1EA7" w14:textId="56A1FF2B" w:rsidR="000A202B" w:rsidRPr="00B63635" w:rsidRDefault="0057135A" w:rsidP="00132E0E">
            <w:pPr>
              <w:spacing w:after="40"/>
              <w:rPr>
                <w:b/>
                <w:bCs/>
                <w:color w:val="1E988A" w:themeColor="background2"/>
                <w:sz w:val="26"/>
                <w:szCs w:val="26"/>
              </w:rPr>
            </w:pPr>
            <w:r>
              <w:rPr>
                <w:b/>
                <w:bCs/>
                <w:color w:val="1E988A" w:themeColor="background2"/>
                <w:sz w:val="26"/>
                <w:szCs w:val="26"/>
              </w:rPr>
              <w:lastRenderedPageBreak/>
              <w:t>Female</w:t>
            </w:r>
            <w:r w:rsidR="000A202B">
              <w:rPr>
                <w:b/>
                <w:bCs/>
                <w:color w:val="1E988A" w:themeColor="background2"/>
                <w:sz w:val="26"/>
                <w:szCs w:val="26"/>
              </w:rPr>
              <w:t xml:space="preserve"> Australians travel for longer, but spend less per trip</w:t>
            </w:r>
          </w:p>
        </w:tc>
      </w:tr>
      <w:tr w:rsidR="00A1413B" w14:paraId="67CE90CE" w14:textId="77777777" w:rsidTr="004B3960">
        <w:trPr>
          <w:trHeight w:val="6898"/>
        </w:trPr>
        <w:tc>
          <w:tcPr>
            <w:tcW w:w="5015" w:type="dxa"/>
          </w:tcPr>
          <w:p w14:paraId="0553100C" w14:textId="361FDEAB" w:rsidR="000A202B" w:rsidRDefault="0057135A" w:rsidP="000A202B">
            <w:r>
              <w:t xml:space="preserve">In the June quarter 2025, </w:t>
            </w:r>
            <w:r w:rsidR="007E26AF">
              <w:t>female travellers took longer overnight trips</w:t>
            </w:r>
            <w:r w:rsidR="00973BFB">
              <w:t xml:space="preserve"> on average</w:t>
            </w:r>
            <w:r w:rsidR="007E26AF">
              <w:t xml:space="preserve"> than male travellers. F</w:t>
            </w:r>
            <w:r>
              <w:t xml:space="preserve">emale domestic overnight travellers </w:t>
            </w:r>
            <w:r w:rsidR="00973BFB">
              <w:t xml:space="preserve">were away </w:t>
            </w:r>
            <w:r>
              <w:t>an average of 3.4 nights per trip, compared with the average 3.2 nights per trip by male travellers.</w:t>
            </w:r>
          </w:p>
          <w:p w14:paraId="61167495" w14:textId="77777777" w:rsidR="0057135A" w:rsidRDefault="0057135A" w:rsidP="000A202B"/>
          <w:p w14:paraId="56E3D11E" w14:textId="15ABF760" w:rsidR="0057135A" w:rsidRDefault="0057135A" w:rsidP="000A202B">
            <w:r>
              <w:t xml:space="preserve">Figure 2 shows that </w:t>
            </w:r>
            <w:r w:rsidR="00973BFB">
              <w:t xml:space="preserve">on average </w:t>
            </w:r>
            <w:r>
              <w:t xml:space="preserve">female domestic overnight travellers across all age groups </w:t>
            </w:r>
            <w:r w:rsidR="007E26AF">
              <w:t xml:space="preserve">had </w:t>
            </w:r>
            <w:r>
              <w:t>longer trips than male domestic overnight travellers in the June quarter 2025.</w:t>
            </w:r>
            <w:r w:rsidR="00FA2C34">
              <w:t xml:space="preserve"> Th</w:t>
            </w:r>
            <w:r w:rsidR="00401C62">
              <w:t>e</w:t>
            </w:r>
            <w:r w:rsidR="00FA2C34">
              <w:t xml:space="preserve"> difference in length of trip </w:t>
            </w:r>
            <w:r w:rsidR="00401C62">
              <w:t xml:space="preserve">between genders </w:t>
            </w:r>
            <w:r w:rsidR="00FA2C34">
              <w:t>was higher for travellers aged 60 and over.</w:t>
            </w:r>
          </w:p>
          <w:p w14:paraId="5EC5FD68" w14:textId="77777777" w:rsidR="0057135A" w:rsidRDefault="0057135A" w:rsidP="000A202B"/>
          <w:p w14:paraId="2374AD3C" w14:textId="4415C891" w:rsidR="00E4250D" w:rsidRDefault="0057135A" w:rsidP="000A202B">
            <w:r>
              <w:t xml:space="preserve">While female travellers </w:t>
            </w:r>
            <w:r w:rsidR="007E26AF">
              <w:t>took</w:t>
            </w:r>
            <w:r>
              <w:t xml:space="preserve"> longer trips, they reported a lower average spend per trip in the June quarter 2025. In the June quarter 2025, female domestic overnight travellers spent an average of $</w:t>
            </w:r>
            <w:r w:rsidR="00247E5A">
              <w:t xml:space="preserve">887 </w:t>
            </w:r>
            <w:r>
              <w:t xml:space="preserve">per trip, compared with </w:t>
            </w:r>
            <w:r w:rsidR="00973BFB">
              <w:t xml:space="preserve">an </w:t>
            </w:r>
            <w:r>
              <w:t>average $</w:t>
            </w:r>
            <w:r w:rsidR="00247E5A">
              <w:t xml:space="preserve">937 </w:t>
            </w:r>
            <w:r>
              <w:t>per trip by male travellers.</w:t>
            </w:r>
            <w:r w:rsidR="00E4250D">
              <w:t xml:space="preserve"> This can be attributed to</w:t>
            </w:r>
            <w:r w:rsidR="00132E0E">
              <w:t xml:space="preserve"> differences in the purpose of travel between genders.</w:t>
            </w:r>
            <w:r w:rsidR="00E4250D">
              <w:t xml:space="preserve"> </w:t>
            </w:r>
            <w:r w:rsidR="00132E0E">
              <w:t xml:space="preserve">A </w:t>
            </w:r>
            <w:r w:rsidR="006A5505">
              <w:t xml:space="preserve">higher proportion of </w:t>
            </w:r>
            <w:r w:rsidR="00E4250D">
              <w:t>female travellers t</w:t>
            </w:r>
            <w:r w:rsidR="00132E0E">
              <w:t xml:space="preserve">ook </w:t>
            </w:r>
            <w:r w:rsidR="007B3CE1">
              <w:t xml:space="preserve">lower cost trips </w:t>
            </w:r>
            <w:r w:rsidR="00E4250D">
              <w:t>to visit friends and relatives</w:t>
            </w:r>
            <w:r w:rsidR="00132E0E">
              <w:t xml:space="preserve"> (VFR), compared </w:t>
            </w:r>
            <w:r w:rsidR="00973BFB">
              <w:t>with</w:t>
            </w:r>
            <w:r w:rsidR="00132E0E">
              <w:t xml:space="preserve"> m</w:t>
            </w:r>
            <w:r w:rsidR="007B3CE1">
              <w:t xml:space="preserve">ale travellers </w:t>
            </w:r>
            <w:r w:rsidR="00132E0E">
              <w:t xml:space="preserve">who </w:t>
            </w:r>
            <w:r w:rsidR="007B3CE1">
              <w:t xml:space="preserve">took </w:t>
            </w:r>
            <w:r w:rsidR="006A5505">
              <w:t>a higher proportion of</w:t>
            </w:r>
            <w:r w:rsidR="007B3CE1">
              <w:t xml:space="preserve"> higher cost trips </w:t>
            </w:r>
            <w:r w:rsidR="00E4250D">
              <w:t xml:space="preserve">for business purposes </w:t>
            </w:r>
            <w:r w:rsidR="007B3CE1">
              <w:t>in the June quarter 2025</w:t>
            </w:r>
            <w:r w:rsidR="001C1693">
              <w:t xml:space="preserve"> (Figure 3)</w:t>
            </w:r>
            <w:r w:rsidR="00E4250D">
              <w:t xml:space="preserve">. </w:t>
            </w:r>
            <w:r w:rsidR="00132E0E">
              <w:t xml:space="preserve">In </w:t>
            </w:r>
            <w:r w:rsidR="00973BFB">
              <w:t xml:space="preserve">the </w:t>
            </w:r>
            <w:r w:rsidR="00132E0E">
              <w:t>June quarter 2025, the average spend o</w:t>
            </w:r>
            <w:r w:rsidR="00973BFB">
              <w:t>n</w:t>
            </w:r>
            <w:r w:rsidR="00132E0E">
              <w:t xml:space="preserve"> a VFR trip was $</w:t>
            </w:r>
            <w:r w:rsidR="00247E5A">
              <w:t xml:space="preserve">623 </w:t>
            </w:r>
            <w:r w:rsidR="00132E0E">
              <w:t xml:space="preserve">compared to business trips </w:t>
            </w:r>
            <w:r w:rsidR="00973BFB">
              <w:t xml:space="preserve">which had </w:t>
            </w:r>
            <w:r w:rsidR="00132E0E">
              <w:t xml:space="preserve">an average </w:t>
            </w:r>
            <w:r w:rsidR="00973BFB">
              <w:t xml:space="preserve">spend </w:t>
            </w:r>
            <w:r w:rsidR="00132E0E">
              <w:t>of $</w:t>
            </w:r>
            <w:r w:rsidR="00247E5A">
              <w:t xml:space="preserve">1,111 </w:t>
            </w:r>
            <w:r w:rsidR="00132E0E">
              <w:t xml:space="preserve">per trip. </w:t>
            </w:r>
            <w:r w:rsidR="00E4250D">
              <w:t xml:space="preserve"> </w:t>
            </w:r>
          </w:p>
          <w:p w14:paraId="6FAEEC76" w14:textId="35E37677" w:rsidR="0057135A" w:rsidRDefault="0057135A" w:rsidP="000A202B"/>
        </w:tc>
        <w:tc>
          <w:tcPr>
            <w:tcW w:w="6108" w:type="dxa"/>
            <w:gridSpan w:val="2"/>
          </w:tcPr>
          <w:p w14:paraId="15D73548" w14:textId="0588AC0F" w:rsidR="0057135A" w:rsidRPr="009074EA" w:rsidRDefault="0057135A" w:rsidP="004348BC">
            <w:pPr>
              <w:spacing w:after="60"/>
              <w:rPr>
                <w:b/>
                <w:bCs/>
                <w:sz w:val="19"/>
                <w:szCs w:val="19"/>
              </w:rPr>
            </w:pPr>
            <w:r w:rsidRPr="00AC711C">
              <w:rPr>
                <w:b/>
                <w:bCs/>
                <w:sz w:val="19"/>
                <w:szCs w:val="19"/>
              </w:rPr>
              <w:t xml:space="preserve">Figure </w:t>
            </w:r>
            <w:r>
              <w:rPr>
                <w:b/>
                <w:bCs/>
                <w:sz w:val="19"/>
                <w:szCs w:val="19"/>
              </w:rPr>
              <w:t>2</w:t>
            </w:r>
            <w:r w:rsidRPr="00AC711C">
              <w:rPr>
                <w:b/>
                <w:bCs/>
                <w:sz w:val="19"/>
                <w:szCs w:val="19"/>
              </w:rPr>
              <w:t xml:space="preserve">: </w:t>
            </w:r>
            <w:r>
              <w:rPr>
                <w:b/>
                <w:bCs/>
                <w:sz w:val="19"/>
                <w:szCs w:val="19"/>
              </w:rPr>
              <w:t>Average nights per trip by gender and age group, June quarter 2025</w:t>
            </w:r>
          </w:p>
          <w:p w14:paraId="6C2ADBBF" w14:textId="74FB7F33" w:rsidR="0057135A" w:rsidRDefault="0057135A" w:rsidP="0057135A">
            <w:r>
              <w:rPr>
                <w:noProof/>
              </w:rPr>
              <w:drawing>
                <wp:inline distT="0" distB="0" distL="0" distR="0" wp14:anchorId="6F4BBD16" wp14:editId="08EDE035">
                  <wp:extent cx="3495675" cy="1958109"/>
                  <wp:effectExtent l="0" t="0" r="0" b="4445"/>
                  <wp:docPr id="1726801478" name="Chart 1" descr="Figure 2 shows the average night per trip by gender and age group for the June quarter 2025.&#10;For age group 14 to 29, male domestic overnight travellers were away on average 3 nights per trip compared with the average of 3.2 nights per trip by female travellers.&#10;For age group 30 to 44, male and female overnight travellers were away on average 3.1 nights per trip.&#10;For age group 45 to 59, male overnight travellers were away on average 3.1 nights per trip compared with the average of 3.2 nights per trip by female travellers.&#10;For age group 60 to 74, male overnight travellers were away on average 3.5 nights per trip compared with the average of 3.8 nights per trip by female travellers.&#10;For age group 75 and over, male overnight travellers plus were away on average 3.7 nights per trip compared with the average of 4 nights per trip by female travellers.">
                    <a:extLst xmlns:a="http://schemas.openxmlformats.org/drawingml/2006/main">
                      <a:ext uri="{FF2B5EF4-FFF2-40B4-BE49-F238E27FC236}">
                        <a16:creationId xmlns:a16="http://schemas.microsoft.com/office/drawing/2014/main" id="{1D841F6F-282F-BD1A-C5D4-EAF1DCBC37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21AC189" w14:textId="0F6C2F27" w:rsidR="0057135A" w:rsidRPr="009074EA" w:rsidRDefault="0057135A" w:rsidP="0057135A">
            <w:pPr>
              <w:rPr>
                <w:b/>
                <w:bCs/>
                <w:sz w:val="19"/>
                <w:szCs w:val="19"/>
              </w:rPr>
            </w:pPr>
            <w:r w:rsidRPr="00AC711C">
              <w:rPr>
                <w:b/>
                <w:bCs/>
                <w:sz w:val="19"/>
                <w:szCs w:val="19"/>
              </w:rPr>
              <w:t xml:space="preserve">Figure </w:t>
            </w:r>
            <w:r>
              <w:rPr>
                <w:b/>
                <w:bCs/>
                <w:sz w:val="19"/>
                <w:szCs w:val="19"/>
              </w:rPr>
              <w:t>3</w:t>
            </w:r>
            <w:r w:rsidRPr="00AC711C">
              <w:rPr>
                <w:b/>
                <w:bCs/>
                <w:sz w:val="19"/>
                <w:szCs w:val="19"/>
              </w:rPr>
              <w:t xml:space="preserve">: </w:t>
            </w:r>
            <w:r w:rsidR="006A5505">
              <w:rPr>
                <w:b/>
                <w:bCs/>
                <w:sz w:val="19"/>
                <w:szCs w:val="19"/>
              </w:rPr>
              <w:t>Proportion of trips by gender and main purpose of trip, June quarter 2025</w:t>
            </w:r>
          </w:p>
          <w:p w14:paraId="24B250B2" w14:textId="379047A3" w:rsidR="0057135A" w:rsidRPr="0057135A" w:rsidRDefault="006A5505" w:rsidP="0057135A">
            <w:r>
              <w:rPr>
                <w:noProof/>
              </w:rPr>
              <w:drawing>
                <wp:inline distT="0" distB="0" distL="0" distR="0" wp14:anchorId="4C604A02" wp14:editId="3C278BCB">
                  <wp:extent cx="3463636" cy="2281382"/>
                  <wp:effectExtent l="0" t="0" r="3810" b="5080"/>
                  <wp:docPr id="1831457099" name="Chart 1" descr="Figure 3 shows the proportion of trips by gender and main purpose of trip for the June quarter 2025. &#10;For males, holiday travel make up 44%, travel for visiting friends and relatives make up 35%, business travel make up 16%, and travel for other reason make up 6%.&#10;For females, holiday travel make up 43%, travel for visiting friends and relatives make up 41%, business travel make up 9%, and travel for other reason make up 7%.&#10;">
                    <a:extLst xmlns:a="http://schemas.openxmlformats.org/drawingml/2006/main">
                      <a:ext uri="{FF2B5EF4-FFF2-40B4-BE49-F238E27FC236}">
                        <a16:creationId xmlns:a16="http://schemas.microsoft.com/office/drawing/2014/main" id="{73C94455-29FF-1668-D17A-B61CF7E775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1413B" w14:paraId="316A814A" w14:textId="77777777" w:rsidTr="004B3960">
        <w:trPr>
          <w:gridAfter w:val="1"/>
          <w:wAfter w:w="153" w:type="dxa"/>
          <w:trHeight w:val="4536"/>
        </w:trPr>
        <w:tc>
          <w:tcPr>
            <w:tcW w:w="10970" w:type="dxa"/>
            <w:gridSpan w:val="2"/>
          </w:tcPr>
          <w:p w14:paraId="50C0C89D" w14:textId="36210EEE" w:rsidR="000A202B" w:rsidRDefault="000A202B" w:rsidP="000A202B">
            <w:pPr>
              <w:rPr>
                <w:b/>
                <w:bCs/>
                <w:color w:val="1E988A" w:themeColor="background2"/>
                <w:sz w:val="26"/>
                <w:szCs w:val="26"/>
              </w:rPr>
            </w:pPr>
            <w:r>
              <w:rPr>
                <w:b/>
                <w:bCs/>
                <w:color w:val="1E988A" w:themeColor="background2"/>
                <w:sz w:val="26"/>
                <w:szCs w:val="26"/>
              </w:rPr>
              <w:t>Expenditure items</w:t>
            </w:r>
          </w:p>
          <w:p w14:paraId="5E598308" w14:textId="77777777" w:rsidR="00D42E91" w:rsidRDefault="00D42E91" w:rsidP="000A202B">
            <w:pPr>
              <w:rPr>
                <w:b/>
                <w:bCs/>
                <w:color w:val="1E988A" w:themeColor="background2"/>
                <w:sz w:val="26"/>
                <w:szCs w:val="26"/>
              </w:rPr>
            </w:pPr>
          </w:p>
          <w:p w14:paraId="0EDCFE3D" w14:textId="322D57E9" w:rsidR="000A202B" w:rsidRDefault="000A202B" w:rsidP="000A202B">
            <w:r w:rsidRPr="00AC711C">
              <w:t xml:space="preserve">In the </w:t>
            </w:r>
            <w:r>
              <w:t>June</w:t>
            </w:r>
            <w:r w:rsidRPr="00AC711C">
              <w:t xml:space="preserve"> quarter 2025, </w:t>
            </w:r>
            <w:r>
              <w:t xml:space="preserve">domestic </w:t>
            </w:r>
            <w:r w:rsidR="00973BFB">
              <w:t xml:space="preserve">overnight </w:t>
            </w:r>
            <w:r>
              <w:t>travellers spent $6.</w:t>
            </w:r>
            <w:r w:rsidR="00401C62">
              <w:t>8</w:t>
            </w:r>
            <w:r>
              <w:t xml:space="preserve"> billion on accommodation. This was followed by $3.</w:t>
            </w:r>
            <w:r w:rsidR="006F61E8">
              <w:t>9</w:t>
            </w:r>
            <w:r>
              <w:t xml:space="preserve"> billion on </w:t>
            </w:r>
            <w:r w:rsidR="006F61E8">
              <w:t xml:space="preserve">domestic airfares and $3.9 billion on </w:t>
            </w:r>
            <w:r>
              <w:t>takeaway and restaurant meals, $2.</w:t>
            </w:r>
            <w:r w:rsidR="006F61E8">
              <w:t>8</w:t>
            </w:r>
            <w:r>
              <w:t xml:space="preserve"> billion on petrol, $1.5 billion on shopping and $1.</w:t>
            </w:r>
            <w:r w:rsidR="006F61E8">
              <w:t>4</w:t>
            </w:r>
            <w:r>
              <w:t xml:space="preserve"> billion on groceries for self-catering.</w:t>
            </w:r>
          </w:p>
          <w:p w14:paraId="6AF90CEC" w14:textId="77777777" w:rsidR="000A202B" w:rsidRPr="00AC711C" w:rsidRDefault="000A202B" w:rsidP="000A202B"/>
          <w:p w14:paraId="1D87C1FF" w14:textId="0E2C5ABF" w:rsidR="004B3960" w:rsidRPr="009074EA" w:rsidRDefault="000A202B" w:rsidP="000A202B">
            <w:pPr>
              <w:rPr>
                <w:b/>
                <w:bCs/>
                <w:sz w:val="19"/>
                <w:szCs w:val="19"/>
              </w:rPr>
            </w:pPr>
            <w:r w:rsidRPr="00AC711C">
              <w:rPr>
                <w:b/>
                <w:bCs/>
                <w:sz w:val="19"/>
                <w:szCs w:val="19"/>
              </w:rPr>
              <w:t xml:space="preserve">Figure </w:t>
            </w:r>
            <w:r w:rsidR="00614C41">
              <w:rPr>
                <w:b/>
                <w:bCs/>
                <w:sz w:val="19"/>
                <w:szCs w:val="19"/>
              </w:rPr>
              <w:t>4</w:t>
            </w:r>
            <w:r w:rsidRPr="00AC711C">
              <w:rPr>
                <w:b/>
                <w:bCs/>
                <w:sz w:val="19"/>
                <w:szCs w:val="19"/>
              </w:rPr>
              <w:t xml:space="preserve">: </w:t>
            </w:r>
            <w:r>
              <w:rPr>
                <w:b/>
                <w:bCs/>
                <w:sz w:val="19"/>
                <w:szCs w:val="19"/>
              </w:rPr>
              <w:t>Top expenditure items by domestic overnight travellers, June quarter 2025</w:t>
            </w:r>
            <w:r w:rsidR="001C1693">
              <w:rPr>
                <w:b/>
                <w:bCs/>
                <w:sz w:val="19"/>
                <w:szCs w:val="19"/>
              </w:rPr>
              <w:br/>
            </w:r>
          </w:p>
          <w:p w14:paraId="121B03B9" w14:textId="5BB6CD0B" w:rsidR="00EE2146" w:rsidRPr="00EE2146" w:rsidRDefault="00D76609" w:rsidP="004B3960">
            <w:pPr>
              <w:pStyle w:val="Heading2"/>
              <w:spacing w:before="0" w:after="120"/>
            </w:pPr>
            <w:r>
              <w:rPr>
                <w:noProof/>
              </w:rPr>
              <w:drawing>
                <wp:inline distT="0" distB="0" distL="0" distR="0" wp14:anchorId="5F6C18DC" wp14:editId="4B6BB3E8">
                  <wp:extent cx="6543675" cy="2200275"/>
                  <wp:effectExtent l="0" t="0" r="0" b="0"/>
                  <wp:docPr id="36212089" name="Chart 1" descr="Figure 4 shows the top expenditure items by domestic overnight travellers for the June quarter 2025.&#10;In the June quarter 2025, domestic overnight travellers spent:&#10;• $6.8 billion on accommodation&#10;• $3.9 billion on domestic airfares&#10;• $3.9 billion on takeaway and restaurant meals&#10;• $2.8 billion on petrol&#10;• $1.5 billion on shopping, gifts or souvenirs and&#10;• $1.4 billion on groceries for self-catering&#10;">
                    <a:extLst xmlns:a="http://schemas.openxmlformats.org/drawingml/2006/main">
                      <a:ext uri="{FF2B5EF4-FFF2-40B4-BE49-F238E27FC236}">
                        <a16:creationId xmlns:a16="http://schemas.microsoft.com/office/drawing/2014/main" id="{7E9CCD0C-FAFD-B2C0-500E-9E2221C0D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75B3F769" w14:textId="77777777" w:rsidR="004B3960" w:rsidRDefault="004B3960" w:rsidP="004B3960">
      <w:pPr>
        <w:pStyle w:val="Heading2"/>
        <w:spacing w:before="0" w:after="120"/>
      </w:pPr>
      <w:r w:rsidRPr="00121691">
        <w:lastRenderedPageBreak/>
        <w:t>States and territories</w:t>
      </w:r>
      <w:r>
        <w:t>*</w:t>
      </w:r>
    </w:p>
    <w:p w14:paraId="47D591C4" w14:textId="7DE19C46" w:rsidR="004B3960" w:rsidRDefault="004B3960" w:rsidP="004B3960">
      <w:r>
        <w:t>Results for overnight trips remained stable for most states and territories in the year ending June 2025 when compared with the year ending June 2024, except for the Northern Territory which saw an increase of 163,000 trips or 21%. Increases</w:t>
      </w:r>
      <w:r w:rsidRPr="00AC711C">
        <w:t xml:space="preserve"> </w:t>
      </w:r>
      <w:r>
        <w:t>were also seen in trips in Western Australia (up 156,000 or 2%) and Tasmania (up 31,000 or 1%). Trips in New South Wales, Victoria and South Australia was on par with the year ending June 2024. Queensland and the Australian Capital Territory saw a slight decrease in trips, down 200,000 or 1% and 17,000 or 1% respectively.</w:t>
      </w:r>
    </w:p>
    <w:p w14:paraId="02688536" w14:textId="53353731" w:rsidR="004B3960" w:rsidRDefault="004B3960" w:rsidP="004B3960">
      <w:r>
        <w:t>Overnight spend results were mixed.</w:t>
      </w:r>
      <w:r w:rsidRPr="00AC711C">
        <w:t xml:space="preserve"> </w:t>
      </w:r>
      <w:r>
        <w:t>Increases were seen in New South Wales (up $1.3 billion or 4%) and the Northern Territory (up $186 million or 15%). Decreases were seen in Western Australia (down $1.4 billion or 11%), South Australia (down $293 million or 4%) and Tasmania (down $108 million or 3%). Results for Victoria, Queensland and the Australian Capital Territory was on par with the year ending June 2024.</w:t>
      </w:r>
    </w:p>
    <w:p w14:paraId="7ECB1D10" w14:textId="77777777" w:rsidR="004B3960" w:rsidRDefault="004B3960" w:rsidP="004B3960">
      <w:pPr>
        <w:rPr>
          <w:noProof/>
        </w:rPr>
      </w:pPr>
      <w:r w:rsidRPr="00121691">
        <w:rPr>
          <w:b/>
          <w:bCs/>
        </w:rPr>
        <w:t xml:space="preserve">Figure </w:t>
      </w:r>
      <w:r>
        <w:rPr>
          <w:b/>
          <w:bCs/>
        </w:rPr>
        <w:t>5</w:t>
      </w:r>
      <w:r w:rsidRPr="00121691">
        <w:rPr>
          <w:b/>
          <w:bCs/>
        </w:rPr>
        <w:t xml:space="preserve">. Overnight trips and spend by state and territory, </w:t>
      </w:r>
      <w:r>
        <w:rPr>
          <w:b/>
          <w:bCs/>
        </w:rPr>
        <w:t>year ending June 2025 compared with year ending June 2024</w:t>
      </w:r>
      <w:r w:rsidRPr="00121691">
        <w:rPr>
          <w:noProof/>
        </w:rPr>
        <w:t xml:space="preserve"> </w:t>
      </w:r>
    </w:p>
    <w:p w14:paraId="5126F4B6" w14:textId="77777777" w:rsidR="004B3960" w:rsidRDefault="004B3960" w:rsidP="004B3960">
      <w:pPr>
        <w:rPr>
          <w:noProof/>
        </w:rPr>
      </w:pPr>
      <w:r>
        <w:rPr>
          <w:noProof/>
        </w:rPr>
        <w:drawing>
          <wp:inline distT="0" distB="0" distL="0" distR="0" wp14:anchorId="5E1E36B4" wp14:editId="6FDE359B">
            <wp:extent cx="6281855" cy="3133725"/>
            <wp:effectExtent l="0" t="0" r="5080" b="0"/>
            <wp:docPr id="656673332" name="Picture 1" descr="Figure 5 depicts an image of Australia that illustrates the number of trips and spend in the year ending June 2025 in each state and territory, and the change compared with the year ending June 2024.&#10;• New South Wales – 39.2 million trips and $32.0 billion spend, on par and up by 4% respectively&#10;• Victoria – 31.3 million trips and $23.9 billion spend, both on par&#10;• Queensland – 25.8 million trips and $28.0 billion spend, down by 1% and on par respectively&#10;• South Australia – 7.8 million trips and $6.5 billion spend, on par and down by 4% respectively&#10;• Western Australia – 9.8 million trips and $11.2 billion spend, up by 2% and down by 11% respectively&#10;• Tasmania – 3.0 million trips and $3.2 billion spend, up by 1% and down by 3% respectively&#10;• Northern Territory – 0.9 million trips and $1.4 billion spend, up by 21% and 15% respectively&#10;• Australian Capital Territory – 2.2 million trips and $2.2 billion spend, down by 1% and on par respective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53068" name="Picture 1" descr="Figure 5 depicts an image of Australia that illustrates the number of trips and spend in the year ending June 2025 in each state and territory, and the change compared with the year ending June 2024.&#10;• New South Wales – 39.2 million trips and $32.0 billion spend, on par and up by 4% respectively&#10;• Victoria – 31.3 million trips and $23.9 billion spend, both on par&#10;• Queensland – 25.8 million trips and $28.0 billion spend, down by 1% and on par respectively&#10;• South Australia – 7.8 million trips and $6.5 billion spend, on par and down by 4% respectively&#10;• Western Australia – 9.8 million trips and $11.2 billion spend, up by 2% and down by 11% respectively&#10;• Tasmania – 3.0 million trips and $3.2 billion spend, up by 1% and down by 3% respectively&#10;• Northern Territory – 0.9 million trips and $1.4 billion spend, up by 21% and 15% respectively&#10;• Australian Capital Territory – 2.2 million trips and $2.2 billion spend, down by 1% and on par respectively.&#10;"/>
                    <pic:cNvPicPr/>
                  </pic:nvPicPr>
                  <pic:blipFill>
                    <a:blip r:embed="rId31"/>
                    <a:stretch>
                      <a:fillRect/>
                    </a:stretch>
                  </pic:blipFill>
                  <pic:spPr>
                    <a:xfrm>
                      <a:off x="0" y="0"/>
                      <a:ext cx="6292222" cy="3138896"/>
                    </a:xfrm>
                    <a:prstGeom prst="rect">
                      <a:avLst/>
                    </a:prstGeom>
                  </pic:spPr>
                </pic:pic>
              </a:graphicData>
            </a:graphic>
          </wp:inline>
        </w:drawing>
      </w:r>
    </w:p>
    <w:p w14:paraId="74321300" w14:textId="77777777" w:rsidR="004B3960" w:rsidRPr="004B3960" w:rsidRDefault="004B3960" w:rsidP="004B3960">
      <w:pPr>
        <w:rPr>
          <w:i/>
          <w:iCs/>
          <w:sz w:val="16"/>
          <w:szCs w:val="16"/>
        </w:rPr>
      </w:pPr>
      <w:r w:rsidRPr="004B3960">
        <w:rPr>
          <w:sz w:val="16"/>
          <w:szCs w:val="16"/>
        </w:rPr>
        <w:t>*</w:t>
      </w:r>
      <w:r w:rsidRPr="004B3960">
        <w:rPr>
          <w:i/>
          <w:iCs/>
          <w:sz w:val="16"/>
          <w:szCs w:val="16"/>
        </w:rPr>
        <w:t xml:space="preserve">Results prior to 2025 are </w:t>
      </w:r>
      <w:proofErr w:type="spellStart"/>
      <w:r w:rsidRPr="004B3960">
        <w:rPr>
          <w:i/>
          <w:iCs/>
          <w:sz w:val="16"/>
          <w:szCs w:val="16"/>
        </w:rPr>
        <w:t>backcast</w:t>
      </w:r>
      <w:proofErr w:type="spellEnd"/>
      <w:r w:rsidRPr="004B3960">
        <w:rPr>
          <w:i/>
          <w:iCs/>
          <w:sz w:val="16"/>
          <w:szCs w:val="16"/>
        </w:rPr>
        <w:t xml:space="preserve"> and adjusted to account for differences in methodology between the National Visitor Survey (NVS) and the new Domestic Tourism Statistics which came into effect January 2025. Due to data limitations and the complexity of measuring the differences in spend caused by the methodology changes, TRA recommends exercising caution when interpreting comparisons incorporating the use of </w:t>
      </w:r>
      <w:proofErr w:type="spellStart"/>
      <w:r w:rsidRPr="004B3960">
        <w:rPr>
          <w:i/>
          <w:iCs/>
          <w:sz w:val="16"/>
          <w:szCs w:val="16"/>
        </w:rPr>
        <w:t>backcast</w:t>
      </w:r>
      <w:proofErr w:type="spellEnd"/>
      <w:r w:rsidRPr="004B3960">
        <w:rPr>
          <w:i/>
          <w:iCs/>
          <w:sz w:val="16"/>
          <w:szCs w:val="16"/>
        </w:rPr>
        <w:t xml:space="preserve"> spend data. Greater caution should be used for less populated states and regions, as the statistical error is higher due to low sample numbers in the underlying survey data. </w:t>
      </w:r>
    </w:p>
    <w:p w14:paraId="3A0C2B55" w14:textId="77777777" w:rsidR="004B3960" w:rsidRPr="004B3960" w:rsidRDefault="004B3960" w:rsidP="004B3960">
      <w:pPr>
        <w:rPr>
          <w:sz w:val="16"/>
          <w:szCs w:val="16"/>
        </w:rPr>
      </w:pPr>
      <w:r w:rsidRPr="004B3960">
        <w:rPr>
          <w:sz w:val="16"/>
          <w:szCs w:val="16"/>
        </w:rPr>
        <w:t xml:space="preserve">For more information please visit: </w:t>
      </w:r>
      <w:hyperlink r:id="rId32" w:history="1">
        <w:r w:rsidRPr="004B3960">
          <w:rPr>
            <w:rStyle w:val="Hyperlink"/>
            <w:sz w:val="16"/>
            <w:szCs w:val="16"/>
          </w:rPr>
          <w:t>Changes to the Australian resident tourism statistics collection in 2025 | Tourism Research Australia</w:t>
        </w:r>
      </w:hyperlink>
    </w:p>
    <w:p w14:paraId="62F9518B" w14:textId="77777777" w:rsidR="004B3960" w:rsidRDefault="004B3960" w:rsidP="004B3960">
      <w:pPr>
        <w:rPr>
          <w:b/>
          <w:bCs/>
          <w:color w:val="1E988A" w:themeColor="background2"/>
          <w:sz w:val="26"/>
          <w:szCs w:val="26"/>
        </w:rPr>
      </w:pPr>
      <w:r w:rsidRPr="00D67609">
        <w:rPr>
          <w:b/>
          <w:bCs/>
          <w:color w:val="1E988A" w:themeColor="background2"/>
          <w:sz w:val="26"/>
          <w:szCs w:val="26"/>
        </w:rPr>
        <w:t>Daytrip</w:t>
      </w:r>
      <w:r>
        <w:rPr>
          <w:b/>
          <w:bCs/>
          <w:color w:val="1E988A" w:themeColor="background2"/>
          <w:sz w:val="26"/>
          <w:szCs w:val="26"/>
        </w:rPr>
        <w:t>s</w:t>
      </w:r>
    </w:p>
    <w:p w14:paraId="2B9AC535" w14:textId="77777777" w:rsidR="004B3960" w:rsidRDefault="004B3960" w:rsidP="004B3960">
      <w:r>
        <w:t xml:space="preserve">In the June quarter 2025, Australians took 69.0 million daytrips, spending $11.2 billion. </w:t>
      </w:r>
    </w:p>
    <w:p w14:paraId="6B8C5E7D" w14:textId="77777777" w:rsidR="004B3960" w:rsidRDefault="004B3960" w:rsidP="004B3960">
      <w:pPr>
        <w:spacing w:after="80"/>
      </w:pPr>
      <w:r>
        <w:t>Of these:</w:t>
      </w:r>
    </w:p>
    <w:p w14:paraId="0311D242" w14:textId="77777777" w:rsidR="004B3960" w:rsidRDefault="004B3960" w:rsidP="004B3960">
      <w:pPr>
        <w:pStyle w:val="ListParagraph"/>
        <w:numPr>
          <w:ilvl w:val="0"/>
          <w:numId w:val="33"/>
        </w:numPr>
        <w:rPr>
          <w:rFonts w:asciiTheme="majorHAnsi" w:hAnsiTheme="majorHAnsi"/>
        </w:rPr>
      </w:pPr>
      <w:r>
        <w:rPr>
          <w:rFonts w:asciiTheme="majorHAnsi" w:hAnsiTheme="majorHAnsi"/>
        </w:rPr>
        <w:t>34.7 million daytrips were for holidays</w:t>
      </w:r>
    </w:p>
    <w:p w14:paraId="5DBBD05E" w14:textId="77777777" w:rsidR="004B3960" w:rsidRDefault="004B3960" w:rsidP="004B3960">
      <w:pPr>
        <w:pStyle w:val="ListParagraph"/>
        <w:numPr>
          <w:ilvl w:val="0"/>
          <w:numId w:val="33"/>
        </w:numPr>
        <w:rPr>
          <w:rFonts w:asciiTheme="majorHAnsi" w:hAnsiTheme="majorHAnsi"/>
        </w:rPr>
      </w:pPr>
      <w:r>
        <w:rPr>
          <w:rFonts w:asciiTheme="majorHAnsi" w:hAnsiTheme="majorHAnsi"/>
        </w:rPr>
        <w:t>20.9 million daytrips were for visiting friends and relatives</w:t>
      </w:r>
    </w:p>
    <w:p w14:paraId="09358E4E" w14:textId="77777777" w:rsidR="004B3960" w:rsidRPr="000104E6" w:rsidRDefault="004B3960" w:rsidP="004B3960">
      <w:pPr>
        <w:pStyle w:val="ListParagraph"/>
        <w:numPr>
          <w:ilvl w:val="0"/>
          <w:numId w:val="33"/>
        </w:numPr>
        <w:spacing w:after="160"/>
        <w:ind w:left="714" w:hanging="357"/>
        <w:rPr>
          <w:rFonts w:asciiTheme="majorHAnsi" w:hAnsiTheme="majorHAnsi"/>
        </w:rPr>
      </w:pPr>
      <w:r>
        <w:rPr>
          <w:rFonts w:asciiTheme="majorHAnsi" w:hAnsiTheme="majorHAnsi"/>
        </w:rPr>
        <w:t>5.4 million daytrips were for business.</w:t>
      </w:r>
    </w:p>
    <w:p w14:paraId="49124CEF" w14:textId="279ECA54" w:rsidR="004B3960" w:rsidRPr="00656242" w:rsidRDefault="004B3960" w:rsidP="004B3960">
      <w:r>
        <w:t>In the year ending June 2025, Australians took 266.1 million daytrips, spending $41.2 billion.</w:t>
      </w:r>
    </w:p>
    <w:p w14:paraId="70B23C5E" w14:textId="7BFFD7B0" w:rsidR="00475122" w:rsidRPr="009D3C84" w:rsidRDefault="00A1413B" w:rsidP="00656242">
      <w:pPr>
        <w:pStyle w:val="Caption"/>
        <w:rPr>
          <w:sz w:val="12"/>
          <w:szCs w:val="12"/>
        </w:rPr>
      </w:pPr>
      <w:r w:rsidRPr="00121691">
        <w:rPr>
          <w:sz w:val="12"/>
          <w:szCs w:val="12"/>
        </w:rP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sectPr w:rsidR="00475122" w:rsidRPr="009D3C84" w:rsidSect="008617F3">
      <w:headerReference w:type="even" r:id="rId33"/>
      <w:headerReference w:type="default" r:id="rId34"/>
      <w:footerReference w:type="even" r:id="rId35"/>
      <w:footerReference w:type="default" r:id="rId36"/>
      <w:headerReference w:type="first" r:id="rId37"/>
      <w:footerReference w:type="first" r:id="rId38"/>
      <w:footnotePr>
        <w:numStart w:val="2"/>
      </w:footnotePr>
      <w:type w:val="continuous"/>
      <w:pgSz w:w="11906" w:h="16838" w:code="9"/>
      <w:pgMar w:top="1021" w:right="1134" w:bottom="1474" w:left="1134" w:header="45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DC66" w14:textId="77777777" w:rsidR="00CE2A7F" w:rsidRDefault="00CE2A7F" w:rsidP="00D52B20">
      <w:pPr>
        <w:spacing w:after="0" w:line="240" w:lineRule="auto"/>
      </w:pPr>
      <w:r>
        <w:separator/>
      </w:r>
    </w:p>
  </w:endnote>
  <w:endnote w:type="continuationSeparator" w:id="0">
    <w:p w14:paraId="49286FDE" w14:textId="77777777" w:rsidR="00CE2A7F" w:rsidRDefault="00CE2A7F"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33D9" w14:textId="35BFD4E2" w:rsidR="00561C8B" w:rsidRDefault="00561C8B">
    <w:pPr>
      <w:pStyle w:val="Footer"/>
    </w:pPr>
    <w:r>
      <w:rPr>
        <w:noProof/>
      </w:rPr>
      <mc:AlternateContent>
        <mc:Choice Requires="wps">
          <w:drawing>
            <wp:anchor distT="0" distB="0" distL="0" distR="0" simplePos="0" relativeHeight="251656192" behindDoc="0" locked="0" layoutInCell="1" allowOverlap="1" wp14:anchorId="1B56C2C3" wp14:editId="262A3EEE">
              <wp:simplePos x="635" y="635"/>
              <wp:positionH relativeFrom="page">
                <wp:align>center</wp:align>
              </wp:positionH>
              <wp:positionV relativeFrom="page">
                <wp:align>bottom</wp:align>
              </wp:positionV>
              <wp:extent cx="551815" cy="386080"/>
              <wp:effectExtent l="0" t="0" r="635" b="0"/>
              <wp:wrapNone/>
              <wp:docPr id="6809652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6C2C3" id="_x0000_t202" coordsize="21600,21600" o:spt="202" path="m,l,21600r21600,l21600,xe">
              <v:stroke joinstyle="miter"/>
              <v:path gradientshapeok="t" o:connecttype="rect"/>
            </v:shapetype>
            <v:shape id="Text Box 5" o:spid="_x0000_s1028" type="#_x0000_t202" alt="OFFICIAL" style="position:absolute;margin-left:0;margin-top:0;width:43.45pt;height:30.4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046986C3" w:rsidR="006B3279" w:rsidRPr="006B3279" w:rsidRDefault="00561C8B" w:rsidP="006B3279">
    <w:pPr>
      <w:pStyle w:val="Footer"/>
    </w:pPr>
    <w:r>
      <w:rPr>
        <w:noProof/>
      </w:rPr>
      <mc:AlternateContent>
        <mc:Choice Requires="wps">
          <w:drawing>
            <wp:anchor distT="0" distB="0" distL="0" distR="0" simplePos="0" relativeHeight="251657216" behindDoc="0" locked="0" layoutInCell="1" allowOverlap="1" wp14:anchorId="2A211720" wp14:editId="039B7A8A">
              <wp:simplePos x="635" y="635"/>
              <wp:positionH relativeFrom="page">
                <wp:align>center</wp:align>
              </wp:positionH>
              <wp:positionV relativeFrom="page">
                <wp:align>bottom</wp:align>
              </wp:positionV>
              <wp:extent cx="551815" cy="386080"/>
              <wp:effectExtent l="0" t="0" r="635" b="0"/>
              <wp:wrapNone/>
              <wp:docPr id="10190942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11720" id="_x0000_t202" coordsize="21600,21600" o:spt="202" path="m,l,21600r21600,l21600,xe">
              <v:stroke joinstyle="miter"/>
              <v:path gradientshapeok="t" o:connecttype="rect"/>
            </v:shapetype>
            <v:shape id="Text Box 6" o:spid="_x0000_s1029" type="#_x0000_t202" alt="OFFICIAL" style="position:absolute;margin-left:0;margin-top:0;width:43.45pt;height:30.4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8B54C7" w:rsidRPr="008B54C7">
      <w:rPr>
        <w:noProof/>
      </w:rPr>
      <w:t xml:space="preserve"> </w:t>
    </w:r>
    <w:r w:rsidR="008B54C7">
      <w:rPr>
        <w:noProof/>
      </w:rPr>
      <w:t>DOMESTIC TOURISM STATISTICS</w:t>
    </w:r>
    <w:r w:rsidR="008B54C7">
      <w:t xml:space="preserve"> RESULTS – March quarter 2025,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34B3A1FD" w:rsidR="00B7523B" w:rsidRPr="00B7523B" w:rsidRDefault="00561C8B" w:rsidP="00B7523B">
    <w:pPr>
      <w:pStyle w:val="Footer"/>
    </w:pPr>
    <w:r>
      <w:rPr>
        <w:noProof/>
      </w:rPr>
      <mc:AlternateContent>
        <mc:Choice Requires="wps">
          <w:drawing>
            <wp:anchor distT="0" distB="0" distL="0" distR="0" simplePos="0" relativeHeight="251655168" behindDoc="0" locked="0" layoutInCell="1" allowOverlap="1" wp14:anchorId="487A5041" wp14:editId="0A74D091">
              <wp:simplePos x="457200" y="9944100"/>
              <wp:positionH relativeFrom="page">
                <wp:align>center</wp:align>
              </wp:positionH>
              <wp:positionV relativeFrom="page">
                <wp:align>bottom</wp:align>
              </wp:positionV>
              <wp:extent cx="551815" cy="386080"/>
              <wp:effectExtent l="0" t="0" r="635" b="0"/>
              <wp:wrapNone/>
              <wp:docPr id="18038422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A5041" id="_x0000_t202" coordsize="21600,21600" o:spt="202" path="m,l,21600r21600,l21600,xe">
              <v:stroke joinstyle="miter"/>
              <v:path gradientshapeok="t" o:connecttype="rect"/>
            </v:shapetype>
            <v:shape id="Text Box 4" o:spid="_x0000_s1030" type="#_x0000_t202" alt="OFFICIAL" style="position:absolute;margin-left:0;margin-top:0;width:43.45pt;height:30.4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yjDwIAABwEAAAOAAAAZHJzL2Uyb0RvYy54bWysU01v2zAMvQ/YfxB0X2x3S5E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JvTjKMPAgAA&#10;HAQAAA4AAAAAAAAAAAAAAAAALgIAAGRycy9lMm9Eb2MueG1sUEsBAi0AFAAGAAgAAAAhABuOlOHb&#10;AAAAAwEAAA8AAAAAAAAAAAAAAAAAaQQAAGRycy9kb3ducmV2LnhtbFBLBQYAAAAABAAEAPMAAABx&#10;BQAAAAA=&#10;" filled="f" stroked="f">
              <v:textbox style="mso-fit-shape-to-text:t" inset="0,0,0,15pt">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8B54C7">
      <w:rPr>
        <w:noProof/>
      </w:rPr>
      <w:t>DOMESTIC TOURISM STATISTICS</w:t>
    </w:r>
    <w:r w:rsidR="00BC216F">
      <w:t xml:space="preserve"> RESULTS</w:t>
    </w:r>
    <w:r w:rsidR="00750D77">
      <w:t xml:space="preserve"> – </w:t>
    </w:r>
    <w:r w:rsidR="005F1439">
      <w:t>June</w:t>
    </w:r>
    <w:r w:rsidR="008E7477">
      <w:t xml:space="preserve"> quarter 202</w:t>
    </w:r>
    <w:r w:rsidR="00FE0318">
      <w:t>5</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0257" w14:textId="77777777" w:rsidR="00434C64" w:rsidRDefault="00434C64">
    <w:pPr>
      <w:pStyle w:val="Footer"/>
    </w:pPr>
    <w:r>
      <w:rPr>
        <w:noProof/>
      </w:rPr>
      <mc:AlternateContent>
        <mc:Choice Requires="wps">
          <w:drawing>
            <wp:anchor distT="0" distB="0" distL="0" distR="0" simplePos="0" relativeHeight="251661312" behindDoc="0" locked="0" layoutInCell="1" allowOverlap="1" wp14:anchorId="60A5E09F" wp14:editId="56A72341">
              <wp:simplePos x="635" y="635"/>
              <wp:positionH relativeFrom="page">
                <wp:align>center</wp:align>
              </wp:positionH>
              <wp:positionV relativeFrom="page">
                <wp:align>bottom</wp:align>
              </wp:positionV>
              <wp:extent cx="551815" cy="386080"/>
              <wp:effectExtent l="0" t="0" r="635" b="0"/>
              <wp:wrapNone/>
              <wp:docPr id="7814809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17EC3EDA"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A5E09F" id="_x0000_t202" coordsize="21600,21600" o:spt="202" path="m,l,21600r21600,l21600,xe">
              <v:stroke joinstyle="miter"/>
              <v:path gradientshapeok="t" o:connecttype="rect"/>
            </v:shapetype>
            <v:shape id="_x0000_s1033" type="#_x0000_t202" alt="OFFICIAL" style="position:absolute;margin-left:0;margin-top:0;width:43.45pt;height:30.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vlDwIAABwEAAAOAAAAZHJzL2Uyb0RvYy54bWysU01v2zAMvQ/YfxB0X2x3SJc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CwSW+UPAgAA&#10;HAQAAA4AAAAAAAAAAAAAAAAALgIAAGRycy9lMm9Eb2MueG1sUEsBAi0AFAAGAAgAAAAhABuOlOHb&#10;AAAAAwEAAA8AAAAAAAAAAAAAAAAAaQQAAGRycy9kb3ducmV2LnhtbFBLBQYAAAAABAAEAPMAAABx&#10;BQAAAAA=&#10;" filled="f" stroked="f">
              <v:textbox style="mso-fit-shape-to-text:t" inset="0,0,0,15pt">
                <w:txbxContent>
                  <w:p w14:paraId="17EC3EDA"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7730" w14:textId="6A5A2F97" w:rsidR="00434C64" w:rsidRPr="006B3279" w:rsidRDefault="00434C64" w:rsidP="006B3279">
    <w:pPr>
      <w:pStyle w:val="Footer"/>
    </w:pPr>
    <w:r>
      <w:rPr>
        <w:noProof/>
      </w:rPr>
      <mc:AlternateContent>
        <mc:Choice Requires="wps">
          <w:drawing>
            <wp:anchor distT="0" distB="0" distL="0" distR="0" simplePos="0" relativeHeight="251662336" behindDoc="0" locked="0" layoutInCell="1" allowOverlap="1" wp14:anchorId="01028111" wp14:editId="581E2C89">
              <wp:simplePos x="635" y="635"/>
              <wp:positionH relativeFrom="page">
                <wp:align>center</wp:align>
              </wp:positionH>
              <wp:positionV relativeFrom="page">
                <wp:align>bottom</wp:align>
              </wp:positionV>
              <wp:extent cx="551815" cy="386080"/>
              <wp:effectExtent l="0" t="0" r="635" b="0"/>
              <wp:wrapNone/>
              <wp:docPr id="10712868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500593D"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28111" id="_x0000_t202" coordsize="21600,21600" o:spt="202" path="m,l,21600r21600,l21600,xe">
              <v:stroke joinstyle="miter"/>
              <v:path gradientshapeok="t" o:connecttype="rect"/>
            </v:shapetype>
            <v:shape id="_x0000_s1034" type="#_x0000_t202" alt="OFFICIAL" style="position:absolute;margin-left:0;margin-top:0;width:43.45pt;height:30.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6Jj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FZ+N02+hPtJSCCe+vZOrllqvhQ/PAolg2oNE&#10;G57o0Ab6isPZ4qwB/Pk3f8wn3CnKWU+CqbglRXNmvlviI2prNHA0tskovuTTnOJ2390DybCgF+Fk&#10;MsmLwYymRuheSc7L2IhCwkpqV/HtaN6Hk3LpOUi1XKYkkpETYW03TsbSEa6I5cvwKtCdAQ/E1COM&#10;ahLlO9xPufGmd8t9IPQTKRHaE5BnxEmCiavzc4kaf/ufsq6PevEL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BtOiYw4CAAAc&#10;BAAADgAAAAAAAAAAAAAAAAAuAgAAZHJzL2Uyb0RvYy54bWxQSwECLQAUAAYACAAAACEAG46U4dsA&#10;AAADAQAADwAAAAAAAAAAAAAAAABoBAAAZHJzL2Rvd25yZXYueG1sUEsFBgAAAAAEAAQA8wAAAHAF&#10;AAAAAA==&#10;" filled="f" stroked="f">
              <v:textbox style="mso-fit-shape-to-text:t" inset="0,0,0,15pt">
                <w:txbxContent>
                  <w:p w14:paraId="6500593D"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Pr="008B54C7">
      <w:rPr>
        <w:noProof/>
      </w:rPr>
      <w:t xml:space="preserve"> </w:t>
    </w:r>
    <w:r>
      <w:rPr>
        <w:noProof/>
      </w:rPr>
      <w:t>DOMESTIC TOURISM STATISTICS</w:t>
    </w:r>
    <w:r>
      <w:t xml:space="preserve"> RESULTS – </w:t>
    </w:r>
    <w:r w:rsidR="005F1439">
      <w:t>June</w:t>
    </w:r>
    <w:r>
      <w:t xml:space="preserve"> quarter 2025, Tourism Research Australia </w:t>
    </w:r>
    <w:r>
      <w:ptab w:relativeTo="margin" w:alignment="right" w:leader="none"/>
    </w:r>
    <w:r w:rsidRPr="006B3279">
      <w:fldChar w:fldCharType="begin"/>
    </w:r>
    <w:r w:rsidRPr="006B3279">
      <w:instrText xml:space="preserve"> PAGE   \* MERGEFORMAT </w:instrText>
    </w:r>
    <w:r w:rsidRPr="006B3279">
      <w:fldChar w:fldCharType="separate"/>
    </w:r>
    <w:r>
      <w:rPr>
        <w:noProof/>
      </w:rPr>
      <w:t>2</w:t>
    </w:r>
    <w:r w:rsidRPr="006B327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5CC2" w14:textId="20E0950A" w:rsidR="00434C64" w:rsidRPr="00B7523B" w:rsidRDefault="00434C64" w:rsidP="00B7523B">
    <w:pPr>
      <w:pStyle w:val="Footer"/>
    </w:pPr>
    <w:r>
      <w:rPr>
        <w:noProof/>
      </w:rPr>
      <mc:AlternateContent>
        <mc:Choice Requires="wps">
          <w:drawing>
            <wp:anchor distT="0" distB="0" distL="0" distR="0" simplePos="0" relativeHeight="251659264" behindDoc="0" locked="0" layoutInCell="1" allowOverlap="1" wp14:anchorId="2C8BD63A" wp14:editId="0BA6283E">
              <wp:simplePos x="457200" y="9944100"/>
              <wp:positionH relativeFrom="page">
                <wp:align>center</wp:align>
              </wp:positionH>
              <wp:positionV relativeFrom="page">
                <wp:align>bottom</wp:align>
              </wp:positionV>
              <wp:extent cx="551815" cy="386080"/>
              <wp:effectExtent l="0" t="0" r="635" b="0"/>
              <wp:wrapNone/>
              <wp:docPr id="2224931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C1476CC"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BD63A" id="_x0000_t202" coordsize="21600,21600" o:spt="202" path="m,l,21600r21600,l21600,xe">
              <v:stroke joinstyle="miter"/>
              <v:path gradientshapeok="t" o:connecttype="rect"/>
            </v:shapetype>
            <v:shape id="_x0000_s1035" type="#_x0000_t202" alt="OFFICIAL" style="position:absolute;margin-left:0;margin-top:0;width:43.45pt;height:30.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BeDw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2e3+SzBml0vO/Thq4KORaPiSKwksMRh&#10;7QM1pNQxJfaysGqNScwY+5uDEqMnu04YrTBsB9bWFb8bp99CfaSlEE58eydXLbVeCx9eBBLBtAeJ&#10;NjzToQ30FYezxVkD+ONv/phPuFOUs54EU3FLiubMfLPER9TWaOBobJNR3OXTnOJ23z0AybCgF+Fk&#10;MsmLwYymRujeSM7L2IhCwkpqV/HtaD6Ek3LpOUi1XKYkkpETYW03TsbSEa6I5evwJtCdAQ/E1BOM&#10;ahLlO9xPufGmd8t9IPQTKRHaE5BnxEmCiavzc4ka//U/ZV0f9eIn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GtsEF4PAgAA&#10;HAQAAA4AAAAAAAAAAAAAAAAALgIAAGRycy9lMm9Eb2MueG1sUEsBAi0AFAAGAAgAAAAhABuOlOHb&#10;AAAAAwEAAA8AAAAAAAAAAAAAAAAAaQQAAGRycy9kb3ducmV2LnhtbFBLBQYAAAAABAAEAPMAAABx&#10;BQAAAAA=&#10;" filled="f" stroked="f">
              <v:textbox style="mso-fit-shape-to-text:t" inset="0,0,0,15pt">
                <w:txbxContent>
                  <w:p w14:paraId="5C1476CC"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Pr>
        <w:noProof/>
      </w:rPr>
      <w:t>DOMESTIC TOURISM STATISTICS</w:t>
    </w:r>
    <w:r>
      <w:t xml:space="preserve"> RESULTS – </w:t>
    </w:r>
    <w:r w:rsidR="005F1439">
      <w:t>June</w:t>
    </w:r>
    <w:r>
      <w:t xml:space="preserve"> quarter 2025, Tourism Research Australia</w:t>
    </w:r>
    <w:r>
      <w:tab/>
    </w:r>
    <w:r>
      <w:ptab w:relativeTo="margin" w:alignment="right" w:leader="none"/>
    </w:r>
    <w:r w:rsidRPr="006B3279">
      <w:fldChar w:fldCharType="begin"/>
    </w:r>
    <w:r w:rsidRPr="006B3279">
      <w:instrText xml:space="preserve"> PAGE   \* MERGEFORMAT </w:instrText>
    </w:r>
    <w:r w:rsidRPr="006B3279">
      <w:fldChar w:fldCharType="separate"/>
    </w:r>
    <w:r>
      <w:rPr>
        <w:noProof/>
      </w:rPr>
      <w:t>1</w:t>
    </w:r>
    <w:r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02DF" w14:textId="77777777" w:rsidR="00CE2A7F" w:rsidRDefault="00CE2A7F" w:rsidP="00D52B20">
      <w:pPr>
        <w:spacing w:after="0" w:line="240" w:lineRule="auto"/>
      </w:pPr>
    </w:p>
  </w:footnote>
  <w:footnote w:type="continuationSeparator" w:id="0">
    <w:p w14:paraId="69E6F055" w14:textId="77777777" w:rsidR="00CE2A7F" w:rsidRDefault="00CE2A7F"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A9C2" w14:textId="5B84EEA6" w:rsidR="00561C8B" w:rsidRDefault="00561C8B">
    <w:pPr>
      <w:pStyle w:val="Header"/>
    </w:pPr>
    <w:r>
      <w:rPr>
        <w:noProof/>
      </w:rPr>
      <mc:AlternateContent>
        <mc:Choice Requires="wps">
          <w:drawing>
            <wp:anchor distT="0" distB="0" distL="0" distR="0" simplePos="0" relativeHeight="251653120" behindDoc="0" locked="0" layoutInCell="1" allowOverlap="1" wp14:anchorId="15C4353E" wp14:editId="79B61DA1">
              <wp:simplePos x="635" y="635"/>
              <wp:positionH relativeFrom="page">
                <wp:align>center</wp:align>
              </wp:positionH>
              <wp:positionV relativeFrom="page">
                <wp:align>top</wp:align>
              </wp:positionV>
              <wp:extent cx="551815" cy="386080"/>
              <wp:effectExtent l="0" t="0" r="635" b="13970"/>
              <wp:wrapNone/>
              <wp:docPr id="626561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4353E" id="_x0000_t202" coordsize="21600,21600" o:spt="202" path="m,l,21600r21600,l21600,xe">
              <v:stroke joinstyle="miter"/>
              <v:path gradientshapeok="t" o:connecttype="rect"/>
            </v:shapetype>
            <v:shape id="Text Box 2" o:spid="_x0000_s1026" type="#_x0000_t202" alt="OFFICIAL" style="position:absolute;margin-left:0;margin-top:0;width:43.45pt;height:30.4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20A17EDC" w:rsidR="006B3279" w:rsidRDefault="00561C8B">
    <w:pPr>
      <w:pStyle w:val="Header"/>
    </w:pPr>
    <w:r>
      <w:rPr>
        <w:noProof/>
        <w:lang w:eastAsia="en-AU"/>
      </w:rPr>
      <mc:AlternateContent>
        <mc:Choice Requires="wps">
          <w:drawing>
            <wp:anchor distT="0" distB="0" distL="0" distR="0" simplePos="0" relativeHeight="251654144" behindDoc="0" locked="0" layoutInCell="1" allowOverlap="1" wp14:anchorId="6E8C8B3F" wp14:editId="2F017897">
              <wp:simplePos x="635" y="635"/>
              <wp:positionH relativeFrom="page">
                <wp:align>center</wp:align>
              </wp:positionH>
              <wp:positionV relativeFrom="page">
                <wp:align>top</wp:align>
              </wp:positionV>
              <wp:extent cx="551815" cy="386080"/>
              <wp:effectExtent l="0" t="0" r="635" b="13970"/>
              <wp:wrapNone/>
              <wp:docPr id="4245785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C8B3F" id="_x0000_t202" coordsize="21600,21600" o:spt="202" path="m,l,21600r21600,l21600,xe">
              <v:stroke joinstyle="miter"/>
              <v:path gradientshapeok="t" o:connecttype="rect"/>
            </v:shapetype>
            <v:shape id="Text Box 3" o:spid="_x0000_s1027" type="#_x0000_t202" alt="OFFICIAL" style="position:absolute;margin-left:0;margin-top:0;width:43.45pt;height:30.4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1072" behindDoc="1" locked="1" layoutInCell="1" allowOverlap="1" wp14:anchorId="5C822561" wp14:editId="5009C840">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9C9C1" id="Rectangle 2" o:spid="_x0000_s1026" alt="&quot;&quot;"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1CC9" w14:textId="677DBEB3" w:rsidR="002F6F94" w:rsidRDefault="002F6F94">
    <w:pPr>
      <w:pStyle w:val="Header"/>
    </w:pPr>
    <w:r>
      <w:rPr>
        <w:noProof/>
        <w:lang w:eastAsia="en-AU"/>
      </w:rPr>
      <mc:AlternateContent>
        <mc:Choice Requires="wps">
          <w:drawing>
            <wp:anchor distT="0" distB="0" distL="114300" distR="114300" simplePos="0" relativeHeight="251652096" behindDoc="1" locked="1" layoutInCell="1" allowOverlap="1" wp14:anchorId="10E81AF6" wp14:editId="498FF8E2">
              <wp:simplePos x="0" y="0"/>
              <wp:positionH relativeFrom="margin">
                <wp:align>center</wp:align>
              </wp:positionH>
              <wp:positionV relativeFrom="topMargin">
                <wp:align>bottom</wp:align>
              </wp:positionV>
              <wp:extent cx="6983730" cy="215900"/>
              <wp:effectExtent l="0" t="0" r="7620" b="0"/>
              <wp:wrapNone/>
              <wp:docPr id="1259136355" name="Rectangle 12591363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01088" id="Rectangle 1259136355" o:spid="_x0000_s1026" alt="&quot;&quot;" style="position:absolute;margin-left:0;margin-top:0;width:549.9pt;height:17pt;z-index:-251655168;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9429" w14:textId="77777777" w:rsidR="00434C64" w:rsidRDefault="00434C64">
    <w:pPr>
      <w:pStyle w:val="Header"/>
    </w:pPr>
    <w:r>
      <w:rPr>
        <w:noProof/>
      </w:rPr>
      <mc:AlternateContent>
        <mc:Choice Requires="wps">
          <w:drawing>
            <wp:anchor distT="0" distB="0" distL="0" distR="0" simplePos="0" relativeHeight="251660288" behindDoc="0" locked="0" layoutInCell="1" allowOverlap="1" wp14:anchorId="14E9AAD6" wp14:editId="634B9A53">
              <wp:simplePos x="635" y="635"/>
              <wp:positionH relativeFrom="page">
                <wp:align>center</wp:align>
              </wp:positionH>
              <wp:positionV relativeFrom="page">
                <wp:align>top</wp:align>
              </wp:positionV>
              <wp:extent cx="551815" cy="386080"/>
              <wp:effectExtent l="0" t="0" r="635" b="13970"/>
              <wp:wrapNone/>
              <wp:docPr id="6872475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F1C2606"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9AAD6" id="_x0000_t202" coordsize="21600,21600" o:spt="202" path="m,l,21600r21600,l21600,xe">
              <v:stroke joinstyle="miter"/>
              <v:path gradientshapeok="t" o:connecttype="rect"/>
            </v:shapetype>
            <v:shape id="_x0000_s1031" type="#_x0000_t202" alt="OFFICIAL" style="position:absolute;margin-left:0;margin-top:0;width:43.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8qDQ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" filled="f" stroked="f">
              <v:textbox style="mso-fit-shape-to-text:t" inset="0,15pt,0,0">
                <w:txbxContent>
                  <w:p w14:paraId="5F1C2606"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89F6" w14:textId="77777777" w:rsidR="00434C64" w:rsidRDefault="00434C64">
    <w:pPr>
      <w:pStyle w:val="Header"/>
    </w:pPr>
    <w:r>
      <w:rPr>
        <w:noProof/>
        <w:lang w:eastAsia="en-AU"/>
      </w:rPr>
      <mc:AlternateContent>
        <mc:Choice Requires="wps">
          <w:drawing>
            <wp:anchor distT="0" distB="0" distL="0" distR="0" simplePos="0" relativeHeight="251664384" behindDoc="0" locked="0" layoutInCell="1" allowOverlap="1" wp14:anchorId="719BC282" wp14:editId="7F81E8FD">
              <wp:simplePos x="635" y="635"/>
              <wp:positionH relativeFrom="page">
                <wp:align>center</wp:align>
              </wp:positionH>
              <wp:positionV relativeFrom="page">
                <wp:align>top</wp:align>
              </wp:positionV>
              <wp:extent cx="551815" cy="386080"/>
              <wp:effectExtent l="0" t="0" r="635" b="13970"/>
              <wp:wrapNone/>
              <wp:docPr id="2658529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66C4009"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BC282" id="_x0000_t202" coordsize="21600,21600" o:spt="202" path="m,l,21600r21600,l21600,xe">
              <v:stroke joinstyle="miter"/>
              <v:path gradientshapeok="t" o:connecttype="rect"/>
            </v:shapetype>
            <v:shape id="_x0000_s1032"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" filled="f" stroked="f">
              <v:textbox style="mso-fit-shape-to-text:t" inset="0,15pt,0,0">
                <w:txbxContent>
                  <w:p w14:paraId="666C4009"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63360" behindDoc="1" locked="1" layoutInCell="1" allowOverlap="1" wp14:anchorId="35D4242D" wp14:editId="267CAC57">
              <wp:simplePos x="368490" y="218364"/>
              <wp:positionH relativeFrom="column">
                <wp:align>center</wp:align>
              </wp:positionH>
              <wp:positionV relativeFrom="page">
                <wp:posOffset>288290</wp:posOffset>
              </wp:positionV>
              <wp:extent cx="6984000" cy="216000"/>
              <wp:effectExtent l="0" t="0" r="7620" b="0"/>
              <wp:wrapNone/>
              <wp:docPr id="1559214890" name="Rectangle 15592148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E0CE" id="Rectangle 1559214890" o:spid="_x0000_s1026" alt="&quot;&quot;" style="position:absolute;margin-left:0;margin-top:22.7pt;width:549.9pt;height:17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68ED" w14:textId="77777777" w:rsidR="00434C64" w:rsidRDefault="00434C64">
    <w:pPr>
      <w:pStyle w:val="Header"/>
    </w:pPr>
    <w:r>
      <w:rPr>
        <w:noProof/>
        <w:lang w:eastAsia="en-AU"/>
      </w:rPr>
      <mc:AlternateContent>
        <mc:Choice Requires="wps">
          <w:drawing>
            <wp:anchor distT="0" distB="0" distL="114300" distR="114300" simplePos="0" relativeHeight="251658240" behindDoc="1" locked="1" layoutInCell="1" allowOverlap="1" wp14:anchorId="43B57A10" wp14:editId="2418878A">
              <wp:simplePos x="0" y="0"/>
              <wp:positionH relativeFrom="margin">
                <wp:align>center</wp:align>
              </wp:positionH>
              <wp:positionV relativeFrom="topMargin">
                <wp:align>bottom</wp:align>
              </wp:positionV>
              <wp:extent cx="6983730" cy="215900"/>
              <wp:effectExtent l="0" t="0" r="7620" b="0"/>
              <wp:wrapNone/>
              <wp:docPr id="45192524" name="Rectangle 451925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E8144" id="Rectangle 45192524" o:spid="_x0000_s1026" alt="&quot;&quot;" style="position:absolute;margin-left:0;margin-top:0;width:549.9pt;height:17pt;z-index:-251646976;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E42B03"/>
    <w:multiLevelType w:val="hybridMultilevel"/>
    <w:tmpl w:val="75A4A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1722F"/>
    <w:multiLevelType w:val="hybridMultilevel"/>
    <w:tmpl w:val="A2B0C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13275"/>
    <w:multiLevelType w:val="hybridMultilevel"/>
    <w:tmpl w:val="BEAE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9F2587"/>
    <w:multiLevelType w:val="hybridMultilevel"/>
    <w:tmpl w:val="A6CA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1C6898"/>
    <w:multiLevelType w:val="hybridMultilevel"/>
    <w:tmpl w:val="9E4E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827144"/>
    <w:multiLevelType w:val="hybridMultilevel"/>
    <w:tmpl w:val="3940D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1D083E"/>
    <w:multiLevelType w:val="hybridMultilevel"/>
    <w:tmpl w:val="D870C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8508CD"/>
    <w:multiLevelType w:val="hybridMultilevel"/>
    <w:tmpl w:val="76A06530"/>
    <w:lvl w:ilvl="0" w:tplc="E94EF51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02780A"/>
    <w:multiLevelType w:val="hybridMultilevel"/>
    <w:tmpl w:val="D65AE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2B1AC2"/>
    <w:multiLevelType w:val="hybridMultilevel"/>
    <w:tmpl w:val="69A2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63A5018"/>
    <w:multiLevelType w:val="hybridMultilevel"/>
    <w:tmpl w:val="EF2E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5D225E"/>
    <w:multiLevelType w:val="hybridMultilevel"/>
    <w:tmpl w:val="4CA25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3439A9"/>
    <w:multiLevelType w:val="hybridMultilevel"/>
    <w:tmpl w:val="86422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1B63A0"/>
    <w:multiLevelType w:val="hybridMultilevel"/>
    <w:tmpl w:val="7E505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2A2434"/>
    <w:multiLevelType w:val="hybridMultilevel"/>
    <w:tmpl w:val="DC6241E0"/>
    <w:lvl w:ilvl="0" w:tplc="81728ACA">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5146D9"/>
    <w:multiLevelType w:val="hybridMultilevel"/>
    <w:tmpl w:val="82F22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AB57B8"/>
    <w:multiLevelType w:val="hybridMultilevel"/>
    <w:tmpl w:val="E7983E1C"/>
    <w:lvl w:ilvl="0" w:tplc="1DCA1D1A">
      <w:start w:val="1"/>
      <w:numFmt w:val="bullet"/>
      <w:lvlText w:val=""/>
      <w:lvlJc w:val="left"/>
      <w:pPr>
        <w:ind w:left="720" w:hanging="360"/>
      </w:pPr>
      <w:rPr>
        <w:rFonts w:ascii="Symbol" w:eastAsiaTheme="minorEastAsia" w:hAnsi="Symbol" w:cstheme="minorBidi" w:hint="default"/>
        <w:b w:val="0"/>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7C1CE7"/>
    <w:multiLevelType w:val="hybridMultilevel"/>
    <w:tmpl w:val="93467C44"/>
    <w:lvl w:ilvl="0" w:tplc="9D08D540">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C2757A"/>
    <w:multiLevelType w:val="hybridMultilevel"/>
    <w:tmpl w:val="5686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471F0D"/>
    <w:multiLevelType w:val="hybridMultilevel"/>
    <w:tmpl w:val="F2068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796D97"/>
    <w:multiLevelType w:val="hybridMultilevel"/>
    <w:tmpl w:val="FDB48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824897"/>
    <w:multiLevelType w:val="hybridMultilevel"/>
    <w:tmpl w:val="0834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3947521">
    <w:abstractNumId w:val="0"/>
  </w:num>
  <w:num w:numId="2" w16cid:durableId="1417286819">
    <w:abstractNumId w:val="17"/>
  </w:num>
  <w:num w:numId="3" w16cid:durableId="1999142564">
    <w:abstractNumId w:val="18"/>
  </w:num>
  <w:num w:numId="4" w16cid:durableId="1367485285">
    <w:abstractNumId w:val="4"/>
  </w:num>
  <w:num w:numId="5" w16cid:durableId="2001351968">
    <w:abstractNumId w:val="15"/>
  </w:num>
  <w:num w:numId="6" w16cid:durableId="1552571387">
    <w:abstractNumId w:val="28"/>
  </w:num>
  <w:num w:numId="7" w16cid:durableId="909195284">
    <w:abstractNumId w:val="9"/>
  </w:num>
  <w:num w:numId="8" w16cid:durableId="1125805596">
    <w:abstractNumId w:val="29"/>
  </w:num>
  <w:num w:numId="9" w16cid:durableId="816070247">
    <w:abstractNumId w:val="16"/>
  </w:num>
  <w:num w:numId="10" w16cid:durableId="1299341782">
    <w:abstractNumId w:val="12"/>
  </w:num>
  <w:num w:numId="11" w16cid:durableId="2065445768">
    <w:abstractNumId w:val="5"/>
  </w:num>
  <w:num w:numId="12" w16cid:durableId="1955280963">
    <w:abstractNumId w:val="25"/>
  </w:num>
  <w:num w:numId="13" w16cid:durableId="905339841">
    <w:abstractNumId w:val="23"/>
  </w:num>
  <w:num w:numId="14" w16cid:durableId="1875118829">
    <w:abstractNumId w:val="30"/>
  </w:num>
  <w:num w:numId="15" w16cid:durableId="1846818441">
    <w:abstractNumId w:val="27"/>
  </w:num>
  <w:num w:numId="16" w16cid:durableId="317267362">
    <w:abstractNumId w:val="2"/>
  </w:num>
  <w:num w:numId="17" w16cid:durableId="157115764">
    <w:abstractNumId w:val="31"/>
  </w:num>
  <w:num w:numId="18" w16cid:durableId="144710975">
    <w:abstractNumId w:val="13"/>
  </w:num>
  <w:num w:numId="19" w16cid:durableId="624626136">
    <w:abstractNumId w:val="20"/>
  </w:num>
  <w:num w:numId="20" w16cid:durableId="1256669293">
    <w:abstractNumId w:val="19"/>
  </w:num>
  <w:num w:numId="21" w16cid:durableId="736242403">
    <w:abstractNumId w:val="3"/>
  </w:num>
  <w:num w:numId="22" w16cid:durableId="1641498815">
    <w:abstractNumId w:val="7"/>
  </w:num>
  <w:num w:numId="23" w16cid:durableId="1375931918">
    <w:abstractNumId w:val="24"/>
  </w:num>
  <w:num w:numId="24" w16cid:durableId="528836772">
    <w:abstractNumId w:val="14"/>
  </w:num>
  <w:num w:numId="25" w16cid:durableId="919293779">
    <w:abstractNumId w:val="11"/>
  </w:num>
  <w:num w:numId="26" w16cid:durableId="74205090">
    <w:abstractNumId w:val="26"/>
  </w:num>
  <w:num w:numId="27" w16cid:durableId="57485732">
    <w:abstractNumId w:val="10"/>
  </w:num>
  <w:num w:numId="28" w16cid:durableId="2011784385">
    <w:abstractNumId w:val="8"/>
  </w:num>
  <w:num w:numId="29" w16cid:durableId="1335110028">
    <w:abstractNumId w:val="6"/>
  </w:num>
  <w:num w:numId="30" w16cid:durableId="473066859">
    <w:abstractNumId w:val="22"/>
  </w:num>
  <w:num w:numId="31" w16cid:durableId="796294218">
    <w:abstractNumId w:val="1"/>
  </w:num>
  <w:num w:numId="32" w16cid:durableId="1546597255">
    <w:abstractNumId w:val="32"/>
  </w:num>
  <w:num w:numId="33" w16cid:durableId="85068524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002D"/>
    <w:rsid w:val="000011B3"/>
    <w:rsid w:val="00001E06"/>
    <w:rsid w:val="00003D16"/>
    <w:rsid w:val="00005326"/>
    <w:rsid w:val="00005880"/>
    <w:rsid w:val="00007835"/>
    <w:rsid w:val="00007E6F"/>
    <w:rsid w:val="000104E6"/>
    <w:rsid w:val="00011528"/>
    <w:rsid w:val="00012A80"/>
    <w:rsid w:val="00014AE8"/>
    <w:rsid w:val="00015FCE"/>
    <w:rsid w:val="00016225"/>
    <w:rsid w:val="000170DA"/>
    <w:rsid w:val="00017AC1"/>
    <w:rsid w:val="00017E07"/>
    <w:rsid w:val="00020147"/>
    <w:rsid w:val="000223BC"/>
    <w:rsid w:val="00023027"/>
    <w:rsid w:val="0002399C"/>
    <w:rsid w:val="00023AF0"/>
    <w:rsid w:val="00024E9B"/>
    <w:rsid w:val="000258DE"/>
    <w:rsid w:val="00027E60"/>
    <w:rsid w:val="0003347C"/>
    <w:rsid w:val="00034766"/>
    <w:rsid w:val="00034EC8"/>
    <w:rsid w:val="00036AEB"/>
    <w:rsid w:val="00036BF9"/>
    <w:rsid w:val="00036C75"/>
    <w:rsid w:val="00037106"/>
    <w:rsid w:val="00037937"/>
    <w:rsid w:val="00043F81"/>
    <w:rsid w:val="00045B6B"/>
    <w:rsid w:val="0005089E"/>
    <w:rsid w:val="00050B0A"/>
    <w:rsid w:val="00052CEA"/>
    <w:rsid w:val="0005495A"/>
    <w:rsid w:val="00054C78"/>
    <w:rsid w:val="00054CFC"/>
    <w:rsid w:val="00055488"/>
    <w:rsid w:val="00055731"/>
    <w:rsid w:val="00055757"/>
    <w:rsid w:val="00055EAC"/>
    <w:rsid w:val="000569C6"/>
    <w:rsid w:val="00060D64"/>
    <w:rsid w:val="00061606"/>
    <w:rsid w:val="00064649"/>
    <w:rsid w:val="00065B18"/>
    <w:rsid w:val="00070A7F"/>
    <w:rsid w:val="00071E18"/>
    <w:rsid w:val="000725FB"/>
    <w:rsid w:val="0007350A"/>
    <w:rsid w:val="000743C8"/>
    <w:rsid w:val="00074B85"/>
    <w:rsid w:val="000766D6"/>
    <w:rsid w:val="00077249"/>
    <w:rsid w:val="00077E23"/>
    <w:rsid w:val="0008002F"/>
    <w:rsid w:val="00080913"/>
    <w:rsid w:val="00080E22"/>
    <w:rsid w:val="00082067"/>
    <w:rsid w:val="00082CED"/>
    <w:rsid w:val="00082CFF"/>
    <w:rsid w:val="000833BF"/>
    <w:rsid w:val="00084C0E"/>
    <w:rsid w:val="00085998"/>
    <w:rsid w:val="00086C3F"/>
    <w:rsid w:val="00090233"/>
    <w:rsid w:val="00090AC2"/>
    <w:rsid w:val="0009117F"/>
    <w:rsid w:val="00093C32"/>
    <w:rsid w:val="00094D05"/>
    <w:rsid w:val="00095EE6"/>
    <w:rsid w:val="00096A24"/>
    <w:rsid w:val="00096DE3"/>
    <w:rsid w:val="00096ED6"/>
    <w:rsid w:val="000976EF"/>
    <w:rsid w:val="000A03F3"/>
    <w:rsid w:val="000A202B"/>
    <w:rsid w:val="000A202D"/>
    <w:rsid w:val="000A4AF1"/>
    <w:rsid w:val="000A52C4"/>
    <w:rsid w:val="000A58B7"/>
    <w:rsid w:val="000A5D74"/>
    <w:rsid w:val="000A7B4E"/>
    <w:rsid w:val="000B1492"/>
    <w:rsid w:val="000B1F2F"/>
    <w:rsid w:val="000B3E04"/>
    <w:rsid w:val="000B4A0D"/>
    <w:rsid w:val="000B627D"/>
    <w:rsid w:val="000B7FC6"/>
    <w:rsid w:val="000C162F"/>
    <w:rsid w:val="000C2B0C"/>
    <w:rsid w:val="000C2ECA"/>
    <w:rsid w:val="000C385A"/>
    <w:rsid w:val="000C43BC"/>
    <w:rsid w:val="000C4E42"/>
    <w:rsid w:val="000C5160"/>
    <w:rsid w:val="000D022E"/>
    <w:rsid w:val="000D05DA"/>
    <w:rsid w:val="000D05DD"/>
    <w:rsid w:val="000D073E"/>
    <w:rsid w:val="000D11A5"/>
    <w:rsid w:val="000D11ED"/>
    <w:rsid w:val="000D1742"/>
    <w:rsid w:val="000D291A"/>
    <w:rsid w:val="000D3201"/>
    <w:rsid w:val="000D33B5"/>
    <w:rsid w:val="000D3784"/>
    <w:rsid w:val="000D3CBE"/>
    <w:rsid w:val="000D4D84"/>
    <w:rsid w:val="000D5E02"/>
    <w:rsid w:val="000D69EC"/>
    <w:rsid w:val="000D7E16"/>
    <w:rsid w:val="000E0871"/>
    <w:rsid w:val="000E0A47"/>
    <w:rsid w:val="000E0B6C"/>
    <w:rsid w:val="000E4493"/>
    <w:rsid w:val="000E4A16"/>
    <w:rsid w:val="000E4DD3"/>
    <w:rsid w:val="000E5574"/>
    <w:rsid w:val="000E7BA2"/>
    <w:rsid w:val="000F1139"/>
    <w:rsid w:val="000F1352"/>
    <w:rsid w:val="000F1DE0"/>
    <w:rsid w:val="000F2BCF"/>
    <w:rsid w:val="000F3126"/>
    <w:rsid w:val="000F3AF5"/>
    <w:rsid w:val="000F3F9A"/>
    <w:rsid w:val="000F4805"/>
    <w:rsid w:val="000F4933"/>
    <w:rsid w:val="000F4ACE"/>
    <w:rsid w:val="000F4F93"/>
    <w:rsid w:val="000F51FC"/>
    <w:rsid w:val="000F5777"/>
    <w:rsid w:val="00100280"/>
    <w:rsid w:val="00100343"/>
    <w:rsid w:val="0010146C"/>
    <w:rsid w:val="00101D42"/>
    <w:rsid w:val="00101FE5"/>
    <w:rsid w:val="0010208B"/>
    <w:rsid w:val="00102761"/>
    <w:rsid w:val="00103198"/>
    <w:rsid w:val="0010593E"/>
    <w:rsid w:val="00105B9A"/>
    <w:rsid w:val="00106927"/>
    <w:rsid w:val="00107337"/>
    <w:rsid w:val="00107DEC"/>
    <w:rsid w:val="00110806"/>
    <w:rsid w:val="00110847"/>
    <w:rsid w:val="00110B6B"/>
    <w:rsid w:val="00111C50"/>
    <w:rsid w:val="00112CDC"/>
    <w:rsid w:val="00113B87"/>
    <w:rsid w:val="0011418F"/>
    <w:rsid w:val="00114FC2"/>
    <w:rsid w:val="001155C9"/>
    <w:rsid w:val="00116E4E"/>
    <w:rsid w:val="0011785C"/>
    <w:rsid w:val="001210B6"/>
    <w:rsid w:val="00121691"/>
    <w:rsid w:val="00121799"/>
    <w:rsid w:val="001221CA"/>
    <w:rsid w:val="001223E4"/>
    <w:rsid w:val="0012274D"/>
    <w:rsid w:val="00122DC6"/>
    <w:rsid w:val="00123340"/>
    <w:rsid w:val="001235B5"/>
    <w:rsid w:val="00123D56"/>
    <w:rsid w:val="00125C7D"/>
    <w:rsid w:val="00126B19"/>
    <w:rsid w:val="00131618"/>
    <w:rsid w:val="00132683"/>
    <w:rsid w:val="00132E0E"/>
    <w:rsid w:val="001330B3"/>
    <w:rsid w:val="0013397D"/>
    <w:rsid w:val="001353D9"/>
    <w:rsid w:val="0013590D"/>
    <w:rsid w:val="00135D53"/>
    <w:rsid w:val="00136719"/>
    <w:rsid w:val="001378CD"/>
    <w:rsid w:val="00140126"/>
    <w:rsid w:val="001401BD"/>
    <w:rsid w:val="00140D0C"/>
    <w:rsid w:val="00140FD0"/>
    <w:rsid w:val="001412FD"/>
    <w:rsid w:val="001418CE"/>
    <w:rsid w:val="00143E5C"/>
    <w:rsid w:val="00144BBC"/>
    <w:rsid w:val="00145C2D"/>
    <w:rsid w:val="00146F4A"/>
    <w:rsid w:val="00147EE9"/>
    <w:rsid w:val="00151590"/>
    <w:rsid w:val="00152657"/>
    <w:rsid w:val="00152795"/>
    <w:rsid w:val="00152A24"/>
    <w:rsid w:val="00153DB1"/>
    <w:rsid w:val="00154B17"/>
    <w:rsid w:val="00155344"/>
    <w:rsid w:val="00155B23"/>
    <w:rsid w:val="0015677C"/>
    <w:rsid w:val="00160FDA"/>
    <w:rsid w:val="0016215E"/>
    <w:rsid w:val="0016231B"/>
    <w:rsid w:val="0016423D"/>
    <w:rsid w:val="00165559"/>
    <w:rsid w:val="00165E47"/>
    <w:rsid w:val="00166AA8"/>
    <w:rsid w:val="00167017"/>
    <w:rsid w:val="00167250"/>
    <w:rsid w:val="00171585"/>
    <w:rsid w:val="00174A50"/>
    <w:rsid w:val="00174B20"/>
    <w:rsid w:val="00175578"/>
    <w:rsid w:val="0017579A"/>
    <w:rsid w:val="0017667A"/>
    <w:rsid w:val="00176A27"/>
    <w:rsid w:val="00176A44"/>
    <w:rsid w:val="00177AC9"/>
    <w:rsid w:val="001808DA"/>
    <w:rsid w:val="00180FF0"/>
    <w:rsid w:val="0018327C"/>
    <w:rsid w:val="00183DB0"/>
    <w:rsid w:val="0018454E"/>
    <w:rsid w:val="001863CA"/>
    <w:rsid w:val="00186F6A"/>
    <w:rsid w:val="00187B2E"/>
    <w:rsid w:val="00187BDA"/>
    <w:rsid w:val="00187E9F"/>
    <w:rsid w:val="00191D95"/>
    <w:rsid w:val="00192280"/>
    <w:rsid w:val="001922A2"/>
    <w:rsid w:val="001924FB"/>
    <w:rsid w:val="00192F22"/>
    <w:rsid w:val="00193271"/>
    <w:rsid w:val="00193392"/>
    <w:rsid w:val="001939D9"/>
    <w:rsid w:val="00193A80"/>
    <w:rsid w:val="00194AE7"/>
    <w:rsid w:val="001953CB"/>
    <w:rsid w:val="001961E5"/>
    <w:rsid w:val="001A119C"/>
    <w:rsid w:val="001A1F56"/>
    <w:rsid w:val="001A2FE9"/>
    <w:rsid w:val="001A333C"/>
    <w:rsid w:val="001A50D9"/>
    <w:rsid w:val="001A5137"/>
    <w:rsid w:val="001A5B12"/>
    <w:rsid w:val="001A68D4"/>
    <w:rsid w:val="001A6C65"/>
    <w:rsid w:val="001A77DB"/>
    <w:rsid w:val="001A7D05"/>
    <w:rsid w:val="001B09C9"/>
    <w:rsid w:val="001B3311"/>
    <w:rsid w:val="001B370E"/>
    <w:rsid w:val="001B3AB6"/>
    <w:rsid w:val="001B4078"/>
    <w:rsid w:val="001B42B6"/>
    <w:rsid w:val="001B57C1"/>
    <w:rsid w:val="001B5E50"/>
    <w:rsid w:val="001B6009"/>
    <w:rsid w:val="001B6910"/>
    <w:rsid w:val="001B6EB8"/>
    <w:rsid w:val="001B7065"/>
    <w:rsid w:val="001B72B0"/>
    <w:rsid w:val="001C12FD"/>
    <w:rsid w:val="001C1693"/>
    <w:rsid w:val="001C2C56"/>
    <w:rsid w:val="001C43A2"/>
    <w:rsid w:val="001C4FDC"/>
    <w:rsid w:val="001C586D"/>
    <w:rsid w:val="001C6520"/>
    <w:rsid w:val="001C6D8F"/>
    <w:rsid w:val="001C7017"/>
    <w:rsid w:val="001C76FF"/>
    <w:rsid w:val="001D0762"/>
    <w:rsid w:val="001D168B"/>
    <w:rsid w:val="001D3CCE"/>
    <w:rsid w:val="001D61A7"/>
    <w:rsid w:val="001D66DF"/>
    <w:rsid w:val="001D7014"/>
    <w:rsid w:val="001D75AD"/>
    <w:rsid w:val="001E00A3"/>
    <w:rsid w:val="001E0769"/>
    <w:rsid w:val="001E1037"/>
    <w:rsid w:val="001E1C5B"/>
    <w:rsid w:val="001E25CB"/>
    <w:rsid w:val="001E33B7"/>
    <w:rsid w:val="001E5110"/>
    <w:rsid w:val="001F48F9"/>
    <w:rsid w:val="001F5A0A"/>
    <w:rsid w:val="001F62B3"/>
    <w:rsid w:val="001F7E1F"/>
    <w:rsid w:val="00200A49"/>
    <w:rsid w:val="002012F6"/>
    <w:rsid w:val="00203A05"/>
    <w:rsid w:val="00205330"/>
    <w:rsid w:val="0020657C"/>
    <w:rsid w:val="00206636"/>
    <w:rsid w:val="0020670F"/>
    <w:rsid w:val="0020730A"/>
    <w:rsid w:val="0021123D"/>
    <w:rsid w:val="00211554"/>
    <w:rsid w:val="00212D26"/>
    <w:rsid w:val="00213652"/>
    <w:rsid w:val="002137B8"/>
    <w:rsid w:val="002159FF"/>
    <w:rsid w:val="00215A80"/>
    <w:rsid w:val="00215D34"/>
    <w:rsid w:val="002160F2"/>
    <w:rsid w:val="00222B84"/>
    <w:rsid w:val="00223B2F"/>
    <w:rsid w:val="00223B43"/>
    <w:rsid w:val="00224059"/>
    <w:rsid w:val="0022438A"/>
    <w:rsid w:val="00224C94"/>
    <w:rsid w:val="002259D6"/>
    <w:rsid w:val="0023098B"/>
    <w:rsid w:val="0023123F"/>
    <w:rsid w:val="002312D1"/>
    <w:rsid w:val="00231354"/>
    <w:rsid w:val="00231858"/>
    <w:rsid w:val="00233572"/>
    <w:rsid w:val="002345AE"/>
    <w:rsid w:val="0023602F"/>
    <w:rsid w:val="002376C5"/>
    <w:rsid w:val="00240083"/>
    <w:rsid w:val="002412B8"/>
    <w:rsid w:val="002413D4"/>
    <w:rsid w:val="002416A0"/>
    <w:rsid w:val="00241C1A"/>
    <w:rsid w:val="002425AB"/>
    <w:rsid w:val="00245A97"/>
    <w:rsid w:val="00247796"/>
    <w:rsid w:val="00247E5A"/>
    <w:rsid w:val="00247F45"/>
    <w:rsid w:val="00251A1D"/>
    <w:rsid w:val="0025201A"/>
    <w:rsid w:val="00252502"/>
    <w:rsid w:val="00252908"/>
    <w:rsid w:val="00253E09"/>
    <w:rsid w:val="00255492"/>
    <w:rsid w:val="0025575C"/>
    <w:rsid w:val="00255B47"/>
    <w:rsid w:val="00255E68"/>
    <w:rsid w:val="00261CC2"/>
    <w:rsid w:val="0026226E"/>
    <w:rsid w:val="002625AA"/>
    <w:rsid w:val="00263735"/>
    <w:rsid w:val="00266E7A"/>
    <w:rsid w:val="00273412"/>
    <w:rsid w:val="00274E7F"/>
    <w:rsid w:val="00275672"/>
    <w:rsid w:val="002771A0"/>
    <w:rsid w:val="00277B6D"/>
    <w:rsid w:val="00280403"/>
    <w:rsid w:val="00280A82"/>
    <w:rsid w:val="00280EB7"/>
    <w:rsid w:val="0028211B"/>
    <w:rsid w:val="00282F7B"/>
    <w:rsid w:val="0028452F"/>
    <w:rsid w:val="00284F90"/>
    <w:rsid w:val="0028543C"/>
    <w:rsid w:val="0028550E"/>
    <w:rsid w:val="0028604D"/>
    <w:rsid w:val="002864E8"/>
    <w:rsid w:val="00286595"/>
    <w:rsid w:val="00286D3B"/>
    <w:rsid w:val="002872E1"/>
    <w:rsid w:val="0028780F"/>
    <w:rsid w:val="00292FAE"/>
    <w:rsid w:val="00293C88"/>
    <w:rsid w:val="00294D4F"/>
    <w:rsid w:val="00294EEA"/>
    <w:rsid w:val="00295B18"/>
    <w:rsid w:val="00297773"/>
    <w:rsid w:val="002A0270"/>
    <w:rsid w:val="002A0532"/>
    <w:rsid w:val="002A1B3E"/>
    <w:rsid w:val="002A1D54"/>
    <w:rsid w:val="002A273D"/>
    <w:rsid w:val="002A3A5D"/>
    <w:rsid w:val="002A41CB"/>
    <w:rsid w:val="002A6A70"/>
    <w:rsid w:val="002B049C"/>
    <w:rsid w:val="002B1EA3"/>
    <w:rsid w:val="002B2121"/>
    <w:rsid w:val="002B2872"/>
    <w:rsid w:val="002B300C"/>
    <w:rsid w:val="002B4139"/>
    <w:rsid w:val="002B41DB"/>
    <w:rsid w:val="002B5344"/>
    <w:rsid w:val="002B5B06"/>
    <w:rsid w:val="002B64CF"/>
    <w:rsid w:val="002C0E46"/>
    <w:rsid w:val="002C1647"/>
    <w:rsid w:val="002C28C8"/>
    <w:rsid w:val="002C360C"/>
    <w:rsid w:val="002C3686"/>
    <w:rsid w:val="002C44EA"/>
    <w:rsid w:val="002C46BB"/>
    <w:rsid w:val="002C612D"/>
    <w:rsid w:val="002C6A4A"/>
    <w:rsid w:val="002C6A53"/>
    <w:rsid w:val="002C7FF4"/>
    <w:rsid w:val="002D0266"/>
    <w:rsid w:val="002D1005"/>
    <w:rsid w:val="002D1F99"/>
    <w:rsid w:val="002D2648"/>
    <w:rsid w:val="002D27F1"/>
    <w:rsid w:val="002D306D"/>
    <w:rsid w:val="002D34CE"/>
    <w:rsid w:val="002D362E"/>
    <w:rsid w:val="002D614F"/>
    <w:rsid w:val="002D63CB"/>
    <w:rsid w:val="002D7EDD"/>
    <w:rsid w:val="002E0AC1"/>
    <w:rsid w:val="002E38BF"/>
    <w:rsid w:val="002E3998"/>
    <w:rsid w:val="002E48C1"/>
    <w:rsid w:val="002F0987"/>
    <w:rsid w:val="002F0BB5"/>
    <w:rsid w:val="002F13AC"/>
    <w:rsid w:val="002F157E"/>
    <w:rsid w:val="002F296F"/>
    <w:rsid w:val="002F35A2"/>
    <w:rsid w:val="002F4B83"/>
    <w:rsid w:val="002F4E0D"/>
    <w:rsid w:val="002F4EE0"/>
    <w:rsid w:val="002F5987"/>
    <w:rsid w:val="002F6B31"/>
    <w:rsid w:val="002F6E49"/>
    <w:rsid w:val="002F6F94"/>
    <w:rsid w:val="002F7959"/>
    <w:rsid w:val="002F7AE5"/>
    <w:rsid w:val="003015BF"/>
    <w:rsid w:val="0030177F"/>
    <w:rsid w:val="0030282D"/>
    <w:rsid w:val="00303764"/>
    <w:rsid w:val="00303D60"/>
    <w:rsid w:val="00305F78"/>
    <w:rsid w:val="0030653B"/>
    <w:rsid w:val="00310F8D"/>
    <w:rsid w:val="00311FA7"/>
    <w:rsid w:val="00312555"/>
    <w:rsid w:val="00313275"/>
    <w:rsid w:val="00313B2B"/>
    <w:rsid w:val="003152C0"/>
    <w:rsid w:val="00316A7F"/>
    <w:rsid w:val="00316F0E"/>
    <w:rsid w:val="00317BFF"/>
    <w:rsid w:val="003202E6"/>
    <w:rsid w:val="003206D7"/>
    <w:rsid w:val="00321FE4"/>
    <w:rsid w:val="0032327B"/>
    <w:rsid w:val="003266AE"/>
    <w:rsid w:val="003270E1"/>
    <w:rsid w:val="00327B43"/>
    <w:rsid w:val="00330586"/>
    <w:rsid w:val="00330C7D"/>
    <w:rsid w:val="00330F4C"/>
    <w:rsid w:val="00331304"/>
    <w:rsid w:val="00331EC7"/>
    <w:rsid w:val="00334DD7"/>
    <w:rsid w:val="00335760"/>
    <w:rsid w:val="00335C51"/>
    <w:rsid w:val="003400E2"/>
    <w:rsid w:val="00340D9C"/>
    <w:rsid w:val="00341016"/>
    <w:rsid w:val="0034163B"/>
    <w:rsid w:val="00341DCC"/>
    <w:rsid w:val="00343003"/>
    <w:rsid w:val="0034310A"/>
    <w:rsid w:val="00343399"/>
    <w:rsid w:val="003437EE"/>
    <w:rsid w:val="00343D07"/>
    <w:rsid w:val="00343F90"/>
    <w:rsid w:val="0034446B"/>
    <w:rsid w:val="00347537"/>
    <w:rsid w:val="003514B2"/>
    <w:rsid w:val="00351BEA"/>
    <w:rsid w:val="003522E4"/>
    <w:rsid w:val="003548D0"/>
    <w:rsid w:val="00355D4A"/>
    <w:rsid w:val="003569E6"/>
    <w:rsid w:val="003573C9"/>
    <w:rsid w:val="00360AD8"/>
    <w:rsid w:val="003616C0"/>
    <w:rsid w:val="00362521"/>
    <w:rsid w:val="00362E9D"/>
    <w:rsid w:val="003646C0"/>
    <w:rsid w:val="003657F4"/>
    <w:rsid w:val="00366A29"/>
    <w:rsid w:val="00367966"/>
    <w:rsid w:val="0037394E"/>
    <w:rsid w:val="00373A9A"/>
    <w:rsid w:val="003745D7"/>
    <w:rsid w:val="00374741"/>
    <w:rsid w:val="00374CF6"/>
    <w:rsid w:val="00375265"/>
    <w:rsid w:val="00376485"/>
    <w:rsid w:val="00376724"/>
    <w:rsid w:val="00377D1C"/>
    <w:rsid w:val="003819B4"/>
    <w:rsid w:val="00381A51"/>
    <w:rsid w:val="0038333D"/>
    <w:rsid w:val="0038379B"/>
    <w:rsid w:val="00384E45"/>
    <w:rsid w:val="003865DA"/>
    <w:rsid w:val="00386C13"/>
    <w:rsid w:val="00387F88"/>
    <w:rsid w:val="00387F8C"/>
    <w:rsid w:val="00391E4F"/>
    <w:rsid w:val="00392741"/>
    <w:rsid w:val="00393473"/>
    <w:rsid w:val="00393A8F"/>
    <w:rsid w:val="0039551E"/>
    <w:rsid w:val="003959B0"/>
    <w:rsid w:val="00395D62"/>
    <w:rsid w:val="00396170"/>
    <w:rsid w:val="003963F8"/>
    <w:rsid w:val="00397239"/>
    <w:rsid w:val="003A017A"/>
    <w:rsid w:val="003A04F7"/>
    <w:rsid w:val="003A09F5"/>
    <w:rsid w:val="003A2209"/>
    <w:rsid w:val="003A27A0"/>
    <w:rsid w:val="003A427A"/>
    <w:rsid w:val="003A4639"/>
    <w:rsid w:val="003A6D04"/>
    <w:rsid w:val="003A7509"/>
    <w:rsid w:val="003B24E8"/>
    <w:rsid w:val="003B4DF0"/>
    <w:rsid w:val="003B573F"/>
    <w:rsid w:val="003B7192"/>
    <w:rsid w:val="003B79DD"/>
    <w:rsid w:val="003B7F1A"/>
    <w:rsid w:val="003C1DA4"/>
    <w:rsid w:val="003C28A9"/>
    <w:rsid w:val="003C3EE7"/>
    <w:rsid w:val="003C4062"/>
    <w:rsid w:val="003C57FD"/>
    <w:rsid w:val="003C5AE2"/>
    <w:rsid w:val="003C6093"/>
    <w:rsid w:val="003C6F54"/>
    <w:rsid w:val="003C78FC"/>
    <w:rsid w:val="003D02C5"/>
    <w:rsid w:val="003D08E5"/>
    <w:rsid w:val="003D2BBE"/>
    <w:rsid w:val="003D340E"/>
    <w:rsid w:val="003D365E"/>
    <w:rsid w:val="003D4C6A"/>
    <w:rsid w:val="003D5229"/>
    <w:rsid w:val="003D5FE0"/>
    <w:rsid w:val="003D686E"/>
    <w:rsid w:val="003E0BD1"/>
    <w:rsid w:val="003E0BE0"/>
    <w:rsid w:val="003E1D51"/>
    <w:rsid w:val="003E233C"/>
    <w:rsid w:val="003E2A30"/>
    <w:rsid w:val="003E303D"/>
    <w:rsid w:val="003E346D"/>
    <w:rsid w:val="003E64D9"/>
    <w:rsid w:val="003E704E"/>
    <w:rsid w:val="003F07B9"/>
    <w:rsid w:val="003F1E74"/>
    <w:rsid w:val="003F3904"/>
    <w:rsid w:val="003F3CC3"/>
    <w:rsid w:val="003F4AB7"/>
    <w:rsid w:val="003F700A"/>
    <w:rsid w:val="00401B40"/>
    <w:rsid w:val="00401C62"/>
    <w:rsid w:val="00401D95"/>
    <w:rsid w:val="00403DEA"/>
    <w:rsid w:val="004051F5"/>
    <w:rsid w:val="00406362"/>
    <w:rsid w:val="0040648A"/>
    <w:rsid w:val="00407047"/>
    <w:rsid w:val="004072BA"/>
    <w:rsid w:val="004078A0"/>
    <w:rsid w:val="004078E0"/>
    <w:rsid w:val="0041050D"/>
    <w:rsid w:val="004150E0"/>
    <w:rsid w:val="00415C0C"/>
    <w:rsid w:val="00416004"/>
    <w:rsid w:val="00420E6E"/>
    <w:rsid w:val="00420E8B"/>
    <w:rsid w:val="00421281"/>
    <w:rsid w:val="0042201B"/>
    <w:rsid w:val="0042337C"/>
    <w:rsid w:val="004260F1"/>
    <w:rsid w:val="00426559"/>
    <w:rsid w:val="00426994"/>
    <w:rsid w:val="00427150"/>
    <w:rsid w:val="004274DC"/>
    <w:rsid w:val="004316FE"/>
    <w:rsid w:val="004329A5"/>
    <w:rsid w:val="00432AEB"/>
    <w:rsid w:val="004330A7"/>
    <w:rsid w:val="0043404B"/>
    <w:rsid w:val="004343C8"/>
    <w:rsid w:val="004348BC"/>
    <w:rsid w:val="00434B66"/>
    <w:rsid w:val="00434C64"/>
    <w:rsid w:val="0043585B"/>
    <w:rsid w:val="00435B0E"/>
    <w:rsid w:val="00436471"/>
    <w:rsid w:val="00436642"/>
    <w:rsid w:val="004367B5"/>
    <w:rsid w:val="004367D0"/>
    <w:rsid w:val="00441363"/>
    <w:rsid w:val="00442733"/>
    <w:rsid w:val="00443404"/>
    <w:rsid w:val="00444B7B"/>
    <w:rsid w:val="00446565"/>
    <w:rsid w:val="00446CF1"/>
    <w:rsid w:val="00452B90"/>
    <w:rsid w:val="00454D44"/>
    <w:rsid w:val="0045522C"/>
    <w:rsid w:val="004559CB"/>
    <w:rsid w:val="00455A07"/>
    <w:rsid w:val="0045679F"/>
    <w:rsid w:val="0045692B"/>
    <w:rsid w:val="004605E3"/>
    <w:rsid w:val="00460ED6"/>
    <w:rsid w:val="0046114D"/>
    <w:rsid w:val="004618AA"/>
    <w:rsid w:val="00461E86"/>
    <w:rsid w:val="00462CFD"/>
    <w:rsid w:val="00464990"/>
    <w:rsid w:val="00464B6A"/>
    <w:rsid w:val="00465848"/>
    <w:rsid w:val="00466FB9"/>
    <w:rsid w:val="004677B9"/>
    <w:rsid w:val="0047061A"/>
    <w:rsid w:val="0047121E"/>
    <w:rsid w:val="0047153B"/>
    <w:rsid w:val="00472341"/>
    <w:rsid w:val="004736F2"/>
    <w:rsid w:val="004745F9"/>
    <w:rsid w:val="00475122"/>
    <w:rsid w:val="004769E2"/>
    <w:rsid w:val="00477089"/>
    <w:rsid w:val="00477351"/>
    <w:rsid w:val="0048086E"/>
    <w:rsid w:val="0048124C"/>
    <w:rsid w:val="004816B1"/>
    <w:rsid w:val="0048259D"/>
    <w:rsid w:val="0048419C"/>
    <w:rsid w:val="00486998"/>
    <w:rsid w:val="0048706A"/>
    <w:rsid w:val="00487922"/>
    <w:rsid w:val="0049133A"/>
    <w:rsid w:val="00491EBC"/>
    <w:rsid w:val="00491F26"/>
    <w:rsid w:val="00492DA1"/>
    <w:rsid w:val="00492EB1"/>
    <w:rsid w:val="00494C91"/>
    <w:rsid w:val="004A01B1"/>
    <w:rsid w:val="004A0D20"/>
    <w:rsid w:val="004A337E"/>
    <w:rsid w:val="004A33DA"/>
    <w:rsid w:val="004A5042"/>
    <w:rsid w:val="004B1EFD"/>
    <w:rsid w:val="004B2FDC"/>
    <w:rsid w:val="004B3586"/>
    <w:rsid w:val="004B3960"/>
    <w:rsid w:val="004B3D29"/>
    <w:rsid w:val="004B4F73"/>
    <w:rsid w:val="004B5EC6"/>
    <w:rsid w:val="004B6255"/>
    <w:rsid w:val="004B6969"/>
    <w:rsid w:val="004B6C0C"/>
    <w:rsid w:val="004B6FAA"/>
    <w:rsid w:val="004B740D"/>
    <w:rsid w:val="004B7423"/>
    <w:rsid w:val="004B79EC"/>
    <w:rsid w:val="004B7DF6"/>
    <w:rsid w:val="004C206F"/>
    <w:rsid w:val="004C33EC"/>
    <w:rsid w:val="004C3559"/>
    <w:rsid w:val="004C5A6F"/>
    <w:rsid w:val="004D21DB"/>
    <w:rsid w:val="004D3377"/>
    <w:rsid w:val="004D5976"/>
    <w:rsid w:val="004D5A14"/>
    <w:rsid w:val="004D68CD"/>
    <w:rsid w:val="004D68D2"/>
    <w:rsid w:val="004D7FA1"/>
    <w:rsid w:val="004E2881"/>
    <w:rsid w:val="004E56AF"/>
    <w:rsid w:val="004E7D20"/>
    <w:rsid w:val="004F0E3F"/>
    <w:rsid w:val="004F1B24"/>
    <w:rsid w:val="004F1EEA"/>
    <w:rsid w:val="004F1FFC"/>
    <w:rsid w:val="004F537E"/>
    <w:rsid w:val="004F5B2B"/>
    <w:rsid w:val="004F5C4D"/>
    <w:rsid w:val="004F6B38"/>
    <w:rsid w:val="004F6E14"/>
    <w:rsid w:val="004F6E2F"/>
    <w:rsid w:val="004F7D22"/>
    <w:rsid w:val="005016EE"/>
    <w:rsid w:val="00504D0B"/>
    <w:rsid w:val="00505091"/>
    <w:rsid w:val="0050658A"/>
    <w:rsid w:val="0050710A"/>
    <w:rsid w:val="00510418"/>
    <w:rsid w:val="00510B0F"/>
    <w:rsid w:val="00511A7D"/>
    <w:rsid w:val="00511B5A"/>
    <w:rsid w:val="00511EA9"/>
    <w:rsid w:val="0051222F"/>
    <w:rsid w:val="00512E2C"/>
    <w:rsid w:val="00513F6D"/>
    <w:rsid w:val="00514953"/>
    <w:rsid w:val="005158C4"/>
    <w:rsid w:val="005159F8"/>
    <w:rsid w:val="00515C54"/>
    <w:rsid w:val="0051674E"/>
    <w:rsid w:val="00523970"/>
    <w:rsid w:val="00523B99"/>
    <w:rsid w:val="00523C39"/>
    <w:rsid w:val="00523CFF"/>
    <w:rsid w:val="0052404D"/>
    <w:rsid w:val="0052491E"/>
    <w:rsid w:val="0052670A"/>
    <w:rsid w:val="00527233"/>
    <w:rsid w:val="00530418"/>
    <w:rsid w:val="005306C9"/>
    <w:rsid w:val="005318A1"/>
    <w:rsid w:val="0053222C"/>
    <w:rsid w:val="005326E1"/>
    <w:rsid w:val="00533E79"/>
    <w:rsid w:val="005367E8"/>
    <w:rsid w:val="00536B38"/>
    <w:rsid w:val="00537743"/>
    <w:rsid w:val="00537D74"/>
    <w:rsid w:val="0054013A"/>
    <w:rsid w:val="0054060E"/>
    <w:rsid w:val="0054151E"/>
    <w:rsid w:val="00541949"/>
    <w:rsid w:val="00541CC9"/>
    <w:rsid w:val="005434B0"/>
    <w:rsid w:val="005435AF"/>
    <w:rsid w:val="00544F35"/>
    <w:rsid w:val="005458FF"/>
    <w:rsid w:val="00545DB5"/>
    <w:rsid w:val="00545DEB"/>
    <w:rsid w:val="00546669"/>
    <w:rsid w:val="00550DBF"/>
    <w:rsid w:val="005515BA"/>
    <w:rsid w:val="00551E38"/>
    <w:rsid w:val="0055278F"/>
    <w:rsid w:val="00554137"/>
    <w:rsid w:val="0055598B"/>
    <w:rsid w:val="00555DD2"/>
    <w:rsid w:val="00556B95"/>
    <w:rsid w:val="00556BE4"/>
    <w:rsid w:val="00556C15"/>
    <w:rsid w:val="00556E3E"/>
    <w:rsid w:val="00557B48"/>
    <w:rsid w:val="00560343"/>
    <w:rsid w:val="005604E3"/>
    <w:rsid w:val="00561C8B"/>
    <w:rsid w:val="0056392D"/>
    <w:rsid w:val="00563FEE"/>
    <w:rsid w:val="0056446E"/>
    <w:rsid w:val="005648C7"/>
    <w:rsid w:val="005667EE"/>
    <w:rsid w:val="00566ED3"/>
    <w:rsid w:val="00567372"/>
    <w:rsid w:val="00571327"/>
    <w:rsid w:val="0057135A"/>
    <w:rsid w:val="00572276"/>
    <w:rsid w:val="0057356B"/>
    <w:rsid w:val="0057364C"/>
    <w:rsid w:val="00573BD9"/>
    <w:rsid w:val="00574F2F"/>
    <w:rsid w:val="00575101"/>
    <w:rsid w:val="005772CD"/>
    <w:rsid w:val="005775A4"/>
    <w:rsid w:val="005805E5"/>
    <w:rsid w:val="00580F73"/>
    <w:rsid w:val="00584BF4"/>
    <w:rsid w:val="00585215"/>
    <w:rsid w:val="0058609E"/>
    <w:rsid w:val="005876A1"/>
    <w:rsid w:val="005901D9"/>
    <w:rsid w:val="0059044C"/>
    <w:rsid w:val="00590E7C"/>
    <w:rsid w:val="0059110F"/>
    <w:rsid w:val="005912C7"/>
    <w:rsid w:val="0059173E"/>
    <w:rsid w:val="00591B22"/>
    <w:rsid w:val="00594767"/>
    <w:rsid w:val="00596098"/>
    <w:rsid w:val="00596245"/>
    <w:rsid w:val="00596A10"/>
    <w:rsid w:val="005A0A5E"/>
    <w:rsid w:val="005A0DAE"/>
    <w:rsid w:val="005A1207"/>
    <w:rsid w:val="005A160D"/>
    <w:rsid w:val="005A1936"/>
    <w:rsid w:val="005A2B65"/>
    <w:rsid w:val="005A3169"/>
    <w:rsid w:val="005A324E"/>
    <w:rsid w:val="005A331B"/>
    <w:rsid w:val="005A628D"/>
    <w:rsid w:val="005A65AD"/>
    <w:rsid w:val="005A6F07"/>
    <w:rsid w:val="005B03F8"/>
    <w:rsid w:val="005B121B"/>
    <w:rsid w:val="005B2E8A"/>
    <w:rsid w:val="005B3210"/>
    <w:rsid w:val="005B3742"/>
    <w:rsid w:val="005B4313"/>
    <w:rsid w:val="005B466C"/>
    <w:rsid w:val="005B47F7"/>
    <w:rsid w:val="005B53A8"/>
    <w:rsid w:val="005B586A"/>
    <w:rsid w:val="005B58D5"/>
    <w:rsid w:val="005B7297"/>
    <w:rsid w:val="005C32DA"/>
    <w:rsid w:val="005C4C00"/>
    <w:rsid w:val="005C527C"/>
    <w:rsid w:val="005C59EA"/>
    <w:rsid w:val="005C6211"/>
    <w:rsid w:val="005C6385"/>
    <w:rsid w:val="005C6DD4"/>
    <w:rsid w:val="005C7274"/>
    <w:rsid w:val="005D1384"/>
    <w:rsid w:val="005D1CB3"/>
    <w:rsid w:val="005D2F75"/>
    <w:rsid w:val="005D2F98"/>
    <w:rsid w:val="005D3534"/>
    <w:rsid w:val="005E060D"/>
    <w:rsid w:val="005E079D"/>
    <w:rsid w:val="005E37C9"/>
    <w:rsid w:val="005E5C83"/>
    <w:rsid w:val="005F0B47"/>
    <w:rsid w:val="005F0F42"/>
    <w:rsid w:val="005F1439"/>
    <w:rsid w:val="005F1BE3"/>
    <w:rsid w:val="005F524E"/>
    <w:rsid w:val="005F6C65"/>
    <w:rsid w:val="005F74B1"/>
    <w:rsid w:val="005F7C9A"/>
    <w:rsid w:val="005F7D19"/>
    <w:rsid w:val="00600F2D"/>
    <w:rsid w:val="006025AE"/>
    <w:rsid w:val="00603236"/>
    <w:rsid w:val="00603975"/>
    <w:rsid w:val="00605049"/>
    <w:rsid w:val="00605FFD"/>
    <w:rsid w:val="00606398"/>
    <w:rsid w:val="00607D25"/>
    <w:rsid w:val="00610CDC"/>
    <w:rsid w:val="006123CC"/>
    <w:rsid w:val="00612D6C"/>
    <w:rsid w:val="0061300D"/>
    <w:rsid w:val="00613926"/>
    <w:rsid w:val="006145A0"/>
    <w:rsid w:val="00614C41"/>
    <w:rsid w:val="00615C85"/>
    <w:rsid w:val="00621484"/>
    <w:rsid w:val="00623E94"/>
    <w:rsid w:val="006254B3"/>
    <w:rsid w:val="0062562C"/>
    <w:rsid w:val="006272AA"/>
    <w:rsid w:val="00627C77"/>
    <w:rsid w:val="00627E18"/>
    <w:rsid w:val="00627FEF"/>
    <w:rsid w:val="006314E7"/>
    <w:rsid w:val="0063213C"/>
    <w:rsid w:val="00633215"/>
    <w:rsid w:val="006336D7"/>
    <w:rsid w:val="00633A13"/>
    <w:rsid w:val="006351EF"/>
    <w:rsid w:val="006355DF"/>
    <w:rsid w:val="00636860"/>
    <w:rsid w:val="00637487"/>
    <w:rsid w:val="00637B8C"/>
    <w:rsid w:val="006443BE"/>
    <w:rsid w:val="006455A6"/>
    <w:rsid w:val="00647085"/>
    <w:rsid w:val="00647903"/>
    <w:rsid w:val="00647B89"/>
    <w:rsid w:val="00647CBF"/>
    <w:rsid w:val="0065284F"/>
    <w:rsid w:val="00653FDB"/>
    <w:rsid w:val="00654751"/>
    <w:rsid w:val="00655E7E"/>
    <w:rsid w:val="00656242"/>
    <w:rsid w:val="006565AE"/>
    <w:rsid w:val="006571DF"/>
    <w:rsid w:val="00657547"/>
    <w:rsid w:val="00657F97"/>
    <w:rsid w:val="00660693"/>
    <w:rsid w:val="006610E6"/>
    <w:rsid w:val="006638D5"/>
    <w:rsid w:val="00663962"/>
    <w:rsid w:val="00663FCF"/>
    <w:rsid w:val="00665959"/>
    <w:rsid w:val="00665E56"/>
    <w:rsid w:val="0066636C"/>
    <w:rsid w:val="0066636D"/>
    <w:rsid w:val="00666ABF"/>
    <w:rsid w:val="00667C08"/>
    <w:rsid w:val="00670519"/>
    <w:rsid w:val="00670864"/>
    <w:rsid w:val="0067127F"/>
    <w:rsid w:val="0067284F"/>
    <w:rsid w:val="0067337C"/>
    <w:rsid w:val="00673853"/>
    <w:rsid w:val="00673B32"/>
    <w:rsid w:val="00674085"/>
    <w:rsid w:val="006745CA"/>
    <w:rsid w:val="0067595C"/>
    <w:rsid w:val="006763EE"/>
    <w:rsid w:val="00676F0F"/>
    <w:rsid w:val="0068106B"/>
    <w:rsid w:val="00681284"/>
    <w:rsid w:val="006833C9"/>
    <w:rsid w:val="006847B4"/>
    <w:rsid w:val="00684CBA"/>
    <w:rsid w:val="0068535B"/>
    <w:rsid w:val="0068577D"/>
    <w:rsid w:val="00687FBC"/>
    <w:rsid w:val="00691270"/>
    <w:rsid w:val="00692329"/>
    <w:rsid w:val="00693636"/>
    <w:rsid w:val="00694F21"/>
    <w:rsid w:val="0069564C"/>
    <w:rsid w:val="00697684"/>
    <w:rsid w:val="00697CEC"/>
    <w:rsid w:val="006A0C6B"/>
    <w:rsid w:val="006A2908"/>
    <w:rsid w:val="006A2CCF"/>
    <w:rsid w:val="006A319D"/>
    <w:rsid w:val="006A375C"/>
    <w:rsid w:val="006A5505"/>
    <w:rsid w:val="006A5BF3"/>
    <w:rsid w:val="006A6383"/>
    <w:rsid w:val="006A6D7F"/>
    <w:rsid w:val="006A7BE1"/>
    <w:rsid w:val="006B056F"/>
    <w:rsid w:val="006B120C"/>
    <w:rsid w:val="006B1417"/>
    <w:rsid w:val="006B1491"/>
    <w:rsid w:val="006B25EF"/>
    <w:rsid w:val="006B2BC7"/>
    <w:rsid w:val="006B3245"/>
    <w:rsid w:val="006B3279"/>
    <w:rsid w:val="006B36B8"/>
    <w:rsid w:val="006B4350"/>
    <w:rsid w:val="006B485F"/>
    <w:rsid w:val="006B4B9B"/>
    <w:rsid w:val="006B5C5B"/>
    <w:rsid w:val="006B6BDE"/>
    <w:rsid w:val="006C0BD8"/>
    <w:rsid w:val="006C32BA"/>
    <w:rsid w:val="006C32D0"/>
    <w:rsid w:val="006C3E97"/>
    <w:rsid w:val="006C6596"/>
    <w:rsid w:val="006C6BF6"/>
    <w:rsid w:val="006D16DB"/>
    <w:rsid w:val="006D1AA7"/>
    <w:rsid w:val="006D4C87"/>
    <w:rsid w:val="006E0759"/>
    <w:rsid w:val="006E0987"/>
    <w:rsid w:val="006E1DAE"/>
    <w:rsid w:val="006E23DB"/>
    <w:rsid w:val="006E2874"/>
    <w:rsid w:val="006E2C51"/>
    <w:rsid w:val="006E39F9"/>
    <w:rsid w:val="006E43CB"/>
    <w:rsid w:val="006E60C2"/>
    <w:rsid w:val="006E6CCD"/>
    <w:rsid w:val="006E6D55"/>
    <w:rsid w:val="006F0280"/>
    <w:rsid w:val="006F0E5C"/>
    <w:rsid w:val="006F1996"/>
    <w:rsid w:val="006F24AB"/>
    <w:rsid w:val="006F2F37"/>
    <w:rsid w:val="006F5866"/>
    <w:rsid w:val="006F61E8"/>
    <w:rsid w:val="006F694E"/>
    <w:rsid w:val="007015A0"/>
    <w:rsid w:val="00702EED"/>
    <w:rsid w:val="007038BF"/>
    <w:rsid w:val="0070578D"/>
    <w:rsid w:val="00705E50"/>
    <w:rsid w:val="007073D4"/>
    <w:rsid w:val="007076D2"/>
    <w:rsid w:val="00707726"/>
    <w:rsid w:val="00707AEB"/>
    <w:rsid w:val="00710CCC"/>
    <w:rsid w:val="00713A34"/>
    <w:rsid w:val="00713D0D"/>
    <w:rsid w:val="00714245"/>
    <w:rsid w:val="00714F76"/>
    <w:rsid w:val="00716B8F"/>
    <w:rsid w:val="00721501"/>
    <w:rsid w:val="00721B82"/>
    <w:rsid w:val="00722FC1"/>
    <w:rsid w:val="00723C2B"/>
    <w:rsid w:val="007242D9"/>
    <w:rsid w:val="00724698"/>
    <w:rsid w:val="00725A6A"/>
    <w:rsid w:val="00725B35"/>
    <w:rsid w:val="00726AEF"/>
    <w:rsid w:val="007334C7"/>
    <w:rsid w:val="00734CC5"/>
    <w:rsid w:val="0073556D"/>
    <w:rsid w:val="00737584"/>
    <w:rsid w:val="0074039F"/>
    <w:rsid w:val="00741442"/>
    <w:rsid w:val="00742387"/>
    <w:rsid w:val="007441FE"/>
    <w:rsid w:val="00744CB7"/>
    <w:rsid w:val="00745287"/>
    <w:rsid w:val="00745777"/>
    <w:rsid w:val="00745C78"/>
    <w:rsid w:val="00745D1B"/>
    <w:rsid w:val="00746531"/>
    <w:rsid w:val="00747D02"/>
    <w:rsid w:val="00750D77"/>
    <w:rsid w:val="00751C7B"/>
    <w:rsid w:val="0075235E"/>
    <w:rsid w:val="00753FF7"/>
    <w:rsid w:val="00755E8B"/>
    <w:rsid w:val="00756A90"/>
    <w:rsid w:val="00756FDE"/>
    <w:rsid w:val="0075715C"/>
    <w:rsid w:val="00757798"/>
    <w:rsid w:val="00757E37"/>
    <w:rsid w:val="00761629"/>
    <w:rsid w:val="00761685"/>
    <w:rsid w:val="00761737"/>
    <w:rsid w:val="00761D0F"/>
    <w:rsid w:val="00761D5A"/>
    <w:rsid w:val="0076509D"/>
    <w:rsid w:val="007700BC"/>
    <w:rsid w:val="00771C48"/>
    <w:rsid w:val="00773C4B"/>
    <w:rsid w:val="00774425"/>
    <w:rsid w:val="00775DA3"/>
    <w:rsid w:val="007761C7"/>
    <w:rsid w:val="00777A70"/>
    <w:rsid w:val="00780CAB"/>
    <w:rsid w:val="007814A5"/>
    <w:rsid w:val="0078284B"/>
    <w:rsid w:val="0078356C"/>
    <w:rsid w:val="0078373F"/>
    <w:rsid w:val="007850A9"/>
    <w:rsid w:val="00785A6B"/>
    <w:rsid w:val="00786121"/>
    <w:rsid w:val="00786C3C"/>
    <w:rsid w:val="007874E4"/>
    <w:rsid w:val="00787DB8"/>
    <w:rsid w:val="00787E01"/>
    <w:rsid w:val="00792C81"/>
    <w:rsid w:val="007938C2"/>
    <w:rsid w:val="00794F9A"/>
    <w:rsid w:val="007955A3"/>
    <w:rsid w:val="00795B31"/>
    <w:rsid w:val="00796586"/>
    <w:rsid w:val="007A0085"/>
    <w:rsid w:val="007A02E3"/>
    <w:rsid w:val="007A0E20"/>
    <w:rsid w:val="007A11B5"/>
    <w:rsid w:val="007A23CF"/>
    <w:rsid w:val="007A2FE1"/>
    <w:rsid w:val="007A4FA7"/>
    <w:rsid w:val="007A5AFC"/>
    <w:rsid w:val="007B09D5"/>
    <w:rsid w:val="007B24B5"/>
    <w:rsid w:val="007B3CE1"/>
    <w:rsid w:val="007B3DBD"/>
    <w:rsid w:val="007B454A"/>
    <w:rsid w:val="007B489C"/>
    <w:rsid w:val="007B4E2E"/>
    <w:rsid w:val="007B5BCF"/>
    <w:rsid w:val="007B67E4"/>
    <w:rsid w:val="007B7319"/>
    <w:rsid w:val="007B741F"/>
    <w:rsid w:val="007B7B79"/>
    <w:rsid w:val="007C07F4"/>
    <w:rsid w:val="007C153F"/>
    <w:rsid w:val="007C1C95"/>
    <w:rsid w:val="007C1D9A"/>
    <w:rsid w:val="007C204D"/>
    <w:rsid w:val="007C2126"/>
    <w:rsid w:val="007C23E6"/>
    <w:rsid w:val="007C275A"/>
    <w:rsid w:val="007C5112"/>
    <w:rsid w:val="007C620F"/>
    <w:rsid w:val="007C655E"/>
    <w:rsid w:val="007C6B17"/>
    <w:rsid w:val="007D0912"/>
    <w:rsid w:val="007D2859"/>
    <w:rsid w:val="007D3B7F"/>
    <w:rsid w:val="007D3EBB"/>
    <w:rsid w:val="007D4675"/>
    <w:rsid w:val="007D4F95"/>
    <w:rsid w:val="007D65AA"/>
    <w:rsid w:val="007D680B"/>
    <w:rsid w:val="007D69C5"/>
    <w:rsid w:val="007D7774"/>
    <w:rsid w:val="007E1D77"/>
    <w:rsid w:val="007E2161"/>
    <w:rsid w:val="007E26AF"/>
    <w:rsid w:val="007E331A"/>
    <w:rsid w:val="007E345B"/>
    <w:rsid w:val="007E3872"/>
    <w:rsid w:val="007E4F89"/>
    <w:rsid w:val="007E5BCF"/>
    <w:rsid w:val="007F0E66"/>
    <w:rsid w:val="007F533D"/>
    <w:rsid w:val="007F641D"/>
    <w:rsid w:val="007F70A1"/>
    <w:rsid w:val="007F7251"/>
    <w:rsid w:val="0080037A"/>
    <w:rsid w:val="008013D4"/>
    <w:rsid w:val="00801618"/>
    <w:rsid w:val="00801914"/>
    <w:rsid w:val="008031B8"/>
    <w:rsid w:val="0080416E"/>
    <w:rsid w:val="0080458A"/>
    <w:rsid w:val="00804594"/>
    <w:rsid w:val="0080608F"/>
    <w:rsid w:val="008060D4"/>
    <w:rsid w:val="008066C4"/>
    <w:rsid w:val="00811115"/>
    <w:rsid w:val="00811654"/>
    <w:rsid w:val="00813C62"/>
    <w:rsid w:val="00814FD6"/>
    <w:rsid w:val="00815579"/>
    <w:rsid w:val="00816108"/>
    <w:rsid w:val="00816870"/>
    <w:rsid w:val="0082007F"/>
    <w:rsid w:val="008205BB"/>
    <w:rsid w:val="00820990"/>
    <w:rsid w:val="00821AC0"/>
    <w:rsid w:val="00822182"/>
    <w:rsid w:val="00822838"/>
    <w:rsid w:val="008232B5"/>
    <w:rsid w:val="00824140"/>
    <w:rsid w:val="00827965"/>
    <w:rsid w:val="00827F3F"/>
    <w:rsid w:val="00830B68"/>
    <w:rsid w:val="00830BEC"/>
    <w:rsid w:val="00833D38"/>
    <w:rsid w:val="008355CD"/>
    <w:rsid w:val="008368F4"/>
    <w:rsid w:val="0083707A"/>
    <w:rsid w:val="00840F2D"/>
    <w:rsid w:val="00841AD8"/>
    <w:rsid w:val="00843580"/>
    <w:rsid w:val="00843A98"/>
    <w:rsid w:val="00843C90"/>
    <w:rsid w:val="0084462C"/>
    <w:rsid w:val="0084637C"/>
    <w:rsid w:val="00850C5F"/>
    <w:rsid w:val="00850CB2"/>
    <w:rsid w:val="0085241C"/>
    <w:rsid w:val="008538EB"/>
    <w:rsid w:val="00853BE4"/>
    <w:rsid w:val="008541C7"/>
    <w:rsid w:val="00857792"/>
    <w:rsid w:val="008577CF"/>
    <w:rsid w:val="00857F33"/>
    <w:rsid w:val="00860D15"/>
    <w:rsid w:val="008617F3"/>
    <w:rsid w:val="008622EA"/>
    <w:rsid w:val="008625F4"/>
    <w:rsid w:val="00862730"/>
    <w:rsid w:val="0086339C"/>
    <w:rsid w:val="0086435D"/>
    <w:rsid w:val="008710DB"/>
    <w:rsid w:val="008729E4"/>
    <w:rsid w:val="00873B9B"/>
    <w:rsid w:val="00873CD2"/>
    <w:rsid w:val="00875BBB"/>
    <w:rsid w:val="00876868"/>
    <w:rsid w:val="00876A6E"/>
    <w:rsid w:val="00876D2D"/>
    <w:rsid w:val="00877087"/>
    <w:rsid w:val="0087730A"/>
    <w:rsid w:val="0087752C"/>
    <w:rsid w:val="008776F1"/>
    <w:rsid w:val="008802BA"/>
    <w:rsid w:val="008805E0"/>
    <w:rsid w:val="008832A3"/>
    <w:rsid w:val="008843AF"/>
    <w:rsid w:val="00884A08"/>
    <w:rsid w:val="00885451"/>
    <w:rsid w:val="0088603C"/>
    <w:rsid w:val="008904B7"/>
    <w:rsid w:val="008916DE"/>
    <w:rsid w:val="00891CF6"/>
    <w:rsid w:val="008921D8"/>
    <w:rsid w:val="00892CD4"/>
    <w:rsid w:val="00892EA3"/>
    <w:rsid w:val="00893451"/>
    <w:rsid w:val="0089365A"/>
    <w:rsid w:val="00893ADF"/>
    <w:rsid w:val="00896858"/>
    <w:rsid w:val="008A1BD1"/>
    <w:rsid w:val="008A2A20"/>
    <w:rsid w:val="008A38A1"/>
    <w:rsid w:val="008A3979"/>
    <w:rsid w:val="008A50EB"/>
    <w:rsid w:val="008A605B"/>
    <w:rsid w:val="008B191A"/>
    <w:rsid w:val="008B1CBD"/>
    <w:rsid w:val="008B377D"/>
    <w:rsid w:val="008B52D9"/>
    <w:rsid w:val="008B54C7"/>
    <w:rsid w:val="008B5922"/>
    <w:rsid w:val="008B593B"/>
    <w:rsid w:val="008B79B0"/>
    <w:rsid w:val="008B7F2C"/>
    <w:rsid w:val="008C13E5"/>
    <w:rsid w:val="008C1C50"/>
    <w:rsid w:val="008C2CCB"/>
    <w:rsid w:val="008C412F"/>
    <w:rsid w:val="008C56AC"/>
    <w:rsid w:val="008C581E"/>
    <w:rsid w:val="008C5B3C"/>
    <w:rsid w:val="008C6848"/>
    <w:rsid w:val="008C68FE"/>
    <w:rsid w:val="008D123A"/>
    <w:rsid w:val="008D17B7"/>
    <w:rsid w:val="008D3534"/>
    <w:rsid w:val="008D4E3D"/>
    <w:rsid w:val="008D4FE2"/>
    <w:rsid w:val="008D674A"/>
    <w:rsid w:val="008D73E7"/>
    <w:rsid w:val="008D77F3"/>
    <w:rsid w:val="008E11EE"/>
    <w:rsid w:val="008E1593"/>
    <w:rsid w:val="008E1D7B"/>
    <w:rsid w:val="008E2C79"/>
    <w:rsid w:val="008E2D24"/>
    <w:rsid w:val="008E4411"/>
    <w:rsid w:val="008E4416"/>
    <w:rsid w:val="008E47E7"/>
    <w:rsid w:val="008E6205"/>
    <w:rsid w:val="008E7477"/>
    <w:rsid w:val="008E7854"/>
    <w:rsid w:val="008F1404"/>
    <w:rsid w:val="008F1608"/>
    <w:rsid w:val="008F2711"/>
    <w:rsid w:val="008F3930"/>
    <w:rsid w:val="008F3EC3"/>
    <w:rsid w:val="008F400C"/>
    <w:rsid w:val="008F491E"/>
    <w:rsid w:val="008F60CF"/>
    <w:rsid w:val="008F60EF"/>
    <w:rsid w:val="008F62D8"/>
    <w:rsid w:val="008F6CE2"/>
    <w:rsid w:val="009002DA"/>
    <w:rsid w:val="009006E5"/>
    <w:rsid w:val="00900804"/>
    <w:rsid w:val="00901666"/>
    <w:rsid w:val="00904A33"/>
    <w:rsid w:val="00905818"/>
    <w:rsid w:val="009074EA"/>
    <w:rsid w:val="00910778"/>
    <w:rsid w:val="00910ADF"/>
    <w:rsid w:val="0091226E"/>
    <w:rsid w:val="009124A8"/>
    <w:rsid w:val="0091295D"/>
    <w:rsid w:val="00912DD0"/>
    <w:rsid w:val="00913D5D"/>
    <w:rsid w:val="009141C6"/>
    <w:rsid w:val="00914290"/>
    <w:rsid w:val="00914899"/>
    <w:rsid w:val="00914FC9"/>
    <w:rsid w:val="009153AA"/>
    <w:rsid w:val="00920CA4"/>
    <w:rsid w:val="009215C4"/>
    <w:rsid w:val="00923BB8"/>
    <w:rsid w:val="0092497C"/>
    <w:rsid w:val="009262FD"/>
    <w:rsid w:val="0092683F"/>
    <w:rsid w:val="00927BDA"/>
    <w:rsid w:val="00931202"/>
    <w:rsid w:val="00932BC2"/>
    <w:rsid w:val="00933D28"/>
    <w:rsid w:val="00933E82"/>
    <w:rsid w:val="009344F1"/>
    <w:rsid w:val="0093498F"/>
    <w:rsid w:val="00935EA7"/>
    <w:rsid w:val="00942592"/>
    <w:rsid w:val="00942705"/>
    <w:rsid w:val="0094280B"/>
    <w:rsid w:val="00942F95"/>
    <w:rsid w:val="00943959"/>
    <w:rsid w:val="00943D78"/>
    <w:rsid w:val="00945597"/>
    <w:rsid w:val="00950DF6"/>
    <w:rsid w:val="009529AA"/>
    <w:rsid w:val="00953277"/>
    <w:rsid w:val="009539EC"/>
    <w:rsid w:val="00954701"/>
    <w:rsid w:val="00954865"/>
    <w:rsid w:val="00954A36"/>
    <w:rsid w:val="0095601B"/>
    <w:rsid w:val="009562EB"/>
    <w:rsid w:val="00956747"/>
    <w:rsid w:val="009634C1"/>
    <w:rsid w:val="00964DAB"/>
    <w:rsid w:val="00965359"/>
    <w:rsid w:val="0096560B"/>
    <w:rsid w:val="009658A3"/>
    <w:rsid w:val="00966202"/>
    <w:rsid w:val="0097079E"/>
    <w:rsid w:val="00970BBF"/>
    <w:rsid w:val="0097233C"/>
    <w:rsid w:val="00973BFB"/>
    <w:rsid w:val="00973EA6"/>
    <w:rsid w:val="00974159"/>
    <w:rsid w:val="00974A55"/>
    <w:rsid w:val="00974E98"/>
    <w:rsid w:val="00974FE8"/>
    <w:rsid w:val="00975927"/>
    <w:rsid w:val="00975EAE"/>
    <w:rsid w:val="00976F6B"/>
    <w:rsid w:val="00977142"/>
    <w:rsid w:val="00977250"/>
    <w:rsid w:val="0098217F"/>
    <w:rsid w:val="009822C6"/>
    <w:rsid w:val="00983573"/>
    <w:rsid w:val="009837EA"/>
    <w:rsid w:val="00986190"/>
    <w:rsid w:val="00986DFB"/>
    <w:rsid w:val="009870C9"/>
    <w:rsid w:val="0098798C"/>
    <w:rsid w:val="009920A1"/>
    <w:rsid w:val="00992732"/>
    <w:rsid w:val="00993423"/>
    <w:rsid w:val="00995439"/>
    <w:rsid w:val="00995B0E"/>
    <w:rsid w:val="00995D1C"/>
    <w:rsid w:val="009A0B20"/>
    <w:rsid w:val="009A1DD8"/>
    <w:rsid w:val="009A359A"/>
    <w:rsid w:val="009A3FFC"/>
    <w:rsid w:val="009A4720"/>
    <w:rsid w:val="009A5915"/>
    <w:rsid w:val="009A6276"/>
    <w:rsid w:val="009B15EB"/>
    <w:rsid w:val="009B3879"/>
    <w:rsid w:val="009B5004"/>
    <w:rsid w:val="009B5067"/>
    <w:rsid w:val="009B58A9"/>
    <w:rsid w:val="009B604D"/>
    <w:rsid w:val="009B7247"/>
    <w:rsid w:val="009B7554"/>
    <w:rsid w:val="009B7EF5"/>
    <w:rsid w:val="009C095D"/>
    <w:rsid w:val="009C13A4"/>
    <w:rsid w:val="009C3795"/>
    <w:rsid w:val="009C47C1"/>
    <w:rsid w:val="009C679D"/>
    <w:rsid w:val="009C74EC"/>
    <w:rsid w:val="009C7765"/>
    <w:rsid w:val="009D0881"/>
    <w:rsid w:val="009D208D"/>
    <w:rsid w:val="009D3C84"/>
    <w:rsid w:val="009D4615"/>
    <w:rsid w:val="009D6091"/>
    <w:rsid w:val="009D638E"/>
    <w:rsid w:val="009D7684"/>
    <w:rsid w:val="009D7E3F"/>
    <w:rsid w:val="009E2199"/>
    <w:rsid w:val="009E5373"/>
    <w:rsid w:val="009E5719"/>
    <w:rsid w:val="009F0527"/>
    <w:rsid w:val="009F11B6"/>
    <w:rsid w:val="009F20B5"/>
    <w:rsid w:val="009F27EF"/>
    <w:rsid w:val="009F2A2D"/>
    <w:rsid w:val="009F2C12"/>
    <w:rsid w:val="009F3F52"/>
    <w:rsid w:val="009F53B0"/>
    <w:rsid w:val="00A0102D"/>
    <w:rsid w:val="00A03AC5"/>
    <w:rsid w:val="00A04171"/>
    <w:rsid w:val="00A04343"/>
    <w:rsid w:val="00A04492"/>
    <w:rsid w:val="00A06A93"/>
    <w:rsid w:val="00A070B8"/>
    <w:rsid w:val="00A072C5"/>
    <w:rsid w:val="00A07482"/>
    <w:rsid w:val="00A079A5"/>
    <w:rsid w:val="00A1128D"/>
    <w:rsid w:val="00A1176C"/>
    <w:rsid w:val="00A118AB"/>
    <w:rsid w:val="00A1413B"/>
    <w:rsid w:val="00A14C58"/>
    <w:rsid w:val="00A169CE"/>
    <w:rsid w:val="00A20F62"/>
    <w:rsid w:val="00A21901"/>
    <w:rsid w:val="00A22C22"/>
    <w:rsid w:val="00A23680"/>
    <w:rsid w:val="00A2579A"/>
    <w:rsid w:val="00A26004"/>
    <w:rsid w:val="00A27BB2"/>
    <w:rsid w:val="00A30950"/>
    <w:rsid w:val="00A318F6"/>
    <w:rsid w:val="00A32CAA"/>
    <w:rsid w:val="00A34CFD"/>
    <w:rsid w:val="00A35908"/>
    <w:rsid w:val="00A365A8"/>
    <w:rsid w:val="00A37575"/>
    <w:rsid w:val="00A37915"/>
    <w:rsid w:val="00A37C72"/>
    <w:rsid w:val="00A40019"/>
    <w:rsid w:val="00A408F1"/>
    <w:rsid w:val="00A41382"/>
    <w:rsid w:val="00A4163E"/>
    <w:rsid w:val="00A41B44"/>
    <w:rsid w:val="00A41B5A"/>
    <w:rsid w:val="00A4376A"/>
    <w:rsid w:val="00A45902"/>
    <w:rsid w:val="00A46B9F"/>
    <w:rsid w:val="00A4718C"/>
    <w:rsid w:val="00A47904"/>
    <w:rsid w:val="00A50959"/>
    <w:rsid w:val="00A52140"/>
    <w:rsid w:val="00A52927"/>
    <w:rsid w:val="00A55081"/>
    <w:rsid w:val="00A553F8"/>
    <w:rsid w:val="00A558A2"/>
    <w:rsid w:val="00A5675F"/>
    <w:rsid w:val="00A56FE6"/>
    <w:rsid w:val="00A5786C"/>
    <w:rsid w:val="00A57D81"/>
    <w:rsid w:val="00A606A6"/>
    <w:rsid w:val="00A62F09"/>
    <w:rsid w:val="00A63C24"/>
    <w:rsid w:val="00A63CDE"/>
    <w:rsid w:val="00A66F76"/>
    <w:rsid w:val="00A674D8"/>
    <w:rsid w:val="00A6795B"/>
    <w:rsid w:val="00A700C5"/>
    <w:rsid w:val="00A749CC"/>
    <w:rsid w:val="00A762C9"/>
    <w:rsid w:val="00A767A8"/>
    <w:rsid w:val="00A76916"/>
    <w:rsid w:val="00A81CF8"/>
    <w:rsid w:val="00A8280C"/>
    <w:rsid w:val="00A82978"/>
    <w:rsid w:val="00A83B57"/>
    <w:rsid w:val="00A84879"/>
    <w:rsid w:val="00A86422"/>
    <w:rsid w:val="00A870F1"/>
    <w:rsid w:val="00A874D1"/>
    <w:rsid w:val="00A90360"/>
    <w:rsid w:val="00A909DE"/>
    <w:rsid w:val="00A90D57"/>
    <w:rsid w:val="00A91B92"/>
    <w:rsid w:val="00A929EA"/>
    <w:rsid w:val="00A92E28"/>
    <w:rsid w:val="00A93D9A"/>
    <w:rsid w:val="00A94125"/>
    <w:rsid w:val="00A95C2D"/>
    <w:rsid w:val="00A9712B"/>
    <w:rsid w:val="00AA00CE"/>
    <w:rsid w:val="00AA1F32"/>
    <w:rsid w:val="00AA286D"/>
    <w:rsid w:val="00AA465D"/>
    <w:rsid w:val="00AA697E"/>
    <w:rsid w:val="00AA7FEF"/>
    <w:rsid w:val="00AB02F4"/>
    <w:rsid w:val="00AB13FF"/>
    <w:rsid w:val="00AB1460"/>
    <w:rsid w:val="00AB16B1"/>
    <w:rsid w:val="00AB1C06"/>
    <w:rsid w:val="00AB1E67"/>
    <w:rsid w:val="00AB438B"/>
    <w:rsid w:val="00AC0BE1"/>
    <w:rsid w:val="00AC1280"/>
    <w:rsid w:val="00AC1722"/>
    <w:rsid w:val="00AC25D4"/>
    <w:rsid w:val="00AC514A"/>
    <w:rsid w:val="00AC54B7"/>
    <w:rsid w:val="00AC711C"/>
    <w:rsid w:val="00AD192D"/>
    <w:rsid w:val="00AD3D0E"/>
    <w:rsid w:val="00AD4228"/>
    <w:rsid w:val="00AD4340"/>
    <w:rsid w:val="00AD4B10"/>
    <w:rsid w:val="00AD697A"/>
    <w:rsid w:val="00AD77D8"/>
    <w:rsid w:val="00AD7809"/>
    <w:rsid w:val="00AE0B25"/>
    <w:rsid w:val="00AE1088"/>
    <w:rsid w:val="00AE2464"/>
    <w:rsid w:val="00AE27E1"/>
    <w:rsid w:val="00AE39DD"/>
    <w:rsid w:val="00AE3FD0"/>
    <w:rsid w:val="00AE6CA8"/>
    <w:rsid w:val="00AE74F4"/>
    <w:rsid w:val="00AE7CEB"/>
    <w:rsid w:val="00AE7DFF"/>
    <w:rsid w:val="00AF0559"/>
    <w:rsid w:val="00AF43A3"/>
    <w:rsid w:val="00AF5AE1"/>
    <w:rsid w:val="00AF5D5E"/>
    <w:rsid w:val="00AF6EBD"/>
    <w:rsid w:val="00B00760"/>
    <w:rsid w:val="00B01395"/>
    <w:rsid w:val="00B016CF"/>
    <w:rsid w:val="00B03315"/>
    <w:rsid w:val="00B0348E"/>
    <w:rsid w:val="00B040D3"/>
    <w:rsid w:val="00B04760"/>
    <w:rsid w:val="00B0480E"/>
    <w:rsid w:val="00B117FD"/>
    <w:rsid w:val="00B13D79"/>
    <w:rsid w:val="00B149AE"/>
    <w:rsid w:val="00B15A27"/>
    <w:rsid w:val="00B163B1"/>
    <w:rsid w:val="00B20EBA"/>
    <w:rsid w:val="00B21353"/>
    <w:rsid w:val="00B2138C"/>
    <w:rsid w:val="00B2197B"/>
    <w:rsid w:val="00B2313A"/>
    <w:rsid w:val="00B235A9"/>
    <w:rsid w:val="00B2364D"/>
    <w:rsid w:val="00B241BA"/>
    <w:rsid w:val="00B244C9"/>
    <w:rsid w:val="00B24DBA"/>
    <w:rsid w:val="00B258EA"/>
    <w:rsid w:val="00B25A18"/>
    <w:rsid w:val="00B267E4"/>
    <w:rsid w:val="00B30D6E"/>
    <w:rsid w:val="00B3152A"/>
    <w:rsid w:val="00B31E97"/>
    <w:rsid w:val="00B32801"/>
    <w:rsid w:val="00B3444F"/>
    <w:rsid w:val="00B351F1"/>
    <w:rsid w:val="00B352B0"/>
    <w:rsid w:val="00B35D4A"/>
    <w:rsid w:val="00B36E00"/>
    <w:rsid w:val="00B36E14"/>
    <w:rsid w:val="00B37935"/>
    <w:rsid w:val="00B37EDE"/>
    <w:rsid w:val="00B412F5"/>
    <w:rsid w:val="00B41713"/>
    <w:rsid w:val="00B4176F"/>
    <w:rsid w:val="00B4239B"/>
    <w:rsid w:val="00B42947"/>
    <w:rsid w:val="00B42C2C"/>
    <w:rsid w:val="00B43476"/>
    <w:rsid w:val="00B434F1"/>
    <w:rsid w:val="00B44D3E"/>
    <w:rsid w:val="00B45D31"/>
    <w:rsid w:val="00B511CF"/>
    <w:rsid w:val="00B51664"/>
    <w:rsid w:val="00B5178F"/>
    <w:rsid w:val="00B51C7B"/>
    <w:rsid w:val="00B51DCC"/>
    <w:rsid w:val="00B51E6A"/>
    <w:rsid w:val="00B522E1"/>
    <w:rsid w:val="00B52F0E"/>
    <w:rsid w:val="00B5303E"/>
    <w:rsid w:val="00B538AA"/>
    <w:rsid w:val="00B53DBC"/>
    <w:rsid w:val="00B541A3"/>
    <w:rsid w:val="00B545A4"/>
    <w:rsid w:val="00B54889"/>
    <w:rsid w:val="00B54EA3"/>
    <w:rsid w:val="00B55F07"/>
    <w:rsid w:val="00B56C33"/>
    <w:rsid w:val="00B5737F"/>
    <w:rsid w:val="00B6018C"/>
    <w:rsid w:val="00B60885"/>
    <w:rsid w:val="00B618C2"/>
    <w:rsid w:val="00B61E12"/>
    <w:rsid w:val="00B62147"/>
    <w:rsid w:val="00B62683"/>
    <w:rsid w:val="00B63151"/>
    <w:rsid w:val="00B63635"/>
    <w:rsid w:val="00B645DA"/>
    <w:rsid w:val="00B64C3A"/>
    <w:rsid w:val="00B70076"/>
    <w:rsid w:val="00B71AAA"/>
    <w:rsid w:val="00B71E33"/>
    <w:rsid w:val="00B72ABD"/>
    <w:rsid w:val="00B72F01"/>
    <w:rsid w:val="00B74086"/>
    <w:rsid w:val="00B7523B"/>
    <w:rsid w:val="00B76FF8"/>
    <w:rsid w:val="00B77ADF"/>
    <w:rsid w:val="00B81331"/>
    <w:rsid w:val="00B816C8"/>
    <w:rsid w:val="00B82769"/>
    <w:rsid w:val="00B82FD2"/>
    <w:rsid w:val="00B82FE0"/>
    <w:rsid w:val="00B84EFF"/>
    <w:rsid w:val="00B85691"/>
    <w:rsid w:val="00B86987"/>
    <w:rsid w:val="00B87AAD"/>
    <w:rsid w:val="00B92789"/>
    <w:rsid w:val="00B9347C"/>
    <w:rsid w:val="00B94C35"/>
    <w:rsid w:val="00B9564A"/>
    <w:rsid w:val="00B96FF7"/>
    <w:rsid w:val="00B975D3"/>
    <w:rsid w:val="00B978AB"/>
    <w:rsid w:val="00BA003E"/>
    <w:rsid w:val="00BA1B28"/>
    <w:rsid w:val="00BA2A4E"/>
    <w:rsid w:val="00BA3385"/>
    <w:rsid w:val="00BA3479"/>
    <w:rsid w:val="00BA3D77"/>
    <w:rsid w:val="00BA443A"/>
    <w:rsid w:val="00BA50C7"/>
    <w:rsid w:val="00BA5517"/>
    <w:rsid w:val="00BA55BC"/>
    <w:rsid w:val="00BB0254"/>
    <w:rsid w:val="00BB0D9F"/>
    <w:rsid w:val="00BB39C6"/>
    <w:rsid w:val="00BB5DFE"/>
    <w:rsid w:val="00BB614C"/>
    <w:rsid w:val="00BC17CB"/>
    <w:rsid w:val="00BC216F"/>
    <w:rsid w:val="00BC4677"/>
    <w:rsid w:val="00BC59BB"/>
    <w:rsid w:val="00BC6403"/>
    <w:rsid w:val="00BC6BC1"/>
    <w:rsid w:val="00BC7621"/>
    <w:rsid w:val="00BC7C46"/>
    <w:rsid w:val="00BD05C2"/>
    <w:rsid w:val="00BD1741"/>
    <w:rsid w:val="00BD1BEA"/>
    <w:rsid w:val="00BD6C26"/>
    <w:rsid w:val="00BD7B38"/>
    <w:rsid w:val="00BD7F10"/>
    <w:rsid w:val="00BE048A"/>
    <w:rsid w:val="00BE0650"/>
    <w:rsid w:val="00BE2251"/>
    <w:rsid w:val="00BE29EB"/>
    <w:rsid w:val="00BE4A58"/>
    <w:rsid w:val="00BE5599"/>
    <w:rsid w:val="00BE574A"/>
    <w:rsid w:val="00BE5776"/>
    <w:rsid w:val="00BE5948"/>
    <w:rsid w:val="00BF0C18"/>
    <w:rsid w:val="00BF1991"/>
    <w:rsid w:val="00BF24B7"/>
    <w:rsid w:val="00BF268D"/>
    <w:rsid w:val="00BF28AE"/>
    <w:rsid w:val="00BF36E6"/>
    <w:rsid w:val="00BF3AC8"/>
    <w:rsid w:val="00BF3F1E"/>
    <w:rsid w:val="00BF4445"/>
    <w:rsid w:val="00BF6781"/>
    <w:rsid w:val="00BF73C9"/>
    <w:rsid w:val="00BF78BB"/>
    <w:rsid w:val="00C002FB"/>
    <w:rsid w:val="00C0062D"/>
    <w:rsid w:val="00C012DF"/>
    <w:rsid w:val="00C03D68"/>
    <w:rsid w:val="00C04FC3"/>
    <w:rsid w:val="00C0542B"/>
    <w:rsid w:val="00C05571"/>
    <w:rsid w:val="00C07A55"/>
    <w:rsid w:val="00C10710"/>
    <w:rsid w:val="00C10998"/>
    <w:rsid w:val="00C10A93"/>
    <w:rsid w:val="00C11F15"/>
    <w:rsid w:val="00C132E8"/>
    <w:rsid w:val="00C15D5E"/>
    <w:rsid w:val="00C16725"/>
    <w:rsid w:val="00C20995"/>
    <w:rsid w:val="00C20C2B"/>
    <w:rsid w:val="00C21626"/>
    <w:rsid w:val="00C21635"/>
    <w:rsid w:val="00C23180"/>
    <w:rsid w:val="00C23399"/>
    <w:rsid w:val="00C2477A"/>
    <w:rsid w:val="00C24DC5"/>
    <w:rsid w:val="00C2611E"/>
    <w:rsid w:val="00C265E3"/>
    <w:rsid w:val="00C26997"/>
    <w:rsid w:val="00C27472"/>
    <w:rsid w:val="00C27F8C"/>
    <w:rsid w:val="00C30801"/>
    <w:rsid w:val="00C31B93"/>
    <w:rsid w:val="00C31F22"/>
    <w:rsid w:val="00C32CDD"/>
    <w:rsid w:val="00C32F82"/>
    <w:rsid w:val="00C33E9A"/>
    <w:rsid w:val="00C35322"/>
    <w:rsid w:val="00C37BF5"/>
    <w:rsid w:val="00C37DB5"/>
    <w:rsid w:val="00C40C7A"/>
    <w:rsid w:val="00C40CAD"/>
    <w:rsid w:val="00C41A75"/>
    <w:rsid w:val="00C43C01"/>
    <w:rsid w:val="00C45A13"/>
    <w:rsid w:val="00C46B63"/>
    <w:rsid w:val="00C46FBD"/>
    <w:rsid w:val="00C501CD"/>
    <w:rsid w:val="00C5105D"/>
    <w:rsid w:val="00C51C80"/>
    <w:rsid w:val="00C53891"/>
    <w:rsid w:val="00C53EE2"/>
    <w:rsid w:val="00C5418F"/>
    <w:rsid w:val="00C54861"/>
    <w:rsid w:val="00C5526E"/>
    <w:rsid w:val="00C55361"/>
    <w:rsid w:val="00C5551A"/>
    <w:rsid w:val="00C557B5"/>
    <w:rsid w:val="00C558DB"/>
    <w:rsid w:val="00C63020"/>
    <w:rsid w:val="00C6354D"/>
    <w:rsid w:val="00C64025"/>
    <w:rsid w:val="00C651E7"/>
    <w:rsid w:val="00C677FC"/>
    <w:rsid w:val="00C723B5"/>
    <w:rsid w:val="00C72BCD"/>
    <w:rsid w:val="00C736CD"/>
    <w:rsid w:val="00C73C3D"/>
    <w:rsid w:val="00C75031"/>
    <w:rsid w:val="00C75C73"/>
    <w:rsid w:val="00C76C2D"/>
    <w:rsid w:val="00C77A5D"/>
    <w:rsid w:val="00C77D53"/>
    <w:rsid w:val="00C80335"/>
    <w:rsid w:val="00C818BC"/>
    <w:rsid w:val="00C81EC5"/>
    <w:rsid w:val="00C82285"/>
    <w:rsid w:val="00C82449"/>
    <w:rsid w:val="00C85746"/>
    <w:rsid w:val="00C86133"/>
    <w:rsid w:val="00C9295A"/>
    <w:rsid w:val="00C92EB2"/>
    <w:rsid w:val="00C935BF"/>
    <w:rsid w:val="00C94092"/>
    <w:rsid w:val="00C95C02"/>
    <w:rsid w:val="00C96636"/>
    <w:rsid w:val="00C97972"/>
    <w:rsid w:val="00CA0F59"/>
    <w:rsid w:val="00CA192C"/>
    <w:rsid w:val="00CA3820"/>
    <w:rsid w:val="00CA4BB4"/>
    <w:rsid w:val="00CA570B"/>
    <w:rsid w:val="00CA5DE9"/>
    <w:rsid w:val="00CA67B3"/>
    <w:rsid w:val="00CA7BF2"/>
    <w:rsid w:val="00CB03FC"/>
    <w:rsid w:val="00CB2236"/>
    <w:rsid w:val="00CB4A9A"/>
    <w:rsid w:val="00CB59C4"/>
    <w:rsid w:val="00CB7EA7"/>
    <w:rsid w:val="00CC16B3"/>
    <w:rsid w:val="00CC1F0B"/>
    <w:rsid w:val="00CC562C"/>
    <w:rsid w:val="00CC578C"/>
    <w:rsid w:val="00CC5940"/>
    <w:rsid w:val="00CC6CF9"/>
    <w:rsid w:val="00CC7BC5"/>
    <w:rsid w:val="00CD0319"/>
    <w:rsid w:val="00CD3DC9"/>
    <w:rsid w:val="00CD3FD6"/>
    <w:rsid w:val="00CD5B62"/>
    <w:rsid w:val="00CD6F8E"/>
    <w:rsid w:val="00CE02EE"/>
    <w:rsid w:val="00CE076D"/>
    <w:rsid w:val="00CE2A7F"/>
    <w:rsid w:val="00CF050B"/>
    <w:rsid w:val="00CF24AA"/>
    <w:rsid w:val="00CF363B"/>
    <w:rsid w:val="00CF3C99"/>
    <w:rsid w:val="00CF4202"/>
    <w:rsid w:val="00CF60A7"/>
    <w:rsid w:val="00CF7690"/>
    <w:rsid w:val="00CF7963"/>
    <w:rsid w:val="00CF7BEB"/>
    <w:rsid w:val="00CF7F3E"/>
    <w:rsid w:val="00D00E6E"/>
    <w:rsid w:val="00D00EE0"/>
    <w:rsid w:val="00D015BC"/>
    <w:rsid w:val="00D01BF8"/>
    <w:rsid w:val="00D0325A"/>
    <w:rsid w:val="00D03B5C"/>
    <w:rsid w:val="00D0419F"/>
    <w:rsid w:val="00D041E2"/>
    <w:rsid w:val="00D0473B"/>
    <w:rsid w:val="00D0648C"/>
    <w:rsid w:val="00D0690C"/>
    <w:rsid w:val="00D109A5"/>
    <w:rsid w:val="00D145A6"/>
    <w:rsid w:val="00D14600"/>
    <w:rsid w:val="00D15D0C"/>
    <w:rsid w:val="00D16443"/>
    <w:rsid w:val="00D17F34"/>
    <w:rsid w:val="00D204C3"/>
    <w:rsid w:val="00D20D17"/>
    <w:rsid w:val="00D22DC7"/>
    <w:rsid w:val="00D2782A"/>
    <w:rsid w:val="00D30FA4"/>
    <w:rsid w:val="00D31C36"/>
    <w:rsid w:val="00D31CFA"/>
    <w:rsid w:val="00D31E05"/>
    <w:rsid w:val="00D32FEA"/>
    <w:rsid w:val="00D33B6C"/>
    <w:rsid w:val="00D340A2"/>
    <w:rsid w:val="00D34105"/>
    <w:rsid w:val="00D348AB"/>
    <w:rsid w:val="00D36912"/>
    <w:rsid w:val="00D372C9"/>
    <w:rsid w:val="00D41570"/>
    <w:rsid w:val="00D42E91"/>
    <w:rsid w:val="00D42F64"/>
    <w:rsid w:val="00D42FD5"/>
    <w:rsid w:val="00D432DF"/>
    <w:rsid w:val="00D43BB3"/>
    <w:rsid w:val="00D45C5A"/>
    <w:rsid w:val="00D46AE6"/>
    <w:rsid w:val="00D46E4B"/>
    <w:rsid w:val="00D473DD"/>
    <w:rsid w:val="00D47495"/>
    <w:rsid w:val="00D47E24"/>
    <w:rsid w:val="00D50424"/>
    <w:rsid w:val="00D52B20"/>
    <w:rsid w:val="00D53465"/>
    <w:rsid w:val="00D536BC"/>
    <w:rsid w:val="00D53ADE"/>
    <w:rsid w:val="00D575CE"/>
    <w:rsid w:val="00D6210C"/>
    <w:rsid w:val="00D6261D"/>
    <w:rsid w:val="00D62FB1"/>
    <w:rsid w:val="00D63C9B"/>
    <w:rsid w:val="00D63FFC"/>
    <w:rsid w:val="00D648C4"/>
    <w:rsid w:val="00D649D1"/>
    <w:rsid w:val="00D65AF6"/>
    <w:rsid w:val="00D65FFD"/>
    <w:rsid w:val="00D6662C"/>
    <w:rsid w:val="00D670F5"/>
    <w:rsid w:val="00D67609"/>
    <w:rsid w:val="00D714F1"/>
    <w:rsid w:val="00D71671"/>
    <w:rsid w:val="00D732CA"/>
    <w:rsid w:val="00D73AE4"/>
    <w:rsid w:val="00D74FA6"/>
    <w:rsid w:val="00D754B5"/>
    <w:rsid w:val="00D760E5"/>
    <w:rsid w:val="00D76594"/>
    <w:rsid w:val="00D76609"/>
    <w:rsid w:val="00D7676C"/>
    <w:rsid w:val="00D80CC6"/>
    <w:rsid w:val="00D82214"/>
    <w:rsid w:val="00D83F1C"/>
    <w:rsid w:val="00D86BAF"/>
    <w:rsid w:val="00D87367"/>
    <w:rsid w:val="00D90052"/>
    <w:rsid w:val="00D90B71"/>
    <w:rsid w:val="00D90E3D"/>
    <w:rsid w:val="00D91189"/>
    <w:rsid w:val="00D917F1"/>
    <w:rsid w:val="00D92013"/>
    <w:rsid w:val="00D92E8D"/>
    <w:rsid w:val="00D93D39"/>
    <w:rsid w:val="00D93DD9"/>
    <w:rsid w:val="00D95368"/>
    <w:rsid w:val="00D95B30"/>
    <w:rsid w:val="00D95EFB"/>
    <w:rsid w:val="00D96878"/>
    <w:rsid w:val="00DA004E"/>
    <w:rsid w:val="00DA0CE4"/>
    <w:rsid w:val="00DA0F0A"/>
    <w:rsid w:val="00DA3BE9"/>
    <w:rsid w:val="00DA6C2A"/>
    <w:rsid w:val="00DA6EAC"/>
    <w:rsid w:val="00DB02DF"/>
    <w:rsid w:val="00DB316D"/>
    <w:rsid w:val="00DB3564"/>
    <w:rsid w:val="00DB3DA4"/>
    <w:rsid w:val="00DB7F56"/>
    <w:rsid w:val="00DC058D"/>
    <w:rsid w:val="00DC0B71"/>
    <w:rsid w:val="00DC0D52"/>
    <w:rsid w:val="00DC3655"/>
    <w:rsid w:val="00DC534C"/>
    <w:rsid w:val="00DC5BC3"/>
    <w:rsid w:val="00DC6899"/>
    <w:rsid w:val="00DC777D"/>
    <w:rsid w:val="00DD21E9"/>
    <w:rsid w:val="00DD2BDE"/>
    <w:rsid w:val="00DD3014"/>
    <w:rsid w:val="00DD462C"/>
    <w:rsid w:val="00DD6348"/>
    <w:rsid w:val="00DD6353"/>
    <w:rsid w:val="00DD7324"/>
    <w:rsid w:val="00DD7BAC"/>
    <w:rsid w:val="00DE0314"/>
    <w:rsid w:val="00DE048D"/>
    <w:rsid w:val="00DE06D1"/>
    <w:rsid w:val="00DE17FD"/>
    <w:rsid w:val="00DE2135"/>
    <w:rsid w:val="00DE439F"/>
    <w:rsid w:val="00DE4FC6"/>
    <w:rsid w:val="00DE5356"/>
    <w:rsid w:val="00DE5C71"/>
    <w:rsid w:val="00DE75FB"/>
    <w:rsid w:val="00DF172A"/>
    <w:rsid w:val="00DF3151"/>
    <w:rsid w:val="00DF52C5"/>
    <w:rsid w:val="00DF6D66"/>
    <w:rsid w:val="00E006C4"/>
    <w:rsid w:val="00E0072B"/>
    <w:rsid w:val="00E03846"/>
    <w:rsid w:val="00E04B0C"/>
    <w:rsid w:val="00E053C2"/>
    <w:rsid w:val="00E054E3"/>
    <w:rsid w:val="00E05AFF"/>
    <w:rsid w:val="00E1075E"/>
    <w:rsid w:val="00E10A00"/>
    <w:rsid w:val="00E112F3"/>
    <w:rsid w:val="00E1171E"/>
    <w:rsid w:val="00E121E3"/>
    <w:rsid w:val="00E12B6D"/>
    <w:rsid w:val="00E14794"/>
    <w:rsid w:val="00E14946"/>
    <w:rsid w:val="00E16CDD"/>
    <w:rsid w:val="00E21A11"/>
    <w:rsid w:val="00E22659"/>
    <w:rsid w:val="00E23294"/>
    <w:rsid w:val="00E23A23"/>
    <w:rsid w:val="00E24CEB"/>
    <w:rsid w:val="00E24F8B"/>
    <w:rsid w:val="00E256E4"/>
    <w:rsid w:val="00E25B66"/>
    <w:rsid w:val="00E268A9"/>
    <w:rsid w:val="00E270AB"/>
    <w:rsid w:val="00E2779A"/>
    <w:rsid w:val="00E30DB2"/>
    <w:rsid w:val="00E3115C"/>
    <w:rsid w:val="00E31522"/>
    <w:rsid w:val="00E31696"/>
    <w:rsid w:val="00E31CA8"/>
    <w:rsid w:val="00E31CDB"/>
    <w:rsid w:val="00E34AC5"/>
    <w:rsid w:val="00E354E5"/>
    <w:rsid w:val="00E40567"/>
    <w:rsid w:val="00E406ED"/>
    <w:rsid w:val="00E411C0"/>
    <w:rsid w:val="00E41E92"/>
    <w:rsid w:val="00E41FA5"/>
    <w:rsid w:val="00E4250D"/>
    <w:rsid w:val="00E42ABF"/>
    <w:rsid w:val="00E42DBD"/>
    <w:rsid w:val="00E4349F"/>
    <w:rsid w:val="00E44593"/>
    <w:rsid w:val="00E4490A"/>
    <w:rsid w:val="00E44EBC"/>
    <w:rsid w:val="00E44FDA"/>
    <w:rsid w:val="00E4607E"/>
    <w:rsid w:val="00E46867"/>
    <w:rsid w:val="00E500AC"/>
    <w:rsid w:val="00E503D6"/>
    <w:rsid w:val="00E5076E"/>
    <w:rsid w:val="00E55B52"/>
    <w:rsid w:val="00E625B5"/>
    <w:rsid w:val="00E629EA"/>
    <w:rsid w:val="00E630AD"/>
    <w:rsid w:val="00E63726"/>
    <w:rsid w:val="00E65EDE"/>
    <w:rsid w:val="00E6607A"/>
    <w:rsid w:val="00E66E76"/>
    <w:rsid w:val="00E67582"/>
    <w:rsid w:val="00E6784B"/>
    <w:rsid w:val="00E67AF9"/>
    <w:rsid w:val="00E70B43"/>
    <w:rsid w:val="00E70D94"/>
    <w:rsid w:val="00E71A3F"/>
    <w:rsid w:val="00E721A4"/>
    <w:rsid w:val="00E72F47"/>
    <w:rsid w:val="00E74D55"/>
    <w:rsid w:val="00E7510D"/>
    <w:rsid w:val="00E75D11"/>
    <w:rsid w:val="00E75D78"/>
    <w:rsid w:val="00E772ED"/>
    <w:rsid w:val="00E7731B"/>
    <w:rsid w:val="00E80444"/>
    <w:rsid w:val="00E80D85"/>
    <w:rsid w:val="00E80E08"/>
    <w:rsid w:val="00E833C7"/>
    <w:rsid w:val="00E846FD"/>
    <w:rsid w:val="00E85BCC"/>
    <w:rsid w:val="00E862A1"/>
    <w:rsid w:val="00E86DCA"/>
    <w:rsid w:val="00E87658"/>
    <w:rsid w:val="00E87CF0"/>
    <w:rsid w:val="00E909BD"/>
    <w:rsid w:val="00E9135D"/>
    <w:rsid w:val="00E91929"/>
    <w:rsid w:val="00E9204D"/>
    <w:rsid w:val="00E93D24"/>
    <w:rsid w:val="00E94643"/>
    <w:rsid w:val="00E948F8"/>
    <w:rsid w:val="00E95088"/>
    <w:rsid w:val="00E95F24"/>
    <w:rsid w:val="00E965A8"/>
    <w:rsid w:val="00E97AB7"/>
    <w:rsid w:val="00E97C3C"/>
    <w:rsid w:val="00E97CAA"/>
    <w:rsid w:val="00E97F13"/>
    <w:rsid w:val="00EA05AF"/>
    <w:rsid w:val="00EA0E17"/>
    <w:rsid w:val="00EA1A25"/>
    <w:rsid w:val="00EA1F22"/>
    <w:rsid w:val="00EA236E"/>
    <w:rsid w:val="00EA2682"/>
    <w:rsid w:val="00EA2C03"/>
    <w:rsid w:val="00EA33E4"/>
    <w:rsid w:val="00EA377D"/>
    <w:rsid w:val="00EA5D03"/>
    <w:rsid w:val="00EA6387"/>
    <w:rsid w:val="00EA6C02"/>
    <w:rsid w:val="00EA7821"/>
    <w:rsid w:val="00EB006A"/>
    <w:rsid w:val="00EB0403"/>
    <w:rsid w:val="00EB28BE"/>
    <w:rsid w:val="00EB55D9"/>
    <w:rsid w:val="00EB55EE"/>
    <w:rsid w:val="00EB6438"/>
    <w:rsid w:val="00EB6704"/>
    <w:rsid w:val="00EB7605"/>
    <w:rsid w:val="00EB77CC"/>
    <w:rsid w:val="00EC22BF"/>
    <w:rsid w:val="00EC2F1B"/>
    <w:rsid w:val="00EC3125"/>
    <w:rsid w:val="00EC4480"/>
    <w:rsid w:val="00EC46CE"/>
    <w:rsid w:val="00EC4D34"/>
    <w:rsid w:val="00EC5114"/>
    <w:rsid w:val="00EC64B0"/>
    <w:rsid w:val="00EC66F2"/>
    <w:rsid w:val="00EC72D5"/>
    <w:rsid w:val="00EC73BC"/>
    <w:rsid w:val="00EC74CF"/>
    <w:rsid w:val="00ED2526"/>
    <w:rsid w:val="00ED2D11"/>
    <w:rsid w:val="00ED3667"/>
    <w:rsid w:val="00ED586D"/>
    <w:rsid w:val="00ED6553"/>
    <w:rsid w:val="00ED663B"/>
    <w:rsid w:val="00ED6F02"/>
    <w:rsid w:val="00ED778E"/>
    <w:rsid w:val="00ED7FA4"/>
    <w:rsid w:val="00EE01B5"/>
    <w:rsid w:val="00EE0298"/>
    <w:rsid w:val="00EE0C61"/>
    <w:rsid w:val="00EE2146"/>
    <w:rsid w:val="00EE3559"/>
    <w:rsid w:val="00EE3B68"/>
    <w:rsid w:val="00EE3C2E"/>
    <w:rsid w:val="00EE5629"/>
    <w:rsid w:val="00EE570A"/>
    <w:rsid w:val="00EE5C05"/>
    <w:rsid w:val="00EE5F40"/>
    <w:rsid w:val="00EE7393"/>
    <w:rsid w:val="00EE7BB1"/>
    <w:rsid w:val="00EF06B2"/>
    <w:rsid w:val="00EF089C"/>
    <w:rsid w:val="00EF0A02"/>
    <w:rsid w:val="00EF1AF5"/>
    <w:rsid w:val="00EF1CD9"/>
    <w:rsid w:val="00EF2D70"/>
    <w:rsid w:val="00EF2E35"/>
    <w:rsid w:val="00EF3134"/>
    <w:rsid w:val="00EF4661"/>
    <w:rsid w:val="00EF46F9"/>
    <w:rsid w:val="00EF4B2E"/>
    <w:rsid w:val="00EF4D75"/>
    <w:rsid w:val="00EF6E23"/>
    <w:rsid w:val="00EF741C"/>
    <w:rsid w:val="00EF75DC"/>
    <w:rsid w:val="00EF76DD"/>
    <w:rsid w:val="00EF7EA6"/>
    <w:rsid w:val="00F0247A"/>
    <w:rsid w:val="00F02ECB"/>
    <w:rsid w:val="00F02F9F"/>
    <w:rsid w:val="00F03FA5"/>
    <w:rsid w:val="00F06DC6"/>
    <w:rsid w:val="00F07501"/>
    <w:rsid w:val="00F10681"/>
    <w:rsid w:val="00F10B6D"/>
    <w:rsid w:val="00F10FAE"/>
    <w:rsid w:val="00F1258B"/>
    <w:rsid w:val="00F16160"/>
    <w:rsid w:val="00F1717C"/>
    <w:rsid w:val="00F17DB1"/>
    <w:rsid w:val="00F17F62"/>
    <w:rsid w:val="00F216BC"/>
    <w:rsid w:val="00F21968"/>
    <w:rsid w:val="00F23D12"/>
    <w:rsid w:val="00F2507F"/>
    <w:rsid w:val="00F277DD"/>
    <w:rsid w:val="00F27A22"/>
    <w:rsid w:val="00F27E04"/>
    <w:rsid w:val="00F320B5"/>
    <w:rsid w:val="00F32461"/>
    <w:rsid w:val="00F32E9B"/>
    <w:rsid w:val="00F33EC4"/>
    <w:rsid w:val="00F34D84"/>
    <w:rsid w:val="00F37A1B"/>
    <w:rsid w:val="00F40877"/>
    <w:rsid w:val="00F41B77"/>
    <w:rsid w:val="00F4210C"/>
    <w:rsid w:val="00F44041"/>
    <w:rsid w:val="00F44F4E"/>
    <w:rsid w:val="00F46CC5"/>
    <w:rsid w:val="00F47375"/>
    <w:rsid w:val="00F476A0"/>
    <w:rsid w:val="00F47D3D"/>
    <w:rsid w:val="00F5033A"/>
    <w:rsid w:val="00F50F42"/>
    <w:rsid w:val="00F51B12"/>
    <w:rsid w:val="00F5285D"/>
    <w:rsid w:val="00F60A99"/>
    <w:rsid w:val="00F62B40"/>
    <w:rsid w:val="00F62F86"/>
    <w:rsid w:val="00F63E73"/>
    <w:rsid w:val="00F647C9"/>
    <w:rsid w:val="00F6528A"/>
    <w:rsid w:val="00F655AC"/>
    <w:rsid w:val="00F66978"/>
    <w:rsid w:val="00F67602"/>
    <w:rsid w:val="00F67974"/>
    <w:rsid w:val="00F70FFC"/>
    <w:rsid w:val="00F732A3"/>
    <w:rsid w:val="00F73C0E"/>
    <w:rsid w:val="00F77FCC"/>
    <w:rsid w:val="00F8147D"/>
    <w:rsid w:val="00F8171A"/>
    <w:rsid w:val="00F81F86"/>
    <w:rsid w:val="00F828ED"/>
    <w:rsid w:val="00F82EF4"/>
    <w:rsid w:val="00F83446"/>
    <w:rsid w:val="00F83748"/>
    <w:rsid w:val="00F8432B"/>
    <w:rsid w:val="00F84EB8"/>
    <w:rsid w:val="00F851B1"/>
    <w:rsid w:val="00F85829"/>
    <w:rsid w:val="00F85B59"/>
    <w:rsid w:val="00F85FCC"/>
    <w:rsid w:val="00F86621"/>
    <w:rsid w:val="00F8663C"/>
    <w:rsid w:val="00F87AF2"/>
    <w:rsid w:val="00F91BC0"/>
    <w:rsid w:val="00F92EBE"/>
    <w:rsid w:val="00F93938"/>
    <w:rsid w:val="00F96C2D"/>
    <w:rsid w:val="00F97797"/>
    <w:rsid w:val="00F97EFC"/>
    <w:rsid w:val="00FA134B"/>
    <w:rsid w:val="00FA2422"/>
    <w:rsid w:val="00FA24A2"/>
    <w:rsid w:val="00FA27DF"/>
    <w:rsid w:val="00FA2C34"/>
    <w:rsid w:val="00FA4991"/>
    <w:rsid w:val="00FA50B5"/>
    <w:rsid w:val="00FA6EDB"/>
    <w:rsid w:val="00FA77C7"/>
    <w:rsid w:val="00FB0679"/>
    <w:rsid w:val="00FB0BDC"/>
    <w:rsid w:val="00FB1257"/>
    <w:rsid w:val="00FB169F"/>
    <w:rsid w:val="00FB3F64"/>
    <w:rsid w:val="00FB5684"/>
    <w:rsid w:val="00FB64DC"/>
    <w:rsid w:val="00FB7EDE"/>
    <w:rsid w:val="00FC2A6A"/>
    <w:rsid w:val="00FC3DD3"/>
    <w:rsid w:val="00FC6FE5"/>
    <w:rsid w:val="00FC7BA0"/>
    <w:rsid w:val="00FD28C3"/>
    <w:rsid w:val="00FD2920"/>
    <w:rsid w:val="00FD3ACE"/>
    <w:rsid w:val="00FD3AFF"/>
    <w:rsid w:val="00FD403E"/>
    <w:rsid w:val="00FD4567"/>
    <w:rsid w:val="00FD5012"/>
    <w:rsid w:val="00FD5168"/>
    <w:rsid w:val="00FD54B0"/>
    <w:rsid w:val="00FD62A3"/>
    <w:rsid w:val="00FE0318"/>
    <w:rsid w:val="00FE0649"/>
    <w:rsid w:val="00FE11FB"/>
    <w:rsid w:val="00FE1671"/>
    <w:rsid w:val="00FE41C6"/>
    <w:rsid w:val="00FF0357"/>
    <w:rsid w:val="00FF05C4"/>
    <w:rsid w:val="00FF173F"/>
    <w:rsid w:val="00FF3130"/>
    <w:rsid w:val="00FF4280"/>
    <w:rsid w:val="00FF4F4C"/>
    <w:rsid w:val="00FF61C7"/>
    <w:rsid w:val="00FF6E60"/>
    <w:rsid w:val="00FF7A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960"/>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 w:type="character" w:styleId="FollowedHyperlink">
    <w:name w:val="FollowedHyperlink"/>
    <w:basedOn w:val="DefaultParagraphFont"/>
    <w:uiPriority w:val="99"/>
    <w:semiHidden/>
    <w:unhideWhenUsed/>
    <w:rsid w:val="006C32BA"/>
    <w:rPr>
      <w:color w:val="2E1A4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3.xm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chart" Target="charts/chart1.xm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www.tra.gov.au/en/domestic/changes-to-the-australian-resident-tourism-statistics-collection-in-2025"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footer" Target="footer1.xml"/><Relationship Id="rId28" Type="http://schemas.openxmlformats.org/officeDocument/2006/relationships/chart" Target="charts/chart2.xm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hyperlink" Target="https://www.tra.gov.au/en/domestic/changes-to-the-australian-resident-tourism-statistics-collection-in-2025" TargetMode="External"/><Relationship Id="rId30" Type="http://schemas.openxmlformats.org/officeDocument/2006/relationships/chart" Target="charts/chart4.xml"/><Relationship Id="rId35"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2.%20June%20Quarter\Charts%20-%20JQ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2.%20June%20Quarter\Charts%20-%20JQ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2.%20June%20Quarter\Charts%20-%20JQ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2.%20June%20Quarter\Charts%20-%20JQ2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'Qtr on qtr'!$C$13</c:f>
              <c:strCache>
                <c:ptCount val="1"/>
                <c:pt idx="0">
                  <c:v>SQ24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qtr'!$C$14:$C$16</c:f>
              <c:numCache>
                <c:formatCode>0%</c:formatCode>
                <c:ptCount val="3"/>
                <c:pt idx="0">
                  <c:v>0.02</c:v>
                </c:pt>
                <c:pt idx="1">
                  <c:v>-0.01</c:v>
                </c:pt>
                <c:pt idx="2">
                  <c:v>-0.02</c:v>
                </c:pt>
              </c:numCache>
            </c:numRef>
          </c:val>
          <c:extLst>
            <c:ext xmlns:c16="http://schemas.microsoft.com/office/drawing/2014/chart" uri="{C3380CC4-5D6E-409C-BE32-E72D297353CC}">
              <c16:uniqueId val="{00000000-B20D-459A-9F1B-08490A2BAB52}"/>
            </c:ext>
          </c:extLst>
        </c:ser>
        <c:ser>
          <c:idx val="1"/>
          <c:order val="1"/>
          <c:tx>
            <c:strRef>
              <c:f>'Qtr on qtr'!$D$13</c:f>
              <c:strCache>
                <c:ptCount val="1"/>
                <c:pt idx="0">
                  <c:v>DQ24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qtr'!$D$14:$D$16</c:f>
              <c:numCache>
                <c:formatCode>0%</c:formatCode>
                <c:ptCount val="3"/>
                <c:pt idx="0">
                  <c:v>-0.02</c:v>
                </c:pt>
                <c:pt idx="1">
                  <c:v>0.01</c:v>
                </c:pt>
                <c:pt idx="2">
                  <c:v>-0.02</c:v>
                </c:pt>
              </c:numCache>
            </c:numRef>
          </c:val>
          <c:extLst>
            <c:ext xmlns:c16="http://schemas.microsoft.com/office/drawing/2014/chart" uri="{C3380CC4-5D6E-409C-BE32-E72D297353CC}">
              <c16:uniqueId val="{00000001-B20D-459A-9F1B-08490A2BAB52}"/>
            </c:ext>
          </c:extLst>
        </c:ser>
        <c:ser>
          <c:idx val="2"/>
          <c:order val="2"/>
          <c:tx>
            <c:strRef>
              <c:f>'Qtr on qtr'!$E$13</c:f>
              <c:strCache>
                <c:ptCount val="1"/>
                <c:pt idx="0">
                  <c:v>MQ25</c:v>
                </c:pt>
              </c:strCache>
            </c:strRef>
          </c:tx>
          <c:spPr>
            <a:solidFill>
              <a:schemeClr val="accent3"/>
            </a:solidFill>
            <a:ln>
              <a:solidFill>
                <a:schemeClr val="accent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qtr'!$E$14:$E$16</c:f>
              <c:numCache>
                <c:formatCode>0%</c:formatCode>
                <c:ptCount val="3"/>
                <c:pt idx="0">
                  <c:v>0</c:v>
                </c:pt>
                <c:pt idx="1">
                  <c:v>-0.02</c:v>
                </c:pt>
                <c:pt idx="2">
                  <c:v>-0.04</c:v>
                </c:pt>
              </c:numCache>
            </c:numRef>
          </c:val>
          <c:extLst>
            <c:ext xmlns:c16="http://schemas.microsoft.com/office/drawing/2014/chart" uri="{C3380CC4-5D6E-409C-BE32-E72D297353CC}">
              <c16:uniqueId val="{00000002-B20D-459A-9F1B-08490A2BAB52}"/>
            </c:ext>
          </c:extLst>
        </c:ser>
        <c:ser>
          <c:idx val="3"/>
          <c:order val="3"/>
          <c:tx>
            <c:strRef>
              <c:f>'Qtr on qtr'!$F$13</c:f>
              <c:strCache>
                <c:ptCount val="1"/>
                <c:pt idx="0">
                  <c:v>JQ25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qtr'!$F$14:$F$16</c:f>
              <c:numCache>
                <c:formatCode>0%</c:formatCode>
                <c:ptCount val="3"/>
                <c:pt idx="0">
                  <c:v>0</c:v>
                </c:pt>
                <c:pt idx="1">
                  <c:v>0.02</c:v>
                </c:pt>
                <c:pt idx="2">
                  <c:v>0.02</c:v>
                </c:pt>
              </c:numCache>
            </c:numRef>
          </c:val>
          <c:extLst>
            <c:ext xmlns:c16="http://schemas.microsoft.com/office/drawing/2014/chart" uri="{C3380CC4-5D6E-409C-BE32-E72D297353CC}">
              <c16:uniqueId val="{00000003-B20D-459A-9F1B-08490A2BAB52}"/>
            </c:ext>
          </c:extLst>
        </c:ser>
        <c:dLbls>
          <c:dLblPos val="outEnd"/>
          <c:showLegendKey val="0"/>
          <c:showVal val="1"/>
          <c:showCatName val="0"/>
          <c:showSerName val="0"/>
          <c:showPercent val="0"/>
          <c:showBubbleSize val="0"/>
        </c:dLbls>
        <c:gapWidth val="219"/>
        <c:overlap val="-27"/>
        <c:axId val="1736295632"/>
        <c:axId val="1736288432"/>
      </c:barChart>
      <c:catAx>
        <c:axId val="17362956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88432"/>
        <c:crosses val="autoZero"/>
        <c:auto val="1"/>
        <c:lblAlgn val="ctr"/>
        <c:lblOffset val="100"/>
        <c:noMultiLvlLbl val="0"/>
      </c:catAx>
      <c:valAx>
        <c:axId val="173628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95632"/>
        <c:crosses val="autoZero"/>
        <c:crossBetween val="between"/>
        <c:maj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59954086120716E-2"/>
          <c:y val="6.7588325652841785E-2"/>
          <c:w val="0.92603631630514849"/>
          <c:h val="0.64790304437751733"/>
        </c:manualLayout>
      </c:layout>
      <c:barChart>
        <c:barDir val="col"/>
        <c:grouping val="clustered"/>
        <c:varyColors val="0"/>
        <c:ser>
          <c:idx val="0"/>
          <c:order val="0"/>
          <c:tx>
            <c:strRef>
              <c:f>'nights per trip age'!$L$59</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'nights per trip age'!$K$60:$K$64</c:f>
              <c:strCache>
                <c:ptCount val="5"/>
                <c:pt idx="0">
                  <c:v>14-29</c:v>
                </c:pt>
                <c:pt idx="1">
                  <c:v>30-44</c:v>
                </c:pt>
                <c:pt idx="2">
                  <c:v>45-59</c:v>
                </c:pt>
                <c:pt idx="3">
                  <c:v>60-74</c:v>
                </c:pt>
                <c:pt idx="4">
                  <c:v>75+</c:v>
                </c:pt>
              </c:strCache>
            </c:strRef>
          </c:cat>
          <c:val>
            <c:numRef>
              <c:f>'nights per trip age'!$L$60:$L$64</c:f>
              <c:numCache>
                <c:formatCode>General</c:formatCode>
                <c:ptCount val="5"/>
                <c:pt idx="0">
                  <c:v>3</c:v>
                </c:pt>
                <c:pt idx="1">
                  <c:v>3.1</c:v>
                </c:pt>
                <c:pt idx="2">
                  <c:v>3.1</c:v>
                </c:pt>
                <c:pt idx="3">
                  <c:v>3.5</c:v>
                </c:pt>
                <c:pt idx="4">
                  <c:v>3.7</c:v>
                </c:pt>
              </c:numCache>
            </c:numRef>
          </c:val>
          <c:extLst>
            <c:ext xmlns:c16="http://schemas.microsoft.com/office/drawing/2014/chart" uri="{C3380CC4-5D6E-409C-BE32-E72D297353CC}">
              <c16:uniqueId val="{00000000-CC78-4729-B5DC-FA6BBF57E542}"/>
            </c:ext>
          </c:extLst>
        </c:ser>
        <c:ser>
          <c:idx val="1"/>
          <c:order val="1"/>
          <c:tx>
            <c:strRef>
              <c:f>'nights per trip age'!$M$59</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'nights per trip age'!$K$60:$K$64</c:f>
              <c:strCache>
                <c:ptCount val="5"/>
                <c:pt idx="0">
                  <c:v>14-29</c:v>
                </c:pt>
                <c:pt idx="1">
                  <c:v>30-44</c:v>
                </c:pt>
                <c:pt idx="2">
                  <c:v>45-59</c:v>
                </c:pt>
                <c:pt idx="3">
                  <c:v>60-74</c:v>
                </c:pt>
                <c:pt idx="4">
                  <c:v>75+</c:v>
                </c:pt>
              </c:strCache>
            </c:strRef>
          </c:cat>
          <c:val>
            <c:numRef>
              <c:f>'nights per trip age'!$M$60:$M$64</c:f>
              <c:numCache>
                <c:formatCode>General</c:formatCode>
                <c:ptCount val="5"/>
                <c:pt idx="0">
                  <c:v>3.2</c:v>
                </c:pt>
                <c:pt idx="1">
                  <c:v>3.1</c:v>
                </c:pt>
                <c:pt idx="2">
                  <c:v>3.2</c:v>
                </c:pt>
                <c:pt idx="3">
                  <c:v>3.8</c:v>
                </c:pt>
                <c:pt idx="4" formatCode="0.0">
                  <c:v>4</c:v>
                </c:pt>
              </c:numCache>
            </c:numRef>
          </c:val>
          <c:extLst>
            <c:ext xmlns:c16="http://schemas.microsoft.com/office/drawing/2014/chart" uri="{C3380CC4-5D6E-409C-BE32-E72D297353CC}">
              <c16:uniqueId val="{00000001-CC78-4729-B5DC-FA6BBF57E542}"/>
            </c:ext>
          </c:extLst>
        </c:ser>
        <c:dLbls>
          <c:dLblPos val="outEnd"/>
          <c:showLegendKey val="0"/>
          <c:showVal val="1"/>
          <c:showCatName val="0"/>
          <c:showSerName val="0"/>
          <c:showPercent val="0"/>
          <c:showBubbleSize val="0"/>
        </c:dLbls>
        <c:gapWidth val="219"/>
        <c:overlap val="-27"/>
        <c:axId val="965691600"/>
        <c:axId val="965692080"/>
      </c:barChart>
      <c:catAx>
        <c:axId val="96569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5692080"/>
        <c:crosses val="autoZero"/>
        <c:auto val="1"/>
        <c:lblAlgn val="ctr"/>
        <c:lblOffset val="100"/>
        <c:noMultiLvlLbl val="0"/>
      </c:catAx>
      <c:valAx>
        <c:axId val="96569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569160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'Spend per trip gender+purpose'!$B$23</c:f>
              <c:strCache>
                <c:ptCount val="1"/>
                <c:pt idx="0">
                  <c:v>Holiday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'Spend per trip gender+purpose'!$C$22:$D$22</c:f>
              <c:strCache>
                <c:ptCount val="2"/>
                <c:pt idx="0">
                  <c:v>Male</c:v>
                </c:pt>
                <c:pt idx="1">
                  <c:v>Female</c:v>
                </c:pt>
              </c:strCache>
            </c:strRef>
          </c:cat>
          <c:val>
            <c:numRef>
              <c:f>'Spend per trip gender+purpose'!$C$23:$D$23</c:f>
              <c:numCache>
                <c:formatCode>0%</c:formatCode>
                <c:ptCount val="2"/>
                <c:pt idx="0">
                  <c:v>0.43940496068625212</c:v>
                </c:pt>
                <c:pt idx="1">
                  <c:v>0.43499154676762475</c:v>
                </c:pt>
              </c:numCache>
            </c:numRef>
          </c:val>
          <c:extLst>
            <c:ext xmlns:c16="http://schemas.microsoft.com/office/drawing/2014/chart" uri="{C3380CC4-5D6E-409C-BE32-E72D297353CC}">
              <c16:uniqueId val="{00000000-C062-4857-A5FB-CD682B5D7830}"/>
            </c:ext>
          </c:extLst>
        </c:ser>
        <c:ser>
          <c:idx val="1"/>
          <c:order val="1"/>
          <c:tx>
            <c:strRef>
              <c:f>'Spend per trip gender+purpose'!$B$24</c:f>
              <c:strCache>
                <c:ptCount val="1"/>
                <c:pt idx="0">
                  <c:v>VFR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'Spend per trip gender+purpose'!$C$22:$D$22</c:f>
              <c:strCache>
                <c:ptCount val="2"/>
                <c:pt idx="0">
                  <c:v>Male</c:v>
                </c:pt>
                <c:pt idx="1">
                  <c:v>Female</c:v>
                </c:pt>
              </c:strCache>
            </c:strRef>
          </c:cat>
          <c:val>
            <c:numRef>
              <c:f>'Spend per trip gender+purpose'!$C$24:$D$24</c:f>
              <c:numCache>
                <c:formatCode>0%</c:formatCode>
                <c:ptCount val="2"/>
                <c:pt idx="0">
                  <c:v>0.34945633549114674</c:v>
                </c:pt>
                <c:pt idx="1">
                  <c:v>0.41217976613713436</c:v>
                </c:pt>
              </c:numCache>
            </c:numRef>
          </c:val>
          <c:extLst>
            <c:ext xmlns:c16="http://schemas.microsoft.com/office/drawing/2014/chart" uri="{C3380CC4-5D6E-409C-BE32-E72D297353CC}">
              <c16:uniqueId val="{00000001-C062-4857-A5FB-CD682B5D7830}"/>
            </c:ext>
          </c:extLst>
        </c:ser>
        <c:ser>
          <c:idx val="2"/>
          <c:order val="2"/>
          <c:tx>
            <c:strRef>
              <c:f>'Spend per trip gender+purpose'!$B$25</c:f>
              <c:strCache>
                <c:ptCount val="1"/>
                <c:pt idx="0">
                  <c:v>Business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'Spend per trip gender+purpose'!$C$22:$D$22</c:f>
              <c:strCache>
                <c:ptCount val="2"/>
                <c:pt idx="0">
                  <c:v>Male</c:v>
                </c:pt>
                <c:pt idx="1">
                  <c:v>Female</c:v>
                </c:pt>
              </c:strCache>
            </c:strRef>
          </c:cat>
          <c:val>
            <c:numRef>
              <c:f>'Spend per trip gender+purpose'!$C$25:$D$25</c:f>
              <c:numCache>
                <c:formatCode>0%</c:formatCode>
                <c:ptCount val="2"/>
                <c:pt idx="0">
                  <c:v>0.15541095212884787</c:v>
                </c:pt>
                <c:pt idx="1">
                  <c:v>8.6594522237557467E-2</c:v>
                </c:pt>
              </c:numCache>
            </c:numRef>
          </c:val>
          <c:extLst>
            <c:ext xmlns:c16="http://schemas.microsoft.com/office/drawing/2014/chart" uri="{C3380CC4-5D6E-409C-BE32-E72D297353CC}">
              <c16:uniqueId val="{00000002-C062-4857-A5FB-CD682B5D7830}"/>
            </c:ext>
          </c:extLst>
        </c:ser>
        <c:ser>
          <c:idx val="3"/>
          <c:order val="3"/>
          <c:tx>
            <c:strRef>
              <c:f>'Spend per trip gender+purpose'!$B$26</c:f>
              <c:strCache>
                <c:ptCount val="1"/>
                <c:pt idx="0">
                  <c:v>Other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'Spend per trip gender+purpose'!$C$22:$D$22</c:f>
              <c:strCache>
                <c:ptCount val="2"/>
                <c:pt idx="0">
                  <c:v>Male</c:v>
                </c:pt>
                <c:pt idx="1">
                  <c:v>Female</c:v>
                </c:pt>
              </c:strCache>
            </c:strRef>
          </c:cat>
          <c:val>
            <c:numRef>
              <c:f>'Spend per trip gender+purpose'!$C$26:$D$26</c:f>
              <c:numCache>
                <c:formatCode>0%</c:formatCode>
                <c:ptCount val="2"/>
                <c:pt idx="0">
                  <c:v>5.5727751693753255E-2</c:v>
                </c:pt>
                <c:pt idx="1">
                  <c:v>6.6234094166661719E-2</c:v>
                </c:pt>
              </c:numCache>
            </c:numRef>
          </c:val>
          <c:extLst>
            <c:ext xmlns:c16="http://schemas.microsoft.com/office/drawing/2014/chart" uri="{C3380CC4-5D6E-409C-BE32-E72D297353CC}">
              <c16:uniqueId val="{00000003-C062-4857-A5FB-CD682B5D7830}"/>
            </c:ext>
          </c:extLst>
        </c:ser>
        <c:dLbls>
          <c:showLegendKey val="0"/>
          <c:showVal val="0"/>
          <c:showCatName val="0"/>
          <c:showSerName val="0"/>
          <c:showPercent val="0"/>
          <c:showBubbleSize val="0"/>
        </c:dLbls>
        <c:gapWidth val="150"/>
        <c:overlap val="100"/>
        <c:axId val="2132764256"/>
        <c:axId val="2132737856"/>
      </c:barChart>
      <c:catAx>
        <c:axId val="213276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737856"/>
        <c:crosses val="autoZero"/>
        <c:auto val="1"/>
        <c:lblAlgn val="ctr"/>
        <c:lblOffset val="100"/>
        <c:noMultiLvlLbl val="0"/>
      </c:catAx>
      <c:valAx>
        <c:axId val="213273785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7642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645041487969622"/>
          <c:y val="7.1197411003236247E-2"/>
          <c:w val="0.64828065079761288"/>
          <c:h val="0.67878143872792596"/>
        </c:manualLayout>
      </c:layout>
      <c:barChart>
        <c:barDir val="bar"/>
        <c:grouping val="clustered"/>
        <c:varyColors val="0"/>
        <c:ser>
          <c:idx val="0"/>
          <c:order val="0"/>
          <c:tx>
            <c:strRef>
              <c:f>'Exp item'!$I$23</c:f>
              <c:strCache>
                <c:ptCount val="1"/>
                <c:pt idx="0">
                  <c:v>Trip Expenditure ($000)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'Exp item'!$H$24:$H$29</c:f>
              <c:strCache>
                <c:ptCount val="6"/>
                <c:pt idx="0">
                  <c:v>Groceries for self-catering</c:v>
                </c:pt>
                <c:pt idx="1">
                  <c:v>Shopping / gifts /souvenirs</c:v>
                </c:pt>
                <c:pt idx="2">
                  <c:v>Petrol</c:v>
                </c:pt>
                <c:pt idx="3">
                  <c:v>Takeaways and restaurant meals</c:v>
                </c:pt>
                <c:pt idx="4">
                  <c:v>Domestic airfares</c:v>
                </c:pt>
                <c:pt idx="5">
                  <c:v>Accommodation</c:v>
                </c:pt>
              </c:strCache>
            </c:strRef>
          </c:cat>
          <c:val>
            <c:numRef>
              <c:f>'Exp item'!$I$24:$I$29</c:f>
              <c:numCache>
                <c:formatCode>0.0</c:formatCode>
                <c:ptCount val="6"/>
                <c:pt idx="0">
                  <c:v>1.410812</c:v>
                </c:pt>
                <c:pt idx="1">
                  <c:v>1.5343039999999999</c:v>
                </c:pt>
                <c:pt idx="2">
                  <c:v>2.7500209999999998</c:v>
                </c:pt>
                <c:pt idx="3">
                  <c:v>3.856894</c:v>
                </c:pt>
                <c:pt idx="4">
                  <c:v>3.8653240000000002</c:v>
                </c:pt>
                <c:pt idx="5">
                  <c:v>6.7982639999999996</c:v>
                </c:pt>
              </c:numCache>
            </c:numRef>
          </c:val>
          <c:extLst>
            <c:ext xmlns:c16="http://schemas.microsoft.com/office/drawing/2014/chart" uri="{C3380CC4-5D6E-409C-BE32-E72D297353CC}">
              <c16:uniqueId val="{00000000-4194-4BDB-A0E4-06C9F42A8089}"/>
            </c:ext>
          </c:extLst>
        </c:ser>
        <c:dLbls>
          <c:dLblPos val="outEnd"/>
          <c:showLegendKey val="0"/>
          <c:showVal val="1"/>
          <c:showCatName val="0"/>
          <c:showSerName val="0"/>
          <c:showPercent val="0"/>
          <c:showBubbleSize val="0"/>
        </c:dLbls>
        <c:gapWidth val="182"/>
        <c:axId val="352586672"/>
        <c:axId val="352568912"/>
      </c:barChart>
      <c:catAx>
        <c:axId val="352586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568912"/>
        <c:crosses val="autoZero"/>
        <c:auto val="1"/>
        <c:lblAlgn val="ctr"/>
        <c:lblOffset val="100"/>
        <c:noMultiLvlLbl val="0"/>
      </c:catAx>
      <c:valAx>
        <c:axId val="352568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billion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586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6.xml><?xml version="1.0" encoding="utf-8"?>
<?mso-contentType ?>
<SharedContentType xmlns="Microsoft.SharePoint.Taxonomy.ContentTypeSync" SourceId="66d92cf1-08e1-41e5-92d3-0cdcdb1e2433" ContentTypeId="0x01010004862C10171BD149BCA86DC4F354848008" PreviousValue="false"/>
</file>

<file path=customXml/itemProps1.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customXml/itemProps2.xml><?xml version="1.0" encoding="utf-8"?>
<ds:datastoreItem xmlns:ds="http://schemas.openxmlformats.org/officeDocument/2006/customXml" ds:itemID="{DF1A0A30-8970-4E85-B808-4DBA2136EAA9}">
  <ds:schemaRefs>
    <ds:schemaRef ds:uri="http://schemas.microsoft.com/sharepoint/events"/>
  </ds:schemaRefs>
</ds:datastoreItem>
</file>

<file path=customXml/itemProps3.xml><?xml version="1.0" encoding="utf-8"?>
<ds:datastoreItem xmlns:ds="http://schemas.openxmlformats.org/officeDocument/2006/customXml" ds:itemID="{6075CF63-0983-4CB1-997E-566C11809F55}">
  <ds:schemaRefs>
    <ds:schemaRef ds:uri="http://schemas.microsoft.com/sharepoint/v3/contenttype/forms"/>
  </ds:schemaRefs>
</ds:datastoreItem>
</file>

<file path=customXml/itemProps4.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3AD30B-EF9F-4108-9EB5-72C5870F2F0E}">
  <ds:schemaRefs>
    <ds:schemaRef ds:uri="http://schemas.microsoft.com/office/2006/metadata/properties"/>
    <ds:schemaRef ds:uri="http://schemas.microsoft.com/office/infopath/2007/PartnerControls"/>
    <ds:schemaRef ds:uri="2124141f-bf93-4eca-8662-34a4511e35c8"/>
    <ds:schemaRef ds:uri="52d2b1bf-f310-45e2-aba7-632ee969a559"/>
  </ds:schemaRefs>
</ds:datastoreItem>
</file>

<file path=customXml/itemProps6.xml><?xml version="1.0" encoding="utf-8"?>
<ds:datastoreItem xmlns:ds="http://schemas.openxmlformats.org/officeDocument/2006/customXml" ds:itemID="{96820555-8F42-4474-BE63-C929B2B607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2025-11-25T05:16:00Z</dcterms:created>
  <dcterms:modified xsi:type="dcterms:W3CDTF">2025-11-25T05:22:00Z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565efa07,25588ff9,194e8e02</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6b8472b6,2896b4ae,3cbe24d9</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2024-09-02T01:14:32Z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1ffc9a7f-041f-4fe3-8a61-010064a34a9a</vt:lpwstr>
  </property>
  <property fmtid="{D5CDD505-2E9C-101B-9397-08002B2CF9AE}" pid="17" name="MSIP_Label_72160a83-df68-4146-9dd5-ccaae79426db_ContentBits">
    <vt:lpwstr>3</vt:lpwstr>
  </property>
</Properties>
</file>